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ECE9" w14:textId="7C052D2B" w:rsidR="0031443C" w:rsidRDefault="00506C5E" w:rsidP="005B76DF">
      <w:pPr>
        <w:pStyle w:val="Heading1"/>
        <w:spacing w:before="120" w:line="240" w:lineRule="auto"/>
        <w:rPr>
          <w:rFonts w:ascii="Helvetica" w:hAnsi="Helvetica" w:cs="Helvetica"/>
          <w:b/>
          <w:bCs/>
          <w:color w:val="auto"/>
          <w:sz w:val="28"/>
          <w:szCs w:val="28"/>
        </w:rPr>
      </w:pPr>
      <w:bookmarkStart w:id="0" w:name="_GoBack"/>
      <w:r w:rsidRPr="00161C60">
        <w:rPr>
          <w:rFonts w:ascii="Helvetica" w:hAnsi="Helvetica" w:cs="Helvetica"/>
          <w:b/>
          <w:bCs/>
          <w:color w:val="auto"/>
          <w:sz w:val="28"/>
          <w:szCs w:val="28"/>
        </w:rPr>
        <w:t xml:space="preserve">Strong, Steady and Straight: </w:t>
      </w:r>
      <w:r w:rsidR="004929FB" w:rsidRPr="00161C60">
        <w:rPr>
          <w:rFonts w:ascii="Helvetica" w:hAnsi="Helvetica" w:cs="Helvetica"/>
          <w:b/>
          <w:bCs/>
          <w:color w:val="auto"/>
          <w:sz w:val="28"/>
          <w:szCs w:val="28"/>
        </w:rPr>
        <w:t xml:space="preserve">UK consensus statement </w:t>
      </w:r>
      <w:r w:rsidR="6D1F731D" w:rsidRPr="00161C60">
        <w:rPr>
          <w:rFonts w:ascii="Helvetica" w:hAnsi="Helvetica" w:cs="Helvetica"/>
          <w:b/>
          <w:bCs/>
          <w:color w:val="auto"/>
          <w:sz w:val="28"/>
          <w:szCs w:val="28"/>
        </w:rPr>
        <w:t>on</w:t>
      </w:r>
      <w:r w:rsidR="004929FB" w:rsidRPr="00161C60">
        <w:rPr>
          <w:rFonts w:ascii="Helvetica" w:hAnsi="Helvetica" w:cs="Helvetica"/>
          <w:b/>
          <w:bCs/>
          <w:color w:val="auto"/>
          <w:sz w:val="28"/>
          <w:szCs w:val="28"/>
        </w:rPr>
        <w:t xml:space="preserve"> p</w:t>
      </w:r>
      <w:r w:rsidRPr="00161C60">
        <w:rPr>
          <w:rFonts w:ascii="Helvetica" w:hAnsi="Helvetica" w:cs="Helvetica"/>
          <w:b/>
          <w:bCs/>
          <w:color w:val="auto"/>
          <w:sz w:val="28"/>
          <w:szCs w:val="28"/>
        </w:rPr>
        <w:t xml:space="preserve">hysical </w:t>
      </w:r>
      <w:r w:rsidR="004929FB" w:rsidRPr="00161C60">
        <w:rPr>
          <w:rFonts w:ascii="Helvetica" w:hAnsi="Helvetica" w:cs="Helvetica"/>
          <w:b/>
          <w:bCs/>
          <w:color w:val="auto"/>
          <w:sz w:val="28"/>
          <w:szCs w:val="28"/>
        </w:rPr>
        <w:t>a</w:t>
      </w:r>
      <w:r w:rsidRPr="00161C60">
        <w:rPr>
          <w:rFonts w:ascii="Helvetica" w:hAnsi="Helvetica" w:cs="Helvetica"/>
          <w:b/>
          <w:bCs/>
          <w:color w:val="auto"/>
          <w:sz w:val="28"/>
          <w:szCs w:val="28"/>
        </w:rPr>
        <w:t xml:space="preserve">ctivity and </w:t>
      </w:r>
      <w:r w:rsidR="004929FB" w:rsidRPr="00161C60">
        <w:rPr>
          <w:rFonts w:ascii="Helvetica" w:hAnsi="Helvetica" w:cs="Helvetica"/>
          <w:b/>
          <w:bCs/>
          <w:color w:val="auto"/>
          <w:sz w:val="28"/>
          <w:szCs w:val="28"/>
        </w:rPr>
        <w:t>e</w:t>
      </w:r>
      <w:r w:rsidRPr="00161C60">
        <w:rPr>
          <w:rFonts w:ascii="Helvetica" w:hAnsi="Helvetica" w:cs="Helvetica"/>
          <w:b/>
          <w:bCs/>
          <w:color w:val="auto"/>
          <w:sz w:val="28"/>
          <w:szCs w:val="28"/>
        </w:rPr>
        <w:t>xercise for</w:t>
      </w:r>
      <w:r w:rsidR="004929FB" w:rsidRPr="00161C60">
        <w:rPr>
          <w:rFonts w:ascii="Helvetica" w:hAnsi="Helvetica" w:cs="Helvetica"/>
          <w:b/>
          <w:bCs/>
          <w:color w:val="auto"/>
          <w:sz w:val="28"/>
          <w:szCs w:val="28"/>
        </w:rPr>
        <w:t xml:space="preserve"> osteoporosis.</w:t>
      </w:r>
    </w:p>
    <w:bookmarkEnd w:id="0"/>
    <w:p w14:paraId="6DA2BB50" w14:textId="3E62ECF9" w:rsidR="006F17B6" w:rsidRPr="00925D7F" w:rsidRDefault="006F17B6" w:rsidP="00925D7F">
      <w:r>
        <w:t>Endorsed by the Royal Osteoporosis Society</w:t>
      </w:r>
    </w:p>
    <w:p w14:paraId="5FB8D153" w14:textId="29A8DBDD" w:rsidR="00530393" w:rsidRPr="00161C60" w:rsidRDefault="00530393" w:rsidP="004E5EC5">
      <w:pPr>
        <w:spacing w:before="240" w:after="0" w:line="240" w:lineRule="auto"/>
        <w:rPr>
          <w:rFonts w:ascii="Helvetica" w:hAnsi="Helvetica"/>
        </w:rPr>
      </w:pPr>
      <w:r w:rsidRPr="00161C60">
        <w:rPr>
          <w:rFonts w:ascii="Helvetica" w:hAnsi="Helvetica"/>
        </w:rPr>
        <w:t>Katherine Brooke-Wavell</w:t>
      </w:r>
      <w:r w:rsidR="007111DB" w:rsidRPr="00161C60">
        <w:rPr>
          <w:rFonts w:ascii="Helvetica" w:hAnsi="Helvetica"/>
          <w:vertAlign w:val="superscript"/>
        </w:rPr>
        <w:t>1</w:t>
      </w:r>
      <w:r w:rsidR="007111DB" w:rsidRPr="00161C60">
        <w:rPr>
          <w:rFonts w:ascii="Helvetica" w:hAnsi="Helvetica"/>
        </w:rPr>
        <w:t>*</w:t>
      </w:r>
      <w:r w:rsidRPr="00161C60">
        <w:rPr>
          <w:rFonts w:ascii="Helvetica" w:hAnsi="Helvetica"/>
        </w:rPr>
        <w:t>, Dawn A Skelton</w:t>
      </w:r>
      <w:r w:rsidR="007111DB" w:rsidRPr="00161C60">
        <w:rPr>
          <w:rFonts w:ascii="Helvetica" w:hAnsi="Helvetica"/>
          <w:vertAlign w:val="superscript"/>
        </w:rPr>
        <w:t>2</w:t>
      </w:r>
      <w:r w:rsidR="007111DB" w:rsidRPr="00161C60">
        <w:rPr>
          <w:rFonts w:ascii="Helvetica" w:hAnsi="Helvetica"/>
        </w:rPr>
        <w:t>*</w:t>
      </w:r>
      <w:r w:rsidRPr="00161C60">
        <w:rPr>
          <w:rFonts w:ascii="Helvetica" w:hAnsi="Helvetica"/>
        </w:rPr>
        <w:t xml:space="preserve">, </w:t>
      </w:r>
      <w:r w:rsidR="00A4274C" w:rsidRPr="00161C60">
        <w:rPr>
          <w:rFonts w:ascii="Helvetica" w:hAnsi="Helvetica"/>
        </w:rPr>
        <w:t>Karen</w:t>
      </w:r>
      <w:r w:rsidR="005E02CE" w:rsidRPr="00161C60">
        <w:rPr>
          <w:rFonts w:ascii="Helvetica" w:hAnsi="Helvetica"/>
        </w:rPr>
        <w:t xml:space="preserve"> L</w:t>
      </w:r>
      <w:r w:rsidR="00A4274C" w:rsidRPr="00161C60">
        <w:rPr>
          <w:rFonts w:ascii="Helvetica" w:hAnsi="Helvetica"/>
        </w:rPr>
        <w:t xml:space="preserve"> Barker</w:t>
      </w:r>
      <w:r w:rsidR="007111DB" w:rsidRPr="00161C60">
        <w:rPr>
          <w:rFonts w:ascii="Helvetica" w:hAnsi="Helvetica"/>
          <w:vertAlign w:val="superscript"/>
        </w:rPr>
        <w:t>3</w:t>
      </w:r>
      <w:r w:rsidR="00A4274C" w:rsidRPr="00161C60">
        <w:rPr>
          <w:rFonts w:ascii="Helvetica" w:hAnsi="Helvetica"/>
        </w:rPr>
        <w:t xml:space="preserve">, </w:t>
      </w:r>
      <w:r w:rsidR="005E02CE" w:rsidRPr="00161C60">
        <w:rPr>
          <w:rFonts w:ascii="Helvetica" w:hAnsi="Helvetica"/>
        </w:rPr>
        <w:t>Emma</w:t>
      </w:r>
      <w:r w:rsidR="00F70416" w:rsidRPr="00161C60">
        <w:rPr>
          <w:rFonts w:ascii="Helvetica" w:hAnsi="Helvetica"/>
        </w:rPr>
        <w:t xml:space="preserve"> M</w:t>
      </w:r>
      <w:r w:rsidR="005E02CE" w:rsidRPr="00161C60">
        <w:rPr>
          <w:rFonts w:ascii="Helvetica" w:hAnsi="Helvetica"/>
        </w:rPr>
        <w:t xml:space="preserve"> Clark</w:t>
      </w:r>
      <w:r w:rsidR="007111DB" w:rsidRPr="00161C60">
        <w:rPr>
          <w:rFonts w:ascii="Helvetica" w:hAnsi="Helvetica"/>
          <w:vertAlign w:val="superscript"/>
        </w:rPr>
        <w:t>4</w:t>
      </w:r>
      <w:r w:rsidR="005E02CE" w:rsidRPr="00161C60">
        <w:rPr>
          <w:rFonts w:ascii="Helvetica" w:hAnsi="Helvetica"/>
        </w:rPr>
        <w:t>, Sarah De Bia</w:t>
      </w:r>
      <w:r w:rsidR="007111DB" w:rsidRPr="00161C60">
        <w:rPr>
          <w:rFonts w:ascii="Helvetica" w:hAnsi="Helvetica"/>
        </w:rPr>
        <w:t>se</w:t>
      </w:r>
      <w:r w:rsidR="007111DB" w:rsidRPr="00161C60">
        <w:rPr>
          <w:rFonts w:ascii="Helvetica" w:hAnsi="Helvetica"/>
          <w:vertAlign w:val="superscript"/>
        </w:rPr>
        <w:t>5</w:t>
      </w:r>
      <w:r w:rsidR="005E02CE" w:rsidRPr="00161C60">
        <w:rPr>
          <w:rFonts w:ascii="Helvetica" w:hAnsi="Helvetica"/>
        </w:rPr>
        <w:t xml:space="preserve">, Susanne </w:t>
      </w:r>
      <w:r w:rsidR="00BB2501" w:rsidRPr="00161C60">
        <w:rPr>
          <w:rFonts w:ascii="Helvetica" w:hAnsi="Helvetica"/>
        </w:rPr>
        <w:t>Arnold</w:t>
      </w:r>
      <w:r w:rsidR="00BB2501" w:rsidRPr="00161C60">
        <w:rPr>
          <w:rFonts w:ascii="Helvetica" w:hAnsi="Helvetica"/>
          <w:vertAlign w:val="superscript"/>
        </w:rPr>
        <w:t>6</w:t>
      </w:r>
      <w:r w:rsidR="005E02CE" w:rsidRPr="00161C60">
        <w:rPr>
          <w:rFonts w:ascii="Helvetica" w:hAnsi="Helvetica"/>
        </w:rPr>
        <w:t xml:space="preserve">, </w:t>
      </w:r>
      <w:r w:rsidR="000B0844" w:rsidRPr="00161C60">
        <w:rPr>
          <w:rFonts w:ascii="Helvetica" w:hAnsi="Helvetica"/>
        </w:rPr>
        <w:t>Zoe Paskins</w:t>
      </w:r>
      <w:r w:rsidR="007111DB" w:rsidRPr="00161C60">
        <w:rPr>
          <w:rFonts w:ascii="Helvetica" w:hAnsi="Helvetica"/>
          <w:vertAlign w:val="superscript"/>
        </w:rPr>
        <w:t>7</w:t>
      </w:r>
      <w:r w:rsidR="000B0844" w:rsidRPr="00161C60">
        <w:rPr>
          <w:rFonts w:ascii="Helvetica" w:hAnsi="Helvetica"/>
        </w:rPr>
        <w:t>, Kat</w:t>
      </w:r>
      <w:r w:rsidR="00AD1F25" w:rsidRPr="00161C60">
        <w:rPr>
          <w:rFonts w:ascii="Helvetica" w:hAnsi="Helvetica"/>
        </w:rPr>
        <w:t xml:space="preserve">ie </w:t>
      </w:r>
      <w:r w:rsidR="009513EB" w:rsidRPr="00161C60">
        <w:rPr>
          <w:rFonts w:ascii="Helvetica" w:hAnsi="Helvetica"/>
        </w:rPr>
        <w:t xml:space="preserve">R </w:t>
      </w:r>
      <w:r w:rsidR="00AD1F25" w:rsidRPr="00161C60">
        <w:rPr>
          <w:rFonts w:ascii="Helvetica" w:hAnsi="Helvetica"/>
        </w:rPr>
        <w:t>Robinson</w:t>
      </w:r>
      <w:r w:rsidR="005A1617" w:rsidRPr="00161C60">
        <w:rPr>
          <w:rFonts w:ascii="Helvetica" w:hAnsi="Helvetica"/>
          <w:vertAlign w:val="superscript"/>
        </w:rPr>
        <w:t>8</w:t>
      </w:r>
      <w:r w:rsidR="000B0844" w:rsidRPr="00161C60">
        <w:rPr>
          <w:rFonts w:ascii="Helvetica" w:hAnsi="Helvetica"/>
        </w:rPr>
        <w:t>, Rachel Lewis</w:t>
      </w:r>
      <w:r w:rsidR="007111DB" w:rsidRPr="00161C60">
        <w:rPr>
          <w:rFonts w:ascii="Helvetica" w:hAnsi="Helvetica"/>
          <w:vertAlign w:val="superscript"/>
        </w:rPr>
        <w:t>9</w:t>
      </w:r>
      <w:r w:rsidR="000B0844" w:rsidRPr="00161C60">
        <w:rPr>
          <w:rFonts w:ascii="Helvetica" w:hAnsi="Helvetica"/>
        </w:rPr>
        <w:t>, Jon</w:t>
      </w:r>
      <w:r w:rsidR="00C134F7" w:rsidRPr="00161C60">
        <w:rPr>
          <w:rFonts w:ascii="Helvetica" w:hAnsi="Helvetica"/>
        </w:rPr>
        <w:t xml:space="preserve">athan </w:t>
      </w:r>
      <w:r w:rsidR="00F70416" w:rsidRPr="00161C60">
        <w:rPr>
          <w:rFonts w:ascii="Helvetica" w:hAnsi="Helvetica"/>
        </w:rPr>
        <w:t>H</w:t>
      </w:r>
      <w:r w:rsidR="000B0844" w:rsidRPr="00161C60">
        <w:rPr>
          <w:rFonts w:ascii="Helvetica" w:hAnsi="Helvetica"/>
        </w:rPr>
        <w:t xml:space="preserve"> </w:t>
      </w:r>
      <w:r w:rsidR="00243990" w:rsidRPr="00161C60">
        <w:rPr>
          <w:rFonts w:ascii="Helvetica" w:hAnsi="Helvetica"/>
        </w:rPr>
        <w:t>Tobias</w:t>
      </w:r>
      <w:r w:rsidR="00243990" w:rsidRPr="00161C60">
        <w:rPr>
          <w:rFonts w:ascii="Helvetica" w:hAnsi="Helvetica"/>
          <w:vertAlign w:val="superscript"/>
        </w:rPr>
        <w:t>10</w:t>
      </w:r>
      <w:r w:rsidR="000B0844" w:rsidRPr="00161C60">
        <w:rPr>
          <w:rFonts w:ascii="Helvetica" w:hAnsi="Helvetica"/>
        </w:rPr>
        <w:t xml:space="preserve">, Kate </w:t>
      </w:r>
      <w:r w:rsidR="00F70416" w:rsidRPr="00161C60">
        <w:rPr>
          <w:rFonts w:ascii="Helvetica" w:hAnsi="Helvetica"/>
        </w:rPr>
        <w:t xml:space="preserve">A </w:t>
      </w:r>
      <w:r w:rsidR="00243990" w:rsidRPr="00161C60">
        <w:rPr>
          <w:rFonts w:ascii="Helvetica" w:hAnsi="Helvetica"/>
        </w:rPr>
        <w:t>Ward</w:t>
      </w:r>
      <w:r w:rsidR="00243990" w:rsidRPr="00161C60">
        <w:rPr>
          <w:rFonts w:ascii="Helvetica" w:hAnsi="Helvetica"/>
          <w:vertAlign w:val="superscript"/>
        </w:rPr>
        <w:t>11</w:t>
      </w:r>
      <w:r w:rsidR="000B0844" w:rsidRPr="00161C60">
        <w:rPr>
          <w:rFonts w:ascii="Helvetica" w:hAnsi="Helvetica"/>
        </w:rPr>
        <w:t xml:space="preserve">, Julie </w:t>
      </w:r>
      <w:r w:rsidR="00243990" w:rsidRPr="00161C60">
        <w:rPr>
          <w:rFonts w:ascii="Helvetica" w:hAnsi="Helvetica"/>
        </w:rPr>
        <w:t>Whitney</w:t>
      </w:r>
      <w:r w:rsidR="00243990" w:rsidRPr="00161C60">
        <w:rPr>
          <w:rFonts w:ascii="Helvetica" w:hAnsi="Helvetica"/>
          <w:vertAlign w:val="superscript"/>
        </w:rPr>
        <w:t>12</w:t>
      </w:r>
      <w:r w:rsidR="000B0844" w:rsidRPr="00161C60">
        <w:rPr>
          <w:rFonts w:ascii="Helvetica" w:hAnsi="Helvetica"/>
        </w:rPr>
        <w:t xml:space="preserve">, Sarah </w:t>
      </w:r>
      <w:r w:rsidR="00243990" w:rsidRPr="00161C60">
        <w:rPr>
          <w:rFonts w:ascii="Helvetica" w:hAnsi="Helvetica"/>
        </w:rPr>
        <w:t>Leyland</w:t>
      </w:r>
      <w:r w:rsidR="00243990" w:rsidRPr="00161C60">
        <w:rPr>
          <w:rFonts w:ascii="Helvetica" w:hAnsi="Helvetica"/>
          <w:vertAlign w:val="superscript"/>
        </w:rPr>
        <w:t>13</w:t>
      </w:r>
      <w:r w:rsidR="000B0844" w:rsidRPr="00161C60">
        <w:rPr>
          <w:rFonts w:ascii="Helvetica" w:hAnsi="Helvetica"/>
        </w:rPr>
        <w:t>.</w:t>
      </w:r>
    </w:p>
    <w:p w14:paraId="4A089723" w14:textId="213EB7C9" w:rsidR="00AB6140" w:rsidRPr="00161C60" w:rsidRDefault="00D16A42" w:rsidP="00AB6140">
      <w:pPr>
        <w:rPr>
          <w:rFonts w:ascii="Helvetica" w:hAnsi="Helvetica"/>
        </w:rPr>
      </w:pPr>
      <w:r w:rsidRPr="00161C60">
        <w:rPr>
          <w:rFonts w:ascii="Helvetica" w:hAnsi="Helvetica"/>
        </w:rPr>
        <w:t>*joint first author</w:t>
      </w:r>
      <w:r w:rsidR="00B006FB" w:rsidRPr="00161C60">
        <w:rPr>
          <w:rFonts w:ascii="Helvetica" w:hAnsi="Helvetica"/>
        </w:rPr>
        <w:t>s</w:t>
      </w:r>
    </w:p>
    <w:p w14:paraId="7B14C836" w14:textId="77777777" w:rsidR="002131DE" w:rsidRPr="00161C60" w:rsidRDefault="002131DE" w:rsidP="002131DE">
      <w:pPr>
        <w:spacing w:before="240" w:after="0" w:line="240" w:lineRule="auto"/>
        <w:rPr>
          <w:rFonts w:ascii="Helvetica" w:hAnsi="Helvetica" w:cs="Helvetica"/>
          <w:b/>
          <w:bCs/>
          <w:sz w:val="28"/>
          <w:szCs w:val="28"/>
        </w:rPr>
      </w:pPr>
      <w:r w:rsidRPr="00161C60">
        <w:rPr>
          <w:rFonts w:ascii="Helvetica" w:hAnsi="Helvetica" w:cs="Helvetica"/>
          <w:b/>
          <w:bCs/>
          <w:sz w:val="28"/>
          <w:szCs w:val="28"/>
        </w:rPr>
        <w:t>Affiliations</w:t>
      </w:r>
    </w:p>
    <w:p w14:paraId="6751B255" w14:textId="7FDA04E0"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w:t>
      </w:r>
      <w:r w:rsidRPr="00161C60">
        <w:rPr>
          <w:rFonts w:ascii="Helvetica" w:hAnsi="Helvetica" w:cs="Helvetica"/>
        </w:rPr>
        <w:t xml:space="preserve"> Dr Katherine Brooke-Wavell, Senior Lecturer in Human Biology, National Centre for Sport and Exercise Medicine (East Midlands), School of Sport, Exercise and Health Sciences, Loughborough University</w:t>
      </w:r>
      <w:r w:rsidR="0041591B" w:rsidRPr="00161C60">
        <w:rPr>
          <w:rFonts w:ascii="Helvetica" w:hAnsi="Helvetica" w:cs="Helvetica"/>
        </w:rPr>
        <w:t>;</w:t>
      </w:r>
    </w:p>
    <w:p w14:paraId="44334451" w14:textId="69FA0799"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2</w:t>
      </w:r>
      <w:r w:rsidRPr="00161C60">
        <w:rPr>
          <w:rFonts w:ascii="Helvetica" w:hAnsi="Helvetica" w:cs="Helvetica"/>
        </w:rPr>
        <w:t xml:space="preserve"> Professor Dawn A Skelton, Professor in Ageing and Health, </w:t>
      </w:r>
      <w:r w:rsidR="0041591B" w:rsidRPr="00161C60">
        <w:rPr>
          <w:rFonts w:ascii="Helvetica" w:hAnsi="Helvetica" w:cs="Helvetica"/>
        </w:rPr>
        <w:t xml:space="preserve">School of Health and Life Sciences, </w:t>
      </w:r>
      <w:r w:rsidRPr="00161C60">
        <w:rPr>
          <w:rFonts w:ascii="Helvetica" w:hAnsi="Helvetica" w:cs="Helvetica"/>
        </w:rPr>
        <w:t>Glasgow Caledonian University</w:t>
      </w:r>
      <w:r w:rsidR="0041591B" w:rsidRPr="00161C60">
        <w:rPr>
          <w:rFonts w:ascii="Helvetica" w:hAnsi="Helvetica" w:cs="Helvetica"/>
        </w:rPr>
        <w:t>;</w:t>
      </w:r>
    </w:p>
    <w:p w14:paraId="7DD09E4E" w14:textId="575634A9"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3</w:t>
      </w:r>
      <w:r w:rsidRPr="00161C60">
        <w:rPr>
          <w:rFonts w:ascii="Helvetica" w:hAnsi="Helvetica" w:cs="Helvetica"/>
        </w:rPr>
        <w:t xml:space="preserve"> Professor Karen L Barker, Professor of Physiotherapy, </w:t>
      </w:r>
      <w:r w:rsidR="00DA0150" w:rsidRPr="00161C60">
        <w:rPr>
          <w:rFonts w:ascii="Helvetica" w:hAnsi="Helvetica"/>
        </w:rPr>
        <w:t xml:space="preserve">Physiotherapy Department, Nuffield Orthopaedic Centre, </w:t>
      </w:r>
      <w:r w:rsidRPr="00161C60">
        <w:rPr>
          <w:rFonts w:ascii="Helvetica" w:hAnsi="Helvetica" w:cs="Helvetica"/>
        </w:rPr>
        <w:t>University of Oxford</w:t>
      </w:r>
      <w:r w:rsidR="0041591B" w:rsidRPr="00161C60">
        <w:rPr>
          <w:rFonts w:ascii="Helvetica" w:hAnsi="Helvetica" w:cs="Helvetica"/>
        </w:rPr>
        <w:t>;</w:t>
      </w:r>
    </w:p>
    <w:p w14:paraId="47561018" w14:textId="16157536"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4</w:t>
      </w:r>
      <w:r w:rsidRPr="00161C60">
        <w:rPr>
          <w:rFonts w:ascii="Helvetica" w:hAnsi="Helvetica" w:cs="Helvetica"/>
        </w:rPr>
        <w:t xml:space="preserve"> </w:t>
      </w:r>
      <w:r w:rsidR="004419D0" w:rsidRPr="00161C60">
        <w:rPr>
          <w:rFonts w:ascii="Helvetica" w:hAnsi="Helvetica" w:cs="Helvetica"/>
        </w:rPr>
        <w:t xml:space="preserve">Prof </w:t>
      </w:r>
      <w:r w:rsidRPr="00161C60">
        <w:rPr>
          <w:rFonts w:ascii="Helvetica" w:hAnsi="Helvetica" w:cs="Helvetica"/>
        </w:rPr>
        <w:t xml:space="preserve">Emma M Clark, </w:t>
      </w:r>
      <w:r w:rsidR="009E1639" w:rsidRPr="00161C60">
        <w:rPr>
          <w:rFonts w:ascii="Helvetica" w:hAnsi="Helvetica" w:cs="Helvetica"/>
        </w:rPr>
        <w:t>Professor of Clinical Musculoskeletal Epidemiology</w:t>
      </w:r>
      <w:r w:rsidRPr="00161C60">
        <w:rPr>
          <w:rFonts w:ascii="Helvetica" w:hAnsi="Helvetica" w:cs="Helvetica"/>
        </w:rPr>
        <w:t xml:space="preserve">, </w:t>
      </w:r>
      <w:r w:rsidR="00881B68" w:rsidRPr="00161C60">
        <w:rPr>
          <w:rFonts w:ascii="Helvetica" w:hAnsi="Helvetica" w:cs="Helvetica"/>
        </w:rPr>
        <w:t xml:space="preserve">Bristol Medical School, </w:t>
      </w:r>
      <w:r w:rsidRPr="00161C60">
        <w:rPr>
          <w:rFonts w:ascii="Helvetica" w:hAnsi="Helvetica" w:cs="Helvetica"/>
        </w:rPr>
        <w:t>University of Bristol, and Consultant Rheumatologist, North Bristol NHS Trust</w:t>
      </w:r>
      <w:r w:rsidR="0041591B" w:rsidRPr="00161C60">
        <w:rPr>
          <w:rFonts w:ascii="Helvetica" w:hAnsi="Helvetica" w:cs="Helvetica"/>
        </w:rPr>
        <w:t>;</w:t>
      </w:r>
    </w:p>
    <w:p w14:paraId="4BB44900" w14:textId="248E8C3C"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5</w:t>
      </w:r>
      <w:r w:rsidRPr="00161C60">
        <w:rPr>
          <w:rFonts w:ascii="Helvetica" w:hAnsi="Helvetica" w:cs="Helvetica"/>
        </w:rPr>
        <w:t xml:space="preserve"> Sarah De Biase, </w:t>
      </w:r>
      <w:r w:rsidRPr="00161C60">
        <w:rPr>
          <w:rStyle w:val="bumpedfont15"/>
          <w:rFonts w:ascii="Helvetica" w:hAnsi="Helvetica" w:cs="Times New Roman"/>
          <w:color w:val="000000"/>
        </w:rPr>
        <w:t>AGILE Chair (Chartered Society of Physiotherapy recognised Professional Network for physiotherapists working with older people); Allied Health Professional Lead Older People’s Mental Health Service, Bradford District Care NHS Foundation Trust</w:t>
      </w:r>
      <w:r w:rsidR="0041591B" w:rsidRPr="00161C60">
        <w:rPr>
          <w:rStyle w:val="bumpedfont15"/>
          <w:rFonts w:ascii="Helvetica" w:hAnsi="Helvetica" w:cs="Times New Roman"/>
          <w:color w:val="000000"/>
        </w:rPr>
        <w:t>;</w:t>
      </w:r>
    </w:p>
    <w:p w14:paraId="5E616E7F" w14:textId="11FC0BC8"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6</w:t>
      </w:r>
      <w:r w:rsidRPr="00161C60">
        <w:rPr>
          <w:rFonts w:ascii="Helvetica" w:hAnsi="Helvetica" w:cs="Helvetica"/>
        </w:rPr>
        <w:t xml:space="preserve"> Dr Susanne Arnold, </w:t>
      </w:r>
      <w:r w:rsidRPr="00161C60">
        <w:rPr>
          <w:rFonts w:ascii="Helvetica" w:hAnsi="Helvetica"/>
        </w:rPr>
        <w:t>AGILE Secretary (Chartered Society of Physiotherapy recognised Professional Network for physiotherapists working with older people); Research Fellow, Warwick Clinical Trials Unit, University of Warwick</w:t>
      </w:r>
      <w:r w:rsidR="0041591B" w:rsidRPr="00161C60">
        <w:rPr>
          <w:b/>
          <w:bCs/>
        </w:rPr>
        <w:t>;</w:t>
      </w:r>
    </w:p>
    <w:p w14:paraId="5AD8F4BF" w14:textId="67DA2F3B"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7</w:t>
      </w:r>
      <w:r w:rsidRPr="00161C60">
        <w:rPr>
          <w:rFonts w:ascii="Helvetica" w:hAnsi="Helvetica" w:cs="Helvetica"/>
        </w:rPr>
        <w:t xml:space="preserve"> Dr Zoe Paskins, </w:t>
      </w:r>
      <w:r w:rsidR="005A3933" w:rsidRPr="00161C60">
        <w:rPr>
          <w:rFonts w:ascii="Helvetica" w:hAnsi="Helvetica" w:cs="Helvetica"/>
        </w:rPr>
        <w:t>Reader</w:t>
      </w:r>
      <w:r w:rsidRPr="00161C60">
        <w:rPr>
          <w:rFonts w:ascii="Helvetica" w:hAnsi="Helvetica" w:cs="Helvetica"/>
        </w:rPr>
        <w:t xml:space="preserve"> and Honorary Consultant in Rheumatology at the Primary Care Versus Arthritis Centre, Keele University</w:t>
      </w:r>
      <w:r w:rsidR="0041591B" w:rsidRPr="00161C60">
        <w:rPr>
          <w:rFonts w:ascii="Helvetica" w:hAnsi="Helvetica" w:cs="Helvetica"/>
        </w:rPr>
        <w:t>;</w:t>
      </w:r>
    </w:p>
    <w:p w14:paraId="503231D5" w14:textId="39C74A60"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 xml:space="preserve">8 </w:t>
      </w:r>
      <w:r w:rsidRPr="00161C60">
        <w:rPr>
          <w:rFonts w:ascii="Helvetica" w:hAnsi="Helvetica" w:cs="Helvetica"/>
        </w:rPr>
        <w:t>Dr Katie R Robinson, Senior Research Fellow at the Academic Unit of Injury, Inflammation and Recovery Sciences, School of Medicine, University of Nottingham</w:t>
      </w:r>
      <w:r w:rsidR="0041591B" w:rsidRPr="00161C60">
        <w:rPr>
          <w:rFonts w:ascii="Helvetica" w:hAnsi="Helvetica" w:cs="Helvetica"/>
        </w:rPr>
        <w:t>;</w:t>
      </w:r>
      <w:r w:rsidRPr="00161C60">
        <w:rPr>
          <w:rFonts w:ascii="Helvetica" w:hAnsi="Helvetica" w:cs="Helvetica"/>
        </w:rPr>
        <w:t xml:space="preserve"> </w:t>
      </w:r>
    </w:p>
    <w:p w14:paraId="30AE882E" w14:textId="399EF237"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 xml:space="preserve">9 </w:t>
      </w:r>
      <w:r w:rsidRPr="00161C60">
        <w:rPr>
          <w:rFonts w:ascii="Helvetica" w:hAnsi="Helvetica" w:cs="Helvetica"/>
        </w:rPr>
        <w:t xml:space="preserve">Rachel </w:t>
      </w:r>
      <w:r w:rsidR="007D33C9" w:rsidRPr="00161C60">
        <w:rPr>
          <w:rFonts w:ascii="Helvetica" w:hAnsi="Helvetica" w:cs="Helvetica"/>
        </w:rPr>
        <w:t xml:space="preserve">M </w:t>
      </w:r>
      <w:r w:rsidRPr="00161C60">
        <w:rPr>
          <w:rFonts w:ascii="Helvetica" w:hAnsi="Helvetica" w:cs="Helvetica"/>
        </w:rPr>
        <w:t>Lewis, Clinical Specialist Physiotherapist in Rheumatology, North Bristol NHS Trust</w:t>
      </w:r>
      <w:r w:rsidR="0041591B" w:rsidRPr="00161C60">
        <w:rPr>
          <w:rFonts w:ascii="Helvetica" w:hAnsi="Helvetica" w:cs="Helvetica"/>
        </w:rPr>
        <w:t>;</w:t>
      </w:r>
    </w:p>
    <w:p w14:paraId="32AB1159" w14:textId="4355C4C1"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10</w:t>
      </w:r>
      <w:r w:rsidRPr="00161C60">
        <w:rPr>
          <w:rFonts w:ascii="Helvetica" w:hAnsi="Helvetica" w:cs="Helvetica"/>
        </w:rPr>
        <w:t xml:space="preserve"> Professor Jonathan H Tobias, Professor in Rheumatology, </w:t>
      </w:r>
      <w:r w:rsidR="0065530A" w:rsidRPr="00161C60">
        <w:rPr>
          <w:rFonts w:ascii="Helvetica" w:hAnsi="Helvetica" w:cs="Helvetica"/>
        </w:rPr>
        <w:t xml:space="preserve">Bristol Medical School, </w:t>
      </w:r>
      <w:r w:rsidRPr="00161C60">
        <w:rPr>
          <w:rFonts w:ascii="Helvetica" w:hAnsi="Helvetica" w:cs="Helvetica"/>
        </w:rPr>
        <w:t>University of Bristol; Honorary Consultant North Bristol NHS Trust</w:t>
      </w:r>
      <w:r w:rsidR="0041591B" w:rsidRPr="00161C60">
        <w:rPr>
          <w:rFonts w:ascii="Helvetica" w:hAnsi="Helvetica" w:cs="Helvetica"/>
        </w:rPr>
        <w:t>;</w:t>
      </w:r>
    </w:p>
    <w:p w14:paraId="67C5457E" w14:textId="2BCCE2DF"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11</w:t>
      </w:r>
      <w:r w:rsidRPr="00161C60">
        <w:rPr>
          <w:rFonts w:ascii="Helvetica" w:hAnsi="Helvetica" w:cs="Helvetica"/>
        </w:rPr>
        <w:t xml:space="preserve"> </w:t>
      </w:r>
      <w:r w:rsidR="00D906AD">
        <w:rPr>
          <w:rFonts w:ascii="Helvetica" w:hAnsi="Helvetica" w:cs="Helvetica"/>
        </w:rPr>
        <w:t>Professor</w:t>
      </w:r>
      <w:r w:rsidR="00D906AD" w:rsidRPr="00161C60">
        <w:rPr>
          <w:rFonts w:ascii="Helvetica" w:hAnsi="Helvetica" w:cs="Helvetica"/>
        </w:rPr>
        <w:t xml:space="preserve"> </w:t>
      </w:r>
      <w:r w:rsidRPr="00161C60">
        <w:rPr>
          <w:rFonts w:ascii="Helvetica" w:hAnsi="Helvetica" w:cs="Helvetica"/>
        </w:rPr>
        <w:t xml:space="preserve">Kate A Ward, Professor </w:t>
      </w:r>
      <w:r w:rsidR="00865F1B">
        <w:rPr>
          <w:rFonts w:ascii="Helvetica" w:hAnsi="Helvetica" w:cs="Helvetica"/>
        </w:rPr>
        <w:t>of Global Musculoskeletal Health,</w:t>
      </w:r>
      <w:r w:rsidRPr="00161C60">
        <w:rPr>
          <w:rFonts w:ascii="Helvetica" w:hAnsi="Helvetica" w:cs="Helvetica"/>
        </w:rPr>
        <w:t xml:space="preserve"> MRC Lifecourse Epidemiology </w:t>
      </w:r>
      <w:r w:rsidR="00EC0417">
        <w:rPr>
          <w:rFonts w:ascii="Helvetica" w:hAnsi="Helvetica" w:cs="Helvetica"/>
        </w:rPr>
        <w:t>Centre</w:t>
      </w:r>
      <w:r w:rsidRPr="00161C60">
        <w:rPr>
          <w:rFonts w:ascii="Helvetica" w:hAnsi="Helvetica" w:cs="Helvetica"/>
        </w:rPr>
        <w:t>, University of Southampton</w:t>
      </w:r>
      <w:r w:rsidR="0041591B" w:rsidRPr="00161C60">
        <w:rPr>
          <w:rFonts w:ascii="Helvetica" w:hAnsi="Helvetica" w:cs="Helvetica"/>
        </w:rPr>
        <w:t>;</w:t>
      </w:r>
    </w:p>
    <w:p w14:paraId="1607DB87" w14:textId="78E9A85B"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12</w:t>
      </w:r>
      <w:r w:rsidRPr="00161C60">
        <w:rPr>
          <w:rFonts w:ascii="Helvetica" w:hAnsi="Helvetica" w:cs="Helvetica"/>
        </w:rPr>
        <w:t xml:space="preserve"> Dr Julie Whitney, </w:t>
      </w:r>
      <w:r w:rsidR="00186B51" w:rsidRPr="00161C60">
        <w:rPr>
          <w:rFonts w:ascii="Helvetica" w:hAnsi="Helvetica" w:cs="Helvetica"/>
        </w:rPr>
        <w:t>Lecturer in Long Term Conditions</w:t>
      </w:r>
      <w:r w:rsidRPr="00161C60">
        <w:rPr>
          <w:rFonts w:ascii="Helvetica" w:hAnsi="Helvetica" w:cs="Helvetica"/>
        </w:rPr>
        <w:t>, Kings College Hospital, London</w:t>
      </w:r>
      <w:r w:rsidR="0041591B" w:rsidRPr="00161C60">
        <w:rPr>
          <w:rFonts w:ascii="Helvetica" w:hAnsi="Helvetica" w:cs="Helvetica"/>
        </w:rPr>
        <w:t>;</w:t>
      </w:r>
      <w:r w:rsidR="00186B51" w:rsidRPr="00161C60">
        <w:rPr>
          <w:rFonts w:ascii="Helvetica" w:hAnsi="Helvetica" w:cs="Helvetica"/>
        </w:rPr>
        <w:t xml:space="preserve"> Consultant AHP, King’s College London</w:t>
      </w:r>
    </w:p>
    <w:p w14:paraId="467D7AF9" w14:textId="37CB432C" w:rsidR="002131DE" w:rsidRPr="00161C60" w:rsidRDefault="002131DE" w:rsidP="002131DE">
      <w:pPr>
        <w:spacing w:before="120" w:after="0" w:line="240" w:lineRule="auto"/>
        <w:rPr>
          <w:rFonts w:ascii="Helvetica" w:hAnsi="Helvetica" w:cs="Helvetica"/>
        </w:rPr>
      </w:pPr>
      <w:r w:rsidRPr="00161C60">
        <w:rPr>
          <w:rFonts w:ascii="Helvetica" w:hAnsi="Helvetica" w:cs="Helvetica"/>
          <w:vertAlign w:val="superscript"/>
        </w:rPr>
        <w:t xml:space="preserve">13 </w:t>
      </w:r>
      <w:r w:rsidRPr="00161C60">
        <w:rPr>
          <w:rFonts w:ascii="Helvetica" w:hAnsi="Helvetica" w:cs="Helvetica"/>
        </w:rPr>
        <w:t>Sarah Leyland, Osteoporosis Nurse Consultant, Royal Osteoporosis Society, Bath</w:t>
      </w:r>
      <w:r w:rsidR="0041591B" w:rsidRPr="00161C60">
        <w:rPr>
          <w:rFonts w:ascii="Helvetica" w:hAnsi="Helvetica" w:cs="Helvetica"/>
        </w:rPr>
        <w:t>.</w:t>
      </w:r>
    </w:p>
    <w:p w14:paraId="155A921D" w14:textId="77777777" w:rsidR="002131DE" w:rsidRPr="00161C60" w:rsidRDefault="002131DE" w:rsidP="00334521">
      <w:pPr>
        <w:spacing w:after="0" w:line="240" w:lineRule="auto"/>
        <w:ind w:left="142" w:hanging="142"/>
        <w:rPr>
          <w:rFonts w:ascii="Helvetica" w:hAnsi="Helvetica"/>
        </w:rPr>
      </w:pPr>
    </w:p>
    <w:p w14:paraId="7C8DB38E" w14:textId="6DFE8DCC" w:rsidR="006D25E3" w:rsidRPr="00161C60" w:rsidRDefault="003138AB" w:rsidP="002728AD">
      <w:pPr>
        <w:spacing w:after="0" w:line="240" w:lineRule="auto"/>
        <w:rPr>
          <w:rFonts w:eastAsiaTheme="majorEastAsia"/>
        </w:rPr>
      </w:pPr>
      <w:r w:rsidRPr="00161C60">
        <w:t xml:space="preserve">Corresponding author details: Dr Katherine Brooke-Wavell, National Centre for Sport and Exercise Medicine, School of Sport, Exercise and Health sciences, Loughborough University, Loughborough, UK, LE11 3TU. Email </w:t>
      </w:r>
      <w:hyperlink r:id="rId11" w:history="1">
        <w:r w:rsidRPr="00161C60">
          <w:rPr>
            <w:rStyle w:val="Hyperlink"/>
          </w:rPr>
          <w:t>k.s.f.brooke-wavell@lboro.ac.uk</w:t>
        </w:r>
      </w:hyperlink>
      <w:r w:rsidRPr="00161C60">
        <w:t xml:space="preserve"> </w:t>
      </w:r>
      <w:r w:rsidR="006D25E3" w:rsidRPr="00161C60">
        <w:br w:type="page"/>
      </w:r>
    </w:p>
    <w:p w14:paraId="26BB6B21" w14:textId="34DC253F" w:rsidR="002B25AC" w:rsidRPr="00161C60" w:rsidRDefault="002B25AC"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lastRenderedPageBreak/>
        <w:t>Abstract</w:t>
      </w:r>
    </w:p>
    <w:p w14:paraId="7A5359EE" w14:textId="02BACABA" w:rsidR="00737342" w:rsidRPr="00161C60" w:rsidRDefault="005249CE" w:rsidP="000A7D57">
      <w:pPr>
        <w:spacing w:before="120" w:after="0" w:line="240" w:lineRule="auto"/>
        <w:rPr>
          <w:rFonts w:ascii="Helvetica" w:hAnsi="Helvetica" w:cs="Helvetica"/>
        </w:rPr>
      </w:pPr>
      <w:r w:rsidRPr="00161C60">
        <w:rPr>
          <w:rFonts w:ascii="Helvetica" w:hAnsi="Helvetica" w:cs="Helvetica"/>
        </w:rPr>
        <w:t xml:space="preserve">Exercise and physical activity </w:t>
      </w:r>
      <w:r w:rsidR="00512E7C" w:rsidRPr="00161C60">
        <w:rPr>
          <w:rFonts w:ascii="Helvetica" w:hAnsi="Helvetica" w:cs="Helvetica"/>
        </w:rPr>
        <w:t>can</w:t>
      </w:r>
      <w:r w:rsidRPr="00161C60">
        <w:rPr>
          <w:rFonts w:ascii="Helvetica" w:hAnsi="Helvetica" w:cs="Helvetica"/>
        </w:rPr>
        <w:t xml:space="preserve"> </w:t>
      </w:r>
      <w:r w:rsidR="00B13468" w:rsidRPr="00161C60">
        <w:rPr>
          <w:rFonts w:ascii="Helvetica" w:hAnsi="Helvetica" w:cs="Helvetica"/>
        </w:rPr>
        <w:t xml:space="preserve">improve </w:t>
      </w:r>
      <w:r w:rsidR="00737342" w:rsidRPr="00161C60">
        <w:rPr>
          <w:rFonts w:ascii="Helvetica" w:hAnsi="Helvetica" w:cs="Helvetica"/>
        </w:rPr>
        <w:t>bone strength</w:t>
      </w:r>
      <w:r w:rsidR="008D6D9E" w:rsidRPr="00161C60">
        <w:rPr>
          <w:rFonts w:ascii="Helvetica" w:hAnsi="Helvetica" w:cs="Helvetica"/>
        </w:rPr>
        <w:t xml:space="preserve"> and</w:t>
      </w:r>
      <w:r w:rsidR="00737342" w:rsidRPr="00161C60">
        <w:rPr>
          <w:rFonts w:ascii="Helvetica" w:hAnsi="Helvetica" w:cs="Helvetica"/>
        </w:rPr>
        <w:t xml:space="preserve"> fall risk, which may offer benefits in the prevention and management of osteoporosis. However, uncertainty about the types of exercise that are safe and effective </w:t>
      </w:r>
      <w:r w:rsidR="008526FF" w:rsidRPr="00161C60">
        <w:rPr>
          <w:rFonts w:ascii="Helvetica" w:hAnsi="Helvetica" w:cs="Helvetica"/>
        </w:rPr>
        <w:t>instigates</w:t>
      </w:r>
      <w:r w:rsidR="00737342" w:rsidRPr="00161C60">
        <w:rPr>
          <w:rFonts w:ascii="Helvetica" w:hAnsi="Helvetica" w:cs="Helvetica"/>
        </w:rPr>
        <w:t xml:space="preserve"> lack of confidence in people with osteoporosis and health professionals. Existing gui</w:t>
      </w:r>
      <w:r w:rsidR="008D6D9E" w:rsidRPr="00161C60">
        <w:rPr>
          <w:rFonts w:ascii="Helvetica" w:hAnsi="Helvetica" w:cs="Helvetica"/>
        </w:rPr>
        <w:t>d</w:t>
      </w:r>
      <w:r w:rsidR="00737342" w:rsidRPr="00161C60">
        <w:rPr>
          <w:rFonts w:ascii="Helvetica" w:hAnsi="Helvetica" w:cs="Helvetica"/>
        </w:rPr>
        <w:t>elines leave some questions unresolved</w:t>
      </w:r>
      <w:r w:rsidR="00AB6140" w:rsidRPr="00161C60">
        <w:rPr>
          <w:rFonts w:ascii="Helvetica" w:hAnsi="Helvetica" w:cs="Helvetica"/>
        </w:rPr>
        <w:t>.</w:t>
      </w:r>
      <w:r w:rsidR="00737342" w:rsidRPr="00161C60">
        <w:rPr>
          <w:rFonts w:ascii="Helvetica" w:hAnsi="Helvetica" w:cs="Helvetica"/>
        </w:rPr>
        <w:t xml:space="preserve"> This consensus statement </w:t>
      </w:r>
      <w:r w:rsidR="00122CDA">
        <w:rPr>
          <w:rFonts w:ascii="Helvetica" w:hAnsi="Helvetica" w:cs="Helvetica"/>
        </w:rPr>
        <w:t>aimed</w:t>
      </w:r>
      <w:r w:rsidR="00782FF4">
        <w:rPr>
          <w:rFonts w:ascii="Helvetica" w:hAnsi="Helvetica" w:cs="Helvetica"/>
        </w:rPr>
        <w:t xml:space="preserve"> to</w:t>
      </w:r>
      <w:r w:rsidR="00122CDA" w:rsidRPr="00161C60">
        <w:rPr>
          <w:rFonts w:ascii="Helvetica" w:hAnsi="Helvetica" w:cs="Helvetica"/>
        </w:rPr>
        <w:t xml:space="preserve"> </w:t>
      </w:r>
      <w:r w:rsidR="00AC41E4" w:rsidRPr="00161C60">
        <w:rPr>
          <w:rFonts w:ascii="Helvetica" w:hAnsi="Helvetica" w:cs="Helvetica"/>
        </w:rPr>
        <w:t xml:space="preserve">determine </w:t>
      </w:r>
      <w:r w:rsidR="00737342" w:rsidRPr="00161C60">
        <w:rPr>
          <w:rFonts w:ascii="Helvetica" w:hAnsi="Helvetica" w:cs="Helvetica"/>
        </w:rPr>
        <w:t xml:space="preserve">the physical activity and exercise needed to </w:t>
      </w:r>
      <w:r w:rsidR="00777B89">
        <w:rPr>
          <w:rFonts w:ascii="Helvetica" w:hAnsi="Helvetica" w:cs="Helvetica"/>
        </w:rPr>
        <w:t>optimis</w:t>
      </w:r>
      <w:r w:rsidR="00524D16">
        <w:rPr>
          <w:rFonts w:ascii="Helvetica" w:hAnsi="Helvetica" w:cs="Helvetica"/>
        </w:rPr>
        <w:t>e</w:t>
      </w:r>
      <w:r w:rsidR="009A0786" w:rsidRPr="00161C60">
        <w:rPr>
          <w:rFonts w:ascii="Helvetica" w:hAnsi="Helvetica" w:cs="Helvetica"/>
        </w:rPr>
        <w:t xml:space="preserve"> </w:t>
      </w:r>
      <w:r w:rsidR="00737342" w:rsidRPr="00161C60">
        <w:rPr>
          <w:rFonts w:ascii="Helvetica" w:hAnsi="Helvetica" w:cs="Helvetica"/>
        </w:rPr>
        <w:t xml:space="preserve">bone strength, reduce fall </w:t>
      </w:r>
      <w:r w:rsidR="00C448E8" w:rsidRPr="00161C60">
        <w:rPr>
          <w:rFonts w:ascii="Helvetica" w:hAnsi="Helvetica" w:cs="Helvetica"/>
        </w:rPr>
        <w:t xml:space="preserve">and fracture </w:t>
      </w:r>
      <w:r w:rsidR="00737342" w:rsidRPr="00161C60">
        <w:rPr>
          <w:rFonts w:ascii="Helvetica" w:hAnsi="Helvetica" w:cs="Helvetica"/>
        </w:rPr>
        <w:t xml:space="preserve">risk, improve posture and manage </w:t>
      </w:r>
      <w:r w:rsidR="008D06AC">
        <w:rPr>
          <w:rFonts w:ascii="Helvetica" w:hAnsi="Helvetica" w:cs="Helvetica"/>
        </w:rPr>
        <w:t xml:space="preserve">vertebral </w:t>
      </w:r>
      <w:r w:rsidR="00737342" w:rsidRPr="00161C60">
        <w:rPr>
          <w:rFonts w:ascii="Helvetica" w:hAnsi="Helvetica" w:cs="Helvetica"/>
        </w:rPr>
        <w:t>fracture symptoms, whilst minimising potential risks</w:t>
      </w:r>
      <w:r w:rsidR="00782FF4">
        <w:rPr>
          <w:rFonts w:ascii="Helvetica" w:hAnsi="Helvetica" w:cs="Helvetica"/>
        </w:rPr>
        <w:t xml:space="preserve"> in people with osteoporosis</w:t>
      </w:r>
      <w:r w:rsidR="00737342" w:rsidRPr="00161C60">
        <w:rPr>
          <w:rFonts w:ascii="Helvetica" w:hAnsi="Helvetica" w:cs="Helvetica"/>
        </w:rPr>
        <w:t>.</w:t>
      </w:r>
    </w:p>
    <w:p w14:paraId="285F2F72" w14:textId="710AE1ED" w:rsidR="00737342" w:rsidRPr="00161C60" w:rsidRDefault="00737342" w:rsidP="000A7D57">
      <w:pPr>
        <w:spacing w:before="120" w:after="0" w:line="240" w:lineRule="auto"/>
        <w:rPr>
          <w:rFonts w:ascii="Helvetica" w:hAnsi="Helvetica" w:cs="Helvetica"/>
        </w:rPr>
      </w:pPr>
      <w:r w:rsidRPr="00161C60">
        <w:rPr>
          <w:rFonts w:ascii="Helvetica" w:hAnsi="Helvetica" w:cs="Helvetica"/>
        </w:rPr>
        <w:t xml:space="preserve">The scope </w:t>
      </w:r>
      <w:r w:rsidR="00DC2A29" w:rsidRPr="00161C60">
        <w:rPr>
          <w:rFonts w:ascii="Helvetica" w:hAnsi="Helvetica" w:cs="Helvetica"/>
        </w:rPr>
        <w:t xml:space="preserve">of this statement </w:t>
      </w:r>
      <w:r w:rsidRPr="00161C60">
        <w:rPr>
          <w:rFonts w:ascii="Helvetica" w:hAnsi="Helvetica" w:cs="Helvetica"/>
        </w:rPr>
        <w:t xml:space="preserve">was </w:t>
      </w:r>
      <w:r w:rsidR="00800D6D" w:rsidRPr="00161C60">
        <w:rPr>
          <w:rFonts w:ascii="Helvetica" w:hAnsi="Helvetica" w:cs="Helvetica"/>
        </w:rPr>
        <w:t>developed following</w:t>
      </w:r>
      <w:r w:rsidRPr="00161C60">
        <w:rPr>
          <w:rFonts w:ascii="Helvetica" w:hAnsi="Helvetica" w:cs="Helvetica"/>
        </w:rPr>
        <w:t xml:space="preserve"> stakeholder consultation. </w:t>
      </w:r>
      <w:r w:rsidR="00772A8F" w:rsidRPr="00161C60">
        <w:rPr>
          <w:rFonts w:ascii="Helvetica" w:hAnsi="Helvetica" w:cs="Helvetica"/>
        </w:rPr>
        <w:t xml:space="preserve">Meta-analyses were reviewed and where evidence was lacking, individual studies or expert opinion were used to develop recommendations. </w:t>
      </w:r>
      <w:r w:rsidRPr="00161C60">
        <w:rPr>
          <w:rFonts w:ascii="Helvetica" w:hAnsi="Helvetica" w:cs="Helvetica"/>
        </w:rPr>
        <w:t xml:space="preserve">A multidisciplinary </w:t>
      </w:r>
      <w:r w:rsidR="00800D6D" w:rsidRPr="00161C60">
        <w:rPr>
          <w:rFonts w:ascii="Helvetica" w:hAnsi="Helvetica" w:cs="Helvetica"/>
        </w:rPr>
        <w:t xml:space="preserve">expert </w:t>
      </w:r>
      <w:r w:rsidRPr="00161C60">
        <w:rPr>
          <w:rFonts w:ascii="Helvetica" w:hAnsi="Helvetica" w:cs="Helvetica"/>
        </w:rPr>
        <w:t>group reviewed evidence to make recommendations</w:t>
      </w:r>
      <w:r w:rsidR="00800D6D" w:rsidRPr="00161C60">
        <w:rPr>
          <w:rFonts w:ascii="Helvetica" w:hAnsi="Helvetica" w:cs="Helvetica"/>
        </w:rPr>
        <w:t xml:space="preserve">, by </w:t>
      </w:r>
      <w:r w:rsidR="003F2BA4" w:rsidRPr="00161C60">
        <w:rPr>
          <w:rFonts w:ascii="Helvetica" w:hAnsi="Helvetica" w:cs="Helvetica"/>
        </w:rPr>
        <w:t xml:space="preserve">consensus </w:t>
      </w:r>
      <w:r w:rsidR="00800D6D" w:rsidRPr="00161C60">
        <w:rPr>
          <w:rFonts w:ascii="Helvetica" w:hAnsi="Helvetica" w:cs="Helvetica"/>
        </w:rPr>
        <w:t>when evidence was not available</w:t>
      </w:r>
      <w:r w:rsidRPr="00161C60">
        <w:rPr>
          <w:rFonts w:ascii="Helvetica" w:hAnsi="Helvetica" w:cs="Helvetica"/>
        </w:rPr>
        <w:t xml:space="preserve">. </w:t>
      </w:r>
    </w:p>
    <w:p w14:paraId="49BD9F1F" w14:textId="52FFFC03" w:rsidR="00355B2B" w:rsidRPr="00161C60" w:rsidRDefault="000A7D57" w:rsidP="001E0045">
      <w:pPr>
        <w:spacing w:after="0" w:line="240" w:lineRule="auto"/>
        <w:rPr>
          <w:rFonts w:ascii="Helvetica" w:hAnsi="Helvetica" w:cs="Helvetica"/>
        </w:rPr>
      </w:pPr>
      <w:r w:rsidRPr="00161C60">
        <w:rPr>
          <w:rFonts w:ascii="Helvetica" w:hAnsi="Helvetica" w:cs="Helvetica"/>
        </w:rPr>
        <w:t xml:space="preserve">Key recommendations are that people with osteoporosis should undertake </w:t>
      </w:r>
      <w:r w:rsidR="003008B2" w:rsidRPr="00161C60">
        <w:rPr>
          <w:rFonts w:ascii="Helvetica" w:hAnsi="Helvetica" w:cs="Helvetica"/>
        </w:rPr>
        <w:t xml:space="preserve">(i) </w:t>
      </w:r>
      <w:r w:rsidRPr="00161C60">
        <w:rPr>
          <w:rFonts w:ascii="Helvetica" w:hAnsi="Helvetica" w:cs="Helvetica"/>
        </w:rPr>
        <w:t xml:space="preserve">resistance and </w:t>
      </w:r>
      <w:r w:rsidR="009A0786" w:rsidRPr="00161C60">
        <w:rPr>
          <w:rFonts w:ascii="Helvetica" w:hAnsi="Helvetica" w:cs="Helvetica"/>
        </w:rPr>
        <w:t xml:space="preserve">impact </w:t>
      </w:r>
      <w:r w:rsidRPr="00161C60">
        <w:rPr>
          <w:rFonts w:ascii="Helvetica" w:hAnsi="Helvetica" w:cs="Helvetica"/>
        </w:rPr>
        <w:t xml:space="preserve">exercise to maximise bone strength; </w:t>
      </w:r>
      <w:r w:rsidR="003008B2" w:rsidRPr="00161C60">
        <w:rPr>
          <w:rFonts w:ascii="Helvetica" w:hAnsi="Helvetica" w:cs="Helvetica"/>
        </w:rPr>
        <w:t xml:space="preserve">(ii) </w:t>
      </w:r>
      <w:r w:rsidRPr="00161C60">
        <w:rPr>
          <w:rFonts w:ascii="Helvetica" w:hAnsi="Helvetica" w:cs="Helvetica"/>
        </w:rPr>
        <w:t>activities to improve strength and balance to reduce falls</w:t>
      </w:r>
      <w:r w:rsidR="00F45D16" w:rsidRPr="00161C60">
        <w:rPr>
          <w:rFonts w:ascii="Helvetica" w:hAnsi="Helvetica" w:cs="Helvetica"/>
        </w:rPr>
        <w:t xml:space="preserve">; </w:t>
      </w:r>
      <w:r w:rsidR="0099628B" w:rsidRPr="00161C60">
        <w:rPr>
          <w:rFonts w:ascii="Helvetica" w:hAnsi="Helvetica" w:cs="Helvetica"/>
        </w:rPr>
        <w:t>(iii)</w:t>
      </w:r>
      <w:r w:rsidRPr="00161C60">
        <w:rPr>
          <w:rFonts w:ascii="Helvetica" w:hAnsi="Helvetica" w:cs="Helvetica"/>
        </w:rPr>
        <w:t xml:space="preserve"> spinal extension exercise to improve posture and potentially reduce risk of falls and vertebral fracture</w:t>
      </w:r>
      <w:r w:rsidR="00355B2B" w:rsidRPr="00161C60">
        <w:rPr>
          <w:rFonts w:ascii="Helvetica" w:hAnsi="Helvetica" w:cs="Helvetica"/>
        </w:rPr>
        <w:t>s</w:t>
      </w:r>
      <w:r w:rsidRPr="00161C60">
        <w:rPr>
          <w:rFonts w:ascii="Helvetica" w:hAnsi="Helvetica" w:cs="Helvetica"/>
        </w:rPr>
        <w:t xml:space="preserve">. </w:t>
      </w:r>
      <w:r w:rsidR="00E2130F" w:rsidRPr="00161C60">
        <w:rPr>
          <w:rFonts w:ascii="Helvetica" w:hAnsi="Helvetica" w:cs="Helvetica"/>
        </w:rPr>
        <w:t>For safety</w:t>
      </w:r>
      <w:r w:rsidRPr="00161C60">
        <w:rPr>
          <w:rFonts w:ascii="Helvetica" w:hAnsi="Helvetica" w:cs="Helvetica"/>
        </w:rPr>
        <w:t>, we recommend avoiding postures involving a high degree of spinal flexion during exercise or daily life</w:t>
      </w:r>
      <w:r w:rsidR="00EF4423" w:rsidRPr="00161C60">
        <w:rPr>
          <w:rFonts w:ascii="Helvetica" w:hAnsi="Helvetica" w:cs="Helvetica"/>
        </w:rPr>
        <w:t>.</w:t>
      </w:r>
      <w:r w:rsidRPr="00161C60">
        <w:rPr>
          <w:rFonts w:ascii="Helvetica" w:hAnsi="Helvetica" w:cs="Helvetica"/>
        </w:rPr>
        <w:t xml:space="preserve"> </w:t>
      </w:r>
      <w:r w:rsidR="0099628B" w:rsidRPr="00161C60">
        <w:rPr>
          <w:rFonts w:ascii="Helvetica" w:hAnsi="Helvetica" w:cs="Helvetica"/>
        </w:rPr>
        <w:t xml:space="preserve">People </w:t>
      </w:r>
      <w:r w:rsidRPr="00161C60">
        <w:rPr>
          <w:rFonts w:ascii="Helvetica" w:hAnsi="Helvetica" w:cs="Helvetica"/>
        </w:rPr>
        <w:t xml:space="preserve">with vertebral fracture or multiple low trauma fractures </w:t>
      </w:r>
      <w:r w:rsidR="001E0045" w:rsidRPr="00161C60">
        <w:rPr>
          <w:rFonts w:ascii="Helvetica" w:hAnsi="Helvetica" w:cs="Times New Roman"/>
        </w:rPr>
        <w:t xml:space="preserve">should </w:t>
      </w:r>
      <w:r w:rsidR="00EF4423" w:rsidRPr="00161C60">
        <w:rPr>
          <w:rFonts w:ascii="Helvetica" w:hAnsi="Helvetica" w:cs="Times New Roman"/>
        </w:rPr>
        <w:t xml:space="preserve">usually </w:t>
      </w:r>
      <w:r w:rsidR="001E0045" w:rsidRPr="00161C60">
        <w:rPr>
          <w:rFonts w:ascii="Helvetica" w:hAnsi="Helvetica" w:cs="Times New Roman"/>
        </w:rPr>
        <w:t xml:space="preserve">only exercise </w:t>
      </w:r>
      <w:r w:rsidRPr="00161C60">
        <w:rPr>
          <w:rFonts w:ascii="Helvetica" w:hAnsi="Helvetica" w:cs="Helvetica"/>
        </w:rPr>
        <w:t>up to an impact equivalent to brisk walking</w:t>
      </w:r>
      <w:r w:rsidR="00F45D16" w:rsidRPr="00161C60">
        <w:rPr>
          <w:rFonts w:ascii="Helvetica" w:hAnsi="Helvetica" w:cs="Helvetica"/>
        </w:rPr>
        <w:t>. T</w:t>
      </w:r>
      <w:r w:rsidR="00056853" w:rsidRPr="00161C60">
        <w:rPr>
          <w:rFonts w:ascii="Helvetica" w:hAnsi="Helvetica" w:cs="Helvetica"/>
        </w:rPr>
        <w:t>hose at risk of falls should start with targeted strength and balance training</w:t>
      </w:r>
      <w:r w:rsidRPr="00161C60">
        <w:rPr>
          <w:rFonts w:ascii="Helvetica" w:hAnsi="Helvetica" w:cs="Helvetica"/>
        </w:rPr>
        <w:t xml:space="preserve">. </w:t>
      </w:r>
      <w:r w:rsidR="001D2760">
        <w:rPr>
          <w:rFonts w:ascii="Helvetica" w:hAnsi="Helvetica" w:cs="Helvetica"/>
        </w:rPr>
        <w:t>V</w:t>
      </w:r>
      <w:r w:rsidR="001D2760" w:rsidRPr="00161C60">
        <w:rPr>
          <w:rFonts w:ascii="Helvetica" w:hAnsi="Helvetica" w:cs="Helvetica"/>
        </w:rPr>
        <w:t xml:space="preserve">ertebral </w:t>
      </w:r>
      <w:r w:rsidRPr="00161C60">
        <w:rPr>
          <w:rFonts w:ascii="Helvetica" w:hAnsi="Helvetica" w:cs="Helvetica"/>
        </w:rPr>
        <w:t>fracture</w:t>
      </w:r>
      <w:r w:rsidR="001D2760">
        <w:rPr>
          <w:rFonts w:ascii="Helvetica" w:hAnsi="Helvetica" w:cs="Helvetica"/>
        </w:rPr>
        <w:t xml:space="preserve"> symptom</w:t>
      </w:r>
      <w:r w:rsidRPr="00161C60">
        <w:rPr>
          <w:rFonts w:ascii="Helvetica" w:hAnsi="Helvetica" w:cs="Helvetica"/>
        </w:rPr>
        <w:t xml:space="preserve">s may benefit from exercise to reduce pain, improve mobility and quality of life, ideally with </w:t>
      </w:r>
      <w:r w:rsidR="006C4536" w:rsidRPr="00161C60">
        <w:rPr>
          <w:rFonts w:ascii="Helvetica" w:hAnsi="Helvetica" w:cs="Helvetica"/>
        </w:rPr>
        <w:t xml:space="preserve">specialist </w:t>
      </w:r>
      <w:r w:rsidRPr="00161C60">
        <w:rPr>
          <w:rFonts w:ascii="Helvetica" w:hAnsi="Helvetica" w:cs="Helvetica"/>
        </w:rPr>
        <w:t xml:space="preserve">advice </w:t>
      </w:r>
      <w:r w:rsidR="006C4536" w:rsidRPr="00161C60">
        <w:rPr>
          <w:rFonts w:ascii="Helvetica" w:hAnsi="Helvetica" w:cs="Helvetica"/>
        </w:rPr>
        <w:t>to</w:t>
      </w:r>
      <w:r w:rsidR="00C448E8" w:rsidRPr="00161C60">
        <w:rPr>
          <w:rFonts w:ascii="Helvetica" w:hAnsi="Helvetica" w:cs="Helvetica"/>
        </w:rPr>
        <w:t xml:space="preserve"> encourage return to normal activities.</w:t>
      </w:r>
    </w:p>
    <w:p w14:paraId="5C267B51" w14:textId="4BEDD2DA" w:rsidR="000A7D57" w:rsidRPr="00161C60" w:rsidRDefault="00B841B1" w:rsidP="000A7D57">
      <w:pPr>
        <w:spacing w:before="120" w:after="0" w:line="240" w:lineRule="auto"/>
        <w:rPr>
          <w:rFonts w:ascii="Helvetica" w:hAnsi="Helvetica" w:cs="Helvetica"/>
        </w:rPr>
      </w:pPr>
      <w:r w:rsidRPr="00161C60">
        <w:rPr>
          <w:rFonts w:ascii="Helvetica" w:hAnsi="Helvetica" w:cs="Helvetica"/>
        </w:rPr>
        <w:t>E</w:t>
      </w:r>
      <w:r w:rsidR="00417FEC" w:rsidRPr="00161C60">
        <w:rPr>
          <w:rFonts w:ascii="Helvetica" w:hAnsi="Helvetica" w:cs="Helvetica"/>
        </w:rPr>
        <w:t>veryone with osteoporosis m</w:t>
      </w:r>
      <w:r w:rsidR="00DC2A29" w:rsidRPr="00161C60">
        <w:rPr>
          <w:rFonts w:ascii="Helvetica" w:hAnsi="Helvetica" w:cs="Helvetica"/>
        </w:rPr>
        <w:t>a</w:t>
      </w:r>
      <w:r w:rsidR="00417FEC" w:rsidRPr="00161C60">
        <w:rPr>
          <w:rFonts w:ascii="Helvetica" w:hAnsi="Helvetica" w:cs="Helvetica"/>
        </w:rPr>
        <w:t xml:space="preserve">y benefit from guidance on adapting postures and movements. There is </w:t>
      </w:r>
      <w:r w:rsidR="00F45D16" w:rsidRPr="00161C60">
        <w:rPr>
          <w:rFonts w:ascii="Helvetica" w:hAnsi="Helvetica" w:cs="Helvetica"/>
        </w:rPr>
        <w:t xml:space="preserve">little </w:t>
      </w:r>
      <w:r w:rsidR="00417FEC" w:rsidRPr="00161C60">
        <w:rPr>
          <w:rFonts w:ascii="Helvetica" w:hAnsi="Helvetica" w:cs="Helvetica"/>
        </w:rPr>
        <w:t>evidence that physical activity is associated with significant harm and the benefits in general outweigh the risks.</w:t>
      </w:r>
    </w:p>
    <w:p w14:paraId="0AFF052B" w14:textId="77777777" w:rsidR="00506C5E" w:rsidRPr="00161C60" w:rsidRDefault="00506C5E">
      <w:pPr>
        <w:rPr>
          <w:rFonts w:ascii="Helvetica" w:eastAsiaTheme="majorEastAsia" w:hAnsi="Helvetica" w:cs="Helvetica"/>
          <w:sz w:val="28"/>
          <w:szCs w:val="28"/>
        </w:rPr>
      </w:pPr>
      <w:r w:rsidRPr="00161C60">
        <w:rPr>
          <w:rFonts w:ascii="Helvetica" w:hAnsi="Helvetica" w:cs="Helvetica"/>
          <w:sz w:val="28"/>
          <w:szCs w:val="28"/>
        </w:rPr>
        <w:br w:type="page"/>
      </w:r>
    </w:p>
    <w:p w14:paraId="1B4E0E93" w14:textId="1854DF16" w:rsidR="002B25AC" w:rsidRPr="00161C60" w:rsidRDefault="002B25AC"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lastRenderedPageBreak/>
        <w:t>Background</w:t>
      </w:r>
    </w:p>
    <w:p w14:paraId="1C2D3128" w14:textId="2E998506" w:rsidR="002B25AC" w:rsidRPr="00161C60" w:rsidRDefault="00AB505B" w:rsidP="005B76DF">
      <w:pPr>
        <w:spacing w:before="120" w:after="0" w:line="240" w:lineRule="auto"/>
        <w:rPr>
          <w:rFonts w:ascii="Helvetica" w:hAnsi="Helvetica" w:cs="Helvetica"/>
        </w:rPr>
      </w:pPr>
      <w:r w:rsidRPr="00161C60">
        <w:rPr>
          <w:rFonts w:ascii="Helvetica" w:hAnsi="Helvetica" w:cs="Helvetica"/>
        </w:rPr>
        <w:t>It is estimated that 137 million women and 21 million men have high</w:t>
      </w:r>
      <w:r w:rsidR="00996203">
        <w:rPr>
          <w:rFonts w:ascii="Helvetica" w:hAnsi="Helvetica" w:cs="Helvetica"/>
        </w:rPr>
        <w:t xml:space="preserve"> osteopor</w:t>
      </w:r>
      <w:r w:rsidR="00653BD1">
        <w:rPr>
          <w:rFonts w:ascii="Helvetica" w:hAnsi="Helvetica" w:cs="Helvetica"/>
        </w:rPr>
        <w:t>o</w:t>
      </w:r>
      <w:r w:rsidR="00996203">
        <w:rPr>
          <w:rFonts w:ascii="Helvetica" w:hAnsi="Helvetica" w:cs="Helvetica"/>
        </w:rPr>
        <w:t>tic</w:t>
      </w:r>
      <w:r w:rsidRPr="00161C60">
        <w:rPr>
          <w:rFonts w:ascii="Helvetica" w:hAnsi="Helvetica" w:cs="Helvetica"/>
        </w:rPr>
        <w:t xml:space="preserve"> fr</w:t>
      </w:r>
      <w:r w:rsidR="00DF51E8" w:rsidRPr="00161C60">
        <w:rPr>
          <w:rFonts w:ascii="Helvetica" w:hAnsi="Helvetica" w:cs="Helvetica"/>
        </w:rPr>
        <w:t xml:space="preserve">acture risk globally, with </w:t>
      </w:r>
      <w:r w:rsidR="00653BD1">
        <w:rPr>
          <w:rFonts w:ascii="Helvetica" w:hAnsi="Helvetica" w:cs="Helvetica"/>
        </w:rPr>
        <w:t>t</w:t>
      </w:r>
      <w:r w:rsidR="001563C8" w:rsidRPr="00161C60">
        <w:rPr>
          <w:rFonts w:ascii="Helvetica" w:hAnsi="Helvetica" w:cs="Helvetica"/>
        </w:rPr>
        <w:t xml:space="preserve">his prevalence expected to double in the next 40 years </w:t>
      </w:r>
      <w:r w:rsidR="00373F2D" w:rsidRPr="00161C60">
        <w:rPr>
          <w:rFonts w:ascii="Helvetica" w:hAnsi="Helvetica" w:cs="Helvetica"/>
        </w:rPr>
        <w:fldChar w:fldCharType="begin" w:fldLock="1"/>
      </w:r>
      <w:r w:rsidR="00EC3C73" w:rsidRPr="00161C60">
        <w:rPr>
          <w:rFonts w:ascii="Helvetica" w:hAnsi="Helvetica" w:cs="Helvetica"/>
        </w:rPr>
        <w:instrText>ADDIN CSL_CITATION {"citationItems":[{"id":"ITEM-1","itemData":{"DOI":"10.1007/s00198-015-3154-6","ISSN":"14332965","PMID":"26018089","abstract":"Summary: The number of individuals aged 50 years or more at high risk of osteoporotic fracture worldwide in 2010 was estimated at 158 million and is set to double by 2040. Introduction: The aim of this study was to quantify the number of individuals worldwide aged 50 years or more at high risk of osteoporotic fracture in 2010 and 2040. Methods: A threshold of high fracture probability was set at the age-specific 10-year probability of a major fracture (clinical vertebral, forearm, humeral or hip fracture) which was equivalent to that of a woman with a BMI of 24 kg/m2 and a prior fragility fracture but no other clinical risk factors. The prevalence of high risk was determined worldwide and by continent using all available country-specific FRAX models and applied the population demography for each country. Results: Twenty-one million men and 137 million women had a fracture probability at or above the threshold in the world for the year 2010. The greatest number of men and women at high risk were from Asia (55 %). Worldwide, the number of high-risk individuals is expected to double over the next 40 years. Conclusion: We conclude that individuals with high probability of osteoporotic fractures comprise a very significant disease burden to society, particularly in Asia, and that this burden is set to increase markedly in the future. These analyses provide a platform for the evaluation of risk assessment and intervention strategies.","author":[{"dropping-particle":"","family":"Odén","given":"A.","non-dropping-particle":"","parse-names":false,"suffix":""},{"dropping-particle":"V.","family":"McCloskey","given":"E.","non-dropping-particle":"","parse-names":false,"suffix":""},{"dropping-particle":"","family":"Kanis","given":"J. A.","non-dropping-particle":"","parse-names":false,"suffix":""},{"dropping-particle":"","family":"Harvey","given":"N. C.","non-dropping-particle":"","parse-names":false,"suffix":""},{"dropping-particle":"","family":"Johansson","given":"H.","non-dropping-particle":"","parse-names":false,"suffix":""}],"container-title":"Osteoporosis International","id":"ITEM-1","issue":"9","issued":{"date-parts":[["2015"]]},"page":"2243-2248","title":"Burden of high fracture probability worldwide: secular increases 2010–2040","type":"article-journal","volume":"26"},"uris":["http://www.mendeley.com/documents/?uuid=6046c4f2-0378-446c-a41e-e94d5ab34fba"]}],"mendeley":{"formattedCitation":"&lt;sup&gt;1&lt;/sup&gt;","plainTextFormattedCitation":"1","previouslyFormattedCitation":"&lt;sup&gt;1&lt;/sup&gt;"},"properties":{"noteIndex":0},"schema":"https://github.com/citation-style-language/schema/raw/master/csl-citation.json"}</w:instrText>
      </w:r>
      <w:r w:rsidR="00373F2D" w:rsidRPr="00161C60">
        <w:rPr>
          <w:rFonts w:ascii="Helvetica" w:hAnsi="Helvetica" w:cs="Helvetica"/>
        </w:rPr>
        <w:fldChar w:fldCharType="separate"/>
      </w:r>
      <w:r w:rsidR="00373F2D" w:rsidRPr="00161C60">
        <w:rPr>
          <w:rFonts w:ascii="Helvetica" w:hAnsi="Helvetica" w:cs="Helvetica"/>
          <w:noProof/>
          <w:vertAlign w:val="superscript"/>
        </w:rPr>
        <w:t>1</w:t>
      </w:r>
      <w:r w:rsidR="00373F2D" w:rsidRPr="00161C60">
        <w:rPr>
          <w:rFonts w:ascii="Helvetica" w:hAnsi="Helvetica" w:cs="Helvetica"/>
        </w:rPr>
        <w:fldChar w:fldCharType="end"/>
      </w:r>
      <w:r w:rsidR="002B25AC" w:rsidRPr="00161C60">
        <w:rPr>
          <w:rFonts w:ascii="Helvetica" w:hAnsi="Helvetica" w:cs="Helvetica"/>
        </w:rPr>
        <w:t xml:space="preserve">. </w:t>
      </w:r>
      <w:r w:rsidR="002B25AC" w:rsidRPr="00161C60" w:rsidDel="00A86955">
        <w:rPr>
          <w:rStyle w:val="CommentReference"/>
          <w:rFonts w:ascii="Helvetica" w:hAnsi="Helvetica" w:cs="Helvetica"/>
          <w:sz w:val="24"/>
          <w:szCs w:val="24"/>
        </w:rPr>
        <w:t xml:space="preserve"> </w:t>
      </w:r>
      <w:r w:rsidR="002B25AC" w:rsidRPr="00161C60">
        <w:rPr>
          <w:rStyle w:val="CommentReference"/>
          <w:rFonts w:ascii="Helvetica" w:hAnsi="Helvetica" w:cs="Helvetica"/>
          <w:sz w:val="24"/>
          <w:szCs w:val="24"/>
        </w:rPr>
        <w:t>F</w:t>
      </w:r>
      <w:r w:rsidR="002B25AC" w:rsidRPr="00161C60" w:rsidDel="003D1210">
        <w:rPr>
          <w:rFonts w:ascii="Helvetica" w:hAnsi="Helvetica" w:cs="Helvetica"/>
        </w:rPr>
        <w:t>ractures</w:t>
      </w:r>
      <w:r w:rsidR="002B25AC" w:rsidRPr="00161C60">
        <w:rPr>
          <w:rFonts w:ascii="Helvetica" w:hAnsi="Helvetica" w:cs="Helvetica"/>
        </w:rPr>
        <w:t xml:space="preserve"> </w:t>
      </w:r>
      <w:r w:rsidR="003A5A1A">
        <w:rPr>
          <w:rFonts w:ascii="Helvetica" w:hAnsi="Helvetica" w:cs="Helvetica"/>
        </w:rPr>
        <w:t>of</w:t>
      </w:r>
      <w:r w:rsidR="002B25AC" w:rsidRPr="00161C60">
        <w:rPr>
          <w:rFonts w:ascii="Helvetica" w:hAnsi="Helvetica" w:cs="Helvetica"/>
        </w:rPr>
        <w:t xml:space="preserve"> the hip and spine</w:t>
      </w:r>
      <w:r w:rsidR="002B25AC" w:rsidRPr="00161C60" w:rsidDel="003D1210">
        <w:rPr>
          <w:rFonts w:ascii="Helvetica" w:hAnsi="Helvetica" w:cs="Helvetica"/>
        </w:rPr>
        <w:t xml:space="preserve"> </w:t>
      </w:r>
      <w:r w:rsidR="002B25AC" w:rsidRPr="00161C60">
        <w:rPr>
          <w:rFonts w:ascii="Helvetica" w:hAnsi="Helvetica" w:cs="Helvetica"/>
        </w:rPr>
        <w:t xml:space="preserve">can </w:t>
      </w:r>
      <w:r w:rsidR="002B25AC" w:rsidRPr="00161C60" w:rsidDel="003D1210">
        <w:rPr>
          <w:rFonts w:ascii="Helvetica" w:hAnsi="Helvetica" w:cs="Helvetica"/>
        </w:rPr>
        <w:t>lead to loss</w:t>
      </w:r>
      <w:r w:rsidR="002B25AC" w:rsidRPr="00161C60">
        <w:rPr>
          <w:rFonts w:ascii="Helvetica" w:hAnsi="Helvetica" w:cs="Helvetica"/>
        </w:rPr>
        <w:t xml:space="preserve"> of independence, disability and</w:t>
      </w:r>
      <w:r w:rsidR="002B25AC" w:rsidRPr="00161C60" w:rsidDel="003D1210">
        <w:rPr>
          <w:rFonts w:ascii="Helvetica" w:hAnsi="Helvetica" w:cs="Helvetica"/>
        </w:rPr>
        <w:t xml:space="preserve"> reduced life expectancy</w:t>
      </w:r>
      <w:r w:rsidR="00355B2B" w:rsidRPr="00161C60">
        <w:rPr>
          <w:rFonts w:ascii="Helvetica" w:hAnsi="Helvetica" w:cs="Helvetica"/>
        </w:rPr>
        <w:t xml:space="preserve"> </w:t>
      </w:r>
      <w:r w:rsidR="002B25AC" w:rsidRPr="00161C60">
        <w:rPr>
          <w:rFonts w:ascii="Helvetica" w:hAnsi="Helvetica" w:cs="Helvetica"/>
        </w:rPr>
        <w:fldChar w:fldCharType="begin" w:fldLock="1"/>
      </w:r>
      <w:r w:rsidR="00EC3C73" w:rsidRPr="00161C60">
        <w:rPr>
          <w:rFonts w:ascii="Helvetica" w:hAnsi="Helvetica" w:cs="Helvetica"/>
        </w:rPr>
        <w:instrText>ADDIN CSL_CITATION {"citationItems":[{"id":"ITEM-1","itemData":{"DOI":"10.1016/S0002-9343(97)90022-X","ISBN":"0002-9343 (Print) 0002-9343 (Linking)","ISSN":"00029343","PMID":"9302893","abstract":"Around 40% of white women and 13% of white men in the United States have at least one fragility fracture after the age of 50 years. The risk of fracture increases with advancing age and progressive loss of bone mass, and varies with the population being considered. The age-adjusted incidence of fragility fractures in both sexes is 25% lower in Britain and many areas of Europe than in the United States. Mortality 5 years after hip or vertebral fracture is about 20% in excess of that expected; mortality rate is highest in men &gt; 75 years suffering from a variety of chronic diseases. Most excess deaths occur in the first 6 months after hip fracture. One year after hip fracture, 40% of patients are still unable to walk independently, 60% have difficulty with at least one essential activity of daily living, and 80% are restricted in other activities, such as driving and grocery shopping. Moreover, 27% of these patients enter a nursing home for the first time. Less is known of the epidemiology of vertebral fractures and of the associated mortality and morbidity. Although an estimated 30% of postmenopausal U.S. white women have osteoporosis, and 1 in 4 has at least one vertebral deformity, two thirds of vertebral fractures remain undiagnosed. After a clinically diagnosed vertebral fracture, survival rate decreases gradually from that expected without fracture. Women with severe vertebral deformities have a consistently higher risk of back pain and height loss. An accurate assessment of the risk of fractures associated with osteoporosis and of their impact on quality of life is essential if appropriate and cost-effective interventions are to be designed for different populations.","author":[{"dropping-particle":"","family":"Cooper","given":"Cyrus","non-dropping-particle":"","parse-names":false,"suffix":""}],"container-title":"The American Journal of Medicine","id":"ITEM-1","issue":"2","issued":{"date-parts":[["1997","8"]]},"page":"S12-S19","publisher":"Elsevier","title":"The crippling consequences of fractures and their impact on quality of life","type":"article-journal","volume":"103"},"uris":["http://www.mendeley.com/documents/?uuid=eb6c2e66-bf10-302f-b7a8-f04652886cf8","http://www.mendeley.com/documents/?uuid=a6cf7b50-6ead-43fd-936a-238b117f015c"]}],"mendeley":{"formattedCitation":"&lt;sup&gt;2&lt;/sup&gt;","plainTextFormattedCitation":"2","previouslyFormattedCitation":"&lt;sup&gt;2&lt;/sup&gt;"},"properties":{"noteIndex":0},"schema":"https://github.com/citation-style-language/schema/raw/master/csl-citation.json"}</w:instrText>
      </w:r>
      <w:r w:rsidR="002B25AC" w:rsidRPr="00161C60">
        <w:rPr>
          <w:rFonts w:ascii="Helvetica" w:hAnsi="Helvetica" w:cs="Helvetica"/>
        </w:rPr>
        <w:fldChar w:fldCharType="separate"/>
      </w:r>
      <w:r w:rsidR="00373F2D" w:rsidRPr="00161C60">
        <w:rPr>
          <w:rFonts w:ascii="Helvetica" w:hAnsi="Helvetica" w:cs="Helvetica"/>
          <w:noProof/>
          <w:vertAlign w:val="superscript"/>
        </w:rPr>
        <w:t>2</w:t>
      </w:r>
      <w:r w:rsidR="002B25AC" w:rsidRPr="00161C60">
        <w:rPr>
          <w:rFonts w:ascii="Helvetica" w:hAnsi="Helvetica" w:cs="Helvetica"/>
        </w:rPr>
        <w:fldChar w:fldCharType="end"/>
      </w:r>
      <w:r w:rsidR="00355B2B" w:rsidRPr="00161C60">
        <w:rPr>
          <w:rFonts w:ascii="Helvetica" w:hAnsi="Helvetica" w:cs="Helvetica"/>
        </w:rPr>
        <w:t>.</w:t>
      </w:r>
      <w:r w:rsidR="002B25AC" w:rsidRPr="00161C60">
        <w:rPr>
          <w:rFonts w:ascii="Helvetica" w:hAnsi="Helvetica" w:cs="Helvetica"/>
        </w:rPr>
        <w:t xml:space="preserve"> Vertebral fractures are associated with </w:t>
      </w:r>
      <w:r w:rsidR="002B25AC" w:rsidRPr="00161C60" w:rsidDel="003D1210">
        <w:rPr>
          <w:rFonts w:ascii="Helvetica" w:hAnsi="Helvetica" w:cs="Helvetica"/>
        </w:rPr>
        <w:t xml:space="preserve">long-term pain and </w:t>
      </w:r>
      <w:r w:rsidR="002B25AC" w:rsidRPr="00161C60">
        <w:rPr>
          <w:rFonts w:ascii="Helvetica" w:hAnsi="Helvetica" w:cs="Helvetica"/>
        </w:rPr>
        <w:t xml:space="preserve">other physical and psychological </w:t>
      </w:r>
      <w:r w:rsidR="002B25AC" w:rsidRPr="00161C60" w:rsidDel="003D1210">
        <w:rPr>
          <w:rFonts w:ascii="Helvetica" w:hAnsi="Helvetica" w:cs="Helvetica"/>
        </w:rPr>
        <w:t>symptoms</w:t>
      </w:r>
      <w:r w:rsidR="007C2AB3" w:rsidRPr="00161C60">
        <w:rPr>
          <w:rFonts w:ascii="Helvetica" w:hAnsi="Helvetica" w:cs="Helvetica"/>
        </w:rPr>
        <w:t xml:space="preserve"> </w:t>
      </w:r>
      <w:r w:rsidR="00F21495" w:rsidRPr="007E47AE">
        <w:rPr>
          <w:rFonts w:ascii="Helvetica" w:hAnsi="Helvetica" w:cs="Helvetica"/>
        </w:rPr>
        <w:fldChar w:fldCharType="begin" w:fldLock="1"/>
      </w:r>
      <w:r w:rsidR="00F21495" w:rsidRPr="007E47AE">
        <w:rPr>
          <w:rFonts w:ascii="Helvetica" w:hAnsi="Helvetica" w:cs="Helvetica"/>
        </w:rPr>
        <w:instrText>ADDIN CSL_CITATION {"citationItems":[{"id":"ITEM-1","itemData":{"DOI":"10.1007/s00586-008-0753-3","ISSN":"1432-0932","PMID":"18751742","abstract":"The vertebral body fracture is the most frequent bone fragility fracture. In spite of this there is considerable uncertainty about the frequency, extent and severity of the acute pain and even more about the duration of pain, the magnitude of disability and how much daily life is disturbed in the post-fracture period. The aim of the present study was to follow the course of pain, disability, ADL and QoL in patients during the year after an acute low energy vertebral body fracture. The study design was a longitudinal cohort study with prospective data collection. All the patients over 40 years admitted to the emergency unit because of back pain with a radiologically acute vertebral body fracture were eligible. A total of 107 patients were followed for a year. The pain, disability (von Korff pain and disability scores), ADL (Hannover ADL score), and QoL (EQ-5D) were measured after 3 weeks, 3, 6 and 12 months. Two-thirds of the patients were women, and were similar in average age, as the men around 75 years. A total of 65.4% of the fractures were due to a level fall or a minor trauma, whereas 34.6% had no recollection of trauma or a specific event as the cause of the fracture. A total of 76.6% of the fractured patients were immediately mobilized and allowed to return home while the remaining were hospitalized. The average pain intensity score after 3 weeks was 70.9 (SD 19.3), the disability score 68.9 (SD 23.6), the ADL score 37.7 (SD 22.1) and EQ-5D score of 0.37 (SD 0.37). The largest improvements, 10-15%, occurred between the initial visit and the 3 months follow-up and were quite similar for all the measures. From 3 months, all the outcome measures leveled out or tended to deteriorate resulting in a mean pain intensity score of 60.5, disability score of 53.9, ADL score of 47.6, and EQ-5D score 0.52 after 12 months. After a whole year the fractured patients' condition was similar to the preoperative condition of patients with a herniated lumbar disc, central lumbar spinal stenosis or in patients 100% work disabled due to back or neck problems. Instead of the generally believed good prognosis for the greater majority of those fractured, the acute vertebral body fracture was the beginning of a long-lasting severe deterioration of their health.","author":[{"dropping-particle":"","family":"Suzuki","given":"Nobuyuki","non-dropping-particle":"","parse-names":false,"suffix":""},{"dropping-particle":"","family":"Ogikubo","given":"Osamu","non-dropping-particle":"","parse-names":false,"suffix":""},{"dropping-particle":"","family":"Hansson","given":"Tommy","non-dropping-particle":"","parse-names":false,"suffix":""}],"container-title":"European spine journal : official publication of the European Spine Society, the European Spinal Deformity Society, and the European Section of the Cervical Spine Research Society","id":"ITEM-1","issue":"10","issued":{"date-parts":[["2008","10"]]},"page":"1380-90","publisher":"Springer","title":"The course of the acute vertebral body fragility fracture: its effect on pain, disability and quality of life during 12 months.","type":"article-journal","volume":"17"},"uris":["http://www.mendeley.com/documents/?uuid=fd6eb028-d686-372c-b863-46a32a8c75f9","http://www.mendeley.com/documents/?uuid=fc41d3a0-0fd5-4e35-b4ca-5f5f7d9b7d84"]},{"id":"ITEM-2","itemData":{"DOI":"10.1093/rheumatology/kez249","ISSN":"14620332","PMID":"31335949","abstract":"Objective: Older women are at particular risk of osteoporosis. Among women with osteoporosis, fractures of the vertebra (vertebral fracture) are common, hard to detect and associated with risk of further fracture. Identifying vertebral fracture in a timely manner allows instigation of preventive measures to reduce the risk of further fracture. Although detection of vertebral fracture requires spinal radiograph, many women do not receive referral. To begin development of a screening tool to identify women in need of referral we undertook a qualitative study to characterize women's experiences of vertebral fracture, using Eccleston's 'Ten Neglected Bodily Senses'. Methods: Four qualitative focus groups were conducted with women who had been diagnosed with vertebral fracture (n = 19, age 60-91 years). Data were audio-recorded, transcribed and analysed thematically using the 'Ten Neglected Bodily Senses'. Results: Women's experiences of vertebral fractures related to seven senses: pain, movement, fatigue, balance, pressure, appetite and breathing. Pain was the dominant sense and all participants explained how pain increased with activity, reaching a crescendo, and described strategies to minimize this disruption. Most participants had become physically shorter, making some feel 'squashed', putting pressure on other body parts. Some described appetite loss or a sense of restricted breathing. Participants experienced a sense of being 'pulled' forwards, impacting on balance and exacerbating fear of falling. Conclusion: The study found senses that have not been previously described in the experiences of women with vertebral fracture. These will be used to inform the design of a new screening tool for use in primary care.","author":[{"dropping-particle":"","family":"Drew","given":"Sarah","non-dropping-particle":"","parse-names":false,"suffix":""},{"dropping-particle":"","family":"Clark","given":"Emma","non-dropping-particle":"","parse-names":false,"suffix":""},{"dropping-particle":"","family":"Al-Sari","given":"Usama","non-dropping-particle":"","parse-names":false,"suffix":""},{"dropping-particle":"","family":"Moore","given":"Andrew","non-dropping-particle":"","parse-names":false,"suffix":""},{"dropping-particle":"","family":"Gooberman-Hill","given":"Rachael","non-dropping-particle":"","parse-names":false,"suffix":""}],"container-title":"Rheumatology (United Kingdom)","id":"ITEM-2","issue":"2","issued":{"date-parts":[["2020"]]},"page":"379-385","title":"Neglected bodily senses in women living with vertebral fracture: A focus group study","type":"article-journal","volume":"59"},"uris":["http://www.mendeley.com/documents/?uuid=3ec35d2a-4fe7-4cb6-8c1e-1ac92c39f390"]},{"id":"ITEM-3","itemData":{"DOI":"10.2147/TCRM.S72456","ISSN":"1176-6336","abstract":"PURPOSE: Osteoporotic fracture is the main complication of osteoporosis. The current management is to discharge patients as early as possible so they can get back to their daily activities. Once discharged, there are three main issues relating to morbidity, mortality, and risk of a subsequent fracture that need to be addressed and discussed. Therefore, the aim of this systematic review was to summarize and evaluate the evidence from published literature, to determine the outcome of osteoporotic fracture patients after their hospital discharge. METHODS: The MEDLINE and Cumulative Index to Nursing and Allied Health Literature (CINAHL) databases were searched, using the terms \"osteoporosis\", \"fracture\", \"osteoporotic fracture\", \"hip fracture\", and \"vertebral fracture\". We included only human studies published in English between 2004 and 2014. The reference lists of included studies were thoroughly reviewed in search for other relevant studies. RESULTS: A total of 18 studies met the selection criteria. Most were observational and cohort studies. Out of all the studies, five studies looked into the morbidity, six studies looked into the risk of subsequent fractures, and seven studies looked into mortality. Vertebral fracture caused the greatest health burden, but hip fracture patients were the main users of informal care after hospital discharge. There was an increased risk of a subsequent fracture after a primary fracture compared with the control group, a cohort comparison, or the general population. Osteoporotic fractures, especially hip fractures, are associated with higher mortality rate despite the advances in the management of osteoporotic fracture cases. CONCLUSION: There is strong evidence to show that after hospital discharge, osteoporotic fracture patients are faced with higher morbidity, subsequent fractures, and mortality.","author":[{"dropping-particle":"","family":"Press","given":"Dove","non-dropping-particle":"","parse-names":false,"suffix":""},{"dropping-particle":"","family":"Nazrun","given":"Ahmad Shuid","non-dropping-particle":"","parse-names":false,"suffix":""},{"dropping-particle":"","family":"Tzar","given":"Mohd Nizam","non-dropping-particle":"","parse-names":false,"suffix":""},{"dropping-particle":"","family":"Mokhtar","given":"Sabarul Afian","non-dropping-particle":"","parse-names":false,"suffix":""},{"dropping-particle":"","family":"Mohamed","given":"Isa Naina","non-dropping-particle":"","parse-names":false,"suffix":""}],"container-title":"Therapeutics and clinical risk management","id":"ITEM-3","issued":{"date-parts":[["2014","11","18"]]},"language":"eng","page":"937-948","publisher":"Dove Medical Press","title":"A systematic review of the outcomes of osteoporotic fracture patients after hospital discharge: morbidity, subsequent fractures, and mortality","type":"article-journal","volume":"10"},"uris":["http://www.mendeley.com/documents/?uuid=e3f41c28-c321-4931-846d-51e3a8b7f9aa"]}],"mendeley":{"formattedCitation":"&lt;sup&gt;3–5&lt;/sup&gt;","plainTextFormattedCitation":"3–5","previouslyFormattedCitation":"&lt;sup&gt;3–5&lt;/sup&gt;"},"properties":{"noteIndex":0},"schema":"https://github.com/citation-style-language/schema/raw/master/csl-citation.json"}</w:instrText>
      </w:r>
      <w:r w:rsidR="00F21495" w:rsidRPr="007E47AE">
        <w:rPr>
          <w:rFonts w:ascii="Helvetica" w:hAnsi="Helvetica" w:cs="Helvetica"/>
        </w:rPr>
        <w:fldChar w:fldCharType="separate"/>
      </w:r>
      <w:r w:rsidR="00F21495" w:rsidRPr="007E47AE">
        <w:rPr>
          <w:rFonts w:ascii="Helvetica" w:hAnsi="Helvetica" w:cs="Helvetica"/>
          <w:noProof/>
          <w:vertAlign w:val="superscript"/>
        </w:rPr>
        <w:t>3–5</w:t>
      </w:r>
      <w:r w:rsidR="00F21495" w:rsidRPr="007E47AE">
        <w:rPr>
          <w:rFonts w:ascii="Helvetica" w:hAnsi="Helvetica" w:cs="Helvetica"/>
        </w:rPr>
        <w:fldChar w:fldCharType="end"/>
      </w:r>
      <w:r w:rsidR="00055F4D" w:rsidRPr="007E47AE">
        <w:rPr>
          <w:rFonts w:ascii="Helvetica" w:hAnsi="Helvetica" w:cs="Helvetica"/>
        </w:rPr>
        <w:t xml:space="preserve">, whilst hip fractures are associated </w:t>
      </w:r>
      <w:r w:rsidR="004B3A88" w:rsidRPr="007E47AE">
        <w:rPr>
          <w:rFonts w:ascii="Helvetica" w:hAnsi="Helvetica" w:cs="Helvetica"/>
        </w:rPr>
        <w:t xml:space="preserve">with increased morbidity </w:t>
      </w:r>
      <w:r w:rsidR="0030085C" w:rsidRPr="007E47AE">
        <w:rPr>
          <w:rFonts w:ascii="Helvetica" w:hAnsi="Helvetica" w:cs="Helvetica"/>
        </w:rPr>
        <w:t xml:space="preserve">and </w:t>
      </w:r>
      <w:r w:rsidR="004B3A88" w:rsidRPr="007E47AE">
        <w:rPr>
          <w:rFonts w:ascii="Helvetica" w:hAnsi="Helvetica" w:cs="Helvetica"/>
        </w:rPr>
        <w:t xml:space="preserve">mortality </w:t>
      </w:r>
      <w:r w:rsidR="00FB240F" w:rsidRPr="007E47AE">
        <w:rPr>
          <w:rFonts w:ascii="Helvetica" w:hAnsi="Helvetica" w:cs="Helvetica"/>
        </w:rPr>
        <w:fldChar w:fldCharType="begin" w:fldLock="1"/>
      </w:r>
      <w:r w:rsidR="00DF44C9" w:rsidRPr="007E47AE">
        <w:rPr>
          <w:rFonts w:ascii="Helvetica" w:hAnsi="Helvetica" w:cs="Helvetica"/>
        </w:rPr>
        <w:instrText>ADDIN CSL_CITATION {"citationItems":[{"id":"ITEM-1","itemData":{"DOI":"10.1016/j.bone.2014.06.011","ISSN":"87563282","PMID":"24933345","abstract":"Background: Data on recent trends in mortality after hip fracture are scarce. Aims were therefore to examine secular trends in all-cause and cause-specific mortality post hip fracture and to compare this to the general population from 2000 to 2010. Methods: Population-based cohort study within the United Kingdom Clinical Practice Research Datalink and linked to cause of death data for 57.7% of patients. Patients with a first hip fracture (n. = 31,495) were matched to up to four controls by age, sex, index date, and practice. All subjects were followed for death, and lifestyle, disease and medication history adjusted hazard ratios (HRs) were calculated. Results: One-year all-cause mortality after hip fracture declined from 2009 and was 14% lower after, compared with before 2009 (22.3% to 20.5%, adj. HR 0.86, 95% CI: 0.81-0.92). The decline was observed for males (≥. 75. years) and females (≥. 85. years). Significant contributors to the decline in mortality post hip fracture were respiratory infections in females as were malignant diseases in males. However, one-year all-cause mortality remained unaltered over the decade when compared to controls with a 3.5-fold and 2.4-fold increased risk in males and females respectively. No significant changes were observed in the relative risks for one-year cause-specific mortality for both genders. Conclusions: One-year mortality after hip fracture has declined over the last decade in the UK. However, the difference in one-year mortality between hip fracture patients and the general population remained unaltered. These observations highlight the need for the continued implementation of evidence-based standards for good hip fracture care. © 2014 Elsevier Inc.","author":[{"dropping-particle":"","family":"Klop","given":"Corinne","non-dropping-particle":"","parse-names":false,"suffix":""},{"dropping-particle":"","family":"Welsing","given":"Paco M.J.","non-dropping-particle":"","parse-names":false,"suffix":""},{"dropping-particle":"","family":"Cooper","given":"Cyrus","non-dropping-particle":"","parse-names":false,"suffix":""},{"dropping-particle":"","family":"Harvey","given":"Nicholas C.","non-dropping-particle":"","parse-names":false,"suffix":""},{"dropping-particle":"","family":"Elders","given":"Petra J.M.","non-dropping-particle":"","parse-names":false,"suffix":""},{"dropping-particle":"","family":"Bijlsma","given":"Johannes W.J.","non-dropping-particle":"","parse-names":false,"suffix":""},{"dropping-particle":"","family":"Leufkens","given":"Hubert G.M.","non-dropping-particle":"","parse-names":false,"suffix":""},{"dropping-particle":"","family":"Vries","given":"Frank","non-dropping-particle":"De","parse-names":false,"suffix":""}],"container-title":"Bone","id":"ITEM-1","issued":{"date-parts":[["2014"]]},"page":"171-177","publisher":"Elsevier Inc.","title":"Mortality in British hip fracture patients, 2000-2010: A population-based retrospective cohort study","type":"article-journal","volume":"66"},"uris":["http://www.mendeley.com/documents/?uuid=e4e7213c-0842-47d9-858c-5341421b1a9a"]},{"id":"ITEM-2","itemData":{"DOI":"10.1093/bmb/ldaa005.The","author":[{"dropping-particle":"","family":"Clynes","given":"Michael A","non-dropping-particle":"","parse-names":false,"suffix":""},{"dropping-particle":"","family":"Harvey","given":"Nicholas C","non-dropping-particle":"","parse-names":false,"suffix":""},{"dropping-particle":"","family":"Curtis","given":"Elizabeth M","non-dropping-particle":"","parse-names":false,"suffix":""},{"dropping-particle":"","family":"Fuggle","given":"Nicholas R","non-dropping-particle":"","parse-names":false,"suffix":""},{"dropping-particle":"","family":"Elaine","given":"M","non-dropping-particle":"","parse-names":false,"suffix":""},{"dropping-particle":"","family":"Cooper","given":"Cyrus","non-dropping-particle":"","parse-names":false,"suffix":""}],"id":"ITEM-2","issue":"1","issued":{"date-parts":[["2020"]]},"page":"105-117","title":"The Epidemiology of Osteoporosis","type":"article-journal","volume":"133"},"uris":["http://www.mendeley.com/documents/?uuid=e98b7e8d-0814-4de8-a2cf-83e9748dfc0b"]}],"mendeley":{"formattedCitation":"&lt;sup&gt;6,7&lt;/sup&gt;","plainTextFormattedCitation":"6,7","previouslyFormattedCitation":"&lt;sup&gt;6,7&lt;/sup&gt;"},"properties":{"noteIndex":0},"schema":"https://github.com/citation-style-language/schema/raw/master/csl-citation.json"}</w:instrText>
      </w:r>
      <w:r w:rsidR="00FB240F" w:rsidRPr="007E47AE">
        <w:rPr>
          <w:rFonts w:ascii="Helvetica" w:hAnsi="Helvetica" w:cs="Helvetica"/>
        </w:rPr>
        <w:fldChar w:fldCharType="separate"/>
      </w:r>
      <w:r w:rsidR="008B6B17" w:rsidRPr="007E47AE">
        <w:rPr>
          <w:rFonts w:ascii="Helvetica" w:hAnsi="Helvetica" w:cs="Helvetica"/>
          <w:noProof/>
          <w:vertAlign w:val="superscript"/>
        </w:rPr>
        <w:t>6,7</w:t>
      </w:r>
      <w:r w:rsidR="00FB240F" w:rsidRPr="007E47AE">
        <w:rPr>
          <w:rFonts w:ascii="Helvetica" w:hAnsi="Helvetica" w:cs="Helvetica"/>
        </w:rPr>
        <w:fldChar w:fldCharType="end"/>
      </w:r>
      <w:r w:rsidR="00355B2B" w:rsidRPr="00161C60">
        <w:rPr>
          <w:rFonts w:ascii="Helvetica" w:hAnsi="Helvetica" w:cs="Helvetica"/>
        </w:rPr>
        <w:t>.</w:t>
      </w:r>
    </w:p>
    <w:p w14:paraId="283CCECF" w14:textId="07B332A6" w:rsidR="00956926" w:rsidRPr="00161C60" w:rsidRDefault="00956926" w:rsidP="005B76DF">
      <w:pPr>
        <w:spacing w:before="120" w:after="0" w:line="240" w:lineRule="auto"/>
        <w:rPr>
          <w:rFonts w:ascii="Helvetica" w:hAnsi="Helvetica" w:cs="Helvetica"/>
        </w:rPr>
      </w:pPr>
      <w:r w:rsidRPr="00161C60">
        <w:rPr>
          <w:rFonts w:ascii="Helvetica" w:hAnsi="Helvetica" w:cs="Helvetica"/>
        </w:rPr>
        <w:t xml:space="preserve">Current approaches to reduce </w:t>
      </w:r>
      <w:r w:rsidR="00563A74">
        <w:rPr>
          <w:rFonts w:ascii="Helvetica" w:hAnsi="Helvetica" w:cs="Helvetica"/>
        </w:rPr>
        <w:t>fracture</w:t>
      </w:r>
      <w:r w:rsidR="00563A74" w:rsidRPr="00161C60">
        <w:rPr>
          <w:rFonts w:ascii="Helvetica" w:hAnsi="Helvetica" w:cs="Helvetica"/>
        </w:rPr>
        <w:t xml:space="preserve"> </w:t>
      </w:r>
      <w:r w:rsidRPr="00161C60">
        <w:rPr>
          <w:rFonts w:ascii="Helvetica" w:hAnsi="Helvetica" w:cs="Helvetica"/>
        </w:rPr>
        <w:t xml:space="preserve">incidence include identifying people with significant fracture risk </w:t>
      </w:r>
      <w:r w:rsidR="00DC2A29" w:rsidRPr="00161C60">
        <w:rPr>
          <w:rFonts w:ascii="Helvetica" w:hAnsi="Helvetica" w:cs="Helvetica"/>
        </w:rPr>
        <w:t xml:space="preserve">and </w:t>
      </w:r>
      <w:r w:rsidR="00943064">
        <w:rPr>
          <w:rFonts w:ascii="Helvetica" w:hAnsi="Helvetica" w:cs="Helvetica"/>
        </w:rPr>
        <w:t>pr</w:t>
      </w:r>
      <w:r w:rsidR="001753AF">
        <w:rPr>
          <w:rFonts w:ascii="Helvetica" w:hAnsi="Helvetica" w:cs="Helvetica"/>
        </w:rPr>
        <w:t>escrib</w:t>
      </w:r>
      <w:r w:rsidR="00943064">
        <w:rPr>
          <w:rFonts w:ascii="Helvetica" w:hAnsi="Helvetica" w:cs="Helvetica"/>
        </w:rPr>
        <w:t xml:space="preserve">ing </w:t>
      </w:r>
      <w:r w:rsidR="00563A74">
        <w:rPr>
          <w:rFonts w:ascii="Helvetica" w:hAnsi="Helvetica" w:cs="Helvetica"/>
        </w:rPr>
        <w:t>pharmaceutical treatment</w:t>
      </w:r>
      <w:r w:rsidR="00DC2A29" w:rsidRPr="00161C60">
        <w:rPr>
          <w:rFonts w:ascii="Helvetica" w:hAnsi="Helvetica" w:cs="Helvetica"/>
        </w:rPr>
        <w:t>,</w:t>
      </w:r>
      <w:r w:rsidR="003E750D" w:rsidRPr="00161C60">
        <w:rPr>
          <w:rFonts w:ascii="Helvetica" w:hAnsi="Helvetica" w:cs="Helvetica"/>
        </w:rPr>
        <w:t xml:space="preserve"> </w:t>
      </w:r>
      <w:r w:rsidR="00783DF3">
        <w:rPr>
          <w:rFonts w:ascii="Helvetica" w:hAnsi="Helvetica" w:cs="Helvetica"/>
        </w:rPr>
        <w:t>using</w:t>
      </w:r>
      <w:r w:rsidR="00783DF3" w:rsidRPr="00161C60">
        <w:rPr>
          <w:rFonts w:ascii="Helvetica" w:hAnsi="Helvetica" w:cs="Helvetica"/>
        </w:rPr>
        <w:t xml:space="preserve"> </w:t>
      </w:r>
      <w:r w:rsidR="003E750D" w:rsidRPr="00161C60">
        <w:rPr>
          <w:rFonts w:ascii="Helvetica" w:hAnsi="Helvetica" w:cs="Helvetica"/>
        </w:rPr>
        <w:t>education and support to promote adherence</w:t>
      </w:r>
      <w:r w:rsidR="00F1099F">
        <w:rPr>
          <w:rFonts w:ascii="Helvetica" w:hAnsi="Helvetica" w:cs="Helvetica"/>
        </w:rPr>
        <w:t xml:space="preserve"> with medication</w:t>
      </w:r>
      <w:r w:rsidR="00961316" w:rsidRPr="00161C60">
        <w:rPr>
          <w:rFonts w:ascii="Helvetica" w:hAnsi="Helvetica" w:cs="Helvetica"/>
        </w:rPr>
        <w:t>,</w:t>
      </w:r>
      <w:r w:rsidRPr="00161C60">
        <w:rPr>
          <w:rFonts w:ascii="Helvetica" w:hAnsi="Helvetica" w:cs="Helvetica"/>
        </w:rPr>
        <w:t xml:space="preserve"> </w:t>
      </w:r>
      <w:r w:rsidR="00E51D3E">
        <w:rPr>
          <w:rFonts w:ascii="Helvetica" w:hAnsi="Helvetica" w:cs="Helvetica"/>
        </w:rPr>
        <w:t>and</w:t>
      </w:r>
      <w:r w:rsidRPr="00161C60">
        <w:rPr>
          <w:rFonts w:ascii="Helvetica" w:hAnsi="Helvetica" w:cs="Helvetica"/>
        </w:rPr>
        <w:t xml:space="preserve"> developing falls prevention strategies especially for those who are older and frailer</w:t>
      </w:r>
      <w:r w:rsidR="00355B2B" w:rsidRPr="00161C60">
        <w:rPr>
          <w:rFonts w:ascii="Helvetica" w:hAnsi="Helvetica" w:cs="Helvetica"/>
        </w:rPr>
        <w:t xml:space="preserve"> </w:t>
      </w:r>
      <w:r w:rsidR="00355B2B" w:rsidRPr="00161C60">
        <w:rPr>
          <w:rFonts w:ascii="Helvetica" w:hAnsi="Helvetica" w:cs="Helvetica"/>
        </w:rPr>
        <w:fldChar w:fldCharType="begin" w:fldLock="1"/>
      </w:r>
      <w:r w:rsidR="00DF44C9" w:rsidRPr="00161C60">
        <w:rPr>
          <w:rFonts w:ascii="Helvetica" w:hAnsi="Helvetica" w:cs="Helvetica"/>
        </w:rPr>
        <w:instrText>ADDIN CSL_CITATION {"citationItems":[{"id":"ITEM-1","itemData":{"DOI":"10.1007/s11657-017-0324-5","ISSN":"18623514","PMID":"28425085","abstract":"Introduction: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Osteoporosis","id":"ITEM-1","issue":"1","issued":{"date-parts":[["2017"]]},"publisher":"Archives of Osteoporosis","title":"UK clinical guideline for the prevention and treatment of osteoporosis","type":"article-journal","volume":"12"},"uris":["http://www.mendeley.com/documents/?uuid=3515a08f-a10e-4464-9100-438ce757ba9d"]},{"id":"ITEM-2","itemData":{"ISBN":"9781909103757","URL":"http://www.sign.ac.uk/assets/sign142.pdf","author":[{"dropping-particle":"","family":"Gyle","given":"S. (Scottish Intercollegiate Guidelines Network)","non-dropping-particle":"","parse-names":false,"suffix":""}],"container-title":"SIGN 142","id":"ITEM-2","issue":"March 2015","issued":{"date-parts":[["2020"]]},"title":"Management of Osteoporosis and Prevention of Fragility Fractures.","type":"webpage"},"uris":["http://www.mendeley.com/documents/?uuid=a6668861-71a2-48ac-b7b7-2a231339bd6f"]}],"mendeley":{"formattedCitation":"&lt;sup&gt;8,9&lt;/sup&gt;","plainTextFormattedCitation":"8,9","previouslyFormattedCitation":"&lt;sup&gt;8,9&lt;/sup&gt;"},"properties":{"noteIndex":0},"schema":"https://github.com/citation-style-language/schema/raw/master/csl-citation.json"}</w:instrText>
      </w:r>
      <w:r w:rsidR="00355B2B" w:rsidRPr="00161C60">
        <w:rPr>
          <w:rFonts w:ascii="Helvetica" w:hAnsi="Helvetica" w:cs="Helvetica"/>
        </w:rPr>
        <w:fldChar w:fldCharType="separate"/>
      </w:r>
      <w:r w:rsidR="008B6B17" w:rsidRPr="00161C60">
        <w:rPr>
          <w:rFonts w:ascii="Helvetica" w:hAnsi="Helvetica" w:cs="Helvetica"/>
          <w:noProof/>
          <w:vertAlign w:val="superscript"/>
        </w:rPr>
        <w:t>8,9</w:t>
      </w:r>
      <w:r w:rsidR="00355B2B" w:rsidRPr="00161C60">
        <w:rPr>
          <w:rFonts w:ascii="Helvetica" w:hAnsi="Helvetica" w:cs="Helvetica"/>
        </w:rPr>
        <w:fldChar w:fldCharType="end"/>
      </w:r>
      <w:r w:rsidRPr="00161C60">
        <w:rPr>
          <w:rFonts w:ascii="Helvetica" w:hAnsi="Helvetica" w:cs="Helvetica"/>
        </w:rPr>
        <w:t xml:space="preserve">. </w:t>
      </w:r>
      <w:r w:rsidR="002D2A7D">
        <w:rPr>
          <w:rFonts w:ascii="Helvetica" w:hAnsi="Helvetica" w:cs="Helvetica"/>
        </w:rPr>
        <w:t>A</w:t>
      </w:r>
      <w:r w:rsidRPr="00161C60">
        <w:rPr>
          <w:rFonts w:ascii="Helvetica" w:hAnsi="Helvetica" w:cs="Helvetica"/>
        </w:rPr>
        <w:t>ddition</w:t>
      </w:r>
      <w:r w:rsidR="002D2A7D">
        <w:rPr>
          <w:rFonts w:ascii="Helvetica" w:hAnsi="Helvetica" w:cs="Helvetica"/>
        </w:rPr>
        <w:t>al</w:t>
      </w:r>
      <w:r w:rsidRPr="00161C60">
        <w:rPr>
          <w:rFonts w:ascii="Helvetica" w:hAnsi="Helvetica" w:cs="Helvetica"/>
        </w:rPr>
        <w:t xml:space="preserve"> </w:t>
      </w:r>
      <w:r w:rsidR="002D2A7D">
        <w:rPr>
          <w:rFonts w:ascii="Helvetica" w:hAnsi="Helvetica" w:cs="Helvetica"/>
        </w:rPr>
        <w:t>preventive st</w:t>
      </w:r>
      <w:r w:rsidR="00A300B9">
        <w:rPr>
          <w:rFonts w:ascii="Helvetica" w:hAnsi="Helvetica" w:cs="Helvetica"/>
        </w:rPr>
        <w:t>rategies</w:t>
      </w:r>
      <w:r w:rsidRPr="00161C60">
        <w:rPr>
          <w:rFonts w:ascii="Helvetica" w:hAnsi="Helvetica" w:cs="Helvetica"/>
        </w:rPr>
        <w:t xml:space="preserve"> include healthy eating with adequate calcium and vitamin D, not smoking or consuming excessive alcohol and being physically active</w:t>
      </w:r>
      <w:r w:rsidR="008D2F46" w:rsidRPr="008D2F46">
        <w:rPr>
          <w:rFonts w:ascii="Helvetica" w:hAnsi="Helvetica" w:cs="Helvetica"/>
        </w:rPr>
        <w:t xml:space="preserve"> </w:t>
      </w:r>
      <w:r w:rsidR="008D2F46">
        <w:rPr>
          <w:rFonts w:ascii="Helvetica" w:hAnsi="Helvetica" w:cs="Helvetica"/>
        </w:rPr>
        <w:t>in adolescence and young adulthood to maximize peak bone mass</w:t>
      </w:r>
      <w:r w:rsidR="008D2F46" w:rsidRPr="00161C60">
        <w:rPr>
          <w:rFonts w:ascii="Helvetica" w:hAnsi="Helvetica" w:cs="Helvetica"/>
        </w:rPr>
        <w:t>.</w:t>
      </w:r>
      <w:r w:rsidR="000B6521" w:rsidRPr="00161C60">
        <w:rPr>
          <w:rFonts w:ascii="Helvetica" w:hAnsi="Helvetica" w:cs="Helvetica"/>
        </w:rPr>
        <w:fldChar w:fldCharType="begin" w:fldLock="1"/>
      </w:r>
      <w:r w:rsidR="000B6521" w:rsidRPr="00161C60">
        <w:rPr>
          <w:rFonts w:ascii="Helvetica" w:hAnsi="Helvetica" w:cs="Helvetica"/>
        </w:rPr>
        <w:instrText>ADDIN CSL_CITATION {"citationItems":[{"id":"ITEM-1","itemData":{"DOI":"10.1007/s11657-017-0324-5","ISSN":"18623514","PMID":"28425085","abstract":"Introduction: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Osteoporosis","id":"ITEM-1","issue":"1","issued":{"date-parts":[["2017"]]},"publisher":"Archives of Osteoporosis","title":"UK clinical guideline for the prevention and treatment of osteoporosis","type":"article-journal","volume":"12"},"uris":["http://www.mendeley.com/documents/?uuid=3515a08f-a10e-4464-9100-438ce757ba9d"]},{"id":"ITEM-2","itemData":{"ISBN":"9781909103757","URL":"http://www.sign.ac.uk/assets/sign142.pdf","author":[{"dropping-particle":"","family":"Gyle","given":"S. (Scottish Intercollegiate Guidelines Network)","non-dropping-particle":"","parse-names":false,"suffix":""}],"container-title":"SIGN 142","id":"ITEM-2","issue":"March 2015","issued":{"date-parts":[["2020"]]},"title":"Management of Osteoporosis and Prevention of Fragility Fractures.","type":"webpage"},"uris":["http://www.mendeley.com/documents/?uuid=a6668861-71a2-48ac-b7b7-2a231339bd6f"]}],"mendeley":{"formattedCitation":"&lt;sup&gt;8,9&lt;/sup&gt;","plainTextFormattedCitation":"8,9","previouslyFormattedCitation":"&lt;sup&gt;8,9&lt;/sup&gt;"},"properties":{"noteIndex":0},"schema":"https://github.com/citation-style-language/schema/raw/master/csl-citation.json"}</w:instrText>
      </w:r>
      <w:r w:rsidR="000B6521" w:rsidRPr="00161C60">
        <w:rPr>
          <w:rFonts w:ascii="Helvetica" w:hAnsi="Helvetica" w:cs="Helvetica"/>
        </w:rPr>
        <w:fldChar w:fldCharType="separate"/>
      </w:r>
      <w:r w:rsidR="000B6521" w:rsidRPr="00161C60">
        <w:rPr>
          <w:rFonts w:ascii="Helvetica" w:hAnsi="Helvetica" w:cs="Helvetica"/>
          <w:noProof/>
          <w:vertAlign w:val="superscript"/>
        </w:rPr>
        <w:t>8,9</w:t>
      </w:r>
      <w:r w:rsidR="000B6521" w:rsidRPr="00161C60">
        <w:rPr>
          <w:rFonts w:ascii="Helvetica" w:hAnsi="Helvetica" w:cs="Helvetica"/>
        </w:rPr>
        <w:fldChar w:fldCharType="end"/>
      </w:r>
      <w:r w:rsidR="00506C5E" w:rsidRPr="00161C60">
        <w:rPr>
          <w:rFonts w:ascii="Helvetica" w:hAnsi="Helvetica" w:cs="Helvetica"/>
        </w:rPr>
        <w:t>.</w:t>
      </w:r>
    </w:p>
    <w:p w14:paraId="35A51DF3" w14:textId="1A81CC25" w:rsidR="00956926" w:rsidRPr="00161C60" w:rsidRDefault="00956926" w:rsidP="005B76DF">
      <w:pPr>
        <w:spacing w:before="120" w:after="0" w:line="240" w:lineRule="auto"/>
        <w:rPr>
          <w:rFonts w:ascii="Helvetica" w:hAnsi="Helvetica" w:cs="Helvetica"/>
        </w:rPr>
      </w:pPr>
      <w:r w:rsidRPr="00161C60">
        <w:rPr>
          <w:rFonts w:ascii="Helvetica" w:hAnsi="Helvetica" w:cs="Helvetica"/>
        </w:rPr>
        <w:t xml:space="preserve">Epidemiological and intervention studies provide evidence of a strong relationship between physical activity, exercise and bone health, with regular exercisers having </w:t>
      </w:r>
      <w:r w:rsidR="00DC2A29" w:rsidRPr="00161C60">
        <w:rPr>
          <w:rFonts w:ascii="Helvetica" w:hAnsi="Helvetica" w:cs="Helvetica"/>
        </w:rPr>
        <w:t xml:space="preserve">a </w:t>
      </w:r>
      <w:r w:rsidRPr="00161C60">
        <w:rPr>
          <w:rFonts w:ascii="Helvetica" w:hAnsi="Helvetica" w:cs="Helvetica"/>
        </w:rPr>
        <w:t>lower incidence of fracture</w:t>
      </w:r>
      <w:r w:rsidR="00FA35A1" w:rsidRPr="00161C60">
        <w:rPr>
          <w:rFonts w:ascii="Helvetica" w:hAnsi="Helvetica" w:cs="Helvetica"/>
        </w:rPr>
        <w:fldChar w:fldCharType="begin" w:fldLock="1"/>
      </w:r>
      <w:r w:rsidR="00DF44C9" w:rsidRPr="00161C60">
        <w:rPr>
          <w:rFonts w:ascii="Helvetica" w:hAnsi="Helvetica" w:cs="Helvetica"/>
        </w:rPr>
        <w:instrText>ADDIN CSL_CITATION {"citationItems":[{"id":"ITEM-1","itemData":{"DOI":"10.1016/j.annepidem.2008.08.007","ISSN":"10472797","PMID":"18809340","abstract":"Purpose: Physical activity helps maintain mobility, physical functioning, bone mineral density (BMD), muscle strength, balance and, therefore, may help prevent falls and fractures among the elderly. Meanwhile, it is theoretically possible that physical activity increases risk of fractures as it may increase risk of falls and has only a modest effect on BMD. This review aims to assess the potential causal association between physical activity and osteoporotic fractures from an epidemiological viewpoint. Methods: As the medical literature lacks direct evidence from randomized controlled trials (RCTs) with fracture end points, a meta-analysis of 13 prospective cohort studies with hip fracture end point is presented. The current evidence base regarding the link between exercise and fracture risk determinants (namely, falls, BMD, and bone quality) are also summarized. Results: Moderate-to-vigorous physical activity is associated with a hip fracture risk reduction of 45% (95% CI, 31-56%) and 38% (95% CI, 31-44%), respectively, among men and women. Risk of falling is suggested to be generally reduced among physically active people with a potential increased risk in the most active and inactive people. Positive effects of physical activity on BMD and bone quality are of a questionable magnitude for reduction of fracture risk. Conclusion: The complexity of relationship between physical activity and osteoporotic fractures points out to the need for RCTs to be conducted with fractures as the primary end point. © 2008 Elsevier Inc. All rights reserved.","author":[{"dropping-particle":"","family":"Moayyeri","given":"Alireza","non-dropping-particle":"","parse-names":false,"suffix":""}],"container-title":"Annals of Epidemiology","id":"ITEM-1","issue":"11","issued":{"date-parts":[["2008"]]},"page":"827-835","title":"The Association Between Physical Activity and Osteoporotic Fractures: A Review of the Evidence and Implications for Future Research","type":"article-journal","volume":"18"},"uris":["http://www.mendeley.com/documents/?uuid=b0b9af88-f7dc-4d20-83d2-72d4b9c3d702"]}],"mendeley":{"formattedCitation":"&lt;sup&gt;10&lt;/sup&gt;","plainTextFormattedCitation":"10","previouslyFormattedCitation":"&lt;sup&gt;10&lt;/sup&gt;"},"properties":{"noteIndex":0},"schema":"https://github.com/citation-style-language/schema/raw/master/csl-citation.json"}</w:instrText>
      </w:r>
      <w:r w:rsidR="00FA35A1" w:rsidRPr="00161C60">
        <w:rPr>
          <w:rFonts w:ascii="Helvetica" w:hAnsi="Helvetica" w:cs="Helvetica"/>
        </w:rPr>
        <w:fldChar w:fldCharType="separate"/>
      </w:r>
      <w:r w:rsidR="008B6B17" w:rsidRPr="00161C60">
        <w:rPr>
          <w:rFonts w:ascii="Helvetica" w:hAnsi="Helvetica" w:cs="Helvetica"/>
          <w:noProof/>
          <w:vertAlign w:val="superscript"/>
        </w:rPr>
        <w:t>10</w:t>
      </w:r>
      <w:r w:rsidR="00FA35A1" w:rsidRPr="00161C60">
        <w:rPr>
          <w:rFonts w:ascii="Helvetica" w:hAnsi="Helvetica" w:cs="Helvetica"/>
        </w:rPr>
        <w:fldChar w:fldCharType="end"/>
      </w:r>
      <w:r w:rsidRPr="00161C60">
        <w:rPr>
          <w:rFonts w:ascii="Helvetica" w:hAnsi="Helvetica" w:cs="Helvetica"/>
        </w:rPr>
        <w:t xml:space="preserve">.  </w:t>
      </w:r>
      <w:r w:rsidR="002B487E">
        <w:rPr>
          <w:rFonts w:ascii="Helvetica" w:hAnsi="Helvetica" w:cs="Helvetica"/>
        </w:rPr>
        <w:t>E</w:t>
      </w:r>
      <w:r w:rsidR="00BB1FC9" w:rsidRPr="00161C60">
        <w:rPr>
          <w:rFonts w:ascii="Helvetica" w:hAnsi="Helvetica" w:cs="Helvetica"/>
        </w:rPr>
        <w:t>xercise can</w:t>
      </w:r>
      <w:r w:rsidR="002B487E">
        <w:rPr>
          <w:rFonts w:ascii="Helvetica" w:hAnsi="Helvetica" w:cs="Helvetica"/>
        </w:rPr>
        <w:t xml:space="preserve"> both</w:t>
      </w:r>
      <w:r w:rsidR="00BB1FC9" w:rsidRPr="00161C60">
        <w:rPr>
          <w:rFonts w:ascii="Helvetica" w:hAnsi="Helvetica" w:cs="Helvetica"/>
        </w:rPr>
        <w:t xml:space="preserve"> increase bone mineral density (BMD) and reduce falls risk. </w:t>
      </w:r>
      <w:r w:rsidRPr="00161C60">
        <w:rPr>
          <w:rFonts w:ascii="Helvetica" w:hAnsi="Helvetica" w:cs="Helvetica"/>
        </w:rPr>
        <w:t>However</w:t>
      </w:r>
      <w:r w:rsidR="003970FF" w:rsidRPr="00161C60">
        <w:rPr>
          <w:rFonts w:ascii="Helvetica" w:hAnsi="Helvetica" w:cs="Helvetica"/>
        </w:rPr>
        <w:t>,</w:t>
      </w:r>
      <w:r w:rsidRPr="00161C60">
        <w:rPr>
          <w:rFonts w:ascii="Helvetica" w:hAnsi="Helvetica" w:cs="Helvetica"/>
        </w:rPr>
        <w:t xml:space="preserve"> there is still uncertainty about whether </w:t>
      </w:r>
      <w:r w:rsidR="00DC2A29" w:rsidRPr="00161C60">
        <w:rPr>
          <w:rFonts w:ascii="Helvetica" w:hAnsi="Helvetica" w:cs="Helvetica"/>
        </w:rPr>
        <w:t xml:space="preserve">increasing volume and intensity </w:t>
      </w:r>
      <w:r w:rsidRPr="00161C60">
        <w:rPr>
          <w:rFonts w:ascii="Helvetica" w:hAnsi="Helvetica" w:cs="Helvetica"/>
        </w:rPr>
        <w:t xml:space="preserve">of exercise, especially in later life or when bone strength is compromised, will improve bone strength, </w:t>
      </w:r>
      <w:r w:rsidR="000E7971" w:rsidRPr="00161C60">
        <w:rPr>
          <w:rFonts w:ascii="Helvetica" w:hAnsi="Helvetica" w:cs="Helvetica"/>
        </w:rPr>
        <w:t xml:space="preserve">and </w:t>
      </w:r>
      <w:r w:rsidRPr="00161C60">
        <w:rPr>
          <w:rFonts w:ascii="Helvetica" w:hAnsi="Helvetica" w:cs="Helvetica"/>
        </w:rPr>
        <w:t xml:space="preserve">importantly what type or intensity of exercise intervention is most beneficial.  </w:t>
      </w:r>
    </w:p>
    <w:p w14:paraId="4783EC81" w14:textId="37C8D294" w:rsidR="002B25AC" w:rsidRPr="00161C60" w:rsidRDefault="00BB1FC9" w:rsidP="005B76DF">
      <w:pPr>
        <w:spacing w:before="120" w:after="0" w:line="240" w:lineRule="auto"/>
        <w:rPr>
          <w:rFonts w:ascii="Helvetica" w:hAnsi="Helvetica" w:cs="Helvetica"/>
        </w:rPr>
      </w:pPr>
      <w:r w:rsidRPr="00161C60">
        <w:rPr>
          <w:rFonts w:ascii="Helvetica" w:hAnsi="Helvetica" w:cs="Helvetica"/>
        </w:rPr>
        <w:t xml:space="preserve">Osteoporotic fractures may be precipitated by a fall or </w:t>
      </w:r>
      <w:r w:rsidR="001B3C34" w:rsidRPr="00161C60">
        <w:rPr>
          <w:rFonts w:ascii="Helvetica" w:hAnsi="Helvetica" w:cs="Helvetica"/>
        </w:rPr>
        <w:t xml:space="preserve">with </w:t>
      </w:r>
      <w:r w:rsidR="009C7F9F" w:rsidRPr="00161C60">
        <w:rPr>
          <w:rFonts w:ascii="Helvetica" w:hAnsi="Helvetica" w:cs="Helvetica"/>
        </w:rPr>
        <w:t>loading during</w:t>
      </w:r>
      <w:r w:rsidRPr="00161C60">
        <w:rPr>
          <w:rFonts w:ascii="Helvetica" w:hAnsi="Helvetica" w:cs="Helvetica"/>
        </w:rPr>
        <w:t xml:space="preserve"> activit</w:t>
      </w:r>
      <w:r w:rsidR="009C7F9F" w:rsidRPr="00161C60">
        <w:rPr>
          <w:rFonts w:ascii="Helvetica" w:hAnsi="Helvetica" w:cs="Helvetica"/>
        </w:rPr>
        <w:t>y</w:t>
      </w:r>
      <w:r w:rsidRPr="00161C60">
        <w:rPr>
          <w:rFonts w:ascii="Helvetica" w:hAnsi="Helvetica" w:cs="Helvetica"/>
        </w:rPr>
        <w:t>. People with osteoporosis and health professionals are thus concerned that physical activity could increase</w:t>
      </w:r>
      <w:r w:rsidR="001367C0">
        <w:rPr>
          <w:rFonts w:ascii="Helvetica" w:hAnsi="Helvetica" w:cs="Helvetica"/>
        </w:rPr>
        <w:t xml:space="preserve"> fracture</w:t>
      </w:r>
      <w:r w:rsidRPr="00161C60">
        <w:rPr>
          <w:rFonts w:ascii="Helvetica" w:hAnsi="Helvetica" w:cs="Helvetica"/>
        </w:rPr>
        <w:t xml:space="preserve"> risk, although evidence </w:t>
      </w:r>
      <w:r w:rsidR="00BA3FBE" w:rsidRPr="00161C60">
        <w:rPr>
          <w:rFonts w:ascii="Helvetica" w:hAnsi="Helvetica" w:cs="Helvetica"/>
        </w:rPr>
        <w:t>to support these concerns</w:t>
      </w:r>
      <w:r w:rsidR="007711E2" w:rsidRPr="00161C60">
        <w:rPr>
          <w:rFonts w:ascii="Helvetica" w:hAnsi="Helvetica" w:cs="Helvetica"/>
        </w:rPr>
        <w:t xml:space="preserve"> </w:t>
      </w:r>
      <w:r w:rsidRPr="00161C60">
        <w:rPr>
          <w:rFonts w:ascii="Helvetica" w:hAnsi="Helvetica" w:cs="Helvetica"/>
        </w:rPr>
        <w:t xml:space="preserve">is very limited. </w:t>
      </w:r>
      <w:r w:rsidR="00E44673">
        <w:rPr>
          <w:rFonts w:ascii="Helvetica" w:hAnsi="Helvetica" w:cs="Helvetica"/>
        </w:rPr>
        <w:t>U</w:t>
      </w:r>
      <w:r w:rsidR="00E44673" w:rsidRPr="00161C60">
        <w:rPr>
          <w:rFonts w:ascii="Helvetica" w:hAnsi="Helvetica" w:cs="Helvetica"/>
        </w:rPr>
        <w:t xml:space="preserve">ncertainty </w:t>
      </w:r>
      <w:r w:rsidR="00C9308C" w:rsidRPr="00161C60">
        <w:rPr>
          <w:rFonts w:ascii="Helvetica" w:hAnsi="Helvetica" w:cs="Helvetica"/>
        </w:rPr>
        <w:t xml:space="preserve">persists </w:t>
      </w:r>
      <w:r w:rsidR="00D97624" w:rsidRPr="00161C60">
        <w:rPr>
          <w:rFonts w:ascii="Helvetica" w:hAnsi="Helvetica" w:cs="Helvetica"/>
        </w:rPr>
        <w:t xml:space="preserve">around what is appropriate </w:t>
      </w:r>
      <w:r w:rsidR="00526170">
        <w:rPr>
          <w:rFonts w:ascii="Helvetica" w:hAnsi="Helvetica" w:cs="Helvetica"/>
        </w:rPr>
        <w:t>and</w:t>
      </w:r>
      <w:r w:rsidR="00526170" w:rsidRPr="00161C60">
        <w:rPr>
          <w:rFonts w:ascii="Helvetica" w:hAnsi="Helvetica" w:cs="Helvetica"/>
        </w:rPr>
        <w:t xml:space="preserve"> </w:t>
      </w:r>
      <w:r w:rsidR="00D97624" w:rsidRPr="00161C60">
        <w:rPr>
          <w:rFonts w:ascii="Helvetica" w:hAnsi="Helvetica" w:cs="Helvetica"/>
        </w:rPr>
        <w:t>safe</w:t>
      </w:r>
      <w:r w:rsidR="00526170">
        <w:rPr>
          <w:rFonts w:ascii="Helvetica" w:hAnsi="Helvetica" w:cs="Helvetica"/>
        </w:rPr>
        <w:t xml:space="preserve"> in people with, or at risk of osteoporosis</w:t>
      </w:r>
      <w:r w:rsidR="00D97624" w:rsidRPr="00161C60">
        <w:rPr>
          <w:rFonts w:ascii="Helvetica" w:hAnsi="Helvetica" w:cs="Helvetica"/>
        </w:rPr>
        <w:t xml:space="preserve">, and may be accompanied by concerns about liability. As a result, people significantly reduce activity levels, limiting both function and enjoyment </w:t>
      </w:r>
      <w:r w:rsidRPr="00161C60">
        <w:rPr>
          <w:rFonts w:ascii="Helvetica" w:hAnsi="Helvetica" w:cs="Helvetica"/>
        </w:rPr>
        <w:fldChar w:fldCharType="begin" w:fldLock="1"/>
      </w:r>
      <w:r w:rsidR="008A29C3">
        <w:rPr>
          <w:rFonts w:ascii="Helvetica" w:hAnsi="Helvetica" w:cs="Helvetica"/>
        </w:rPr>
        <w:instrText>ADDIN CSL_CITATION {"citationItems":[{"id":"ITEM-1","itemData":{"DOI":"10.1080/02813430701305668","ISSN":"0281-3432","PMID":"17846934","abstract":"OBJECTIVE To explore elderly women's physical activity in relation to their perception of the risk of osteoporosis. DESIGN Qualitative study using in-depth interviews. SETTING Informants were purposely selected from a Danish population-based, age-specific cohort study conducted in the county of Copenhagen with people born in 1936. SUBJECTS Women in their sixties. RESULTS Women who perceived a current risk of osteoporosis tended to reduce their physical activity in an attempt to reduce the risk of bone damage. This behaviour was related to the imagined fragility of the bones (the risk inside the body), and the actual situations (the risk outside the body), including places and activities. Knowledge of a reduced bone mass reinforced the women's uncertainty about what their bones could endure. Experiences managing physical activity without injury resulted in reinterpretations of their risk of bone fractures and increased physical activity. CONCLUSIONS Perceived risk of osteoporosis may lead to decreased physical activity and hence actually increase the risk. When informing individuals about health risk people's images and imaginations of the actual risk have to be acknowledged. When a bone scan is being considered, explicit advice encouraging physical activity - especially the weight-bearing kind - should be stressed.","author":[{"dropping-particle":"","family":"Reventlow","given":"Susanne Dalsgaard","non-dropping-particle":"","parse-names":false,"suffix":""}],"container-title":"Scandinavian journal of primary health care","id":"ITEM-1","issue":"3","issued":{"date-parts":[["2007","9"]]},"page":"160-5","publisher":"Taylor &amp; Francis","title":"Perceived risk of osteoporosis: restricted physical activities? Qualitative interview study with women in their sixties.","type":"article-journal","volume":"25"},"uris":["http://www.mendeley.com/documents/?uuid=fa239872-f58b-3624-b887-f3a3098f4dc4","http://www.mendeley.com/documents/?uuid=ca3e0c3f-ac56-42bb-af2a-2047df0354c1"]}],"mendeley":{"formattedCitation":"&lt;sup&gt;11&lt;/sup&gt;","plainTextFormattedCitation":"11","previouslyFormattedCitation":"&lt;sup&gt;11&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11</w:t>
      </w:r>
      <w:r w:rsidRPr="00161C60">
        <w:rPr>
          <w:rFonts w:ascii="Helvetica" w:hAnsi="Helvetica" w:cs="Helvetica"/>
        </w:rPr>
        <w:fldChar w:fldCharType="end"/>
      </w:r>
      <w:r w:rsidR="009C7F9F" w:rsidRPr="00161C60">
        <w:rPr>
          <w:rFonts w:ascii="Helvetica" w:hAnsi="Helvetica" w:cs="Helvetica"/>
        </w:rPr>
        <w:t>.</w:t>
      </w:r>
      <w:r w:rsidR="00D97624" w:rsidRPr="00161C60">
        <w:rPr>
          <w:rFonts w:ascii="Helvetica" w:hAnsi="Helvetica" w:cs="Helvetica"/>
        </w:rPr>
        <w:t xml:space="preserve"> This may have important adverse implications for their bone health, falls and future fracture risk.</w:t>
      </w:r>
    </w:p>
    <w:p w14:paraId="053F3105" w14:textId="34955885" w:rsidR="00956926" w:rsidRPr="00161C60" w:rsidRDefault="00526170" w:rsidP="005B76DF">
      <w:pPr>
        <w:spacing w:before="120" w:after="0" w:line="240" w:lineRule="auto"/>
        <w:rPr>
          <w:rFonts w:ascii="Helvetica" w:hAnsi="Helvetica" w:cs="Helvetica"/>
        </w:rPr>
      </w:pPr>
      <w:r>
        <w:rPr>
          <w:rFonts w:ascii="Helvetica" w:hAnsi="Helvetica" w:cs="Helvetica"/>
        </w:rPr>
        <w:t>For</w:t>
      </w:r>
      <w:r w:rsidR="002B25AC" w:rsidRPr="00161C60">
        <w:rPr>
          <w:rFonts w:ascii="Helvetica" w:hAnsi="Helvetica" w:cs="Helvetica"/>
        </w:rPr>
        <w:t xml:space="preserve"> the vast majority of adults and older adults, taking part in activities that promote muscle and bone strength is safe and will help maintain or improve function, irrespective of age or health </w:t>
      </w:r>
      <w:r w:rsidR="00EE444D"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Care","given":"","non-dropping-particle":"","parse-names":false,"suffix":""}],"id":"ITEM-3","issued":{"date-parts":[["2019"]]},"title":"UK Chief Medical Officers’ Physical Activity Guidelines.","type":"webpage"},"uris":["http://www.mendeley.com/documents/?uuid=0ef2c276-caf9-4e59-a59a-6c3318f18bf9"]}],"mendeley":{"formattedCitation":"&lt;sup&gt;12–14&lt;/sup&gt;","plainTextFormattedCitation":"12–14","previouslyFormattedCitation":"&lt;sup&gt;12–14&lt;/sup&gt;"},"properties":{"noteIndex":0},"schema":"https://github.com/citation-style-language/schema/raw/master/csl-citation.json"}</w:instrText>
      </w:r>
      <w:r w:rsidR="00EE444D" w:rsidRPr="00161C60">
        <w:rPr>
          <w:rFonts w:ascii="Helvetica" w:hAnsi="Helvetica" w:cs="Helvetica"/>
        </w:rPr>
        <w:fldChar w:fldCharType="separate"/>
      </w:r>
      <w:r w:rsidR="001B5724" w:rsidRPr="001B5724">
        <w:rPr>
          <w:rFonts w:ascii="Helvetica" w:hAnsi="Helvetica" w:cs="Helvetica"/>
          <w:noProof/>
          <w:vertAlign w:val="superscript"/>
        </w:rPr>
        <w:t>12–14</w:t>
      </w:r>
      <w:r w:rsidR="00EE444D" w:rsidRPr="00161C60">
        <w:rPr>
          <w:rFonts w:ascii="Helvetica" w:hAnsi="Helvetica" w:cs="Helvetica"/>
        </w:rPr>
        <w:fldChar w:fldCharType="end"/>
      </w:r>
      <w:r w:rsidR="00D771E5" w:rsidRPr="00161C60">
        <w:rPr>
          <w:rFonts w:ascii="Helvetica" w:hAnsi="Helvetica" w:cs="Helvetica"/>
        </w:rPr>
        <w:t>.</w:t>
      </w:r>
      <w:r w:rsidR="002B25AC" w:rsidRPr="00161C60">
        <w:rPr>
          <w:rFonts w:ascii="Helvetica" w:hAnsi="Helvetica" w:cs="Helvetica"/>
        </w:rPr>
        <w:t xml:space="preserve"> </w:t>
      </w:r>
      <w:r w:rsidR="00580767">
        <w:rPr>
          <w:rFonts w:ascii="Helvetica" w:hAnsi="Helvetica" w:cs="Helvetica"/>
        </w:rPr>
        <w:t>Providing</w:t>
      </w:r>
      <w:r w:rsidR="002B25AC" w:rsidRPr="00161C60">
        <w:rPr>
          <w:rFonts w:ascii="Helvetica" w:hAnsi="Helvetica" w:cs="Helvetica"/>
        </w:rPr>
        <w:t xml:space="preserve"> authoritative and effective guidance may prompt an increase in physical activity and exercise. This will have wider beneficial effects on physical, social and psychological health </w:t>
      </w:r>
      <w:bookmarkStart w:id="1" w:name="_Toc512605512"/>
      <w:bookmarkStart w:id="2" w:name="_Toc513730642"/>
      <w:r w:rsidR="00E71C25" w:rsidRPr="00161C60">
        <w:rPr>
          <w:rFonts w:ascii="Helvetica" w:hAnsi="Helvetica" w:cs="Helvetica"/>
        </w:rPr>
        <w:fldChar w:fldCharType="begin" w:fldLock="1"/>
      </w:r>
      <w:r w:rsidR="008A29C3">
        <w:rPr>
          <w:rFonts w:ascii="Helvetica" w:hAnsi="Helvetica" w:cs="Helvetica"/>
        </w:rPr>
        <w:instrText>ADDIN CSL_CITATION {"citationItems":[{"id":"ITEM-1","itemData":{"abstract":"This article addresses the centrality of the self-efficacy mechanism in human agency. Self-per-cepts of efficacy influence thought patterns, actions, and emotional arousal. In causal tests the higher the level of induced self-efficacy, the higher the performance accomplishments and the lower the emotional arousal. Different lines of research are reviewed, showing that the self-efficacy mechanism may have wide explanatory power. Perceived self-efficacy helps to account for such diverse phenomena as changes in coping behavior produced by different modes of influence, level of physiological stress reactions, self-regulation of refractory behavior, resignation and despondency to failure experiences, self-debilitating effects of proxy control and illusory inefficaciousness, achievement strivings, growth of intrinsic interest, and career pursuits. The influential role of perceived collective efficacy in social change is analyzed, as are the social conditions conducive to development of collective inefficacy.","author":[{"dropping-particle":"","family":"Bandurra","given":"A.","non-dropping-particle":"","parse-names":false,"suffix":""}],"container-title":"American Psychologist","id":"ITEM-1","issue":"2","issued":{"date-parts":[["1982"]]},"page":"122-147","title":"Self-efficacy mechanism in human agency.","type":"article-journal","volume":"37"},"uris":["http://www.mendeley.com/documents/?uuid=d1e13949-72cc-3b34-926d-9b69bf94677a","http://www.mendeley.com/documents/?uuid=3bcd988b-d193-4bfa-8719-71c464e84f72"]},{"id":"ITEM-2","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Care","given":"","non-dropping-particle":"","parse-names":false,"suffix":""}],"id":"ITEM-2","issued":{"date-parts":[["2019"]]},"title":"UK Chief Medical Officers’ Physical Activity Guidelines.","type":"webpage"},"uris":["http://www.mendeley.com/documents/?uuid=0ef2c276-caf9-4e59-a59a-6c3318f18bf9"]}],"mendeley":{"formattedCitation":"&lt;sup&gt;14,15&lt;/sup&gt;","plainTextFormattedCitation":"14,15","previouslyFormattedCitation":"&lt;sup&gt;14,15&lt;/sup&gt;"},"properties":{"noteIndex":0},"schema":"https://github.com/citation-style-language/schema/raw/master/csl-citation.json"}</w:instrText>
      </w:r>
      <w:r w:rsidR="00E71C25" w:rsidRPr="00161C60">
        <w:rPr>
          <w:rFonts w:ascii="Helvetica" w:hAnsi="Helvetica" w:cs="Helvetica"/>
        </w:rPr>
        <w:fldChar w:fldCharType="separate"/>
      </w:r>
      <w:r w:rsidR="001B5724" w:rsidRPr="001B5724">
        <w:rPr>
          <w:rFonts w:ascii="Helvetica" w:hAnsi="Helvetica" w:cs="Helvetica"/>
          <w:noProof/>
          <w:vertAlign w:val="superscript"/>
        </w:rPr>
        <w:t>14,15</w:t>
      </w:r>
      <w:r w:rsidR="00E71C25" w:rsidRPr="00161C60">
        <w:rPr>
          <w:rFonts w:ascii="Helvetica" w:hAnsi="Helvetica" w:cs="Helvetica"/>
        </w:rPr>
        <w:fldChar w:fldCharType="end"/>
      </w:r>
      <w:r w:rsidR="009A049F">
        <w:rPr>
          <w:rFonts w:ascii="Helvetica" w:hAnsi="Helvetica" w:cs="Helvetica"/>
        </w:rPr>
        <w:t xml:space="preserve"> </w:t>
      </w:r>
      <w:r w:rsidR="005D3E44">
        <w:rPr>
          <w:rFonts w:ascii="Helvetica" w:hAnsi="Helvetica" w:cs="Helvetica"/>
        </w:rPr>
        <w:t xml:space="preserve">alongside physical literacy, including </w:t>
      </w:r>
      <w:r w:rsidR="00111872" w:rsidRPr="00161C60">
        <w:rPr>
          <w:rFonts w:ascii="Helvetica" w:hAnsi="Helvetica" w:cs="Helvetica"/>
        </w:rPr>
        <w:t xml:space="preserve">physical competence, knowledge and understanding to </w:t>
      </w:r>
      <w:r w:rsidR="005D3E44">
        <w:rPr>
          <w:rFonts w:ascii="Helvetica" w:hAnsi="Helvetica" w:cs="Helvetica"/>
        </w:rPr>
        <w:t>engage</w:t>
      </w:r>
      <w:r w:rsidR="00111872" w:rsidRPr="00161C60">
        <w:rPr>
          <w:rFonts w:ascii="Helvetica" w:hAnsi="Helvetica" w:cs="Helvetica"/>
        </w:rPr>
        <w:t xml:space="preserve"> in physical activities for life</w:t>
      </w:r>
      <w:r w:rsidR="00CF50AC">
        <w:rPr>
          <w:rFonts w:ascii="Helvetica" w:hAnsi="Helvetica" w:cs="Helvetica"/>
        </w:rPr>
        <w:fldChar w:fldCharType="begin" w:fldLock="1"/>
      </w:r>
      <w:r w:rsidR="008A29C3">
        <w:rPr>
          <w:rFonts w:ascii="Helvetica" w:hAnsi="Helvetica" w:cs="Helvetica"/>
        </w:rPr>
        <w:instrText>ADDIN CSL_CITATION {"citationItems":[{"id":"ITEM-1","itemData":{"author":[{"dropping-particle":"","family":"Jones","given":"Gareth R","non-dropping-particle":"","parse-names":false,"suffix":""},{"dropping-particle":"","family":"Stathokostas","given":"Liza","non-dropping-particle":"","parse-names":false,"suffix":""},{"dropping-particle":"","family":"Young","given":"Bradley W","non-dropping-particle":"","parse-names":false,"suffix":""},{"dropping-particle":"V","family":"Wister","given":"Andrew","non-dropping-particle":"","parse-names":false,"suffix":""},{"dropping-particle":"","family":"Chau","given":"Shirley","non-dropping-particle":"","parse-names":false,"suffix":""},{"dropping-particle":"","family":"Clark","given":"Patricia","non-dropping-particle":"","parse-names":false,"suffix":""},{"dropping-particle":"","family":"Duggan","given":"Mary","non-dropping-particle":"","parse-names":false,"suffix":""},{"dropping-particle":"","family":"Mitchell","given":"Drew","non-dropping-particle":"","parse-names":false,"suffix":""},{"dropping-particle":"","family":"Norland","given":"Peter","non-dropping-particle":"","parse-names":false,"suffix":""}],"container-title":"BMC Geriatrics","id":"ITEM-1","issued":{"date-parts":[["2018"]]},"page":"13","title":"Development of a physical literacy model for older adults - a consensus process by the collaborative working group on physical literacy for older Canadians","type":"article-journal","volume":"18"},"uris":["http://www.mendeley.com/documents/?uuid=32cf2af7-46a8-457e-8c3b-42c74227d04b"]},{"id":"ITEM-2","itemData":{"DOI":"10.1186/s12877-017-0687-x","ISSN":"14712318","PMID":"29338694","abstract":"Background: Arguably the uptake and usability of the physical activity (PA) guidelines for older adults has not been effective with only 12% of this population meeting the minimum guidelines to maintain health. Health promoters must consider innovative ways to increase PA adoption and long-term sustainability. Physical literacy (PL) is emerging as a promising strategy to increase lifelong PA participation in younger age-groups, yet there is relatively little evidence of PL being used to support older adults in achieving the PA guidelines. Methods: An iterative and mixed-methods consensus development process was utilized over a series of six informed processes and meetings to develop a model of physical literacy for adults aged 65 years and older. Results: A multi-disciplinary collaborative working group (n = 9) from diverse practice settings across Canada, and representative and reflective of the full range of key elements of PL, was assembled. Three consensus meetings and two Delphi surveys, using an international cohort of 65 expert researchers, practitioners, non-government organizations and older adults, was conducted. 45% responded on the first round and consensus was achieved; however, we elected to run a second survey to support our results. With 79% response rate, there was consensus to support the new PL model for older adults. Conclusion: Older adults are a unique group who have yet to be exposed to PL as a means to promote long-term PA participation. This new PL model uses an ecological approach to integrate PL into the lifestyles of most older adults. Understanding the interactions between components and elements that facilitate PL will ultimately provide a new and effective tool to target PA promotion and adherence for all older Canadians.","author":[{"dropping-particle":"","family":"Jones","given":"Gareth R.","non-dropping-particle":"","parse-names":false,"suffix":""},{"dropping-particle":"","family":"Stathokostas","given":"Liza","non-dropping-particle":"","parse-names":false,"suffix":""},{"dropping-particle":"","family":"Young","given":"Bradley W.","non-dropping-particle":"","parse-names":false,"suffix":""},{"dropping-particle":"V.","family":"Wister","given":"Andrew","non-dropping-particle":"","parse-names":false,"suffix":""},{"dropping-particle":"","family":"Chau","given":"Shirley","non-dropping-particle":"","parse-names":false,"suffix":""},{"dropping-particle":"","family":"Clark","given":"Patricia","non-dropping-particle":"","parse-names":false,"suffix":""},{"dropping-particle":"","family":"Duggan","given":"Mary","non-dropping-particle":"","parse-names":false,"suffix":""},{"dropping-particle":"","family":"Mitchell","given":"Drew","non-dropping-particle":"","parse-names":false,"suffix":""},{"dropping-particle":"","family":"Nordland","given":"Peter","non-dropping-particle":"","parse-names":false,"suffix":""}],"container-title":"BMC Geriatrics","id":"ITEM-2","issue":"1","issued":{"date-parts":[["2018"]]},"page":"1-16","publisher":"BMC Geriatrics","title":"Development of a physical literacy model for older adults - A consensus process by the collaborative working group on physical literacy for older Canadians","type":"article-journal","volume":"18"},"uris":["http://www.mendeley.com/documents/?uuid=96aea5ff-d092-4d19-ab7c-7c242440ae4d"]}],"mendeley":{"formattedCitation":"&lt;sup&gt;16,17&lt;/sup&gt;","plainTextFormattedCitation":"16,17","previouslyFormattedCitation":"&lt;sup&gt;16,17&lt;/sup&gt;"},"properties":{"noteIndex":0},"schema":"https://github.com/citation-style-language/schema/raw/master/csl-citation.json"}</w:instrText>
      </w:r>
      <w:r w:rsidR="00CF50AC">
        <w:rPr>
          <w:rFonts w:ascii="Helvetica" w:hAnsi="Helvetica" w:cs="Helvetica"/>
        </w:rPr>
        <w:fldChar w:fldCharType="separate"/>
      </w:r>
      <w:r w:rsidR="001B5724" w:rsidRPr="001B5724">
        <w:rPr>
          <w:rFonts w:ascii="Helvetica" w:hAnsi="Helvetica" w:cs="Helvetica"/>
          <w:noProof/>
          <w:vertAlign w:val="superscript"/>
        </w:rPr>
        <w:t>16,17</w:t>
      </w:r>
      <w:r w:rsidR="00CF50AC">
        <w:rPr>
          <w:rFonts w:ascii="Helvetica" w:hAnsi="Helvetica" w:cs="Helvetica"/>
        </w:rPr>
        <w:fldChar w:fldCharType="end"/>
      </w:r>
      <w:r w:rsidR="009863A4" w:rsidRPr="00161C60">
        <w:rPr>
          <w:rFonts w:ascii="Helvetica" w:hAnsi="Helvetica" w:cs="Helvetica"/>
        </w:rPr>
        <w:t>.</w:t>
      </w:r>
    </w:p>
    <w:p w14:paraId="64483E1E" w14:textId="7E17A7C7" w:rsidR="00956926" w:rsidRPr="00161C60" w:rsidRDefault="00956926" w:rsidP="005B76DF">
      <w:pPr>
        <w:spacing w:before="120" w:after="0" w:line="240" w:lineRule="auto"/>
        <w:rPr>
          <w:rFonts w:ascii="Helvetica" w:hAnsi="Helvetica" w:cs="Helvetica"/>
        </w:rPr>
      </w:pPr>
      <w:r w:rsidRPr="00161C60">
        <w:rPr>
          <w:rFonts w:ascii="Helvetica" w:hAnsi="Helvetica" w:cs="Helvetica"/>
        </w:rPr>
        <w:t xml:space="preserve">There </w:t>
      </w:r>
      <w:r w:rsidR="003F0200">
        <w:rPr>
          <w:rFonts w:ascii="Helvetica" w:hAnsi="Helvetica" w:cs="Helvetica"/>
        </w:rPr>
        <w:t>i</w:t>
      </w:r>
      <w:r w:rsidR="003F0200" w:rsidRPr="00161C60">
        <w:rPr>
          <w:rFonts w:ascii="Helvetica" w:hAnsi="Helvetica" w:cs="Helvetica"/>
        </w:rPr>
        <w:t>s</w:t>
      </w:r>
      <w:r w:rsidR="00E809D4">
        <w:rPr>
          <w:rFonts w:ascii="Helvetica" w:hAnsi="Helvetica" w:cs="Helvetica"/>
        </w:rPr>
        <w:t xml:space="preserve"> </w:t>
      </w:r>
      <w:r w:rsidRPr="00161C60">
        <w:rPr>
          <w:rFonts w:ascii="Helvetica" w:hAnsi="Helvetica" w:cs="Helvetica"/>
        </w:rPr>
        <w:t xml:space="preserve">no UK guidance </w:t>
      </w:r>
      <w:r w:rsidR="003716C1" w:rsidRPr="00161C60">
        <w:rPr>
          <w:rFonts w:ascii="Helvetica" w:hAnsi="Helvetica" w:cs="Helvetica"/>
        </w:rPr>
        <w:t>on exercise and osteoporosis</w:t>
      </w:r>
      <w:r w:rsidR="00E809D4">
        <w:rPr>
          <w:rFonts w:ascii="Helvetica" w:hAnsi="Helvetica" w:cs="Helvetica"/>
        </w:rPr>
        <w:t xml:space="preserve">. </w:t>
      </w:r>
      <w:r w:rsidRPr="00161C60">
        <w:rPr>
          <w:rFonts w:ascii="Helvetica" w:hAnsi="Helvetica" w:cs="Helvetica"/>
        </w:rPr>
        <w:t>Although there is international guidance on safe and effective exercise and physical activity for bone health, from the US</w:t>
      </w:r>
      <w:r w:rsidR="00D97624" w:rsidRPr="00161C60">
        <w:rPr>
          <w:rFonts w:ascii="Helvetica" w:hAnsi="Helvetica" w:cs="Helvetica"/>
        </w:rPr>
        <w:t xml:space="preserve">A </w:t>
      </w:r>
      <w:r w:rsidRPr="00161C60">
        <w:rPr>
          <w:rFonts w:ascii="Helvetica" w:hAnsi="Helvetica" w:cs="Helvetica"/>
        </w:rPr>
        <w:fldChar w:fldCharType="begin" w:fldLock="1"/>
      </w:r>
      <w:r w:rsidR="008A29C3">
        <w:rPr>
          <w:rFonts w:ascii="Helvetica" w:hAnsi="Helvetica" w:cs="Helvetica"/>
        </w:rPr>
        <w:instrText>ADDIN CSL_CITATION {"citationItems":[{"id":"ITEM-1","itemData":{"DOI":"10.1249/01.MSS.0000142662.21767.58","ISBN":"0000142662","ISSN":"0195-9131","PMID":"15514517","abstract":"Weight-bearing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Exercise","id":"ITEM-1","issue":"11","issued":{"date-parts":[["2004"]]},"page":"1985-1996","title":"Physical Activity and Bone Health","type":"article-journal","volume":"36"},"uris":["http://www.mendeley.com/documents/?uuid=840e4446-bcd0-4e41-9f11-68cea9d1c402","http://www.mendeley.com/documents/?uuid=e93b189d-ff49-4635-9d82-5d9be2cfbb44"]}],"mendeley":{"formattedCitation":"&lt;sup&gt;18&lt;/sup&gt;","plainTextFormattedCitation":"18","previouslyFormattedCitation":"&lt;sup&gt;18&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18</w:t>
      </w:r>
      <w:r w:rsidRPr="00161C60">
        <w:rPr>
          <w:rFonts w:ascii="Helvetica" w:hAnsi="Helvetica" w:cs="Helvetica"/>
        </w:rPr>
        <w:fldChar w:fldCharType="end"/>
      </w:r>
      <w:r w:rsidRPr="00161C60">
        <w:rPr>
          <w:rFonts w:ascii="Helvetica" w:hAnsi="Helvetica" w:cs="Helvetica"/>
        </w:rPr>
        <w:t>,</w:t>
      </w:r>
      <w:r w:rsidRPr="00161C60">
        <w:rPr>
          <w:rFonts w:ascii="Helvetica" w:hAnsi="Helvetica" w:cs="Helvetica"/>
          <w:vertAlign w:val="subscript"/>
        </w:rPr>
        <w:t xml:space="preserve"> </w:t>
      </w:r>
      <w:r w:rsidR="00E71C25" w:rsidRPr="00161C60">
        <w:rPr>
          <w:rFonts w:ascii="Helvetica" w:hAnsi="Helvetica" w:cs="Helvetica"/>
          <w:vertAlign w:val="subscript"/>
        </w:rPr>
        <w:t xml:space="preserve"> </w:t>
      </w:r>
      <w:r w:rsidRPr="00161C60">
        <w:rPr>
          <w:rFonts w:ascii="Helvetica" w:hAnsi="Helvetica" w:cs="Helvetica"/>
        </w:rPr>
        <w:t>Australia</w:t>
      </w:r>
      <w:r w:rsidR="00D97624" w:rsidRPr="00161C60">
        <w:rPr>
          <w:rFonts w:ascii="Helvetica" w:hAnsi="Helvetica" w:cs="Helvetica"/>
        </w:rPr>
        <w:t xml:space="preserve"> </w:t>
      </w:r>
      <w:r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13</w:t>
      </w:r>
      <w:r w:rsidRPr="00161C60">
        <w:rPr>
          <w:rFonts w:ascii="Helvetica" w:hAnsi="Helvetica" w:cs="Helvetica"/>
        </w:rPr>
        <w:fldChar w:fldCharType="end"/>
      </w:r>
      <w:r w:rsidRPr="00161C60">
        <w:rPr>
          <w:rFonts w:ascii="Helvetica" w:hAnsi="Helvetica" w:cs="Helvetica"/>
          <w:vertAlign w:val="subscript"/>
        </w:rPr>
        <w:t xml:space="preserve"> </w:t>
      </w:r>
      <w:r w:rsidRPr="00161C60">
        <w:rPr>
          <w:rFonts w:ascii="Helvetica" w:hAnsi="Helvetica" w:cs="Helvetica"/>
        </w:rPr>
        <w:t>and Canada</w:t>
      </w:r>
      <w:r w:rsidR="00EB4945" w:rsidRPr="00161C60">
        <w:rPr>
          <w:rFonts w:ascii="Helvetica" w:hAnsi="Helvetica" w:cs="Helvetica"/>
        </w:rPr>
        <w:t xml:space="preserve"> </w:t>
      </w:r>
      <w:r w:rsidR="00EB4945"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EB4945" w:rsidRPr="00161C60">
        <w:rPr>
          <w:rFonts w:ascii="Helvetica" w:hAnsi="Helvetica" w:cs="Helvetica"/>
        </w:rPr>
        <w:fldChar w:fldCharType="separate"/>
      </w:r>
      <w:r w:rsidR="001B5724" w:rsidRPr="001B5724">
        <w:rPr>
          <w:rFonts w:ascii="Helvetica" w:hAnsi="Helvetica" w:cs="Helvetica"/>
          <w:noProof/>
          <w:vertAlign w:val="superscript"/>
        </w:rPr>
        <w:t>19</w:t>
      </w:r>
      <w:r w:rsidR="00EB4945" w:rsidRPr="00161C60">
        <w:rPr>
          <w:rFonts w:ascii="Helvetica" w:hAnsi="Helvetica" w:cs="Helvetica"/>
        </w:rPr>
        <w:fldChar w:fldCharType="end"/>
      </w:r>
      <w:r w:rsidRPr="00161C60">
        <w:rPr>
          <w:rFonts w:ascii="Helvetica" w:hAnsi="Helvetica" w:cs="Helvetica"/>
        </w:rPr>
        <w:t>, some key questions remain unanswered. These include the appropriate intensity of exercise interventions</w:t>
      </w:r>
      <w:r w:rsidR="0060266F" w:rsidRPr="00161C60">
        <w:rPr>
          <w:rFonts w:ascii="Helvetica" w:hAnsi="Helvetica" w:cs="Helvetica"/>
        </w:rPr>
        <w:t xml:space="preserve"> </w:t>
      </w:r>
      <w:r w:rsidRPr="00161C60">
        <w:rPr>
          <w:rFonts w:ascii="Helvetica" w:hAnsi="Helvetica" w:cs="Helvetica"/>
        </w:rPr>
        <w:t xml:space="preserve">for those with diagnosed osteoporosis, whether there were real harms from any particular types of exercises or activities, and whether or how to modify </w:t>
      </w:r>
      <w:r w:rsidR="00D97624" w:rsidRPr="00161C60">
        <w:rPr>
          <w:rFonts w:ascii="Helvetica" w:hAnsi="Helvetica" w:cs="Helvetica"/>
        </w:rPr>
        <w:t>physical activity</w:t>
      </w:r>
      <w:r w:rsidRPr="00161C60">
        <w:rPr>
          <w:rFonts w:ascii="Helvetica" w:hAnsi="Helvetica" w:cs="Helvetica"/>
        </w:rPr>
        <w:t xml:space="preserve"> for specific ‘fracture risk’ groups. </w:t>
      </w:r>
    </w:p>
    <w:p w14:paraId="5C40E340" w14:textId="6C8C74BA" w:rsidR="002B25AC" w:rsidRPr="00161C60" w:rsidRDefault="002B25AC" w:rsidP="005A4893">
      <w:pPr>
        <w:pStyle w:val="Heading2"/>
        <w:spacing w:before="240" w:line="240" w:lineRule="auto"/>
        <w:rPr>
          <w:rFonts w:ascii="Helvetica" w:hAnsi="Helvetica" w:cs="Helvetica"/>
          <w:b/>
          <w:bCs/>
          <w:color w:val="auto"/>
          <w:sz w:val="24"/>
          <w:szCs w:val="24"/>
        </w:rPr>
      </w:pPr>
      <w:bookmarkStart w:id="3" w:name="_Toc528064566"/>
      <w:r w:rsidRPr="00161C60">
        <w:rPr>
          <w:rFonts w:ascii="Helvetica" w:hAnsi="Helvetica" w:cs="Helvetica"/>
          <w:b/>
          <w:bCs/>
          <w:color w:val="auto"/>
          <w:sz w:val="24"/>
          <w:szCs w:val="24"/>
        </w:rPr>
        <w:t>Objective</w:t>
      </w:r>
      <w:bookmarkEnd w:id="1"/>
      <w:bookmarkEnd w:id="2"/>
      <w:bookmarkEnd w:id="3"/>
    </w:p>
    <w:p w14:paraId="1EBD00AB" w14:textId="05FEB86A" w:rsidR="00494BFD" w:rsidRPr="00161C60" w:rsidRDefault="00494BFD" w:rsidP="005B76DF">
      <w:pPr>
        <w:spacing w:before="120" w:after="0" w:line="240" w:lineRule="auto"/>
        <w:rPr>
          <w:rFonts w:ascii="Helvetica" w:hAnsi="Helvetica" w:cs="Helvetica"/>
        </w:rPr>
      </w:pPr>
      <w:r w:rsidRPr="00161C60">
        <w:rPr>
          <w:rFonts w:ascii="Helvetica" w:hAnsi="Helvetica" w:cs="Helvetica"/>
        </w:rPr>
        <w:t xml:space="preserve">The </w:t>
      </w:r>
      <w:r w:rsidR="00700AD4">
        <w:rPr>
          <w:rFonts w:ascii="Helvetica" w:hAnsi="Helvetica" w:cs="Helvetica"/>
        </w:rPr>
        <w:t>objective</w:t>
      </w:r>
      <w:r w:rsidR="00700AD4" w:rsidRPr="00161C60">
        <w:rPr>
          <w:rFonts w:ascii="Helvetica" w:hAnsi="Helvetica" w:cs="Helvetica"/>
        </w:rPr>
        <w:t xml:space="preserve"> </w:t>
      </w:r>
      <w:r w:rsidR="00C61AF2" w:rsidRPr="007E47AE">
        <w:rPr>
          <w:rFonts w:ascii="Helvetica" w:hAnsi="Helvetica" w:cs="Helvetica"/>
        </w:rPr>
        <w:t>of this consensus statement</w:t>
      </w:r>
      <w:r w:rsidRPr="00161C60">
        <w:rPr>
          <w:rFonts w:ascii="Helvetica" w:hAnsi="Helvetica" w:cs="Helvetica"/>
        </w:rPr>
        <w:t xml:space="preserve"> is to provide guidance on</w:t>
      </w:r>
      <w:r w:rsidR="00CC6AC9" w:rsidRPr="00161C60">
        <w:rPr>
          <w:rFonts w:ascii="Helvetica" w:hAnsi="Helvetica" w:cs="Helvetica"/>
        </w:rPr>
        <w:t xml:space="preserve"> the role of</w:t>
      </w:r>
      <w:r w:rsidRPr="00161C60">
        <w:rPr>
          <w:rFonts w:ascii="Helvetica" w:hAnsi="Helvetica" w:cs="Helvetica"/>
        </w:rPr>
        <w:t xml:space="preserve"> exercise and physical activity in </w:t>
      </w:r>
      <w:r w:rsidR="00700AD4">
        <w:rPr>
          <w:rFonts w:ascii="Helvetica" w:hAnsi="Helvetica" w:cs="Helvetica"/>
        </w:rPr>
        <w:t xml:space="preserve">the </w:t>
      </w:r>
      <w:r w:rsidRPr="00161C60">
        <w:rPr>
          <w:rFonts w:ascii="Helvetica" w:hAnsi="Helvetica" w:cs="Helvetica"/>
        </w:rPr>
        <w:t xml:space="preserve">prevention and management of osteoporosis. </w:t>
      </w:r>
    </w:p>
    <w:p w14:paraId="405AE697" w14:textId="3DF6E52C" w:rsidR="002B25AC" w:rsidRPr="00161C60" w:rsidRDefault="002B25AC" w:rsidP="005B76DF">
      <w:pPr>
        <w:spacing w:before="120" w:after="0" w:line="240" w:lineRule="auto"/>
        <w:rPr>
          <w:rFonts w:ascii="Helvetica" w:hAnsi="Helvetica" w:cs="Helvetica"/>
        </w:rPr>
      </w:pPr>
      <w:r w:rsidRPr="00161C60">
        <w:rPr>
          <w:rFonts w:ascii="Helvetica" w:hAnsi="Helvetica" w:cs="Helvetica"/>
        </w:rPr>
        <w:t xml:space="preserve">The </w:t>
      </w:r>
      <w:r w:rsidR="00700AD4">
        <w:rPr>
          <w:rFonts w:ascii="Helvetica" w:hAnsi="Helvetica" w:cs="Helvetica"/>
        </w:rPr>
        <w:t>specific aims</w:t>
      </w:r>
      <w:r w:rsidR="00700AD4" w:rsidRPr="00161C60">
        <w:rPr>
          <w:rFonts w:ascii="Helvetica" w:hAnsi="Helvetica" w:cs="Helvetica"/>
        </w:rPr>
        <w:t xml:space="preserve"> </w:t>
      </w:r>
      <w:r w:rsidRPr="00161C60">
        <w:rPr>
          <w:rFonts w:ascii="Helvetica" w:hAnsi="Helvetica" w:cs="Helvetica"/>
        </w:rPr>
        <w:t>are to:</w:t>
      </w:r>
    </w:p>
    <w:p w14:paraId="7A4D0E9C" w14:textId="3C0B1D6F"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Clarify the role of physical activity </w:t>
      </w:r>
      <w:r w:rsidR="004B699B" w:rsidRPr="00161C60">
        <w:rPr>
          <w:rFonts w:ascii="Helvetica" w:hAnsi="Helvetica" w:cs="Helvetica"/>
          <w:color w:val="auto"/>
          <w:sz w:val="24"/>
          <w:szCs w:val="24"/>
        </w:rPr>
        <w:t xml:space="preserve">and exercise </w:t>
      </w:r>
      <w:r w:rsidRPr="00161C60">
        <w:rPr>
          <w:rFonts w:ascii="Helvetica" w:hAnsi="Helvetica" w:cs="Helvetica"/>
          <w:color w:val="auto"/>
          <w:sz w:val="24"/>
          <w:szCs w:val="24"/>
        </w:rPr>
        <w:t xml:space="preserve">for </w:t>
      </w:r>
      <w:r w:rsidR="00494BFD" w:rsidRPr="007E47AE">
        <w:rPr>
          <w:rFonts w:ascii="Helvetica" w:hAnsi="Helvetica" w:cs="Helvetica"/>
          <w:color w:val="auto"/>
          <w:sz w:val="24"/>
          <w:szCs w:val="24"/>
        </w:rPr>
        <w:t xml:space="preserve">optimising </w:t>
      </w:r>
      <w:r w:rsidRPr="007E47AE">
        <w:rPr>
          <w:rFonts w:ascii="Helvetica" w:hAnsi="Helvetica" w:cs="Helvetica"/>
          <w:color w:val="auto"/>
          <w:sz w:val="24"/>
          <w:szCs w:val="24"/>
        </w:rPr>
        <w:t xml:space="preserve">bone strength </w:t>
      </w:r>
      <w:r w:rsidR="003F7908" w:rsidRPr="007E47AE">
        <w:rPr>
          <w:rFonts w:ascii="Helvetica" w:hAnsi="Helvetica" w:cs="Helvetica"/>
          <w:color w:val="auto"/>
          <w:sz w:val="24"/>
          <w:szCs w:val="24"/>
        </w:rPr>
        <w:t xml:space="preserve">and </w:t>
      </w:r>
      <w:r w:rsidRPr="007E47AE">
        <w:rPr>
          <w:rFonts w:ascii="Helvetica" w:hAnsi="Helvetica" w:cs="Helvetica"/>
          <w:color w:val="auto"/>
          <w:sz w:val="24"/>
          <w:szCs w:val="24"/>
        </w:rPr>
        <w:t>reducing falls and fracture risk</w:t>
      </w:r>
      <w:r w:rsidRPr="00161C60">
        <w:rPr>
          <w:rFonts w:ascii="Helvetica" w:hAnsi="Helvetica" w:cs="Helvetica"/>
          <w:color w:val="auto"/>
          <w:sz w:val="24"/>
          <w:szCs w:val="24"/>
        </w:rPr>
        <w:t xml:space="preserve">. </w:t>
      </w:r>
    </w:p>
    <w:p w14:paraId="3A447812" w14:textId="39E81F58"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Clarify the role of physical activity and exercise </w:t>
      </w:r>
      <w:r w:rsidR="0049404D" w:rsidRPr="00161C60">
        <w:rPr>
          <w:rFonts w:ascii="Helvetica" w:hAnsi="Helvetica" w:cs="Helvetica"/>
          <w:color w:val="auto"/>
          <w:sz w:val="24"/>
          <w:szCs w:val="24"/>
        </w:rPr>
        <w:t>in managing</w:t>
      </w:r>
      <w:r w:rsidRPr="00161C60">
        <w:rPr>
          <w:rFonts w:ascii="Helvetica" w:hAnsi="Helvetica" w:cs="Helvetica"/>
          <w:color w:val="auto"/>
          <w:sz w:val="24"/>
          <w:szCs w:val="24"/>
        </w:rPr>
        <w:t xml:space="preserve"> the pain and symptoms of vertebral fracture.</w:t>
      </w:r>
    </w:p>
    <w:p w14:paraId="296165DE" w14:textId="5014371E" w:rsidR="00484039" w:rsidRPr="00161C60" w:rsidRDefault="00484039"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Review any safety issues of exercise for those with osteoporosis, to address fears of causing fracture</w:t>
      </w:r>
      <w:r w:rsidR="00700AD4">
        <w:rPr>
          <w:rFonts w:ascii="Helvetica" w:hAnsi="Helvetica" w:cs="Helvetica"/>
          <w:color w:val="auto"/>
          <w:sz w:val="24"/>
          <w:szCs w:val="24"/>
        </w:rPr>
        <w:t>s</w:t>
      </w:r>
      <w:r w:rsidRPr="00161C60">
        <w:rPr>
          <w:rFonts w:ascii="Helvetica" w:hAnsi="Helvetica" w:cs="Helvetica"/>
          <w:color w:val="auto"/>
          <w:sz w:val="24"/>
          <w:szCs w:val="24"/>
        </w:rPr>
        <w:t xml:space="preserve"> (particularly in the spine) whilst engaging in exercise or day-to-day physical activities.</w:t>
      </w:r>
    </w:p>
    <w:p w14:paraId="6FBF170A" w14:textId="77777777"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Promote confidence and a positive approach so that people with osteoporosis do </w:t>
      </w:r>
      <w:r w:rsidRPr="00161C60">
        <w:rPr>
          <w:rFonts w:ascii="Helvetica" w:hAnsi="Helvetica" w:cs="Helvetica"/>
          <w:i/>
          <w:iCs/>
          <w:color w:val="auto"/>
          <w:sz w:val="24"/>
          <w:szCs w:val="24"/>
        </w:rPr>
        <w:t>more</w:t>
      </w:r>
      <w:r w:rsidRPr="00161C60">
        <w:rPr>
          <w:rFonts w:ascii="Helvetica" w:hAnsi="Helvetica" w:cs="Helvetica"/>
          <w:color w:val="auto"/>
          <w:sz w:val="24"/>
          <w:szCs w:val="24"/>
        </w:rPr>
        <w:t xml:space="preserve"> rather than </w:t>
      </w:r>
      <w:r w:rsidRPr="00161C60">
        <w:rPr>
          <w:rFonts w:ascii="Helvetica" w:hAnsi="Helvetica" w:cs="Helvetica"/>
          <w:i/>
          <w:iCs/>
          <w:color w:val="auto"/>
          <w:sz w:val="24"/>
          <w:szCs w:val="24"/>
        </w:rPr>
        <w:t>less</w:t>
      </w:r>
      <w:r w:rsidRPr="00161C60">
        <w:rPr>
          <w:rFonts w:ascii="Helvetica" w:hAnsi="Helvetica" w:cs="Helvetica"/>
          <w:color w:val="auto"/>
          <w:sz w:val="24"/>
          <w:szCs w:val="24"/>
        </w:rPr>
        <w:t xml:space="preserve"> exercise and physical activity.</w:t>
      </w:r>
    </w:p>
    <w:p w14:paraId="10E3C5EF" w14:textId="76D0500E" w:rsidR="002B25AC" w:rsidRPr="00161C60" w:rsidRDefault="002B25AC" w:rsidP="005B76DF">
      <w:pPr>
        <w:pStyle w:val="ListParagraph"/>
        <w:numPr>
          <w:ilvl w:val="0"/>
          <w:numId w:val="1"/>
        </w:numPr>
        <w:spacing w:before="120" w:after="0" w:line="240" w:lineRule="auto"/>
        <w:ind w:left="357" w:hanging="357"/>
        <w:rPr>
          <w:rFonts w:ascii="Helvetica" w:hAnsi="Helvetica" w:cs="Helvetica"/>
          <w:color w:val="auto"/>
          <w:sz w:val="24"/>
          <w:szCs w:val="24"/>
        </w:rPr>
      </w:pPr>
      <w:r w:rsidRPr="00161C60">
        <w:rPr>
          <w:rFonts w:ascii="Helvetica" w:hAnsi="Helvetica" w:cs="Helvetica"/>
          <w:color w:val="auto"/>
          <w:sz w:val="24"/>
          <w:szCs w:val="24"/>
        </w:rPr>
        <w:t xml:space="preserve">Ensure consistent advice for people with osteoporosis so that people </w:t>
      </w:r>
      <w:r w:rsidR="009931F7" w:rsidRPr="00161C60">
        <w:rPr>
          <w:rFonts w:ascii="Helvetica" w:hAnsi="Helvetica" w:cs="Helvetica"/>
          <w:color w:val="auto"/>
          <w:sz w:val="24"/>
          <w:szCs w:val="24"/>
        </w:rPr>
        <w:t xml:space="preserve">can </w:t>
      </w:r>
      <w:r w:rsidR="00DA0197" w:rsidRPr="00161C60">
        <w:rPr>
          <w:rFonts w:ascii="Helvetica" w:hAnsi="Helvetica" w:cs="Helvetica"/>
          <w:color w:val="auto"/>
          <w:sz w:val="24"/>
          <w:szCs w:val="24"/>
        </w:rPr>
        <w:t xml:space="preserve">exercise </w:t>
      </w:r>
      <w:r w:rsidRPr="00161C60">
        <w:rPr>
          <w:rFonts w:ascii="Helvetica" w:hAnsi="Helvetica" w:cs="Helvetica"/>
          <w:color w:val="auto"/>
          <w:sz w:val="24"/>
          <w:szCs w:val="24"/>
        </w:rPr>
        <w:t xml:space="preserve">safely and effectively. </w:t>
      </w:r>
    </w:p>
    <w:p w14:paraId="025C0E72" w14:textId="1CD08B9F" w:rsidR="002B25AC" w:rsidRPr="00161C60" w:rsidRDefault="00494BFD" w:rsidP="005B76DF">
      <w:pPr>
        <w:spacing w:before="120" w:after="0" w:line="240" w:lineRule="auto"/>
        <w:rPr>
          <w:rFonts w:ascii="Helvetica" w:hAnsi="Helvetica" w:cs="Helvetica"/>
        </w:rPr>
      </w:pPr>
      <w:r w:rsidRPr="00161C60">
        <w:rPr>
          <w:rFonts w:ascii="Helvetica" w:hAnsi="Helvetica" w:cs="Helvetica"/>
        </w:rPr>
        <w:t xml:space="preserve">The target population is people with osteoporosis, </w:t>
      </w:r>
      <w:r w:rsidR="00700AD4">
        <w:rPr>
          <w:rFonts w:ascii="Helvetica" w:hAnsi="Helvetica" w:cs="Helvetica"/>
        </w:rPr>
        <w:t>who have</w:t>
      </w:r>
      <w:r w:rsidRPr="00161C60">
        <w:rPr>
          <w:rFonts w:ascii="Helvetica" w:hAnsi="Helvetica" w:cs="Helvetica"/>
        </w:rPr>
        <w:t xml:space="preserve"> bone mineral density </w:t>
      </w:r>
      <w:r w:rsidR="00700AD4">
        <w:rPr>
          <w:rFonts w:ascii="Helvetica" w:hAnsi="Helvetica" w:cs="Helvetica"/>
        </w:rPr>
        <w:t xml:space="preserve">measured </w:t>
      </w:r>
      <w:r w:rsidRPr="00161C60">
        <w:rPr>
          <w:rFonts w:ascii="Helvetica" w:hAnsi="Helvetica" w:cs="Helvetica"/>
        </w:rPr>
        <w:t xml:space="preserve">by dual X-ray absorptiometry in the osteoporotic range or a significant fracture risk based on </w:t>
      </w:r>
      <w:r w:rsidR="00C5165E">
        <w:rPr>
          <w:rFonts w:ascii="Helvetica" w:hAnsi="Helvetica" w:cs="Helvetica"/>
        </w:rPr>
        <w:t xml:space="preserve">a </w:t>
      </w:r>
      <w:r w:rsidRPr="00161C60">
        <w:rPr>
          <w:rFonts w:ascii="Helvetica" w:hAnsi="Helvetica" w:cs="Helvetica"/>
        </w:rPr>
        <w:t>fracture risk assessment score</w:t>
      </w:r>
      <w:r w:rsidR="00C5165E">
        <w:rPr>
          <w:rFonts w:ascii="Helvetica" w:hAnsi="Helvetica" w:cs="Helvetica"/>
        </w:rPr>
        <w:t>,</w:t>
      </w:r>
      <w:r w:rsidR="00C5165E" w:rsidRPr="00161C60">
        <w:rPr>
          <w:rFonts w:ascii="Helvetica" w:hAnsi="Helvetica" w:cs="Helvetica"/>
        </w:rPr>
        <w:t xml:space="preserve"> </w:t>
      </w:r>
      <w:r w:rsidRPr="00161C60">
        <w:rPr>
          <w:rFonts w:ascii="Helvetica" w:hAnsi="Helvetica" w:cs="Helvetica"/>
        </w:rPr>
        <w:t>with or without fragility fracture. Separate consideration is made for those with vertebral or multiple low trauma fractures and for those who are</w:t>
      </w:r>
      <w:r w:rsidR="00662246" w:rsidRPr="00161C60">
        <w:rPr>
          <w:rFonts w:ascii="Helvetica" w:hAnsi="Helvetica" w:cs="Helvetica"/>
        </w:rPr>
        <w:t xml:space="preserve"> living with frailty</w:t>
      </w:r>
      <w:r w:rsidRPr="00161C60">
        <w:rPr>
          <w:rFonts w:ascii="Helvetica" w:hAnsi="Helvetica" w:cs="Helvetica"/>
        </w:rPr>
        <w:t xml:space="preserve"> and </w:t>
      </w:r>
      <w:r w:rsidR="00662246" w:rsidRPr="00161C60">
        <w:rPr>
          <w:rFonts w:ascii="Helvetica" w:hAnsi="Helvetica" w:cs="Helvetica"/>
        </w:rPr>
        <w:t xml:space="preserve">are </w:t>
      </w:r>
      <w:r w:rsidRPr="00161C60">
        <w:rPr>
          <w:rFonts w:ascii="Helvetica" w:hAnsi="Helvetica" w:cs="Helvetica"/>
        </w:rPr>
        <w:t>unsteady or experiencing falls.</w:t>
      </w:r>
      <w:r w:rsidR="003E31CA" w:rsidRPr="00161C60">
        <w:rPr>
          <w:rFonts w:ascii="Helvetica" w:hAnsi="Helvetica" w:cs="Helvetica"/>
        </w:rPr>
        <w:t xml:space="preserve"> </w:t>
      </w:r>
      <w:r w:rsidR="003E31CA" w:rsidRPr="007E47AE">
        <w:rPr>
          <w:rFonts w:ascii="Helvetica" w:hAnsi="Helvetica" w:cs="Helvetica"/>
        </w:rPr>
        <w:t xml:space="preserve">Physical activity includes any activity, whatever the purpose, that </w:t>
      </w:r>
      <w:r w:rsidR="00603326" w:rsidRPr="007E47AE">
        <w:rPr>
          <w:rFonts w:ascii="Helvetica" w:hAnsi="Helvetica" w:cs="Helvetica"/>
        </w:rPr>
        <w:t>increases energy expenditure, whilst exercise is structured physical activity performed to enhance or maintain per</w:t>
      </w:r>
      <w:r w:rsidR="00D55304" w:rsidRPr="007E47AE">
        <w:rPr>
          <w:rFonts w:ascii="Helvetica" w:hAnsi="Helvetica" w:cs="Helvetica"/>
        </w:rPr>
        <w:t>formance or health.</w:t>
      </w:r>
    </w:p>
    <w:p w14:paraId="7DD94FA9" w14:textId="0F82FB8E" w:rsidR="00CC6AC9" w:rsidRPr="00161C60" w:rsidRDefault="00CC6AC9" w:rsidP="005B76DF">
      <w:pPr>
        <w:spacing w:before="120" w:after="0" w:line="240" w:lineRule="auto"/>
        <w:rPr>
          <w:rFonts w:ascii="Helvetica" w:hAnsi="Helvetica" w:cs="Helvetica"/>
        </w:rPr>
      </w:pPr>
      <w:r w:rsidRPr="00161C60">
        <w:rPr>
          <w:rFonts w:ascii="Helvetica" w:hAnsi="Helvetica" w:cs="Helvetica"/>
        </w:rPr>
        <w:t xml:space="preserve">This document updates the principles underpinning previous guidance on exercise and physical activity and distils current research evidence </w:t>
      </w:r>
      <w:r w:rsidR="00700AD4">
        <w:rPr>
          <w:rFonts w:ascii="Helvetica" w:hAnsi="Helvetica" w:cs="Helvetica"/>
        </w:rPr>
        <w:t>for people with osteoporosis</w:t>
      </w:r>
      <w:r w:rsidRPr="00161C60">
        <w:rPr>
          <w:rFonts w:ascii="Helvetica" w:hAnsi="Helvetica" w:cs="Helvetica"/>
        </w:rPr>
        <w:t xml:space="preserve"> </w:t>
      </w:r>
      <w:r w:rsidRPr="00161C60">
        <w:rPr>
          <w:rFonts w:ascii="Helvetica" w:hAnsi="Helvetica" w:cs="Helvetica"/>
        </w:rPr>
        <w:fldChar w:fldCharType="begin" w:fldLock="1"/>
      </w:r>
      <w:r w:rsidR="008A29C3">
        <w:rPr>
          <w:rFonts w:ascii="Helvetica" w:hAnsi="Helvetica" w:cs="Helvetica"/>
        </w:rPr>
        <w:instrText>ADDIN CSL_CITATION {"citationItems":[{"id":"ITEM-1","itemData":{"author":[{"dropping-particle":"","family":"Chartered Society of Physiotherapy","given":"","non-dropping-particle":"","parse-names":false,"suffix":""}],"id":"ITEM-1","issued":{"date-parts":[["1999"]]},"publisher":"CSP","publisher-place":"London","title":"Physiotherapy Guidelines for the Management of Osteoporosis","type":"book"},"uris":["http://www.mendeley.com/documents/?uuid=9fe26436-0212-4a1b-8c47-ffd7a767d530","http://www.mendeley.com/documents/?uuid=95e0fcc2-a9f3-4ca8-bf05-27104374b25b"]}],"mendeley":{"formattedCitation":"&lt;sup&gt;20&lt;/sup&gt;","plainTextFormattedCitation":"20","previouslyFormattedCitation":"&lt;sup&gt;20&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20</w:t>
      </w:r>
      <w:r w:rsidRPr="00161C60">
        <w:rPr>
          <w:rFonts w:ascii="Helvetica" w:hAnsi="Helvetica" w:cs="Helvetica"/>
        </w:rPr>
        <w:fldChar w:fldCharType="end"/>
      </w:r>
      <w:r w:rsidR="009C7F9F" w:rsidRPr="00161C60">
        <w:rPr>
          <w:rFonts w:ascii="Helvetica" w:hAnsi="Helvetica" w:cs="Helvetica"/>
        </w:rPr>
        <w:t>.</w:t>
      </w:r>
      <w:r w:rsidRPr="00161C60">
        <w:rPr>
          <w:rFonts w:ascii="Helvetica" w:hAnsi="Helvetica" w:cs="Helvetica"/>
        </w:rPr>
        <w:t xml:space="preserve">  This guidance is </w:t>
      </w:r>
      <w:r w:rsidR="00700AD4">
        <w:rPr>
          <w:rFonts w:ascii="Helvetica" w:hAnsi="Helvetica" w:cs="Helvetica"/>
        </w:rPr>
        <w:t>developed</w:t>
      </w:r>
      <w:r w:rsidRPr="00161C60">
        <w:rPr>
          <w:rFonts w:ascii="Helvetica" w:hAnsi="Helvetica" w:cs="Helvetica"/>
        </w:rPr>
        <w:t xml:space="preserve"> for clinicians, </w:t>
      </w:r>
      <w:r w:rsidR="00DF41D0" w:rsidRPr="00161C60">
        <w:rPr>
          <w:rFonts w:ascii="Helvetica" w:hAnsi="Helvetica" w:cs="Helvetica"/>
        </w:rPr>
        <w:t xml:space="preserve">including </w:t>
      </w:r>
      <w:r w:rsidRPr="00161C60">
        <w:rPr>
          <w:rFonts w:ascii="Helvetica" w:hAnsi="Helvetica" w:cs="Helvetica"/>
        </w:rPr>
        <w:t>physiotherapists and exercise practitioners</w:t>
      </w:r>
      <w:r w:rsidR="004B699B" w:rsidRPr="00161C60">
        <w:rPr>
          <w:rFonts w:ascii="Helvetica" w:hAnsi="Helvetica" w:cs="Helvetica"/>
        </w:rPr>
        <w:t>,</w:t>
      </w:r>
      <w:r w:rsidRPr="00161C60">
        <w:rPr>
          <w:rFonts w:ascii="Helvetica" w:hAnsi="Helvetica" w:cs="Helvetica"/>
        </w:rPr>
        <w:t xml:space="preserve"> as well as policy makers</w:t>
      </w:r>
      <w:r w:rsidR="004B699B" w:rsidRPr="00161C60">
        <w:rPr>
          <w:rFonts w:ascii="Helvetica" w:hAnsi="Helvetica" w:cs="Helvetica"/>
        </w:rPr>
        <w:t>,</w:t>
      </w:r>
      <w:r w:rsidRPr="00161C60">
        <w:rPr>
          <w:rFonts w:ascii="Helvetica" w:hAnsi="Helvetica" w:cs="Helvetica"/>
        </w:rPr>
        <w:t xml:space="preserve"> and is designed to inform clinical practice and policy.</w:t>
      </w:r>
    </w:p>
    <w:p w14:paraId="39A6E94D" w14:textId="77777777" w:rsidR="000729A4" w:rsidRPr="00161C60" w:rsidRDefault="000729A4" w:rsidP="005A4893">
      <w:pPr>
        <w:pStyle w:val="Heading2"/>
        <w:spacing w:before="240" w:line="240" w:lineRule="auto"/>
        <w:rPr>
          <w:rFonts w:ascii="Helvetica" w:eastAsia="Calibri" w:hAnsi="Helvetica" w:cs="Helvetica"/>
          <w:b/>
          <w:color w:val="auto"/>
          <w:sz w:val="24"/>
          <w:szCs w:val="24"/>
        </w:rPr>
      </w:pPr>
      <w:r w:rsidRPr="00161C60">
        <w:rPr>
          <w:rFonts w:ascii="Helvetica" w:eastAsia="Calibri" w:hAnsi="Helvetica" w:cs="Helvetica"/>
          <w:b/>
          <w:color w:val="auto"/>
          <w:sz w:val="24"/>
          <w:szCs w:val="24"/>
        </w:rPr>
        <w:t>METHODS</w:t>
      </w:r>
    </w:p>
    <w:p w14:paraId="080FC06D" w14:textId="17768A5E" w:rsidR="0068505E" w:rsidRPr="00161C60" w:rsidRDefault="0068505E" w:rsidP="005A4893">
      <w:pPr>
        <w:pStyle w:val="Heading2"/>
        <w:spacing w:before="240" w:line="240" w:lineRule="auto"/>
        <w:rPr>
          <w:rFonts w:ascii="Helvetica" w:eastAsia="Calibri" w:hAnsi="Helvetica" w:cs="Helvetica"/>
          <w:b/>
          <w:color w:val="auto"/>
          <w:sz w:val="24"/>
          <w:szCs w:val="24"/>
        </w:rPr>
      </w:pPr>
      <w:r w:rsidRPr="00161C60">
        <w:rPr>
          <w:rFonts w:ascii="Helvetica" w:eastAsia="Calibri" w:hAnsi="Helvetica" w:cs="Helvetica"/>
          <w:b/>
          <w:color w:val="auto"/>
          <w:sz w:val="24"/>
          <w:szCs w:val="24"/>
        </w:rPr>
        <w:t xml:space="preserve">Developing scope through stakeholder consultation </w:t>
      </w:r>
    </w:p>
    <w:p w14:paraId="697B981B" w14:textId="512AB356" w:rsidR="00971927" w:rsidRPr="00161C60" w:rsidRDefault="00971927" w:rsidP="00971927">
      <w:pPr>
        <w:spacing w:before="120" w:after="0" w:line="240" w:lineRule="auto"/>
        <w:rPr>
          <w:rFonts w:ascii="Helvetica" w:eastAsia="Calibri" w:hAnsi="Helvetica" w:cs="Helvetica"/>
        </w:rPr>
      </w:pPr>
      <w:r w:rsidRPr="00161C60">
        <w:rPr>
          <w:rFonts w:ascii="Helvetica" w:eastAsia="Calibri" w:hAnsi="Helvetica" w:cs="Helvetica"/>
        </w:rPr>
        <w:t>To determine the scope and content for the consensus statement, stakeholder consultation</w:t>
      </w:r>
      <w:r w:rsidR="00D1511B">
        <w:rPr>
          <w:rFonts w:ascii="Helvetica" w:eastAsia="Calibri" w:hAnsi="Helvetica" w:cs="Helvetica"/>
        </w:rPr>
        <w:t>s</w:t>
      </w:r>
      <w:r w:rsidRPr="00161C60">
        <w:rPr>
          <w:rFonts w:ascii="Helvetica" w:eastAsia="Calibri" w:hAnsi="Helvetica" w:cs="Helvetica"/>
        </w:rPr>
        <w:t xml:space="preserve"> were undertaken in 2017. First, face-to-face stakeholder discussion groups were held</w:t>
      </w:r>
      <w:r w:rsidR="00155CA7" w:rsidRPr="00161C60">
        <w:rPr>
          <w:rFonts w:ascii="Helvetica" w:eastAsia="Calibri" w:hAnsi="Helvetica" w:cs="Helvetica"/>
        </w:rPr>
        <w:t>. Two groups</w:t>
      </w:r>
      <w:r w:rsidRPr="00161C60">
        <w:rPr>
          <w:rFonts w:ascii="Helvetica" w:eastAsia="Calibri" w:hAnsi="Helvetica" w:cs="Helvetica"/>
        </w:rPr>
        <w:t xml:space="preserve"> </w:t>
      </w:r>
      <w:r w:rsidR="0073429D" w:rsidRPr="00161C60">
        <w:rPr>
          <w:rFonts w:ascii="Helvetica" w:eastAsia="Calibri" w:hAnsi="Helvetica" w:cs="Helvetica"/>
        </w:rPr>
        <w:t xml:space="preserve">consisted </w:t>
      </w:r>
      <w:r w:rsidRPr="00161C60">
        <w:rPr>
          <w:rFonts w:ascii="Helvetica" w:eastAsia="Calibri" w:hAnsi="Helvetica" w:cs="Helvetica"/>
        </w:rPr>
        <w:t>of people with osteoporosis</w:t>
      </w:r>
      <w:r w:rsidR="0073429D" w:rsidRPr="00161C60">
        <w:rPr>
          <w:rFonts w:ascii="Helvetica" w:eastAsia="Calibri" w:hAnsi="Helvetica" w:cs="Helvetica"/>
        </w:rPr>
        <w:t xml:space="preserve">; </w:t>
      </w:r>
      <w:r w:rsidR="00070B13" w:rsidRPr="00161C60">
        <w:rPr>
          <w:rFonts w:ascii="Helvetica" w:eastAsia="Calibri" w:hAnsi="Helvetica" w:cs="Helvetica"/>
        </w:rPr>
        <w:t xml:space="preserve">both </w:t>
      </w:r>
      <w:r w:rsidR="000B00CE" w:rsidRPr="00161C60">
        <w:rPr>
          <w:rFonts w:ascii="Helvetica" w:eastAsia="Calibri" w:hAnsi="Helvetica" w:cs="Helvetica"/>
        </w:rPr>
        <w:t>were</w:t>
      </w:r>
      <w:r w:rsidR="00EE7654" w:rsidRPr="00161C60">
        <w:rPr>
          <w:rFonts w:ascii="Helvetica" w:eastAsia="Calibri" w:hAnsi="Helvetica" w:cs="Helvetica"/>
        </w:rPr>
        <w:t xml:space="preserve"> </w:t>
      </w:r>
      <w:r w:rsidR="00074AEF" w:rsidRPr="00161C60">
        <w:rPr>
          <w:rFonts w:ascii="Helvetica" w:eastAsia="Calibri" w:hAnsi="Helvetica" w:cs="Helvetica"/>
        </w:rPr>
        <w:t xml:space="preserve">recruited </w:t>
      </w:r>
      <w:r w:rsidR="00EE7654" w:rsidRPr="00161C60">
        <w:rPr>
          <w:rFonts w:ascii="Helvetica" w:eastAsia="Calibri" w:hAnsi="Helvetica" w:cs="Helvetica"/>
        </w:rPr>
        <w:t xml:space="preserve">through </w:t>
      </w:r>
      <w:r w:rsidR="00E42FC1" w:rsidRPr="00161C60">
        <w:rPr>
          <w:rFonts w:ascii="Helvetica" w:eastAsia="Calibri" w:hAnsi="Helvetica" w:cs="Helvetica"/>
        </w:rPr>
        <w:t xml:space="preserve">the </w:t>
      </w:r>
      <w:r w:rsidR="009E0025" w:rsidRPr="00161C60">
        <w:rPr>
          <w:rFonts w:ascii="Helvetica" w:eastAsia="Calibri" w:hAnsi="Helvetica" w:cs="Helvetica"/>
        </w:rPr>
        <w:t xml:space="preserve">Royal Osteoporosis Society database of members </w:t>
      </w:r>
      <w:r w:rsidR="002C70D8" w:rsidRPr="00161C60">
        <w:rPr>
          <w:rFonts w:ascii="Helvetica" w:eastAsia="Calibri" w:hAnsi="Helvetica" w:cs="Helvetica"/>
        </w:rPr>
        <w:t>in two</w:t>
      </w:r>
      <w:r w:rsidR="00471E7F">
        <w:rPr>
          <w:rFonts w:ascii="Helvetica" w:eastAsia="Calibri" w:hAnsi="Helvetica" w:cs="Helvetica"/>
        </w:rPr>
        <w:t xml:space="preserve"> UK</w:t>
      </w:r>
      <w:r w:rsidR="002C70D8" w:rsidRPr="00161C60">
        <w:rPr>
          <w:rFonts w:ascii="Helvetica" w:eastAsia="Calibri" w:hAnsi="Helvetica" w:cs="Helvetica"/>
        </w:rPr>
        <w:t xml:space="preserve"> areas of </w:t>
      </w:r>
      <w:r w:rsidR="004E4871" w:rsidRPr="00161C60">
        <w:rPr>
          <w:rFonts w:ascii="Helvetica" w:eastAsia="Calibri" w:hAnsi="Helvetica" w:cs="Helvetica"/>
        </w:rPr>
        <w:t>differing socioeconomic status</w:t>
      </w:r>
      <w:r w:rsidR="00072432">
        <w:rPr>
          <w:rFonts w:ascii="Helvetica" w:eastAsia="Calibri" w:hAnsi="Helvetica" w:cs="Helvetica"/>
        </w:rPr>
        <w:t xml:space="preserve"> (</w:t>
      </w:r>
      <w:r w:rsidR="00312DCE">
        <w:rPr>
          <w:rFonts w:ascii="Helvetica" w:eastAsia="Calibri" w:hAnsi="Helvetica" w:cs="Helvetica"/>
        </w:rPr>
        <w:t>Camerton</w:t>
      </w:r>
      <w:r w:rsidR="00072432">
        <w:rPr>
          <w:rFonts w:ascii="Helvetica" w:eastAsia="Calibri" w:hAnsi="Helvetica" w:cs="Helvetica"/>
        </w:rPr>
        <w:t xml:space="preserve"> and </w:t>
      </w:r>
      <w:r w:rsidR="00312DCE">
        <w:rPr>
          <w:rFonts w:ascii="Helvetica" w:eastAsia="Calibri" w:hAnsi="Helvetica" w:cs="Helvetica"/>
        </w:rPr>
        <w:t>Stoke</w:t>
      </w:r>
      <w:r w:rsidR="008B7E28">
        <w:rPr>
          <w:rFonts w:ascii="Helvetica" w:eastAsia="Calibri" w:hAnsi="Helvetica" w:cs="Helvetica"/>
        </w:rPr>
        <w:t>-</w:t>
      </w:r>
      <w:r w:rsidR="00312DCE">
        <w:rPr>
          <w:rFonts w:ascii="Helvetica" w:eastAsia="Calibri" w:hAnsi="Helvetica" w:cs="Helvetica"/>
        </w:rPr>
        <w:t>on</w:t>
      </w:r>
      <w:r w:rsidR="008B7E28">
        <w:rPr>
          <w:rFonts w:ascii="Helvetica" w:eastAsia="Calibri" w:hAnsi="Helvetica" w:cs="Helvetica"/>
        </w:rPr>
        <w:t>-</w:t>
      </w:r>
      <w:r w:rsidR="00312DCE">
        <w:rPr>
          <w:rFonts w:ascii="Helvetica" w:eastAsia="Calibri" w:hAnsi="Helvetica" w:cs="Helvetica"/>
        </w:rPr>
        <w:t>Trent</w:t>
      </w:r>
      <w:r w:rsidR="00072432">
        <w:rPr>
          <w:rFonts w:ascii="Helvetica" w:eastAsia="Calibri" w:hAnsi="Helvetica" w:cs="Helvetica"/>
        </w:rPr>
        <w:t xml:space="preserve">). </w:t>
      </w:r>
      <w:r w:rsidR="00EE11C0">
        <w:rPr>
          <w:rFonts w:ascii="Helvetica" w:eastAsia="Calibri" w:hAnsi="Helvetica" w:cs="Helvetica"/>
        </w:rPr>
        <w:t>A</w:t>
      </w:r>
      <w:r w:rsidR="00EE11C0" w:rsidRPr="00161C60">
        <w:rPr>
          <w:rFonts w:ascii="Helvetica" w:eastAsia="Calibri" w:hAnsi="Helvetica" w:cs="Helvetica"/>
        </w:rPr>
        <w:t xml:space="preserve"> </w:t>
      </w:r>
      <w:r w:rsidR="00C4013D" w:rsidRPr="00161C60">
        <w:rPr>
          <w:rFonts w:ascii="Helvetica" w:eastAsia="Calibri" w:hAnsi="Helvetica" w:cs="Helvetica"/>
        </w:rPr>
        <w:t>further stakeholder group</w:t>
      </w:r>
      <w:r w:rsidR="0046551F">
        <w:rPr>
          <w:rFonts w:ascii="Helvetica" w:eastAsia="Calibri" w:hAnsi="Helvetica" w:cs="Helvetica"/>
        </w:rPr>
        <w:t xml:space="preserve"> in Camerton</w:t>
      </w:r>
      <w:r w:rsidR="00C4013D" w:rsidRPr="00161C60">
        <w:rPr>
          <w:rFonts w:ascii="Helvetica" w:eastAsia="Calibri" w:hAnsi="Helvetica" w:cs="Helvetica"/>
        </w:rPr>
        <w:t xml:space="preserve"> involved</w:t>
      </w:r>
      <w:r w:rsidRPr="00161C60">
        <w:rPr>
          <w:rFonts w:ascii="Helvetica" w:eastAsia="Calibri" w:hAnsi="Helvetica" w:cs="Helvetica"/>
        </w:rPr>
        <w:t xml:space="preserve"> exercise and health professionals</w:t>
      </w:r>
      <w:r w:rsidR="003D3D8E" w:rsidRPr="00161C60">
        <w:rPr>
          <w:rFonts w:ascii="Helvetica" w:eastAsia="Calibri" w:hAnsi="Helvetica" w:cs="Helvetica"/>
        </w:rPr>
        <w:t xml:space="preserve">, again recruited through </w:t>
      </w:r>
      <w:r w:rsidR="00DC7B53">
        <w:rPr>
          <w:rFonts w:ascii="Helvetica" w:eastAsia="Calibri" w:hAnsi="Helvetica" w:cs="Helvetica"/>
        </w:rPr>
        <w:t xml:space="preserve">local </w:t>
      </w:r>
      <w:r w:rsidR="003D3D8E" w:rsidRPr="00161C60">
        <w:rPr>
          <w:rFonts w:ascii="Helvetica" w:eastAsia="Calibri" w:hAnsi="Helvetica" w:cs="Helvetica"/>
        </w:rPr>
        <w:t>Royal Osteoporosis Society contacts and professional members</w:t>
      </w:r>
      <w:r w:rsidRPr="00161C60">
        <w:rPr>
          <w:rFonts w:ascii="Helvetica" w:eastAsia="Calibri" w:hAnsi="Helvetica" w:cs="Helvetica"/>
        </w:rPr>
        <w:t xml:space="preserve">. </w:t>
      </w:r>
      <w:r w:rsidR="00E84563">
        <w:rPr>
          <w:rFonts w:ascii="Helvetica" w:eastAsia="Calibri" w:hAnsi="Helvetica" w:cs="Helvetica"/>
        </w:rPr>
        <w:t>D</w:t>
      </w:r>
      <w:r w:rsidRPr="00161C60">
        <w:rPr>
          <w:rFonts w:ascii="Helvetica" w:eastAsia="Calibri" w:hAnsi="Helvetica" w:cs="Helvetica"/>
        </w:rPr>
        <w:t>iscussions were facilitated</w:t>
      </w:r>
      <w:r w:rsidR="00D25CEA">
        <w:rPr>
          <w:rFonts w:ascii="Helvetica" w:eastAsia="Calibri" w:hAnsi="Helvetica" w:cs="Helvetica"/>
        </w:rPr>
        <w:t xml:space="preserve"> by</w:t>
      </w:r>
      <w:r w:rsidR="00456429">
        <w:rPr>
          <w:rFonts w:ascii="Helvetica" w:eastAsia="Calibri" w:hAnsi="Helvetica" w:cs="Helvetica"/>
        </w:rPr>
        <w:t xml:space="preserve"> ZP, using a </w:t>
      </w:r>
      <w:r w:rsidR="00887182">
        <w:rPr>
          <w:rFonts w:ascii="Helvetica" w:eastAsia="Calibri" w:hAnsi="Helvetica" w:cs="Helvetica"/>
        </w:rPr>
        <w:t xml:space="preserve">discussion </w:t>
      </w:r>
      <w:r w:rsidR="00456429">
        <w:rPr>
          <w:rFonts w:ascii="Helvetica" w:eastAsia="Calibri" w:hAnsi="Helvetica" w:cs="Helvetica"/>
        </w:rPr>
        <w:t>guide (Appendix I</w:t>
      </w:r>
      <w:r w:rsidR="00D25CEA">
        <w:rPr>
          <w:rFonts w:ascii="Helvetica" w:eastAsia="Calibri" w:hAnsi="Helvetica" w:cs="Helvetica"/>
        </w:rPr>
        <w:t>),</w:t>
      </w:r>
      <w:r w:rsidRPr="00161C60">
        <w:rPr>
          <w:rFonts w:ascii="Helvetica" w:eastAsia="Calibri" w:hAnsi="Helvetica" w:cs="Helvetica"/>
        </w:rPr>
        <w:t xml:space="preserve"> to explore perceptions of the importance and role of exercise, identify areas of uncertainty and to seek views on the provisional content framework for the consensus document. The discussions were audio-recorded</w:t>
      </w:r>
      <w:r w:rsidR="00981EDA">
        <w:rPr>
          <w:rFonts w:ascii="Helvetica" w:eastAsia="Calibri" w:hAnsi="Helvetica" w:cs="Helvetica"/>
        </w:rPr>
        <w:t>,</w:t>
      </w:r>
      <w:r w:rsidRPr="00161C60">
        <w:rPr>
          <w:rFonts w:ascii="Helvetica" w:eastAsia="Calibri" w:hAnsi="Helvetica" w:cs="Helvetica"/>
        </w:rPr>
        <w:t xml:space="preserve"> written field notes taken and a summary of the main discussion themes produced. </w:t>
      </w:r>
    </w:p>
    <w:p w14:paraId="6C35B337" w14:textId="53B70794" w:rsidR="00971927" w:rsidRPr="00161C60" w:rsidRDefault="00971927" w:rsidP="00971927">
      <w:pPr>
        <w:spacing w:before="120" w:after="0" w:line="240" w:lineRule="auto"/>
        <w:rPr>
          <w:rFonts w:ascii="Helvetica" w:eastAsia="Calibri" w:hAnsi="Helvetica" w:cs="Helvetica"/>
        </w:rPr>
      </w:pPr>
      <w:r w:rsidRPr="00161C60">
        <w:rPr>
          <w:rFonts w:ascii="Helvetica" w:eastAsia="Calibri" w:hAnsi="Helvetica" w:cs="Helvetica"/>
        </w:rPr>
        <w:t xml:space="preserve">Secondly, an online/telephone survey </w:t>
      </w:r>
      <w:r w:rsidR="00414321" w:rsidRPr="00161C60">
        <w:rPr>
          <w:rFonts w:ascii="Helvetica" w:eastAsia="Calibri" w:hAnsi="Helvetica" w:cs="Helvetica"/>
        </w:rPr>
        <w:t>was distributed to</w:t>
      </w:r>
      <w:r w:rsidRPr="00161C60">
        <w:rPr>
          <w:rFonts w:ascii="Helvetica" w:eastAsia="Calibri" w:hAnsi="Helvetica" w:cs="Helvetica"/>
        </w:rPr>
        <w:t xml:space="preserve"> people affected by osteoporosis and interested health professionals recruited through Royal Osteoporosis Society members, healthcare professionals and social media channels. Participants provided ‘free text’ responses about what they felt were the key issues and uncertainties about exercise and osteoporosis</w:t>
      </w:r>
      <w:r w:rsidR="006421F0">
        <w:rPr>
          <w:rFonts w:ascii="Helvetica" w:eastAsia="Calibri" w:hAnsi="Helvetica" w:cs="Helvetica"/>
        </w:rPr>
        <w:t xml:space="preserve"> (Appendix II)</w:t>
      </w:r>
      <w:r w:rsidRPr="00161C60">
        <w:rPr>
          <w:rFonts w:ascii="Helvetica" w:eastAsia="Calibri" w:hAnsi="Helvetica" w:cs="Helvetica"/>
        </w:rPr>
        <w:t>.</w:t>
      </w:r>
      <w:r w:rsidR="00E84563">
        <w:rPr>
          <w:rFonts w:ascii="Helvetica" w:eastAsia="Calibri" w:hAnsi="Helvetica" w:cs="Helvetica"/>
        </w:rPr>
        <w:t xml:space="preserve"> </w:t>
      </w:r>
      <w:r w:rsidR="00335AAD">
        <w:rPr>
          <w:rFonts w:ascii="Helvetica" w:eastAsia="Calibri" w:hAnsi="Helvetica" w:cs="Helvetica"/>
        </w:rPr>
        <w:t xml:space="preserve">These were </w:t>
      </w:r>
      <w:r w:rsidR="005B1B39">
        <w:rPr>
          <w:rFonts w:ascii="Helvetica" w:eastAsia="Calibri" w:hAnsi="Helvetica" w:cs="Helvetica"/>
        </w:rPr>
        <w:t>entered into a spreadsheet and structured according to categories and themes</w:t>
      </w:r>
      <w:r w:rsidR="00335AAD">
        <w:rPr>
          <w:rFonts w:ascii="Helvetica" w:eastAsia="Calibri" w:hAnsi="Helvetica" w:cs="Helvetica"/>
        </w:rPr>
        <w:t xml:space="preserve">. </w:t>
      </w:r>
    </w:p>
    <w:p w14:paraId="07190583" w14:textId="77777777" w:rsidR="00AF7C5D" w:rsidRPr="00161C60" w:rsidRDefault="00AF7C5D" w:rsidP="00AF7C5D">
      <w:pPr>
        <w:pStyle w:val="Heading2"/>
        <w:spacing w:before="240" w:line="240" w:lineRule="auto"/>
        <w:rPr>
          <w:rFonts w:ascii="Helvetica" w:eastAsia="Calibri" w:hAnsi="Helvetica" w:cs="Helvetica"/>
          <w:b/>
          <w:color w:val="auto"/>
          <w:sz w:val="24"/>
          <w:szCs w:val="24"/>
        </w:rPr>
      </w:pPr>
      <w:r w:rsidRPr="00161C60">
        <w:rPr>
          <w:rFonts w:ascii="Helvetica" w:eastAsia="Calibri" w:hAnsi="Helvetica" w:cs="Helvetica"/>
          <w:b/>
          <w:color w:val="auto"/>
          <w:sz w:val="24"/>
          <w:szCs w:val="24"/>
        </w:rPr>
        <w:t>Refining scope through exercise expert consultation</w:t>
      </w:r>
    </w:p>
    <w:p w14:paraId="65F521CB" w14:textId="3201AC74" w:rsidR="00AF7C5D" w:rsidRPr="00161C60" w:rsidRDefault="00AF7C5D" w:rsidP="00AF7C5D">
      <w:pPr>
        <w:spacing w:before="120" w:after="0" w:line="240" w:lineRule="auto"/>
        <w:rPr>
          <w:rFonts w:ascii="Helvetica" w:hAnsi="Helvetica" w:cs="Helvetica"/>
        </w:rPr>
      </w:pPr>
      <w:r w:rsidRPr="00161C60">
        <w:rPr>
          <w:rFonts w:ascii="Helvetica" w:hAnsi="Helvetica" w:cs="Helvetica"/>
        </w:rPr>
        <w:t>A UK Expert Exercise Steering Group (EESG) consisting of 12 clinical and academic experts</w:t>
      </w:r>
      <w:r w:rsidR="0032466E" w:rsidRPr="00161C60">
        <w:rPr>
          <w:rFonts w:ascii="Helvetica" w:hAnsi="Helvetica" w:cs="Helvetica"/>
        </w:rPr>
        <w:t xml:space="preserve"> </w:t>
      </w:r>
      <w:r w:rsidRPr="00161C60">
        <w:rPr>
          <w:rFonts w:ascii="Helvetica" w:hAnsi="Helvetica" w:cs="Helvetica"/>
        </w:rPr>
        <w:t>develop</w:t>
      </w:r>
      <w:r w:rsidR="00487612">
        <w:rPr>
          <w:rFonts w:ascii="Helvetica" w:hAnsi="Helvetica" w:cs="Helvetica"/>
        </w:rPr>
        <w:t>ed</w:t>
      </w:r>
      <w:r w:rsidRPr="00161C60">
        <w:rPr>
          <w:rFonts w:ascii="Helvetica" w:hAnsi="Helvetica" w:cs="Helvetica"/>
        </w:rPr>
        <w:t xml:space="preserve"> the Consensus statement (Appendix I</w:t>
      </w:r>
      <w:r w:rsidR="00A26D09">
        <w:rPr>
          <w:rFonts w:ascii="Helvetica" w:hAnsi="Helvetica" w:cs="Helvetica"/>
        </w:rPr>
        <w:t>II</w:t>
      </w:r>
      <w:r w:rsidRPr="00161C60">
        <w:rPr>
          <w:rFonts w:ascii="Helvetica" w:hAnsi="Helvetica" w:cs="Helvetica"/>
        </w:rPr>
        <w:t>).</w:t>
      </w:r>
      <w:r w:rsidR="0047649F">
        <w:rPr>
          <w:rFonts w:ascii="Helvetica" w:hAnsi="Helvetica" w:cs="Helvetica"/>
        </w:rPr>
        <w:t xml:space="preserve"> This group included six phy</w:t>
      </w:r>
      <w:r w:rsidR="00F66AD5">
        <w:rPr>
          <w:rFonts w:ascii="Helvetica" w:hAnsi="Helvetica" w:cs="Helvetica"/>
        </w:rPr>
        <w:t>s</w:t>
      </w:r>
      <w:r w:rsidR="0047649F">
        <w:rPr>
          <w:rFonts w:ascii="Helvetica" w:hAnsi="Helvetica" w:cs="Helvetica"/>
        </w:rPr>
        <w:t>iotherapists</w:t>
      </w:r>
      <w:r w:rsidR="00F66AD5">
        <w:rPr>
          <w:rFonts w:ascii="Helvetica" w:hAnsi="Helvetica" w:cs="Helvetica"/>
        </w:rPr>
        <w:t xml:space="preserve">, three rheumatologists, three academics </w:t>
      </w:r>
      <w:r w:rsidR="00167927">
        <w:rPr>
          <w:rFonts w:ascii="Helvetica" w:hAnsi="Helvetica" w:cs="Helvetica"/>
        </w:rPr>
        <w:t xml:space="preserve">and an osteoporosis specialist nurse; </w:t>
      </w:r>
      <w:r w:rsidR="00E84563">
        <w:rPr>
          <w:rFonts w:ascii="Helvetica" w:hAnsi="Helvetica" w:cs="Helvetica"/>
        </w:rPr>
        <w:t>a</w:t>
      </w:r>
      <w:r w:rsidR="00167927">
        <w:rPr>
          <w:rFonts w:ascii="Helvetica" w:hAnsi="Helvetica" w:cs="Helvetica"/>
        </w:rPr>
        <w:t>ll but one of whom were female</w:t>
      </w:r>
      <w:r w:rsidR="00924BC8">
        <w:rPr>
          <w:rFonts w:ascii="Helvetica" w:hAnsi="Helvetica" w:cs="Helvetica"/>
        </w:rPr>
        <w:t>.</w:t>
      </w:r>
      <w:r w:rsidR="00F66AD5">
        <w:rPr>
          <w:rFonts w:ascii="Helvetica" w:hAnsi="Helvetica" w:cs="Helvetica"/>
        </w:rPr>
        <w:t xml:space="preserve"> </w:t>
      </w:r>
      <w:r w:rsidR="00CC3A4C">
        <w:rPr>
          <w:rFonts w:ascii="Helvetica" w:hAnsi="Helvetica" w:cs="Helvetica"/>
        </w:rPr>
        <w:t>Nine</w:t>
      </w:r>
      <w:r w:rsidR="003A2917">
        <w:rPr>
          <w:rFonts w:ascii="Helvetica" w:hAnsi="Helvetica" w:cs="Helvetica"/>
        </w:rPr>
        <w:t xml:space="preserve"> </w:t>
      </w:r>
      <w:r w:rsidR="00020DB0">
        <w:rPr>
          <w:rFonts w:ascii="Helvetica" w:hAnsi="Helvetica" w:cs="Helvetica"/>
        </w:rPr>
        <w:t>were</w:t>
      </w:r>
      <w:r w:rsidR="003A2917">
        <w:rPr>
          <w:rFonts w:ascii="Helvetica" w:hAnsi="Helvetica" w:cs="Helvetica"/>
        </w:rPr>
        <w:t xml:space="preserve"> clinically active </w:t>
      </w:r>
      <w:r w:rsidR="00CC3A4C">
        <w:rPr>
          <w:rFonts w:ascii="Helvetica" w:hAnsi="Helvetica" w:cs="Helvetica"/>
        </w:rPr>
        <w:t>with</w:t>
      </w:r>
      <w:r w:rsidR="00FD4278">
        <w:rPr>
          <w:rFonts w:ascii="Helvetica" w:hAnsi="Helvetica" w:cs="Helvetica"/>
        </w:rPr>
        <w:t xml:space="preserve"> </w:t>
      </w:r>
      <w:r w:rsidR="00CC3A4C">
        <w:rPr>
          <w:rFonts w:ascii="Helvetica" w:hAnsi="Helvetica" w:cs="Helvetica"/>
        </w:rPr>
        <w:t>mean (SD)</w:t>
      </w:r>
      <w:r w:rsidR="00AD7396">
        <w:rPr>
          <w:rFonts w:ascii="Helvetica" w:hAnsi="Helvetica" w:cs="Helvetica"/>
        </w:rPr>
        <w:t xml:space="preserve"> </w:t>
      </w:r>
      <w:r w:rsidR="00692A9D">
        <w:rPr>
          <w:rFonts w:ascii="Helvetica" w:hAnsi="Helvetica" w:cs="Helvetica"/>
        </w:rPr>
        <w:t>18</w:t>
      </w:r>
      <w:r w:rsidR="00DF3DF3">
        <w:rPr>
          <w:rFonts w:ascii="Helvetica" w:hAnsi="Helvetica" w:cs="Helvetica"/>
        </w:rPr>
        <w:t xml:space="preserve"> </w:t>
      </w:r>
      <w:r w:rsidR="00146FD9">
        <w:rPr>
          <w:rFonts w:ascii="Helvetica" w:hAnsi="Helvetica" w:cs="Helvetica"/>
        </w:rPr>
        <w:t>(</w:t>
      </w:r>
      <w:r w:rsidR="00DF553A">
        <w:rPr>
          <w:rFonts w:ascii="Helvetica" w:hAnsi="Helvetica" w:cs="Helvetica"/>
        </w:rPr>
        <w:t>13</w:t>
      </w:r>
      <w:r w:rsidR="00146FD9">
        <w:rPr>
          <w:rFonts w:ascii="Helvetica" w:hAnsi="Helvetica" w:cs="Helvetica"/>
        </w:rPr>
        <w:t xml:space="preserve">) years of </w:t>
      </w:r>
      <w:r w:rsidR="00CC3A4C">
        <w:rPr>
          <w:rFonts w:ascii="Helvetica" w:hAnsi="Helvetica" w:cs="Helvetica"/>
        </w:rPr>
        <w:t>clinical</w:t>
      </w:r>
      <w:r w:rsidR="00146FD9">
        <w:rPr>
          <w:rFonts w:ascii="Helvetica" w:hAnsi="Helvetica" w:cs="Helvetica"/>
        </w:rPr>
        <w:t xml:space="preserve"> experience</w:t>
      </w:r>
      <w:r w:rsidR="006D79BF">
        <w:rPr>
          <w:rFonts w:ascii="Helvetica" w:hAnsi="Helvetica" w:cs="Helvetica"/>
        </w:rPr>
        <w:t xml:space="preserve">, </w:t>
      </w:r>
      <w:r w:rsidR="00B33EAD">
        <w:rPr>
          <w:rFonts w:ascii="Helvetica" w:hAnsi="Helvetica" w:cs="Helvetica"/>
        </w:rPr>
        <w:t>and 11</w:t>
      </w:r>
      <w:r w:rsidR="006D79BF">
        <w:rPr>
          <w:rFonts w:ascii="Helvetica" w:hAnsi="Helvetica" w:cs="Helvetica"/>
        </w:rPr>
        <w:t xml:space="preserve"> were research active</w:t>
      </w:r>
      <w:r w:rsidR="00146FD9">
        <w:rPr>
          <w:rFonts w:ascii="Helvetica" w:hAnsi="Helvetica" w:cs="Helvetica"/>
        </w:rPr>
        <w:t xml:space="preserve"> with </w:t>
      </w:r>
      <w:r w:rsidR="00CC3A4C">
        <w:rPr>
          <w:rFonts w:ascii="Helvetica" w:hAnsi="Helvetica" w:cs="Helvetica"/>
        </w:rPr>
        <w:t>18</w:t>
      </w:r>
      <w:r w:rsidR="00DF3DF3">
        <w:rPr>
          <w:rFonts w:ascii="Helvetica" w:hAnsi="Helvetica" w:cs="Helvetica"/>
        </w:rPr>
        <w:t xml:space="preserve"> </w:t>
      </w:r>
      <w:r w:rsidR="00CC3A4C">
        <w:rPr>
          <w:rFonts w:ascii="Helvetica" w:hAnsi="Helvetica" w:cs="Helvetica"/>
        </w:rPr>
        <w:t>(11) years research experience</w:t>
      </w:r>
      <w:r w:rsidR="006D79BF">
        <w:rPr>
          <w:rFonts w:ascii="Helvetica" w:hAnsi="Helvetica" w:cs="Helvetica"/>
        </w:rPr>
        <w:t>.</w:t>
      </w:r>
      <w:r w:rsidR="0047649F">
        <w:rPr>
          <w:rFonts w:ascii="Helvetica" w:hAnsi="Helvetica" w:cs="Helvetica"/>
        </w:rPr>
        <w:t xml:space="preserve"> </w:t>
      </w:r>
      <w:r w:rsidRPr="00161C60">
        <w:rPr>
          <w:rFonts w:ascii="Helvetica" w:hAnsi="Helvetica" w:cs="Helvetica"/>
        </w:rPr>
        <w:t xml:space="preserve"> A wider </w:t>
      </w:r>
      <w:r w:rsidR="001C5769">
        <w:rPr>
          <w:rFonts w:ascii="Helvetica" w:hAnsi="Helvetica" w:cs="Helvetica"/>
        </w:rPr>
        <w:t xml:space="preserve">UK </w:t>
      </w:r>
      <w:r w:rsidRPr="00161C60">
        <w:rPr>
          <w:rFonts w:ascii="Helvetica" w:hAnsi="Helvetica" w:cs="Helvetica"/>
        </w:rPr>
        <w:t xml:space="preserve">Exercise Expert Working group (EEWG) </w:t>
      </w:r>
      <w:r w:rsidR="00A31B23" w:rsidRPr="00161C60">
        <w:rPr>
          <w:rFonts w:ascii="Helvetica" w:hAnsi="Helvetica" w:cs="Helvetica"/>
        </w:rPr>
        <w:t>consist</w:t>
      </w:r>
      <w:r w:rsidR="00A31B23">
        <w:rPr>
          <w:rFonts w:ascii="Helvetica" w:hAnsi="Helvetica" w:cs="Helvetica"/>
        </w:rPr>
        <w:t>ed</w:t>
      </w:r>
      <w:r w:rsidR="00A31B23" w:rsidRPr="00161C60">
        <w:rPr>
          <w:rFonts w:ascii="Helvetica" w:hAnsi="Helvetica" w:cs="Helvetica"/>
        </w:rPr>
        <w:t xml:space="preserve"> </w:t>
      </w:r>
      <w:r w:rsidRPr="00161C60">
        <w:rPr>
          <w:rFonts w:ascii="Helvetica" w:hAnsi="Helvetica" w:cs="Helvetica"/>
        </w:rPr>
        <w:t>of a further 16 experts</w:t>
      </w:r>
      <w:r w:rsidR="00A31B23">
        <w:rPr>
          <w:rFonts w:ascii="Helvetica" w:hAnsi="Helvetica" w:cs="Helvetica"/>
        </w:rPr>
        <w:t>:</w:t>
      </w:r>
      <w:r w:rsidR="00A31B23" w:rsidRPr="00161C60">
        <w:rPr>
          <w:rFonts w:ascii="Helvetica" w:hAnsi="Helvetica" w:cs="Helvetica"/>
        </w:rPr>
        <w:t xml:space="preserve"> </w:t>
      </w:r>
      <w:r w:rsidR="009B35AB">
        <w:rPr>
          <w:rFonts w:ascii="Helvetica" w:hAnsi="Helvetica" w:cs="Helvetica"/>
        </w:rPr>
        <w:t xml:space="preserve">nine </w:t>
      </w:r>
      <w:r w:rsidRPr="00161C60">
        <w:rPr>
          <w:rFonts w:ascii="Helvetica" w:hAnsi="Helvetica" w:cs="Helvetica"/>
        </w:rPr>
        <w:t xml:space="preserve">physiotherapists, </w:t>
      </w:r>
      <w:r w:rsidR="009347FB">
        <w:rPr>
          <w:rFonts w:ascii="Helvetica" w:hAnsi="Helvetica" w:cs="Helvetica"/>
        </w:rPr>
        <w:t xml:space="preserve">two </w:t>
      </w:r>
      <w:r w:rsidRPr="00161C60">
        <w:rPr>
          <w:rFonts w:ascii="Helvetica" w:hAnsi="Helvetica" w:cs="Helvetica"/>
        </w:rPr>
        <w:t>patient representatives</w:t>
      </w:r>
      <w:r w:rsidR="00A1366C">
        <w:rPr>
          <w:rFonts w:ascii="Helvetica" w:hAnsi="Helvetica" w:cs="Helvetica"/>
        </w:rPr>
        <w:t>, two patient advocates</w:t>
      </w:r>
      <w:r w:rsidRPr="00161C60">
        <w:rPr>
          <w:rFonts w:ascii="Helvetica" w:hAnsi="Helvetica" w:cs="Helvetica"/>
        </w:rPr>
        <w:t xml:space="preserve">, </w:t>
      </w:r>
      <w:r w:rsidR="009347FB">
        <w:rPr>
          <w:rFonts w:ascii="Helvetica" w:hAnsi="Helvetica" w:cs="Helvetica"/>
        </w:rPr>
        <w:t xml:space="preserve">an exercise instructor, </w:t>
      </w:r>
      <w:r w:rsidRPr="00161C60">
        <w:rPr>
          <w:rFonts w:ascii="Helvetica" w:hAnsi="Helvetica" w:cs="Helvetica"/>
        </w:rPr>
        <w:t>nurse</w:t>
      </w:r>
      <w:r w:rsidR="00C21823">
        <w:rPr>
          <w:rFonts w:ascii="Helvetica" w:hAnsi="Helvetica" w:cs="Helvetica"/>
        </w:rPr>
        <w:t xml:space="preserve"> and</w:t>
      </w:r>
      <w:r w:rsidRPr="00161C60">
        <w:rPr>
          <w:rFonts w:ascii="Helvetica" w:hAnsi="Helvetica" w:cs="Helvetica"/>
        </w:rPr>
        <w:t xml:space="preserve"> physiologist</w:t>
      </w:r>
      <w:r w:rsidR="00813114">
        <w:rPr>
          <w:rFonts w:ascii="Helvetica" w:hAnsi="Helvetica" w:cs="Helvetica"/>
        </w:rPr>
        <w:t xml:space="preserve">; </w:t>
      </w:r>
      <w:r w:rsidR="00694CB1">
        <w:rPr>
          <w:rFonts w:ascii="Helvetica" w:hAnsi="Helvetica" w:cs="Helvetica"/>
        </w:rPr>
        <w:t>13 female and 3 male</w:t>
      </w:r>
      <w:r w:rsidR="00813114">
        <w:rPr>
          <w:rFonts w:ascii="Helvetica" w:hAnsi="Helvetica" w:cs="Helvetica"/>
        </w:rPr>
        <w:t xml:space="preserve"> </w:t>
      </w:r>
      <w:r w:rsidR="00813114" w:rsidRPr="00161C60">
        <w:rPr>
          <w:rFonts w:ascii="Helvetica" w:hAnsi="Helvetica" w:cs="Helvetica"/>
        </w:rPr>
        <w:t xml:space="preserve">(Appendix </w:t>
      </w:r>
      <w:r w:rsidR="00813114">
        <w:rPr>
          <w:rFonts w:ascii="Helvetica" w:hAnsi="Helvetica" w:cs="Helvetica"/>
        </w:rPr>
        <w:t>II</w:t>
      </w:r>
      <w:r w:rsidR="00813114" w:rsidRPr="00161C60">
        <w:rPr>
          <w:rFonts w:ascii="Helvetica" w:hAnsi="Helvetica" w:cs="Helvetica"/>
        </w:rPr>
        <w:t>I)</w:t>
      </w:r>
      <w:r w:rsidR="00813114" w:rsidRPr="00161C60" w:rsidDel="00FD4278">
        <w:rPr>
          <w:rFonts w:ascii="Helvetica" w:hAnsi="Helvetica" w:cs="Helvetica"/>
        </w:rPr>
        <w:t xml:space="preserve"> </w:t>
      </w:r>
      <w:r w:rsidR="005349DD" w:rsidRPr="00161C60">
        <w:rPr>
          <w:rFonts w:ascii="Helvetica" w:hAnsi="Helvetica" w:cs="Helvetica"/>
        </w:rPr>
        <w:t xml:space="preserve">. </w:t>
      </w:r>
      <w:r w:rsidR="00020DB0">
        <w:rPr>
          <w:rFonts w:ascii="Helvetica" w:hAnsi="Helvetica" w:cs="Helvetica"/>
        </w:rPr>
        <w:t>Experts were selected to provide relevant clinical</w:t>
      </w:r>
      <w:r w:rsidR="00CE15E9">
        <w:rPr>
          <w:rFonts w:ascii="Helvetica" w:hAnsi="Helvetica" w:cs="Helvetica"/>
        </w:rPr>
        <w:t>,</w:t>
      </w:r>
      <w:r w:rsidR="00020DB0">
        <w:rPr>
          <w:rFonts w:ascii="Helvetica" w:hAnsi="Helvetica" w:cs="Helvetica"/>
        </w:rPr>
        <w:t xml:space="preserve"> research expertise and/or lived experience, often through contacts of the Royal Osteoporosis Society clinical and scientific advisory committees, </w:t>
      </w:r>
      <w:r w:rsidR="008E59DD">
        <w:rPr>
          <w:rFonts w:ascii="Helvetica" w:hAnsi="Helvetica" w:cs="Helvetica"/>
        </w:rPr>
        <w:t>or</w:t>
      </w:r>
      <w:r w:rsidR="00020DB0">
        <w:rPr>
          <w:rFonts w:ascii="Helvetica" w:hAnsi="Helvetica" w:cs="Helvetica"/>
        </w:rPr>
        <w:t xml:space="preserve"> professional bodies (</w:t>
      </w:r>
      <w:r w:rsidR="00354C28">
        <w:rPr>
          <w:rFonts w:ascii="Helvetica" w:hAnsi="Helvetica" w:cs="Helvetica"/>
        </w:rPr>
        <w:t>such as</w:t>
      </w:r>
      <w:r w:rsidR="00020DB0">
        <w:rPr>
          <w:rFonts w:ascii="Helvetica" w:hAnsi="Helvetica" w:cs="Helvetica"/>
        </w:rPr>
        <w:t xml:space="preserve"> Chartered </w:t>
      </w:r>
      <w:r w:rsidR="008E59DD">
        <w:rPr>
          <w:rFonts w:ascii="Helvetica" w:hAnsi="Helvetica" w:cs="Helvetica"/>
        </w:rPr>
        <w:t>S</w:t>
      </w:r>
      <w:r w:rsidR="00020DB0">
        <w:rPr>
          <w:rFonts w:ascii="Helvetica" w:hAnsi="Helvetica" w:cs="Helvetica"/>
        </w:rPr>
        <w:t>ociety of Physiotherapists)</w:t>
      </w:r>
      <w:r w:rsidR="00020DB0" w:rsidRPr="00161C60">
        <w:rPr>
          <w:rFonts w:ascii="Helvetica" w:hAnsi="Helvetica" w:cs="Helvetica"/>
        </w:rPr>
        <w:t>.</w:t>
      </w:r>
      <w:r w:rsidR="00B535AC" w:rsidRPr="00B535AC">
        <w:rPr>
          <w:rFonts w:ascii="Helvetica" w:hAnsi="Helvetica" w:cs="Helvetica"/>
        </w:rPr>
        <w:t xml:space="preserve"> </w:t>
      </w:r>
    </w:p>
    <w:p w14:paraId="081E5339" w14:textId="423EDF26" w:rsidR="00AF7C5D" w:rsidRPr="00161C60" w:rsidRDefault="00AF7C5D" w:rsidP="00AF7C5D">
      <w:pPr>
        <w:spacing w:before="120" w:after="0" w:line="240" w:lineRule="auto"/>
        <w:rPr>
          <w:rFonts w:ascii="Helvetica" w:hAnsi="Helvetica" w:cs="Helvetica"/>
        </w:rPr>
      </w:pPr>
      <w:r w:rsidRPr="00161C60">
        <w:rPr>
          <w:rFonts w:ascii="Helvetica" w:hAnsi="Helvetica" w:cs="Helvetica"/>
        </w:rPr>
        <w:t>The scope was refined by the EESG by teleconference and email, and evidence synthesised. The scope and evidence were then reviewed in a</w:t>
      </w:r>
      <w:r w:rsidR="009A52A4">
        <w:rPr>
          <w:rFonts w:ascii="Helvetica" w:hAnsi="Helvetica" w:cs="Helvetica"/>
        </w:rPr>
        <w:t xml:space="preserve"> full day,</w:t>
      </w:r>
      <w:r w:rsidRPr="00161C60">
        <w:rPr>
          <w:rFonts w:ascii="Helvetica" w:hAnsi="Helvetica" w:cs="Helvetica"/>
        </w:rPr>
        <w:t xml:space="preserve"> face-to-face meeting of the EESG and EEWG</w:t>
      </w:r>
      <w:r w:rsidR="009A52A4">
        <w:rPr>
          <w:rFonts w:ascii="Helvetica" w:hAnsi="Helvetica" w:cs="Helvetica"/>
        </w:rPr>
        <w:t xml:space="preserve"> in London </w:t>
      </w:r>
      <w:r w:rsidR="00EA4365">
        <w:rPr>
          <w:rFonts w:ascii="Helvetica" w:hAnsi="Helvetica" w:cs="Helvetica"/>
        </w:rPr>
        <w:t>in September 201</w:t>
      </w:r>
      <w:r w:rsidR="00217FD6">
        <w:rPr>
          <w:rFonts w:ascii="Helvetica" w:hAnsi="Helvetica" w:cs="Helvetica"/>
        </w:rPr>
        <w:t>7</w:t>
      </w:r>
      <w:r w:rsidRPr="00161C60">
        <w:rPr>
          <w:rFonts w:ascii="Helvetica" w:hAnsi="Helvetica" w:cs="Helvetica"/>
        </w:rPr>
        <w:t>.</w:t>
      </w:r>
      <w:r w:rsidR="0000557A">
        <w:rPr>
          <w:rFonts w:ascii="Helvetica" w:hAnsi="Helvetica" w:cs="Helvetica"/>
        </w:rPr>
        <w:t xml:space="preserve"> A summary was circulated </w:t>
      </w:r>
      <w:r w:rsidR="00217FD6">
        <w:rPr>
          <w:rFonts w:ascii="Helvetica" w:hAnsi="Helvetica" w:cs="Helvetica"/>
        </w:rPr>
        <w:t>with</w:t>
      </w:r>
      <w:r w:rsidR="0000557A">
        <w:rPr>
          <w:rFonts w:ascii="Helvetica" w:hAnsi="Helvetica" w:cs="Helvetica"/>
        </w:rPr>
        <w:t xml:space="preserve"> all members invited to comment.</w:t>
      </w:r>
      <w:r w:rsidRPr="00161C60">
        <w:rPr>
          <w:rFonts w:ascii="Helvetica" w:hAnsi="Helvetica" w:cs="Helvetica"/>
        </w:rPr>
        <w:t xml:space="preserve"> </w:t>
      </w:r>
    </w:p>
    <w:p w14:paraId="751030D7" w14:textId="5650718E" w:rsidR="003072FA" w:rsidRPr="00161C60" w:rsidRDefault="00ED73A3" w:rsidP="003072FA">
      <w:pPr>
        <w:pStyle w:val="Heading2"/>
        <w:spacing w:before="240" w:line="240" w:lineRule="auto"/>
        <w:rPr>
          <w:rFonts w:ascii="Helvetica" w:eastAsia="Calibri" w:hAnsi="Helvetica" w:cs="Helvetica"/>
          <w:color w:val="auto"/>
          <w:sz w:val="24"/>
          <w:szCs w:val="24"/>
        </w:rPr>
      </w:pPr>
      <w:r w:rsidRPr="00161C60">
        <w:rPr>
          <w:rFonts w:ascii="Helvetica" w:eastAsia="Calibri" w:hAnsi="Helvetica" w:cs="Helvetica"/>
          <w:b/>
          <w:color w:val="auto"/>
          <w:sz w:val="24"/>
          <w:szCs w:val="24"/>
        </w:rPr>
        <w:t>Literature search strategy</w:t>
      </w:r>
    </w:p>
    <w:p w14:paraId="2A44CF1D" w14:textId="3EEB2CE7" w:rsidR="00520856" w:rsidRPr="00161C60" w:rsidRDefault="00520856" w:rsidP="00520856">
      <w:pPr>
        <w:spacing w:before="120" w:after="0" w:line="240" w:lineRule="auto"/>
        <w:rPr>
          <w:rFonts w:ascii="Helvetica" w:eastAsia="Calibri" w:hAnsi="Helvetica" w:cs="Helvetica"/>
        </w:rPr>
      </w:pPr>
      <w:r w:rsidRPr="00161C60">
        <w:rPr>
          <w:rFonts w:ascii="Helvetica" w:eastAsia="Calibri" w:hAnsi="Helvetica" w:cs="Helvetica"/>
        </w:rPr>
        <w:t xml:space="preserve">The EESG identified </w:t>
      </w:r>
      <w:r w:rsidR="001B0714">
        <w:rPr>
          <w:rFonts w:ascii="Helvetica" w:eastAsia="Calibri" w:hAnsi="Helvetica" w:cs="Helvetica"/>
        </w:rPr>
        <w:t xml:space="preserve">several </w:t>
      </w:r>
      <w:r w:rsidRPr="00161C60">
        <w:rPr>
          <w:rFonts w:ascii="Helvetica" w:eastAsia="Calibri" w:hAnsi="Helvetica" w:cs="Helvetica"/>
        </w:rPr>
        <w:t>international osteoporosis and falls prevention guidance documents, meta-analyses and systematic reviews.</w:t>
      </w:r>
      <w:r w:rsidRPr="00161C60">
        <w:rPr>
          <w:rFonts w:ascii="Helvetica" w:eastAsia="Calibri" w:hAnsi="Helvetica" w:cs="Helvetica"/>
          <w:vertAlign w:val="subscript"/>
        </w:rPr>
        <w:t> </w:t>
      </w:r>
      <w:r w:rsidRPr="00161C60">
        <w:rPr>
          <w:rFonts w:ascii="Helvetica" w:eastAsia="Calibri" w:hAnsi="Helvetica" w:cs="Helvetica"/>
        </w:rPr>
        <w:t xml:space="preserve"> These have synthesised the published evidence, agreed key principles</w:t>
      </w:r>
      <w:r w:rsidR="009757BB">
        <w:rPr>
          <w:rFonts w:ascii="Helvetica" w:eastAsia="Calibri" w:hAnsi="Helvetica" w:cs="Helvetica"/>
        </w:rPr>
        <w:t xml:space="preserve"> and</w:t>
      </w:r>
      <w:r w:rsidRPr="00161C60">
        <w:rPr>
          <w:rFonts w:ascii="Helvetica" w:eastAsia="Calibri" w:hAnsi="Helvetica" w:cs="Helvetica"/>
        </w:rPr>
        <w:t xml:space="preserve"> reported evidence </w:t>
      </w:r>
      <w:r w:rsidRPr="00161C60">
        <w:rPr>
          <w:rFonts w:ascii="Helvetica" w:hAnsi="Helvetica" w:cs="Helvetica"/>
        </w:rPr>
        <w:fldChar w:fldCharType="begin" w:fldLock="1"/>
      </w:r>
      <w:r w:rsidR="008A29C3">
        <w:rPr>
          <w:rFonts w:ascii="Helvetica" w:hAnsi="Helvetica" w:cs="Helvetica"/>
        </w:rPr>
        <w:instrText>ADDIN CSL_CITATION {"citationItems":[{"id":"ITEM-1","itemData":{"DOI":"10.1016/j.apmr.2013.06.022","ISSN":"00039993","abstract":"Objective: To evaluate previous research to determine if exercise can improve preexisting hyperkyphosis by decreasing the angle of thoracic kyphosis in adults aged ≥45 years. Data Sources: PubMed, Embase, and the Cumulative Index to Nursing and Allied Health Literature databases were searched for studies related to posture, exercise, and age ≥45 years. Online conference proceedings of the American Society for Bone and Mineral Research, American Physical Therapy Association, and Gerontological Society of America were also searched. Study Selection: Two independent reviewers screened the titles and abstracts and selected studies that tested the effect of exercise on measures of kyphosis, or forward head posture, in individuals with hyperkyphosis at baseline (defined as angle of kyphosis ≥40°). Reviews, letters, notes, and non-English language studies were excluded. Data Extraction: A pilot-tested abstraction form was used by each reviewer to extract data from each study regarding details of exercise intervention, participant characteristics, safety, adherence, and results. The Cochrane Collaboration's tool for assessing risk of bias was used to assess methodologic quality. Discrepancies on the abstraction forms between the 2 reviewers were resolved by a third reviewer. A formal meta-analysis was not performed. Data Synthesis: Thirteen studies were abstracted and included in the review; of these, 8 studies saw improvements in ≥1 measure of posture. The main sources of bias were related to blinding participants and incomplete outcome data. The adherence reported across studies suggests that exercise is an acceptable intervention for individuals with age-related hyperkyphosis. Conclusions: The scarcity and quality of available data did not permit a pooled estimate of the effect of exercise on hyperkyphotic posture; however, the positive effects observed in high-quality studies suggest some benefit and support the need for an adequately designed randomized controlled trial examining the effect of exercise on hyperkyphosis. © 2014 by the American Congress of Rehabilitation Medicine.","author":[{"dropping-particle":"","family":"Bansal","given":"Symron","non-dropping-particle":"","parse-names":false,"suffix":""},{"dropping-particle":"","family":"Katzman","given":"Wendy B.","non-dropping-particle":"","parse-names":false,"suffix":""},{"dropping-particle":"","family":"Giangregorio","given":"Lora M.","non-dropping-particle":"","parse-names":false,"suffix":""}],"container-title":"Archives of Physical Medicine and Rehabilitation","id":"ITEM-1","issue":"1","issued":{"date-parts":[["2014"]]},"page":"129-140","publisher":"Elsevier Ltd","title":"Exercise for improving age-related hyperkyphotic posture: A systematic review","type":"article-journal","volume":"95"},"uris":["http://www.mendeley.com/documents/?uuid=a373d908-585d-4387-adca-1a4e2e61b358"]},{"id":"ITEM-2","itemData":{"DOI":"10.1002/14651858.CD012424.pub2","ISSN":"1469493X","PMID":"30703272","abstract":"Background: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Reviews","id":"ITEM-2","issue":"1","issued":{"date-parts":[["2019"]]},"title":"Exercise for preventing falls in older people living in the community","type":"article-journal","volume":"2019"},"uris":["http://www.mendeley.com/documents/?uuid=a3600dcc-a68e-42b8-94df-5e85dad039ff"]},{"id":"ITEM-3","itemData":{"DOI":"10.1007/s40279-014-0220-8","ISSN":"11792035","PMID":"24981245","abstract":"Background: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id":"ITEM-4","itemData":{"DOI":"10.1007/s00198-015-3034-0","ISBN":"0019801530340","ISSN":"14332965","PMID":"25603795","abstract":"Summary: This meta-analysis synthesized current evidence from 24 clinical trials to evaluate the impact of different resistance training modes on postmenopausal bone loss. Exercise interventions were categorized into two training modes, namely resistance-alone versus combined resistance training protocols. The combined resistance training protocols were defined as the combination of resistance training and high-impact or weight-bearing exercise. The results suggested that the combined resistance training protocols were effective in improving bone mineral density (BMD) at the femoral neck and lumbar spine.Introduction: The current meta-analysis aimed to examine the effects of combined resistance and resistance-alone training protocols on the preservation of femoral neck and lumbar spine BMD in postmenopausal women.Methods: An electronic database search was conducted in PubMed, EMBASE, SPORTDiscus, Web of Science, and ProQuest up to March 1, 2014 for the influence of resistance exercise on BMD in postmenopausal women. The study quality was evaluated. The effect sizes were estimated in terms of the standardized mean difference (SMD). A subgroup analysis was conducted by exercise categories.Results: Twenty-four studies were included in the overall analysis of skeletal response to resistance exercise. The between-study heterogeneity was evident for the hip (I2 = 46.5 %) and spine (I2 = 62.3 %). The overall analysis suggested that resistance training significantly increased femoral neck BMD (SMD = 0.303, 95 % confidence interval (95 % CI) = 0.127–0.479, p = 0.001) and lumbar spine BMD (SMD = 0.311, 95 % CI = 0.115–0.507, p = 0.002) in postmenopausal women. However, subgroup analysis indicated that combined resistance training programs significantly affected both the hip BMD (SMD = 0.411, 95 % CI = 0.176–0.645, p = 0.001) and spine BMD (SMD = 0.431, 95 % CI = 0.159–0.702, p = 0.002), whereas resistance-alone protocols only produced nonsignificant positive effects both on the femoral neck and lumbar spine BMD.Conclusions: Combined resistance exercise protocols appear effective in preserving femoral neck and lumbar spine BMD in postmenopausal women, whereas resistance-alone protocols only produced a nonsignificant positive effect.","author":[{"dropping-particle":"","family":"Zhao","given":"R.","non-dropping-particle":"","parse-names":false,"suffix":""},{"dropping-particle":"","family":"Zhao","given":"M.","non-dropping-particle":"","parse-names":false,"suffix":""},{"dropping-particle":"","family":"Xu","given":"Z.","non-dropping-particle":"","parse-names":false,"suffix":""}],"container-title":"Osteoporosis International","id":"ITEM-4","issue":"5","issued":{"date-parts":[["2015"]]},"page":"1605-1618","title":"The effects of differing resistance training modes on the preservation of bone mineral density in postmenopausal women: a meta-analysis","type":"article-journal","volume":"26"},"uris":["http://www.mendeley.com/documents/?uuid=09d1f96c-7837-4fe9-a586-49a8141e0a8a"]},{"id":"ITEM-5","itemData":{"DOI":"10.2519/jospt.2017.6969","ISSN":"01906011","PMID":"28257620","abstract":"STUDY DESIGN: Systematic review and metaanalysis. BACKGROUND: It remains unclear whether exercise combining different types of physical activities (combined exercise interventions) would effectively preserve postmenopausal women's bone mineral density (BMD) at different sites. OBJECTIVE: To examine the impact of combined exercise interventions on lumbar spine, femoral neck, total hip, and total body BMD in postmenopausal women. METHODS: An electronic database search was conducted in PubMed, EMBASE, SPORTDiscus, and Web of Science up to January 1, 2016. Randomized controlled trials that conducted combined exercise interventions and reported BMD values in postmenopausal women were included. Two authors independently extracted the data from individual studies. The primary end point was the change in BMD values from baseline to follow-up. The effect sizes were estimated by the standardized mean difference (SMD) methods using fixed-effects models. RESULTS: Eleven randomized controlled trials including 1061 postmenopausal women met the inclusion criteria. The levels of between-study heterogeneity were relatively low (I2&lt;50%). Exercise integrating different physical activities significantly increased lumbar spine (SMD, 0.170; 95% confidence interval [CI]: 0.027, 0.313; P = .019), femoral neck (SMD, 0.177; 95% CI: 0.030, 0.324; P = .018), total hip (SMD, 0.198; 95% CI: 0.037, 0.359; P = .016), and total body (SMD, 0.257; 95% CI: 0.053, 0.461; P = .014) BMD. Combined exercise interventions generated a beneficial effect on femoral neck BMD (SMD, 0.219; 95% CI: 0.034, 0.404; P = .020) in groups with women aged younger than 60 years, and significantly improved lumbar spine BMD (SMD, 0.349; 95% CI: 0.064, 0.634; P = .016) in groups with women aged 60 years or older. CONCLUSION: Our findings suggest that combined exercise interventions appear to be effective in preserving postmenopausal women's BMD at the lumbar spine, femoral neck, total hip, and total body.","author":[{"dropping-particle":"","family":"Zhao","given":"Renqing","non-dropping-particle":"","parse-names":false,"suffix":""},{"dropping-particle":"","family":"Zhang","given":"Mengyi","non-dropping-particle":"","parse-names":false,"suffix":""},{"dropping-particle":"","family":"Zhang","given":"Qi","non-dropping-particle":"","parse-names":false,"suffix":""}],"container-title":"Journal of Orthopaedic and Sports Physical Therapy","id":"ITEM-5","issue":"4","issued":{"date-parts":[["2017"]]},"page":"241-251","title":"The effectiveness of combined exercise interventions for preventing postmenopausal bone loss: A systematic review and meta-analysis","type":"article-journal","volume":"47"},"uris":["http://www.mendeley.com/documents/?uuid=69e329a8-f739-463f-b401-e142f9c338d7"]},{"id":"ITEM-6","itemData":{"DOI":"10.1155/2013/583217","ISSN":"16878337","author":[{"dropping-particle":"","family":"Kelley","given":"George A.","non-dropping-particle":"","parse-names":false,"suffix":""},{"dropping-particle":"","family":"Kelley","given":"Kristi S.","non-dropping-particle":"","parse-names":false,"suffix":""},{"dropping-particle":"","family":"Kohrt","given":"Wendy M.","non-dropping-particle":"","parse-names":false,"suffix":""}],"container-title":"International Journal of Endocrinology","id":"ITEM-6","issued":{"date-parts":[["2013"]]},"title":"Erratum: Exercise and bone mineral density in premenopausal women: A meta-analysis of randomized controlled trials (International Journal of Endocrinology)","type":"article-journal","volume":"2013"},"uris":["http://www.mendeley.com/documents/?uuid=1efa1aa2-1c42-47a9-b834-20bf700e3e30"]},{"id":"ITEM-7","itemData":{"DOI":"10.1186/1471-2474-13-177","ISSN":"14712474","PMID":"22992273","abstract":"Background: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Disorders","id":"ITEM-7","issued":{"date-parts":[["2012"]]},"title":"Effects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trials","type":"article-journal","volume":"13"},"uris":["http://www.mendeley.com/documents/?uuid=af56067b-eb71-4b4e-bfca-a61628f46f8a"]},{"id":"ITEM-8","itemData":{"DOI":"10.1371/journal.pone.0070119","ISSN":"19326203","PMID":"23950908","abstract":"Background:Swimming, a sport practiced in hypogravity, has sometimes been associated with decreased bone mass.Aim:This systematic review aims to summarize and update present knowledge about the effects of swimming on bone mass, structure and metabolism in order to ascertain the effects of this sport on bone tissue.Methods:A literature search was conducted up to April 2013. A total of 64 studies focusing on swimmers bone mass, structure and metabolism met the inclusion criteria and were included in the review.Results:It has been generally observed that swimmers present lower bone mineral density than athletes who practise high impact sports and similar values when compared to sedentary controls. However, swimmers have a higher bone turnover than controls resulting in a different structure which in turn results in higher resistance to fracture indexes. Nevertheless, swimming may become highly beneficial regarding bone mass in later stages of life.Conclusion:Swimming does not seem to negatively affect bone mass, although it may not be one of the best sports to be practised in order to increase this parameter, due to the hypogravity and lack of impact characteristic of this sport. Most of the studies included in this review showed similar bone mineral density values in swimmers and sedentary controls. However, swimmers present a higher bone turnover than sedentary controls that may result in a stronger structure and consequently in a stronger bone. © 2013 Gómez-Bruton et al.","author":[{"dropping-particle":"","family":"Gómez-Bruton","given":"Alejandro","non-dropping-particle":"","parse-names":false,"suffix":""},{"dropping-particle":"","family":"Gónzalez-Agüero","given":"Alejandro","non-dropping-particle":"","parse-names":false,"suffix":""},{"dropping-particle":"","family":"Gómez-Cabello","given":"Alba","non-dropping-particle":"","parse-names":false,"suffix":""},{"dropping-particle":"","family":"Casajús","given":"José A.","non-dropping-particle":"","parse-names":false,"suffix":""},{"dropping-particle":"","family":"Vicente-Rodríguez","given":"Germán","non-dropping-particle":"","parse-names":false,"suffix":""}],"container-title":"PLoS ONE","id":"ITEM-8","issue":"8","issued":{"date-parts":[["2013"]]},"title":"Is Bone Tissue Really Affected by Swimming? A Systematic Review","type":"article-journal","volume":"8"},"uris":["http://www.mendeley.com/documents/?uuid=1c506f6c-b8f4-4f5d-b161-1ef006c845e8"]},{"id":"ITEM-9","itemData":{"DOI":"10.1016/j.bone.2012.11.031","ISSN":"87563282","PMID":"23219948","abstract":"Objective: Use the meta-analytic approach to examine the effects of ground and/or joint reaction force exercise on femoral neck (FN) and lumbar spine (LS) bone mineral density (BMD) in men. Methods: Randomized controlled exercise trials ≥24weeks were included. Standardized effect sizes (g) were calculated and pooled using random-effects models, z-score alpha values and 95% confidence intervals (CI). Heterogeneity was examined using Q and I2. Statistical significance was set at a two-tailed alpha value (p) of ≤0.05 and a trend at &gt;0.05 to ≤0.10. Results: A moderate and statistically significant improvement was found at the FN (3 g's, 187 participants, g=0.583, 95% CI=0.031, 1.135, p=0.04, Q=5.6, p=0.06, I2=64%) while a small trend was observed at the LS (5 g's, 275 participants, g=0.190, 95% CI=-0.036, 0.416, p=0.10, Q=3.0, p=0.55, I2=0%). Results were sensitive to influence analysis as well as collapsing multiple groups from the same studies so that only one g represented each study. Conclusions: There is currently insufficient evidence to recommend ground and/or joint reaction force exercise for improving and/or maintaining FN and LS BMD in men. Additional well-designed randomized controlled trials are needed before any final recommendations can be formulated. © 2012 Elsevier Inc.","author":[{"dropping-particle":"","family":"Kelley","given":"G. A.","non-dropping-particle":"","parse-names":false,"suffix":""},{"dropping-particle":"","family":"Kelley","given":"K. S.","non-dropping-particle":"","parse-names":false,"suffix":""},{"dropping-particle":"","family":"Kohrt","given":"W. M.","non-dropping-particle":"","parse-names":false,"suffix":""}],"container-title":"Bone","id":"ITEM-9","issue":"1","issued":{"date-parts":[["2013"]]},"page":"103-111","publisher":"Elsevier Inc.","title":"Exercise and bone mineral density in men: A meta-analysis of randomized controlled trials","type":"article-journal","volume":"53"},"uris":["http://www.mendeley.com/documents/?uuid=433ef880-2697-472c-80a4-f31941522750"]},{"id":"ITEM-10","itemData":{"DOI":"10.2165/11597670-000000000-00000","ISSN":"01121642","PMID":"22376192","abstract":"It is widely recognized that the risk of fractures is closely related to the typical decline in bone mass during the ageing process in both women and men. Exercise has been reported as one of the best non-pharmacological ways to improve bone mass throughout life. However, not all exercise regimens have the same positive effects on bone mass, and the studies that have evaluated the role of exercise programmes on bone-related variables in elderly people have obtained inconclusive results. This systematic review aims to summarize and update present knowledge about the effects of different types of training programmes on bone mass in older adults and elderly people as a starting point for developing future interventions that maintain a healthy bone mass and higher quality of life in people throughout their lifetime.A literature search using MEDLINE and the Cochrane Central Register of Controlled Trials databases was conducted and bibliographies for studies discussing the effect of exercise interventions in older adults published up to August 2011 were examined. Inclusion criteria were met by 59 controlled trials, 7 meta-analyses and 8 reviews. The studies included in this review indicate that bone-related variables can be increased, or at least the common decline in bone mass during ageing attenuated, through following specific training programmes. Walking provides a modest increase in the loads on the skeleton above gravity and, therefore, this type of exercise has proved to be less effective in osteoporosis prevention. Strength exercise seems to be a powerful stimulus to improve and maintain bone mass during the ageing process. Multi-component exercise programmes of strength, aerobic, high impact andor weight-bearing training, as well as whole-body vibration (WBV) alone or in combination with exercise, may help to increase or at least prevent decline in bone mass with ageing, especially in postmenopausal women. This review provides, therefore, an overview of intervention studies involving training and bone measurements among older adults, especially postmenopausal women. Some novelties are that WBV training is a promising alternative to prevent bone fractures and osteoporosis. Because this type of exercise under prescription is potentially safe, it may be considered as a low impact alternative to current methods combating bone deterioration. In other respects, the ability of peripheral quantitative computed tomography (pQCT) to assess bone strength and ge…","author":[{"dropping-particle":"","family":"Gómez-Cabello","given":"A.","non-dropping-particle":"","parse-names":false,"suffix":""},{"dropping-particle":"","family":"Ara","given":"I.","non-dropping-particle":"","parse-names":false,"suffix":""},{"dropping-particle":"","family":"González-Agüero","given":"A.","non-dropping-particle":"","parse-names":false,"suffix":""},{"dropping-particle":"","family":"Casajús","given":"J. A.","non-dropping-particle":"","parse-names":false,"suffix":""},{"dropping-particle":"","family":"Vicente-Rodríguez","given":"G.","non-dropping-particle":"","parse-names":false,"suffix":""}],"container-title":"Sports Medicine","id":"ITEM-10","issue":"4","issued":{"date-parts":[["2012"]]},"page":"301-325","title":"Effects of training on bone mass in older adults: A systematic review","type":"article-journal","volume":"42"},"uris":["http://www.mendeley.com/documents/?uuid=c41277fa-f743-4001-b464-572816382a9b"]},{"id":"ITEM-11","itemData":{"DOI":"10.1136/bjsm.2008.052704","ISBN":"4411381265","ISSN":"03063674","PMID":"18981037","abstract":"Objectives: To assess the effects of differing impact exercise protocols on postmenopausal bone loss at the hip and spine. Design: Systematic review and meta-analysis. Data sources: Electronic bibliographic databases, key journals and reference lists of reviews and articles. Review methods: Two independent reviewers assessed controlled trials evaluating effects of impact exercise on lumbar spine, femoral neck and total hip bone mineral density (BMD) in postmenopausal women for inclusion. Heterogeneity amongst trials and publication bias were assessed. Trial quality assessment was also performed. Results: 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p=0.02 and p=0.005 respectively), although heterogeneity was evident (I2=88% and I2=73%, where I2 measures the extent of inconsistency among the trials). Effects on femoral neck BMD following these types of protocols were significant (weighted mean difference (fixed effect) 0.022 g/cm2 95% CI (0.014 to 0.030); p&lt;0.001 and 0.005 g/cm2 95% CI (0.001 to 0.010); p=0.03 respectively). High-impact only and odd-impact only protocols were ineffective in increasing BMD at any site. Conclusion: Mixed loading exercise programmes combining jogging with other low-impact loading activity and programmes mixing impact activity with high-magnitude exercise as resistance training appear effective in reducing postmenopausal bone loss at the hip and spine. Other forms of impact exercise appear less effective at preserving BMD in this population. However, diverse methodological and reporting discrepancies are evident in current published trials.","author":[{"dropping-particle":"","family":"Martyn-St James","given":"M.","non-dropping-particle":"","parse-names":false,"suffix":""},{"dropping-particle":"","family":"Carroll","given":"S.","non-dropping-particle":"","parse-names":false,"suffix":""}],"container-title":"British Journal of Sports Medicine","id":"ITEM-11","issue":"12","issued":{"date-parts":[["2009"]]},"page":"898-908","title":"A meta-analysis of impact exercise on postmenopausal bone loss: The case for mixed loading exercise programmes","type":"article-journal","volume":"43"},"uris":["http://www.mendeley.com/documents/?uuid=acbe0c69-50de-4521-a654-482a1edef8d3"]},{"id":"ITEM-12","itemData":{"DOI":"10.1007/s11357-011-9311-8","ISSN":"01619152","PMID":"21922251","abstract":"The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-12","issue":"6","issued":{"date-parts":[["2012"]]},"page":"1493-1515","title":"Exercise effects on bone mineral density in older adults: A meta-analysis of randomized controlled trials","type":"article-journal","volume":"34"},"uris":["http://www.mendeley.com/documents/?uuid=b0585b0a-e240-4050-b348-af1560b4cd63"]},{"id":"ITEM-13","itemData":{"DOI":"10.1016/j.bone.2008.05.012","ISSN":"87563282","PMID":"18602880","abstract":"Whilst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 months. All eight trials reported BMD data at the lumbar spine following walking interventions among postmenopausal women. Meta-analysis showed no significant change in BMD at this site [WMD (fixed-effect) 0.007 g/cm2 95% CI (- 0.001 to 0.016); P = 0.09)]. BMD data at the femoral neck were available from five trials among postmenopausal women. Results were inconsistent (I2 = 51.4%) in showing a positive effect of walking on BMD at this site [WMD (random-effects) 0.014 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postmenopaus…","author":[{"dropping-particle":"","family":"Martyn-St James","given":"Marrissa","non-dropping-particle":"","parse-names":false,"suffix":""},{"dropping-particle":"","family":"Carroll","given":"Sean","non-dropping-particle":"","parse-names":false,"suffix":""}],"container-title":"Bone","id":"ITEM-13","issue":"3","issued":{"date-parts":[["2008"]]},"page":"521-531","title":"Meta-analysis of walking for preservation of bone mineral density in postmenopausal women","type":"article-journal","volume":"43"},"uris":["http://www.mendeley.com/documents/?uuid=63939eba-b2ae-42b4-84ff-a9550d9a0c17"]},{"id":"ITEM-14","itemData":{"DOI":"10.1007/s00774-009-0139-6","ISSN":"09148779","PMID":"20013013","abstract":"Our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Metabolism","id":"ITEM-14","issue":"3","issued":{"date-parts":[["2010"]]},"page":"251-267","title":"Effects of different impact exercise modalities on bone mineral density in premenopausal women: A meta-analysis","type":"article-journal","volume":"28"},"uris":["http://www.mendeley.com/documents/?uuid=025fc3f3-ebd1-4a4c-9af0-4c0b2bccdbe6"]},{"id":"ITEM-15","itemData":{"DOI":"10.2165/00007256-200636080-00005","ISSN":"01121642","PMID":"16869710","abstract":"Regular weight-bearing physical activity has been widely recommended for adult women and may be beneficial in preserving bone mineral density (BMD). However, there is conflicting evidence regarding the effects of resistance training on BMD in premenopausal women. Novel systematic review and meta-analysis evidence is presented on the effects of progressive high-intensity resistance training on BMD in premenopausal women. Structured computer searches of MEDLINE, EMBASE, PubMed, Web of Science, SportDiscus and Evidence Based Medicine Reviews Multifile were undertaken along with hand-searching of key journals and reference lists to locate relevant studies published up to September 2004. Criteria for included studies were published controlled studies and randomised controlled trials (RCTs) evaluating the effects of progressive, high-intensity resistance training studies on BMD in premenopausal women. Two authors reached consensus on all included and excluded studies. Study outcomes for analysis were radiographic BMD assessment from first follow-up at lumbar spine and femoral neck. Primary outcomes for analysis were absolute changes in BMD g/cm2 at lumbar spine and femoral neck. Relative changes (percentage change) in BMD at lumbar spine were also assessed. Data were extracted from studies including study design, participant characteristics and treatment mode, intensity and duration, using electronic data extraction forms. Where necessary, relevant information was obtained by contacting study authors. Methodological quality of studies was assessed using a well recognised three-question instrument designed to assess bias. Informal assessment for small sample study effects and potential bias was undertaken through visual inspection of funnel plots. The weighted mean difference method (inverse of the variances) was used for combining study group estimates. Quantification of the effect of heterogeneity among study outcomes was assessed using the I 2 statistic. Random effects and fixed-effect models were applied according to observed study heterogeneity. Comparisons resulting in I 2 &gt; 50.0% were considered heterogeneous. Where heterogeneity was observed, a random effects model was applied. Pooled estimates of effect were calculated using the Cochrane Collaboration's Review Manager (RevMan) 4.2.1 software. High-intensity progressive resistance training was shown to be efficacious in increasing absolute BMD at the lumbar spine (p &lt; 0.00001) but not the femoral neck …","author":[{"dropping-particle":"","family":"Martyn St James","given":"Marrissa","non-dropping-particle":"","parse-names":false,"suffix":""},{"dropping-particle":"","family":"Carroll","given":"Sean","non-dropping-particle":"","parse-names":false,"suffix":""}],"container-title":"Sports Medicine","id":"ITEM-15","issue":"8","issued":{"date-parts":[["2006"]]},"page":"683-704","title":"Progressive high-intensity resistance training and bone mineral density changes among premenopausal women: Evidence of discordant site-specific skeletal effects","type":"article-journal","volume":"36"},"uris":["http://www.mendeley.com/documents/?uuid=ac8b6faa-289e-415b-b8a7-a1ff3c6f0664"]},{"id":"ITEM-16","itemData":{"DOI":"10.1007/s00198-006-0083-4","ISSN":"0937941X","PMID":"16823548","abstract":"Introduction: Conflicting evidence exists regarding the optimum exercise for postmenopausal bone loss. A systematic review and meta-analysis was undertaken to evaluate the effects of randomised controlled trials (RCTs) of progressive, high-intensity resistance training on bone mineral density (BMD) amongst postmenopausal women. Methods: Structured electronic searching of multiple databases and hand-searching of key journals and reference lists was undertaken to locate relevant studies up to December 2004. Study quality and possible publication bias were assessed using recognised methods. Primary outcomes were absolute changes in BMD at the lumbar spine (LS), femoral neck (FN) and total hip (TH). A priori defined subgroup analyses included concurrent hormonal or antiresorptive therapy or calcium supplementation during the intervention. The weighted mean difference method (WMD) was used for combining study group estimates. Random or fixed effect models were applied according to study heterogeneity observed from the I 2 statistic. Results: At the LS, 14 RCT study groups were homogenous (I 2=25.2%) in demonstrating a significant increase (P=0.006) in BMD of 0.006 g/cm2 (fixed effect; 95% CI 0.002-0.011) following high-intensity resistance training. In contrast, marked heterogeneity (I 2=88.2%) was apparent within 11 RCT study groups evaluating FN. For this comparison, a random effects model showed a positive change in FN BMD of 0.010 g/cm2 (95% CI -0.002 to 0.021; P = 0.11). Subgroup analyses showed more anatomical variability of BMD responses to resistance training according to participants' hormone therapy use. Treatment effects for study groups increasing all participants' calcium intake showed significant positive BMD changes at TH (P=0.007). Methodological quality of all included studies was low, and a reporting bias towards studies with positive BMD outcomes was evident. Conclusions: These findings are relevant to the nonpharmacological treatment of postmenopausal bone loss. © International Osteoporosis Foundation and National Osteoporosis Foundation 2006.","author":[{"dropping-particle":"","family":"Martyn-St. James","given":"M.","non-dropping-particle":"","parse-names":false,"suffix":""},{"dropping-particle":"","family":"Carroll","given":"S.","non-dropping-particle":"","parse-names":false,"suffix":""}],"container-title":"Osteoporosis International","id":"ITEM-16","issue":"8","issued":{"date-parts":[["2006"]]},"page":"1225-1240","title":"High-intensity resistance training and postmenopausal bone loss: A meta-analysis","type":"article-journal","volume":"17"},"uris":["http://www.mendeley.com/documents/?uuid=4e17e95a-effe-4060-ad96-f69f099e0871"]},{"id":"ITEM-17","itemData":{"DOI":"10.1016/j.bone.2016.04.019","ISSN":"87563282","PMID":"27108341","abstract":"Due to older people's low sports participation rates, exercise frequency may be the most critical component for designing exercise protocols that address bone. The aims of the present article were to determine the independent effect of exercise frequency (ExFreq) and its corresponding changes on bone mineral density (BMD) and to identify the minimum effective dose that just relevantly affects bone.Based on the 16-year follow-up of the intense, consistently supervised Erlangen Fitness and Osteoporosis Prevention-Study, ExFreq was retrospectively determined in the exercise-group of 55 initially early-postmenopausal females with osteopenia. Linear mixed-effect regression analysis was conducted to determine the independent effect of ExFreq on BMD changes at lumbar spine and total hip. Minimum effective dose of ExFreq based on BMD changes less than the 90% quantile of the sedentary control-group (n = 43). Cut-offs were determined after 4, 8, 12 and 16 years using bootstrap with 5000 replications.After 16 years, average ExFreq ranged between 1.02 and 2.96 sessions/week (2.28 ± 0.40 sessions/week). ExFreq has an independent effect on LS-BMD (p &lt; .001) and hip-BMD (p = .005) changes. Bootstrap analysis detected a minimum effective dose at about 2 sessions/week/16 years (cut-off LS-BMD: 2.11, 95% CI: 2.06-2.12; total hip-BMD: 2.22, 95% CI: 2.00-2.78 sessions/week/16 years).In summary, the minimum effective dose of exercise frequency that relevantly addresses BMD is quite high, at least compared with the low sport participation rate of older adults. This result might not be generalizable across all exercise types, protocols and cohorts, but it does indicate at least that even when applying high impact/high intensity programs, exercise frequency and its maintenance play a key role in bone adaptation.","author":[{"dropping-particle":"","family":"Kemmler","given":"Wolfgang","non-dropping-particle":"","parse-names":false,"suffix":""},{"dropping-particle":"","family":"Stengel","given":"Simon","non-dropping-particle":"von","parse-names":false,"suffix":""},{"dropping-particle":"","family":"Kohl","given":"Matthias","non-dropping-particle":"","parse-names":false,"suffix":""}],"container-title":"Bone","id":"ITEM-17","issued":{"date-parts":[["2016"]]},"page":"1-6","publisher":"Elsevier Inc.","title":"Exercise frequency and bone mineral density development in exercising postmenopausal osteopenic women. Is there a critical dose of exercise for affecting bone? Results of the Erlangen Fitness and Osteoporosis Prevention Study","type":"article-journal","volume":"89"},"uris":["http://www.mendeley.com/documents/?uuid=e3049516-b8f3-45ef-8bb8-d3aad9a2b354"]},{"id":"ITEM-18","itemData":{"DOI":"10.1016/j.ajog.2005.09.006","ISSN":"00029378","PMID":"16522410","abstract":"Objective: We conducted a meta-analysis using individual patient data to examine the efficacy of exercise for improving bone mineral density at the femoral neck in postmenopausal women. Study design: Ten controlled clinical trials that included 595 subjects (aged 42-92 years) met our criteria for inclusion. Changes in femoral neck bone mineral density were examined by 2-way analysis of variance tests with repeated measures on 1 factor. Results: Across all designs and categories, there was an increase in bone mineral density of 0.73% ± 5.52% and 0.45% ± 6.78%, respectively, in the exercise and control subjects. However, comparison of initial and final bone mineral density values between exercise and control subjects revealed no statistically significant effect of exercise on femoral neck bone mineral density (P &gt; .05). Conclusion: Collectively, the exercise protocols that were used in this individual patient data meta-analysis do not improve femoral neck bone mineral density in postmenopausal women. © 2006 Mosby, Inc. All rights reserved.","author":[{"dropping-particle":"","family":"Kelley","given":"George A.","non-dropping-particle":"","parse-names":false,"suffix":""},{"dropping-particle":"","family":"Kelley","given":"Kristi S.","non-dropping-particle":"","parse-names":false,"suffix":""}],"container-title":"American Journal of Obstetrics and Gynecology","id":"ITEM-18","issue":"3","issued":{"date-parts":[["2006"]]},"page":"760-767","title":"Exercise and bone mineral density at the femoral neck in postmenopausal women: A meta-analysis of controlled clinical trials with individual patient data","type":"article-journal","volume":"194"},"uris":["http://www.mendeley.com/documents/?uuid=9086f0db-0b1a-4a9f-badd-59f0f7053525"]},{"id":"ITEM-19","itemData":{"DOI":"10.2147/oajsm.s129182","ISSN":"1179-1543","abstract":"BACKGROUND Age-related bone loss is a major health concern. Only exercises associated with high-impact and mechanical loading have been linked to a positive effect on bone turnover; however, these types of exercises may not always be appropriate for middle-aged and older adults due to physical decline or chronic disorders such as osteoarthritis. Water-based exercise (WBE) has been shown to affect different components of physical fitness, has lower risks of traumatic fracture, and applies less stress to joints. However, the effects of WBE on bone health are unclear. OBJECTIVE This study aimed to explore whether WBE is effective in preventing age-related bone deterioration in middle-aged and older adults. METHODS A search of relevant databases and the references of identified studies was performed. Critical narrative synthesis and meta-analyses were conducted. RESULTS Eleven studies, involving 629 participants, met all inclusion criteria. All participants were postmenopausal women. Eight studies compared WBE to a sedentary control group, and four studies had land-based exercise (LBE) participants as a comparison group. Meta-analyses revealed significant differences between WBE and control group in favor of WBE for changes in bone mineral density (BMD) at the lumbar spine (mean difference [MD] 0.03 g/cm2; 95% confidence interval [CI]: 0.01 to 0.05) and femoral neck (MD 0.04 g/cm2; 95% CI: 0.02 to 0.07). Significant differences were also revealed between WBE and LBE in favor of LBE for changes in lumbar spine BMD (MD -0.04 g/cm2; 95% CI: -0.06 to -0.02). However, there was no significant difference between WBE and LBE for changes in femoral neck BMD (MD -0.03 g/cm2; 95% CI: -0.08 to 0.01). CONCLUSION WBE may have benefits with respect to maintaining or improving bone health in postmenopausal women but less benefit when compared to LBE. Further research is required on this topic.","author":[{"dropping-particle":"","family":"Simas","given":"Vini","non-dropping-particle":"","parse-names":false,"suffix":""},{"dropping-particle":"","family":"Hing","given":"Wayne","non-dropping-particle":"","parse-names":false,"suffix":""},{"dropping-particle":"","family":"Pope","given":"Rodney","non-dropping-particle":"","parse-names":false,"suffix":""},{"dropping-particle":"","family":"Climstein","given":"Mike","non-dropping-particle":"","parse-names":false,"suffix":""}],"container-title":"Open Access Journal of Sports Medicine","id":"ITEM-19","issued":{"date-parts":[["2017","3","27"]]},"page":"39-60","publisher":"Dove Press","title":"Effects of water-based exercise on bone health of middle-aged and older adults: a systematic review and meta-analysis","type":"article-journal","volume":"Volume 8"},"uris":["http://www.mendeley.com/documents/?uuid=958bc805-a429-4ba2-993f-98e743b6bc39"]},{"id":"ITEM-20","itemData":{"DOI":"10.22540/jfsf-03-058","ISSN":"2459-4148","abstract":"The need to be fit, strong, fast and agile has been an evolutionary requirement since early history. In this paper we identify the effectiveness of different types of physical activity on muscle, bone and balance outcomes, and what types of physical activity contribute to the development and maintenance of these outcomes. We undertook a purposive search of PubMed, international evidence reviews of physical activity, and asked international experts to identify review level relevant literature on the effectiveness of muscle, bone and balance training and physical activity on health outcomes. We found consistent review level evidence that strength/resistance training as a single intervention or in combination with other activities, two/three occasions per week, were effective for muscular strength, with higher intensities of training producing greater gains. We found consistent review level evidence that strength training as a single intervention or in combination with high impact loading activities taken at least 3 times per week were effective for bone health. Physical activities with a high challenge to balance done in standing three times per week were beneficial for balance training and falls reduction. The current UK 2011 Chief Medical Officer's physical activity guidelines remain consistent with the most up to date review level evidence for muscle and balance health. [ABSTRACT FROM AUTHOR]","author":[{"dropping-particle":"","family":"Foster","given":"Charlie","non-dropping-particle":"","parse-names":false,"suffix":""},{"dropping-particle":"","family":"Armstrong","given":"Miranda E.G.","non-dropping-particle":"","parse-names":false,"suffix":""}],"container-title":"Journal of Frailty, Sarcopenia and Falls","id":"ITEM-20","issue":"02","issued":{"date-parts":[["2018"]]},"page":"58-65","title":"What types of physical activities are effective in developing muscle and bone strength and balance?","type":"article-journal","volume":"03"},"uris":["http://www.mendeley.com/documents/?uuid=46065e67-5310-4882-a4b6-c71c027ac2dc"]},{"id":"ITEM-21","itemData":{"DOI":"10.1007/s00198-011-1801-0","ISSN":"0937941X","PMID":"21953474","abstract":"Summary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International","id":"ITEM-21","issue":"1","issued":{"date-parts":[["2012"]]},"page":"109-119","title":"A meta-analysis of brief high-impact exercises for enhancing bone health in premenopausal women","type":"article-journal","volume":"23"},"uris":["http://www.mendeley.com/documents/?uuid=64a9c54f-8683-4740-bdae-6a47d91b5f9a"]},{"id":"ITEM-22","itemData":{"DOI":"10.1007/s00198-013-2523-2","ISSN":"0937941X","PMID":"24281053","abstract":"A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International","id":"ITEM-22","issue":"3","issued":{"date-parts":[["2014"]]},"page":"821-835","title":"Too Fit to Fracture: Exercise recommendations for individuals with osteoporosis or osteoporotic vertebral fracture","type":"article-journal","volume":"25"},"uris":["http://www.mendeley.com/documents/?uuid=e8b9bf68-43d0-46b3-8eaf-1f7796ccc550"]},{"id":"ITEM-23","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International","id":"ITEM-23","issue":"11","issued":{"date-parts":[["2013"]]},"page":"2749-2762","title":"The effect of physical exercise on bone density in middle-aged and older men: A systematic review","type":"article-journal","volume":"24"},"uris":["http://www.mendeley.com/documents/?uuid=789f751f-2685-44df-9a9f-6f1a8dd586b9"]},{"id":"ITEM-24","itemData":{"DOI":"10.1186/s12966-020-01040-4","ISBN":"1296602001","ISSN":"14795868","PMID":"33239014","abstract":"Background: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Activity","id":"ITEM-24","issue":"1","issued":{"date-parts":[["2020"]]},"number-of-pages":"1-53","publisher":"International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behaviour","type":"book","volume":"17"},"uris":["http://www.mendeley.com/documents/?uuid=7bf3624a-5bc7-438f-8048-df9cc2de3aab"]},{"id":"ITEM-25","itemData":{"DOI":"10.1002/14651858.CD000333.pub2.","ISSN":"1469493X","PMID":"21735380","abstract":"Background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Reviews","id":"ITEM-25","issue":"7","issued":{"date-parts":[["2011"]]},"page":"1-167","title":"Exercise for preventing and treating osteoporosis in postmenopausal women","type":"article-journal","volume":"2011"},"uris":["http://www.mendeley.com/documents/?uuid=9df55b14-bbc0-4af5-b26c-1f9742a80a88"]},{"id":"ITEM-26","itemData":{"DOI":"10.1002/14651858.CD008618.pub2","ISSN":"1469493X","PMID":"23440829","abstract":"Background: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Reviews","id":"ITEM-26","issue":"1","issued":{"date-parts":[["2013"]]},"title":"Exercise for improving outcomes after osteoporotic vertebral fracture","type":"article-journal","volume":"2013"},"uris":["http://www.mendeley.com/documents/?uuid=f234e479-7d1d-4624-bde7-5115b9f156be"]},{"id":"ITEM-27","itemData":{"DOI":"10.1002/14651858.CD008618.pub3","ISSN":"1469493X","PMID":"31273764","abstract":"Background Vertebral fractures are associated with increased morbidity (e.g. pain, reduced quality of life) and mortality. Therapeutic exercise is a non-pharmacological conservative treatment that is often recommended for patients with vertebral fractures to reduce pain and restore functional movement. This is an update of a Cochrane Review first published in 2013. Objectives To assess the effects (benefits and harms) of exercise intervention of four weeks or greater (alone or as part of a physical therapy intervention) versus non-exercise/non-active physical therapy intervention, no intervention or placebo among adults with a history of vertebral fractures on incident fragility fractures of the hip, vertebra or other sites. Our secondary objectives were to evaluate the effects of exercise on the following outcomes: falls, pain, physical performance, health-related quality of life (disease-specific and generic), and adverse events. Search methods We searched the following databases until November 2017: the Cochrane Library (Issue 11 of 12), MEDLINE (from 2005), Embase (from 1988), CINAHL (Cumulative Index to Nursing and Allied Health Literature, from 1982), AMED (from 1985), and PEDro (Physiotherapy Evidence Database, from 1929). Ongoing/recently completed trials were identified by searching the World Health Organization International Clinical Trials Registry Platform and ClinicalTrials.gov.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For this update, the search results were limited from 2011 onward. Selection criteria We included all randomized controlled trials and quasi-randomized trials comparing exercise or active physical therapy interventions with placebo/non-exercise/non-active physical therapy interventions or no intervention implemented in individuals with a history of vertebral fracture. Data collection and analysis Two review authors independently selected trials and extracted data using a pre-tested data extraction form. Disagreements were resolved by consensus, or third-party adjudication. We used Cochrane’s tool for assessing risk of bias to evaluate each study. Studies were grouped according to duration of follow-up (i.e. a) 4-12 weeks; b) 16-24 weeks; c) 52 weeks); a study could be…","author":[{"dropping-particle":"","family":"Gibbs","given":"Jenna C.","non-dropping-particle":"","parse-names":false,"suffix":""},{"dropping-particle":"","family":"Macintyre","given":"Norma J.","non-dropping-particle":"","parse-names":false,"suffix":""},{"dropping-particle":"","family":"Ponzano","given":"Matteo","non-dropping-particle":"","parse-names":false,"suffix":""},{"dropping-particle":"","family":"Templeton","given":"Jeffrey Alan","non-dropping-particle":"","parse-names":false,"suffix":""},{"dropping-particle":"","family":"Thabane","given":"Lehana","non-dropping-particle":"","parse-names":false,"suffix":""},{"dropping-particle":"","family":"Papaioannou","given":"Alexandra","non-dropping-particle":"","parse-names":false,"suffix":""},{"dropping-particle":"","family":"Giangregorio","given":"Lora M.","non-dropping-particle":"","parse-names":false,"suffix":""}],"container-title":"Cochrane Database of Systematic Reviews","id":"ITEM-27","issue":"7","issued":{"date-parts":[["2019"]]},"title":"Exercise for improving outcomes after osteoporotic vertebral fracture","type":"article-journal","volume":"2019"},"uris":["http://www.mendeley.com/documents/?uuid=754032dc-d608-4fe0-905e-558c2524df03"]},{"id":"ITEM-28","itemData":{"DOI":"10.1111/sms.12024","ISSN":"16000838","PMID":"23190199","abstract":"The purpose of this study was to determine the long-term dose-response relationship of exercise frequency on areal bone mineral density (aBMD) in early post-menopausal women with osteopenia. Based on the 12-year results of the consequently supervised exercise group (EG) of the Erlangen Fitness and Osteoporosis Prevention Study, we retrospectively structured two exercise groups according to the overall exercise frequency. Changes in aBMD at lumbar spine and proximal femur as assessed by dual-energy x-ray absorptiometry technique were compared between a low-frequency exercise group (LEF-EG, n=16) with 1.5-&lt;2 sessions/week and a high-frequency exercise group (HEF-EG, n=25) with ≥2-3.5 sessions/week. Changes in aBMD at the lumbar spine and proximal femur were significantly more favorable in the HEF-EG compared with the LEF-EG; lumbar spine: (mean value±standard deviation) 1.1±4.7% vs -4.1±3.0%; P=0.001, ES: d'=1.26; total hip: -4.4±3.9% vs -6.7±3.5%, P=0.045, ES: d'=0.70). BMD results of the LEF-EG did not significantly differ from the data of the non-training control group (lumbar spine: -4.4±5.2%, total hip: -6.9±5.0%). Although this result might not be generalizable across all exercise types and cohorts, it indicates that to impact bone, an overall exercise frequency of at least 2 sessions/week may be crucial, even if exercise is applied with high intensity/impact. © 2012 John Wiley &amp; Sons A/S.","author":[{"dropping-particle":"","family":"Kemmler","given":"W.","non-dropping-particle":"","parse-names":false,"suffix":""},{"dropping-particle":"","family":"Stengel","given":"S.","non-dropping-particle":"von","parse-names":false,"suffix":""}],"container-title":"Scandinavian Journal of Medicine and Science in Sports","id":"ITEM-28","issue":"3","issued":{"date-parts":[["2014"]]},"page":"526-534","title":"Dose-response effect of exercise frequency on bone mineral density in post-menopausal, osteopenic women","type":"article-journal","volume":"24"},"uris":["http://www.mendeley.com/documents/?uuid=4d315e69-02ad-45ef-8407-019c8ced92a0"]}],"mendeley":{"formattedCitation":"&lt;sup&gt;12,21,30–39,22,40–47,23–29&lt;/sup&gt;","plainTextFormattedCitation":"12,21,30–39,22,40–47,23–29","previouslyFormattedCitation":"&lt;sup&gt;12,21,30–39,22,40–47,23–29&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12,21,30–39,22,40–47,23–29</w:t>
      </w:r>
      <w:r w:rsidRPr="00161C60">
        <w:rPr>
          <w:rFonts w:ascii="Helvetica" w:hAnsi="Helvetica" w:cs="Helvetica"/>
        </w:rPr>
        <w:fldChar w:fldCharType="end"/>
      </w:r>
      <w:r w:rsidRPr="00161C60">
        <w:rPr>
          <w:rFonts w:ascii="Helvetica" w:eastAsia="Calibri" w:hAnsi="Helvetica" w:cs="Helvetica"/>
        </w:rPr>
        <w:t xml:space="preserve"> and consensus-based guidance</w:t>
      </w:r>
      <w:r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Exercise","id":"ITEM-3","issue":"11","issued":{"date-parts":[["2004"]]},"page":"1985-1996","title":"Physical Activity and Bone Health","type":"article-journal","volume":"36"},"uris":["http://www.mendeley.com/documents/?uuid=e93b189d-ff49-4635-9d82-5d9be2cfbb44","http://www.mendeley.com/documents/?uuid=840e4446-bcd0-4e41-9f11-68cea9d1c402"]},{"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12,13,18,19&lt;/sup&gt;","plainTextFormattedCitation":"12,13,18,19","previouslyFormattedCitation":"&lt;sup&gt;12,13,18,19&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12,13,18,19</w:t>
      </w:r>
      <w:r w:rsidRPr="00161C60">
        <w:rPr>
          <w:rFonts w:ascii="Helvetica" w:hAnsi="Helvetica" w:cs="Helvetica"/>
        </w:rPr>
        <w:fldChar w:fldCharType="end"/>
      </w:r>
      <w:r w:rsidRPr="00161C60">
        <w:rPr>
          <w:rFonts w:ascii="Helvetica" w:eastAsia="Calibri" w:hAnsi="Helvetica" w:cs="Helvetica"/>
        </w:rPr>
        <w:t xml:space="preserve">. </w:t>
      </w:r>
      <w:r w:rsidR="009757BB">
        <w:rPr>
          <w:rFonts w:ascii="Helvetica" w:eastAsia="Calibri" w:hAnsi="Helvetica" w:cs="Helvetica"/>
        </w:rPr>
        <w:t>The EESG agreed a</w:t>
      </w:r>
      <w:r w:rsidRPr="00161C60">
        <w:rPr>
          <w:rFonts w:ascii="Helvetica" w:eastAsia="Calibri" w:hAnsi="Helvetica" w:cs="Helvetica"/>
        </w:rPr>
        <w:t xml:space="preserve"> pragmatic approach to review and update existing literature reviews and that a further systematic review of all the scientific and clinical evidence was not indicated. </w:t>
      </w:r>
      <w:r w:rsidRPr="007E47AE">
        <w:rPr>
          <w:rFonts w:ascii="Helvetica" w:eastAsia="Calibri" w:hAnsi="Helvetica" w:cs="Helvetica"/>
        </w:rPr>
        <w:t xml:space="preserve">We thus repeated the searches conducted in previous systematic reviews of exercise and BMD </w:t>
      </w:r>
      <w:r w:rsidRPr="007E47AE">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44&lt;/sup&gt;","plainTextFormattedCitation":"44","previouslyFormattedCitation":"&lt;sup&gt;44&lt;/sup&gt;"},"properties":{"noteIndex":0},"schema":"https://github.com/citation-style-language/schema/raw/master/csl-citation.json"}</w:instrText>
      </w:r>
      <w:r w:rsidRPr="007E47AE">
        <w:rPr>
          <w:rFonts w:ascii="Helvetica" w:eastAsia="Calibri" w:hAnsi="Helvetica" w:cs="Helvetica"/>
        </w:rPr>
        <w:fldChar w:fldCharType="separate"/>
      </w:r>
      <w:r w:rsidR="001B5724" w:rsidRPr="001B5724">
        <w:rPr>
          <w:rFonts w:ascii="Helvetica" w:eastAsia="Calibri" w:hAnsi="Helvetica" w:cs="Helvetica"/>
          <w:noProof/>
          <w:vertAlign w:val="superscript"/>
        </w:rPr>
        <w:t>44</w:t>
      </w:r>
      <w:r w:rsidRPr="007E47AE">
        <w:rPr>
          <w:rFonts w:ascii="Helvetica" w:eastAsia="Calibri" w:hAnsi="Helvetica" w:cs="Helvetica"/>
        </w:rPr>
        <w:fldChar w:fldCharType="end"/>
      </w:r>
      <w:r w:rsidRPr="007E47AE">
        <w:rPr>
          <w:rFonts w:ascii="Helvetica" w:eastAsia="Calibri" w:hAnsi="Helvetica" w:cs="Helvetica"/>
        </w:rPr>
        <w:t xml:space="preserve">; falls </w:t>
      </w:r>
      <w:r w:rsidRPr="007E47AE">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48&lt;/sup&gt;","plainTextFormattedCitation":"48","previouslyFormattedCitation":"&lt;sup&gt;48&lt;/sup&gt;"},"properties":{"noteIndex":0},"schema":"https://github.com/citation-style-language/schema/raw/master/csl-citation.json"}</w:instrText>
      </w:r>
      <w:r w:rsidRPr="007E47AE">
        <w:rPr>
          <w:rFonts w:ascii="Helvetica" w:eastAsia="Calibri" w:hAnsi="Helvetica" w:cs="Helvetica"/>
        </w:rPr>
        <w:fldChar w:fldCharType="separate"/>
      </w:r>
      <w:r w:rsidR="001B5724" w:rsidRPr="001B5724">
        <w:rPr>
          <w:rFonts w:ascii="Helvetica" w:eastAsia="Calibri" w:hAnsi="Helvetica" w:cs="Helvetica"/>
          <w:noProof/>
          <w:vertAlign w:val="superscript"/>
        </w:rPr>
        <w:t>48</w:t>
      </w:r>
      <w:r w:rsidRPr="007E47AE">
        <w:rPr>
          <w:rFonts w:ascii="Helvetica" w:eastAsia="Calibri" w:hAnsi="Helvetica" w:cs="Helvetica"/>
        </w:rPr>
        <w:fldChar w:fldCharType="end"/>
      </w:r>
      <w:r w:rsidRPr="007E47AE">
        <w:rPr>
          <w:rFonts w:ascii="Helvetica" w:eastAsia="Calibri" w:hAnsi="Helvetica" w:cs="Helvetica"/>
        </w:rPr>
        <w:t xml:space="preserve"> and outcomes after vertebral fracture </w:t>
      </w:r>
      <w:r w:rsidRPr="007E47AE">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mendeley":{"formattedCitation":"&lt;sup&gt;45&lt;/sup&gt;","plainTextFormattedCitation":"45","previouslyFormattedCitation":"&lt;sup&gt;45&lt;/sup&gt;"},"properties":{"noteIndex":0},"schema":"https://github.com/citation-style-language/schema/raw/master/csl-citation.json"}</w:instrText>
      </w:r>
      <w:r w:rsidRPr="007E47AE">
        <w:rPr>
          <w:rFonts w:ascii="Helvetica" w:eastAsia="Calibri" w:hAnsi="Helvetica" w:cs="Helvetica"/>
        </w:rPr>
        <w:fldChar w:fldCharType="separate"/>
      </w:r>
      <w:r w:rsidR="001B5724" w:rsidRPr="001B5724">
        <w:rPr>
          <w:rFonts w:ascii="Helvetica" w:eastAsia="Calibri" w:hAnsi="Helvetica" w:cs="Helvetica"/>
          <w:noProof/>
          <w:vertAlign w:val="superscript"/>
        </w:rPr>
        <w:t>45</w:t>
      </w:r>
      <w:r w:rsidRPr="007E47AE">
        <w:rPr>
          <w:rFonts w:ascii="Helvetica" w:eastAsia="Calibri" w:hAnsi="Helvetica" w:cs="Helvetica"/>
        </w:rPr>
        <w:fldChar w:fldCharType="end"/>
      </w:r>
      <w:r w:rsidRPr="007E47AE">
        <w:rPr>
          <w:rFonts w:ascii="Helvetica" w:eastAsia="Calibri" w:hAnsi="Helvetica" w:cs="Helvetica"/>
        </w:rPr>
        <w:t>.</w:t>
      </w:r>
    </w:p>
    <w:p w14:paraId="2CCA4F59" w14:textId="2EE7C225" w:rsidR="00520856" w:rsidRPr="00161C60" w:rsidRDefault="00520856" w:rsidP="00520856">
      <w:pPr>
        <w:spacing w:before="120" w:after="0" w:line="240" w:lineRule="auto"/>
        <w:rPr>
          <w:rFonts w:ascii="Helvetica" w:eastAsia="Calibri" w:hAnsi="Helvetica" w:cs="Helvetica"/>
        </w:rPr>
      </w:pPr>
      <w:r w:rsidRPr="00161C60">
        <w:rPr>
          <w:rFonts w:ascii="Helvetica" w:eastAsia="Calibri" w:hAnsi="Helvetica" w:cs="Helvetica"/>
        </w:rPr>
        <w:t xml:space="preserve">Limited literature was available on the adverse events and safety issues associated with physical activity and exercise for adults with osteoporosis and osteopenia so a separate systematic review was undertaken that has been published separately </w:t>
      </w:r>
      <w:r w:rsidRPr="00161C60">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eastAsia="Calibri" w:hAnsi="Helvetica" w:cs="Helvetica"/>
        </w:rPr>
        <w:fldChar w:fldCharType="separate"/>
      </w:r>
      <w:r w:rsidR="001B5724" w:rsidRPr="001B5724">
        <w:rPr>
          <w:rFonts w:ascii="Helvetica" w:eastAsia="Calibri" w:hAnsi="Helvetica" w:cs="Helvetica"/>
          <w:noProof/>
          <w:vertAlign w:val="superscript"/>
        </w:rPr>
        <w:t>49</w:t>
      </w:r>
      <w:r w:rsidRPr="00161C60">
        <w:rPr>
          <w:rFonts w:ascii="Helvetica" w:eastAsia="Calibri" w:hAnsi="Helvetica" w:cs="Helvetica"/>
        </w:rPr>
        <w:fldChar w:fldCharType="end"/>
      </w:r>
      <w:r w:rsidRPr="00161C60">
        <w:rPr>
          <w:rFonts w:ascii="Helvetica" w:eastAsia="Calibri" w:hAnsi="Helvetica" w:cs="Helvetica"/>
        </w:rPr>
        <w:t>.</w:t>
      </w:r>
    </w:p>
    <w:p w14:paraId="10438D64" w14:textId="77777777" w:rsidR="003072FA" w:rsidRPr="00161C60" w:rsidRDefault="003072FA" w:rsidP="003072FA">
      <w:pPr>
        <w:pStyle w:val="Heading2"/>
        <w:spacing w:before="120" w:line="240" w:lineRule="auto"/>
        <w:rPr>
          <w:rFonts w:ascii="Helvetica" w:eastAsia="Calibri" w:hAnsi="Helvetica" w:cs="Helvetica"/>
          <w:color w:val="auto"/>
          <w:sz w:val="24"/>
          <w:szCs w:val="24"/>
        </w:rPr>
      </w:pPr>
      <w:r w:rsidRPr="00161C60">
        <w:rPr>
          <w:rFonts w:ascii="Helvetica" w:eastAsia="Calibri" w:hAnsi="Helvetica" w:cs="Helvetica"/>
          <w:b/>
          <w:color w:val="auto"/>
          <w:sz w:val="24"/>
          <w:szCs w:val="24"/>
        </w:rPr>
        <w:t>Formulation of recommendations</w:t>
      </w:r>
    </w:p>
    <w:p w14:paraId="0A93FB3D" w14:textId="3B388191" w:rsidR="003072FA" w:rsidRPr="001B5724" w:rsidRDefault="004F54B3" w:rsidP="00925D7F">
      <w:pPr>
        <w:pStyle w:val="CommentText"/>
        <w:spacing w:before="120" w:after="0"/>
        <w:ind w:left="0"/>
        <w:rPr>
          <w:szCs w:val="22"/>
        </w:rPr>
      </w:pPr>
      <w:r>
        <w:rPr>
          <w:rFonts w:ascii="Arial" w:hAnsi="Arial" w:cs="Arial"/>
          <w:color w:val="auto"/>
          <w:sz w:val="24"/>
          <w:szCs w:val="24"/>
        </w:rPr>
        <w:t>Reviews of literature</w:t>
      </w:r>
      <w:r w:rsidR="00C826C6">
        <w:rPr>
          <w:rFonts w:ascii="Arial" w:hAnsi="Arial" w:cs="Arial"/>
          <w:color w:val="auto"/>
          <w:sz w:val="24"/>
          <w:szCs w:val="24"/>
        </w:rPr>
        <w:t xml:space="preserve"> were circulated to the EESG</w:t>
      </w:r>
      <w:r w:rsidR="003B36E8">
        <w:rPr>
          <w:rFonts w:ascii="Arial" w:hAnsi="Arial" w:cs="Arial"/>
          <w:color w:val="auto"/>
          <w:sz w:val="24"/>
          <w:szCs w:val="24"/>
        </w:rPr>
        <w:t xml:space="preserve"> and EEWG</w:t>
      </w:r>
      <w:r w:rsidR="00C826C6">
        <w:rPr>
          <w:rFonts w:ascii="Arial" w:hAnsi="Arial" w:cs="Arial"/>
          <w:color w:val="auto"/>
          <w:sz w:val="24"/>
          <w:szCs w:val="24"/>
        </w:rPr>
        <w:t xml:space="preserve">. </w:t>
      </w:r>
      <w:r w:rsidR="003072FA" w:rsidRPr="00925D7F">
        <w:rPr>
          <w:rFonts w:ascii="Arial" w:hAnsi="Arial" w:cs="Arial"/>
          <w:color w:val="auto"/>
          <w:sz w:val="24"/>
          <w:szCs w:val="24"/>
        </w:rPr>
        <w:t xml:space="preserve">It was agreed that, as there was inevitably limited evidence to answer some of the core questions, the Statement would need to base some recommendations for best practice on agreed principles. It would also aim to provide some ‘standard responses’ to common questions to aid meaningful discussion between practitioners and the people they are treating or working with. Where appropriate, key statements or ‘standard responses’ were agreed using discussion </w:t>
      </w:r>
      <w:r w:rsidR="00510A91" w:rsidRPr="00F65C5A">
        <w:rPr>
          <w:rFonts w:ascii="Arial" w:hAnsi="Arial" w:cs="Arial"/>
          <w:color w:val="auto"/>
          <w:sz w:val="24"/>
          <w:szCs w:val="22"/>
        </w:rPr>
        <w:t>and modifying wording as needed</w:t>
      </w:r>
      <w:r w:rsidR="00510A91" w:rsidRPr="00510A91">
        <w:rPr>
          <w:rFonts w:ascii="Arial" w:hAnsi="Arial" w:cs="Arial"/>
          <w:color w:val="auto"/>
          <w:sz w:val="24"/>
          <w:szCs w:val="24"/>
        </w:rPr>
        <w:t xml:space="preserve"> </w:t>
      </w:r>
      <w:r w:rsidR="003072FA" w:rsidRPr="00925D7F">
        <w:rPr>
          <w:rFonts w:ascii="Arial" w:hAnsi="Arial" w:cs="Arial"/>
          <w:color w:val="auto"/>
          <w:sz w:val="24"/>
          <w:szCs w:val="24"/>
        </w:rPr>
        <w:t>to reach consensus across the EESG and EEWG</w:t>
      </w:r>
      <w:r w:rsidR="00080BFD">
        <w:rPr>
          <w:rFonts w:ascii="Arial" w:hAnsi="Arial" w:cs="Arial"/>
          <w:color w:val="auto"/>
          <w:sz w:val="24"/>
          <w:szCs w:val="24"/>
        </w:rPr>
        <w:t>, which was confirmed by email after each draft</w:t>
      </w:r>
      <w:r w:rsidR="003072FA" w:rsidRPr="00925D7F">
        <w:rPr>
          <w:rFonts w:ascii="Arial" w:hAnsi="Arial" w:cs="Arial"/>
          <w:color w:val="auto"/>
          <w:sz w:val="24"/>
          <w:szCs w:val="24"/>
        </w:rPr>
        <w:t>.</w:t>
      </w:r>
      <w:r w:rsidR="00D52E66" w:rsidRPr="00925D7F">
        <w:rPr>
          <w:rFonts w:ascii="Helvetica" w:hAnsi="Helvetica" w:cs="Helvetica"/>
          <w:color w:val="auto"/>
        </w:rPr>
        <w:t xml:space="preserve"> </w:t>
      </w:r>
      <w:r w:rsidR="00F961FA" w:rsidRPr="00161C60">
        <w:rPr>
          <w:rFonts w:ascii="Helvetica" w:eastAsia="Cambria" w:hAnsi="Helvetica" w:cs="Helvetica"/>
          <w:color w:val="auto"/>
          <w:sz w:val="24"/>
          <w:szCs w:val="24"/>
          <w:shd w:val="clear" w:color="auto" w:fill="FFFFFF" w:themeFill="background1"/>
          <w:lang w:val="en-GB"/>
        </w:rPr>
        <w:t xml:space="preserve">Recommendations </w:t>
      </w:r>
      <w:r w:rsidR="00F961FA">
        <w:rPr>
          <w:rFonts w:ascii="Helvetica" w:eastAsia="Cambria" w:hAnsi="Helvetica" w:cs="Helvetica"/>
          <w:color w:val="auto"/>
          <w:sz w:val="24"/>
          <w:szCs w:val="24"/>
          <w:shd w:val="clear" w:color="auto" w:fill="FFFFFF" w:themeFill="background1"/>
          <w:lang w:val="en-GB"/>
        </w:rPr>
        <w:t>we</w:t>
      </w:r>
      <w:r w:rsidR="00F961FA" w:rsidRPr="00161C60">
        <w:rPr>
          <w:rFonts w:ascii="Helvetica" w:eastAsia="Cambria" w:hAnsi="Helvetica" w:cs="Helvetica"/>
          <w:color w:val="auto"/>
          <w:sz w:val="24"/>
          <w:szCs w:val="24"/>
          <w:shd w:val="clear" w:color="auto" w:fill="FFFFFF" w:themeFill="background1"/>
          <w:lang w:val="en-GB"/>
        </w:rPr>
        <w:t xml:space="preserve">re made in each section based on either the evidence reviewed [marked E] or expert consensus [marked C] </w:t>
      </w:r>
      <w:r w:rsidR="00F961FA" w:rsidRPr="00161C60">
        <w:rPr>
          <w:rFonts w:ascii="Helvetica" w:eastAsia="Cambria" w:hAnsi="Helvetica" w:cs="Helvetica"/>
          <w:color w:val="auto"/>
          <w:sz w:val="24"/>
          <w:szCs w:val="24"/>
          <w:lang w:val="en-GB"/>
        </w:rPr>
        <w:t xml:space="preserve">where limited or no research evidence was available and </w:t>
      </w:r>
      <w:r w:rsidR="00932877">
        <w:rPr>
          <w:rFonts w:ascii="Helvetica" w:eastAsia="Cambria" w:hAnsi="Helvetica" w:cs="Helvetica"/>
          <w:color w:val="auto"/>
          <w:sz w:val="24"/>
          <w:szCs w:val="24"/>
          <w:lang w:val="en-GB"/>
        </w:rPr>
        <w:t xml:space="preserve">unanimous </w:t>
      </w:r>
      <w:r w:rsidR="00F961FA" w:rsidRPr="00161C60">
        <w:rPr>
          <w:rFonts w:ascii="Helvetica" w:eastAsia="Cambria" w:hAnsi="Helvetica" w:cs="Helvetica"/>
          <w:color w:val="auto"/>
          <w:sz w:val="24"/>
          <w:szCs w:val="24"/>
          <w:lang w:val="en-GB"/>
        </w:rPr>
        <w:t>agreement across the EESG and EEWG was achieved.</w:t>
      </w:r>
      <w:r w:rsidR="007B617E">
        <w:rPr>
          <w:rFonts w:ascii="Helvetica" w:eastAsia="Cambria" w:hAnsi="Helvetica" w:cs="Helvetica"/>
          <w:color w:val="auto"/>
          <w:sz w:val="24"/>
          <w:szCs w:val="24"/>
          <w:lang w:val="en-GB"/>
        </w:rPr>
        <w:t xml:space="preserve"> </w:t>
      </w:r>
      <w:r w:rsidR="00D23913" w:rsidRPr="00925D7F">
        <w:rPr>
          <w:rFonts w:ascii="Arial" w:hAnsi="Arial" w:cs="Arial"/>
          <w:color w:val="auto"/>
          <w:sz w:val="24"/>
          <w:szCs w:val="22"/>
        </w:rPr>
        <w:t xml:space="preserve">  </w:t>
      </w:r>
      <w:r w:rsidR="00D52E66" w:rsidRPr="00925D7F">
        <w:rPr>
          <w:rFonts w:ascii="Arial" w:hAnsi="Arial" w:cs="Arial"/>
          <w:color w:val="auto"/>
          <w:sz w:val="24"/>
          <w:szCs w:val="22"/>
        </w:rPr>
        <w:t xml:space="preserve"> </w:t>
      </w:r>
    </w:p>
    <w:p w14:paraId="6A1A18B1" w14:textId="1A78EEA7" w:rsidR="003072FA" w:rsidRPr="00161C60" w:rsidRDefault="003072FA" w:rsidP="003072FA">
      <w:pPr>
        <w:spacing w:before="120" w:after="0" w:line="240" w:lineRule="auto"/>
        <w:rPr>
          <w:rFonts w:ascii="Helvetica" w:hAnsi="Helvetica" w:cs="Helvetica"/>
        </w:rPr>
      </w:pPr>
      <w:r w:rsidRPr="00161C60">
        <w:rPr>
          <w:rFonts w:ascii="Helvetica" w:hAnsi="Helvetica" w:cs="Helvetica"/>
        </w:rPr>
        <w:t>The EESG then developed the draft statement and presented it for review by the EEWG at a second face-to-face meeting</w:t>
      </w:r>
      <w:r w:rsidR="00FD23E0">
        <w:rPr>
          <w:rFonts w:ascii="Helvetica" w:hAnsi="Helvetica" w:cs="Helvetica"/>
        </w:rPr>
        <w:t xml:space="preserve"> in London in March 2018</w:t>
      </w:r>
      <w:r w:rsidRPr="00161C60">
        <w:rPr>
          <w:rFonts w:ascii="Helvetica" w:hAnsi="Helvetica" w:cs="Helvetica"/>
        </w:rPr>
        <w:t>. This involved more detailed discussion on the wording. Final changes were approved by email with each member of EESG and EEWG providing confirmation that they agreed with the final principles and recommendations.</w:t>
      </w:r>
    </w:p>
    <w:p w14:paraId="122F2BA0" w14:textId="71ABBFDF" w:rsidR="00123F66" w:rsidRPr="00161C60" w:rsidRDefault="00123F66" w:rsidP="003072FA">
      <w:pPr>
        <w:spacing w:before="120" w:after="0" w:line="240" w:lineRule="auto"/>
        <w:rPr>
          <w:rFonts w:ascii="Helvetica" w:hAnsi="Helvetica" w:cs="Helvetica"/>
          <w:b/>
          <w:bCs/>
        </w:rPr>
      </w:pPr>
      <w:r w:rsidRPr="00161C60">
        <w:rPr>
          <w:rFonts w:ascii="Helvetica" w:hAnsi="Helvetica" w:cs="Helvetica"/>
          <w:b/>
          <w:bCs/>
        </w:rPr>
        <w:t>Consultation strategy</w:t>
      </w:r>
    </w:p>
    <w:p w14:paraId="47E80C67" w14:textId="0E09264B" w:rsidR="006D20B0" w:rsidRPr="00161C60" w:rsidRDefault="006D20B0" w:rsidP="003072FA">
      <w:pPr>
        <w:spacing w:before="120" w:after="0" w:line="240" w:lineRule="auto"/>
        <w:rPr>
          <w:rFonts w:ascii="Helvetica" w:hAnsi="Helvetica" w:cs="Helvetica"/>
        </w:rPr>
      </w:pPr>
      <w:r w:rsidRPr="00161C60">
        <w:rPr>
          <w:rFonts w:ascii="Helvetica" w:hAnsi="Helvetica" w:cs="Helvetica"/>
        </w:rPr>
        <w:t xml:space="preserve">The draft statement </w:t>
      </w:r>
      <w:r w:rsidR="00BB6803">
        <w:rPr>
          <w:rFonts w:ascii="Helvetica" w:hAnsi="Helvetica" w:cs="Helvetica"/>
        </w:rPr>
        <w:t>was endorsed by</w:t>
      </w:r>
      <w:r w:rsidR="007C6719">
        <w:rPr>
          <w:rFonts w:ascii="Helvetica" w:hAnsi="Helvetica" w:cs="Helvetica"/>
        </w:rPr>
        <w:t xml:space="preserve"> </w:t>
      </w:r>
      <w:r w:rsidRPr="00161C60">
        <w:rPr>
          <w:rFonts w:ascii="Helvetica" w:hAnsi="Helvetica" w:cs="Helvetica"/>
        </w:rPr>
        <w:t>the Royal Osteoporosis Society Clinical and Scientific Committee</w:t>
      </w:r>
      <w:r w:rsidR="007C6719">
        <w:rPr>
          <w:rFonts w:ascii="Helvetica" w:hAnsi="Helvetica" w:cs="Helvetica"/>
        </w:rPr>
        <w:t>. It w</w:t>
      </w:r>
      <w:r w:rsidR="000B1371">
        <w:rPr>
          <w:rFonts w:ascii="Helvetica" w:hAnsi="Helvetica" w:cs="Helvetica"/>
        </w:rPr>
        <w:t>a</w:t>
      </w:r>
      <w:r w:rsidR="000D67B1">
        <w:rPr>
          <w:rFonts w:ascii="Helvetica" w:hAnsi="Helvetica" w:cs="Helvetica"/>
        </w:rPr>
        <w:t>s</w:t>
      </w:r>
      <w:r w:rsidR="00BB6803" w:rsidRPr="00161C60">
        <w:rPr>
          <w:rFonts w:ascii="Helvetica" w:hAnsi="Helvetica" w:cs="Helvetica"/>
        </w:rPr>
        <w:t xml:space="preserve"> disseminated to stakeholders including </w:t>
      </w:r>
      <w:r w:rsidRPr="00161C60">
        <w:rPr>
          <w:rFonts w:ascii="Helvetica" w:hAnsi="Helvetica" w:cs="Helvetica"/>
        </w:rPr>
        <w:t xml:space="preserve">partnership organisations (Appendix </w:t>
      </w:r>
      <w:r w:rsidR="000E6734" w:rsidRPr="00161C60">
        <w:rPr>
          <w:rFonts w:ascii="Helvetica" w:hAnsi="Helvetica" w:cs="Helvetica"/>
        </w:rPr>
        <w:t>I</w:t>
      </w:r>
      <w:r w:rsidR="000E6734">
        <w:rPr>
          <w:rFonts w:ascii="Helvetica" w:hAnsi="Helvetica" w:cs="Helvetica"/>
        </w:rPr>
        <w:t>V</w:t>
      </w:r>
      <w:r w:rsidRPr="00161C60">
        <w:rPr>
          <w:rFonts w:ascii="Helvetica" w:hAnsi="Helvetica" w:cs="Helvetica"/>
        </w:rPr>
        <w:t>)</w:t>
      </w:r>
      <w:r w:rsidR="003F3D6D">
        <w:rPr>
          <w:rFonts w:ascii="Helvetica" w:hAnsi="Helvetica" w:cs="Helvetica"/>
        </w:rPr>
        <w:t xml:space="preserve">. </w:t>
      </w:r>
      <w:r w:rsidR="00BB1F95">
        <w:rPr>
          <w:rFonts w:ascii="Helvetica" w:hAnsi="Helvetica" w:cs="Helvetica"/>
        </w:rPr>
        <w:t>Public</w:t>
      </w:r>
      <w:r w:rsidRPr="00161C60">
        <w:rPr>
          <w:rFonts w:ascii="Helvetica" w:hAnsi="Helvetica" w:cs="Helvetica"/>
        </w:rPr>
        <w:t xml:space="preserve"> consultation</w:t>
      </w:r>
      <w:r w:rsidR="00BB1F95">
        <w:rPr>
          <w:rFonts w:ascii="Helvetica" w:hAnsi="Helvetica" w:cs="Helvetica"/>
        </w:rPr>
        <w:t xml:space="preserve"> was sought</w:t>
      </w:r>
      <w:r w:rsidRPr="00161C60">
        <w:rPr>
          <w:rFonts w:ascii="Helvetica" w:hAnsi="Helvetica" w:cs="Helvetica"/>
        </w:rPr>
        <w:t xml:space="preserve"> (through the Royal Osteoporosis Society website) from </w:t>
      </w:r>
      <w:r w:rsidR="00EB3C6D">
        <w:rPr>
          <w:rFonts w:ascii="Helvetica" w:hAnsi="Helvetica" w:cs="Helvetica"/>
        </w:rPr>
        <w:t xml:space="preserve">September to </w:t>
      </w:r>
      <w:r w:rsidR="00A3522E">
        <w:rPr>
          <w:rFonts w:ascii="Helvetica" w:hAnsi="Helvetica" w:cs="Helvetica"/>
        </w:rPr>
        <w:t>O</w:t>
      </w:r>
      <w:r w:rsidR="00EB3C6D">
        <w:rPr>
          <w:rFonts w:ascii="Helvetica" w:hAnsi="Helvetica" w:cs="Helvetica"/>
        </w:rPr>
        <w:t>ctober 2018</w:t>
      </w:r>
      <w:r w:rsidRPr="00161C60">
        <w:rPr>
          <w:rFonts w:ascii="Helvetica" w:hAnsi="Helvetica" w:cs="Helvetica"/>
        </w:rPr>
        <w:t>.</w:t>
      </w:r>
      <w:r w:rsidR="00BB1F95" w:rsidRPr="00BB1F95">
        <w:rPr>
          <w:rFonts w:ascii="Helvetica" w:hAnsi="Helvetica" w:cs="Helvetica"/>
        </w:rPr>
        <w:t xml:space="preserve"> </w:t>
      </w:r>
      <w:r w:rsidR="00BB1F95">
        <w:rPr>
          <w:rFonts w:ascii="Helvetica" w:hAnsi="Helvetica" w:cs="Helvetica"/>
        </w:rPr>
        <w:t>Feedback was collated on a spreadsheet according to the strong, straight and steady themes</w:t>
      </w:r>
      <w:r w:rsidR="00944DBB">
        <w:rPr>
          <w:rFonts w:ascii="Helvetica" w:hAnsi="Helvetica" w:cs="Helvetica"/>
        </w:rPr>
        <w:t>.</w:t>
      </w:r>
      <w:r w:rsidR="00944DBB">
        <w:rPr>
          <w:rFonts w:ascii="Helvetica" w:eastAsia="Calibri" w:hAnsi="Helvetica" w:cs="Helvetica"/>
        </w:rPr>
        <w:t xml:space="preserve"> Any changes were initially reviewed by the editorial group (DS, SL, EC, KBW) before being circulated for discussion/agreement by expert groups.</w:t>
      </w:r>
      <w:r w:rsidR="00B90C7A">
        <w:rPr>
          <w:rFonts w:ascii="Helvetica" w:eastAsia="Calibri" w:hAnsi="Helvetica" w:cs="Helvetica"/>
        </w:rPr>
        <w:t xml:space="preserve"> An online meeting of the EESG was then held </w:t>
      </w:r>
      <w:r w:rsidR="0002183A">
        <w:rPr>
          <w:rFonts w:ascii="Helvetica" w:eastAsia="Calibri" w:hAnsi="Helvetica" w:cs="Helvetica"/>
        </w:rPr>
        <w:t xml:space="preserve">in October 2018 </w:t>
      </w:r>
      <w:r w:rsidR="00B90C7A">
        <w:rPr>
          <w:rFonts w:ascii="Helvetica" w:eastAsia="Calibri" w:hAnsi="Helvetica" w:cs="Helvetica"/>
        </w:rPr>
        <w:t xml:space="preserve">to </w:t>
      </w:r>
      <w:r w:rsidR="00FD6319">
        <w:rPr>
          <w:rFonts w:ascii="Helvetica" w:eastAsia="Calibri" w:hAnsi="Helvetica" w:cs="Helvetica"/>
        </w:rPr>
        <w:t xml:space="preserve">review </w:t>
      </w:r>
      <w:r w:rsidR="00B90C7A">
        <w:rPr>
          <w:rFonts w:ascii="Helvetica" w:eastAsia="Calibri" w:hAnsi="Helvetica" w:cs="Helvetica"/>
        </w:rPr>
        <w:t xml:space="preserve">all changes. </w:t>
      </w:r>
    </w:p>
    <w:p w14:paraId="761CE96D" w14:textId="77777777" w:rsidR="004B4D2C" w:rsidRPr="00161C60" w:rsidRDefault="004B4D2C" w:rsidP="003072FA">
      <w:pPr>
        <w:spacing w:before="120" w:after="0" w:line="240" w:lineRule="auto"/>
        <w:rPr>
          <w:rFonts w:ascii="Helvetica" w:hAnsi="Helvetica" w:cs="Helvetica"/>
        </w:rPr>
      </w:pPr>
    </w:p>
    <w:p w14:paraId="13537428" w14:textId="77777777" w:rsidR="002F65D9" w:rsidRPr="00161C60" w:rsidRDefault="002F65D9" w:rsidP="005B76DF">
      <w:pPr>
        <w:spacing w:before="120" w:after="0" w:line="240" w:lineRule="auto"/>
        <w:rPr>
          <w:rFonts w:ascii="Helvetica" w:hAnsi="Helvetica" w:cs="Helvetica"/>
          <w:b/>
          <w:bCs/>
        </w:rPr>
      </w:pPr>
      <w:r w:rsidRPr="00161C60">
        <w:rPr>
          <w:rFonts w:ascii="Helvetica" w:hAnsi="Helvetica" w:cs="Helvetica"/>
          <w:b/>
          <w:bCs/>
        </w:rPr>
        <w:t>RESULTS</w:t>
      </w:r>
    </w:p>
    <w:p w14:paraId="0EFD57A1" w14:textId="433C8015" w:rsidR="0077383C" w:rsidRPr="00161C60" w:rsidRDefault="0077383C" w:rsidP="0077383C">
      <w:pPr>
        <w:spacing w:before="120" w:after="0" w:line="240" w:lineRule="auto"/>
        <w:rPr>
          <w:rFonts w:ascii="Helvetica" w:hAnsi="Helvetica" w:cs="Helvetica"/>
          <w:b/>
          <w:bCs/>
        </w:rPr>
      </w:pPr>
      <w:r w:rsidRPr="00161C60">
        <w:rPr>
          <w:rFonts w:ascii="Helvetica" w:hAnsi="Helvetica" w:cs="Helvetica"/>
          <w:b/>
          <w:bCs/>
        </w:rPr>
        <w:t xml:space="preserve">Outcome of stakeholder </w:t>
      </w:r>
      <w:r w:rsidR="009055BE" w:rsidRPr="00161C60">
        <w:rPr>
          <w:rFonts w:ascii="Helvetica" w:hAnsi="Helvetica" w:cs="Helvetica"/>
          <w:b/>
          <w:bCs/>
        </w:rPr>
        <w:t>consultation</w:t>
      </w:r>
    </w:p>
    <w:p w14:paraId="4FA9984D" w14:textId="10876A97" w:rsidR="003F4A3D" w:rsidRDefault="00DF59B7" w:rsidP="0038300C">
      <w:pPr>
        <w:spacing w:before="120" w:after="0" w:line="240" w:lineRule="auto"/>
        <w:rPr>
          <w:rFonts w:ascii="Helvetica" w:eastAsia="Calibri" w:hAnsi="Helvetica" w:cs="Helvetica"/>
        </w:rPr>
      </w:pPr>
      <w:r w:rsidRPr="007E47AE">
        <w:rPr>
          <w:rFonts w:ascii="Helvetica" w:eastAsia="Calibri" w:hAnsi="Helvetica" w:cs="Helvetica"/>
        </w:rPr>
        <w:t xml:space="preserve">Stakeholder meetings </w:t>
      </w:r>
      <w:r w:rsidR="004940EF">
        <w:rPr>
          <w:rFonts w:ascii="Helvetica" w:eastAsia="Calibri" w:hAnsi="Helvetica" w:cs="Helvetica"/>
        </w:rPr>
        <w:t xml:space="preserve">for those </w:t>
      </w:r>
      <w:r w:rsidR="004940EF" w:rsidRPr="007E47AE">
        <w:rPr>
          <w:rFonts w:ascii="Helvetica" w:eastAsia="Calibri" w:hAnsi="Helvetica" w:cs="Helvetica"/>
        </w:rPr>
        <w:t xml:space="preserve">with or at risk of osteoporosis </w:t>
      </w:r>
      <w:r w:rsidRPr="007E47AE">
        <w:rPr>
          <w:rFonts w:ascii="Helvetica" w:eastAsia="Calibri" w:hAnsi="Helvetica" w:cs="Helvetica"/>
        </w:rPr>
        <w:t xml:space="preserve">were attended </w:t>
      </w:r>
      <w:r w:rsidR="003F47E8" w:rsidRPr="007E47AE">
        <w:rPr>
          <w:rFonts w:ascii="Helvetica" w:eastAsia="Calibri" w:hAnsi="Helvetica" w:cs="Helvetica"/>
        </w:rPr>
        <w:t>by 27</w:t>
      </w:r>
      <w:r w:rsidR="007F5E3B" w:rsidRPr="007E47AE">
        <w:rPr>
          <w:rFonts w:ascii="Helvetica" w:eastAsia="Calibri" w:hAnsi="Helvetica" w:cs="Helvetica"/>
        </w:rPr>
        <w:t xml:space="preserve"> </w:t>
      </w:r>
      <w:r w:rsidR="003F47E8" w:rsidRPr="007E47AE">
        <w:rPr>
          <w:rFonts w:ascii="Helvetica" w:eastAsia="Calibri" w:hAnsi="Helvetica" w:cs="Helvetica"/>
        </w:rPr>
        <w:t>people (</w:t>
      </w:r>
      <w:r w:rsidR="00107C35">
        <w:rPr>
          <w:rFonts w:ascii="Helvetica" w:eastAsia="Calibri" w:hAnsi="Helvetica" w:cs="Helvetica"/>
        </w:rPr>
        <w:t>25 white, postmenopausal women with osteoporosis with two of their spouses</w:t>
      </w:r>
      <w:r w:rsidR="003F47E8" w:rsidRPr="007E47AE">
        <w:rPr>
          <w:rFonts w:ascii="Helvetica" w:eastAsia="Calibri" w:hAnsi="Helvetica" w:cs="Helvetica"/>
        </w:rPr>
        <w:t>)</w:t>
      </w:r>
      <w:r w:rsidR="00A81DBD">
        <w:rPr>
          <w:rFonts w:ascii="Helvetica" w:eastAsia="Calibri" w:hAnsi="Helvetica" w:cs="Helvetica"/>
        </w:rPr>
        <w:t>. The professionals</w:t>
      </w:r>
      <w:r w:rsidR="00B833B0">
        <w:rPr>
          <w:rFonts w:ascii="Helvetica" w:eastAsia="Calibri" w:hAnsi="Helvetica" w:cs="Helvetica"/>
        </w:rPr>
        <w:t>’</w:t>
      </w:r>
      <w:r w:rsidR="00A81DBD">
        <w:rPr>
          <w:rFonts w:ascii="Helvetica" w:eastAsia="Calibri" w:hAnsi="Helvetica" w:cs="Helvetica"/>
        </w:rPr>
        <w:t xml:space="preserve"> stakeholder meeting was attended by</w:t>
      </w:r>
      <w:r w:rsidR="003F47E8" w:rsidRPr="007E47AE">
        <w:rPr>
          <w:rFonts w:ascii="Helvetica" w:eastAsia="Calibri" w:hAnsi="Helvetica" w:cs="Helvetica"/>
        </w:rPr>
        <w:t xml:space="preserve"> </w:t>
      </w:r>
      <w:r w:rsidR="005F7F06" w:rsidRPr="007E47AE">
        <w:rPr>
          <w:rFonts w:ascii="Helvetica" w:eastAsia="Calibri" w:hAnsi="Helvetica" w:cs="Helvetica"/>
        </w:rPr>
        <w:t>15 health or exercise professionals (</w:t>
      </w:r>
      <w:r w:rsidR="00107C35">
        <w:rPr>
          <w:rFonts w:ascii="Helvetica" w:eastAsia="Calibri" w:hAnsi="Helvetica" w:cs="Helvetica"/>
        </w:rPr>
        <w:t xml:space="preserve">four </w:t>
      </w:r>
      <w:r w:rsidR="008D5A13" w:rsidRPr="007E47AE">
        <w:rPr>
          <w:rFonts w:ascii="Helvetica" w:eastAsia="Calibri" w:hAnsi="Helvetica" w:cs="Helvetica"/>
        </w:rPr>
        <w:t xml:space="preserve">physiotherapists, </w:t>
      </w:r>
      <w:r w:rsidR="00107C35">
        <w:rPr>
          <w:rFonts w:ascii="Helvetica" w:eastAsia="Calibri" w:hAnsi="Helvetica" w:cs="Helvetica"/>
        </w:rPr>
        <w:t xml:space="preserve">three </w:t>
      </w:r>
      <w:r w:rsidR="008D5A13" w:rsidRPr="007E47AE">
        <w:rPr>
          <w:rFonts w:ascii="Helvetica" w:eastAsia="Calibri" w:hAnsi="Helvetica" w:cs="Helvetica"/>
        </w:rPr>
        <w:t>osteoporosis specialist nurses</w:t>
      </w:r>
      <w:r w:rsidR="006B66CB">
        <w:rPr>
          <w:rFonts w:ascii="Helvetica" w:eastAsia="Calibri" w:hAnsi="Helvetica" w:cs="Helvetica"/>
        </w:rPr>
        <w:t>,</w:t>
      </w:r>
      <w:r w:rsidR="008D5A13" w:rsidRPr="007E47AE">
        <w:rPr>
          <w:rFonts w:ascii="Helvetica" w:eastAsia="Calibri" w:hAnsi="Helvetica" w:cs="Helvetica"/>
        </w:rPr>
        <w:t xml:space="preserve"> </w:t>
      </w:r>
      <w:r w:rsidR="00107C35">
        <w:rPr>
          <w:rFonts w:ascii="Helvetica" w:eastAsia="Calibri" w:hAnsi="Helvetica" w:cs="Helvetica"/>
        </w:rPr>
        <w:t xml:space="preserve">three </w:t>
      </w:r>
      <w:r w:rsidR="008D5A13" w:rsidRPr="007E47AE">
        <w:rPr>
          <w:rFonts w:ascii="Helvetica" w:eastAsia="Calibri" w:hAnsi="Helvetica" w:cs="Helvetica"/>
        </w:rPr>
        <w:t>Pilates instructors</w:t>
      </w:r>
      <w:r w:rsidR="00107C35">
        <w:rPr>
          <w:rFonts w:ascii="Helvetica" w:eastAsia="Calibri" w:hAnsi="Helvetica" w:cs="Helvetica"/>
        </w:rPr>
        <w:t xml:space="preserve"> and three</w:t>
      </w:r>
      <w:r w:rsidR="001F02F6">
        <w:rPr>
          <w:rFonts w:ascii="Helvetica" w:eastAsia="Calibri" w:hAnsi="Helvetica" w:cs="Helvetica"/>
        </w:rPr>
        <w:t xml:space="preserve"> </w:t>
      </w:r>
      <w:r w:rsidR="00107C35">
        <w:rPr>
          <w:rFonts w:ascii="Helvetica" w:eastAsia="Calibri" w:hAnsi="Helvetica" w:cs="Helvetica"/>
        </w:rPr>
        <w:t>health professionals with osteoporosis</w:t>
      </w:r>
      <w:r w:rsidR="008D5A13" w:rsidRPr="007E47AE">
        <w:rPr>
          <w:rFonts w:ascii="Helvetica" w:eastAsia="Calibri" w:hAnsi="Helvetica" w:cs="Helvetica"/>
        </w:rPr>
        <w:t xml:space="preserve">). </w:t>
      </w:r>
    </w:p>
    <w:p w14:paraId="00E577E8" w14:textId="3E1DF682" w:rsidR="0038300C" w:rsidRPr="00161C60" w:rsidRDefault="0038300C" w:rsidP="0038300C">
      <w:pPr>
        <w:spacing w:before="120" w:after="0" w:line="240" w:lineRule="auto"/>
        <w:rPr>
          <w:rFonts w:ascii="Helvetica" w:eastAsia="Calibri" w:hAnsi="Helvetica" w:cs="Helvetica"/>
        </w:rPr>
      </w:pPr>
      <w:r w:rsidRPr="007E47AE">
        <w:rPr>
          <w:rFonts w:ascii="Helvetica" w:eastAsia="Calibri" w:hAnsi="Helvetica" w:cs="Helvetica"/>
        </w:rPr>
        <w:t>The</w:t>
      </w:r>
      <w:r w:rsidR="006464BB" w:rsidRPr="007E47AE">
        <w:rPr>
          <w:rFonts w:ascii="Helvetica" w:eastAsia="Calibri" w:hAnsi="Helvetica" w:cs="Helvetica"/>
        </w:rPr>
        <w:t xml:space="preserve"> stakeholder group</w:t>
      </w:r>
      <w:r w:rsidRPr="00161C60">
        <w:rPr>
          <w:rFonts w:ascii="Helvetica" w:eastAsia="Calibri" w:hAnsi="Helvetica" w:cs="Helvetica"/>
        </w:rPr>
        <w:t xml:space="preserve"> discussions identified that people with osteoporosis viewed exercise and physical activity as very important with wide ranging benefits on health and wellbeing, and areas of frustration, about being given no, conflicting or negative ‘don’t do’ exercise advice by health professionals. Areas of uncertainty, for both non-professionals and professionals alike included what exercise was ‘best’ and safe to improve specific and general bone and muscle strength, dependant on ability. People with osteoporosis </w:t>
      </w:r>
      <w:r w:rsidR="00E83BB2">
        <w:rPr>
          <w:rFonts w:ascii="Helvetica" w:eastAsia="Calibri" w:hAnsi="Helvetica" w:cs="Helvetica"/>
        </w:rPr>
        <w:t>wanted</w:t>
      </w:r>
      <w:r w:rsidRPr="00161C60">
        <w:rPr>
          <w:rFonts w:ascii="Helvetica" w:eastAsia="Calibri" w:hAnsi="Helvetica" w:cs="Helvetica"/>
        </w:rPr>
        <w:t xml:space="preserve"> more specific information about exercise regimens and to guide safe functional activity, and professionals wanted more information about how to tailor advice dependant on patient characteristics. </w:t>
      </w:r>
    </w:p>
    <w:p w14:paraId="019155FF" w14:textId="445CADE6" w:rsidR="00CB05B5" w:rsidRPr="00161C60" w:rsidRDefault="00C20339" w:rsidP="005B76DF">
      <w:pPr>
        <w:spacing w:before="120" w:after="0" w:line="240" w:lineRule="auto"/>
        <w:rPr>
          <w:rFonts w:ascii="Helvetica" w:hAnsi="Helvetica" w:cs="Helvetica"/>
        </w:rPr>
      </w:pPr>
      <w:r w:rsidRPr="00161C60">
        <w:rPr>
          <w:rFonts w:ascii="Helvetica" w:hAnsi="Helvetica" w:cs="Helvetica"/>
        </w:rPr>
        <w:t>A total of 8</w:t>
      </w:r>
      <w:r w:rsidR="00D435F0" w:rsidRPr="00161C60">
        <w:rPr>
          <w:rFonts w:ascii="Helvetica" w:hAnsi="Helvetica" w:cs="Helvetica"/>
        </w:rPr>
        <w:t>80</w:t>
      </w:r>
      <w:r w:rsidRPr="00161C60">
        <w:rPr>
          <w:rFonts w:ascii="Helvetica" w:hAnsi="Helvetica" w:cs="Helvetica"/>
        </w:rPr>
        <w:t xml:space="preserve"> stakeholders participated in the </w:t>
      </w:r>
      <w:r w:rsidR="003F4A3D">
        <w:rPr>
          <w:rFonts w:ascii="Helvetica" w:hAnsi="Helvetica" w:cs="Helvetica"/>
        </w:rPr>
        <w:t xml:space="preserve">online </w:t>
      </w:r>
      <w:r w:rsidRPr="00161C60">
        <w:rPr>
          <w:rFonts w:ascii="Helvetica" w:hAnsi="Helvetica" w:cs="Helvetica"/>
        </w:rPr>
        <w:t xml:space="preserve">survey. </w:t>
      </w:r>
      <w:r w:rsidR="00645D32" w:rsidRPr="00161C60">
        <w:rPr>
          <w:rFonts w:ascii="Helvetica" w:hAnsi="Helvetica" w:cs="Helvetica"/>
        </w:rPr>
        <w:t xml:space="preserve">Of those that provided demographic information, </w:t>
      </w:r>
      <w:r w:rsidR="00A133B2">
        <w:rPr>
          <w:rFonts w:ascii="Helvetica" w:hAnsi="Helvetica" w:cs="Helvetica"/>
        </w:rPr>
        <w:t>&gt;</w:t>
      </w:r>
      <w:r w:rsidRPr="00161C60">
        <w:rPr>
          <w:rFonts w:ascii="Helvetica" w:hAnsi="Helvetica" w:cs="Helvetica"/>
        </w:rPr>
        <w:t xml:space="preserve"> 70% were aged between 56 and 75 years</w:t>
      </w:r>
      <w:r w:rsidR="00645D32" w:rsidRPr="00161C60">
        <w:rPr>
          <w:rFonts w:ascii="Helvetica" w:hAnsi="Helvetica" w:cs="Helvetica"/>
        </w:rPr>
        <w:t>;</w:t>
      </w:r>
      <w:r w:rsidRPr="00161C60">
        <w:rPr>
          <w:rFonts w:ascii="Helvetica" w:hAnsi="Helvetica" w:cs="Helvetica"/>
        </w:rPr>
        <w:t xml:space="preserve"> 782 (94%) described their ethnic origin as ‘white’</w:t>
      </w:r>
      <w:r w:rsidR="00645D32" w:rsidRPr="00161C60">
        <w:rPr>
          <w:rFonts w:ascii="Helvetica" w:hAnsi="Helvetica" w:cs="Helvetica"/>
        </w:rPr>
        <w:t xml:space="preserve"> and </w:t>
      </w:r>
      <w:r w:rsidRPr="00161C60">
        <w:rPr>
          <w:rFonts w:ascii="Helvetica" w:hAnsi="Helvetica" w:cs="Helvetica"/>
        </w:rPr>
        <w:t>782</w:t>
      </w:r>
      <w:r w:rsidR="00CB1A12" w:rsidRPr="00161C60">
        <w:rPr>
          <w:rFonts w:ascii="Helvetica" w:hAnsi="Helvetica" w:cs="Helvetica"/>
        </w:rPr>
        <w:t xml:space="preserve"> </w:t>
      </w:r>
      <w:r w:rsidRPr="00161C60">
        <w:rPr>
          <w:rFonts w:ascii="Helvetica" w:hAnsi="Helvetica" w:cs="Helvetica"/>
        </w:rPr>
        <w:t xml:space="preserve">(96%) said they were female. </w:t>
      </w:r>
      <w:r w:rsidR="003901BA">
        <w:rPr>
          <w:rFonts w:ascii="Helvetica" w:hAnsi="Helvetica" w:cs="Helvetica"/>
        </w:rPr>
        <w:t>Most</w:t>
      </w:r>
      <w:r w:rsidR="00767F5F" w:rsidRPr="00161C60">
        <w:rPr>
          <w:rFonts w:ascii="Helvetica" w:hAnsi="Helvetica" w:cs="Helvetica"/>
        </w:rPr>
        <w:t xml:space="preserve"> respondents were people with osteoporosis: </w:t>
      </w:r>
      <w:r w:rsidR="00CB05B5" w:rsidRPr="00161C60">
        <w:rPr>
          <w:rFonts w:ascii="Helvetica" w:hAnsi="Helvetica" w:cs="Helvetica"/>
        </w:rPr>
        <w:t>521 (61%) diagnos</w:t>
      </w:r>
      <w:r w:rsidR="00CB1A12" w:rsidRPr="00161C60">
        <w:rPr>
          <w:rFonts w:ascii="Helvetica" w:hAnsi="Helvetica" w:cs="Helvetica"/>
        </w:rPr>
        <w:t>ed</w:t>
      </w:r>
      <w:r w:rsidR="00CB05B5" w:rsidRPr="00161C60">
        <w:rPr>
          <w:rFonts w:ascii="Helvetica" w:hAnsi="Helvetica" w:cs="Helvetica"/>
        </w:rPr>
        <w:t xml:space="preserve"> from a bone density scan; 83</w:t>
      </w:r>
      <w:r w:rsidR="00CB1A12" w:rsidRPr="00161C60">
        <w:rPr>
          <w:rFonts w:ascii="Helvetica" w:hAnsi="Helvetica" w:cs="Helvetica"/>
        </w:rPr>
        <w:t xml:space="preserve"> </w:t>
      </w:r>
      <w:r w:rsidR="00CB05B5" w:rsidRPr="00161C60">
        <w:rPr>
          <w:rFonts w:ascii="Helvetica" w:hAnsi="Helvetica" w:cs="Helvetica"/>
        </w:rPr>
        <w:t xml:space="preserve">(10%) </w:t>
      </w:r>
      <w:r w:rsidR="00F45D16" w:rsidRPr="00161C60">
        <w:rPr>
          <w:rFonts w:ascii="Helvetica" w:hAnsi="Helvetica" w:cs="Helvetica"/>
        </w:rPr>
        <w:t xml:space="preserve">reported </w:t>
      </w:r>
      <w:r w:rsidR="00CB05B5" w:rsidRPr="00161C60">
        <w:rPr>
          <w:rFonts w:ascii="Helvetica" w:hAnsi="Helvetica" w:cs="Helvetica"/>
        </w:rPr>
        <w:t xml:space="preserve">one spinal fracture and 114 (13%) </w:t>
      </w:r>
      <w:r w:rsidR="00F45D16" w:rsidRPr="00161C60">
        <w:rPr>
          <w:rFonts w:ascii="Helvetica" w:hAnsi="Helvetica" w:cs="Helvetica"/>
        </w:rPr>
        <w:t xml:space="preserve">reported </w:t>
      </w:r>
      <w:r w:rsidR="00CB05B5" w:rsidRPr="00161C60">
        <w:rPr>
          <w:rFonts w:ascii="Helvetica" w:hAnsi="Helvetica" w:cs="Helvetica"/>
        </w:rPr>
        <w:t>more than one spinal fracture; 148 (17%) had other fragility fractures</w:t>
      </w:r>
      <w:r w:rsidR="00767F5F" w:rsidRPr="00161C60">
        <w:rPr>
          <w:rFonts w:ascii="Helvetica" w:hAnsi="Helvetica" w:cs="Helvetica"/>
        </w:rPr>
        <w:t>; 44</w:t>
      </w:r>
      <w:r w:rsidR="00CB1A12" w:rsidRPr="00161C60">
        <w:rPr>
          <w:rFonts w:ascii="Helvetica" w:hAnsi="Helvetica" w:cs="Helvetica"/>
        </w:rPr>
        <w:t xml:space="preserve"> </w:t>
      </w:r>
      <w:r w:rsidR="00767F5F" w:rsidRPr="00161C60">
        <w:rPr>
          <w:rFonts w:ascii="Helvetica" w:hAnsi="Helvetica" w:cs="Helvetica"/>
        </w:rPr>
        <w:t xml:space="preserve">(5%) said they were less mobile and </w:t>
      </w:r>
      <w:r w:rsidR="00E0239F" w:rsidRPr="00161C60">
        <w:rPr>
          <w:rFonts w:ascii="Helvetica" w:hAnsi="Helvetica" w:cs="Helvetica"/>
        </w:rPr>
        <w:t>unaccustomed</w:t>
      </w:r>
      <w:r w:rsidR="00767F5F" w:rsidRPr="00161C60">
        <w:rPr>
          <w:rFonts w:ascii="Helvetica" w:hAnsi="Helvetica" w:cs="Helvetica"/>
        </w:rPr>
        <w:t xml:space="preserve"> to </w:t>
      </w:r>
      <w:r w:rsidR="00CA000A" w:rsidRPr="00161C60">
        <w:rPr>
          <w:rFonts w:ascii="Helvetica" w:hAnsi="Helvetica" w:cs="Helvetica"/>
        </w:rPr>
        <w:t xml:space="preserve">regular </w:t>
      </w:r>
      <w:r w:rsidR="00767F5F" w:rsidRPr="00161C60">
        <w:rPr>
          <w:rFonts w:ascii="Helvetica" w:hAnsi="Helvetica" w:cs="Helvetica"/>
        </w:rPr>
        <w:t xml:space="preserve">exercise. </w:t>
      </w:r>
      <w:r w:rsidR="00CB05B5" w:rsidRPr="00161C60">
        <w:rPr>
          <w:rFonts w:ascii="Helvetica" w:hAnsi="Helvetica" w:cs="Helvetica"/>
        </w:rPr>
        <w:t xml:space="preserve"> 139</w:t>
      </w:r>
      <w:r w:rsidR="00767F5F" w:rsidRPr="00161C60">
        <w:rPr>
          <w:rFonts w:ascii="Helvetica" w:hAnsi="Helvetica" w:cs="Helvetica"/>
        </w:rPr>
        <w:t xml:space="preserve"> respondents </w:t>
      </w:r>
      <w:r w:rsidR="00CB05B5" w:rsidRPr="00161C60">
        <w:rPr>
          <w:rFonts w:ascii="Helvetica" w:hAnsi="Helvetica" w:cs="Helvetica"/>
        </w:rPr>
        <w:t>(16%) were health professionals</w:t>
      </w:r>
      <w:r w:rsidR="00767F5F" w:rsidRPr="00161C60">
        <w:rPr>
          <w:rFonts w:ascii="Helvetica" w:hAnsi="Helvetica" w:cs="Helvetica"/>
        </w:rPr>
        <w:t>.</w:t>
      </w:r>
    </w:p>
    <w:p w14:paraId="227125B7" w14:textId="1B12E0D8" w:rsidR="00645D32" w:rsidRPr="00161C60" w:rsidRDefault="00C20339" w:rsidP="005B76DF">
      <w:pPr>
        <w:spacing w:before="120" w:after="0" w:line="240" w:lineRule="auto"/>
        <w:rPr>
          <w:rFonts w:ascii="Helvetica" w:hAnsi="Helvetica" w:cs="Helvetica"/>
        </w:rPr>
      </w:pPr>
      <w:r w:rsidRPr="00161C60">
        <w:rPr>
          <w:rFonts w:ascii="Helvetica" w:hAnsi="Helvetica" w:cs="Helvetica"/>
        </w:rPr>
        <w:t xml:space="preserve">Of the respondents who </w:t>
      </w:r>
      <w:r w:rsidR="00CB1A12" w:rsidRPr="00161C60">
        <w:rPr>
          <w:rFonts w:ascii="Helvetica" w:hAnsi="Helvetica" w:cs="Helvetica"/>
        </w:rPr>
        <w:t xml:space="preserve">provided </w:t>
      </w:r>
      <w:r w:rsidRPr="00161C60">
        <w:rPr>
          <w:rFonts w:ascii="Helvetica" w:hAnsi="Helvetica" w:cs="Helvetica"/>
        </w:rPr>
        <w:t xml:space="preserve">specific queries, </w:t>
      </w:r>
      <w:r w:rsidR="00D435F0" w:rsidRPr="00161C60">
        <w:rPr>
          <w:rFonts w:ascii="Helvetica" w:hAnsi="Helvetica" w:cs="Helvetica"/>
        </w:rPr>
        <w:t>44%</w:t>
      </w:r>
      <w:r w:rsidRPr="00161C60">
        <w:rPr>
          <w:rFonts w:ascii="Helvetica" w:hAnsi="Helvetica" w:cs="Helvetica"/>
        </w:rPr>
        <w:t xml:space="preserve"> wanted to know what exercise was effective for strengthening bones (including specific questions on type</w:t>
      </w:r>
      <w:r w:rsidR="00CB1A12" w:rsidRPr="00161C60">
        <w:rPr>
          <w:rFonts w:ascii="Helvetica" w:hAnsi="Helvetica" w:cs="Helvetica"/>
        </w:rPr>
        <w:t>,</w:t>
      </w:r>
      <w:r w:rsidRPr="00161C60">
        <w:rPr>
          <w:rFonts w:ascii="Helvetica" w:hAnsi="Helvetica" w:cs="Helvetica"/>
        </w:rPr>
        <w:t xml:space="preserve"> intensity and duration, or </w:t>
      </w:r>
      <w:r w:rsidR="00D113DE" w:rsidRPr="00161C60">
        <w:rPr>
          <w:rFonts w:ascii="Helvetica" w:hAnsi="Helvetica" w:cs="Helvetica"/>
        </w:rPr>
        <w:t>site-</w:t>
      </w:r>
      <w:r w:rsidRPr="00161C60">
        <w:rPr>
          <w:rFonts w:ascii="Helvetica" w:hAnsi="Helvetica" w:cs="Helvetica"/>
        </w:rPr>
        <w:t>specific exercise)</w:t>
      </w:r>
      <w:r w:rsidR="00D435F0" w:rsidRPr="00161C60">
        <w:rPr>
          <w:rFonts w:ascii="Helvetica" w:hAnsi="Helvetica" w:cs="Helvetica"/>
        </w:rPr>
        <w:t xml:space="preserve"> and 38% wanted to know about the role of exercise in prevention or management of vertebral fractures</w:t>
      </w:r>
      <w:r w:rsidRPr="00161C60">
        <w:rPr>
          <w:rFonts w:ascii="Helvetica" w:hAnsi="Helvetica" w:cs="Helvetica"/>
        </w:rPr>
        <w:t>. Over a third had questions about the safety of specific exercises, such as Pilates or yoga positions</w:t>
      </w:r>
      <w:r w:rsidR="00737B81" w:rsidRPr="00161C60">
        <w:rPr>
          <w:rFonts w:ascii="Helvetica" w:hAnsi="Helvetica" w:cs="Helvetica"/>
        </w:rPr>
        <w:t xml:space="preserve">. </w:t>
      </w:r>
      <w:r w:rsidR="005D7674" w:rsidRPr="00161C60">
        <w:rPr>
          <w:rFonts w:ascii="Helvetica" w:hAnsi="Helvetica" w:cs="Helvetica"/>
        </w:rPr>
        <w:t xml:space="preserve">Questions about equipment, including vibration platforms, were asked. </w:t>
      </w:r>
      <w:r w:rsidRPr="00161C60">
        <w:rPr>
          <w:rFonts w:ascii="Helvetica" w:hAnsi="Helvetica" w:cs="Helvetica"/>
        </w:rPr>
        <w:t>There was substantial uncertainty about what exercise was effective or safe, from both health professionals and those with osteoporosis</w:t>
      </w:r>
      <w:r w:rsidR="00CB05B5" w:rsidRPr="00161C60">
        <w:rPr>
          <w:rFonts w:ascii="Helvetica" w:hAnsi="Helvetica" w:cs="Helvetica"/>
        </w:rPr>
        <w:t>.</w:t>
      </w:r>
      <w:r w:rsidR="00D435F0" w:rsidRPr="00161C60">
        <w:rPr>
          <w:rFonts w:ascii="Helvetica" w:hAnsi="Helvetica" w:cs="Helvetica"/>
        </w:rPr>
        <w:t xml:space="preserve"> </w:t>
      </w:r>
    </w:p>
    <w:p w14:paraId="223A5769" w14:textId="58F9C1A2" w:rsidR="00D44D70" w:rsidRPr="00161C60" w:rsidRDefault="00645D32" w:rsidP="00FA2900">
      <w:pPr>
        <w:spacing w:before="120" w:after="0" w:line="240" w:lineRule="auto"/>
        <w:rPr>
          <w:rFonts w:ascii="Helvetica" w:hAnsi="Helvetica" w:cs="Helvetica"/>
        </w:rPr>
      </w:pPr>
      <w:r w:rsidRPr="00161C60">
        <w:rPr>
          <w:rFonts w:ascii="Helvetica" w:hAnsi="Helvetica" w:cs="Helvetica"/>
        </w:rPr>
        <w:t xml:space="preserve">The preferred format for </w:t>
      </w:r>
      <w:r w:rsidR="00D81728" w:rsidRPr="00161C60">
        <w:rPr>
          <w:rFonts w:ascii="Helvetica" w:hAnsi="Helvetica" w:cs="Helvetica"/>
        </w:rPr>
        <w:t xml:space="preserve">receiving </w:t>
      </w:r>
      <w:r w:rsidRPr="00161C60">
        <w:rPr>
          <w:rFonts w:ascii="Helvetica" w:hAnsi="Helvetica" w:cs="Helvetica"/>
        </w:rPr>
        <w:t xml:space="preserve">information was leaflets (90%); </w:t>
      </w:r>
      <w:r w:rsidR="0018680F" w:rsidRPr="00161C60">
        <w:rPr>
          <w:rFonts w:ascii="Helvetica" w:hAnsi="Helvetica" w:cs="Helvetica"/>
        </w:rPr>
        <w:t xml:space="preserve">online </w:t>
      </w:r>
      <w:r w:rsidRPr="00161C60">
        <w:rPr>
          <w:rFonts w:ascii="Helvetica" w:hAnsi="Helvetica" w:cs="Helvetica"/>
        </w:rPr>
        <w:t>video clips (59%) and DVDs (36%).</w:t>
      </w:r>
    </w:p>
    <w:p w14:paraId="6FE09635" w14:textId="43F6B2E0" w:rsidR="000F3D67" w:rsidRPr="00161C60" w:rsidRDefault="000F3D67" w:rsidP="00D70FC0">
      <w:pPr>
        <w:keepNext/>
        <w:spacing w:before="120" w:after="0" w:line="240" w:lineRule="auto"/>
        <w:rPr>
          <w:rFonts w:ascii="Helvetica" w:hAnsi="Helvetica" w:cs="Helvetica"/>
          <w:b/>
          <w:bCs/>
        </w:rPr>
      </w:pPr>
      <w:r w:rsidRPr="00161C60">
        <w:rPr>
          <w:rFonts w:ascii="Helvetica" w:hAnsi="Helvetica" w:cs="Helvetica"/>
          <w:b/>
          <w:bCs/>
        </w:rPr>
        <w:t xml:space="preserve">Outcome </w:t>
      </w:r>
      <w:r w:rsidR="00E1172A" w:rsidRPr="00161C60">
        <w:rPr>
          <w:rFonts w:ascii="Helvetica" w:hAnsi="Helvetica" w:cs="Helvetica"/>
          <w:b/>
          <w:bCs/>
        </w:rPr>
        <w:t>of refining scope through exercise expert consultation</w:t>
      </w:r>
    </w:p>
    <w:p w14:paraId="5EC27A61" w14:textId="77777777" w:rsidR="000F3D67" w:rsidRPr="00161C60" w:rsidRDefault="000F3D67" w:rsidP="000F3D67">
      <w:pPr>
        <w:spacing w:before="120" w:after="0" w:line="240" w:lineRule="auto"/>
        <w:rPr>
          <w:rFonts w:ascii="Helvetica" w:hAnsi="Helvetica" w:cs="Helvetica"/>
        </w:rPr>
      </w:pPr>
      <w:r w:rsidRPr="00161C60">
        <w:rPr>
          <w:rFonts w:ascii="Helvetica" w:hAnsi="Helvetica" w:cs="Helvetica"/>
        </w:rPr>
        <w:t>The EESG consideration of scope concluded that two key themes arose from stakeholder consultations: what exercise is effective in increasing bone strength, and what exercise is safe and appropriate for those with, or at risk of vertebral fractures. Given that the majority of fractures result from a fall, the EESG added exercise for falls prevention as a further theme. User consultation in stakeholder discussion groups (as described above) was undertaken to identify acceptable terminology for these themes, resulting in the following:</w:t>
      </w:r>
    </w:p>
    <w:p w14:paraId="65DDD4C6" w14:textId="77777777" w:rsidR="000F3D67" w:rsidRPr="00161C60" w:rsidRDefault="000F3D67" w:rsidP="000F3D67">
      <w:pPr>
        <w:pStyle w:val="ListParagraph"/>
        <w:numPr>
          <w:ilvl w:val="0"/>
          <w:numId w:val="13"/>
        </w:numPr>
        <w:spacing w:before="120" w:after="0" w:line="240" w:lineRule="auto"/>
        <w:rPr>
          <w:rFonts w:ascii="Helvetica" w:hAnsi="Helvetica" w:cs="Helvetica"/>
          <w:color w:val="auto"/>
          <w:sz w:val="24"/>
          <w:szCs w:val="24"/>
        </w:rPr>
      </w:pPr>
      <w:r w:rsidRPr="00161C60">
        <w:rPr>
          <w:rFonts w:ascii="Helvetica" w:hAnsi="Helvetica" w:cs="Helvetica"/>
          <w:b/>
          <w:bCs/>
          <w:color w:val="auto"/>
          <w:sz w:val="24"/>
          <w:szCs w:val="24"/>
        </w:rPr>
        <w:t>Strong</w:t>
      </w:r>
      <w:r w:rsidRPr="00161C60">
        <w:rPr>
          <w:rFonts w:ascii="Helvetica" w:hAnsi="Helvetica" w:cs="Helvetica"/>
          <w:color w:val="auto"/>
          <w:sz w:val="24"/>
          <w:szCs w:val="24"/>
        </w:rPr>
        <w:t>: physical activity and exercise to benefit bone strength</w:t>
      </w:r>
    </w:p>
    <w:p w14:paraId="0A38923D" w14:textId="77777777" w:rsidR="000F3D67" w:rsidRPr="00161C60" w:rsidRDefault="000F3D67" w:rsidP="000F3D67">
      <w:pPr>
        <w:pStyle w:val="ListParagraph"/>
        <w:numPr>
          <w:ilvl w:val="0"/>
          <w:numId w:val="13"/>
        </w:numPr>
        <w:spacing w:before="120" w:after="0" w:line="240" w:lineRule="auto"/>
        <w:rPr>
          <w:rFonts w:ascii="Helvetica" w:hAnsi="Helvetica" w:cs="Helvetica"/>
          <w:color w:val="auto"/>
          <w:sz w:val="24"/>
          <w:szCs w:val="24"/>
        </w:rPr>
      </w:pPr>
      <w:r w:rsidRPr="00161C60">
        <w:rPr>
          <w:rFonts w:ascii="Helvetica" w:hAnsi="Helvetica" w:cs="Helvetica"/>
          <w:b/>
          <w:bCs/>
          <w:color w:val="auto"/>
          <w:sz w:val="24"/>
          <w:szCs w:val="24"/>
        </w:rPr>
        <w:t>Steady</w:t>
      </w:r>
      <w:r w:rsidRPr="00161C60">
        <w:rPr>
          <w:rFonts w:ascii="Helvetica" w:hAnsi="Helvetica" w:cs="Helvetica"/>
          <w:color w:val="auto"/>
          <w:sz w:val="24"/>
          <w:szCs w:val="24"/>
        </w:rPr>
        <w:t>: physical activity and exercise to prevent falls</w:t>
      </w:r>
    </w:p>
    <w:p w14:paraId="374EEDA0" w14:textId="77777777" w:rsidR="000F3D67" w:rsidRPr="00161C60" w:rsidRDefault="000F3D67" w:rsidP="000F3D67">
      <w:pPr>
        <w:pStyle w:val="ListParagraph"/>
        <w:numPr>
          <w:ilvl w:val="0"/>
          <w:numId w:val="13"/>
        </w:numPr>
        <w:spacing w:before="120" w:after="0" w:line="240" w:lineRule="auto"/>
        <w:rPr>
          <w:rFonts w:ascii="Helvetica" w:hAnsi="Helvetica" w:cs="Helvetica"/>
          <w:color w:val="auto"/>
          <w:sz w:val="24"/>
          <w:szCs w:val="24"/>
        </w:rPr>
      </w:pPr>
      <w:r w:rsidRPr="00161C60">
        <w:rPr>
          <w:rFonts w:ascii="Helvetica" w:hAnsi="Helvetica" w:cs="Helvetica"/>
          <w:b/>
          <w:bCs/>
          <w:color w:val="auto"/>
          <w:sz w:val="24"/>
          <w:szCs w:val="24"/>
        </w:rPr>
        <w:t>Straight</w:t>
      </w:r>
      <w:r w:rsidRPr="00161C60">
        <w:rPr>
          <w:rFonts w:ascii="Helvetica" w:hAnsi="Helvetica" w:cs="Helvetica"/>
          <w:color w:val="auto"/>
          <w:sz w:val="24"/>
          <w:szCs w:val="24"/>
        </w:rPr>
        <w:t>: physical activity and exercise to reduce risk of vertebral fracture, improve posture and manage symptoms after vertebral fracture.</w:t>
      </w:r>
    </w:p>
    <w:p w14:paraId="69FEE731" w14:textId="32883ABB" w:rsidR="000F3D67" w:rsidRPr="00161C60" w:rsidRDefault="000F3D67" w:rsidP="000F3D67">
      <w:pPr>
        <w:pStyle w:val="CommentText"/>
        <w:spacing w:before="120" w:after="0"/>
        <w:ind w:left="0"/>
        <w:rPr>
          <w:rFonts w:ascii="Helvetica" w:eastAsia="Cambria" w:hAnsi="Helvetica" w:cs="Helvetica"/>
          <w:color w:val="auto"/>
          <w:sz w:val="24"/>
          <w:szCs w:val="24"/>
          <w:lang w:val="en-GB"/>
        </w:rPr>
      </w:pPr>
      <w:r w:rsidRPr="00161C60">
        <w:rPr>
          <w:rFonts w:ascii="Helvetica" w:eastAsia="Cambria" w:hAnsi="Helvetica" w:cs="Helvetica"/>
          <w:color w:val="auto"/>
          <w:sz w:val="24"/>
          <w:szCs w:val="24"/>
          <w:lang w:val="en-GB"/>
        </w:rPr>
        <w:t xml:space="preserve">Under each theme recommendations </w:t>
      </w:r>
      <w:r w:rsidR="009E7BE7">
        <w:rPr>
          <w:rFonts w:ascii="Helvetica" w:eastAsia="Cambria" w:hAnsi="Helvetica" w:cs="Helvetica"/>
          <w:color w:val="auto"/>
          <w:sz w:val="24"/>
          <w:szCs w:val="24"/>
          <w:lang w:val="en-GB"/>
        </w:rPr>
        <w:t>we</w:t>
      </w:r>
      <w:r w:rsidR="009E7BE7" w:rsidRPr="00161C60">
        <w:rPr>
          <w:rFonts w:ascii="Helvetica" w:eastAsia="Cambria" w:hAnsi="Helvetica" w:cs="Helvetica"/>
          <w:color w:val="auto"/>
          <w:sz w:val="24"/>
          <w:szCs w:val="24"/>
          <w:lang w:val="en-GB"/>
        </w:rPr>
        <w:t xml:space="preserve">re </w:t>
      </w:r>
      <w:r w:rsidRPr="00161C60">
        <w:rPr>
          <w:rFonts w:ascii="Helvetica" w:eastAsia="Cambria" w:hAnsi="Helvetica" w:cs="Helvetica"/>
          <w:color w:val="auto"/>
          <w:sz w:val="24"/>
          <w:szCs w:val="24"/>
          <w:lang w:val="en-GB"/>
        </w:rPr>
        <w:t>specified for:</w:t>
      </w:r>
    </w:p>
    <w:p w14:paraId="72F83B5C" w14:textId="2F41DA2C" w:rsidR="000F3D67" w:rsidRPr="00161C60" w:rsidRDefault="000F3D67" w:rsidP="000F3D67">
      <w:pPr>
        <w:pStyle w:val="ListParagraph"/>
        <w:numPr>
          <w:ilvl w:val="3"/>
          <w:numId w:val="2"/>
        </w:numPr>
        <w:tabs>
          <w:tab w:val="left" w:pos="1395"/>
        </w:tabs>
        <w:spacing w:before="120" w:after="0" w:line="240" w:lineRule="auto"/>
        <w:ind w:left="709"/>
        <w:rPr>
          <w:rFonts w:ascii="Helvetica" w:hAnsi="Helvetica" w:cs="Helvetica"/>
          <w:color w:val="auto"/>
          <w:sz w:val="24"/>
          <w:szCs w:val="24"/>
        </w:rPr>
      </w:pPr>
      <w:r w:rsidRPr="00161C60">
        <w:rPr>
          <w:rFonts w:ascii="Helvetica" w:eastAsia="Cambria" w:hAnsi="Helvetica" w:cs="Helvetica"/>
          <w:color w:val="auto"/>
          <w:sz w:val="24"/>
          <w:szCs w:val="24"/>
        </w:rPr>
        <w:t>All people with osteoporosis</w:t>
      </w:r>
      <w:r w:rsidRPr="00161C60">
        <w:rPr>
          <w:rFonts w:ascii="Helvetica" w:eastAsia="HGMinchoB" w:hAnsi="Helvetica" w:cs="Helvetica"/>
          <w:i/>
          <w:iCs/>
          <w:color w:val="auto"/>
          <w:sz w:val="24"/>
          <w:szCs w:val="24"/>
        </w:rPr>
        <w:t xml:space="preserve">. </w:t>
      </w:r>
      <w:r w:rsidRPr="00161C60">
        <w:rPr>
          <w:rFonts w:ascii="Helvetica" w:eastAsia="HGMinchoB" w:hAnsi="Helvetica" w:cs="Helvetica"/>
          <w:color w:val="auto"/>
          <w:sz w:val="24"/>
          <w:szCs w:val="24"/>
        </w:rPr>
        <w:t xml:space="preserve">People with osteoporosis </w:t>
      </w:r>
      <w:r w:rsidR="009E7BE7">
        <w:rPr>
          <w:rFonts w:ascii="Helvetica" w:eastAsia="HGMinchoB" w:hAnsi="Helvetica" w:cs="Helvetica"/>
          <w:color w:val="auto"/>
          <w:sz w:val="24"/>
          <w:szCs w:val="24"/>
        </w:rPr>
        <w:t>we</w:t>
      </w:r>
      <w:r w:rsidR="009E7BE7" w:rsidRPr="00161C60">
        <w:rPr>
          <w:rFonts w:ascii="Helvetica" w:eastAsia="HGMinchoB" w:hAnsi="Helvetica" w:cs="Helvetica"/>
          <w:color w:val="auto"/>
          <w:sz w:val="24"/>
          <w:szCs w:val="24"/>
        </w:rPr>
        <w:t xml:space="preserve">re </w:t>
      </w:r>
      <w:r w:rsidRPr="00161C60">
        <w:rPr>
          <w:rFonts w:ascii="Helvetica" w:eastAsia="HGMinchoB" w:hAnsi="Helvetica" w:cs="Helvetica"/>
          <w:color w:val="auto"/>
          <w:sz w:val="24"/>
          <w:szCs w:val="24"/>
        </w:rPr>
        <w:t>defined here</w:t>
      </w:r>
      <w:r w:rsidRPr="00161C60">
        <w:rPr>
          <w:rFonts w:ascii="Helvetica" w:eastAsia="Cambria" w:hAnsi="Helvetica" w:cs="Helvetica"/>
          <w:color w:val="auto"/>
          <w:sz w:val="24"/>
          <w:szCs w:val="24"/>
        </w:rPr>
        <w:t xml:space="preserve"> as someone with low bone mineral density (BMD) in the osteoporosis range (a DXA bone density scan measurement </w:t>
      </w:r>
      <w:r w:rsidRPr="007E47AE">
        <w:rPr>
          <w:rFonts w:ascii="Helvetica" w:eastAsia="Cambria" w:hAnsi="Helvetica" w:cs="Helvetica"/>
          <w:color w:val="auto"/>
          <w:sz w:val="24"/>
          <w:szCs w:val="24"/>
        </w:rPr>
        <w:t>T-score &lt;-2.5</w:t>
      </w:r>
      <w:r w:rsidRPr="00161C60">
        <w:rPr>
          <w:rFonts w:ascii="Helvetica" w:eastAsia="Cambria" w:hAnsi="Helvetica" w:cs="Helvetica"/>
          <w:color w:val="auto"/>
          <w:sz w:val="24"/>
          <w:szCs w:val="24"/>
        </w:rPr>
        <w:t xml:space="preserve">) </w:t>
      </w:r>
      <w:r w:rsidRPr="00161C60">
        <w:rPr>
          <w:rFonts w:ascii="Helvetica" w:eastAsia="Cambria" w:hAnsi="Helvetica" w:cs="Helvetica"/>
          <w:b/>
          <w:color w:val="auto"/>
          <w:sz w:val="24"/>
          <w:szCs w:val="24"/>
        </w:rPr>
        <w:t xml:space="preserve">or </w:t>
      </w:r>
      <w:r w:rsidRPr="00161C60">
        <w:rPr>
          <w:rFonts w:ascii="Helvetica" w:eastAsia="Cambria" w:hAnsi="Helvetica" w:cs="Helvetica"/>
          <w:color w:val="auto"/>
          <w:sz w:val="24"/>
          <w:szCs w:val="24"/>
        </w:rPr>
        <w:t xml:space="preserve">a significant fracture risk (based on fracture risk assessment) </w:t>
      </w:r>
      <w:r w:rsidRPr="00161C60">
        <w:rPr>
          <w:rFonts w:ascii="Helvetica" w:eastAsia="Cambria" w:hAnsi="Helvetica" w:cs="Helvetica"/>
          <w:b/>
          <w:color w:val="auto"/>
          <w:sz w:val="24"/>
          <w:szCs w:val="24"/>
        </w:rPr>
        <w:t>with or without fragility</w:t>
      </w:r>
      <w:r w:rsidRPr="00161C60">
        <w:rPr>
          <w:rFonts w:ascii="Helvetica" w:eastAsia="Cambria" w:hAnsi="Helvetica" w:cs="Helvetica"/>
          <w:color w:val="auto"/>
          <w:sz w:val="24"/>
          <w:szCs w:val="24"/>
        </w:rPr>
        <w:t xml:space="preserve"> fractures (including vertebral).</w:t>
      </w:r>
    </w:p>
    <w:p w14:paraId="380A1C3A" w14:textId="77777777" w:rsidR="000F3D67" w:rsidRPr="00161C60" w:rsidRDefault="000F3D67" w:rsidP="000F3D67">
      <w:pPr>
        <w:pStyle w:val="CommentText"/>
        <w:numPr>
          <w:ilvl w:val="0"/>
          <w:numId w:val="2"/>
        </w:numPr>
        <w:spacing w:before="120" w:after="0"/>
        <w:rPr>
          <w:rFonts w:ascii="Helvetica" w:hAnsi="Helvetica" w:cs="Helvetica"/>
          <w:color w:val="auto"/>
          <w:sz w:val="24"/>
          <w:szCs w:val="24"/>
          <w:lang w:val="en-GB" w:eastAsia="en-US"/>
        </w:rPr>
      </w:pPr>
      <w:r w:rsidRPr="00161C60">
        <w:rPr>
          <w:rFonts w:ascii="Helvetica" w:eastAsia="Cambria" w:hAnsi="Helvetica" w:cs="Helvetica"/>
          <w:color w:val="auto"/>
          <w:sz w:val="24"/>
          <w:szCs w:val="24"/>
          <w:lang w:val="en-GB"/>
        </w:rPr>
        <w:t>People with vertebral fractures or multiple low trauma fractures (the latter group may be at more significant risk of vertebral fracture during exercise)</w:t>
      </w:r>
    </w:p>
    <w:p w14:paraId="76E9B4CF" w14:textId="303043C7" w:rsidR="000F3D67" w:rsidRPr="00161C60" w:rsidRDefault="000F3D67" w:rsidP="000F3D67">
      <w:pPr>
        <w:pStyle w:val="CommentText"/>
        <w:numPr>
          <w:ilvl w:val="0"/>
          <w:numId w:val="2"/>
        </w:numPr>
        <w:spacing w:before="120" w:after="0"/>
        <w:rPr>
          <w:rFonts w:ascii="Helvetica" w:hAnsi="Helvetica" w:cs="Helvetica"/>
          <w:color w:val="auto"/>
          <w:sz w:val="24"/>
          <w:szCs w:val="24"/>
          <w:lang w:val="en-GB" w:eastAsia="en-US"/>
        </w:rPr>
      </w:pPr>
      <w:r w:rsidRPr="00161C60">
        <w:rPr>
          <w:rFonts w:ascii="Helvetica" w:eastAsia="Cambria" w:hAnsi="Helvetica" w:cs="Helvetica"/>
          <w:color w:val="auto"/>
          <w:sz w:val="24"/>
          <w:szCs w:val="24"/>
          <w:lang w:val="en-GB"/>
        </w:rPr>
        <w:t xml:space="preserve">People living with frailty and </w:t>
      </w:r>
      <w:r w:rsidR="005F4E03" w:rsidRPr="00161C60">
        <w:rPr>
          <w:rFonts w:ascii="Helvetica" w:eastAsia="Cambria" w:hAnsi="Helvetica" w:cs="Helvetica"/>
          <w:color w:val="auto"/>
          <w:sz w:val="24"/>
          <w:szCs w:val="24"/>
          <w:lang w:val="en-GB"/>
        </w:rPr>
        <w:t>unstead</w:t>
      </w:r>
      <w:r w:rsidR="005F4E03">
        <w:rPr>
          <w:rFonts w:ascii="Helvetica" w:eastAsia="Cambria" w:hAnsi="Helvetica" w:cs="Helvetica"/>
          <w:color w:val="auto"/>
          <w:sz w:val="24"/>
          <w:szCs w:val="24"/>
          <w:lang w:val="en-GB"/>
        </w:rPr>
        <w:t>iness</w:t>
      </w:r>
      <w:r w:rsidR="005F4E03" w:rsidRPr="00161C60">
        <w:rPr>
          <w:rFonts w:ascii="Helvetica" w:eastAsia="Cambria" w:hAnsi="Helvetica" w:cs="Helvetica"/>
          <w:color w:val="auto"/>
          <w:sz w:val="24"/>
          <w:szCs w:val="24"/>
          <w:lang w:val="en-GB"/>
        </w:rPr>
        <w:t xml:space="preserve"> </w:t>
      </w:r>
      <w:r w:rsidRPr="00161C60">
        <w:rPr>
          <w:rFonts w:ascii="Helvetica" w:eastAsia="Cambria" w:hAnsi="Helvetica" w:cs="Helvetica"/>
          <w:color w:val="auto"/>
          <w:sz w:val="24"/>
          <w:szCs w:val="24"/>
          <w:lang w:val="en-GB"/>
        </w:rPr>
        <w:t>or those experiencing falls.</w:t>
      </w:r>
      <w:r w:rsidRPr="00161C60">
        <w:rPr>
          <w:rFonts w:ascii="Helvetica" w:hAnsi="Helvetica" w:cs="Helvetica"/>
          <w:color w:val="auto"/>
          <w:sz w:val="24"/>
          <w:szCs w:val="24"/>
          <w:lang w:val="en-GB" w:eastAsia="en-US"/>
        </w:rPr>
        <w:t xml:space="preserve"> </w:t>
      </w:r>
    </w:p>
    <w:p w14:paraId="7ECA5DEF" w14:textId="41485A1D" w:rsidR="000F3D67" w:rsidRPr="00161C60" w:rsidRDefault="000F3D67" w:rsidP="000F3D67">
      <w:pPr>
        <w:pStyle w:val="CommentText"/>
        <w:spacing w:before="120" w:after="0"/>
        <w:ind w:left="0"/>
        <w:rPr>
          <w:rFonts w:ascii="Helvetica" w:eastAsia="Cambria" w:hAnsi="Helvetica" w:cs="Helvetica"/>
          <w:color w:val="auto"/>
          <w:sz w:val="24"/>
          <w:szCs w:val="24"/>
          <w:shd w:val="clear" w:color="auto" w:fill="FFFFFF" w:themeFill="background1"/>
          <w:lang w:val="en-GB"/>
        </w:rPr>
      </w:pPr>
      <w:r w:rsidRPr="00161C60">
        <w:rPr>
          <w:rFonts w:ascii="Helvetica" w:eastAsia="Cambria" w:hAnsi="Helvetica" w:cs="Helvetica"/>
          <w:color w:val="auto"/>
          <w:sz w:val="24"/>
          <w:szCs w:val="24"/>
          <w:shd w:val="clear" w:color="auto" w:fill="FFFFFF" w:themeFill="background1"/>
          <w:lang w:val="en-GB"/>
        </w:rPr>
        <w:t>Interventions of interest include</w:t>
      </w:r>
      <w:r w:rsidR="00BB15AF">
        <w:rPr>
          <w:rFonts w:ascii="Helvetica" w:eastAsia="Cambria" w:hAnsi="Helvetica" w:cs="Helvetica"/>
          <w:color w:val="auto"/>
          <w:sz w:val="24"/>
          <w:szCs w:val="24"/>
          <w:shd w:val="clear" w:color="auto" w:fill="FFFFFF" w:themeFill="background1"/>
          <w:lang w:val="en-GB"/>
        </w:rPr>
        <w:t>d</w:t>
      </w:r>
      <w:r w:rsidRPr="00161C60">
        <w:rPr>
          <w:rFonts w:ascii="Helvetica" w:eastAsia="Cambria" w:hAnsi="Helvetica" w:cs="Helvetica"/>
          <w:color w:val="auto"/>
          <w:sz w:val="24"/>
          <w:szCs w:val="24"/>
          <w:shd w:val="clear" w:color="auto" w:fill="FFFFFF" w:themeFill="background1"/>
          <w:lang w:val="en-GB"/>
        </w:rPr>
        <w:t xml:space="preserve"> exercise or other physical activity. Outcomes include</w:t>
      </w:r>
      <w:r w:rsidR="00BB15AF">
        <w:rPr>
          <w:rFonts w:ascii="Helvetica" w:eastAsia="Cambria" w:hAnsi="Helvetica" w:cs="Helvetica"/>
          <w:color w:val="auto"/>
          <w:sz w:val="24"/>
          <w:szCs w:val="24"/>
          <w:shd w:val="clear" w:color="auto" w:fill="FFFFFF" w:themeFill="background1"/>
          <w:lang w:val="en-GB"/>
        </w:rPr>
        <w:t>d</w:t>
      </w:r>
      <w:r w:rsidRPr="00161C60">
        <w:rPr>
          <w:rFonts w:ascii="Helvetica" w:eastAsia="Cambria" w:hAnsi="Helvetica" w:cs="Helvetica"/>
          <w:color w:val="auto"/>
          <w:sz w:val="24"/>
          <w:szCs w:val="24"/>
          <w:shd w:val="clear" w:color="auto" w:fill="FFFFFF" w:themeFill="background1"/>
          <w:lang w:val="en-GB"/>
        </w:rPr>
        <w:t xml:space="preserve"> bone mineral density or other proxies of bone strength, falls, fracture incidence, spinal curvature/posture and pain related to vertebral fracture. Recommendations </w:t>
      </w:r>
      <w:r w:rsidR="00BB15AF">
        <w:rPr>
          <w:rFonts w:ascii="Helvetica" w:eastAsia="Cambria" w:hAnsi="Helvetica" w:cs="Helvetica"/>
          <w:color w:val="auto"/>
          <w:sz w:val="24"/>
          <w:szCs w:val="24"/>
          <w:shd w:val="clear" w:color="auto" w:fill="FFFFFF" w:themeFill="background1"/>
          <w:lang w:val="en-GB"/>
        </w:rPr>
        <w:t>we</w:t>
      </w:r>
      <w:r w:rsidR="00BB15AF" w:rsidRPr="00161C60">
        <w:rPr>
          <w:rFonts w:ascii="Helvetica" w:eastAsia="Cambria" w:hAnsi="Helvetica" w:cs="Helvetica"/>
          <w:color w:val="auto"/>
          <w:sz w:val="24"/>
          <w:szCs w:val="24"/>
          <w:shd w:val="clear" w:color="auto" w:fill="FFFFFF" w:themeFill="background1"/>
          <w:lang w:val="en-GB"/>
        </w:rPr>
        <w:t xml:space="preserve">re </w:t>
      </w:r>
      <w:r w:rsidRPr="00161C60">
        <w:rPr>
          <w:rFonts w:ascii="Helvetica" w:eastAsia="Cambria" w:hAnsi="Helvetica" w:cs="Helvetica"/>
          <w:color w:val="auto"/>
          <w:sz w:val="24"/>
          <w:szCs w:val="24"/>
          <w:shd w:val="clear" w:color="auto" w:fill="FFFFFF" w:themeFill="background1"/>
          <w:lang w:val="en-GB"/>
        </w:rPr>
        <w:t>intended to be applicable for community, primary and secondary care settings.</w:t>
      </w:r>
    </w:p>
    <w:p w14:paraId="6DB5D792" w14:textId="77777777" w:rsidR="002E1D0C" w:rsidRDefault="002E1D0C" w:rsidP="002E1D0C">
      <w:pPr>
        <w:spacing w:before="120" w:after="0" w:line="240" w:lineRule="auto"/>
        <w:rPr>
          <w:rFonts w:ascii="Helvetica" w:hAnsi="Helvetica" w:cs="Helvetica"/>
          <w:b/>
          <w:bCs/>
        </w:rPr>
      </w:pPr>
      <w:r>
        <w:rPr>
          <w:rFonts w:ascii="Helvetica" w:hAnsi="Helvetica" w:cs="Helvetica"/>
          <w:b/>
          <w:bCs/>
        </w:rPr>
        <w:t>Literature search</w:t>
      </w:r>
    </w:p>
    <w:p w14:paraId="741BF9EA" w14:textId="77777777" w:rsidR="002E1D0C" w:rsidRDefault="002E1D0C" w:rsidP="002E1D0C">
      <w:pPr>
        <w:spacing w:before="120" w:after="0" w:line="240" w:lineRule="auto"/>
        <w:rPr>
          <w:rFonts w:ascii="Helvetica" w:hAnsi="Helvetica" w:cs="Helvetica"/>
          <w:b/>
          <w:bCs/>
        </w:rPr>
      </w:pPr>
      <w:r>
        <w:rPr>
          <w:rFonts w:ascii="Helvetica" w:eastAsia="Calibri" w:hAnsi="Helvetica" w:cs="Helvetica"/>
        </w:rPr>
        <w:t>T</w:t>
      </w:r>
      <w:r w:rsidRPr="007E47AE">
        <w:rPr>
          <w:rFonts w:ascii="Helvetica" w:eastAsia="Calibri" w:hAnsi="Helvetica" w:cs="Helvetica"/>
        </w:rPr>
        <w:t xml:space="preserve">he </w:t>
      </w:r>
      <w:r>
        <w:rPr>
          <w:rFonts w:ascii="Helvetica" w:eastAsia="Calibri" w:hAnsi="Helvetica" w:cs="Helvetica"/>
        </w:rPr>
        <w:t xml:space="preserve">updated </w:t>
      </w:r>
      <w:r w:rsidRPr="007E47AE">
        <w:rPr>
          <w:rFonts w:ascii="Helvetica" w:eastAsia="Calibri" w:hAnsi="Helvetica" w:cs="Helvetica"/>
        </w:rPr>
        <w:t xml:space="preserve">searches </w:t>
      </w:r>
      <w:r>
        <w:rPr>
          <w:rFonts w:ascii="Helvetica" w:eastAsia="Calibri" w:hAnsi="Helvetica" w:cs="Helvetica"/>
        </w:rPr>
        <w:t>from</w:t>
      </w:r>
      <w:r w:rsidRPr="007E47AE">
        <w:rPr>
          <w:rFonts w:ascii="Helvetica" w:eastAsia="Calibri" w:hAnsi="Helvetica" w:cs="Helvetica"/>
        </w:rPr>
        <w:t xml:space="preserve"> previous systematic reviews of exercise and BMD </w:t>
      </w:r>
      <w:r w:rsidRPr="007E47AE">
        <w:rPr>
          <w:rFonts w:ascii="Helvetica" w:eastAsia="Calibri" w:hAnsi="Helvetica" w:cs="Helvetica"/>
        </w:rPr>
        <w:fldChar w:fldCharType="begin" w:fldLock="1"/>
      </w:r>
      <w:r>
        <w:rPr>
          <w:rFonts w:ascii="Helvetica" w:eastAsia="Calibri"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44&lt;/sup&gt;","plainTextFormattedCitation":"44","previouslyFormattedCitation":"&lt;sup&gt;44&lt;/sup&gt;"},"properties":{"noteIndex":0},"schema":"https://github.com/citation-style-language/schema/raw/master/csl-citation.json"}</w:instrText>
      </w:r>
      <w:r w:rsidRPr="007E47AE">
        <w:rPr>
          <w:rFonts w:ascii="Helvetica" w:eastAsia="Calibri" w:hAnsi="Helvetica" w:cs="Helvetica"/>
        </w:rPr>
        <w:fldChar w:fldCharType="separate"/>
      </w:r>
      <w:r w:rsidRPr="001B5724">
        <w:rPr>
          <w:rFonts w:ascii="Helvetica" w:eastAsia="Calibri" w:hAnsi="Helvetica" w:cs="Helvetica"/>
          <w:noProof/>
          <w:vertAlign w:val="superscript"/>
        </w:rPr>
        <w:t>44</w:t>
      </w:r>
      <w:r w:rsidRPr="007E47AE">
        <w:rPr>
          <w:rFonts w:ascii="Helvetica" w:eastAsia="Calibri" w:hAnsi="Helvetica" w:cs="Helvetica"/>
        </w:rPr>
        <w:fldChar w:fldCharType="end"/>
      </w:r>
      <w:r w:rsidRPr="007E47AE">
        <w:rPr>
          <w:rFonts w:ascii="Helvetica" w:eastAsia="Calibri" w:hAnsi="Helvetica" w:cs="Helvetica"/>
        </w:rPr>
        <w:t xml:space="preserve">; falls </w:t>
      </w:r>
      <w:r w:rsidRPr="007E47AE">
        <w:rPr>
          <w:rFonts w:ascii="Helvetica" w:eastAsia="Calibri" w:hAnsi="Helvetica" w:cs="Helvetica"/>
        </w:rPr>
        <w:fldChar w:fldCharType="begin" w:fldLock="1"/>
      </w:r>
      <w:r>
        <w:rPr>
          <w:rFonts w:ascii="Helvetica" w:eastAsia="Calibri"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48&lt;/sup&gt;","plainTextFormattedCitation":"48","previouslyFormattedCitation":"&lt;sup&gt;48&lt;/sup&gt;"},"properties":{"noteIndex":0},"schema":"https://github.com/citation-style-language/schema/raw/master/csl-citation.json"}</w:instrText>
      </w:r>
      <w:r w:rsidRPr="007E47AE">
        <w:rPr>
          <w:rFonts w:ascii="Helvetica" w:eastAsia="Calibri" w:hAnsi="Helvetica" w:cs="Helvetica"/>
        </w:rPr>
        <w:fldChar w:fldCharType="separate"/>
      </w:r>
      <w:r w:rsidRPr="001B5724">
        <w:rPr>
          <w:rFonts w:ascii="Helvetica" w:eastAsia="Calibri" w:hAnsi="Helvetica" w:cs="Helvetica"/>
          <w:noProof/>
          <w:vertAlign w:val="superscript"/>
        </w:rPr>
        <w:t>48</w:t>
      </w:r>
      <w:r w:rsidRPr="007E47AE">
        <w:rPr>
          <w:rFonts w:ascii="Helvetica" w:eastAsia="Calibri" w:hAnsi="Helvetica" w:cs="Helvetica"/>
        </w:rPr>
        <w:fldChar w:fldCharType="end"/>
      </w:r>
      <w:r w:rsidRPr="007E47AE">
        <w:rPr>
          <w:rFonts w:ascii="Helvetica" w:eastAsia="Calibri" w:hAnsi="Helvetica" w:cs="Helvetica"/>
        </w:rPr>
        <w:t xml:space="preserve"> and outcomes after vertebral fracture </w:t>
      </w:r>
      <w:r w:rsidRPr="007E47AE">
        <w:rPr>
          <w:rFonts w:ascii="Helvetica" w:eastAsia="Calibri" w:hAnsi="Helvetica" w:cs="Helvetica"/>
        </w:rPr>
        <w:fldChar w:fldCharType="begin" w:fldLock="1"/>
      </w:r>
      <w:r>
        <w:rPr>
          <w:rFonts w:ascii="Helvetica" w:eastAsia="Calibri" w:hAnsi="Helvetica" w:cs="Helvetica"/>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mendeley":{"formattedCitation":"&lt;sup&gt;45&lt;/sup&gt;","plainTextFormattedCitation":"45","previouslyFormattedCitation":"&lt;sup&gt;45&lt;/sup&gt;"},"properties":{"noteIndex":0},"schema":"https://github.com/citation-style-language/schema/raw/master/csl-citation.json"}</w:instrText>
      </w:r>
      <w:r w:rsidRPr="007E47AE">
        <w:rPr>
          <w:rFonts w:ascii="Helvetica" w:eastAsia="Calibri" w:hAnsi="Helvetica" w:cs="Helvetica"/>
        </w:rPr>
        <w:fldChar w:fldCharType="separate"/>
      </w:r>
      <w:r w:rsidRPr="001B5724">
        <w:rPr>
          <w:rFonts w:ascii="Helvetica" w:eastAsia="Calibri" w:hAnsi="Helvetica" w:cs="Helvetica"/>
          <w:noProof/>
          <w:vertAlign w:val="superscript"/>
        </w:rPr>
        <w:t>45</w:t>
      </w:r>
      <w:r w:rsidRPr="007E47AE">
        <w:rPr>
          <w:rFonts w:ascii="Helvetica" w:eastAsia="Calibri" w:hAnsi="Helvetica" w:cs="Helvetica"/>
        </w:rPr>
        <w:fldChar w:fldCharType="end"/>
      </w:r>
      <w:r>
        <w:rPr>
          <w:rFonts w:ascii="Helvetica" w:eastAsia="Calibri" w:hAnsi="Helvetica" w:cs="Helvetica"/>
        </w:rPr>
        <w:t xml:space="preserve"> yielded 35, 19 and 3 new trials respectively.</w:t>
      </w:r>
    </w:p>
    <w:p w14:paraId="51144AF8" w14:textId="02A9DF74" w:rsidR="00FD6188" w:rsidRPr="00161C60" w:rsidRDefault="00373FEE" w:rsidP="00FD6188">
      <w:pPr>
        <w:spacing w:before="120" w:after="0" w:line="240" w:lineRule="auto"/>
        <w:rPr>
          <w:rFonts w:ascii="Helvetica" w:hAnsi="Helvetica" w:cs="Helvetica"/>
          <w:b/>
          <w:bCs/>
          <w:iCs/>
        </w:rPr>
      </w:pPr>
      <w:r w:rsidRPr="00161C60">
        <w:rPr>
          <w:rFonts w:ascii="Helvetica" w:hAnsi="Helvetica" w:cs="Helvetica"/>
          <w:b/>
          <w:bCs/>
          <w:iCs/>
        </w:rPr>
        <w:t>S</w:t>
      </w:r>
      <w:r w:rsidR="00FD6188" w:rsidRPr="00161C60">
        <w:rPr>
          <w:rFonts w:ascii="Helvetica" w:hAnsi="Helvetica" w:cs="Helvetica"/>
          <w:b/>
          <w:bCs/>
          <w:iCs/>
        </w:rPr>
        <w:t>afety of exercise in people with osteoporosis or fragility fractures</w:t>
      </w:r>
    </w:p>
    <w:p w14:paraId="128CEA82" w14:textId="0E311946" w:rsidR="00FD6188" w:rsidRPr="00161C60" w:rsidRDefault="00FD6188" w:rsidP="00FD6188">
      <w:pPr>
        <w:pStyle w:val="BodyText"/>
        <w:spacing w:before="120"/>
        <w:ind w:right="244"/>
        <w:rPr>
          <w:rFonts w:ascii="Helvetica" w:hAnsi="Helvetica" w:cs="Helvetica"/>
          <w:sz w:val="24"/>
          <w:szCs w:val="24"/>
        </w:rPr>
      </w:pPr>
      <w:r w:rsidRPr="00161C60">
        <w:rPr>
          <w:rFonts w:ascii="Helvetica" w:hAnsi="Helvetica" w:cs="Helvetica"/>
          <w:sz w:val="24"/>
          <w:szCs w:val="24"/>
        </w:rPr>
        <w:t xml:space="preserve">Information from three sources </w:t>
      </w:r>
      <w:r w:rsidR="006B474A">
        <w:rPr>
          <w:rFonts w:ascii="Helvetica" w:hAnsi="Helvetica" w:cs="Helvetica"/>
          <w:sz w:val="24"/>
          <w:szCs w:val="24"/>
        </w:rPr>
        <w:t>wa</w:t>
      </w:r>
      <w:r w:rsidR="006B474A" w:rsidRPr="00161C60">
        <w:rPr>
          <w:rFonts w:ascii="Helvetica" w:hAnsi="Helvetica" w:cs="Helvetica"/>
          <w:sz w:val="24"/>
          <w:szCs w:val="24"/>
        </w:rPr>
        <w:t xml:space="preserve">s </w:t>
      </w:r>
      <w:r w:rsidRPr="00161C60">
        <w:rPr>
          <w:rFonts w:ascii="Helvetica" w:hAnsi="Helvetica" w:cs="Helvetica"/>
          <w:sz w:val="24"/>
          <w:szCs w:val="24"/>
        </w:rPr>
        <w:t>reported: observational and case studies reporting circumstance</w:t>
      </w:r>
      <w:r w:rsidR="006B474A">
        <w:rPr>
          <w:rFonts w:ascii="Helvetica" w:hAnsi="Helvetica" w:cs="Helvetica"/>
          <w:sz w:val="24"/>
          <w:szCs w:val="24"/>
        </w:rPr>
        <w:t>s</w:t>
      </w:r>
      <w:r w:rsidRPr="00161C60">
        <w:rPr>
          <w:rFonts w:ascii="Helvetica" w:hAnsi="Helvetica" w:cs="Helvetica"/>
          <w:sz w:val="24"/>
          <w:szCs w:val="24"/>
        </w:rPr>
        <w:t xml:space="preserve"> of osteoporotic fracture; reports of exercise interventions in people with osteoporosis; adverse event reporting from exercise interventions to increase bone strength and to reduce falls risk. </w:t>
      </w:r>
    </w:p>
    <w:p w14:paraId="430D2B9B" w14:textId="0CA34D8D" w:rsidR="00FD6188" w:rsidRPr="00161C60" w:rsidRDefault="00FD6188" w:rsidP="00FD6188">
      <w:pPr>
        <w:pStyle w:val="BodyText"/>
        <w:spacing w:before="120"/>
        <w:ind w:right="244"/>
        <w:rPr>
          <w:rFonts w:ascii="Helvetica" w:hAnsi="Helvetica" w:cs="Helvetica"/>
          <w:sz w:val="24"/>
          <w:szCs w:val="24"/>
        </w:rPr>
      </w:pPr>
      <w:r w:rsidRPr="00161C60">
        <w:rPr>
          <w:rFonts w:ascii="Helvetica" w:hAnsi="Helvetica" w:cs="Helvetica"/>
          <w:sz w:val="24"/>
          <w:szCs w:val="24"/>
        </w:rPr>
        <w:t xml:space="preserve">A </w:t>
      </w:r>
      <w:r w:rsidR="00F650F1">
        <w:rPr>
          <w:rFonts w:ascii="Helvetica" w:hAnsi="Helvetica" w:cs="Helvetica"/>
          <w:sz w:val="24"/>
          <w:szCs w:val="24"/>
        </w:rPr>
        <w:t>few</w:t>
      </w:r>
      <w:r w:rsidRPr="00161C60">
        <w:rPr>
          <w:rFonts w:ascii="Helvetica" w:hAnsi="Helvetica" w:cs="Helvetica"/>
          <w:sz w:val="24"/>
          <w:szCs w:val="24"/>
        </w:rPr>
        <w:t xml:space="preserve"> case studies described instances of vertebral fractures during horse riding or during a golfing mid-swing stroke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 However, the majority of observational or non-randomised studies in people with osteoporosis did not report adverse events, apart from muscle soreness and joint</w:t>
      </w:r>
      <w:r w:rsidRPr="00161C60">
        <w:rPr>
          <w:rFonts w:ascii="Helvetica" w:hAnsi="Helvetica" w:cs="Helvetica"/>
          <w:spacing w:val="-28"/>
          <w:sz w:val="24"/>
          <w:szCs w:val="24"/>
        </w:rPr>
        <w:t xml:space="preserve"> </w:t>
      </w:r>
      <w:r w:rsidRPr="00161C60">
        <w:rPr>
          <w:rFonts w:ascii="Helvetica" w:hAnsi="Helvetica" w:cs="Helvetica"/>
          <w:sz w:val="24"/>
          <w:szCs w:val="24"/>
        </w:rPr>
        <w:t xml:space="preserve">discomfort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fracture","type":"article-journal","volume":"2013"},"uris":["http://www.mendeley.com/documents/?uuid=f234e479-7d1d-4624-bde7-5115b9f156be"]},{"id":"ITEM-2","itemData":{"DOI":"10.22540/jfsf-03-155","ISSN":"2459-4148","abstract":"Objectives: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Falls","id":"ITEM-2","issue":"04","issued":{"date-parts":[["2018"]]},"page":"155-178","title":"Adverse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45,49&lt;/sup&gt;","plainTextFormattedCitation":"45,49","previouslyFormattedCitation":"&lt;sup&gt;45,49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45,49</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spacing w:val="-27"/>
          <w:sz w:val="24"/>
          <w:szCs w:val="24"/>
        </w:rPr>
        <w:t xml:space="preserve"> </w:t>
      </w:r>
      <w:r w:rsidRPr="00161C60">
        <w:rPr>
          <w:rFonts w:ascii="Helvetica" w:hAnsi="Helvetica" w:cs="Helvetica"/>
          <w:sz w:val="24"/>
          <w:szCs w:val="24"/>
        </w:rPr>
        <w:t>There were some reports of</w:t>
      </w:r>
      <w:r w:rsidRPr="00161C60">
        <w:rPr>
          <w:rFonts w:ascii="Helvetica" w:hAnsi="Helvetica" w:cs="Helvetica"/>
          <w:spacing w:val="-27"/>
          <w:sz w:val="24"/>
          <w:szCs w:val="24"/>
        </w:rPr>
        <w:t xml:space="preserve"> </w:t>
      </w:r>
      <w:r w:rsidRPr="00161C60">
        <w:rPr>
          <w:rFonts w:ascii="Helvetica" w:hAnsi="Helvetica" w:cs="Helvetica"/>
          <w:sz w:val="24"/>
          <w:szCs w:val="24"/>
        </w:rPr>
        <w:t>vertebral fractures associated with end-range, sustained,</w:t>
      </w:r>
      <w:r w:rsidRPr="00161C60">
        <w:rPr>
          <w:rFonts w:ascii="Helvetica" w:hAnsi="Helvetica" w:cs="Helvetica"/>
          <w:spacing w:val="-40"/>
          <w:sz w:val="24"/>
          <w:szCs w:val="24"/>
        </w:rPr>
        <w:t xml:space="preserve"> </w:t>
      </w:r>
      <w:r w:rsidRPr="00161C60">
        <w:rPr>
          <w:rFonts w:ascii="Helvetica" w:hAnsi="Helvetica" w:cs="Helvetica"/>
          <w:sz w:val="24"/>
          <w:szCs w:val="24"/>
        </w:rPr>
        <w:t>repeated</w:t>
      </w:r>
      <w:r w:rsidRPr="00161C60">
        <w:rPr>
          <w:rFonts w:ascii="Helvetica" w:hAnsi="Helvetica" w:cs="Helvetica"/>
          <w:spacing w:val="-39"/>
          <w:sz w:val="24"/>
          <w:szCs w:val="24"/>
        </w:rPr>
        <w:t xml:space="preserve"> </w:t>
      </w:r>
      <w:r w:rsidRPr="00161C60">
        <w:rPr>
          <w:rFonts w:ascii="Helvetica" w:hAnsi="Helvetica" w:cs="Helvetica"/>
          <w:sz w:val="24"/>
          <w:szCs w:val="24"/>
        </w:rPr>
        <w:t>or</w:t>
      </w:r>
      <w:r w:rsidRPr="00161C60">
        <w:rPr>
          <w:rFonts w:ascii="Helvetica" w:hAnsi="Helvetica" w:cs="Helvetica"/>
          <w:spacing w:val="-39"/>
          <w:sz w:val="24"/>
          <w:szCs w:val="24"/>
        </w:rPr>
        <w:t xml:space="preserve"> </w:t>
      </w:r>
      <w:r w:rsidRPr="00161C60">
        <w:rPr>
          <w:rFonts w:ascii="Helvetica" w:hAnsi="Helvetica" w:cs="Helvetica"/>
          <w:sz w:val="24"/>
          <w:szCs w:val="24"/>
        </w:rPr>
        <w:t>loaded</w:t>
      </w:r>
      <w:r w:rsidRPr="00161C60">
        <w:rPr>
          <w:rFonts w:ascii="Helvetica" w:hAnsi="Helvetica" w:cs="Helvetica"/>
          <w:spacing w:val="-40"/>
          <w:sz w:val="24"/>
          <w:szCs w:val="24"/>
        </w:rPr>
        <w:t xml:space="preserve"> </w:t>
      </w:r>
      <w:r w:rsidRPr="00161C60">
        <w:rPr>
          <w:rFonts w:ascii="Helvetica" w:hAnsi="Helvetica" w:cs="Helvetica"/>
          <w:sz w:val="24"/>
          <w:szCs w:val="24"/>
        </w:rPr>
        <w:t>flexion</w:t>
      </w:r>
      <w:r w:rsidRPr="00161C60">
        <w:rPr>
          <w:rFonts w:ascii="Helvetica" w:hAnsi="Helvetica" w:cs="Helvetica"/>
          <w:spacing w:val="-39"/>
          <w:sz w:val="24"/>
          <w:szCs w:val="24"/>
        </w:rPr>
        <w:t xml:space="preserve"> </w:t>
      </w:r>
      <w:r w:rsidRPr="00161C60">
        <w:rPr>
          <w:rFonts w:ascii="Helvetica" w:hAnsi="Helvetica" w:cs="Helvetica"/>
          <w:spacing w:val="-3"/>
          <w:sz w:val="24"/>
          <w:szCs w:val="24"/>
        </w:rPr>
        <w:t xml:space="preserve">exercises, </w:t>
      </w:r>
      <w:r w:rsidRPr="00161C60">
        <w:rPr>
          <w:rFonts w:ascii="Helvetica" w:hAnsi="Helvetica" w:cs="Helvetica"/>
          <w:sz w:val="24"/>
          <w:szCs w:val="24"/>
        </w:rPr>
        <w:t xml:space="preserve">including sit-ups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{"citationItems":[{"id":"ITEM-1","itemData":{"ISSN":"00039993","PMID":"6487063","abstract":"Fifty-nine women with postmenopausal spinal osteoporosis and back pain were instructed in a treatment program that included extension exercises (E) for 25 patients, flexion exercises (F) for 9, combined (E + F) exercises for 19, or no therapeutic exercises (N) for 6. Ages ranged from 49 to 60 years (mean, 56 years). Follow-up ranged from one to six years (means for the groups, 1.4 to 2 years). All patients had spine x-ray studies before treatment and at follow-up, at which time any further wedging and compression fractures were recorded. Additional fractures occurred as follows: group E, 16%; F, 89%; E + F, 53%; and N, 67%. In comparison with group E, the occurrence of wedging or compression fractures was significantly higher in group F (p&lt;0.001) and group E + F (p&lt;0.01). This study suggests that a significantly higher number of vertebral compression fractures occur in patients with postmenopausal osteoporosis who followed a flexion exercise program compared with those using extension exercises. Extension or isometric exercises seem to be more appropriate for patients with postmenopausal osteoporosis.","author":[{"dropping-particle":"","family":"Sinaki","given":"M.","non-dropping-particle":"","parse-names":false,"suffix":""},{"dropping-particle":"","family":"Mikkelsen","given":"B. A.","non-dropping-particle":"","parse-names":false,"suffix":""},{"dropping-particle":"","family":"Beth","given":"A.","non-dropping-particle":"","parse-names":false,"suffix":""}],"container-title":"Archives of Physical Medicine and Rehabilitation","id":"ITEM-1","issue":"10","issued":{"date-parts":[["1984"]]},"page":"593-596","title":"Postmenopausal spinal osteoporosis: Flexion versus extension exercises","type":"article","volume":"65"},"uris":["http://www.mendeley.com/documents/?uuid=72bb8fef-b8de-470e-bd03-ccfa11ce33c5"]}],"mendeley":{"formattedCitation":"&lt;sup&gt;50&lt;/sup&gt;","plainTextFormattedCitation":"50","previouslyFormattedCitation":"&lt;sup&gt;50&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50</w:t>
      </w:r>
      <w:r w:rsidRPr="00161C60">
        <w:rPr>
          <w:rFonts w:ascii="Helvetica" w:hAnsi="Helvetica" w:cs="Helvetica"/>
          <w:sz w:val="24"/>
          <w:szCs w:val="24"/>
        </w:rPr>
        <w:fldChar w:fldCharType="end"/>
      </w:r>
      <w:r w:rsidRPr="00161C60">
        <w:rPr>
          <w:rFonts w:ascii="Helvetica" w:hAnsi="Helvetica" w:cs="Helvetica"/>
          <w:sz w:val="24"/>
          <w:szCs w:val="24"/>
        </w:rPr>
        <w:t xml:space="preserve"> and some yoga positions involving extreme spinal flexion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{"citationItems":[{"id":"ITEM-1","itemData":{"DOI":"10.1111/j.1533-2500.2012.00545.x","ISSN":"15332500","PMID":"22448849","abstract":"Objective: The objective of this report is to raise awareness of the effect of strenuous yoga flexion exercises on osteopenic or osteoporotic spines. We previously described subjects with known osteoporosis in whom vertebral compression fractures (VCFs) developed after spinal flexion exercise (SFE) and recommended that SFEs not be prescribed in patients with spinal osteoporosis. Methods: This report describes 3 healthy persons with low bone mass and yoga-induced pain or fracture. Results: All 3 patients had osteopenia, were in good health and pain-free, and had started yoga exercises to improve their musculoskeletal health. New pain and fracture areas occurred after participation in yoga flexion exercises. Conclusions: The development of pain and complications with some flexion yoga positions in the patients with osteopenia leads to concern that fracture risk would increase even further in osteoporosis. Although exercise has been shown to be effective for improving bone mineral density and decreasing fracture risk, our subjects had development of VCFs and neck and back pain with yoga exercises. This finding suggests that factors other than bone mass should be considered for exercise counseling in patients with bone loss. The increased torque pressure applied to vertebral bodies during SFEs may be a risk. Exercise is effective and important for treatment of osteopenia and osteoporosis and should be prescribed for patients with vertebral bone loss. Some yoga positions can contribute to extreme strain on spines with bone loss. Assessment of fracture risk in older persons performing SFEs and other high-impact exercises is an important clinical consideration. © 2012 The Author. Pain Practice © 2012 World Institute of Pain.","author":[{"dropping-particle":"","family":"Sinaki","given":"Mehrsheed","non-dropping-particle":"","parse-names":false,"suffix":""}],"container-title":"Pain Practice","id":"ITEM-1","issue":"1","issued":{"date-parts":[["2013"]]},"page":"68-75","title":"Yoga Spinal Flexion Positions and Vertebral Compression Fracture in Osteopenia or Osteoporosis of Spine: Case Series","type":"article-journal","volume":"13"},"uris":["http://www.mendeley.com/documents/?uuid=3462b169-3fa8-4f59-878b-d47a2bb6b6e8"]}],"mendeley":{"formattedCitation":"&lt;sup&gt;51&lt;/sup&gt;","plainTextFormattedCitation":"51","previouslyFormattedCitation":"&lt;sup&gt;51&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51</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position w:val="7"/>
          <w:sz w:val="24"/>
          <w:szCs w:val="24"/>
        </w:rPr>
        <w:t xml:space="preserve"> </w:t>
      </w:r>
      <w:r w:rsidRPr="00161C60">
        <w:rPr>
          <w:rFonts w:ascii="Helvetica" w:hAnsi="Helvetica" w:cs="Helvetica"/>
          <w:sz w:val="24"/>
          <w:szCs w:val="24"/>
        </w:rPr>
        <w:t xml:space="preserve">One study reported fractures associated with rolling from prone to supine and dropping a weight on a foot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{"citationItems":[{"id":"ITEM-1","itemData":{"DOI":"10.1111/j.1532-5415.2004.52409.x","ISSN":"00028614","PMID":"15341548","abstract":"OBJECTIVES: To assess whether group exercise and coping classes reduce physical and psychological impairments and functional disability in older women with prevalent vertebral fractures (VFs). DESIGN: Randomized, controlled trial (modified crossover) with site as unit of assignment; testing at baseline and 3, 6, 9, and 12 months. SETTING: Nine North Carolina retirement communities. PARTICIPANTS: One hundred eighty-five postmenopausal Caucasian women (mean age 81), each with at least one VFs. INTERVENTION: The intervention group had 6 months of exercise (3 meetings weekly, 45 minutes each) and coping classes (2 meetings weekly, 45 minutes each) in Phase 1, followed by 6 months of self-maintenance. The control group had 6 months of health education control intervention (1 meeting weekly, 45 minutes) in Phase 1, followed by the intervention described above. MEASUREMENTS: Change in trunk extension strength, change in pain with activities, and change in psychological symptoms. RESULTS: Between-group differences in the change in trunk extension strength (10.68 foot pounds, P &lt; .001) and psychological symptoms (-0.08, P = .011) were significant for Phase 1. Changes in pain with activities did not differ between groups (-0.03, P = .64); there was no change in the pain endpoint. In Phase 2, controls showed significant changes in trunk strength (15.02 foot pounds, P &lt; .001) and psychological symptoms (-0.11, P = .006) from baseline. Change in pain with activities was not significant (-0.03, P = .70). During self-maintenance, the intervention group did not worsen in psychological symptoms, but improved trunk extension strength was not maintained. CONCLUSION: Weak trunk extension strength and psychological symptoms associated with VFs can be improved in older women using group treatment, and psychological improvements are retained for at least 6 months.","author":[{"dropping-particle":"","family":"Gold","given":"Deborah T.","non-dropping-particle":"","parse-names":false,"suffix":""},{"dropping-particle":"","family":"Shipp","given":"Kathy M.","non-dropping-particle":"","parse-names":false,"suffix":""},{"dropping-particle":"","family":"Pieper","given":"Carl F.","non-dropping-particle":"","parse-names":false,"suffix":""},{"dropping-particle":"","family":"Duncan","given":"Pamela W.","non-dropping-particle":"","parse-names":false,"suffix":""},{"dropping-particle":"","family":"Martinez","given":"Salutario","non-dropping-particle":"","parse-names":false,"suffix":""},{"dropping-particle":"","family":"Lyles","given":"Kenneth W.","non-dropping-particle":"","parse-names":false,"suffix":""}],"container-title":"Journal of the American Geriatrics Society","id":"ITEM-1","issue":"9","issued":{"date-parts":[["2004"]]},"page":"1471-1478","title":"Group treatment improves trunk strength and psychological status in older women with vertebral fractures: Results of a randomized, clinical trial","type":"article-journal","volume":"52"},"uris":["http://www.mendeley.com/documents/?uuid=beb56410-8aaa-464d-8026-cd7456398876"]}],"mendeley":{"formattedCitation":"&lt;sup&gt;52&lt;/sup&gt;","plainTextFormattedCitation":"52","previouslyFormattedCitation":"&lt;sup&gt;52&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52</w:t>
      </w:r>
      <w:r w:rsidRPr="00161C60">
        <w:rPr>
          <w:rFonts w:ascii="Helvetica" w:hAnsi="Helvetica" w:cs="Helvetica"/>
          <w:sz w:val="24"/>
          <w:szCs w:val="24"/>
        </w:rPr>
        <w:fldChar w:fldCharType="end"/>
      </w:r>
      <w:r w:rsidRPr="00161C60">
        <w:rPr>
          <w:rFonts w:ascii="Helvetica" w:hAnsi="Helvetica" w:cs="Helvetica"/>
          <w:sz w:val="24"/>
          <w:szCs w:val="24"/>
        </w:rPr>
        <w:t xml:space="preserve">. </w:t>
      </w:r>
    </w:p>
    <w:p w14:paraId="47BC8DA3" w14:textId="7D9D6D0A" w:rsidR="00FD6188" w:rsidRPr="00161C60" w:rsidRDefault="00FD6188" w:rsidP="006D7C96">
      <w:pPr>
        <w:pStyle w:val="BodyText"/>
        <w:spacing w:before="120"/>
        <w:ind w:right="244"/>
        <w:rPr>
          <w:rFonts w:ascii="Helvetica" w:hAnsi="Helvetica" w:cs="Helvetica"/>
          <w:sz w:val="24"/>
          <w:szCs w:val="24"/>
        </w:rPr>
      </w:pPr>
      <w:r w:rsidRPr="00161C60">
        <w:rPr>
          <w:rFonts w:ascii="Helvetica" w:hAnsi="Helvetica" w:cs="Helvetica"/>
          <w:sz w:val="24"/>
          <w:szCs w:val="24"/>
        </w:rPr>
        <w:t xml:space="preserve">In exercise interventions designed to increase bone mineral density, many studies did not report whether there were adverse events. Of 62 trials, 11 reported fractures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 xml:space="preserve"> over the course of the studies but rarely due to the intervention itself. Overall, 5.8% of intervention group participants sustained fractures compared to 9.6% of control group participants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spacing w:val="-40"/>
          <w:sz w:val="24"/>
          <w:szCs w:val="24"/>
        </w:rPr>
        <w:t xml:space="preserve">  </w:t>
      </w:r>
      <w:r w:rsidRPr="00161C60">
        <w:rPr>
          <w:rFonts w:ascii="Helvetica" w:hAnsi="Helvetica" w:cs="Helvetica"/>
          <w:sz w:val="24"/>
          <w:szCs w:val="24"/>
        </w:rPr>
        <w:t>In</w:t>
      </w:r>
      <w:r w:rsidRPr="00161C60">
        <w:rPr>
          <w:rFonts w:ascii="Helvetica" w:hAnsi="Helvetica" w:cs="Helvetica"/>
          <w:spacing w:val="-40"/>
          <w:sz w:val="24"/>
          <w:szCs w:val="24"/>
        </w:rPr>
        <w:t xml:space="preserve"> </w:t>
      </w:r>
      <w:r w:rsidRPr="00161C60">
        <w:rPr>
          <w:rFonts w:ascii="Helvetica" w:hAnsi="Helvetica" w:cs="Helvetica"/>
          <w:sz w:val="24"/>
          <w:szCs w:val="24"/>
        </w:rPr>
        <w:t>particular,</w:t>
      </w:r>
      <w:r w:rsidRPr="00161C60">
        <w:rPr>
          <w:rFonts w:ascii="Helvetica" w:hAnsi="Helvetica" w:cs="Helvetica"/>
          <w:spacing w:val="-40"/>
          <w:sz w:val="24"/>
          <w:szCs w:val="24"/>
        </w:rPr>
        <w:t xml:space="preserve"> </w:t>
      </w:r>
      <w:r w:rsidRPr="00161C60">
        <w:rPr>
          <w:rFonts w:ascii="Helvetica" w:hAnsi="Helvetica" w:cs="Helvetica"/>
          <w:sz w:val="24"/>
          <w:szCs w:val="24"/>
        </w:rPr>
        <w:t>there</w:t>
      </w:r>
      <w:r w:rsidRPr="00161C60">
        <w:rPr>
          <w:rFonts w:ascii="Helvetica" w:hAnsi="Helvetica" w:cs="Helvetica"/>
          <w:spacing w:val="-40"/>
          <w:sz w:val="24"/>
          <w:szCs w:val="24"/>
        </w:rPr>
        <w:t xml:space="preserve"> </w:t>
      </w:r>
      <w:r w:rsidRPr="00161C60">
        <w:rPr>
          <w:rFonts w:ascii="Helvetica" w:hAnsi="Helvetica" w:cs="Helvetica"/>
          <w:sz w:val="24"/>
          <w:szCs w:val="24"/>
        </w:rPr>
        <w:t>was no</w:t>
      </w:r>
      <w:r w:rsidRPr="00161C60">
        <w:rPr>
          <w:rFonts w:ascii="Helvetica" w:hAnsi="Helvetica" w:cs="Helvetica"/>
          <w:spacing w:val="-23"/>
          <w:sz w:val="24"/>
          <w:szCs w:val="24"/>
        </w:rPr>
        <w:t xml:space="preserve"> </w:t>
      </w:r>
      <w:r w:rsidRPr="00161C60">
        <w:rPr>
          <w:rFonts w:ascii="Helvetica" w:hAnsi="Helvetica" w:cs="Helvetica"/>
          <w:sz w:val="24"/>
          <w:szCs w:val="24"/>
        </w:rPr>
        <w:t>evidence</w:t>
      </w:r>
      <w:r w:rsidRPr="00161C60">
        <w:rPr>
          <w:rFonts w:ascii="Helvetica" w:hAnsi="Helvetica" w:cs="Helvetica"/>
          <w:spacing w:val="-23"/>
          <w:sz w:val="24"/>
          <w:szCs w:val="24"/>
        </w:rPr>
        <w:t xml:space="preserve"> </w:t>
      </w:r>
      <w:r w:rsidRPr="00161C60">
        <w:rPr>
          <w:rFonts w:ascii="Helvetica" w:hAnsi="Helvetica" w:cs="Helvetica"/>
          <w:sz w:val="24"/>
          <w:szCs w:val="24"/>
        </w:rPr>
        <w:t>of</w:t>
      </w:r>
      <w:r w:rsidRPr="00161C60">
        <w:rPr>
          <w:rFonts w:ascii="Helvetica" w:hAnsi="Helvetica" w:cs="Helvetica"/>
          <w:spacing w:val="-23"/>
          <w:sz w:val="24"/>
          <w:szCs w:val="24"/>
        </w:rPr>
        <w:t xml:space="preserve"> </w:t>
      </w:r>
      <w:r w:rsidRPr="00161C60">
        <w:rPr>
          <w:rFonts w:ascii="Helvetica" w:hAnsi="Helvetica" w:cs="Helvetica"/>
          <w:sz w:val="24"/>
          <w:szCs w:val="24"/>
        </w:rPr>
        <w:t>symptomatic</w:t>
      </w:r>
      <w:r w:rsidRPr="00161C60">
        <w:rPr>
          <w:rFonts w:ascii="Helvetica" w:hAnsi="Helvetica" w:cs="Helvetica"/>
          <w:spacing w:val="-22"/>
          <w:sz w:val="24"/>
          <w:szCs w:val="24"/>
        </w:rPr>
        <w:t xml:space="preserve"> </w:t>
      </w:r>
      <w:r w:rsidRPr="00161C60">
        <w:rPr>
          <w:rFonts w:ascii="Helvetica" w:hAnsi="Helvetica" w:cs="Helvetica"/>
          <w:sz w:val="24"/>
          <w:szCs w:val="24"/>
        </w:rPr>
        <w:t>vertebral</w:t>
      </w:r>
      <w:r w:rsidRPr="00161C60">
        <w:rPr>
          <w:rFonts w:ascii="Helvetica" w:hAnsi="Helvetica" w:cs="Helvetica"/>
          <w:spacing w:val="-23"/>
          <w:sz w:val="24"/>
          <w:szCs w:val="24"/>
        </w:rPr>
        <w:t xml:space="preserve"> </w:t>
      </w:r>
      <w:r w:rsidRPr="00161C60">
        <w:rPr>
          <w:rFonts w:ascii="Helvetica" w:hAnsi="Helvetica" w:cs="Helvetica"/>
          <w:sz w:val="24"/>
          <w:szCs w:val="24"/>
        </w:rPr>
        <w:t>fracture</w:t>
      </w:r>
      <w:r w:rsidRPr="00161C60">
        <w:rPr>
          <w:rFonts w:ascii="Helvetica" w:hAnsi="Helvetica" w:cs="Helvetica"/>
          <w:spacing w:val="-23"/>
          <w:sz w:val="24"/>
          <w:szCs w:val="24"/>
        </w:rPr>
        <w:t xml:space="preserve"> </w:t>
      </w:r>
      <w:r w:rsidRPr="00161C60">
        <w:rPr>
          <w:rFonts w:ascii="Helvetica" w:hAnsi="Helvetica" w:cs="Helvetica"/>
          <w:sz w:val="24"/>
          <w:szCs w:val="24"/>
        </w:rPr>
        <w:t>in association</w:t>
      </w:r>
      <w:r w:rsidRPr="00161C60">
        <w:rPr>
          <w:rFonts w:ascii="Helvetica" w:hAnsi="Helvetica" w:cs="Helvetica"/>
          <w:spacing w:val="-25"/>
          <w:sz w:val="24"/>
          <w:szCs w:val="24"/>
        </w:rPr>
        <w:t xml:space="preserve"> </w:t>
      </w:r>
      <w:r w:rsidRPr="00161C60">
        <w:rPr>
          <w:rFonts w:ascii="Helvetica" w:hAnsi="Helvetica" w:cs="Helvetica"/>
          <w:sz w:val="24"/>
          <w:szCs w:val="24"/>
        </w:rPr>
        <w:t>with</w:t>
      </w:r>
      <w:r w:rsidRPr="00161C60">
        <w:rPr>
          <w:rFonts w:ascii="Helvetica" w:hAnsi="Helvetica" w:cs="Helvetica"/>
          <w:spacing w:val="-24"/>
          <w:sz w:val="24"/>
          <w:szCs w:val="24"/>
        </w:rPr>
        <w:t xml:space="preserve"> </w:t>
      </w:r>
      <w:r w:rsidRPr="00161C60">
        <w:rPr>
          <w:rFonts w:ascii="Helvetica" w:hAnsi="Helvetica" w:cs="Helvetica"/>
          <w:sz w:val="24"/>
          <w:szCs w:val="24"/>
        </w:rPr>
        <w:t>impact</w:t>
      </w:r>
      <w:r w:rsidRPr="00161C60">
        <w:rPr>
          <w:rFonts w:ascii="Helvetica" w:hAnsi="Helvetica" w:cs="Helvetica"/>
          <w:spacing w:val="-24"/>
          <w:sz w:val="24"/>
          <w:szCs w:val="24"/>
        </w:rPr>
        <w:t xml:space="preserve"> </w:t>
      </w:r>
      <w:r w:rsidRPr="00161C60">
        <w:rPr>
          <w:rFonts w:ascii="Helvetica" w:hAnsi="Helvetica" w:cs="Helvetica"/>
          <w:sz w:val="24"/>
          <w:szCs w:val="24"/>
        </w:rPr>
        <w:t>exercise</w:t>
      </w:r>
      <w:r w:rsidRPr="00161C60">
        <w:rPr>
          <w:rFonts w:ascii="Helvetica" w:hAnsi="Helvetica" w:cs="Helvetica"/>
          <w:spacing w:val="-24"/>
          <w:sz w:val="24"/>
          <w:szCs w:val="24"/>
        </w:rPr>
        <w:t xml:space="preserve"> </w:t>
      </w:r>
      <w:r w:rsidRPr="00161C60">
        <w:rPr>
          <w:rFonts w:ascii="Helvetica" w:hAnsi="Helvetica" w:cs="Helvetica"/>
          <w:sz w:val="24"/>
          <w:szCs w:val="24"/>
        </w:rPr>
        <w:t>or</w:t>
      </w:r>
      <w:r w:rsidRPr="00161C60">
        <w:rPr>
          <w:rFonts w:ascii="Helvetica" w:hAnsi="Helvetica" w:cs="Helvetica"/>
          <w:spacing w:val="-24"/>
          <w:sz w:val="24"/>
          <w:szCs w:val="24"/>
        </w:rPr>
        <w:t xml:space="preserve"> </w:t>
      </w:r>
      <w:r w:rsidRPr="00161C60">
        <w:rPr>
          <w:rFonts w:ascii="Helvetica" w:hAnsi="Helvetica" w:cs="Helvetica"/>
          <w:sz w:val="24"/>
          <w:szCs w:val="24"/>
        </w:rPr>
        <w:t>moderate</w:t>
      </w:r>
      <w:r w:rsidRPr="00161C60">
        <w:rPr>
          <w:rFonts w:ascii="Helvetica" w:hAnsi="Helvetica" w:cs="Helvetica"/>
          <w:spacing w:val="-25"/>
          <w:sz w:val="24"/>
          <w:szCs w:val="24"/>
        </w:rPr>
        <w:t xml:space="preserve"> </w:t>
      </w:r>
      <w:r w:rsidRPr="00161C60">
        <w:rPr>
          <w:rFonts w:ascii="Helvetica" w:hAnsi="Helvetica" w:cs="Helvetica"/>
          <w:sz w:val="24"/>
          <w:szCs w:val="24"/>
        </w:rPr>
        <w:t>to high</w:t>
      </w:r>
      <w:r w:rsidRPr="00161C60">
        <w:rPr>
          <w:rFonts w:ascii="Helvetica" w:hAnsi="Helvetica" w:cs="Helvetica"/>
          <w:spacing w:val="-30"/>
          <w:sz w:val="24"/>
          <w:szCs w:val="24"/>
        </w:rPr>
        <w:t xml:space="preserve"> </w:t>
      </w:r>
      <w:r w:rsidRPr="00161C60">
        <w:rPr>
          <w:rFonts w:ascii="Helvetica" w:hAnsi="Helvetica" w:cs="Helvetica"/>
          <w:sz w:val="24"/>
          <w:szCs w:val="24"/>
        </w:rPr>
        <w:t>intensity</w:t>
      </w:r>
      <w:r w:rsidRPr="00161C60">
        <w:rPr>
          <w:rFonts w:ascii="Helvetica" w:hAnsi="Helvetica" w:cs="Helvetica"/>
          <w:spacing w:val="-30"/>
          <w:sz w:val="24"/>
          <w:szCs w:val="24"/>
        </w:rPr>
        <w:t xml:space="preserve"> </w:t>
      </w:r>
      <w:r w:rsidRPr="00161C60">
        <w:rPr>
          <w:rFonts w:ascii="Helvetica" w:hAnsi="Helvetica" w:cs="Helvetica"/>
          <w:sz w:val="24"/>
          <w:szCs w:val="24"/>
        </w:rPr>
        <w:t>muscle</w:t>
      </w:r>
      <w:r w:rsidRPr="00161C60">
        <w:rPr>
          <w:rFonts w:ascii="Helvetica" w:hAnsi="Helvetica" w:cs="Helvetica"/>
          <w:spacing w:val="-30"/>
          <w:sz w:val="24"/>
          <w:szCs w:val="24"/>
        </w:rPr>
        <w:t xml:space="preserve"> </w:t>
      </w:r>
      <w:r w:rsidRPr="00161C60">
        <w:rPr>
          <w:rFonts w:ascii="Helvetica" w:hAnsi="Helvetica" w:cs="Helvetica"/>
          <w:sz w:val="24"/>
          <w:szCs w:val="24"/>
        </w:rPr>
        <w:t>strengthening</w:t>
      </w:r>
      <w:r w:rsidRPr="00161C60">
        <w:rPr>
          <w:rFonts w:ascii="Helvetica" w:hAnsi="Helvetica" w:cs="Helvetica"/>
          <w:spacing w:val="-30"/>
          <w:sz w:val="24"/>
          <w:szCs w:val="24"/>
        </w:rPr>
        <w:t xml:space="preserve"> </w:t>
      </w:r>
      <w:r w:rsidRPr="00161C60">
        <w:rPr>
          <w:rFonts w:ascii="Helvetica" w:hAnsi="Helvetica" w:cs="Helvetica"/>
          <w:sz w:val="24"/>
          <w:szCs w:val="24"/>
        </w:rPr>
        <w:t xml:space="preserve">exercise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49</w:t>
      </w:r>
      <w:r w:rsidRPr="00161C60">
        <w:rPr>
          <w:rFonts w:ascii="Helvetica" w:hAnsi="Helvetica" w:cs="Helvetica"/>
          <w:sz w:val="24"/>
          <w:szCs w:val="24"/>
        </w:rPr>
        <w:fldChar w:fldCharType="end"/>
      </w:r>
      <w:r w:rsidRPr="00161C60">
        <w:rPr>
          <w:rFonts w:ascii="Helvetica" w:hAnsi="Helvetica" w:cs="Helvetica"/>
          <w:sz w:val="24"/>
          <w:szCs w:val="24"/>
        </w:rPr>
        <w:t>.</w:t>
      </w:r>
      <w:r w:rsidRPr="00161C60">
        <w:rPr>
          <w:rFonts w:ascii="Helvetica" w:hAnsi="Helvetica" w:cs="Helvetica"/>
          <w:position w:val="7"/>
          <w:sz w:val="24"/>
          <w:szCs w:val="24"/>
        </w:rPr>
        <w:t xml:space="preserve"> </w:t>
      </w:r>
      <w:r w:rsidR="000A579D" w:rsidRPr="00161C60">
        <w:rPr>
          <w:rFonts w:ascii="Helvetica" w:hAnsi="Helvetica" w:cs="Helvetica"/>
          <w:sz w:val="24"/>
          <w:szCs w:val="24"/>
        </w:rPr>
        <w:t>C</w:t>
      </w:r>
      <w:r w:rsidRPr="00161C60">
        <w:rPr>
          <w:rFonts w:ascii="Helvetica" w:hAnsi="Helvetica" w:cs="Helvetica"/>
          <w:sz w:val="24"/>
          <w:szCs w:val="24"/>
        </w:rPr>
        <w:t xml:space="preserve">losely supervised </w:t>
      </w:r>
      <w:r w:rsidR="00114E04" w:rsidRPr="00161C60">
        <w:rPr>
          <w:rFonts w:ascii="Helvetica" w:hAnsi="Helvetica" w:cs="Helvetica"/>
          <w:sz w:val="24"/>
          <w:szCs w:val="24"/>
        </w:rPr>
        <w:t xml:space="preserve">high intensity resistance and impact training </w:t>
      </w:r>
      <w:r w:rsidR="000A579D" w:rsidRPr="00161C60">
        <w:rPr>
          <w:rFonts w:ascii="Helvetica" w:hAnsi="Helvetica" w:cs="Helvetica"/>
          <w:sz w:val="24"/>
          <w:szCs w:val="24"/>
        </w:rPr>
        <w:t>in osteoporotic men and women was associated with</w:t>
      </w:r>
      <w:r w:rsidRPr="00161C60">
        <w:rPr>
          <w:rFonts w:ascii="Helvetica" w:hAnsi="Helvetica" w:cs="Helvetica"/>
          <w:sz w:val="24"/>
          <w:szCs w:val="24"/>
        </w:rPr>
        <w:t xml:space="preserve"> few adverse effects and no vertebral fractures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{"citationItems":[{"id":"ITEM-1","itemData":{"DOI":"10.1007/s00198-018-04829-z","ISSN":"14332965","PMID":"30612163","abstract":"Summary: Our aim was to assess risk of vertebral fracture during high-intensity resistance and impact training (HiRIT) for postmenopausal women with low bone mass. HiRIT did not induce vertebral fracture, as evidenced by a reduction in kyphosis following 8 months of training and a lack of change in vertebral morphology. Introduction: The LIFTMOR trial demonstrated a novel, HiRIT program notably improved bone mass in postmenopausal women with osteopenia and osteoporosis. While no clinical signs or symptoms of vertebral crush fracture were evident during the trial, anecdotal feedback suggests that concerns about safety of HiRIT in the osteoporosis demographic remain. The aim of the current work was to assess vertebral body morphology, Cobb angle, and clinical measures of thoracic kyphosis in participants in the LIFTMOR trial for evidence of vertebral fracture following 8 months of supervised HiRIT. Methods: Participants were randomized to either 8 months of 30-min, twice-weekly, supervised HiRIT or unsupervised, low-intensity, home-based exercise (CON). Lateral thoracolumbar DXA scans (Medix DR, Medilink, France) were performed at baseline and follow-up. Cobb angle was determined, and vertebral fracture identification was performed using the semiquantitative Genant method. Clinical kyphosis measurements were performed in relaxed standing (neutral posture) and standing tall using an inclinometer and a flexicurve. Results: The HiRIT group exhibited a reduction in inclinometer-determined standing tall thoracic kyphosis compared to CON (− 6.7 ± 8.2° vs − 1.6 ± 8.1°, p = 0.031). Both the HiRIT and CON groups exhibited within-group improvement in kyphosis in relaxed standing as measured by both inclinometer and flexicurve (p &lt; 0.05). There were no changes in vertebral fracture classification in the HiRIT group post-intervention. A single, new, wedge deformity was observed for CON. Conclusions: Supervised HiRIT was not associated with an increased risk of vertebral fracture in postmenopausal women with low bone mass. Indeed, a clinically relevant improvement in thoracic kyphosis was observed following 8 months of supervised HiRIT, further supporting its efficacy as an osteoporosis intervention for postmenopausal women with low to very low bone mass.","author":[{"dropping-particle":"","family":"Watson","given":"S. L.","non-dropping-particle":"","parse-names":false,"suffix":""},{"dropping-particle":"","family":"Weeks","given":"Benjam K.","non-dropping-particle":"","parse-names":false,"suffix":""},{"dropping-particle":"","family":"Weis","given":"Lisa J.","non-dropping-particle":"","parse-names":false,"suffix":""},{"dropping-particle":"","family":"Harding","given":"Amy T.","non-dropping-particle":"","parse-names":false,"suffix":""},{"dropping-particle":"","family":"Horan","given":"S. A.","non-dropping-particle":"","parse-names":false,"suffix":""},{"dropping-particle":"","family":"Beck","given":"B. R.","non-dropping-particle":"","parse-names":false,"suffix":""}],"container-title":"Osteoporosis International","id":"ITEM-1","issue":"5","issued":{"date-parts":[["2019"]]},"page":"957-964","publisher":"Osteoporosis International","title":"High-intensity exercise did not cause vertebral fractures and improves thoracic kyphosis in postmenopausal women with low to very low bone mass: the LIFTMOR trial","type":"article-journal","volume":"30"},"uris":["http://www.mendeley.com/documents/?uuid=c1742532-b0f2-4209-8f5e-e5ceabd47004"]},{"id":"ITEM-2","itemData":{"DOI":"10.1007/s00198-020-05583-x","ISBN":"0019802005","ISSN":"14332965","PMID":"32935171","abstract":"Summary: Our aim was to explore change in kyphosis and vertebral fracture incidence following 8 months of high-intensity resistance and impact training (HiRIT) or machine-based isometric axial compression (IAC) training in men with osteopenia and osteoporosis. HiRIT and IAC improved posture. HiRIT participants did not experience progression or incident vertebral fracture. IAC participants did experience progression and incident vertebral fracture. Introduction: The Lifting Intervention For Training Muscle and Osteoporosis Rehabilitation for Men (LIFTMOR-M) trial examined efficacy and safety of an eight-month, supervised, high-intensity progressive resistance and impact training (HiRIT) program compared with machine-based isometric axial compression (IAC) training in middle-aged and older men with low areal bone mineral density (aBMD). The primary purpose of the current work was to explore change in thoracic kyphosis and incident fracture from vertebral morphology following eight-months of HiRIT or IAC training. The secondary purpose was to explore change in clinical kyphosis measures for HiRIT, IAC and a non-randomized, matched control group. Methods: Men (≥ 45 yrs), with low aBMD, were recruited and randomized to HiRIT or IAC, or designated control. Clinical measures of thoracic kyphosis with inclinometry were determined. Cobb angle of kyphosis and vertebral fracture assessment using the Genant semi-quantitative method were determined from lateral thoracolumbar DXA (Medix DR, Medilink, France). Per-protocol (n = 40) and intention-to-treat (n = 93) analyses were conducted. Results: Forty participants (HiRIT n = 20, IAC n = 20; 66.1 ± 7.8 yrs.; lumbar spine T-score − 0.1 ± 0.8; femoral neck T-score − 1.5 ± 0.5) underwent clinical kyphosis measures and thoracolumbar DXA at baseline and follow-up. No between-group differences were detected in kyphosis change, however, within-group improvements in neutral (HiRIT − 2.3 ± 0.8°; IAC − 2.5 ± 0.8°) and ‘standing tall’ (HiRIT − 2.4 ± 0.8°; IAC − 2.0 ± 0.8°) postures were observed (p &lt; 0.05). HiRIT improved Cobb angle (− 3.5 ± 1.5°, p = 0.027) from baseline. Over the 8 months, no incident vertebral fractures nor progression of prevalent vertebral fractures occurred for HiRIT participants. Five incident fractures of thoracic vertebrae occurred for IAC and one wedge fracture progressed. Ninety-three participants underwent clinical kyphosis measures at both time-points (HiRIT n = 34, IAC n = 33, control n = 26). HiRI…","author":[{"dropping-particle":"","family":"Harding","given":"Amy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R.","non-dropping-particle":"","parse-names":false,"suffix":""}],"container-title":"Osteoporosis International","id":"ITEM-2","issued":{"date-parts":[["2020"]]},"publisher":"Osteoporosis International","title":"Exploring thoracic kyphosis and incident fracture from vertebral morphology with high-intensity exercise in middle-aged and older men with osteopenia and osteoporosis: a secondary analysis of the LIFTMOR-M trial","type":"article-journal"},"uris":["http://www.mendeley.com/documents/?uuid=dc09d830-a964-47eb-b27e-d7b2d6beb413"]}],"mendeley":{"formattedCitation":"&lt;sup&gt;53,54&lt;/sup&gt;","plainTextFormattedCitation":"53,54","previouslyFormattedCitation":"&lt;sup&gt;53,54&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53,54</w:t>
      </w:r>
      <w:r w:rsidRPr="00161C60">
        <w:rPr>
          <w:rFonts w:ascii="Helvetica" w:hAnsi="Helvetica" w:cs="Helvetica"/>
          <w:sz w:val="24"/>
          <w:szCs w:val="24"/>
        </w:rPr>
        <w:fldChar w:fldCharType="end"/>
      </w:r>
      <w:r w:rsidRPr="00161C60">
        <w:rPr>
          <w:rFonts w:ascii="Helvetica" w:hAnsi="Helvetica" w:cs="Helvetica"/>
          <w:sz w:val="24"/>
          <w:szCs w:val="24"/>
        </w:rPr>
        <w:t>. In a further study</w:t>
      </w:r>
      <w:r w:rsidR="00DB1841" w:rsidRPr="00161C60">
        <w:rPr>
          <w:rFonts w:ascii="Helvetica" w:hAnsi="Helvetica" w:cs="Helvetica"/>
          <w:sz w:val="24"/>
          <w:szCs w:val="24"/>
        </w:rPr>
        <w:t xml:space="preserve"> of</w:t>
      </w:r>
      <w:r w:rsidRPr="00161C60">
        <w:rPr>
          <w:rFonts w:ascii="Helvetica" w:hAnsi="Helvetica" w:cs="Helvetica"/>
          <w:sz w:val="24"/>
          <w:szCs w:val="24"/>
        </w:rPr>
        <w:t xml:space="preserve"> </w:t>
      </w:r>
      <w:r w:rsidR="00DB1841" w:rsidRPr="00161C60">
        <w:rPr>
          <w:rFonts w:ascii="Helvetica" w:hAnsi="Helvetica" w:cs="Helvetica"/>
          <w:sz w:val="24"/>
          <w:szCs w:val="24"/>
        </w:rPr>
        <w:t>strength,</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balance</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and</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daily</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moderate</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to</w:t>
      </w:r>
      <w:r w:rsidR="00DB1841" w:rsidRPr="00161C60">
        <w:rPr>
          <w:rFonts w:ascii="Helvetica" w:hAnsi="Helvetica" w:cs="Helvetica"/>
          <w:spacing w:val="-25"/>
          <w:sz w:val="24"/>
          <w:szCs w:val="24"/>
        </w:rPr>
        <w:t xml:space="preserve"> </w:t>
      </w:r>
      <w:r w:rsidR="00DB1841" w:rsidRPr="00161C60">
        <w:rPr>
          <w:rFonts w:ascii="Helvetica" w:hAnsi="Helvetica" w:cs="Helvetica"/>
          <w:sz w:val="24"/>
          <w:szCs w:val="24"/>
        </w:rPr>
        <w:t>vigorous physical</w:t>
      </w:r>
      <w:r w:rsidR="00DB1841" w:rsidRPr="00161C60">
        <w:rPr>
          <w:rFonts w:ascii="Helvetica" w:hAnsi="Helvetica" w:cs="Helvetica"/>
          <w:spacing w:val="-26"/>
          <w:sz w:val="24"/>
          <w:szCs w:val="24"/>
        </w:rPr>
        <w:t xml:space="preserve"> </w:t>
      </w:r>
      <w:r w:rsidR="00DB1841" w:rsidRPr="00161C60">
        <w:rPr>
          <w:rFonts w:ascii="Helvetica" w:hAnsi="Helvetica" w:cs="Helvetica"/>
          <w:sz w:val="24"/>
          <w:szCs w:val="24"/>
        </w:rPr>
        <w:t xml:space="preserve">activity </w:t>
      </w:r>
      <w:r w:rsidRPr="00161C60">
        <w:rPr>
          <w:rFonts w:ascii="Helvetica" w:hAnsi="Helvetica" w:cs="Helvetica"/>
          <w:sz w:val="24"/>
          <w:szCs w:val="24"/>
        </w:rPr>
        <w:t>in people with osteoporosis,</w:t>
      </w:r>
      <w:r w:rsidRPr="00161C60">
        <w:rPr>
          <w:rFonts w:ascii="Helvetica" w:hAnsi="Helvetica" w:cs="Helvetica"/>
          <w:spacing w:val="-31"/>
          <w:sz w:val="24"/>
          <w:szCs w:val="24"/>
        </w:rPr>
        <w:t xml:space="preserve"> </w:t>
      </w:r>
      <w:r w:rsidRPr="00161C60">
        <w:rPr>
          <w:rFonts w:ascii="Helvetica" w:hAnsi="Helvetica" w:cs="Helvetica"/>
          <w:sz w:val="24"/>
          <w:szCs w:val="24"/>
        </w:rPr>
        <w:t>adverse</w:t>
      </w:r>
      <w:r w:rsidRPr="00161C60">
        <w:rPr>
          <w:rFonts w:ascii="Helvetica" w:hAnsi="Helvetica" w:cs="Helvetica"/>
          <w:spacing w:val="-31"/>
          <w:sz w:val="24"/>
          <w:szCs w:val="24"/>
        </w:rPr>
        <w:t xml:space="preserve"> </w:t>
      </w:r>
      <w:r w:rsidRPr="00161C60">
        <w:rPr>
          <w:rFonts w:ascii="Helvetica" w:hAnsi="Helvetica" w:cs="Helvetica"/>
          <w:sz w:val="24"/>
          <w:szCs w:val="24"/>
        </w:rPr>
        <w:t>events</w:t>
      </w:r>
      <w:r w:rsidRPr="00161C60">
        <w:rPr>
          <w:rFonts w:ascii="Helvetica" w:hAnsi="Helvetica" w:cs="Helvetica"/>
          <w:spacing w:val="-31"/>
          <w:sz w:val="24"/>
          <w:szCs w:val="24"/>
        </w:rPr>
        <w:t xml:space="preserve"> </w:t>
      </w:r>
      <w:r w:rsidRPr="00161C60">
        <w:rPr>
          <w:rFonts w:ascii="Helvetica" w:hAnsi="Helvetica" w:cs="Helvetica"/>
          <w:sz w:val="24"/>
          <w:szCs w:val="24"/>
        </w:rPr>
        <w:t>(both</w:t>
      </w:r>
      <w:r w:rsidRPr="00161C60">
        <w:rPr>
          <w:rFonts w:ascii="Helvetica" w:hAnsi="Helvetica" w:cs="Helvetica"/>
          <w:spacing w:val="-31"/>
          <w:sz w:val="24"/>
          <w:szCs w:val="24"/>
        </w:rPr>
        <w:t xml:space="preserve"> </w:t>
      </w:r>
      <w:r w:rsidRPr="00161C60">
        <w:rPr>
          <w:rFonts w:ascii="Helvetica" w:hAnsi="Helvetica" w:cs="Helvetica"/>
          <w:sz w:val="24"/>
          <w:szCs w:val="24"/>
        </w:rPr>
        <w:t>falls</w:t>
      </w:r>
      <w:r w:rsidRPr="00161C60">
        <w:rPr>
          <w:rFonts w:ascii="Helvetica" w:hAnsi="Helvetica" w:cs="Helvetica"/>
          <w:spacing w:val="-31"/>
          <w:sz w:val="24"/>
          <w:szCs w:val="24"/>
        </w:rPr>
        <w:t xml:space="preserve"> </w:t>
      </w:r>
      <w:r w:rsidRPr="00161C60">
        <w:rPr>
          <w:rFonts w:ascii="Helvetica" w:hAnsi="Helvetica" w:cs="Helvetica"/>
          <w:sz w:val="24"/>
          <w:szCs w:val="24"/>
        </w:rPr>
        <w:t>and</w:t>
      </w:r>
      <w:r w:rsidRPr="00161C60">
        <w:rPr>
          <w:rFonts w:ascii="Helvetica" w:hAnsi="Helvetica" w:cs="Helvetica"/>
          <w:spacing w:val="-31"/>
          <w:sz w:val="24"/>
          <w:szCs w:val="24"/>
        </w:rPr>
        <w:t xml:space="preserve"> </w:t>
      </w:r>
      <w:r w:rsidRPr="00161C60">
        <w:rPr>
          <w:rFonts w:ascii="Helvetica" w:hAnsi="Helvetica" w:cs="Helvetica"/>
          <w:sz w:val="24"/>
          <w:szCs w:val="24"/>
        </w:rPr>
        <w:t>fractures)</w:t>
      </w:r>
      <w:r w:rsidRPr="00161C60">
        <w:rPr>
          <w:rFonts w:ascii="Helvetica" w:hAnsi="Helvetica" w:cs="Helvetica"/>
          <w:spacing w:val="-31"/>
          <w:sz w:val="24"/>
          <w:szCs w:val="24"/>
        </w:rPr>
        <w:t xml:space="preserve"> </w:t>
      </w:r>
      <w:r w:rsidRPr="00161C60">
        <w:rPr>
          <w:rFonts w:ascii="Helvetica" w:hAnsi="Helvetica" w:cs="Helvetica"/>
          <w:spacing w:val="-4"/>
          <w:sz w:val="24"/>
          <w:szCs w:val="24"/>
        </w:rPr>
        <w:t xml:space="preserve">did </w:t>
      </w:r>
      <w:r w:rsidRPr="00161C60">
        <w:rPr>
          <w:rFonts w:ascii="Helvetica" w:hAnsi="Helvetica" w:cs="Helvetica"/>
          <w:sz w:val="24"/>
          <w:szCs w:val="24"/>
        </w:rPr>
        <w:t xml:space="preserve">not differ significantly between the control and the intervention groups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{"citationItems":[{"id":"ITEM-1","itemData":{"DOI":"10.1007/s00198-018-4652-0","ISSN":"14332965","PMID":"30091064","abstract":"Summary: We pilot-tested a trial of home exercise on individuals with osteoporosis and spine fracture. Our target enrollment was met, though it took longer than expected. Participants stayed in the study and completed the exercise program with no safety concerns. Future trials should expand the inclusion criteria and consider other changes. Purpose: Osteoporotic fragility fractures create a substantial human and economic burden. There have been calls for a large randomized controlled trial examining the effect of exercise on fracture incidence. The B3E pilot trial was designed to evaluate the feasibility of a large trial examining the effects of home exercise on individuals at high risk of fracture. Methods: Community-dwelling women ≥ 65 years with radiographically confirmed vertebral compression fractures were recruited at seven sites in Canada and Australia. We randomized participants in a 1:1 ratio to a 12-month home exercise program or equal attention control group, both delivered by a physiotherapist (PT). Participants received six PT home visits in addition to monthly phone calls from the PT and a blinded research assistant. The primary feasibility outcomes of the study were recruitment rate (20 per site in 1 year), retention rate (75% completion), and intervention adherence rate (60% of weeks meeting exercise goals). Secondary outcomes included falls, fractures and adverse events. Results: One hundred forty-one participants were recruited; an average of 20 per site, though most sites took longer than anticipated. Retention and adherence met the criteria for success: 92% of participants completed the study; average adherence was 66%. The intervention group did not differ significantly in the number of falls (IRR 0.97, 95% CI 0.58 to 1.63) or fragility fractures (OR 1.11, 95% CI 0.60 to 2.05) compared to the control group. There were 18 serious adverse events in the intervention group and 12 in the control group. Conclusion: An RCT of home exercise in women with vertebral fractures is feasible but recruitment was a challenge. Suggestions are made for the conduct of future trials.","author":[{"dropping-particle":"","family":"Giangregorio","given":"L. M.","non-dropping-particle":"","parse-names":false,"suffix":""},{"dropping-particle":"","family":"Gibbs","given":"J. C.","non-dropping-particle":"","parse-names":false,"suffix":""},{"dropping-particle":"","family":"Templeton","given":"J. A.","non-dropping-particle":"","parse-names":false,"suffix":""},{"dropping-particle":"","family":"Adachi","given":"J. D.","non-dropping-particle":"","parse-names":false,"suffix":""},{"dropping-particle":"","family":"Ashe","given":"M. C.","non-dropping-particle":"","parse-names":false,"suffix":""},{"dropping-particle":"","family":"Bleakney","given":"R. R.","non-dropping-particle":"","parse-names":false,"suffix":""},{"dropping-particle":"","family":"Cheung","given":"A. M.","non-dropping-particle":"","parse-names":false,"suffix":""},{"dropping-particle":"","family":"Hill","given":"K. D.","non-dropping-particle":"","parse-names":false,"suffix":""},{"dropping-particle":"","family":"Kendler","given":"D. L.","non-dropping-particle":"","parse-names":false,"suffix":""},{"dropping-particle":"","family":"Khan","given":"A. A.","non-dropping-particle":"","parse-names":false,"suffix":""},{"dropping-particle":"","family":"Kim","given":"S.","non-dropping-particle":"","parse-names":false,"suffix":""},{"dropping-particle":"","family":"McArthur","given":"C.","non-dropping-particle":"","parse-names":false,"suffix":""},{"dropping-particle":"","family":"Mittmann","given":"N.","non-dropping-particle":"","parse-names":false,"suffix":""},{"dropping-particle":"","family":"Papaioannou","given":"A.","non-dropping-particle":"","parse-names":false,"suffix":""},{"dropping-particle":"","family":"Prasad","given":"S.","non-dropping-particle":"","parse-names":false,"suffix":""},{"dropping-particle":"","family":"Scherer","given":"S. C.","non-dropping-particle":"","parse-names":false,"suffix":""},{"dropping-particle":"","family":"Thabane","given":"L.","non-dropping-particle":"","parse-names":false,"suffix":""},{"dropping-particle":"","family":"Wark","given":"J. D.","non-dropping-particle":"","parse-names":false,"suffix":""}],"container-title":"Osteoporosis International","id":"ITEM-1","issue":"11","issued":{"date-parts":[["2018"]]},"page":"2545-2556","publisher":"Osteoporosis International","title":"Build better bones with exercise (B3E pilot trial): results of a feasibility study of a multicenter randomized controlled trial of 12 months of home exercise in older women with vertebral fracture","type":"article-journal","volume":"29"},"uris":["http://www.mendeley.com/documents/?uuid=8acc3ae9-9640-4738-b8a1-3c3cf2cdb850"]}],"mendeley":{"formattedCitation":"&lt;sup&gt;55&lt;/sup&gt;","plainTextFormattedCitation":"55","previouslyFormattedCitation":"&lt;sup&gt;55&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55</w:t>
      </w:r>
      <w:r w:rsidRPr="00161C60">
        <w:rPr>
          <w:rFonts w:ascii="Helvetica" w:hAnsi="Helvetica" w:cs="Helvetica"/>
          <w:sz w:val="24"/>
          <w:szCs w:val="24"/>
        </w:rPr>
        <w:fldChar w:fldCharType="end"/>
      </w:r>
      <w:r w:rsidRPr="00161C60">
        <w:rPr>
          <w:rFonts w:ascii="Helvetica" w:hAnsi="Helvetica" w:cs="Helvetica"/>
          <w:sz w:val="24"/>
          <w:szCs w:val="24"/>
        </w:rPr>
        <w:t xml:space="preserve">. These trials demonstrate that exercise can </w:t>
      </w:r>
      <w:r w:rsidR="00D72C59" w:rsidRPr="00161C60">
        <w:rPr>
          <w:rFonts w:ascii="Helvetica" w:hAnsi="Helvetica" w:cs="Helvetica"/>
          <w:sz w:val="24"/>
          <w:szCs w:val="24"/>
        </w:rPr>
        <w:t>be conducted</w:t>
      </w:r>
      <w:r w:rsidRPr="00161C60">
        <w:rPr>
          <w:rFonts w:ascii="Helvetica" w:hAnsi="Helvetica" w:cs="Helvetica"/>
          <w:sz w:val="24"/>
          <w:szCs w:val="24"/>
        </w:rPr>
        <w:t xml:space="preserve"> even in those who already have osteoporosis.</w:t>
      </w:r>
    </w:p>
    <w:p w14:paraId="27928168" w14:textId="3CFB7428" w:rsidR="00FD6188" w:rsidRPr="00161C60" w:rsidRDefault="00FD6188" w:rsidP="00FD6188">
      <w:pPr>
        <w:pStyle w:val="BodyText"/>
        <w:spacing w:before="120"/>
        <w:ind w:right="-46"/>
        <w:rPr>
          <w:rFonts w:ascii="Helvetica" w:hAnsi="Helvetica" w:cs="Helvetica"/>
          <w:sz w:val="24"/>
          <w:szCs w:val="24"/>
        </w:rPr>
      </w:pPr>
      <w:r w:rsidRPr="00161C60">
        <w:rPr>
          <w:rFonts w:ascii="Helvetica" w:hAnsi="Helvetica" w:cs="Helvetica"/>
          <w:sz w:val="24"/>
          <w:szCs w:val="24"/>
        </w:rPr>
        <w:t xml:space="preserve">In studies on exercise for fall prevention, only 27 out of 108 trials reported adverse events and only one study </w:t>
      </w:r>
      <w:r w:rsidR="003557D3" w:rsidRPr="00161C60">
        <w:rPr>
          <w:rFonts w:ascii="Helvetica" w:hAnsi="Helvetica" w:cs="Helvetica"/>
          <w:sz w:val="24"/>
          <w:szCs w:val="24"/>
        </w:rPr>
        <w:t>reporte</w:t>
      </w:r>
      <w:r w:rsidRPr="00161C60">
        <w:rPr>
          <w:rFonts w:ascii="Helvetica" w:hAnsi="Helvetica" w:cs="Helvetica"/>
          <w:sz w:val="24"/>
          <w:szCs w:val="24"/>
        </w:rPr>
        <w:t xml:space="preserve">d a </w:t>
      </w:r>
      <w:r w:rsidR="003557D3" w:rsidRPr="00161C60">
        <w:rPr>
          <w:rFonts w:ascii="Helvetica" w:hAnsi="Helvetica" w:cs="Helvetica"/>
          <w:sz w:val="24"/>
          <w:szCs w:val="24"/>
        </w:rPr>
        <w:t>(</w:t>
      </w:r>
      <w:r w:rsidRPr="00161C60">
        <w:rPr>
          <w:rFonts w:ascii="Helvetica" w:hAnsi="Helvetica" w:cs="Helvetica"/>
          <w:sz w:val="24"/>
          <w:szCs w:val="24"/>
        </w:rPr>
        <w:t>pelvic stress</w:t>
      </w:r>
      <w:r w:rsidR="003557D3" w:rsidRPr="00161C60">
        <w:rPr>
          <w:rFonts w:ascii="Helvetica" w:hAnsi="Helvetica" w:cs="Helvetica"/>
          <w:sz w:val="24"/>
          <w:szCs w:val="24"/>
        </w:rPr>
        <w:t>)</w:t>
      </w:r>
      <w:r w:rsidRPr="00161C60">
        <w:rPr>
          <w:rFonts w:ascii="Helvetica" w:hAnsi="Helvetica" w:cs="Helvetica"/>
          <w:sz w:val="24"/>
          <w:szCs w:val="24"/>
        </w:rPr>
        <w:t xml:space="preserve"> fracture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22&lt;/sup&gt;","plainTextFormattedCitation":"22","previouslyFormattedCitation":"&lt;sup&gt;22&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22</w:t>
      </w:r>
      <w:r w:rsidRPr="00161C60">
        <w:rPr>
          <w:rFonts w:ascii="Helvetica" w:hAnsi="Helvetica" w:cs="Helvetica"/>
          <w:sz w:val="24"/>
          <w:szCs w:val="24"/>
        </w:rPr>
        <w:fldChar w:fldCharType="end"/>
      </w:r>
      <w:r w:rsidRPr="00161C60">
        <w:rPr>
          <w:rFonts w:ascii="Helvetica" w:hAnsi="Helvetica" w:cs="Helvetica"/>
          <w:sz w:val="24"/>
          <w:szCs w:val="24"/>
        </w:rPr>
        <w:t>.  There is some evidence that brisk walking increased fracture risk in a population already at risk</w:t>
      </w:r>
      <w:r w:rsidRPr="00161C60">
        <w:rPr>
          <w:rFonts w:ascii="Helvetica" w:hAnsi="Helvetica" w:cs="Helvetica"/>
          <w:spacing w:val="-24"/>
          <w:sz w:val="24"/>
          <w:szCs w:val="24"/>
        </w:rPr>
        <w:t xml:space="preserve"> </w:t>
      </w:r>
      <w:r w:rsidRPr="00161C60">
        <w:rPr>
          <w:rFonts w:ascii="Helvetica" w:hAnsi="Helvetica" w:cs="Helvetica"/>
          <w:sz w:val="24"/>
          <w:szCs w:val="24"/>
        </w:rPr>
        <w:t>of</w:t>
      </w:r>
      <w:r w:rsidRPr="00161C60">
        <w:rPr>
          <w:rFonts w:ascii="Helvetica" w:hAnsi="Helvetica" w:cs="Helvetica"/>
          <w:spacing w:val="-23"/>
          <w:sz w:val="24"/>
          <w:szCs w:val="24"/>
        </w:rPr>
        <w:t xml:space="preserve"> </w:t>
      </w:r>
      <w:r w:rsidRPr="00161C60">
        <w:rPr>
          <w:rFonts w:ascii="Helvetica" w:hAnsi="Helvetica" w:cs="Helvetica"/>
          <w:sz w:val="24"/>
          <w:szCs w:val="24"/>
        </w:rPr>
        <w:t>falls</w:t>
      </w:r>
      <w:r w:rsidRPr="00161C60">
        <w:rPr>
          <w:rFonts w:ascii="Helvetica" w:hAnsi="Helvetica" w:cs="Helvetica"/>
          <w:spacing w:val="-23"/>
          <w:sz w:val="24"/>
          <w:szCs w:val="24"/>
        </w:rPr>
        <w:t xml:space="preserve"> </w:t>
      </w:r>
      <w:r w:rsidRPr="00161C60">
        <w:rPr>
          <w:rFonts w:ascii="Helvetica" w:hAnsi="Helvetica" w:cs="Helvetica"/>
          <w:sz w:val="24"/>
          <w:szCs w:val="24"/>
        </w:rPr>
        <w:t>and</w:t>
      </w:r>
      <w:r w:rsidRPr="00161C60">
        <w:rPr>
          <w:rFonts w:ascii="Helvetica" w:hAnsi="Helvetica" w:cs="Helvetica"/>
          <w:spacing w:val="-23"/>
          <w:sz w:val="24"/>
          <w:szCs w:val="24"/>
        </w:rPr>
        <w:t xml:space="preserve"> </w:t>
      </w:r>
      <w:r w:rsidRPr="00161C60">
        <w:rPr>
          <w:rFonts w:ascii="Helvetica" w:hAnsi="Helvetica" w:cs="Helvetica"/>
          <w:sz w:val="24"/>
          <w:szCs w:val="24"/>
        </w:rPr>
        <w:t>fracture, who</w:t>
      </w:r>
      <w:r w:rsidRPr="00161C60">
        <w:rPr>
          <w:rFonts w:ascii="Helvetica" w:hAnsi="Helvetica" w:cs="Helvetica"/>
          <w:spacing w:val="-23"/>
          <w:sz w:val="24"/>
          <w:szCs w:val="24"/>
        </w:rPr>
        <w:t xml:space="preserve"> </w:t>
      </w:r>
      <w:r w:rsidRPr="00161C60">
        <w:rPr>
          <w:rFonts w:ascii="Helvetica" w:hAnsi="Helvetica" w:cs="Helvetica"/>
          <w:sz w:val="24"/>
          <w:szCs w:val="24"/>
        </w:rPr>
        <w:t>may therefore require</w:t>
      </w:r>
      <w:r w:rsidRPr="00161C60">
        <w:rPr>
          <w:rFonts w:ascii="Helvetica" w:hAnsi="Helvetica" w:cs="Helvetica"/>
          <w:spacing w:val="-23"/>
          <w:sz w:val="24"/>
          <w:szCs w:val="24"/>
        </w:rPr>
        <w:t xml:space="preserve"> </w:t>
      </w:r>
      <w:r w:rsidRPr="00161C60">
        <w:rPr>
          <w:rFonts w:ascii="Helvetica" w:hAnsi="Helvetica" w:cs="Helvetica"/>
          <w:spacing w:val="-3"/>
          <w:sz w:val="24"/>
          <w:szCs w:val="24"/>
        </w:rPr>
        <w:t xml:space="preserve">strength </w:t>
      </w:r>
      <w:r w:rsidRPr="00161C60">
        <w:rPr>
          <w:rFonts w:ascii="Helvetica" w:hAnsi="Helvetica" w:cs="Helvetica"/>
          <w:sz w:val="24"/>
          <w:szCs w:val="24"/>
        </w:rPr>
        <w:t>and</w:t>
      </w:r>
      <w:r w:rsidRPr="00161C60">
        <w:rPr>
          <w:rFonts w:ascii="Helvetica" w:hAnsi="Helvetica" w:cs="Helvetica"/>
          <w:spacing w:val="-21"/>
          <w:sz w:val="24"/>
          <w:szCs w:val="24"/>
        </w:rPr>
        <w:t xml:space="preserve"> </w:t>
      </w:r>
      <w:r w:rsidRPr="00161C60">
        <w:rPr>
          <w:rFonts w:ascii="Helvetica" w:hAnsi="Helvetica" w:cs="Helvetica"/>
          <w:sz w:val="24"/>
          <w:szCs w:val="24"/>
        </w:rPr>
        <w:t>balance</w:t>
      </w:r>
      <w:r w:rsidRPr="00161C60">
        <w:rPr>
          <w:rFonts w:ascii="Helvetica" w:hAnsi="Helvetica" w:cs="Helvetica"/>
          <w:spacing w:val="-20"/>
          <w:sz w:val="24"/>
          <w:szCs w:val="24"/>
        </w:rPr>
        <w:t xml:space="preserve"> </w:t>
      </w:r>
      <w:r w:rsidRPr="00161C60">
        <w:rPr>
          <w:rFonts w:ascii="Helvetica" w:hAnsi="Helvetica" w:cs="Helvetica"/>
          <w:sz w:val="24"/>
          <w:szCs w:val="24"/>
        </w:rPr>
        <w:t>exercise</w:t>
      </w:r>
      <w:r w:rsidRPr="00161C60">
        <w:rPr>
          <w:rFonts w:ascii="Helvetica" w:hAnsi="Helvetica" w:cs="Helvetica"/>
          <w:spacing w:val="-20"/>
          <w:sz w:val="24"/>
          <w:szCs w:val="24"/>
        </w:rPr>
        <w:t xml:space="preserve"> </w:t>
      </w:r>
      <w:r w:rsidRPr="00161C60">
        <w:rPr>
          <w:rFonts w:ascii="Helvetica" w:hAnsi="Helvetica" w:cs="Helvetica"/>
          <w:sz w:val="24"/>
          <w:szCs w:val="24"/>
        </w:rPr>
        <w:t>to</w:t>
      </w:r>
      <w:r w:rsidRPr="00161C60">
        <w:rPr>
          <w:rFonts w:ascii="Helvetica" w:hAnsi="Helvetica" w:cs="Helvetica"/>
          <w:spacing w:val="-21"/>
          <w:sz w:val="24"/>
          <w:szCs w:val="24"/>
        </w:rPr>
        <w:t xml:space="preserve"> </w:t>
      </w:r>
      <w:r w:rsidRPr="00161C60">
        <w:rPr>
          <w:rFonts w:ascii="Helvetica" w:hAnsi="Helvetica" w:cs="Helvetica"/>
          <w:sz w:val="24"/>
          <w:szCs w:val="24"/>
        </w:rPr>
        <w:t>improve</w:t>
      </w:r>
      <w:r w:rsidRPr="00161C60">
        <w:rPr>
          <w:rFonts w:ascii="Helvetica" w:hAnsi="Helvetica" w:cs="Helvetica"/>
          <w:spacing w:val="-20"/>
          <w:sz w:val="24"/>
          <w:szCs w:val="24"/>
        </w:rPr>
        <w:t xml:space="preserve"> </w:t>
      </w:r>
      <w:r w:rsidRPr="00161C60">
        <w:rPr>
          <w:rFonts w:ascii="Helvetica" w:hAnsi="Helvetica" w:cs="Helvetica"/>
          <w:sz w:val="24"/>
          <w:szCs w:val="24"/>
        </w:rPr>
        <w:t>stability before</w:t>
      </w:r>
      <w:r w:rsidRPr="00161C60">
        <w:rPr>
          <w:rFonts w:ascii="Helvetica" w:hAnsi="Helvetica" w:cs="Helvetica"/>
          <w:spacing w:val="-21"/>
          <w:sz w:val="24"/>
          <w:szCs w:val="24"/>
        </w:rPr>
        <w:t xml:space="preserve"> </w:t>
      </w:r>
      <w:r w:rsidRPr="00161C60">
        <w:rPr>
          <w:rFonts w:ascii="Helvetica" w:hAnsi="Helvetica" w:cs="Helvetica"/>
          <w:sz w:val="24"/>
          <w:szCs w:val="24"/>
        </w:rPr>
        <w:t>embarking</w:t>
      </w:r>
      <w:r w:rsidRPr="00161C60">
        <w:rPr>
          <w:rFonts w:ascii="Helvetica" w:hAnsi="Helvetica" w:cs="Helvetica"/>
          <w:spacing w:val="-21"/>
          <w:sz w:val="24"/>
          <w:szCs w:val="24"/>
        </w:rPr>
        <w:t xml:space="preserve"> </w:t>
      </w:r>
      <w:r w:rsidRPr="00161C60">
        <w:rPr>
          <w:rFonts w:ascii="Helvetica" w:hAnsi="Helvetica" w:cs="Helvetica"/>
          <w:sz w:val="24"/>
          <w:szCs w:val="24"/>
        </w:rPr>
        <w:t>on</w:t>
      </w:r>
      <w:r w:rsidRPr="00161C60">
        <w:rPr>
          <w:rFonts w:ascii="Helvetica" w:hAnsi="Helvetica" w:cs="Helvetica"/>
          <w:spacing w:val="-21"/>
          <w:sz w:val="24"/>
          <w:szCs w:val="24"/>
        </w:rPr>
        <w:t xml:space="preserve"> </w:t>
      </w:r>
      <w:r w:rsidRPr="00161C60">
        <w:rPr>
          <w:rFonts w:ascii="Helvetica" w:hAnsi="Helvetica" w:cs="Helvetica"/>
          <w:sz w:val="24"/>
          <w:szCs w:val="24"/>
        </w:rPr>
        <w:t>brisk</w:t>
      </w:r>
      <w:r w:rsidRPr="00161C60">
        <w:rPr>
          <w:rFonts w:ascii="Helvetica" w:hAnsi="Helvetica" w:cs="Helvetica"/>
          <w:spacing w:val="-21"/>
          <w:sz w:val="24"/>
          <w:szCs w:val="24"/>
        </w:rPr>
        <w:t xml:space="preserve"> </w:t>
      </w:r>
      <w:r w:rsidRPr="00161C60">
        <w:rPr>
          <w:rFonts w:ascii="Helvetica" w:hAnsi="Helvetica" w:cs="Helvetica"/>
          <w:sz w:val="24"/>
          <w:szCs w:val="24"/>
        </w:rPr>
        <w:t>walking</w:t>
      </w:r>
      <w:r w:rsidRPr="00161C60">
        <w:rPr>
          <w:rFonts w:ascii="Helvetica" w:hAnsi="Helvetica" w:cs="Helvetica"/>
          <w:spacing w:val="-21"/>
          <w:sz w:val="24"/>
          <w:szCs w:val="24"/>
        </w:rPr>
        <w:t xml:space="preserve"> </w:t>
      </w:r>
      <w:r w:rsidRPr="00161C60">
        <w:rPr>
          <w:rFonts w:ascii="Helvetica" w:hAnsi="Helvetica" w:cs="Helvetica"/>
          <w:sz w:val="24"/>
          <w:szCs w:val="24"/>
        </w:rPr>
        <w:t>or</w:t>
      </w:r>
      <w:r w:rsidRPr="00161C60">
        <w:rPr>
          <w:rFonts w:ascii="Helvetica" w:hAnsi="Helvetica" w:cs="Helvetica"/>
          <w:spacing w:val="-20"/>
          <w:sz w:val="24"/>
          <w:szCs w:val="24"/>
        </w:rPr>
        <w:t xml:space="preserve"> </w:t>
      </w:r>
      <w:r w:rsidRPr="00161C60">
        <w:rPr>
          <w:rFonts w:ascii="Helvetica" w:hAnsi="Helvetica" w:cs="Helvetica"/>
          <w:sz w:val="24"/>
          <w:szCs w:val="24"/>
        </w:rPr>
        <w:t xml:space="preserve">fatiguing exercise </w:t>
      </w:r>
      <w:r w:rsidRPr="00161C60">
        <w:rPr>
          <w:rFonts w:ascii="Helvetica" w:hAnsi="Helvetica" w:cs="Helvetica"/>
          <w:sz w:val="24"/>
          <w:szCs w:val="24"/>
        </w:rPr>
        <w:fldChar w:fldCharType="begin" w:fldLock="1"/>
      </w:r>
      <w:r w:rsidR="008A29C3">
        <w:rPr>
          <w:rFonts w:ascii="Helvetica" w:hAnsi="Helvetica" w:cs="Helvetica"/>
          <w:sz w:val="24"/>
          <w:szCs w:val="24"/>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48&lt;/sup&gt;","plainTextFormattedCitation":"48","previouslyFormattedCitation":"&lt;sup&gt;48&lt;/sup&gt;"},"properties":{"noteIndex":0},"schema":"https://github.com/citation-style-language/schema/raw/master/csl-citation.json"}</w:instrText>
      </w:r>
      <w:r w:rsidRPr="00161C60">
        <w:rPr>
          <w:rFonts w:ascii="Helvetica" w:hAnsi="Helvetica" w:cs="Helvetica"/>
          <w:sz w:val="24"/>
          <w:szCs w:val="24"/>
        </w:rPr>
        <w:fldChar w:fldCharType="separate"/>
      </w:r>
      <w:r w:rsidR="001B5724" w:rsidRPr="001B5724">
        <w:rPr>
          <w:rFonts w:ascii="Helvetica" w:hAnsi="Helvetica" w:cs="Helvetica"/>
          <w:noProof/>
          <w:sz w:val="24"/>
          <w:szCs w:val="24"/>
          <w:vertAlign w:val="superscript"/>
        </w:rPr>
        <w:t>48</w:t>
      </w:r>
      <w:r w:rsidRPr="00161C60">
        <w:rPr>
          <w:rFonts w:ascii="Helvetica" w:hAnsi="Helvetica" w:cs="Helvetica"/>
          <w:sz w:val="24"/>
          <w:szCs w:val="24"/>
        </w:rPr>
        <w:fldChar w:fldCharType="end"/>
      </w:r>
      <w:r w:rsidRPr="00161C60">
        <w:rPr>
          <w:rFonts w:ascii="Helvetica" w:hAnsi="Helvetica" w:cs="Helvetica"/>
          <w:sz w:val="24"/>
          <w:szCs w:val="24"/>
        </w:rPr>
        <w:t>.</w:t>
      </w:r>
    </w:p>
    <w:p w14:paraId="6A95E2AD" w14:textId="63855D7E" w:rsidR="000F3D67" w:rsidRPr="00161C60" w:rsidRDefault="00FD6188" w:rsidP="00FD6188">
      <w:pPr>
        <w:spacing w:before="120" w:after="0" w:line="240" w:lineRule="auto"/>
        <w:rPr>
          <w:rFonts w:ascii="Helvetica" w:hAnsi="Helvetica" w:cs="Helvetica"/>
        </w:rPr>
      </w:pPr>
      <w:r w:rsidRPr="00161C60">
        <w:rPr>
          <w:rFonts w:ascii="Helvetica" w:hAnsi="Helvetica" w:cs="Helvetica"/>
        </w:rPr>
        <w:t>Overall, there is little evidence of harm, including fractures, occurring whilst exercising. Furthermore, cases that were identified</w:t>
      </w:r>
      <w:r w:rsidRPr="00161C60">
        <w:rPr>
          <w:rFonts w:ascii="Helvetica" w:hAnsi="Helvetica" w:cs="Helvetica"/>
          <w:spacing w:val="-26"/>
        </w:rPr>
        <w:t xml:space="preserve"> </w:t>
      </w:r>
      <w:r w:rsidRPr="00161C60">
        <w:rPr>
          <w:rFonts w:ascii="Helvetica" w:hAnsi="Helvetica" w:cs="Helvetica"/>
        </w:rPr>
        <w:t>comprised</w:t>
      </w:r>
      <w:r w:rsidRPr="00161C60">
        <w:rPr>
          <w:rFonts w:ascii="Helvetica" w:hAnsi="Helvetica" w:cs="Helvetica"/>
          <w:spacing w:val="-26"/>
        </w:rPr>
        <w:t xml:space="preserve"> </w:t>
      </w:r>
      <w:r w:rsidRPr="00161C60">
        <w:rPr>
          <w:rFonts w:ascii="Helvetica" w:hAnsi="Helvetica" w:cs="Helvetica"/>
        </w:rPr>
        <w:t>a</w:t>
      </w:r>
      <w:r w:rsidRPr="00161C60">
        <w:rPr>
          <w:rFonts w:ascii="Helvetica" w:hAnsi="Helvetica" w:cs="Helvetica"/>
          <w:spacing w:val="-26"/>
        </w:rPr>
        <w:t xml:space="preserve"> </w:t>
      </w:r>
      <w:r w:rsidRPr="00161C60">
        <w:rPr>
          <w:rFonts w:ascii="Helvetica" w:hAnsi="Helvetica" w:cs="Helvetica"/>
        </w:rPr>
        <w:t>mixture</w:t>
      </w:r>
      <w:r w:rsidRPr="00161C60">
        <w:rPr>
          <w:rFonts w:ascii="Helvetica" w:hAnsi="Helvetica" w:cs="Helvetica"/>
          <w:spacing w:val="-25"/>
        </w:rPr>
        <w:t xml:space="preserve"> </w:t>
      </w:r>
      <w:r w:rsidRPr="00161C60">
        <w:rPr>
          <w:rFonts w:ascii="Helvetica" w:hAnsi="Helvetica" w:cs="Helvetica"/>
        </w:rPr>
        <w:t>of</w:t>
      </w:r>
      <w:r w:rsidRPr="00161C60">
        <w:rPr>
          <w:rFonts w:ascii="Helvetica" w:hAnsi="Helvetica" w:cs="Helvetica"/>
          <w:spacing w:val="-26"/>
        </w:rPr>
        <w:t xml:space="preserve"> </w:t>
      </w:r>
      <w:r w:rsidRPr="00161C60">
        <w:rPr>
          <w:rFonts w:ascii="Helvetica" w:hAnsi="Helvetica" w:cs="Helvetica"/>
        </w:rPr>
        <w:t>people</w:t>
      </w:r>
      <w:r w:rsidRPr="00161C60">
        <w:rPr>
          <w:rFonts w:ascii="Helvetica" w:hAnsi="Helvetica" w:cs="Helvetica"/>
          <w:spacing w:val="-26"/>
        </w:rPr>
        <w:t xml:space="preserve"> </w:t>
      </w:r>
      <w:r w:rsidRPr="00161C60">
        <w:rPr>
          <w:rFonts w:ascii="Helvetica" w:hAnsi="Helvetica" w:cs="Helvetica"/>
        </w:rPr>
        <w:t>with and</w:t>
      </w:r>
      <w:r w:rsidRPr="00161C60">
        <w:rPr>
          <w:rFonts w:ascii="Helvetica" w:hAnsi="Helvetica" w:cs="Helvetica"/>
          <w:spacing w:val="-38"/>
        </w:rPr>
        <w:t xml:space="preserve"> </w:t>
      </w:r>
      <w:r w:rsidRPr="00161C60">
        <w:rPr>
          <w:rFonts w:ascii="Helvetica" w:hAnsi="Helvetica" w:cs="Helvetica"/>
        </w:rPr>
        <w:t>without</w:t>
      </w:r>
      <w:r w:rsidRPr="00161C60">
        <w:rPr>
          <w:rFonts w:ascii="Helvetica" w:hAnsi="Helvetica" w:cs="Helvetica"/>
          <w:spacing w:val="-37"/>
        </w:rPr>
        <w:t xml:space="preserve"> </w:t>
      </w:r>
      <w:r w:rsidRPr="00161C60">
        <w:rPr>
          <w:rFonts w:ascii="Helvetica" w:hAnsi="Helvetica" w:cs="Helvetica"/>
        </w:rPr>
        <w:t>osteoporosis</w:t>
      </w:r>
      <w:r w:rsidRPr="00161C60">
        <w:rPr>
          <w:rFonts w:ascii="Helvetica" w:hAnsi="Helvetica" w:cs="Helvetica"/>
          <w:spacing w:val="-37"/>
        </w:rPr>
        <w:t xml:space="preserve"> </w:t>
      </w:r>
      <w:r w:rsidRPr="00161C60">
        <w:rPr>
          <w:rFonts w:ascii="Helvetica" w:hAnsi="Helvetica" w:cs="Helvetica"/>
        </w:rPr>
        <w:t>(as</w:t>
      </w:r>
      <w:r w:rsidRPr="00161C60">
        <w:rPr>
          <w:rFonts w:ascii="Helvetica" w:hAnsi="Helvetica" w:cs="Helvetica"/>
          <w:spacing w:val="-37"/>
        </w:rPr>
        <w:t xml:space="preserve"> </w:t>
      </w:r>
      <w:r w:rsidRPr="00161C60">
        <w:rPr>
          <w:rFonts w:ascii="Helvetica" w:hAnsi="Helvetica" w:cs="Helvetica"/>
        </w:rPr>
        <w:t>defined</w:t>
      </w:r>
      <w:r w:rsidRPr="00161C60">
        <w:rPr>
          <w:rFonts w:ascii="Helvetica" w:hAnsi="Helvetica" w:cs="Helvetica"/>
          <w:spacing w:val="-37"/>
        </w:rPr>
        <w:t xml:space="preserve"> </w:t>
      </w:r>
      <w:r w:rsidRPr="00161C60">
        <w:rPr>
          <w:rFonts w:ascii="Helvetica" w:hAnsi="Helvetica" w:cs="Helvetica"/>
        </w:rPr>
        <w:t>by</w:t>
      </w:r>
      <w:r w:rsidRPr="00161C60">
        <w:rPr>
          <w:rFonts w:ascii="Helvetica" w:hAnsi="Helvetica" w:cs="Helvetica"/>
          <w:spacing w:val="-37"/>
        </w:rPr>
        <w:t xml:space="preserve"> </w:t>
      </w:r>
      <w:r w:rsidRPr="00161C60">
        <w:rPr>
          <w:rFonts w:ascii="Helvetica" w:hAnsi="Helvetica" w:cs="Helvetica"/>
          <w:spacing w:val="-3"/>
        </w:rPr>
        <w:t xml:space="preserve">DXA). </w:t>
      </w:r>
      <w:r w:rsidR="00CC63D8" w:rsidRPr="00161C60">
        <w:rPr>
          <w:rFonts w:ascii="Helvetica" w:hAnsi="Helvetica" w:cs="Helvetica"/>
        </w:rPr>
        <w:t>Exercise</w:t>
      </w:r>
      <w:r w:rsidRPr="00161C60">
        <w:rPr>
          <w:rFonts w:ascii="Helvetica" w:hAnsi="Helvetica" w:cs="Helvetica"/>
        </w:rPr>
        <w:t xml:space="preserve"> </w:t>
      </w:r>
      <w:r w:rsidR="00225EF9" w:rsidRPr="00161C60">
        <w:rPr>
          <w:rFonts w:ascii="Helvetica" w:hAnsi="Helvetica" w:cs="Helvetica"/>
        </w:rPr>
        <w:t>is</w:t>
      </w:r>
      <w:r w:rsidRPr="00161C60">
        <w:rPr>
          <w:rFonts w:ascii="Helvetica" w:hAnsi="Helvetica" w:cs="Helvetica"/>
        </w:rPr>
        <w:t xml:space="preserve"> therefore unlikely</w:t>
      </w:r>
      <w:r w:rsidRPr="00161C60">
        <w:rPr>
          <w:rFonts w:ascii="Helvetica" w:hAnsi="Helvetica" w:cs="Helvetica"/>
          <w:spacing w:val="-27"/>
        </w:rPr>
        <w:t xml:space="preserve"> </w:t>
      </w:r>
      <w:r w:rsidRPr="00161C60">
        <w:rPr>
          <w:rFonts w:ascii="Helvetica" w:hAnsi="Helvetica" w:cs="Helvetica"/>
        </w:rPr>
        <w:t>to</w:t>
      </w:r>
      <w:r w:rsidRPr="00161C60">
        <w:rPr>
          <w:rFonts w:ascii="Helvetica" w:hAnsi="Helvetica" w:cs="Helvetica"/>
          <w:spacing w:val="-27"/>
        </w:rPr>
        <w:t xml:space="preserve"> </w:t>
      </w:r>
      <w:r w:rsidRPr="00161C60">
        <w:rPr>
          <w:rFonts w:ascii="Helvetica" w:hAnsi="Helvetica" w:cs="Helvetica"/>
        </w:rPr>
        <w:t>cause</w:t>
      </w:r>
      <w:r w:rsidRPr="00161C60">
        <w:rPr>
          <w:rFonts w:ascii="Helvetica" w:hAnsi="Helvetica" w:cs="Helvetica"/>
          <w:spacing w:val="-27"/>
        </w:rPr>
        <w:t xml:space="preserve"> </w:t>
      </w:r>
      <w:r w:rsidRPr="00161C60">
        <w:rPr>
          <w:rFonts w:ascii="Helvetica" w:hAnsi="Helvetica" w:cs="Helvetica"/>
        </w:rPr>
        <w:t>a</w:t>
      </w:r>
      <w:r w:rsidRPr="00161C60">
        <w:rPr>
          <w:rFonts w:ascii="Helvetica" w:hAnsi="Helvetica" w:cs="Helvetica"/>
          <w:spacing w:val="-27"/>
        </w:rPr>
        <w:t xml:space="preserve"> </w:t>
      </w:r>
      <w:r w:rsidRPr="00161C60">
        <w:rPr>
          <w:rFonts w:ascii="Helvetica" w:hAnsi="Helvetica" w:cs="Helvetica"/>
        </w:rPr>
        <w:t>fracture</w:t>
      </w:r>
      <w:r w:rsidRPr="00161C60">
        <w:rPr>
          <w:rFonts w:ascii="Helvetica" w:hAnsi="Helvetica" w:cs="Helvetica"/>
          <w:spacing w:val="-27"/>
        </w:rPr>
        <w:t xml:space="preserve"> </w:t>
      </w:r>
      <w:r w:rsidRPr="00161C60">
        <w:rPr>
          <w:rFonts w:ascii="Helvetica" w:hAnsi="Helvetica" w:cs="Helvetica"/>
        </w:rPr>
        <w:t>(and</w:t>
      </w:r>
      <w:r w:rsidRPr="00161C60">
        <w:rPr>
          <w:rFonts w:ascii="Helvetica" w:hAnsi="Helvetica" w:cs="Helvetica"/>
          <w:spacing w:val="-27"/>
        </w:rPr>
        <w:t xml:space="preserve"> </w:t>
      </w:r>
      <w:r w:rsidRPr="00161C60">
        <w:rPr>
          <w:rFonts w:ascii="Helvetica" w:hAnsi="Helvetica" w:cs="Helvetica"/>
        </w:rPr>
        <w:t>specifically a vertebral fracture) and do</w:t>
      </w:r>
      <w:r w:rsidR="00225EF9" w:rsidRPr="00161C60">
        <w:rPr>
          <w:rFonts w:ascii="Helvetica" w:hAnsi="Helvetica" w:cs="Helvetica"/>
        </w:rPr>
        <w:t>es</w:t>
      </w:r>
      <w:r w:rsidRPr="00161C60">
        <w:rPr>
          <w:rFonts w:ascii="Helvetica" w:hAnsi="Helvetica" w:cs="Helvetica"/>
        </w:rPr>
        <w:t xml:space="preserve"> not need to be adapted</w:t>
      </w:r>
      <w:r w:rsidRPr="00161C60">
        <w:rPr>
          <w:rFonts w:ascii="Helvetica" w:hAnsi="Helvetica" w:cs="Helvetica"/>
          <w:spacing w:val="-39"/>
        </w:rPr>
        <w:t xml:space="preserve"> </w:t>
      </w:r>
      <w:r w:rsidRPr="00161C60">
        <w:rPr>
          <w:rFonts w:ascii="Helvetica" w:hAnsi="Helvetica" w:cs="Helvetica"/>
        </w:rPr>
        <w:t>for</w:t>
      </w:r>
      <w:r w:rsidRPr="00161C60">
        <w:rPr>
          <w:rFonts w:ascii="Helvetica" w:hAnsi="Helvetica" w:cs="Helvetica"/>
          <w:spacing w:val="-38"/>
        </w:rPr>
        <w:t xml:space="preserve"> </w:t>
      </w:r>
      <w:r w:rsidRPr="00161C60">
        <w:rPr>
          <w:rFonts w:ascii="Helvetica" w:hAnsi="Helvetica" w:cs="Helvetica"/>
        </w:rPr>
        <w:t>those</w:t>
      </w:r>
      <w:r w:rsidRPr="00161C60">
        <w:rPr>
          <w:rFonts w:ascii="Helvetica" w:hAnsi="Helvetica" w:cs="Helvetica"/>
          <w:spacing w:val="-38"/>
        </w:rPr>
        <w:t xml:space="preserve"> </w:t>
      </w:r>
      <w:r w:rsidRPr="00161C60">
        <w:rPr>
          <w:rFonts w:ascii="Helvetica" w:hAnsi="Helvetica" w:cs="Helvetica"/>
        </w:rPr>
        <w:t>with</w:t>
      </w:r>
      <w:r w:rsidRPr="00161C60">
        <w:rPr>
          <w:rFonts w:ascii="Helvetica" w:hAnsi="Helvetica" w:cs="Helvetica"/>
          <w:spacing w:val="-38"/>
        </w:rPr>
        <w:t xml:space="preserve"> </w:t>
      </w:r>
      <w:r w:rsidRPr="00161C60">
        <w:rPr>
          <w:rFonts w:ascii="Helvetica" w:hAnsi="Helvetica" w:cs="Helvetica"/>
        </w:rPr>
        <w:t>osteoporosis</w:t>
      </w:r>
      <w:r w:rsidRPr="00161C60">
        <w:rPr>
          <w:rFonts w:ascii="Helvetica" w:hAnsi="Helvetica" w:cs="Helvetica"/>
          <w:spacing w:val="-38"/>
        </w:rPr>
        <w:t xml:space="preserve"> </w:t>
      </w:r>
      <w:r w:rsidRPr="00161C60">
        <w:rPr>
          <w:rFonts w:ascii="Helvetica" w:hAnsi="Helvetica" w:cs="Helvetica"/>
          <w:spacing w:val="-3"/>
        </w:rPr>
        <w:t xml:space="preserve">according </w:t>
      </w:r>
      <w:r w:rsidRPr="00161C60">
        <w:rPr>
          <w:rFonts w:ascii="Helvetica" w:hAnsi="Helvetica" w:cs="Helvetica"/>
        </w:rPr>
        <w:t>to fracture risk or low BMD (including osteoporosis or osteopenia determined by DXA).</w:t>
      </w:r>
    </w:p>
    <w:p w14:paraId="6B73D923" w14:textId="488893D3" w:rsidR="004A176D" w:rsidRPr="00161C60" w:rsidRDefault="002E1123" w:rsidP="004E18D5">
      <w:pPr>
        <w:pStyle w:val="Heading2"/>
        <w:spacing w:before="240" w:line="240" w:lineRule="auto"/>
        <w:rPr>
          <w:rFonts w:ascii="Helvetica" w:hAnsi="Helvetica" w:cs="Helvetica"/>
          <w:b/>
          <w:bCs/>
          <w:color w:val="auto"/>
          <w:sz w:val="24"/>
          <w:szCs w:val="24"/>
        </w:rPr>
      </w:pPr>
      <w:bookmarkStart w:id="4" w:name="_Toc528064575"/>
      <w:r w:rsidRPr="00161C60">
        <w:rPr>
          <w:rFonts w:ascii="Helvetica" w:hAnsi="Helvetica" w:cs="Helvetica"/>
          <w:b/>
          <w:bCs/>
          <w:color w:val="auto"/>
          <w:sz w:val="24"/>
          <w:szCs w:val="24"/>
        </w:rPr>
        <w:t xml:space="preserve">Strong: </w:t>
      </w:r>
      <w:r w:rsidR="004A176D" w:rsidRPr="00161C60">
        <w:rPr>
          <w:rFonts w:ascii="Helvetica" w:hAnsi="Helvetica" w:cs="Helvetica"/>
          <w:b/>
          <w:bCs/>
          <w:color w:val="auto"/>
          <w:sz w:val="24"/>
          <w:szCs w:val="24"/>
        </w:rPr>
        <w:t>Physical activity and exercise to promote bone strength and prevent fractures</w:t>
      </w:r>
      <w:bookmarkEnd w:id="4"/>
    </w:p>
    <w:p w14:paraId="5D6DC6AA" w14:textId="188B5124" w:rsidR="004A176D" w:rsidRPr="00161C60" w:rsidRDefault="004B1A47" w:rsidP="00E71C25">
      <w:pPr>
        <w:spacing w:before="120" w:after="0" w:line="240" w:lineRule="auto"/>
        <w:rPr>
          <w:rFonts w:ascii="Helvetica" w:hAnsi="Helvetica" w:cs="Helvetica"/>
        </w:rPr>
      </w:pPr>
      <w:r>
        <w:rPr>
          <w:rFonts w:ascii="Helvetica" w:hAnsi="Helvetica" w:cs="Helvetica"/>
        </w:rPr>
        <w:t>Research evidence underlying recommendations is summarised</w:t>
      </w:r>
      <w:r w:rsidR="00513A45" w:rsidRPr="00161C60">
        <w:rPr>
          <w:rFonts w:ascii="Helvetica" w:hAnsi="Helvetica" w:cs="Helvetica"/>
        </w:rPr>
        <w:t xml:space="preserve"> in Supplementary Material Appendix </w:t>
      </w:r>
      <w:r w:rsidR="007E0E33">
        <w:rPr>
          <w:rFonts w:ascii="Helvetica" w:hAnsi="Helvetica" w:cs="Helvetica"/>
        </w:rPr>
        <w:t>V</w:t>
      </w:r>
      <w:r w:rsidR="00202674">
        <w:rPr>
          <w:rFonts w:ascii="Helvetica" w:hAnsi="Helvetica" w:cs="Helvetica"/>
        </w:rPr>
        <w:t>.</w:t>
      </w:r>
      <w:bookmarkStart w:id="5" w:name="_Toc512605540"/>
      <w:bookmarkStart w:id="6" w:name="_Toc513730657"/>
      <w:r w:rsidR="00FB67FD" w:rsidRPr="00161C60">
        <w:rPr>
          <w:rFonts w:ascii="Helvetica" w:hAnsi="Helvetica" w:cs="Helvetica"/>
        </w:rPr>
        <w:t xml:space="preserve"> </w:t>
      </w:r>
      <w:bookmarkStart w:id="7" w:name="_Hlk521059679"/>
      <w:r w:rsidR="0046019D" w:rsidRPr="00161C60">
        <w:rPr>
          <w:rFonts w:ascii="Helvetica" w:hAnsi="Helvetica" w:cs="Helvetica"/>
        </w:rPr>
        <w:t>Th</w:t>
      </w:r>
      <w:r w:rsidR="0046019D">
        <w:rPr>
          <w:rFonts w:ascii="Helvetica" w:hAnsi="Helvetica" w:cs="Helvetica"/>
        </w:rPr>
        <w:t>is</w:t>
      </w:r>
      <w:r w:rsidR="0046019D" w:rsidRPr="00161C60">
        <w:rPr>
          <w:rFonts w:ascii="Helvetica" w:hAnsi="Helvetica" w:cs="Helvetica"/>
        </w:rPr>
        <w:t xml:space="preserve"> </w:t>
      </w:r>
      <w:r w:rsidR="00DD0E62" w:rsidRPr="00161C60">
        <w:rPr>
          <w:rFonts w:ascii="Helvetica" w:hAnsi="Helvetica" w:cs="Helvetica"/>
        </w:rPr>
        <w:t>evidence</w:t>
      </w:r>
      <w:r w:rsidR="00F8689E" w:rsidRPr="00161C60">
        <w:rPr>
          <w:rFonts w:ascii="Helvetica" w:hAnsi="Helvetica" w:cs="Helvetica"/>
        </w:rPr>
        <w:t xml:space="preserve"> </w:t>
      </w:r>
      <w:r w:rsidR="00111BAA" w:rsidRPr="00161C60">
        <w:rPr>
          <w:rFonts w:ascii="Helvetica" w:hAnsi="Helvetica" w:cs="Helvetica"/>
        </w:rPr>
        <w:t xml:space="preserve">was considered alongside previous </w:t>
      </w:r>
      <w:r w:rsidR="00F8689E" w:rsidRPr="00161C60">
        <w:rPr>
          <w:rFonts w:ascii="Helvetica" w:hAnsi="Helvetica" w:cs="Helvetica"/>
        </w:rPr>
        <w:t>guidance</w:t>
      </w:r>
      <w:r w:rsidR="00111BAA" w:rsidRPr="00161C60">
        <w:rPr>
          <w:rFonts w:ascii="Helvetica" w:hAnsi="Helvetica" w:cs="Helvetica"/>
        </w:rPr>
        <w:t xml:space="preserve"> </w:t>
      </w:r>
      <w:r w:rsidR="00111BAA"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Exercise","id":"ITEM-3","issue":"11","issued":{"date-parts":[["2004"]]},"page":"1985-1996","title":"Physical Activity and Bone Health","type":"article-journal","volume":"36"},"uris":["http://www.mendeley.com/documents/?uuid=e93b189d-ff49-4635-9d82-5d9be2cfbb44","http://www.mendeley.com/documents/?uuid=840e4446-bcd0-4e41-9f11-68cea9d1c402"]}],"mendeley":{"formattedCitation":"&lt;sup&gt;12,13,18&lt;/sup&gt;","plainTextFormattedCitation":"12,13,18","previouslyFormattedCitation":"&lt;sup&gt;12,13,18&lt;/sup&gt;"},"properties":{"noteIndex":0},"schema":"https://github.com/citation-style-language/schema/raw/master/csl-citation.json"}</w:instrText>
      </w:r>
      <w:r w:rsidR="00111BAA" w:rsidRPr="00161C60">
        <w:rPr>
          <w:rFonts w:ascii="Helvetica" w:hAnsi="Helvetica" w:cs="Helvetica"/>
        </w:rPr>
        <w:fldChar w:fldCharType="separate"/>
      </w:r>
      <w:r w:rsidR="001B5724" w:rsidRPr="001B5724">
        <w:rPr>
          <w:rFonts w:ascii="Helvetica" w:hAnsi="Helvetica" w:cs="Helvetica"/>
          <w:noProof/>
          <w:vertAlign w:val="superscript"/>
        </w:rPr>
        <w:t>12,13,18</w:t>
      </w:r>
      <w:r w:rsidR="00111BAA" w:rsidRPr="00161C60">
        <w:rPr>
          <w:rFonts w:ascii="Helvetica" w:hAnsi="Helvetica" w:cs="Helvetica"/>
        </w:rPr>
        <w:fldChar w:fldCharType="end"/>
      </w:r>
      <w:r w:rsidR="00DD0E62" w:rsidRPr="00161C60">
        <w:rPr>
          <w:rFonts w:ascii="Helvetica" w:hAnsi="Helvetica" w:cs="Helvetica"/>
        </w:rPr>
        <w:t xml:space="preserve"> and</w:t>
      </w:r>
      <w:r w:rsidR="00E44427" w:rsidRPr="00161C60">
        <w:rPr>
          <w:rFonts w:ascii="Helvetica" w:hAnsi="Helvetica" w:cs="Helvetica"/>
        </w:rPr>
        <w:t xml:space="preserve"> EESG consensus</w:t>
      </w:r>
      <w:r w:rsidR="002D0503">
        <w:rPr>
          <w:rFonts w:ascii="Helvetica" w:hAnsi="Helvetica" w:cs="Helvetica"/>
        </w:rPr>
        <w:t xml:space="preserve"> </w:t>
      </w:r>
      <w:r w:rsidR="006853E8">
        <w:rPr>
          <w:rFonts w:ascii="Helvetica" w:hAnsi="Helvetica" w:cs="Helvetica"/>
        </w:rPr>
        <w:t>to agree recommendations (Table 1)</w:t>
      </w:r>
    </w:p>
    <w:bookmarkEnd w:id="5"/>
    <w:bookmarkEnd w:id="6"/>
    <w:bookmarkEnd w:id="7"/>
    <w:p w14:paraId="48A2A748" w14:textId="18B27051" w:rsidR="00E44427" w:rsidRPr="00161C60" w:rsidRDefault="00E44427" w:rsidP="00E71C25">
      <w:pPr>
        <w:spacing w:before="120" w:after="0" w:line="240" w:lineRule="auto"/>
        <w:rPr>
          <w:rFonts w:ascii="Helvetica" w:hAnsi="Helvetica" w:cs="Helvetica"/>
        </w:rPr>
      </w:pPr>
      <w:r w:rsidRPr="00161C60">
        <w:rPr>
          <w:rFonts w:ascii="Helvetica" w:hAnsi="Helvetica" w:cs="Helvetica"/>
        </w:rPr>
        <w:t xml:space="preserve">The combination of impact and </w:t>
      </w:r>
      <w:r w:rsidR="00E05277" w:rsidRPr="00161C60">
        <w:rPr>
          <w:rFonts w:ascii="Helvetica" w:hAnsi="Helvetica" w:cs="Helvetica"/>
        </w:rPr>
        <w:t>progressive resistance training</w:t>
      </w:r>
      <w:r w:rsidRPr="00161C60">
        <w:rPr>
          <w:rFonts w:ascii="Helvetica" w:hAnsi="Helvetica" w:cs="Helvetica"/>
        </w:rPr>
        <w:t xml:space="preserve"> best promotes bone strength</w:t>
      </w:r>
      <w:r w:rsidR="008759B6" w:rsidRPr="00161C60">
        <w:rPr>
          <w:rFonts w:ascii="Helvetica" w:hAnsi="Helvetica" w:cs="Helvetica"/>
        </w:rPr>
        <w:t xml:space="preserve"> </w:t>
      </w:r>
      <w:r w:rsidR="008759B6" w:rsidRPr="00161C60">
        <w:rPr>
          <w:rFonts w:ascii="Helvetica" w:hAnsi="Helvetica" w:cs="Helvetica"/>
        </w:rPr>
        <w:fldChar w:fldCharType="begin" w:fldLock="1"/>
      </w:r>
      <w:r w:rsidR="008A29C3">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44&lt;/sup&gt;","plainTextFormattedCitation":"44","previouslyFormattedCitation":"&lt;sup&gt;44&lt;/sup&gt;"},"properties":{"noteIndex":0},"schema":"https://github.com/citation-style-language/schema/raw/master/csl-citation.json"}</w:instrText>
      </w:r>
      <w:r w:rsidR="008759B6" w:rsidRPr="00161C60">
        <w:rPr>
          <w:rFonts w:ascii="Helvetica" w:hAnsi="Helvetica" w:cs="Helvetica"/>
        </w:rPr>
        <w:fldChar w:fldCharType="separate"/>
      </w:r>
      <w:r w:rsidR="001B5724" w:rsidRPr="001B5724">
        <w:rPr>
          <w:rFonts w:ascii="Helvetica" w:hAnsi="Helvetica" w:cs="Helvetica"/>
          <w:noProof/>
          <w:vertAlign w:val="superscript"/>
        </w:rPr>
        <w:t>44</w:t>
      </w:r>
      <w:r w:rsidR="008759B6" w:rsidRPr="00161C60">
        <w:rPr>
          <w:rFonts w:ascii="Helvetica" w:hAnsi="Helvetica" w:cs="Helvetica"/>
        </w:rPr>
        <w:fldChar w:fldCharType="end"/>
      </w:r>
      <w:r w:rsidRPr="00161C60">
        <w:rPr>
          <w:rFonts w:ascii="Helvetica" w:hAnsi="Helvetica" w:cs="Helvetica"/>
        </w:rPr>
        <w:t xml:space="preserve"> as reflected in other national guidance </w:t>
      </w:r>
      <w:r w:rsidR="00AD0C67"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Exercise","id":"ITEM-3","issue":"11","issued":{"date-parts":[["2004"]]},"page":"1985-1996","title":"Physical Activity and Bone Health","type":"article-journal","volume":"36"},"uris":["http://www.mendeley.com/documents/?uuid=e93b189d-ff49-4635-9d82-5d9be2cfbb44","http://www.mendeley.com/documents/?uuid=840e4446-bcd0-4e41-9f11-68cea9d1c402"]},{"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12,13,18,19&lt;/sup&gt;","plainTextFormattedCitation":"12,13,18,19","previouslyFormattedCitation":"&lt;sup&gt;12,13,18,19&lt;/sup&gt;"},"properties":{"noteIndex":0},"schema":"https://github.com/citation-style-language/schema/raw/master/csl-citation.json"}</w:instrText>
      </w:r>
      <w:r w:rsidR="00AD0C67" w:rsidRPr="00161C60">
        <w:rPr>
          <w:rFonts w:ascii="Helvetica" w:hAnsi="Helvetica" w:cs="Helvetica"/>
        </w:rPr>
        <w:fldChar w:fldCharType="separate"/>
      </w:r>
      <w:r w:rsidR="001B5724" w:rsidRPr="001B5724">
        <w:rPr>
          <w:rFonts w:ascii="Helvetica" w:hAnsi="Helvetica" w:cs="Helvetica"/>
          <w:noProof/>
          <w:vertAlign w:val="superscript"/>
        </w:rPr>
        <w:t>12,13,18,19</w:t>
      </w:r>
      <w:r w:rsidR="00AD0C67" w:rsidRPr="00161C60">
        <w:rPr>
          <w:rFonts w:ascii="Helvetica" w:hAnsi="Helvetica" w:cs="Helvetica"/>
        </w:rPr>
        <w:fldChar w:fldCharType="end"/>
      </w:r>
      <w:r w:rsidR="00AD0C67" w:rsidRPr="00161C60">
        <w:rPr>
          <w:rFonts w:ascii="Helvetica" w:hAnsi="Helvetica" w:cs="Helvetica"/>
        </w:rPr>
        <w:t>.</w:t>
      </w:r>
      <w:r w:rsidRPr="00161C60">
        <w:rPr>
          <w:rFonts w:ascii="Helvetica" w:hAnsi="Helvetica" w:cs="Helvetica"/>
        </w:rPr>
        <w:t xml:space="preserve">  </w:t>
      </w:r>
    </w:p>
    <w:p w14:paraId="121B92B7" w14:textId="1A0B8E79" w:rsidR="008D7857" w:rsidRPr="00161C60" w:rsidRDefault="00E05277" w:rsidP="00E71C25">
      <w:pPr>
        <w:spacing w:before="120" w:after="0" w:line="240" w:lineRule="auto"/>
        <w:rPr>
          <w:rFonts w:ascii="Helvetica" w:hAnsi="Helvetica" w:cs="Helvetica"/>
        </w:rPr>
      </w:pPr>
      <w:r w:rsidRPr="00161C60">
        <w:rPr>
          <w:rFonts w:ascii="Helvetica" w:hAnsi="Helvetica" w:cs="Helvetica"/>
        </w:rPr>
        <w:t>Resistance</w:t>
      </w:r>
      <w:r w:rsidR="00144B7A" w:rsidRPr="00161C60">
        <w:rPr>
          <w:rFonts w:ascii="Helvetica" w:hAnsi="Helvetica" w:cs="Helvetica"/>
        </w:rPr>
        <w:t xml:space="preserve"> exercise is ideally supervised to ensure good technique and minimise injury risk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-2","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International","id":"ITEM-2","issue":"3","issued":{"date-parts":[["2015"]]},"page":"891-910","title":"Too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13,19&lt;/sup&gt;","plainTextFormattedCitation":"13,19","previouslyFormattedCitation":"&lt;sup&gt;13,19&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13,19</w:t>
      </w:r>
      <w:r w:rsidR="007604CF" w:rsidRPr="00161C60">
        <w:rPr>
          <w:rFonts w:ascii="Helvetica" w:hAnsi="Helvetica" w:cs="Helvetica"/>
        </w:rPr>
        <w:fldChar w:fldCharType="end"/>
      </w:r>
      <w:r w:rsidR="00144B7A" w:rsidRPr="00161C60">
        <w:rPr>
          <w:rFonts w:ascii="Helvetica" w:hAnsi="Helvetica" w:cs="Helvetica"/>
        </w:rPr>
        <w:t xml:space="preserve"> with interventions starting with lower loads whilst correct technique is attained. For consistent gains, resistance exercise should </w:t>
      </w:r>
      <w:r w:rsidR="0038190E" w:rsidRPr="00161C60">
        <w:rPr>
          <w:rFonts w:ascii="Helvetica" w:hAnsi="Helvetica" w:cs="Helvetica"/>
        </w:rPr>
        <w:t>be</w:t>
      </w:r>
      <w:r w:rsidR="00144B7A" w:rsidRPr="00161C60">
        <w:rPr>
          <w:rFonts w:ascii="Helvetica" w:hAnsi="Helvetica" w:cs="Helvetica"/>
        </w:rPr>
        <w:t xml:space="preserve"> progressive, i.e. loads gradually increased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{"citationItems":[{"id":"ITEM-1","itemData":{"DOI":"10.1249/MSS.0b013e318213fefb","ISSN":"01959131","PMID":"21694556","abstract":"The purpose of this Position Stand is to provide guidance to professionals who counsel and prescribe individualized exercise to apparently healthy adults of all ages. These recommendations also may apply to adults with certain chronic diseases or disabilities, when appropriately evaluated and advised by a health professional. This document supersedes the 1998 American College of Sports Medicine (ACSM) Position Stand, \"The Recommended Quantity and Quality of Exercise for Developing and Maintaining Cardiorespiratory and Muscular Fitness, and Flexibility in Healthy Adults.\" The scientific evidence demonstrating the beneficial effects of exercise is indisputable, and the benefits of exercise far outweigh the risks in most adults. A program of regular exercise that includes cardiorespiratory, resistance, flexibility, and neuromotor exercise training beyond activities of daily living to improve and maintain physical fitness and health is essential for most adults. The ACSM recommends that most adults engage in moderate-intensity cardiorespiratory exercise training for ≥30 min•d-1 on ≥5 d•wk-1 for a total of ≥150 min•wk-1, vigorous-intensity cardiorespiratory exercise training for ≥20 min•d-1 on ≥3 d•wk-1 (≥75 min•wk-1), or a combination of moderate-and vigorous-intensity exercise to achieve a total energy expenditure of ≥500-1000 MET•min•wk-1. On 2-3 d•wk-1, adults should also perform resistance exercises for each of the major muscle groups, and neuromotor exercise involving balance, agility, and coordination. Crucial to maintaining joint range of movement, completing a series of flexibility exercises for each the major muscle-tendon groups (a total of 60 s per exercise) on ≥2 d•wk-1 is recommended. The exercise program should be modified according to an individual's habitual physical activity, physical function, health status, exercise responses, and stated goals. Adults who are unable or unwilling to meet the exercise targets outlined here still can benefit from engaging in amounts of exercise less than recommended. In addition to exercising regularly, there are health benefits in concurrently reducing total time engaged in sedentary pursuits and also by interspersing frequent, short bouts of standing and physical activity between periods of sedentary activity, even in physically active adults. Behaviorally based exercise interventions, the use of behavior change strategies, supervision by an experienced fitness instructor, and exercise that is pleasant and…","author":[{"dropping-particle":"","family":"Garber","given":"Carol Ewing","non-dropping-particle":"","parse-names":false,"suffix":""},{"dropping-particle":"","family":"Blissmer","given":"Bryan","non-dropping-particle":"","parse-names":false,"suffix":""},{"dropping-particle":"","family":"Deschenes","given":"Michael R.","non-dropping-particle":"","parse-names":false,"suffix":""},{"dropping-particle":"","family":"Franklin","given":"Barry A.","non-dropping-particle":"","parse-names":false,"suffix":""},{"dropping-particle":"","family":"Lamonte","given":"Michael J.","non-dropping-particle":"","parse-names":false,"suffix":""},{"dropping-particle":"","family":"Lee","given":"I. Min","non-dropping-particle":"","parse-names":false,"suffix":""},{"dropping-particle":"","family":"Nieman","given":"David C.","non-dropping-particle":"","parse-names":false,"suffix":""},{"dropping-particle":"","family":"Swain","given":"David P.","non-dropping-particle":"","parse-names":false,"suffix":""}],"container-title":"Medicine and Science in Sports and Exercise","id":"ITEM-1","issue":"7","issued":{"date-parts":[["2011"]]},"page":"1334-1359","title":"Quantity and quality of exercise for developing and maintaining cardiorespiratory, musculoskeletal, and neuromotor fitness in apparently healthy adults: Guidance for prescribing exercise","type":"article-journal","volume":"43"},"uris":["http://www.mendeley.com/documents/?uuid=aa51a568-b4b0-45e5-a4a8-e6f894a4eedf"]}],"mendeley":{"formattedCitation":"&lt;sup&gt;56&lt;/sup&gt;","plainTextFormattedCitation":"56","previouslyFormattedCitation":"&lt;sup&gt;56&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56</w:t>
      </w:r>
      <w:r w:rsidR="007604CF" w:rsidRPr="00161C60">
        <w:rPr>
          <w:rFonts w:ascii="Helvetica" w:hAnsi="Helvetica" w:cs="Helvetica"/>
        </w:rPr>
        <w:fldChar w:fldCharType="end"/>
      </w:r>
      <w:r w:rsidR="00144B7A" w:rsidRPr="00161C60">
        <w:rPr>
          <w:rFonts w:ascii="Helvetica" w:hAnsi="Helvetica" w:cs="Helvetica"/>
        </w:rPr>
        <w:t xml:space="preserve">. The ultimate intensity </w:t>
      </w:r>
      <w:r w:rsidR="0038190E" w:rsidRPr="00161C60">
        <w:rPr>
          <w:rFonts w:ascii="Helvetica" w:hAnsi="Helvetica" w:cs="Helvetica"/>
        </w:rPr>
        <w:t xml:space="preserve">recommended previously </w:t>
      </w:r>
      <w:r w:rsidR="00144B7A" w:rsidRPr="00161C60">
        <w:rPr>
          <w:rFonts w:ascii="Helvetica" w:hAnsi="Helvetica" w:cs="Helvetica"/>
        </w:rPr>
        <w:t xml:space="preserve">was 8-12 RM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19</w:t>
      </w:r>
      <w:r w:rsidR="007604CF" w:rsidRPr="00161C60">
        <w:rPr>
          <w:rFonts w:ascii="Helvetica" w:hAnsi="Helvetica" w:cs="Helvetica"/>
        </w:rPr>
        <w:fldChar w:fldCharType="end"/>
      </w:r>
      <w:r w:rsidR="00144B7A" w:rsidRPr="00161C60">
        <w:rPr>
          <w:rFonts w:ascii="Helvetica" w:hAnsi="Helvetica" w:cs="Helvetica"/>
        </w:rPr>
        <w:t xml:space="preserve"> i.e. the maximum weight that could be lifted 8-12 times or </w:t>
      </w:r>
      <w:r w:rsidR="008D7857" w:rsidRPr="00161C60">
        <w:rPr>
          <w:rFonts w:ascii="Helvetica" w:hAnsi="Helvetica" w:cs="Helvetica"/>
        </w:rPr>
        <w:t xml:space="preserve">8 repetitions at </w:t>
      </w:r>
      <w:r w:rsidR="00144B7A" w:rsidRPr="00161C60">
        <w:rPr>
          <w:rFonts w:ascii="Helvetica" w:hAnsi="Helvetica" w:cs="Helvetica"/>
        </w:rPr>
        <w:t>80-85% 1RM</w:t>
      </w:r>
      <w:r w:rsidR="007604CF" w:rsidRPr="00161C60">
        <w:rPr>
          <w:rFonts w:ascii="Helvetica" w:hAnsi="Helvetica" w:cs="Helvetica"/>
        </w:rPr>
        <w:t xml:space="preserve">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13</w:t>
      </w:r>
      <w:r w:rsidR="007604CF" w:rsidRPr="00161C60">
        <w:rPr>
          <w:rFonts w:ascii="Helvetica" w:hAnsi="Helvetica" w:cs="Helvetica"/>
        </w:rPr>
        <w:fldChar w:fldCharType="end"/>
      </w:r>
      <w:r w:rsidR="00144B7A" w:rsidRPr="00161C60">
        <w:rPr>
          <w:rFonts w:ascii="Helvetica" w:hAnsi="Helvetica" w:cs="Helvetica"/>
        </w:rPr>
        <w:t xml:space="preserve"> i.e. 80-85% of the maximum load that could be lifted just once</w:t>
      </w:r>
      <w:r w:rsidR="00DD0E62" w:rsidRPr="00161C60">
        <w:rPr>
          <w:rFonts w:ascii="Helvetica" w:hAnsi="Helvetica" w:cs="Helvetica"/>
        </w:rPr>
        <w:t>. Both recommend increasing to 2-3 sets</w:t>
      </w:r>
      <w:r w:rsidR="00144B7A" w:rsidRPr="00161C60">
        <w:rPr>
          <w:rFonts w:ascii="Helvetica" w:hAnsi="Helvetica" w:cs="Helvetica"/>
        </w:rPr>
        <w:t>.</w:t>
      </w:r>
      <w:r w:rsidR="008D7857" w:rsidRPr="00161C60">
        <w:rPr>
          <w:rFonts w:ascii="Helvetica" w:hAnsi="Helvetica" w:cs="Helvetica"/>
        </w:rPr>
        <w:t xml:space="preserve"> EESG consensus was that recommending an 8-12 RM maximum was easier to implement outside a formal laboratory setting</w:t>
      </w:r>
      <w:r w:rsidR="007703AA" w:rsidRPr="00161C60">
        <w:rPr>
          <w:rFonts w:ascii="Helvetica" w:hAnsi="Helvetica" w:cs="Helvetica"/>
        </w:rPr>
        <w:t xml:space="preserve"> </w:t>
      </w:r>
      <w:r w:rsidR="001E481D" w:rsidRPr="007E47AE">
        <w:rPr>
          <w:rFonts w:ascii="Helvetica" w:hAnsi="Helvetica" w:cs="Helvetica"/>
        </w:rPr>
        <w:t>although supervised pro</w:t>
      </w:r>
      <w:r w:rsidR="006F18FB" w:rsidRPr="007E47AE">
        <w:rPr>
          <w:rFonts w:ascii="Helvetica" w:hAnsi="Helvetica" w:cs="Helvetica"/>
        </w:rPr>
        <w:t>gr</w:t>
      </w:r>
      <w:r w:rsidR="001E481D" w:rsidRPr="007E47AE">
        <w:rPr>
          <w:rFonts w:ascii="Helvetica" w:hAnsi="Helvetica" w:cs="Helvetica"/>
        </w:rPr>
        <w:t>essive resistance training at higher intensity is likely to have greatest effects on BMD.</w:t>
      </w:r>
      <w:r w:rsidR="007703AA" w:rsidRPr="00161C60">
        <w:rPr>
          <w:rFonts w:ascii="Helvetica" w:hAnsi="Helvetica" w:cs="Helvetica"/>
        </w:rPr>
        <w:t xml:space="preserve"> </w:t>
      </w:r>
    </w:p>
    <w:p w14:paraId="6B525E8C" w14:textId="45BDC0F6" w:rsidR="002E1123" w:rsidRPr="00161C60" w:rsidRDefault="00E05277" w:rsidP="00E71C25">
      <w:pPr>
        <w:spacing w:before="120" w:after="0" w:line="240" w:lineRule="auto"/>
        <w:rPr>
          <w:rFonts w:ascii="Helvetica" w:hAnsi="Helvetica" w:cs="Helvetica"/>
        </w:rPr>
      </w:pPr>
      <w:r w:rsidRPr="00161C60">
        <w:rPr>
          <w:rFonts w:ascii="Helvetica" w:hAnsi="Helvetica" w:cs="Helvetica"/>
        </w:rPr>
        <w:t>Resistance e</w:t>
      </w:r>
      <w:r w:rsidR="00144B7A" w:rsidRPr="00161C60">
        <w:rPr>
          <w:rFonts w:ascii="Helvetica" w:hAnsi="Helvetica" w:cs="Helvetica"/>
        </w:rPr>
        <w:t xml:space="preserve">xercises involving </w:t>
      </w:r>
      <w:r w:rsidR="00594DFB" w:rsidRPr="00161C60">
        <w:rPr>
          <w:rFonts w:ascii="Helvetica" w:hAnsi="Helvetica" w:cs="Helvetica"/>
        </w:rPr>
        <w:t>major</w:t>
      </w:r>
      <w:r w:rsidR="00144B7A" w:rsidRPr="00161C60">
        <w:rPr>
          <w:rFonts w:ascii="Helvetica" w:hAnsi="Helvetica" w:cs="Helvetica"/>
        </w:rPr>
        <w:t xml:space="preserve"> muscle groups should be used to load skeletal sites at risk of osteoporotic fracture such as the spine, proximal femur and forearm. </w:t>
      </w:r>
      <w:r w:rsidR="00844FF6" w:rsidRPr="00161C60">
        <w:rPr>
          <w:rFonts w:ascii="Helvetica" w:hAnsi="Helvetica" w:cs="Helvetica"/>
        </w:rPr>
        <w:t>This may be achieved through one exercise each for legs, arms</w:t>
      </w:r>
      <w:r w:rsidR="001D5F62" w:rsidRPr="00161C60">
        <w:rPr>
          <w:rFonts w:ascii="Helvetica" w:hAnsi="Helvetica" w:cs="Helvetica"/>
        </w:rPr>
        <w:t>, chest</w:t>
      </w:r>
      <w:r w:rsidR="00EC1C3C" w:rsidRPr="00161C60">
        <w:rPr>
          <w:rFonts w:ascii="Helvetica" w:hAnsi="Helvetica" w:cs="Helvetica"/>
        </w:rPr>
        <w:t>,</w:t>
      </w:r>
      <w:r w:rsidR="001D5F62" w:rsidRPr="00161C60">
        <w:rPr>
          <w:rFonts w:ascii="Helvetica" w:hAnsi="Helvetica" w:cs="Helvetica"/>
        </w:rPr>
        <w:t xml:space="preserve"> shoulders and back using exercise bands, weights or body weight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19</w:t>
      </w:r>
      <w:r w:rsidR="007604CF" w:rsidRPr="00161C60">
        <w:rPr>
          <w:rFonts w:ascii="Helvetica" w:hAnsi="Helvetica" w:cs="Helvetica"/>
        </w:rPr>
        <w:fldChar w:fldCharType="end"/>
      </w:r>
      <w:r w:rsidR="007604CF" w:rsidRPr="00161C60">
        <w:rPr>
          <w:rFonts w:ascii="Helvetica" w:hAnsi="Helvetica" w:cs="Helvetica"/>
        </w:rPr>
        <w:t xml:space="preserve"> </w:t>
      </w:r>
      <w:r w:rsidR="001D5F62" w:rsidRPr="00161C60">
        <w:rPr>
          <w:rFonts w:ascii="Helvetica" w:hAnsi="Helvetica" w:cs="Helvetica"/>
        </w:rPr>
        <w:t>or eight exercises targeting major muscle groups of the hip and spine including weighted lunges, hip abduction/adduction, knee extension/flexion, plantar-dorsi flexion, back extension, reverse chest fly, and abdominal exercises</w:t>
      </w:r>
      <w:r w:rsidR="007604CF" w:rsidRPr="00161C60">
        <w:rPr>
          <w:rFonts w:ascii="Helvetica" w:hAnsi="Helvetica" w:cs="Helvetica"/>
        </w:rPr>
        <w:t xml:space="preserve"> </w:t>
      </w:r>
      <w:r w:rsidR="007604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7604CF" w:rsidRPr="00161C60">
        <w:rPr>
          <w:rFonts w:ascii="Helvetica" w:hAnsi="Helvetica" w:cs="Helvetica"/>
        </w:rPr>
        <w:fldChar w:fldCharType="separate"/>
      </w:r>
      <w:r w:rsidR="001B5724" w:rsidRPr="001B5724">
        <w:rPr>
          <w:rFonts w:ascii="Helvetica" w:hAnsi="Helvetica" w:cs="Helvetica"/>
          <w:noProof/>
          <w:vertAlign w:val="superscript"/>
        </w:rPr>
        <w:t>13</w:t>
      </w:r>
      <w:r w:rsidR="007604CF" w:rsidRPr="00161C60">
        <w:rPr>
          <w:rFonts w:ascii="Helvetica" w:hAnsi="Helvetica" w:cs="Helvetica"/>
        </w:rPr>
        <w:fldChar w:fldCharType="end"/>
      </w:r>
      <w:r w:rsidR="0026313D" w:rsidRPr="00161C60">
        <w:rPr>
          <w:rFonts w:ascii="Helvetica" w:hAnsi="Helvetica" w:cs="Helvetica"/>
        </w:rPr>
        <w:t xml:space="preserve"> </w:t>
      </w:r>
      <w:r w:rsidR="0026313D" w:rsidRPr="007E47AE">
        <w:rPr>
          <w:rFonts w:ascii="Helvetica" w:hAnsi="Helvetica" w:cs="Helvetica"/>
        </w:rPr>
        <w:t>(whilst avoiding loaded spinal flexion)</w:t>
      </w:r>
      <w:r w:rsidR="007604CF" w:rsidRPr="007E47AE">
        <w:rPr>
          <w:rFonts w:ascii="Helvetica" w:hAnsi="Helvetica" w:cs="Helvetica"/>
        </w:rPr>
        <w:t>.</w:t>
      </w:r>
      <w:r w:rsidR="007604CF" w:rsidRPr="00161C60">
        <w:rPr>
          <w:rFonts w:ascii="Helvetica" w:hAnsi="Helvetica" w:cs="Helvetica"/>
        </w:rPr>
        <w:t xml:space="preserve"> </w:t>
      </w:r>
      <w:r w:rsidR="0082550E" w:rsidRPr="00161C60">
        <w:rPr>
          <w:rFonts w:ascii="Helvetica" w:hAnsi="Helvetica" w:cs="Helvetica"/>
        </w:rPr>
        <w:t>Th</w:t>
      </w:r>
      <w:r w:rsidR="0082550E">
        <w:rPr>
          <w:rFonts w:ascii="Helvetica" w:hAnsi="Helvetica" w:cs="Helvetica"/>
        </w:rPr>
        <w:t>e</w:t>
      </w:r>
      <w:r w:rsidR="0082550E" w:rsidRPr="00161C60">
        <w:rPr>
          <w:rFonts w:ascii="Helvetica" w:hAnsi="Helvetica" w:cs="Helvetica"/>
        </w:rPr>
        <w:t xml:space="preserve"> </w:t>
      </w:r>
      <w:r w:rsidR="001D5F62" w:rsidRPr="00161C60">
        <w:rPr>
          <w:rFonts w:ascii="Helvetica" w:hAnsi="Helvetica" w:cs="Helvetica"/>
        </w:rPr>
        <w:t>latter recommendation could be replace</w:t>
      </w:r>
      <w:r w:rsidRPr="00161C60">
        <w:rPr>
          <w:rFonts w:ascii="Helvetica" w:hAnsi="Helvetica" w:cs="Helvetica"/>
        </w:rPr>
        <w:t>d</w:t>
      </w:r>
      <w:r w:rsidR="001D5F62" w:rsidRPr="00161C60">
        <w:rPr>
          <w:rFonts w:ascii="Helvetica" w:hAnsi="Helvetica" w:cs="Helvetica"/>
        </w:rPr>
        <w:t xml:space="preserve"> by fewer compound movements such as squats and deadlifts.</w:t>
      </w:r>
      <w:r w:rsidR="00844FF6" w:rsidRPr="00161C60">
        <w:rPr>
          <w:rFonts w:ascii="Helvetica" w:hAnsi="Helvetica" w:cs="Helvetica"/>
        </w:rPr>
        <w:t xml:space="preserve"> </w:t>
      </w:r>
      <w:r w:rsidR="00594DFB" w:rsidRPr="00161C60">
        <w:rPr>
          <w:rFonts w:ascii="Helvetica" w:hAnsi="Helvetica" w:cs="Helvetica"/>
        </w:rPr>
        <w:t>Such activities should be performed on two or three days of the week. Whilst evidence relates to progressive resistance training</w:t>
      </w:r>
      <w:r w:rsidR="00C50B8B" w:rsidRPr="00161C60">
        <w:rPr>
          <w:rFonts w:ascii="Helvetica" w:hAnsi="Helvetica" w:cs="Helvetica"/>
        </w:rPr>
        <w:t>,</w:t>
      </w:r>
      <w:r w:rsidR="00594DFB" w:rsidRPr="00161C60">
        <w:rPr>
          <w:rFonts w:ascii="Helvetica" w:hAnsi="Helvetica" w:cs="Helvetica"/>
        </w:rPr>
        <w:t xml:space="preserve"> performed usually in a formal exercise setting or using specialist equipment</w:t>
      </w:r>
      <w:r w:rsidR="00277E9D" w:rsidRPr="00161C60">
        <w:rPr>
          <w:rFonts w:ascii="Helvetica" w:hAnsi="Helvetica" w:cs="Helvetica"/>
        </w:rPr>
        <w:t>, such activities are undertaken by only a small proportion of the population</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{"citationItems":[{"id":"ITEM-1","itemData":{"DOI":"10.22540/jfsf-03-074","ISSN":"2459-4148","abstract":"This narrative review focuses on the role of strength and balance activities throughout the lifecycle to improve physical capacity and reduce all-cause mortality. The evidence suggests strong associations in middle and older age, with poor balance, poor strength or poor physical function having strong associations with mortality. Currently in the UK, the proportions of adults (69% of men and 76% of women) not meeting the strength and balance guidelines (of 2 or more sessions/week) is concerning. This report identifies specific time points in the lifecycle where specific promotion of and engagement with strength and balance activities would be most beneficial for health: 18-24y to maximize bone and muscle mass gains, 40-50y to maintain strength and reduce that downward cycle, and over 65s to preserve balance and strength and maintain independence). This review also suggests specific transition points/events in life where there may be an increase in sedentary behaviour or loss of muscle function (pregnancy, menopause, onset of on diagnosis of disease, retirement, on becoming a carer and following hospitalization), where it would be useful to initiate additional strength and balance exercises to improve future health outcomes. [ABSTRACT FROM AUTHOR] Copyright of Journal of Frailty, Sarcopenia &amp; Falls is the property of Hylonome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Abstracts.)","author":[{"dropping-particle":"","family":"Skelton","given":"Dawn A.","non-dropping-particle":"","parse-names":false,"suffix":""},{"dropping-particle":"","family":"Mavroeidi","given":"Alexandra","non-dropping-particle":"","parse-names":false,"suffix":""}],"container-title":"Journal of Frailty, Sarcopenia and Falls","id":"ITEM-1","issue":"02","issued":{"date-parts":[["2018"]]},"page":"74-84","title":"How do muscle and bone strengthening and balance activities (MBSBA) vary across the life course, and are there particular ages where MBSBA are most important?","type":"article-journal","volume":"03"},"uris":["http://www.mendeley.com/documents/?uuid=ef500f91-7889-4656-bdc0-abe6354ceba7"]}],"mendeley":{"formattedCitation":"&lt;sup&gt;57&lt;/sup&gt;","plainTextFormattedCitation":"57","previouslyFormattedCitation":"&lt;sup&gt;57&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57</w:t>
      </w:r>
      <w:r w:rsidR="00B670CF" w:rsidRPr="00161C60">
        <w:rPr>
          <w:rFonts w:ascii="Helvetica" w:hAnsi="Helvetica" w:cs="Helvetica"/>
        </w:rPr>
        <w:fldChar w:fldCharType="end"/>
      </w:r>
      <w:r w:rsidR="0038190E" w:rsidRPr="00161C60">
        <w:rPr>
          <w:rFonts w:ascii="Helvetica" w:hAnsi="Helvetica" w:cs="Helvetica"/>
        </w:rPr>
        <w:t>. T</w:t>
      </w:r>
      <w:r w:rsidR="00277E9D" w:rsidRPr="00161C60">
        <w:rPr>
          <w:rFonts w:ascii="Helvetica" w:hAnsi="Helvetica" w:cs="Helvetica"/>
        </w:rPr>
        <w:t xml:space="preserve">o enable activity, </w:t>
      </w:r>
      <w:r w:rsidR="008D7857" w:rsidRPr="00161C60">
        <w:rPr>
          <w:rFonts w:ascii="Helvetica" w:hAnsi="Helvetica" w:cs="Helvetica"/>
        </w:rPr>
        <w:t>EES</w:t>
      </w:r>
      <w:r w:rsidR="00C50B8B" w:rsidRPr="00161C60">
        <w:rPr>
          <w:rFonts w:ascii="Helvetica" w:hAnsi="Helvetica" w:cs="Helvetica"/>
        </w:rPr>
        <w:t>G</w:t>
      </w:r>
      <w:r w:rsidR="008D7857" w:rsidRPr="00161C60">
        <w:rPr>
          <w:rFonts w:ascii="Helvetica" w:hAnsi="Helvetica" w:cs="Helvetica"/>
        </w:rPr>
        <w:t xml:space="preserve"> consensus was that </w:t>
      </w:r>
      <w:r w:rsidR="00277E9D" w:rsidRPr="00161C60">
        <w:rPr>
          <w:rFonts w:ascii="Helvetica" w:hAnsi="Helvetica" w:cs="Helvetica"/>
        </w:rPr>
        <w:t>o</w:t>
      </w:r>
      <w:r w:rsidR="00594DFB" w:rsidRPr="00161C60">
        <w:rPr>
          <w:rFonts w:ascii="Helvetica" w:hAnsi="Helvetica" w:cs="Helvetica"/>
        </w:rPr>
        <w:t>ther sports or leisure activities that may promote muscle strength should also be encouraged</w:t>
      </w:r>
      <w:r w:rsidR="001D5F62" w:rsidRPr="00161C60">
        <w:rPr>
          <w:rFonts w:ascii="Helvetica" w:hAnsi="Helvetica" w:cs="Helvetica"/>
        </w:rPr>
        <w:t xml:space="preserve">, such as circuit training, </w:t>
      </w:r>
      <w:r w:rsidR="00223C10" w:rsidRPr="00161C60">
        <w:rPr>
          <w:rFonts w:ascii="Helvetica" w:hAnsi="Helvetica" w:cs="Helvetica"/>
        </w:rPr>
        <w:t xml:space="preserve">rowing, </w:t>
      </w:r>
      <w:r w:rsidR="001D5F62" w:rsidRPr="00161C60">
        <w:rPr>
          <w:rFonts w:ascii="Helvetica" w:hAnsi="Helvetica" w:cs="Helvetica"/>
        </w:rPr>
        <w:t xml:space="preserve">Pilates or yoga, stair climbing, </w:t>
      </w:r>
      <w:r w:rsidR="00223C10" w:rsidRPr="00161C60">
        <w:rPr>
          <w:rFonts w:ascii="Helvetica" w:hAnsi="Helvetica" w:cs="Helvetica"/>
        </w:rPr>
        <w:t xml:space="preserve">sit to stands, </w:t>
      </w:r>
      <w:r w:rsidR="001D5F62" w:rsidRPr="00161C60">
        <w:rPr>
          <w:rFonts w:ascii="Helvetica" w:hAnsi="Helvetica" w:cs="Helvetica"/>
        </w:rPr>
        <w:t>heavy housework or gardening and carrying shopping</w:t>
      </w:r>
      <w:r w:rsidR="005E0B1D" w:rsidRPr="00161C60">
        <w:rPr>
          <w:rFonts w:ascii="Helvetica" w:hAnsi="Helvetica" w:cs="Helvetica"/>
        </w:rPr>
        <w:t xml:space="preserve">, </w:t>
      </w:r>
      <w:r w:rsidR="005E0B1D" w:rsidRPr="007E47AE">
        <w:rPr>
          <w:rFonts w:ascii="Helvetica" w:hAnsi="Helvetica" w:cs="Helvetica"/>
        </w:rPr>
        <w:t xml:space="preserve">although </w:t>
      </w:r>
      <w:r w:rsidR="00E763A9" w:rsidRPr="007E47AE">
        <w:rPr>
          <w:rFonts w:ascii="Helvetica" w:hAnsi="Helvetica" w:cs="Helvetica"/>
        </w:rPr>
        <w:t>repeated or end-range flexion should be avoided in these activit</w:t>
      </w:r>
      <w:r w:rsidR="009B7E13" w:rsidRPr="007E47AE">
        <w:rPr>
          <w:rFonts w:ascii="Helvetica" w:hAnsi="Helvetica" w:cs="Helvetica"/>
        </w:rPr>
        <w:t>i</w:t>
      </w:r>
      <w:r w:rsidR="00E763A9" w:rsidRPr="007E47AE">
        <w:rPr>
          <w:rFonts w:ascii="Helvetica" w:hAnsi="Helvetica" w:cs="Helvetica"/>
        </w:rPr>
        <w:t>es</w:t>
      </w:r>
      <w:r w:rsidR="00BF48A1" w:rsidRPr="00161C60">
        <w:rPr>
          <w:rFonts w:ascii="Helvetica" w:hAnsi="Helvetica" w:cs="Helvetica"/>
        </w:rPr>
        <w:t xml:space="preserve"> (Figure 1)</w:t>
      </w:r>
      <w:r w:rsidR="00594DFB" w:rsidRPr="00161C60">
        <w:rPr>
          <w:rFonts w:ascii="Helvetica" w:hAnsi="Helvetica" w:cs="Helvetica"/>
        </w:rPr>
        <w:t>.</w:t>
      </w:r>
    </w:p>
    <w:p w14:paraId="2C393A93" w14:textId="34163348" w:rsidR="002E1123" w:rsidRPr="00161C60" w:rsidRDefault="002E1123" w:rsidP="00E71C25">
      <w:pPr>
        <w:spacing w:before="120" w:after="0" w:line="240" w:lineRule="auto"/>
        <w:rPr>
          <w:rFonts w:ascii="Helvetica" w:hAnsi="Helvetica" w:cs="Helvetica"/>
        </w:rPr>
      </w:pPr>
      <w:r w:rsidRPr="00161C60">
        <w:rPr>
          <w:rFonts w:ascii="Helvetica" w:hAnsi="Helvetica" w:cs="Helvetica"/>
        </w:rPr>
        <w:t>Weightbearing or impact activity includes running, jumping, aerobics, some forms of dancing and many ball games and sport. As it does not necessarily require specialist facilities or equipment, this can be more accessible</w:t>
      </w:r>
      <w:r w:rsidR="006A217E" w:rsidRPr="00161C60">
        <w:rPr>
          <w:rFonts w:ascii="Helvetica" w:hAnsi="Helvetica" w:cs="Helvetica"/>
        </w:rPr>
        <w:t xml:space="preserve"> for many people than resistance exercise</w:t>
      </w:r>
      <w:r w:rsidRPr="00161C60">
        <w:rPr>
          <w:rFonts w:ascii="Helvetica" w:hAnsi="Helvetica" w:cs="Helvetica"/>
        </w:rPr>
        <w:t>. Previous guidance recommends aerobic exercise for 30 minutes per day, 5 days per week</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19</w:t>
      </w:r>
      <w:r w:rsidR="00B670CF" w:rsidRPr="00161C60">
        <w:rPr>
          <w:rFonts w:ascii="Helvetica" w:hAnsi="Helvetica" w:cs="Helvetica"/>
        </w:rPr>
        <w:fldChar w:fldCharType="end"/>
      </w:r>
      <w:r w:rsidRPr="00161C60">
        <w:rPr>
          <w:rFonts w:ascii="Helvetica" w:hAnsi="Helvetica" w:cs="Helvetica"/>
        </w:rPr>
        <w:t>, to comply with recommendations for other health outcomes; but this may not necessarily include exercise with sufficient gravitational loading to increase bone strength. Australian recommendations are more specific in suggesting</w:t>
      </w:r>
      <w:r w:rsidR="008D7857" w:rsidRPr="00161C60">
        <w:rPr>
          <w:rFonts w:ascii="Helvetica" w:hAnsi="Helvetica" w:cs="Helvetica"/>
        </w:rPr>
        <w:t xml:space="preserve"> </w:t>
      </w:r>
      <w:r w:rsidR="00AF4D1F" w:rsidRPr="00161C60">
        <w:rPr>
          <w:rFonts w:ascii="Helvetica" w:hAnsi="Helvetica" w:cs="Helvetica"/>
        </w:rPr>
        <w:t>impact exercise</w:t>
      </w:r>
      <w:r w:rsidR="008D7857" w:rsidRPr="00161C60">
        <w:rPr>
          <w:rFonts w:ascii="Helvetica" w:hAnsi="Helvetica" w:cs="Helvetica"/>
        </w:rPr>
        <w:t xml:space="preserve"> on 4-7 days per week</w:t>
      </w:r>
      <w:r w:rsidR="00AF4D1F" w:rsidRPr="00161C60">
        <w:rPr>
          <w:rFonts w:ascii="Helvetica" w:hAnsi="Helvetica" w:cs="Helvetica"/>
        </w:rPr>
        <w:t>, with each session including 50 jumps: 3-5 sets of 10-20 repetitions with 1-2 minutes rest between sets</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13</w:t>
      </w:r>
      <w:r w:rsidR="00B670CF" w:rsidRPr="00161C60">
        <w:rPr>
          <w:rFonts w:ascii="Helvetica" w:hAnsi="Helvetica" w:cs="Helvetica"/>
        </w:rPr>
        <w:fldChar w:fldCharType="end"/>
      </w:r>
      <w:r w:rsidR="00B670CF" w:rsidRPr="00161C60">
        <w:rPr>
          <w:rFonts w:ascii="Helvetica" w:hAnsi="Helvetica" w:cs="Helvetica"/>
        </w:rPr>
        <w:t xml:space="preserve">. </w:t>
      </w:r>
      <w:r w:rsidR="00C50B8B" w:rsidRPr="00161C60">
        <w:rPr>
          <w:rFonts w:ascii="Helvetica" w:hAnsi="Helvetica" w:cs="Helvetica"/>
        </w:rPr>
        <w:t xml:space="preserve"> </w:t>
      </w:r>
      <w:r w:rsidR="00AF4D1F" w:rsidRPr="00161C60">
        <w:rPr>
          <w:rFonts w:ascii="Helvetica" w:hAnsi="Helvetica" w:cs="Helvetica"/>
        </w:rPr>
        <w:t>They recommended high intensity (&gt;4BW</w:t>
      </w:r>
      <w:r w:rsidR="00C50B8B" w:rsidRPr="00161C60">
        <w:rPr>
          <w:rFonts w:ascii="Helvetica" w:hAnsi="Helvetica" w:cs="Helvetica"/>
        </w:rPr>
        <w:t xml:space="preserve">, which may be encountered in gymnastics or drop jumps) for those without osteoporosis, and 2-4BW for those at moderate risk of osteoporosis. Because of the lack of evidence of greater benefit of the high versus moderate intensity, EESG consensus was to recommend moderate impact exercise </w:t>
      </w:r>
      <w:r w:rsidR="00223C10" w:rsidRPr="00161C60">
        <w:rPr>
          <w:rFonts w:ascii="Helvetica" w:hAnsi="Helvetica" w:cs="Helvetica"/>
        </w:rPr>
        <w:t>such as jumps, skipping, hopping, running, higher impact forms of dance such as Scottish dancing or Zumba, or ball sports</w:t>
      </w:r>
      <w:r w:rsidR="00BF48A1" w:rsidRPr="00161C60">
        <w:rPr>
          <w:rFonts w:ascii="Helvetica" w:hAnsi="Helvetica" w:cs="Helvetica"/>
        </w:rPr>
        <w:t xml:space="preserve"> (Figure 1)</w:t>
      </w:r>
      <w:r w:rsidR="000159DC" w:rsidRPr="00161C60">
        <w:rPr>
          <w:rFonts w:ascii="Helvetica" w:hAnsi="Helvetica" w:cs="Helvetica"/>
        </w:rPr>
        <w:t xml:space="preserve"> but not very high impact exercise such as landing from height</w:t>
      </w:r>
      <w:r w:rsidR="00223C10" w:rsidRPr="00161C60">
        <w:rPr>
          <w:rFonts w:ascii="Helvetica" w:hAnsi="Helvetica" w:cs="Helvetica"/>
        </w:rPr>
        <w:t>. Consistent with Australian guidance</w:t>
      </w:r>
      <w:r w:rsidR="00B670CF" w:rsidRPr="00161C60">
        <w:rPr>
          <w:rFonts w:ascii="Helvetica" w:hAnsi="Helvetica" w:cs="Helvetica"/>
        </w:rPr>
        <w:t xml:space="preserve"> </w:t>
      </w:r>
      <w:r w:rsidR="00B670CF" w:rsidRPr="00161C60">
        <w:rPr>
          <w:rFonts w:ascii="Helvetica" w:hAnsi="Helvetica" w:cs="Helvetica"/>
        </w:rPr>
        <w:fldChar w:fldCharType="begin" w:fldLock="1"/>
      </w:r>
      <w:r w:rsidR="008A29C3">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13&lt;/sup&gt;","plainTextFormattedCitation":"13","previouslyFormattedCitation":"&lt;sup&gt;13&lt;/sup&gt;"},"properties":{"noteIndex":0},"schema":"https://github.com/citation-style-language/schema/raw/master/csl-citation.json"}</w:instrText>
      </w:r>
      <w:r w:rsidR="00B670CF" w:rsidRPr="00161C60">
        <w:rPr>
          <w:rFonts w:ascii="Helvetica" w:hAnsi="Helvetica" w:cs="Helvetica"/>
        </w:rPr>
        <w:fldChar w:fldCharType="separate"/>
      </w:r>
      <w:r w:rsidR="001B5724" w:rsidRPr="001B5724">
        <w:rPr>
          <w:rFonts w:ascii="Helvetica" w:hAnsi="Helvetica" w:cs="Helvetica"/>
          <w:noProof/>
          <w:vertAlign w:val="superscript"/>
        </w:rPr>
        <w:t>13</w:t>
      </w:r>
      <w:r w:rsidR="00B670CF" w:rsidRPr="00161C60">
        <w:rPr>
          <w:rFonts w:ascii="Helvetica" w:hAnsi="Helvetica" w:cs="Helvetica"/>
        </w:rPr>
        <w:fldChar w:fldCharType="end"/>
      </w:r>
      <w:r w:rsidR="006A217E" w:rsidRPr="00161C60">
        <w:rPr>
          <w:rFonts w:ascii="Helvetica" w:hAnsi="Helvetica" w:cs="Helvetica"/>
        </w:rPr>
        <w:t>, the</w:t>
      </w:r>
      <w:r w:rsidR="00223C10" w:rsidRPr="00161C60">
        <w:rPr>
          <w:rFonts w:ascii="Helvetica" w:hAnsi="Helvetica" w:cs="Helvetica"/>
        </w:rPr>
        <w:t xml:space="preserve"> recommended volume</w:t>
      </w:r>
      <w:r w:rsidR="006A217E" w:rsidRPr="00161C60">
        <w:rPr>
          <w:rFonts w:ascii="Helvetica" w:hAnsi="Helvetica" w:cs="Helvetica"/>
        </w:rPr>
        <w:t xml:space="preserve"> and frequency</w:t>
      </w:r>
      <w:r w:rsidR="00223C10" w:rsidRPr="00161C60">
        <w:rPr>
          <w:rFonts w:ascii="Helvetica" w:hAnsi="Helvetica" w:cs="Helvetica"/>
        </w:rPr>
        <w:t xml:space="preserve"> was </w:t>
      </w:r>
      <w:r w:rsidR="006A217E" w:rsidRPr="00161C60">
        <w:rPr>
          <w:rFonts w:ascii="Helvetica" w:hAnsi="Helvetica" w:cs="Helvetica"/>
        </w:rPr>
        <w:t>~</w:t>
      </w:r>
      <w:r w:rsidR="00223C10" w:rsidRPr="00161C60">
        <w:rPr>
          <w:rFonts w:ascii="Helvetica" w:hAnsi="Helvetica" w:cs="Helvetica"/>
        </w:rPr>
        <w:t xml:space="preserve">50 moderate impacts </w:t>
      </w:r>
      <w:r w:rsidR="006A217E" w:rsidRPr="00161C60">
        <w:rPr>
          <w:rFonts w:ascii="Helvetica" w:hAnsi="Helvetica" w:cs="Helvetica"/>
        </w:rPr>
        <w:t xml:space="preserve">interspersed with rest pauses, </w:t>
      </w:r>
      <w:r w:rsidR="00223C10" w:rsidRPr="00161C60">
        <w:rPr>
          <w:rFonts w:ascii="Helvetica" w:hAnsi="Helvetica" w:cs="Helvetica"/>
        </w:rPr>
        <w:t>on most days.</w:t>
      </w:r>
    </w:p>
    <w:p w14:paraId="711E32B1" w14:textId="797C1361" w:rsidR="0069508C" w:rsidRPr="00161C60" w:rsidRDefault="00CC3B25" w:rsidP="00E71C25">
      <w:pPr>
        <w:spacing w:before="120" w:after="0" w:line="240" w:lineRule="auto"/>
        <w:rPr>
          <w:rFonts w:ascii="Helvetica" w:eastAsia="Calibri" w:hAnsi="Helvetica" w:cs="Helvetica"/>
        </w:rPr>
      </w:pPr>
      <w:r w:rsidRPr="00161C60">
        <w:rPr>
          <w:rFonts w:ascii="Helvetica" w:eastAsia="Calibri" w:hAnsi="Helvetica" w:cs="Helvetica"/>
        </w:rPr>
        <w:t xml:space="preserve">People with vertebral fractures or multiple low trauma fractures, will have greater general bone fragility and a higher risk of further fracture. </w:t>
      </w:r>
      <w:r w:rsidR="0069508C" w:rsidRPr="00161C60">
        <w:rPr>
          <w:rFonts w:ascii="Helvetica" w:eastAsia="Calibri" w:hAnsi="Helvetica" w:cs="Helvetica"/>
        </w:rPr>
        <w:t xml:space="preserve">The Expert Group consensus was more </w:t>
      </w:r>
      <w:r w:rsidR="000063D9" w:rsidRPr="00161C60">
        <w:rPr>
          <w:rFonts w:ascii="Helvetica" w:eastAsia="Calibri" w:hAnsi="Helvetica" w:cs="Helvetica"/>
        </w:rPr>
        <w:t xml:space="preserve">cautious </w:t>
      </w:r>
      <w:r w:rsidRPr="00161C60">
        <w:rPr>
          <w:rFonts w:ascii="Helvetica" w:eastAsia="Calibri" w:hAnsi="Helvetica" w:cs="Helvetica"/>
        </w:rPr>
        <w:t xml:space="preserve">about moderate </w:t>
      </w:r>
      <w:r w:rsidR="0069508C" w:rsidRPr="00161C60">
        <w:rPr>
          <w:rFonts w:ascii="Helvetica" w:eastAsia="Calibri" w:hAnsi="Helvetica" w:cs="Helvetica"/>
        </w:rPr>
        <w:t xml:space="preserve">impact exercise </w:t>
      </w:r>
      <w:r w:rsidRPr="00161C60">
        <w:rPr>
          <w:rFonts w:ascii="Helvetica" w:eastAsia="Calibri" w:hAnsi="Helvetica" w:cs="Helvetica"/>
        </w:rPr>
        <w:t>in this group.</w:t>
      </w:r>
      <w:r w:rsidR="0069508C" w:rsidRPr="00161C60">
        <w:rPr>
          <w:rFonts w:ascii="Helvetica" w:eastAsia="Calibri" w:hAnsi="Helvetica" w:cs="Helvetica"/>
        </w:rPr>
        <w:t xml:space="preserve"> A discussion about personal preferences and concerns is recommended to aid decisions about amending or excluding specific leisure or sports activities. An individualised progressive tailoring of intensity of both impact and muscle strengthening exercise, under supervision, would often be appropriate. Gradually increasing impact up to ‘moderate’ could be appropriate depending on number of vertebral fractures and symptoms experienced; other medical conditions, level of fitness</w:t>
      </w:r>
      <w:r w:rsidR="00B670CF" w:rsidRPr="00161C60">
        <w:rPr>
          <w:rFonts w:ascii="Helvetica" w:eastAsia="Calibri" w:hAnsi="Helvetica" w:cs="Helvetica"/>
        </w:rPr>
        <w:t xml:space="preserve"> or </w:t>
      </w:r>
      <w:r w:rsidR="0069508C" w:rsidRPr="00161C60">
        <w:rPr>
          <w:rFonts w:ascii="Helvetica" w:eastAsia="Calibri" w:hAnsi="Helvetica" w:cs="Helvetica"/>
        </w:rPr>
        <w:t>previous experience of moderate impact activity prior to the vertebral fracture</w:t>
      </w:r>
      <w:r w:rsidR="000063D9" w:rsidRPr="00161C60">
        <w:rPr>
          <w:rFonts w:ascii="Helvetica" w:eastAsia="Calibri" w:hAnsi="Helvetica" w:cs="Helvetica"/>
        </w:rPr>
        <w:t xml:space="preserve"> need to be considered</w:t>
      </w:r>
      <w:r w:rsidR="0069508C" w:rsidRPr="00161C60">
        <w:rPr>
          <w:rFonts w:ascii="Helvetica" w:eastAsia="Calibri" w:hAnsi="Helvetica" w:cs="Helvetica"/>
        </w:rPr>
        <w:t>.</w:t>
      </w:r>
    </w:p>
    <w:p w14:paraId="642B5A62" w14:textId="0349FECC" w:rsidR="0069508C" w:rsidRPr="00161C60" w:rsidRDefault="0069508C" w:rsidP="00E71C25">
      <w:pPr>
        <w:spacing w:before="120" w:after="0" w:line="240" w:lineRule="auto"/>
        <w:rPr>
          <w:rFonts w:ascii="Helvetica" w:eastAsia="Calibri" w:hAnsi="Helvetica" w:cs="Helvetica"/>
        </w:rPr>
      </w:pPr>
      <w:r w:rsidRPr="00161C60">
        <w:rPr>
          <w:rFonts w:ascii="Helvetica" w:eastAsia="Calibri" w:hAnsi="Helvetica" w:cs="Helvetica"/>
        </w:rPr>
        <w:t>When starting an impact or muscle strengthening programme, factors including general fitness, previous exercise and co-morbidities should be considered</w:t>
      </w:r>
      <w:r w:rsidR="0002157B" w:rsidRPr="00161C60">
        <w:rPr>
          <w:rFonts w:ascii="Helvetica" w:eastAsia="Calibri" w:hAnsi="Helvetica" w:cs="Helvetica"/>
        </w:rPr>
        <w:t xml:space="preserve"> in everyone</w:t>
      </w:r>
      <w:r w:rsidRPr="00161C60">
        <w:rPr>
          <w:rFonts w:ascii="Helvetica" w:eastAsia="Calibri" w:hAnsi="Helvetica" w:cs="Helvetica"/>
        </w:rPr>
        <w:t xml:space="preserve">. Building up gradually, employing good technique, and monitoring both progress and any adverse effects, is the best approach. </w:t>
      </w:r>
      <w:r w:rsidR="007A51A8" w:rsidRPr="00161C60">
        <w:rPr>
          <w:rFonts w:ascii="Helvetica" w:eastAsia="Calibri" w:hAnsi="Helvetica" w:cs="Helvetica"/>
        </w:rPr>
        <w:t xml:space="preserve">Urinary </w:t>
      </w:r>
      <w:r w:rsidR="00E878FA" w:rsidRPr="00161C60">
        <w:rPr>
          <w:rFonts w:ascii="Helvetica" w:eastAsia="Calibri" w:hAnsi="Helvetica" w:cs="Helvetica"/>
        </w:rPr>
        <w:t>incontinence may be a barrier to impact exercise</w:t>
      </w:r>
      <w:r w:rsidR="00670CE6" w:rsidRPr="00161C60">
        <w:rPr>
          <w:rFonts w:ascii="Helvetica" w:eastAsia="Calibri" w:hAnsi="Helvetica" w:cs="Helvetica"/>
        </w:rPr>
        <w:t xml:space="preserve"> so addressing stress incontinence </w:t>
      </w:r>
      <w:r w:rsidR="00C41DAC" w:rsidRPr="00161C60">
        <w:rPr>
          <w:rFonts w:ascii="Helvetica" w:eastAsia="Calibri" w:hAnsi="Helvetica" w:cs="Helvetica"/>
        </w:rPr>
        <w:t>may be a necessary step to being able to implement such an exercise programme.</w:t>
      </w:r>
      <w:r w:rsidR="00E878FA" w:rsidRPr="00161C60">
        <w:rPr>
          <w:rFonts w:ascii="Helvetica" w:eastAsia="Calibri" w:hAnsi="Helvetica" w:cs="Helvetica"/>
        </w:rPr>
        <w:t xml:space="preserve"> </w:t>
      </w:r>
      <w:r w:rsidRPr="00161C60">
        <w:rPr>
          <w:rFonts w:ascii="Helvetica" w:eastAsia="Calibri" w:hAnsi="Helvetica" w:cs="Helvetica"/>
        </w:rPr>
        <w:t>Learning best possible posture and correct technique is recommended as part of any progressive muscle resistance training. Balance and muscle strength training will be important for those at risk of falling prior to increasing to activities such as brisk walking.</w:t>
      </w:r>
    </w:p>
    <w:p w14:paraId="5E1EF1B3" w14:textId="2678AB20" w:rsidR="0069508C" w:rsidRPr="00161C60" w:rsidRDefault="0069508C" w:rsidP="00E71C25">
      <w:pPr>
        <w:spacing w:before="120" w:after="0" w:line="240" w:lineRule="auto"/>
        <w:rPr>
          <w:rFonts w:ascii="Helvetica" w:eastAsia="Calibri" w:hAnsi="Helvetica" w:cs="Helvetica"/>
        </w:rPr>
      </w:pPr>
      <w:r w:rsidRPr="00161C60">
        <w:rPr>
          <w:rFonts w:ascii="Helvetica" w:eastAsia="Calibri" w:hAnsi="Helvetica" w:cs="Helvetica"/>
        </w:rPr>
        <w:t>There are some sports and leisure activities that involve an inherent risk of injurious impact, falling and fracture, such as contact sports, horse-riding and skiing</w:t>
      </w:r>
      <w:r w:rsidR="00B670CF" w:rsidRPr="00161C60">
        <w:rPr>
          <w:rFonts w:ascii="Helvetica" w:eastAsia="Calibri" w:hAnsi="Helvetica" w:cs="Helvetica"/>
        </w:rPr>
        <w:t xml:space="preserve"> </w:t>
      </w:r>
      <w:r w:rsidR="00B670CF" w:rsidRPr="00161C60">
        <w:rPr>
          <w:rFonts w:ascii="Helvetica" w:eastAsia="Calibri" w:hAnsi="Helvetica" w:cs="Helvetica"/>
        </w:rPr>
        <w:fldChar w:fldCharType="begin" w:fldLock="1"/>
      </w:r>
      <w:r w:rsidR="008A29C3">
        <w:rPr>
          <w:rFonts w:ascii="Helvetica" w:eastAsia="Calibri" w:hAnsi="Helvetica" w:cs="Helvetica"/>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49&lt;/sup&gt;","plainTextFormattedCitation":"49","previouslyFormattedCitation":"&lt;sup&gt;49&lt;/sup&gt;"},"properties":{"noteIndex":0},"schema":"https://github.com/citation-style-language/schema/raw/master/csl-citation.json"}</w:instrText>
      </w:r>
      <w:r w:rsidR="00B670CF" w:rsidRPr="00161C60">
        <w:rPr>
          <w:rFonts w:ascii="Helvetica" w:eastAsia="Calibri" w:hAnsi="Helvetica" w:cs="Helvetica"/>
        </w:rPr>
        <w:fldChar w:fldCharType="separate"/>
      </w:r>
      <w:r w:rsidR="001B5724" w:rsidRPr="001B5724">
        <w:rPr>
          <w:rFonts w:ascii="Helvetica" w:eastAsia="Calibri" w:hAnsi="Helvetica" w:cs="Helvetica"/>
          <w:noProof/>
          <w:vertAlign w:val="superscript"/>
        </w:rPr>
        <w:t>49</w:t>
      </w:r>
      <w:r w:rsidR="00B670CF" w:rsidRPr="00161C60">
        <w:rPr>
          <w:rFonts w:ascii="Helvetica" w:eastAsia="Calibri" w:hAnsi="Helvetica" w:cs="Helvetica"/>
        </w:rPr>
        <w:fldChar w:fldCharType="end"/>
      </w:r>
      <w:r w:rsidRPr="00161C60">
        <w:rPr>
          <w:rFonts w:ascii="Helvetica" w:eastAsia="Calibri" w:hAnsi="Helvetica" w:cs="Helvetica"/>
        </w:rPr>
        <w:t xml:space="preserve">. However, for those who practice these regularly, the benefits provided by the activity, including enjoyment and benefits to muscle and bone strength, are likely to outweigh the risks unless people have had multiple fragility fractures or painful spinal fractures. People with osteoporosis may need some reassurance to continue with activities they enjoy. </w:t>
      </w:r>
    </w:p>
    <w:p w14:paraId="79D10F79" w14:textId="4E0911A2" w:rsidR="00E05277" w:rsidRPr="00161C60" w:rsidRDefault="00A121FE" w:rsidP="00DD0E62">
      <w:pPr>
        <w:rPr>
          <w:rFonts w:ascii="Helvetica" w:hAnsi="Helvetica" w:cs="Helvetica"/>
        </w:rPr>
      </w:pPr>
      <w:r w:rsidRPr="00161C60">
        <w:rPr>
          <w:rFonts w:ascii="Helvetica" w:hAnsi="Helvetica" w:cs="Helvetica"/>
        </w:rPr>
        <w:br w:type="page"/>
      </w:r>
      <w:r w:rsidR="00F00C6F" w:rsidRPr="00161C60">
        <w:rPr>
          <w:rFonts w:ascii="Helvetica" w:hAnsi="Helvetica" w:cs="Helvetica"/>
          <w:b/>
          <w:bCs/>
        </w:rPr>
        <w:t>Table 1: recommendations for exercise to promote bone strength</w:t>
      </w:r>
    </w:p>
    <w:tbl>
      <w:tblPr>
        <w:tblStyle w:val="TableGrid"/>
        <w:tblW w:w="0" w:type="auto"/>
        <w:tblLook w:val="04A0" w:firstRow="1" w:lastRow="0" w:firstColumn="1" w:lastColumn="0" w:noHBand="0" w:noVBand="1"/>
      </w:tblPr>
      <w:tblGrid>
        <w:gridCol w:w="9016"/>
      </w:tblGrid>
      <w:tr w:rsidR="00A121FE" w:rsidRPr="00161C60" w14:paraId="6053FEEE" w14:textId="77777777" w:rsidTr="00A121FE">
        <w:tc>
          <w:tcPr>
            <w:tcW w:w="9242" w:type="dxa"/>
          </w:tcPr>
          <w:p w14:paraId="74924097" w14:textId="77777777" w:rsidR="00A121FE" w:rsidRPr="00161C60" w:rsidRDefault="00A121FE" w:rsidP="008E16AB">
            <w:pPr>
              <w:pStyle w:val="Heading6"/>
              <w:ind w:left="0"/>
              <w:outlineLvl w:val="5"/>
              <w:rPr>
                <w:rFonts w:ascii="Helvetica" w:hAnsi="Helvetica" w:cs="Helvetica"/>
                <w:i/>
                <w:iCs/>
                <w:color w:val="auto"/>
              </w:rPr>
            </w:pPr>
            <w:r w:rsidRPr="00161C60">
              <w:rPr>
                <w:rFonts w:ascii="Helvetica" w:hAnsi="Helvetica" w:cs="Helvetica"/>
                <w:i/>
                <w:iCs/>
                <w:color w:val="auto"/>
              </w:rPr>
              <w:t>For all people with osteoporosis</w:t>
            </w:r>
          </w:p>
          <w:p w14:paraId="29C4E5B4" w14:textId="3DF56E62" w:rsidR="00A121FE" w:rsidRPr="00161C60" w:rsidRDefault="00A121FE" w:rsidP="00E71C25">
            <w:pPr>
              <w:pStyle w:val="ListParagraph"/>
              <w:widowControl w:val="0"/>
              <w:numPr>
                <w:ilvl w:val="2"/>
                <w:numId w:val="14"/>
              </w:numPr>
              <w:tabs>
                <w:tab w:val="left" w:pos="721"/>
              </w:tabs>
              <w:autoSpaceDE w:val="0"/>
              <w:autoSpaceDN w:val="0"/>
              <w:spacing w:before="151" w:after="0" w:line="280" w:lineRule="auto"/>
              <w:ind w:left="284" w:right="180" w:hanging="284"/>
              <w:contextualSpacing w:val="0"/>
              <w:rPr>
                <w:rFonts w:ascii="Helvetica" w:hAnsi="Helvetica" w:cs="Helvetica"/>
                <w:bCs/>
                <w:color w:val="auto"/>
                <w:sz w:val="24"/>
                <w:szCs w:val="24"/>
              </w:rPr>
            </w:pPr>
            <w:r w:rsidRPr="00161C60">
              <w:rPr>
                <w:rFonts w:ascii="Helvetica" w:hAnsi="Helvetica" w:cs="Helvetica"/>
                <w:color w:val="auto"/>
                <w:spacing w:val="-4"/>
                <w:sz w:val="24"/>
                <w:szCs w:val="24"/>
              </w:rPr>
              <w:t xml:space="preserve">Muscle strengthening physical activity </w:t>
            </w:r>
            <w:r w:rsidRPr="00161C60">
              <w:rPr>
                <w:rFonts w:ascii="Helvetica" w:hAnsi="Helvetica" w:cs="Helvetica"/>
                <w:color w:val="auto"/>
                <w:spacing w:val="-3"/>
                <w:sz w:val="24"/>
                <w:szCs w:val="24"/>
              </w:rPr>
              <w:t xml:space="preserve">and </w:t>
            </w:r>
            <w:r w:rsidRPr="00161C60">
              <w:rPr>
                <w:rFonts w:ascii="Helvetica" w:hAnsi="Helvetica" w:cs="Helvetica"/>
                <w:color w:val="auto"/>
                <w:spacing w:val="-5"/>
                <w:sz w:val="24"/>
                <w:szCs w:val="24"/>
              </w:rPr>
              <w:t>exercise</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is</w:t>
            </w:r>
            <w:r w:rsidRPr="00161C60">
              <w:rPr>
                <w:rFonts w:ascii="Helvetica" w:hAnsi="Helvetica" w:cs="Helvetica"/>
                <w:color w:val="auto"/>
                <w:spacing w:val="-28"/>
                <w:sz w:val="24"/>
                <w:szCs w:val="24"/>
              </w:rPr>
              <w:t xml:space="preserve"> </w:t>
            </w:r>
            <w:r w:rsidRPr="00161C60">
              <w:rPr>
                <w:rFonts w:ascii="Helvetica" w:hAnsi="Helvetica" w:cs="Helvetica"/>
                <w:color w:val="auto"/>
                <w:spacing w:val="-4"/>
                <w:sz w:val="24"/>
                <w:szCs w:val="24"/>
              </w:rPr>
              <w:t>recommended</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on</w:t>
            </w:r>
            <w:r w:rsidRPr="00161C60">
              <w:rPr>
                <w:rFonts w:ascii="Helvetica" w:hAnsi="Helvetica" w:cs="Helvetica"/>
                <w:color w:val="auto"/>
                <w:spacing w:val="-28"/>
                <w:sz w:val="24"/>
                <w:szCs w:val="24"/>
              </w:rPr>
              <w:t xml:space="preserve"> </w:t>
            </w:r>
            <w:r w:rsidRPr="00161C60">
              <w:rPr>
                <w:rFonts w:ascii="Helvetica" w:hAnsi="Helvetica" w:cs="Helvetica"/>
                <w:color w:val="auto"/>
                <w:spacing w:val="-3"/>
                <w:sz w:val="24"/>
                <w:szCs w:val="24"/>
              </w:rPr>
              <w:t>two</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or</w:t>
            </w:r>
            <w:r w:rsidRPr="00161C60">
              <w:rPr>
                <w:rFonts w:ascii="Helvetica" w:hAnsi="Helvetica" w:cs="Helvetica"/>
                <w:color w:val="auto"/>
                <w:spacing w:val="-28"/>
                <w:sz w:val="24"/>
                <w:szCs w:val="24"/>
              </w:rPr>
              <w:t xml:space="preserve"> </w:t>
            </w:r>
            <w:r w:rsidRPr="00161C60">
              <w:rPr>
                <w:rFonts w:ascii="Helvetica" w:hAnsi="Helvetica" w:cs="Helvetica"/>
                <w:color w:val="auto"/>
                <w:spacing w:val="-4"/>
                <w:sz w:val="24"/>
                <w:szCs w:val="24"/>
              </w:rPr>
              <w:t>three</w:t>
            </w:r>
            <w:r w:rsidRPr="00161C60">
              <w:rPr>
                <w:rFonts w:ascii="Helvetica" w:hAnsi="Helvetica" w:cs="Helvetica"/>
                <w:color w:val="auto"/>
                <w:spacing w:val="-28"/>
                <w:sz w:val="24"/>
                <w:szCs w:val="24"/>
              </w:rPr>
              <w:t xml:space="preserve"> </w:t>
            </w:r>
            <w:r w:rsidRPr="00161C60">
              <w:rPr>
                <w:rFonts w:ascii="Helvetica" w:hAnsi="Helvetica" w:cs="Helvetica"/>
                <w:color w:val="auto"/>
                <w:spacing w:val="-3"/>
                <w:sz w:val="24"/>
                <w:szCs w:val="24"/>
              </w:rPr>
              <w:t xml:space="preserve">days </w:t>
            </w:r>
            <w:r w:rsidRPr="00161C60">
              <w:rPr>
                <w:rFonts w:ascii="Helvetica" w:hAnsi="Helvetica" w:cs="Helvetica"/>
                <w:color w:val="auto"/>
                <w:sz w:val="24"/>
                <w:szCs w:val="24"/>
              </w:rPr>
              <w:t>of</w:t>
            </w:r>
            <w:r w:rsidRPr="00161C60">
              <w:rPr>
                <w:rFonts w:ascii="Helvetica" w:hAnsi="Helvetica" w:cs="Helvetica"/>
                <w:color w:val="auto"/>
                <w:spacing w:val="-26"/>
                <w:sz w:val="24"/>
                <w:szCs w:val="24"/>
              </w:rPr>
              <w:t xml:space="preserve"> </w:t>
            </w:r>
            <w:r w:rsidRPr="00161C60">
              <w:rPr>
                <w:rFonts w:ascii="Helvetica" w:hAnsi="Helvetica" w:cs="Helvetica"/>
                <w:color w:val="auto"/>
                <w:spacing w:val="-3"/>
                <w:sz w:val="24"/>
                <w:szCs w:val="24"/>
              </w:rPr>
              <w:t>the</w:t>
            </w:r>
            <w:r w:rsidRPr="00161C60">
              <w:rPr>
                <w:rFonts w:ascii="Helvetica" w:hAnsi="Helvetica" w:cs="Helvetica"/>
                <w:color w:val="auto"/>
                <w:spacing w:val="-25"/>
                <w:sz w:val="24"/>
                <w:szCs w:val="24"/>
              </w:rPr>
              <w:t xml:space="preserve"> </w:t>
            </w:r>
            <w:r w:rsidRPr="00161C60">
              <w:rPr>
                <w:rFonts w:ascii="Helvetica" w:hAnsi="Helvetica" w:cs="Helvetica"/>
                <w:color w:val="auto"/>
                <w:spacing w:val="-3"/>
                <w:sz w:val="24"/>
                <w:szCs w:val="24"/>
              </w:rPr>
              <w:t>week</w:t>
            </w:r>
            <w:r w:rsidRPr="00161C60">
              <w:rPr>
                <w:rFonts w:ascii="Helvetica" w:hAnsi="Helvetica" w:cs="Helvetica"/>
                <w:color w:val="auto"/>
                <w:spacing w:val="-25"/>
                <w:sz w:val="24"/>
                <w:szCs w:val="24"/>
              </w:rPr>
              <w:t xml:space="preserve"> </w:t>
            </w:r>
            <w:r w:rsidRPr="00161C60">
              <w:rPr>
                <w:rFonts w:ascii="Helvetica" w:hAnsi="Helvetica" w:cs="Helvetica"/>
                <w:color w:val="auto"/>
                <w:spacing w:val="-3"/>
                <w:sz w:val="24"/>
                <w:szCs w:val="24"/>
              </w:rPr>
              <w:t>to</w:t>
            </w:r>
            <w:r w:rsidRPr="00161C60">
              <w:rPr>
                <w:rFonts w:ascii="Helvetica" w:hAnsi="Helvetica" w:cs="Helvetica"/>
                <w:color w:val="auto"/>
                <w:spacing w:val="-26"/>
                <w:sz w:val="24"/>
                <w:szCs w:val="24"/>
              </w:rPr>
              <w:t xml:space="preserve"> </w:t>
            </w:r>
            <w:r w:rsidRPr="00161C60">
              <w:rPr>
                <w:rFonts w:ascii="Helvetica" w:hAnsi="Helvetica" w:cs="Helvetica"/>
                <w:color w:val="auto"/>
                <w:spacing w:val="-4"/>
                <w:sz w:val="24"/>
                <w:szCs w:val="24"/>
              </w:rPr>
              <w:t>maintain</w:t>
            </w:r>
            <w:r w:rsidRPr="00161C60">
              <w:rPr>
                <w:rFonts w:ascii="Helvetica" w:hAnsi="Helvetica" w:cs="Helvetica"/>
                <w:color w:val="auto"/>
                <w:spacing w:val="-25"/>
                <w:sz w:val="24"/>
                <w:szCs w:val="24"/>
              </w:rPr>
              <w:t xml:space="preserve"> </w:t>
            </w:r>
            <w:r w:rsidRPr="00161C60">
              <w:rPr>
                <w:rFonts w:ascii="Helvetica" w:hAnsi="Helvetica" w:cs="Helvetica"/>
                <w:color w:val="auto"/>
                <w:spacing w:val="-3"/>
                <w:sz w:val="24"/>
                <w:szCs w:val="24"/>
              </w:rPr>
              <w:t>bone</w:t>
            </w:r>
            <w:r w:rsidRPr="00161C60">
              <w:rPr>
                <w:rFonts w:ascii="Helvetica" w:hAnsi="Helvetica" w:cs="Helvetica"/>
                <w:color w:val="auto"/>
                <w:spacing w:val="-25"/>
                <w:sz w:val="24"/>
                <w:szCs w:val="24"/>
              </w:rPr>
              <w:t xml:space="preserve"> </w:t>
            </w:r>
            <w:r w:rsidRPr="00161C60">
              <w:rPr>
                <w:rFonts w:ascii="Helvetica" w:hAnsi="Helvetica" w:cs="Helvetica"/>
                <w:color w:val="auto"/>
                <w:spacing w:val="-4"/>
                <w:sz w:val="24"/>
                <w:szCs w:val="24"/>
              </w:rPr>
              <w:t>strength</w:t>
            </w:r>
            <w:r w:rsidRPr="00161C60">
              <w:rPr>
                <w:rFonts w:ascii="Helvetica" w:hAnsi="Helvetica" w:cs="Helvetica"/>
                <w:b/>
                <w:color w:val="auto"/>
                <w:sz w:val="24"/>
                <w:szCs w:val="24"/>
              </w:rPr>
              <w:t xml:space="preserve"> </w:t>
            </w:r>
            <w:r w:rsidRPr="00161C60">
              <w:rPr>
                <w:rFonts w:ascii="Helvetica" w:hAnsi="Helvetica" w:cs="Helvetica"/>
                <w:bCs/>
                <w:color w:val="auto"/>
                <w:sz w:val="24"/>
                <w:szCs w:val="24"/>
              </w:rPr>
              <w:t>[E]</w:t>
            </w:r>
            <w:r w:rsidRPr="00161C60">
              <w:rPr>
                <w:rFonts w:ascii="Helvetica" w:hAnsi="Helvetica" w:cs="Helvetica"/>
                <w:bCs/>
                <w:color w:val="auto"/>
                <w:sz w:val="24"/>
                <w:szCs w:val="24"/>
                <w:shd w:val="clear" w:color="auto" w:fill="DAEEF3" w:themeFill="accent5" w:themeFillTint="33"/>
              </w:rPr>
              <w:t xml:space="preserve"> </w:t>
            </w:r>
            <w:r w:rsidRPr="00161C60">
              <w:rPr>
                <w:rFonts w:ascii="Helvetica" w:hAnsi="Helvetica" w:cs="Helvetica"/>
                <w:bCs/>
                <w:color w:val="auto"/>
                <w:spacing w:val="-26"/>
                <w:sz w:val="24"/>
                <w:szCs w:val="24"/>
              </w:rPr>
              <w:t xml:space="preserve"> </w:t>
            </w:r>
          </w:p>
          <w:p w14:paraId="01AD062F" w14:textId="3663FD3F" w:rsidR="00A121FE" w:rsidRPr="00161C60" w:rsidRDefault="00A121FE" w:rsidP="00E71C25">
            <w:pPr>
              <w:pStyle w:val="ListParagraph"/>
              <w:widowControl w:val="0"/>
              <w:numPr>
                <w:ilvl w:val="2"/>
                <w:numId w:val="14"/>
              </w:numPr>
              <w:tabs>
                <w:tab w:val="left" w:pos="721"/>
              </w:tabs>
              <w:autoSpaceDE w:val="0"/>
              <w:autoSpaceDN w:val="0"/>
              <w:spacing w:before="153" w:after="0" w:line="280" w:lineRule="auto"/>
              <w:ind w:left="284" w:right="155" w:hanging="284"/>
              <w:contextualSpacing w:val="0"/>
              <w:rPr>
                <w:rFonts w:ascii="Helvetica" w:hAnsi="Helvetica" w:cs="Helvetica"/>
                <w:bCs/>
                <w:color w:val="auto"/>
                <w:sz w:val="24"/>
                <w:szCs w:val="24"/>
              </w:rPr>
            </w:pPr>
            <w:r w:rsidRPr="00161C60">
              <w:rPr>
                <w:rFonts w:ascii="Helvetica" w:hAnsi="Helvetica" w:cs="Helvetica"/>
                <w:bCs/>
                <w:color w:val="auto"/>
                <w:spacing w:val="-8"/>
                <w:sz w:val="24"/>
                <w:szCs w:val="24"/>
              </w:rPr>
              <w:t>F</w:t>
            </w:r>
            <w:r w:rsidRPr="00161C60">
              <w:rPr>
                <w:rFonts w:ascii="Helvetica" w:hAnsi="Helvetica" w:cs="Helvetica"/>
                <w:bCs/>
                <w:color w:val="auto"/>
                <w:sz w:val="24"/>
                <w:szCs w:val="24"/>
              </w:rPr>
              <w:t>or maximum benefit,</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muscle</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strengthening</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should</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include progressive muscle resistance training. In practice,</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this</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is</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the</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maximum</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that</w:t>
            </w:r>
            <w:r w:rsidRPr="00161C60">
              <w:rPr>
                <w:rFonts w:ascii="Helvetica" w:hAnsi="Helvetica" w:cs="Helvetica"/>
                <w:bCs/>
                <w:color w:val="auto"/>
                <w:spacing w:val="-25"/>
                <w:sz w:val="24"/>
                <w:szCs w:val="24"/>
              </w:rPr>
              <w:t xml:space="preserve"> </w:t>
            </w:r>
            <w:r w:rsidRPr="00161C60">
              <w:rPr>
                <w:rFonts w:ascii="Helvetica" w:hAnsi="Helvetica" w:cs="Helvetica"/>
                <w:bCs/>
                <w:color w:val="auto"/>
                <w:sz w:val="24"/>
                <w:szCs w:val="24"/>
              </w:rPr>
              <w:t>can</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be</w:t>
            </w:r>
            <w:r w:rsidRPr="00161C60">
              <w:rPr>
                <w:rFonts w:ascii="Helvetica" w:hAnsi="Helvetica" w:cs="Helvetica"/>
                <w:bCs/>
                <w:color w:val="auto"/>
                <w:spacing w:val="-24"/>
                <w:sz w:val="24"/>
                <w:szCs w:val="24"/>
              </w:rPr>
              <w:t xml:space="preserve"> </w:t>
            </w:r>
            <w:r w:rsidRPr="00161C60">
              <w:rPr>
                <w:rFonts w:ascii="Helvetica" w:hAnsi="Helvetica" w:cs="Helvetica"/>
                <w:bCs/>
                <w:color w:val="auto"/>
                <w:sz w:val="24"/>
                <w:szCs w:val="24"/>
              </w:rPr>
              <w:t>lifted 8–12</w:t>
            </w:r>
            <w:r w:rsidRPr="00161C60">
              <w:rPr>
                <w:rFonts w:ascii="Helvetica" w:hAnsi="Helvetica" w:cs="Helvetica"/>
                <w:bCs/>
                <w:color w:val="auto"/>
                <w:spacing w:val="-22"/>
                <w:sz w:val="24"/>
                <w:szCs w:val="24"/>
              </w:rPr>
              <w:t xml:space="preserve"> </w:t>
            </w:r>
            <w:r w:rsidRPr="00161C60">
              <w:rPr>
                <w:rFonts w:ascii="Helvetica" w:hAnsi="Helvetica" w:cs="Helvetica"/>
                <w:bCs/>
                <w:color w:val="auto"/>
                <w:sz w:val="24"/>
                <w:szCs w:val="24"/>
              </w:rPr>
              <w:t>times</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(building</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up</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to</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three</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sets</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for</w:t>
            </w:r>
            <w:r w:rsidRPr="00161C60">
              <w:rPr>
                <w:rFonts w:ascii="Helvetica" w:hAnsi="Helvetica" w:cs="Helvetica"/>
                <w:bCs/>
                <w:color w:val="auto"/>
                <w:spacing w:val="-21"/>
                <w:sz w:val="24"/>
                <w:szCs w:val="24"/>
              </w:rPr>
              <w:t xml:space="preserve"> </w:t>
            </w:r>
            <w:r w:rsidRPr="00161C60">
              <w:rPr>
                <w:rFonts w:ascii="Helvetica" w:hAnsi="Helvetica" w:cs="Helvetica"/>
                <w:bCs/>
                <w:color w:val="auto"/>
                <w:sz w:val="24"/>
                <w:szCs w:val="24"/>
              </w:rPr>
              <w:t>each exercise). Lower intensity exercise ensuring good technique is recommended before increasing intensity levels. [E]</w:t>
            </w:r>
            <w:r w:rsidRPr="00161C60">
              <w:rPr>
                <w:rFonts w:ascii="Helvetica" w:hAnsi="Helvetica" w:cs="Helvetica"/>
                <w:bCs/>
                <w:color w:val="auto"/>
                <w:sz w:val="24"/>
                <w:szCs w:val="24"/>
                <w:shd w:val="clear" w:color="auto" w:fill="DAEEF3" w:themeFill="accent5" w:themeFillTint="33"/>
              </w:rPr>
              <w:t xml:space="preserve"> </w:t>
            </w:r>
            <w:r w:rsidRPr="00161C60">
              <w:rPr>
                <w:rFonts w:ascii="Helvetica" w:hAnsi="Helvetica" w:cs="Helvetica"/>
                <w:bCs/>
                <w:color w:val="auto"/>
                <w:spacing w:val="-4"/>
                <w:sz w:val="24"/>
                <w:szCs w:val="24"/>
                <w:shd w:val="clear" w:color="auto" w:fill="FCD793"/>
              </w:rPr>
              <w:t xml:space="preserve"> </w:t>
            </w:r>
          </w:p>
          <w:p w14:paraId="65D2D9BE" w14:textId="3BECAEA8" w:rsidR="00A121FE" w:rsidRPr="00161C60" w:rsidRDefault="00A121FE" w:rsidP="00E71C25">
            <w:pPr>
              <w:pStyle w:val="ListParagraph"/>
              <w:widowControl w:val="0"/>
              <w:numPr>
                <w:ilvl w:val="2"/>
                <w:numId w:val="14"/>
              </w:numPr>
              <w:tabs>
                <w:tab w:val="left" w:pos="721"/>
              </w:tabs>
              <w:autoSpaceDE w:val="0"/>
              <w:autoSpaceDN w:val="0"/>
              <w:spacing w:before="105"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All</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muscle</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groups</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should</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targeted,</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including back muscles to promote bone strength in the spine. [C]</w:t>
            </w:r>
            <w:r w:rsidRPr="00161C60">
              <w:rPr>
                <w:rFonts w:ascii="Helvetica" w:hAnsi="Helvetica" w:cs="Helvetica"/>
                <w:color w:val="auto"/>
                <w:spacing w:val="38"/>
                <w:sz w:val="24"/>
                <w:szCs w:val="24"/>
                <w:shd w:val="clear" w:color="auto" w:fill="FCD793"/>
              </w:rPr>
              <w:t xml:space="preserve"> </w:t>
            </w:r>
          </w:p>
          <w:p w14:paraId="64F82F5B" w14:textId="054E21B0" w:rsidR="00A121FE" w:rsidRPr="00161C60" w:rsidRDefault="00A121FE" w:rsidP="00E71C25">
            <w:pPr>
              <w:pStyle w:val="ListParagraph"/>
              <w:widowControl w:val="0"/>
              <w:numPr>
                <w:ilvl w:val="2"/>
                <w:numId w:val="14"/>
              </w:numPr>
              <w:tabs>
                <w:tab w:val="left" w:pos="721"/>
              </w:tabs>
              <w:autoSpaceDE w:val="0"/>
              <w:autoSpaceDN w:val="0"/>
              <w:spacing w:before="111" w:after="0" w:line="280" w:lineRule="auto"/>
              <w:ind w:left="284" w:right="156" w:hanging="284"/>
              <w:contextualSpacing w:val="0"/>
              <w:rPr>
                <w:rFonts w:ascii="Helvetica" w:hAnsi="Helvetica" w:cs="Helvetica"/>
                <w:b/>
                <w:color w:val="auto"/>
                <w:sz w:val="24"/>
                <w:szCs w:val="24"/>
              </w:rPr>
            </w:pPr>
            <w:r w:rsidRPr="00161C60">
              <w:rPr>
                <w:rFonts w:ascii="Helvetica" w:hAnsi="Helvetica" w:cs="Helvetica"/>
                <w:color w:val="auto"/>
                <w:sz w:val="24"/>
                <w:szCs w:val="24"/>
              </w:rPr>
              <w:t>Daily physical activity is recommended as a minimum,</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spread</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across</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the</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day</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24"/>
                <w:sz w:val="24"/>
                <w:szCs w:val="24"/>
              </w:rPr>
              <w:t xml:space="preserve"> </w:t>
            </w:r>
            <w:r w:rsidRPr="00161C60">
              <w:rPr>
                <w:rFonts w:ascii="Helvetica" w:hAnsi="Helvetica" w:cs="Helvetica"/>
                <w:color w:val="auto"/>
                <w:spacing w:val="-3"/>
                <w:sz w:val="24"/>
                <w:szCs w:val="24"/>
              </w:rPr>
              <w:t xml:space="preserve">avoiding </w:t>
            </w:r>
            <w:r w:rsidRPr="00161C60">
              <w:rPr>
                <w:rFonts w:ascii="Helvetica" w:hAnsi="Helvetica" w:cs="Helvetica"/>
                <w:color w:val="auto"/>
                <w:sz w:val="24"/>
                <w:szCs w:val="24"/>
              </w:rPr>
              <w:t>prolonged periods of sitting. [C]</w:t>
            </w:r>
            <w:r w:rsidRPr="00161C60">
              <w:rPr>
                <w:rFonts w:ascii="Helvetica" w:hAnsi="Helvetica" w:cs="Helvetica"/>
                <w:color w:val="auto"/>
                <w:spacing w:val="-13"/>
                <w:sz w:val="24"/>
                <w:szCs w:val="24"/>
                <w:shd w:val="clear" w:color="auto" w:fill="FCD793"/>
              </w:rPr>
              <w:t xml:space="preserve"> </w:t>
            </w:r>
          </w:p>
          <w:p w14:paraId="203DA508" w14:textId="77777777" w:rsidR="00A121FE" w:rsidRPr="00161C60" w:rsidRDefault="00A121FE" w:rsidP="00E71C25">
            <w:pPr>
              <w:pStyle w:val="BodyText"/>
              <w:spacing w:before="5"/>
              <w:ind w:left="284" w:hanging="284"/>
              <w:rPr>
                <w:rFonts w:ascii="Helvetica" w:hAnsi="Helvetica" w:cs="Helvetica"/>
                <w:b/>
                <w:color w:val="auto"/>
                <w:sz w:val="24"/>
                <w:szCs w:val="24"/>
              </w:rPr>
            </w:pPr>
          </w:p>
          <w:p w14:paraId="77F0D7C1" w14:textId="5DE805DA" w:rsidR="00A121FE" w:rsidRPr="00161C60" w:rsidRDefault="00A121FE" w:rsidP="008E16AB">
            <w:pPr>
              <w:pStyle w:val="Heading6"/>
              <w:ind w:left="0"/>
              <w:outlineLvl w:val="5"/>
              <w:rPr>
                <w:rFonts w:ascii="Helvetica" w:hAnsi="Helvetica" w:cs="Helvetica"/>
                <w:b/>
                <w:bCs/>
                <w:color w:val="auto"/>
              </w:rPr>
            </w:pPr>
            <w:r w:rsidRPr="00161C60">
              <w:rPr>
                <w:rFonts w:ascii="Helvetica" w:hAnsi="Helvetica" w:cs="Helvetica"/>
                <w:b/>
                <w:bCs/>
                <w:color w:val="auto"/>
              </w:rPr>
              <w:t>In addition:</w:t>
            </w:r>
          </w:p>
          <w:p w14:paraId="6D91FBA0" w14:textId="77777777" w:rsidR="00A121FE" w:rsidRPr="00161C60" w:rsidRDefault="00A121FE" w:rsidP="00E71C25">
            <w:pPr>
              <w:pStyle w:val="BodyText"/>
              <w:spacing w:before="4"/>
              <w:ind w:left="284" w:hanging="284"/>
              <w:rPr>
                <w:rFonts w:ascii="Helvetica" w:hAnsi="Helvetica" w:cs="Helvetica"/>
                <w:b/>
                <w:color w:val="auto"/>
                <w:sz w:val="24"/>
                <w:szCs w:val="24"/>
              </w:rPr>
            </w:pPr>
          </w:p>
          <w:p w14:paraId="146F145A" w14:textId="77777777" w:rsidR="00A121FE" w:rsidRPr="00161C60" w:rsidRDefault="00A121FE" w:rsidP="00E71C25">
            <w:pPr>
              <w:spacing w:before="1" w:line="256" w:lineRule="auto"/>
              <w:ind w:left="0" w:right="3"/>
              <w:rPr>
                <w:rFonts w:ascii="Helvetica" w:hAnsi="Helvetica" w:cs="Helvetica"/>
                <w:bCs/>
                <w:i/>
                <w:iCs/>
                <w:color w:val="auto"/>
              </w:rPr>
            </w:pPr>
            <w:r w:rsidRPr="00161C60">
              <w:rPr>
                <w:rFonts w:ascii="Helvetica" w:hAnsi="Helvetica" w:cs="Helvetica"/>
                <w:bCs/>
                <w:i/>
                <w:iCs/>
                <w:color w:val="auto"/>
              </w:rPr>
              <w:t xml:space="preserve">For people with osteoporosis </w:t>
            </w:r>
            <w:r w:rsidRPr="00161C60">
              <w:rPr>
                <w:rFonts w:ascii="Helvetica" w:hAnsi="Helvetica" w:cs="Helvetica"/>
                <w:bCs/>
                <w:i/>
                <w:iCs/>
                <w:color w:val="auto"/>
                <w:u w:val="single" w:color="14377D"/>
              </w:rPr>
              <w:t>who do not</w:t>
            </w:r>
            <w:r w:rsidRPr="00161C60">
              <w:rPr>
                <w:rFonts w:ascii="Helvetica" w:hAnsi="Helvetica" w:cs="Helvetica"/>
                <w:bCs/>
                <w:i/>
                <w:iCs/>
                <w:color w:val="auto"/>
              </w:rPr>
              <w:t xml:space="preserve"> </w:t>
            </w:r>
            <w:r w:rsidRPr="00161C60">
              <w:rPr>
                <w:rFonts w:ascii="Helvetica" w:hAnsi="Helvetica" w:cs="Helvetica"/>
                <w:bCs/>
                <w:i/>
                <w:iCs/>
                <w:color w:val="auto"/>
                <w:u w:val="single" w:color="14377D"/>
              </w:rPr>
              <w:t>have</w:t>
            </w:r>
            <w:r w:rsidRPr="00161C60">
              <w:rPr>
                <w:rFonts w:ascii="Helvetica" w:hAnsi="Helvetica" w:cs="Helvetica"/>
                <w:bCs/>
                <w:i/>
                <w:iCs/>
                <w:color w:val="auto"/>
              </w:rPr>
              <w:t xml:space="preserve"> vertebral fractures or multiple low- trauma fractures</w:t>
            </w:r>
          </w:p>
          <w:p w14:paraId="046C717A" w14:textId="0A27EB3E" w:rsidR="00A121FE" w:rsidRPr="00161C60" w:rsidRDefault="00A121FE" w:rsidP="00E71C25">
            <w:pPr>
              <w:pStyle w:val="ListParagraph"/>
              <w:widowControl w:val="0"/>
              <w:numPr>
                <w:ilvl w:val="2"/>
                <w:numId w:val="14"/>
              </w:numPr>
              <w:tabs>
                <w:tab w:val="left" w:pos="721"/>
              </w:tabs>
              <w:autoSpaceDE w:val="0"/>
              <w:autoSpaceDN w:val="0"/>
              <w:spacing w:before="91" w:after="0" w:line="280" w:lineRule="auto"/>
              <w:ind w:left="284" w:right="54" w:hanging="284"/>
              <w:contextualSpacing w:val="0"/>
              <w:rPr>
                <w:rFonts w:ascii="Helvetica" w:hAnsi="Helvetica" w:cs="Helvetica"/>
                <w:b/>
                <w:color w:val="auto"/>
                <w:sz w:val="24"/>
                <w:szCs w:val="24"/>
              </w:rPr>
            </w:pPr>
            <w:r w:rsidRPr="00161C60">
              <w:rPr>
                <w:rFonts w:ascii="Helvetica" w:hAnsi="Helvetica" w:cs="Helvetica"/>
                <w:color w:val="auto"/>
                <w:sz w:val="24"/>
                <w:szCs w:val="24"/>
              </w:rPr>
              <w:t>Moderate</w:t>
            </w:r>
            <w:r w:rsidRPr="00161C60">
              <w:rPr>
                <w:rFonts w:ascii="Helvetica" w:hAnsi="Helvetica" w:cs="Helvetica"/>
                <w:color w:val="auto"/>
                <w:position w:val="4"/>
                <w:sz w:val="24"/>
                <w:szCs w:val="24"/>
              </w:rPr>
              <w:t xml:space="preserve"> </w:t>
            </w:r>
            <w:r w:rsidRPr="00161C60">
              <w:rPr>
                <w:rFonts w:ascii="Helvetica" w:hAnsi="Helvetica" w:cs="Helvetica"/>
                <w:color w:val="auto"/>
                <w:sz w:val="24"/>
                <w:szCs w:val="24"/>
              </w:rPr>
              <w:t>impact exercise is recommended on most days to promote bone strength (e.g. stamping,</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jogging,</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low-level</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jumping,</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hopping) to</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include</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at</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least</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50</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impacts</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per</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session</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(jogs, hops etc.). [C]</w:t>
            </w:r>
            <w:r w:rsidRPr="00161C60">
              <w:rPr>
                <w:rFonts w:ascii="Helvetica" w:hAnsi="Helvetica" w:cs="Helvetica"/>
                <w:color w:val="auto"/>
                <w:spacing w:val="20"/>
                <w:sz w:val="24"/>
                <w:szCs w:val="24"/>
                <w:shd w:val="clear" w:color="auto" w:fill="FCD793"/>
              </w:rPr>
              <w:t xml:space="preserve"> </w:t>
            </w:r>
          </w:p>
          <w:p w14:paraId="4F4A1250" w14:textId="328DEF73" w:rsidR="00A121FE" w:rsidRPr="00161C60" w:rsidRDefault="00A121FE" w:rsidP="00E71C25">
            <w:pPr>
              <w:pStyle w:val="ListParagraph"/>
              <w:widowControl w:val="0"/>
              <w:numPr>
                <w:ilvl w:val="2"/>
                <w:numId w:val="14"/>
              </w:numPr>
              <w:tabs>
                <w:tab w:val="left" w:pos="721"/>
              </w:tabs>
              <w:autoSpaceDE w:val="0"/>
              <w:autoSpaceDN w:val="0"/>
              <w:spacing w:before="91" w:after="0" w:line="280" w:lineRule="auto"/>
              <w:ind w:left="284" w:right="54" w:hanging="284"/>
              <w:contextualSpacing w:val="0"/>
              <w:rPr>
                <w:rFonts w:ascii="Helvetica" w:hAnsi="Helvetica" w:cs="Helvetica"/>
                <w:b/>
                <w:color w:val="auto"/>
                <w:sz w:val="24"/>
                <w:szCs w:val="24"/>
              </w:rPr>
            </w:pPr>
            <w:r w:rsidRPr="00161C60">
              <w:rPr>
                <w:rFonts w:ascii="Helvetica" w:hAnsi="Helvetica" w:cs="Helvetica"/>
                <w:color w:val="auto"/>
                <w:sz w:val="24"/>
                <w:szCs w:val="24"/>
              </w:rPr>
              <w:t>Brief bursts of moderate</w:t>
            </w:r>
            <w:r w:rsidRPr="00161C60">
              <w:rPr>
                <w:rFonts w:ascii="Helvetica" w:hAnsi="Helvetica" w:cs="Helvetica"/>
                <w:color w:val="auto"/>
                <w:position w:val="7"/>
                <w:sz w:val="24"/>
                <w:szCs w:val="24"/>
              </w:rPr>
              <w:t xml:space="preserve"> </w:t>
            </w:r>
            <w:r w:rsidRPr="00161C60">
              <w:rPr>
                <w:rFonts w:ascii="Helvetica" w:hAnsi="Helvetica" w:cs="Helvetica"/>
                <w:color w:val="auto"/>
                <w:sz w:val="24"/>
                <w:szCs w:val="24"/>
              </w:rPr>
              <w:t>impact physical activity</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should</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considered:</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about</w:t>
            </w:r>
            <w:r w:rsidRPr="00161C60">
              <w:rPr>
                <w:rFonts w:ascii="Helvetica" w:hAnsi="Helvetica" w:cs="Helvetica"/>
                <w:color w:val="auto"/>
                <w:spacing w:val="-23"/>
                <w:sz w:val="24"/>
                <w:szCs w:val="24"/>
              </w:rPr>
              <w:t xml:space="preserve"> </w:t>
            </w:r>
            <w:r w:rsidRPr="00161C60">
              <w:rPr>
                <w:rFonts w:ascii="Helvetica" w:hAnsi="Helvetica" w:cs="Helvetica"/>
                <w:color w:val="auto"/>
                <w:sz w:val="24"/>
                <w:szCs w:val="24"/>
              </w:rPr>
              <w:t>50</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impacts (e.g.</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5</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sets</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of</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10)</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with</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reduced</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impact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in-between (e.g. walk-jog). [C]</w:t>
            </w:r>
            <w:r w:rsidRPr="00161C60">
              <w:rPr>
                <w:rFonts w:ascii="Helvetica" w:hAnsi="Helvetica" w:cs="Helvetica"/>
                <w:color w:val="auto"/>
                <w:spacing w:val="19"/>
                <w:sz w:val="24"/>
                <w:szCs w:val="24"/>
                <w:shd w:val="clear" w:color="auto" w:fill="FCD793"/>
              </w:rPr>
              <w:t xml:space="preserve"> </w:t>
            </w:r>
          </w:p>
          <w:p w14:paraId="67AD5B5B" w14:textId="77777777" w:rsidR="00A121FE" w:rsidRPr="00161C60" w:rsidRDefault="00A121FE" w:rsidP="008E16AB">
            <w:pPr>
              <w:pStyle w:val="Heading6"/>
              <w:ind w:left="0"/>
              <w:outlineLvl w:val="5"/>
              <w:rPr>
                <w:rFonts w:ascii="Helvetica" w:hAnsi="Helvetica" w:cs="Helvetica"/>
                <w:i/>
                <w:iCs/>
                <w:color w:val="auto"/>
              </w:rPr>
            </w:pPr>
            <w:r w:rsidRPr="00161C60">
              <w:rPr>
                <w:rFonts w:ascii="Helvetica" w:hAnsi="Helvetica" w:cs="Helvetica"/>
                <w:i/>
                <w:iCs/>
                <w:color w:val="auto"/>
              </w:rPr>
              <w:t xml:space="preserve">For people with osteoporosis </w:t>
            </w:r>
            <w:r w:rsidRPr="00161C60">
              <w:rPr>
                <w:rFonts w:ascii="Helvetica" w:hAnsi="Helvetica" w:cs="Helvetica"/>
                <w:i/>
                <w:iCs/>
                <w:color w:val="auto"/>
                <w:u w:val="single" w:color="14377D"/>
              </w:rPr>
              <w:t>who have</w:t>
            </w:r>
            <w:r w:rsidRPr="00161C60">
              <w:rPr>
                <w:rFonts w:ascii="Helvetica" w:hAnsi="Helvetica" w:cs="Helvetica"/>
                <w:i/>
                <w:iCs/>
                <w:color w:val="auto"/>
              </w:rPr>
              <w:t xml:space="preserve"> vertebral fractures or multiple low trauma fractures</w:t>
            </w:r>
          </w:p>
          <w:p w14:paraId="0096992A" w14:textId="73035C32" w:rsidR="00A121FE" w:rsidRPr="00161C60" w:rsidRDefault="00A121FE" w:rsidP="00E71C25">
            <w:pPr>
              <w:pStyle w:val="ListParagraph"/>
              <w:widowControl w:val="0"/>
              <w:numPr>
                <w:ilvl w:val="0"/>
                <w:numId w:val="14"/>
              </w:numPr>
              <w:tabs>
                <w:tab w:val="left" w:pos="427"/>
              </w:tabs>
              <w:autoSpaceDE w:val="0"/>
              <w:autoSpaceDN w:val="0"/>
              <w:spacing w:before="131"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Impact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exercise</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on</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most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days</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at</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24"/>
                <w:sz w:val="24"/>
                <w:szCs w:val="24"/>
              </w:rPr>
              <w:t xml:space="preserve"> </w:t>
            </w:r>
            <w:r w:rsidRPr="00161C60">
              <w:rPr>
                <w:rFonts w:ascii="Helvetica" w:hAnsi="Helvetica" w:cs="Helvetica"/>
                <w:color w:val="auto"/>
                <w:sz w:val="24"/>
                <w:szCs w:val="24"/>
              </w:rPr>
              <w:t>level up to brisk walking is recommended, aiming for</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150</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minutes</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over</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the</w:t>
            </w:r>
            <w:r w:rsidRPr="00161C60">
              <w:rPr>
                <w:rFonts w:ascii="Helvetica" w:hAnsi="Helvetica" w:cs="Helvetica"/>
                <w:color w:val="auto"/>
                <w:spacing w:val="-21"/>
                <w:sz w:val="24"/>
                <w:szCs w:val="24"/>
              </w:rPr>
              <w:t xml:space="preserve"> </w:t>
            </w:r>
            <w:r w:rsidRPr="00161C60">
              <w:rPr>
                <w:rFonts w:ascii="Helvetica" w:hAnsi="Helvetica" w:cs="Helvetica"/>
                <w:color w:val="auto"/>
                <w:sz w:val="24"/>
                <w:szCs w:val="24"/>
              </w:rPr>
              <w:t>week</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(20</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minutes</w:t>
            </w:r>
            <w:r w:rsidRPr="00161C60">
              <w:rPr>
                <w:rFonts w:ascii="Helvetica" w:hAnsi="Helvetica" w:cs="Helvetica"/>
                <w:color w:val="auto"/>
                <w:spacing w:val="-22"/>
                <w:sz w:val="24"/>
                <w:szCs w:val="24"/>
              </w:rPr>
              <w:t xml:space="preserve"> </w:t>
            </w:r>
            <w:r w:rsidRPr="00161C60">
              <w:rPr>
                <w:rFonts w:ascii="Helvetica" w:hAnsi="Helvetica" w:cs="Helvetica"/>
                <w:color w:val="auto"/>
                <w:sz w:val="24"/>
                <w:szCs w:val="24"/>
              </w:rPr>
              <w:t>per day).</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This</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precautionary</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measure</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because</w:t>
            </w:r>
            <w:r w:rsidRPr="00161C60">
              <w:rPr>
                <w:rFonts w:ascii="Helvetica" w:hAnsi="Helvetica" w:cs="Helvetica"/>
                <w:color w:val="auto"/>
                <w:spacing w:val="-35"/>
                <w:sz w:val="24"/>
                <w:szCs w:val="24"/>
              </w:rPr>
              <w:t xml:space="preserve"> </w:t>
            </w:r>
            <w:r w:rsidRPr="00161C60">
              <w:rPr>
                <w:rFonts w:ascii="Helvetica" w:hAnsi="Helvetica" w:cs="Helvetica"/>
                <w:color w:val="auto"/>
                <w:spacing w:val="-7"/>
                <w:sz w:val="24"/>
                <w:szCs w:val="24"/>
              </w:rPr>
              <w:t xml:space="preserve">of </w:t>
            </w:r>
            <w:r w:rsidRPr="00161C60">
              <w:rPr>
                <w:rFonts w:ascii="Helvetica" w:hAnsi="Helvetica" w:cs="Helvetica"/>
                <w:color w:val="auto"/>
                <w:sz w:val="24"/>
                <w:szCs w:val="24"/>
              </w:rPr>
              <w:t>theoretical</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(unproven)</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risks</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of</w:t>
            </w:r>
            <w:r w:rsidRPr="00161C60">
              <w:rPr>
                <w:rFonts w:ascii="Helvetica" w:hAnsi="Helvetica" w:cs="Helvetica"/>
                <w:color w:val="auto"/>
                <w:spacing w:val="-31"/>
                <w:sz w:val="24"/>
                <w:szCs w:val="24"/>
              </w:rPr>
              <w:t xml:space="preserve"> </w:t>
            </w:r>
            <w:r w:rsidRPr="00161C60">
              <w:rPr>
                <w:rFonts w:ascii="Helvetica" w:hAnsi="Helvetica" w:cs="Helvetica"/>
                <w:color w:val="auto"/>
                <w:sz w:val="24"/>
                <w:szCs w:val="24"/>
              </w:rPr>
              <w:t>further</w:t>
            </w:r>
            <w:r w:rsidRPr="00161C60">
              <w:rPr>
                <w:rFonts w:ascii="Helvetica" w:hAnsi="Helvetica" w:cs="Helvetica"/>
                <w:color w:val="auto"/>
                <w:spacing w:val="-32"/>
                <w:sz w:val="24"/>
                <w:szCs w:val="24"/>
              </w:rPr>
              <w:t xml:space="preserve"> </w:t>
            </w:r>
            <w:r w:rsidRPr="00161C60">
              <w:rPr>
                <w:rFonts w:ascii="Helvetica" w:hAnsi="Helvetica" w:cs="Helvetica"/>
                <w:color w:val="auto"/>
                <w:sz w:val="24"/>
                <w:szCs w:val="24"/>
              </w:rPr>
              <w:t>vertebral fracture in this group. [C]</w:t>
            </w:r>
            <w:r w:rsidRPr="00161C60">
              <w:rPr>
                <w:rFonts w:ascii="Helvetica" w:hAnsi="Helvetica" w:cs="Helvetica"/>
                <w:color w:val="auto"/>
                <w:spacing w:val="-16"/>
                <w:sz w:val="24"/>
                <w:szCs w:val="24"/>
                <w:shd w:val="clear" w:color="auto" w:fill="FCD793"/>
              </w:rPr>
              <w:t xml:space="preserve"> </w:t>
            </w:r>
          </w:p>
          <w:p w14:paraId="2C7E9156" w14:textId="7C1259A6" w:rsidR="00A121FE" w:rsidRPr="00161C60" w:rsidRDefault="00A121FE" w:rsidP="00E71C25">
            <w:pPr>
              <w:pStyle w:val="ListParagraph"/>
              <w:widowControl w:val="0"/>
              <w:numPr>
                <w:ilvl w:val="0"/>
                <w:numId w:val="14"/>
              </w:numPr>
              <w:tabs>
                <w:tab w:val="left" w:pos="427"/>
              </w:tabs>
              <w:autoSpaceDE w:val="0"/>
              <w:autoSpaceDN w:val="0"/>
              <w:spacing w:before="108"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Individualised</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advice</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from</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26"/>
                <w:sz w:val="24"/>
                <w:szCs w:val="24"/>
              </w:rPr>
              <w:t xml:space="preserve"> </w:t>
            </w:r>
            <w:r w:rsidRPr="00161C60">
              <w:rPr>
                <w:rFonts w:ascii="Helvetica" w:hAnsi="Helvetica" w:cs="Helvetica"/>
                <w:color w:val="auto"/>
                <w:sz w:val="24"/>
                <w:szCs w:val="24"/>
              </w:rPr>
              <w:t>physiotherapist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is recommended</w:t>
            </w:r>
            <w:r w:rsidRPr="00161C60">
              <w:rPr>
                <w:rFonts w:ascii="Helvetica" w:hAnsi="Helvetica" w:cs="Helvetica"/>
                <w:color w:val="auto"/>
                <w:spacing w:val="-16"/>
                <w:sz w:val="24"/>
                <w:szCs w:val="24"/>
              </w:rPr>
              <w:t xml:space="preserve"> </w:t>
            </w:r>
            <w:r w:rsidRPr="00161C60">
              <w:rPr>
                <w:rFonts w:ascii="Helvetica" w:hAnsi="Helvetica" w:cs="Helvetica"/>
                <w:color w:val="auto"/>
                <w:sz w:val="24"/>
                <w:szCs w:val="24"/>
              </w:rPr>
              <w:t>for</w:t>
            </w:r>
            <w:r w:rsidRPr="00161C60">
              <w:rPr>
                <w:rFonts w:ascii="Helvetica" w:hAnsi="Helvetica" w:cs="Helvetica"/>
                <w:color w:val="auto"/>
                <w:spacing w:val="-15"/>
                <w:sz w:val="24"/>
                <w:szCs w:val="24"/>
              </w:rPr>
              <w:t xml:space="preserve"> </w:t>
            </w:r>
            <w:r w:rsidRPr="00161C60">
              <w:rPr>
                <w:rFonts w:ascii="Helvetica" w:hAnsi="Helvetica" w:cs="Helvetica"/>
                <w:color w:val="auto"/>
                <w:sz w:val="24"/>
                <w:szCs w:val="24"/>
              </w:rPr>
              <w:t>both</w:t>
            </w:r>
            <w:r w:rsidRPr="00161C60">
              <w:rPr>
                <w:rFonts w:ascii="Helvetica" w:hAnsi="Helvetica" w:cs="Helvetica"/>
                <w:color w:val="auto"/>
                <w:spacing w:val="-15"/>
                <w:sz w:val="24"/>
                <w:szCs w:val="24"/>
              </w:rPr>
              <w:t xml:space="preserve"> </w:t>
            </w:r>
            <w:r w:rsidRPr="00161C60">
              <w:rPr>
                <w:rFonts w:ascii="Helvetica" w:hAnsi="Helvetica" w:cs="Helvetica"/>
                <w:color w:val="auto"/>
                <w:sz w:val="24"/>
                <w:szCs w:val="24"/>
              </w:rPr>
              <w:t>impact</w:t>
            </w:r>
            <w:r w:rsidRPr="00161C60">
              <w:rPr>
                <w:rFonts w:ascii="Helvetica" w:hAnsi="Helvetica" w:cs="Helvetica"/>
                <w:color w:val="auto"/>
                <w:spacing w:val="-15"/>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16"/>
                <w:sz w:val="24"/>
                <w:szCs w:val="24"/>
              </w:rPr>
              <w:t xml:space="preserve"> </w:t>
            </w:r>
            <w:r w:rsidRPr="00161C60">
              <w:rPr>
                <w:rFonts w:ascii="Helvetica" w:hAnsi="Helvetica" w:cs="Helvetica"/>
                <w:color w:val="auto"/>
                <w:spacing w:val="-3"/>
                <w:sz w:val="24"/>
                <w:szCs w:val="24"/>
              </w:rPr>
              <w:t xml:space="preserve">progressive </w:t>
            </w:r>
            <w:r w:rsidRPr="00161C60">
              <w:rPr>
                <w:rFonts w:ascii="Helvetica" w:hAnsi="Helvetica" w:cs="Helvetica"/>
                <w:color w:val="auto"/>
                <w:sz w:val="24"/>
                <w:szCs w:val="24"/>
              </w:rPr>
              <w:t>resistance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training</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to</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ensure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correct</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technique, at least at the start of a new programme of exercise or activity. [C]</w:t>
            </w:r>
            <w:r w:rsidRPr="00161C60">
              <w:rPr>
                <w:rFonts w:ascii="Helvetica" w:hAnsi="Helvetica" w:cs="Helvetica"/>
                <w:color w:val="auto"/>
                <w:sz w:val="24"/>
                <w:szCs w:val="24"/>
                <w:shd w:val="clear" w:color="auto" w:fill="FCD793"/>
              </w:rPr>
              <w:t xml:space="preserve"> </w:t>
            </w:r>
          </w:p>
          <w:p w14:paraId="0E9A691D" w14:textId="77777777" w:rsidR="00A121FE" w:rsidRPr="00161C60" w:rsidRDefault="00A121FE" w:rsidP="008E16AB">
            <w:pPr>
              <w:pStyle w:val="Heading6"/>
              <w:ind w:left="0"/>
              <w:outlineLvl w:val="5"/>
              <w:rPr>
                <w:rFonts w:ascii="Helvetica" w:hAnsi="Helvetica" w:cs="Helvetica"/>
                <w:i/>
                <w:iCs/>
                <w:color w:val="auto"/>
              </w:rPr>
            </w:pPr>
            <w:r w:rsidRPr="00161C60">
              <w:rPr>
                <w:rFonts w:ascii="Helvetica" w:hAnsi="Helvetica" w:cs="Helvetica"/>
                <w:i/>
                <w:iCs/>
                <w:color w:val="auto"/>
              </w:rPr>
              <w:t>For people with osteoporosis who are frail and/or less able to exercise</w:t>
            </w:r>
          </w:p>
          <w:p w14:paraId="5AF037FE" w14:textId="52B31BD7" w:rsidR="00A121FE" w:rsidRPr="00161C60" w:rsidRDefault="00A121FE" w:rsidP="00E71C25">
            <w:pPr>
              <w:pStyle w:val="ListParagraph"/>
              <w:widowControl w:val="0"/>
              <w:numPr>
                <w:ilvl w:val="0"/>
                <w:numId w:val="14"/>
              </w:numPr>
              <w:tabs>
                <w:tab w:val="left" w:pos="427"/>
              </w:tabs>
              <w:autoSpaceDE w:val="0"/>
              <w:autoSpaceDN w:val="0"/>
              <w:spacing w:before="131"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Physical</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activity</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exercise</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to</w:t>
            </w:r>
            <w:r w:rsidRPr="00161C60">
              <w:rPr>
                <w:rFonts w:ascii="Helvetica" w:hAnsi="Helvetica" w:cs="Helvetica"/>
                <w:color w:val="auto"/>
                <w:spacing w:val="-28"/>
                <w:sz w:val="24"/>
                <w:szCs w:val="24"/>
              </w:rPr>
              <w:t xml:space="preserve"> </w:t>
            </w:r>
            <w:r w:rsidRPr="00161C60">
              <w:rPr>
                <w:rFonts w:ascii="Helvetica" w:hAnsi="Helvetica" w:cs="Helvetica"/>
                <w:color w:val="auto"/>
                <w:sz w:val="24"/>
                <w:szCs w:val="24"/>
              </w:rPr>
              <w:t>help</w:t>
            </w:r>
            <w:r w:rsidRPr="00161C60">
              <w:rPr>
                <w:rFonts w:ascii="Helvetica" w:hAnsi="Helvetica" w:cs="Helvetica"/>
                <w:color w:val="auto"/>
                <w:spacing w:val="-27"/>
                <w:sz w:val="24"/>
                <w:szCs w:val="24"/>
              </w:rPr>
              <w:t xml:space="preserve"> </w:t>
            </w:r>
            <w:r w:rsidRPr="00161C60">
              <w:rPr>
                <w:rFonts w:ascii="Helvetica" w:hAnsi="Helvetica" w:cs="Helvetica"/>
                <w:color w:val="auto"/>
                <w:sz w:val="24"/>
                <w:szCs w:val="24"/>
              </w:rPr>
              <w:t>maintain bone</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strength</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should</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adapted</w:t>
            </w:r>
            <w:r w:rsidRPr="00161C60">
              <w:rPr>
                <w:rFonts w:ascii="Helvetica" w:hAnsi="Helvetica" w:cs="Helvetica"/>
                <w:color w:val="auto"/>
                <w:spacing w:val="-13"/>
                <w:sz w:val="24"/>
                <w:szCs w:val="24"/>
              </w:rPr>
              <w:t xml:space="preserve"> </w:t>
            </w:r>
            <w:r w:rsidRPr="00161C60">
              <w:rPr>
                <w:rFonts w:ascii="Helvetica" w:hAnsi="Helvetica" w:cs="Helvetica"/>
                <w:color w:val="auto"/>
                <w:sz w:val="24"/>
                <w:szCs w:val="24"/>
              </w:rPr>
              <w:t>according</w:t>
            </w:r>
            <w:r w:rsidRPr="00161C60">
              <w:rPr>
                <w:rFonts w:ascii="Helvetica" w:hAnsi="Helvetica" w:cs="Helvetica"/>
                <w:color w:val="auto"/>
                <w:spacing w:val="-13"/>
                <w:sz w:val="24"/>
                <w:szCs w:val="24"/>
              </w:rPr>
              <w:t xml:space="preserve"> </w:t>
            </w:r>
            <w:r w:rsidRPr="00161C60">
              <w:rPr>
                <w:rFonts w:ascii="Helvetica" w:hAnsi="Helvetica" w:cs="Helvetica"/>
                <w:color w:val="auto"/>
                <w:spacing w:val="-8"/>
                <w:sz w:val="24"/>
                <w:szCs w:val="24"/>
              </w:rPr>
              <w:t xml:space="preserve">to </w:t>
            </w:r>
            <w:r w:rsidRPr="00161C60">
              <w:rPr>
                <w:rFonts w:ascii="Helvetica" w:hAnsi="Helvetica" w:cs="Helvetica"/>
                <w:color w:val="auto"/>
                <w:sz w:val="24"/>
                <w:szCs w:val="24"/>
              </w:rPr>
              <w:t>individual ability. [C]</w:t>
            </w:r>
            <w:r w:rsidRPr="00161C60">
              <w:rPr>
                <w:rFonts w:ascii="Helvetica" w:hAnsi="Helvetica" w:cs="Helvetica"/>
                <w:color w:val="auto"/>
                <w:spacing w:val="21"/>
                <w:sz w:val="24"/>
                <w:szCs w:val="24"/>
                <w:shd w:val="clear" w:color="auto" w:fill="FCD793"/>
              </w:rPr>
              <w:t xml:space="preserve"> </w:t>
            </w:r>
          </w:p>
          <w:p w14:paraId="4BBE5873" w14:textId="0F594919" w:rsidR="00A121FE" w:rsidRPr="00161C60" w:rsidRDefault="00A121FE" w:rsidP="00E71C25">
            <w:pPr>
              <w:pStyle w:val="ListParagraph"/>
              <w:widowControl w:val="0"/>
              <w:numPr>
                <w:ilvl w:val="0"/>
                <w:numId w:val="14"/>
              </w:numPr>
              <w:tabs>
                <w:tab w:val="left" w:pos="427"/>
              </w:tabs>
              <w:autoSpaceDE w:val="0"/>
              <w:autoSpaceDN w:val="0"/>
              <w:spacing w:before="131" w:after="0" w:line="280" w:lineRule="auto"/>
              <w:ind w:left="284" w:hanging="284"/>
              <w:contextualSpacing w:val="0"/>
              <w:rPr>
                <w:rFonts w:ascii="Helvetica" w:hAnsi="Helvetica" w:cs="Helvetica"/>
                <w:b/>
                <w:color w:val="auto"/>
                <w:sz w:val="24"/>
                <w:szCs w:val="24"/>
              </w:rPr>
            </w:pPr>
            <w:r w:rsidRPr="00161C60">
              <w:rPr>
                <w:rFonts w:ascii="Helvetica" w:hAnsi="Helvetica" w:cs="Helvetica"/>
                <w:color w:val="auto"/>
                <w:sz w:val="24"/>
                <w:szCs w:val="24"/>
              </w:rPr>
              <w:t>Strength</w:t>
            </w:r>
            <w:r w:rsidRPr="00161C60">
              <w:rPr>
                <w:rFonts w:ascii="Helvetica" w:hAnsi="Helvetica" w:cs="Helvetica"/>
                <w:color w:val="auto"/>
                <w:spacing w:val="-30"/>
                <w:sz w:val="24"/>
                <w:szCs w:val="24"/>
              </w:rPr>
              <w:t xml:space="preserve"> </w:t>
            </w:r>
            <w:r w:rsidRPr="00161C60">
              <w:rPr>
                <w:rFonts w:ascii="Helvetica" w:hAnsi="Helvetica" w:cs="Helvetica"/>
                <w:color w:val="auto"/>
                <w:sz w:val="24"/>
                <w:szCs w:val="24"/>
              </w:rPr>
              <w:t>and</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balance</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exercise</w:t>
            </w:r>
            <w:r w:rsidRPr="00161C60">
              <w:rPr>
                <w:rFonts w:ascii="Helvetica" w:hAnsi="Helvetica" w:cs="Helvetica"/>
                <w:color w:val="auto"/>
                <w:spacing w:val="-30"/>
                <w:sz w:val="24"/>
                <w:szCs w:val="24"/>
              </w:rPr>
              <w:t xml:space="preserve"> </w:t>
            </w:r>
            <w:r w:rsidRPr="00161C60">
              <w:rPr>
                <w:rFonts w:ascii="Helvetica" w:hAnsi="Helvetica" w:cs="Helvetica"/>
                <w:color w:val="auto"/>
                <w:sz w:val="24"/>
                <w:szCs w:val="24"/>
              </w:rPr>
              <w:t>to</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prevent</w:t>
            </w:r>
            <w:r w:rsidRPr="00161C60">
              <w:rPr>
                <w:rFonts w:ascii="Helvetica" w:hAnsi="Helvetica" w:cs="Helvetica"/>
                <w:color w:val="auto"/>
                <w:spacing w:val="-29"/>
                <w:sz w:val="24"/>
                <w:szCs w:val="24"/>
              </w:rPr>
              <w:t xml:space="preserve"> </w:t>
            </w:r>
            <w:r w:rsidRPr="00161C60">
              <w:rPr>
                <w:rFonts w:ascii="Helvetica" w:hAnsi="Helvetica" w:cs="Helvetica"/>
                <w:color w:val="auto"/>
                <w:sz w:val="24"/>
                <w:szCs w:val="24"/>
              </w:rPr>
              <w:t>falls will be needed for confidence and stability before</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physical</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activity</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levels</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are</w:t>
            </w:r>
            <w:r w:rsidRPr="00161C60">
              <w:rPr>
                <w:rFonts w:ascii="Helvetica" w:hAnsi="Helvetica" w:cs="Helvetica"/>
                <w:color w:val="auto"/>
                <w:spacing w:val="-35"/>
                <w:sz w:val="24"/>
                <w:szCs w:val="24"/>
              </w:rPr>
              <w:t xml:space="preserve"> </w:t>
            </w:r>
            <w:r w:rsidRPr="00161C60">
              <w:rPr>
                <w:rFonts w:ascii="Helvetica" w:hAnsi="Helvetica" w:cs="Helvetica"/>
                <w:color w:val="auto"/>
                <w:sz w:val="24"/>
                <w:szCs w:val="24"/>
              </w:rPr>
              <w:t>increased.</w:t>
            </w:r>
            <w:r w:rsidRPr="00161C60">
              <w:rPr>
                <w:rFonts w:ascii="Helvetica" w:hAnsi="Helvetica" w:cs="Helvetica"/>
                <w:color w:val="auto"/>
                <w:spacing w:val="-35"/>
                <w:sz w:val="24"/>
                <w:szCs w:val="24"/>
              </w:rPr>
              <w:t xml:space="preserve"> </w:t>
            </w:r>
            <w:r w:rsidRPr="00161C60">
              <w:rPr>
                <w:rFonts w:ascii="Helvetica" w:hAnsi="Helvetica" w:cs="Helvetica"/>
                <w:color w:val="auto"/>
                <w:spacing w:val="-6"/>
                <w:sz w:val="24"/>
                <w:szCs w:val="24"/>
              </w:rPr>
              <w:t xml:space="preserve">In </w:t>
            </w:r>
            <w:r w:rsidRPr="00161C60">
              <w:rPr>
                <w:rFonts w:ascii="Helvetica" w:hAnsi="Helvetica" w:cs="Helvetica"/>
                <w:color w:val="auto"/>
                <w:sz w:val="24"/>
                <w:szCs w:val="24"/>
              </w:rPr>
              <w:t>practice,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falls</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prevention</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may</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be</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a</w:t>
            </w:r>
            <w:r w:rsidRPr="00161C60">
              <w:rPr>
                <w:rFonts w:ascii="Helvetica" w:hAnsi="Helvetica" w:cs="Helvetica"/>
                <w:color w:val="auto"/>
                <w:spacing w:val="-25"/>
                <w:sz w:val="24"/>
                <w:szCs w:val="24"/>
              </w:rPr>
              <w:t xml:space="preserve"> </w:t>
            </w:r>
            <w:r w:rsidRPr="00161C60">
              <w:rPr>
                <w:rFonts w:ascii="Helvetica" w:hAnsi="Helvetica" w:cs="Helvetica"/>
                <w:color w:val="auto"/>
                <w:sz w:val="24"/>
                <w:szCs w:val="24"/>
              </w:rPr>
              <w:t>priority. [C]</w:t>
            </w:r>
            <w:r w:rsidRPr="00161C60">
              <w:rPr>
                <w:rFonts w:ascii="Helvetica" w:hAnsi="Helvetica" w:cs="Helvetica"/>
                <w:color w:val="auto"/>
                <w:spacing w:val="21"/>
                <w:sz w:val="24"/>
                <w:szCs w:val="24"/>
                <w:shd w:val="clear" w:color="auto" w:fill="FCD793"/>
              </w:rPr>
              <w:t xml:space="preserve"> </w:t>
            </w:r>
          </w:p>
        </w:tc>
      </w:tr>
    </w:tbl>
    <w:p w14:paraId="68815C04" w14:textId="77777777" w:rsidR="00F00C6F" w:rsidRPr="00161C60" w:rsidRDefault="00F00C6F" w:rsidP="00E71C25">
      <w:pPr>
        <w:spacing w:before="120" w:after="0" w:line="240" w:lineRule="auto"/>
        <w:rPr>
          <w:rFonts w:ascii="Helvetica" w:hAnsi="Helvetica" w:cs="Helvetica"/>
        </w:rPr>
      </w:pPr>
    </w:p>
    <w:p w14:paraId="0B2A2902" w14:textId="454B88AD" w:rsidR="004A176D" w:rsidRPr="00161C60" w:rsidRDefault="006A217E" w:rsidP="00E40A8C">
      <w:pPr>
        <w:pStyle w:val="Heading1"/>
        <w:spacing w:line="240" w:lineRule="auto"/>
        <w:rPr>
          <w:rFonts w:ascii="Helvetica" w:hAnsi="Helvetica" w:cs="Helvetica"/>
          <w:b/>
          <w:bCs/>
          <w:color w:val="auto"/>
          <w:sz w:val="24"/>
          <w:szCs w:val="24"/>
        </w:rPr>
      </w:pPr>
      <w:r w:rsidRPr="00161C60">
        <w:rPr>
          <w:rFonts w:ascii="Helvetica" w:hAnsi="Helvetica" w:cs="Helvetica"/>
          <w:b/>
          <w:bCs/>
          <w:color w:val="auto"/>
          <w:sz w:val="24"/>
          <w:szCs w:val="24"/>
        </w:rPr>
        <w:t xml:space="preserve">Steady: exercise and physical activity </w:t>
      </w:r>
      <w:r w:rsidR="008A3A6F" w:rsidRPr="00161C60">
        <w:rPr>
          <w:rFonts w:ascii="Helvetica" w:hAnsi="Helvetica" w:cs="Helvetica"/>
          <w:b/>
          <w:bCs/>
          <w:color w:val="auto"/>
          <w:sz w:val="24"/>
          <w:szCs w:val="24"/>
        </w:rPr>
        <w:t>to prevent falls</w:t>
      </w:r>
    </w:p>
    <w:p w14:paraId="4ED0E3A9" w14:textId="6F269397" w:rsidR="0081043A" w:rsidRPr="00161C60" w:rsidRDefault="0051710C" w:rsidP="00664938">
      <w:pPr>
        <w:spacing w:before="120" w:after="0" w:line="240" w:lineRule="auto"/>
        <w:rPr>
          <w:rFonts w:ascii="Helvetica" w:hAnsi="Helvetica" w:cs="Helvetica"/>
          <w:lang w:val="en-US"/>
        </w:rPr>
      </w:pPr>
      <w:r>
        <w:rPr>
          <w:rFonts w:ascii="Helvetica" w:hAnsi="Helvetica" w:cs="Helvetica"/>
        </w:rPr>
        <w:t xml:space="preserve">Research evidence is summarised in Appendix </w:t>
      </w:r>
      <w:r w:rsidR="00983FD3">
        <w:rPr>
          <w:rFonts w:ascii="Helvetica" w:hAnsi="Helvetica" w:cs="Helvetica"/>
        </w:rPr>
        <w:t>V</w:t>
      </w:r>
      <w:r w:rsidR="00D452D1">
        <w:rPr>
          <w:rFonts w:ascii="Helvetica" w:hAnsi="Helvetica" w:cs="Helvetica"/>
        </w:rPr>
        <w:t xml:space="preserve"> and recommendations in Table 2</w:t>
      </w:r>
      <w:r>
        <w:rPr>
          <w:rFonts w:ascii="Helvetica" w:hAnsi="Helvetica" w:cs="Helvetica"/>
        </w:rPr>
        <w:t xml:space="preserve">. </w:t>
      </w:r>
      <w:r w:rsidR="00370098" w:rsidRPr="00161C60">
        <w:rPr>
          <w:rFonts w:ascii="Helvetica" w:hAnsi="Helvetica" w:cs="Helvetica"/>
        </w:rPr>
        <w:t>There is substantial evidence that targeted strength and balance training can prevent falls</w:t>
      </w:r>
      <w:r w:rsidR="008253FF">
        <w:rPr>
          <w:rFonts w:ascii="Helvetica" w:hAnsi="Helvetica" w:cs="Helvetica"/>
        </w:rPr>
        <w:t xml:space="preserve"> </w:t>
      </w:r>
      <w:r w:rsidR="00A01B20" w:rsidRPr="00161C60">
        <w:rPr>
          <w:rFonts w:ascii="Helvetica" w:hAnsi="Helvetica" w:cs="Helvetica"/>
        </w:rPr>
        <w:fldChar w:fldCharType="begin" w:fldLock="1"/>
      </w:r>
      <w:r w:rsidR="008A29C3">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22&lt;/sup&gt;","plainTextFormattedCitation":"22","previouslyFormattedCitation":"&lt;sup&gt;22&lt;/sup&gt;"},"properties":{"noteIndex":0},"schema":"https://github.com/citation-style-language/schema/raw/master/csl-citation.json"}</w:instrText>
      </w:r>
      <w:r w:rsidR="00A01B20" w:rsidRPr="00161C60">
        <w:rPr>
          <w:rFonts w:ascii="Helvetica" w:hAnsi="Helvetica" w:cs="Helvetica"/>
        </w:rPr>
        <w:fldChar w:fldCharType="separate"/>
      </w:r>
      <w:r w:rsidR="001B5724" w:rsidRPr="001B5724">
        <w:rPr>
          <w:rFonts w:ascii="Helvetica" w:hAnsi="Helvetica" w:cs="Helvetica"/>
          <w:noProof/>
          <w:vertAlign w:val="superscript"/>
        </w:rPr>
        <w:t>22</w:t>
      </w:r>
      <w:r w:rsidR="00A01B20" w:rsidRPr="00161C60">
        <w:rPr>
          <w:rFonts w:ascii="Helvetica" w:hAnsi="Helvetica" w:cs="Helvetica"/>
        </w:rPr>
        <w:fldChar w:fldCharType="end"/>
      </w:r>
      <w:r w:rsidR="00652D26" w:rsidRPr="00161C60">
        <w:rPr>
          <w:rFonts w:ascii="Helvetica" w:hAnsi="Helvetica" w:cs="Helvetica"/>
        </w:rPr>
        <w:t xml:space="preserve">. Such specific exercise may be accessed by referral to a falls service for those who have experienced falls or are limiting activity though fear of falling. </w:t>
      </w:r>
    </w:p>
    <w:p w14:paraId="44607C98" w14:textId="35F8E90A" w:rsidR="008F1897" w:rsidRPr="00161C60" w:rsidRDefault="008F1897" w:rsidP="008F1897">
      <w:pPr>
        <w:spacing w:before="120" w:after="0" w:line="240" w:lineRule="auto"/>
        <w:rPr>
          <w:rFonts w:ascii="Helvetica" w:hAnsi="Helvetica" w:cs="Helvetica"/>
        </w:rPr>
      </w:pPr>
      <w:r w:rsidRPr="00161C60">
        <w:rPr>
          <w:rFonts w:ascii="Helvetica" w:hAnsi="Helvetica" w:cs="Helvetica"/>
        </w:rPr>
        <w:t>Strength and balance training is recommended that is individualised, supervised by a health or exercise professional, highly challenging and conducted for 3 hours per week over at least 4 months, in line with previously published evidence</w:t>
      </w:r>
      <w:r w:rsidR="00205B44">
        <w:rPr>
          <w:rFonts w:ascii="Helvetica" w:hAnsi="Helvetica" w:cs="Helvetica"/>
        </w:rPr>
        <w:t xml:space="preserve"> </w:t>
      </w:r>
      <w:r w:rsidR="00205B44" w:rsidRPr="00161C60">
        <w:rPr>
          <w:rFonts w:ascii="Helvetica" w:hAnsi="Helvetica" w:cs="Helvetica"/>
        </w:rPr>
        <w:fldChar w:fldCharType="begin" w:fldLock="1"/>
      </w:r>
      <w:r w:rsidR="008A29C3">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22&lt;/sup&gt;","plainTextFormattedCitation":"22","previouslyFormattedCitation":"&lt;sup&gt;22&lt;/sup&gt;"},"properties":{"noteIndex":0},"schema":"https://github.com/citation-style-language/schema/raw/master/csl-citation.json"}</w:instrText>
      </w:r>
      <w:r w:rsidR="00205B44" w:rsidRPr="00161C60">
        <w:rPr>
          <w:rFonts w:ascii="Helvetica" w:hAnsi="Helvetica" w:cs="Helvetica"/>
        </w:rPr>
        <w:fldChar w:fldCharType="separate"/>
      </w:r>
      <w:r w:rsidR="001B5724" w:rsidRPr="001B5724">
        <w:rPr>
          <w:rFonts w:ascii="Helvetica" w:hAnsi="Helvetica" w:cs="Helvetica"/>
          <w:noProof/>
          <w:vertAlign w:val="superscript"/>
        </w:rPr>
        <w:t>22</w:t>
      </w:r>
      <w:r w:rsidR="00205B44" w:rsidRPr="00161C60">
        <w:rPr>
          <w:rFonts w:ascii="Helvetica" w:hAnsi="Helvetica" w:cs="Helvetica"/>
        </w:rPr>
        <w:fldChar w:fldCharType="end"/>
      </w:r>
      <w:r w:rsidRPr="00161C60">
        <w:rPr>
          <w:rFonts w:ascii="Helvetica" w:hAnsi="Helvetica" w:cs="Helvetica"/>
        </w:rPr>
        <w:t xml:space="preserve">. The consensus opinion was that following such exercise, weightbearing activities such as brisk walking could be introduced. </w:t>
      </w:r>
    </w:p>
    <w:p w14:paraId="4B85FC9B" w14:textId="3984223F" w:rsidR="00652D26" w:rsidRPr="00161C60" w:rsidRDefault="00652D26" w:rsidP="00664938">
      <w:pPr>
        <w:spacing w:before="120" w:after="0" w:line="240" w:lineRule="auto"/>
        <w:rPr>
          <w:rFonts w:ascii="Helvetica" w:hAnsi="Helvetica" w:cs="Helvetica"/>
        </w:rPr>
      </w:pPr>
      <w:r w:rsidRPr="00161C60">
        <w:rPr>
          <w:rFonts w:ascii="Helvetica" w:hAnsi="Helvetica" w:cs="Helvetica"/>
        </w:rPr>
        <w:t xml:space="preserve">For </w:t>
      </w:r>
      <w:r w:rsidR="0081043A" w:rsidRPr="00161C60">
        <w:rPr>
          <w:rFonts w:ascii="Helvetica" w:hAnsi="Helvetica" w:cs="Helvetica"/>
        </w:rPr>
        <w:t>people</w:t>
      </w:r>
      <w:r w:rsidRPr="00161C60">
        <w:rPr>
          <w:rFonts w:ascii="Helvetica" w:hAnsi="Helvetica" w:cs="Helvetica"/>
        </w:rPr>
        <w:t xml:space="preserve"> who are not eligible</w:t>
      </w:r>
      <w:r w:rsidR="0081043A" w:rsidRPr="00161C60">
        <w:rPr>
          <w:rFonts w:ascii="Helvetica" w:hAnsi="Helvetica" w:cs="Helvetica"/>
        </w:rPr>
        <w:t xml:space="preserve"> for a falls service</w:t>
      </w:r>
      <w:r w:rsidRPr="00161C60">
        <w:rPr>
          <w:rFonts w:ascii="Helvetica" w:hAnsi="Helvetica" w:cs="Helvetica"/>
        </w:rPr>
        <w:t xml:space="preserve">, the consensus was that activities that improve balance and muscle strength, such as Tai Chi, dance, yoga or Pilates </w:t>
      </w:r>
      <w:r w:rsidR="008F1897" w:rsidRPr="00161C60">
        <w:rPr>
          <w:rFonts w:ascii="Helvetica" w:hAnsi="Helvetica" w:cs="Helvetica"/>
        </w:rPr>
        <w:t>c</w:t>
      </w:r>
      <w:r w:rsidRPr="00161C60">
        <w:rPr>
          <w:rFonts w:ascii="Helvetica" w:hAnsi="Helvetica" w:cs="Helvetica"/>
        </w:rPr>
        <w:t xml:space="preserve">ould be conducted, at least twice a week in line with physical activity guidance. </w:t>
      </w:r>
    </w:p>
    <w:p w14:paraId="2B87A96A" w14:textId="7934B60D" w:rsidR="008F1897" w:rsidRPr="00161C60" w:rsidRDefault="00664938" w:rsidP="00AD0C67">
      <w:pPr>
        <w:spacing w:before="120" w:after="0" w:line="240" w:lineRule="auto"/>
        <w:rPr>
          <w:rFonts w:ascii="Helvetica" w:hAnsi="Helvetica" w:cs="Helvetica"/>
          <w:lang w:val="en-US"/>
        </w:rPr>
      </w:pPr>
      <w:r w:rsidRPr="00161C60">
        <w:rPr>
          <w:rFonts w:ascii="Helvetica" w:hAnsi="Helvetica" w:cs="Helvetica"/>
        </w:rPr>
        <w:t>As kyphosis may increase fall risk</w:t>
      </w:r>
      <w:r w:rsidR="00301E9F" w:rsidRPr="00161C60">
        <w:rPr>
          <w:rFonts w:ascii="Helvetica" w:hAnsi="Helvetica" w:cs="Helvetica"/>
        </w:rPr>
        <w:t>,</w:t>
      </w:r>
      <w:r w:rsidRPr="00161C60">
        <w:rPr>
          <w:rFonts w:ascii="Helvetica" w:hAnsi="Helvetica" w:cs="Helvetica"/>
        </w:rPr>
        <w:t xml:space="preserve"> consensus was that exercise to strengthen back muscle</w:t>
      </w:r>
      <w:r w:rsidR="00CF7361" w:rsidRPr="00161C60">
        <w:rPr>
          <w:rFonts w:ascii="Helvetica" w:hAnsi="Helvetica" w:cs="Helvetica"/>
        </w:rPr>
        <w:t xml:space="preserve"> </w:t>
      </w:r>
      <w:r w:rsidR="00E9584A" w:rsidRPr="00161C60">
        <w:rPr>
          <w:rFonts w:ascii="Helvetica" w:hAnsi="Helvetica" w:cs="Helvetica"/>
        </w:rPr>
        <w:t xml:space="preserve">(particularly of spinal extensors) </w:t>
      </w:r>
      <w:r w:rsidRPr="00161C60">
        <w:rPr>
          <w:rFonts w:ascii="Helvetica" w:hAnsi="Helvetica" w:cs="Helvetica"/>
        </w:rPr>
        <w:t xml:space="preserve">and improve posture </w:t>
      </w:r>
      <w:r w:rsidR="0081043A" w:rsidRPr="00161C60">
        <w:rPr>
          <w:rFonts w:ascii="Helvetica" w:hAnsi="Helvetica" w:cs="Helvetica"/>
        </w:rPr>
        <w:t>sh</w:t>
      </w:r>
      <w:r w:rsidRPr="00161C60">
        <w:rPr>
          <w:rFonts w:ascii="Helvetica" w:hAnsi="Helvetica" w:cs="Helvetica"/>
        </w:rPr>
        <w:t xml:space="preserve">ould also be recommended to reduce falls risk. </w:t>
      </w:r>
    </w:p>
    <w:p w14:paraId="436832B8" w14:textId="714612FE" w:rsidR="00AD0C67" w:rsidRPr="00161C60" w:rsidRDefault="0081043A" w:rsidP="00AD0C67">
      <w:pPr>
        <w:spacing w:before="120" w:after="0" w:line="240" w:lineRule="auto"/>
        <w:rPr>
          <w:rFonts w:ascii="Helvetica" w:hAnsi="Helvetica" w:cs="Helvetica"/>
          <w:lang w:val="en-US"/>
        </w:rPr>
      </w:pPr>
      <w:r w:rsidRPr="00161C60">
        <w:rPr>
          <w:rFonts w:ascii="Helvetica" w:hAnsi="Helvetica" w:cs="Helvetica"/>
        </w:rPr>
        <w:t xml:space="preserve">How professionals communicate the benefits of falls prevention exercise is important. Most people do not perceive themselves as fallers or as frail. People need to be motivated to take part in falls </w:t>
      </w:r>
      <w:r w:rsidR="00296B9B">
        <w:rPr>
          <w:rFonts w:ascii="Helvetica" w:hAnsi="Helvetica" w:cs="Helvetica"/>
        </w:rPr>
        <w:t>prevention exercise</w:t>
      </w:r>
      <w:r w:rsidR="00296B9B" w:rsidRPr="00161C60">
        <w:rPr>
          <w:rFonts w:ascii="Helvetica" w:hAnsi="Helvetica" w:cs="Helvetica"/>
        </w:rPr>
        <w:t xml:space="preserve"> </w:t>
      </w:r>
      <w:r w:rsidRPr="00161C60">
        <w:rPr>
          <w:rFonts w:ascii="Helvetica" w:hAnsi="Helvetica" w:cs="Helvetica"/>
        </w:rPr>
        <w:t>using appropriate language</w:t>
      </w:r>
      <w:r w:rsidR="006C386E">
        <w:rPr>
          <w:rFonts w:ascii="Helvetica" w:hAnsi="Helvetica" w:cs="Helvetica"/>
        </w:rPr>
        <w:t xml:space="preserve">, </w:t>
      </w:r>
      <w:r w:rsidRPr="00161C60">
        <w:rPr>
          <w:rFonts w:ascii="Helvetica" w:hAnsi="Helvetica" w:cs="Helvetica"/>
        </w:rPr>
        <w:t xml:space="preserve"> such as ‘maintaining independence’ and ‘reducing the risk of fractures’ rather than ‘fall prevention’. Emphasising the importance of balance to feel confident and be able to enjoy other activities may also be useful</w:t>
      </w:r>
      <w:r w:rsidR="002C55DB" w:rsidRPr="00161C60">
        <w:rPr>
          <w:rFonts w:ascii="Helvetica" w:hAnsi="Helvetica" w:cs="Helvetica"/>
        </w:rPr>
        <w:t xml:space="preserve"> </w:t>
      </w:r>
      <w:r w:rsidRPr="00161C60">
        <w:rPr>
          <w:rFonts w:ascii="Helvetica" w:hAnsi="Helvetica" w:cs="Helvetica"/>
        </w:rPr>
        <w:fldChar w:fldCharType="begin" w:fldLock="1"/>
      </w:r>
      <w:r w:rsidR="008A29C3">
        <w:rPr>
          <w:rFonts w:ascii="Helvetica" w:hAnsi="Helvetica" w:cs="Helvetica"/>
        </w:rPr>
        <w:instrText>ADDIN CSL_CITATION {"citationItems":[{"id":"ITEM-1","itemData":{"DOI":"10.1136/qshc.2006.019802","ISSN":"1475-3901","PMID":"17545352","abstract":"OBJECTIVE To develop recommendations for promoting uptake of and adherence to falls-prevention interventions among older people. DESIGN The recommendations were initially developed from literature review, clinical experience of the core group members, and substantial qualitative and quantitative studies of older people's views. They were refined through a consultation process with members of the falls-prevention community, drawing on Delphi survey and nominal group techniques. Transparency was enhanced by recording and reporting aspects of the iterative consultation process such as the degree of consensus and critical comments on drafts of the recommendations. SETTING The recommendations were developed and refined at three meetings of the core group, and through internet-based consultation and two meetings involving members of the wider falls-prevention community. PARTICIPANTS The authors developed the recommendations incorporating the feedback from the researchers and practitioners responding to a broad-based internet consultation and consulted in the meetings. RESULTS A high degree of consensus was achieved. Recommendations addressed the need for public education, ensuring that interventions were compatible with a positive identity, tailoring interventions to the specific situation and values of the individual, and using validated methods to maintain longer-term adherence. CONCLUSION These recommendations represent a consensus based on current knowledge and evidence, but the evidence base from which these recommendations were developed was limited, and not always specific to prevention of falls. To increase the effectiveness of falls-prevention interventions, further research is needed to identify the features of falls-prevention programmes that will encourage older people's engagement in them.","author":[{"dropping-particle":"","family":"Yardley","given":"L","non-dropping-particle":"","parse-names":false,"suffix":""},{"dropping-particle":"","family":"Beyer","given":"N","non-dropping-particle":"","parse-names":false,"suffix":""},{"dropping-particle":"","family":"Hauer","given":"K","non-dropping-particle":"","parse-names":false,"suffix":""},{"dropping-particle":"","family":"McKee","given":"K","non-dropping-particle":"","parse-names":false,"suffix":""},{"dropping-particle":"","family":"Ballinger","given":"C","non-dropping-particle":"","parse-names":false,"suffix":""},{"dropping-particle":"","family":"Todd","given":"C","non-dropping-particle":"","parse-names":false,"suffix":""}],"container-title":"Quality &amp; safety in health care","id":"ITEM-1","issue":"3","issued":{"date-parts":[["2007","6"]]},"page":"230-4","publisher":"BMJ Publishing Group","title":"Recommendations for promoting the engagement of older people in activities to prevent falls.","type":"article-journal","volume":"16"},"uris":["http://www.mendeley.com/documents/?uuid=fc4fafca-373d-3072-b62d-ab9fc0e74902","http://www.mendeley.com/documents/?uuid=b4eb3989-cbb0-45f3-b30d-1968589d7baa"]}],"mendeley":{"formattedCitation":"&lt;sup&gt;58&lt;/sup&gt;","plainTextFormattedCitation":"58","previouslyFormattedCitation":"&lt;sup&gt;58&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58</w:t>
      </w:r>
      <w:r w:rsidRPr="00161C60">
        <w:rPr>
          <w:rFonts w:ascii="Helvetica" w:hAnsi="Helvetica" w:cs="Helvetica"/>
        </w:rPr>
        <w:fldChar w:fldCharType="end"/>
      </w:r>
      <w:r w:rsidR="002C55DB" w:rsidRPr="00161C60">
        <w:rPr>
          <w:rFonts w:ascii="Helvetica" w:hAnsi="Helvetica" w:cs="Helvetica"/>
        </w:rPr>
        <w:t>.</w:t>
      </w:r>
    </w:p>
    <w:p w14:paraId="1FF6907E" w14:textId="77777777" w:rsidR="00AD0C67" w:rsidRPr="00161C60" w:rsidRDefault="00AD0C67" w:rsidP="00AD0C67">
      <w:pPr>
        <w:spacing w:before="120" w:after="0" w:line="240" w:lineRule="auto"/>
        <w:contextualSpacing/>
        <w:rPr>
          <w:rFonts w:ascii="Helvetica" w:hAnsi="Helvetica" w:cs="Helvetica"/>
          <w:b/>
          <w:bCs/>
          <w:lang w:val="en-US"/>
        </w:rPr>
      </w:pPr>
    </w:p>
    <w:p w14:paraId="6E43AB25" w14:textId="586EE6AF" w:rsidR="004A176D" w:rsidRPr="00161C60" w:rsidRDefault="00A121FE" w:rsidP="00AD0C67">
      <w:pPr>
        <w:keepNext/>
        <w:spacing w:before="120" w:after="0" w:line="240" w:lineRule="auto"/>
        <w:contextualSpacing/>
        <w:rPr>
          <w:rFonts w:ascii="Helvetica" w:hAnsi="Helvetica" w:cs="Helvetica"/>
        </w:rPr>
      </w:pPr>
      <w:r w:rsidRPr="00161C60">
        <w:rPr>
          <w:rFonts w:ascii="Helvetica" w:hAnsi="Helvetica" w:cs="Helvetica"/>
          <w:b/>
          <w:bCs/>
          <w:lang w:val="en-US"/>
        </w:rPr>
        <w:t>T</w:t>
      </w:r>
      <w:r w:rsidR="00AD0C67" w:rsidRPr="00161C60">
        <w:rPr>
          <w:rFonts w:ascii="Helvetica" w:hAnsi="Helvetica" w:cs="Helvetica"/>
          <w:b/>
          <w:bCs/>
          <w:lang w:val="en-US"/>
        </w:rPr>
        <w:t>able</w:t>
      </w:r>
      <w:r w:rsidRPr="00161C60">
        <w:rPr>
          <w:rFonts w:ascii="Helvetica" w:hAnsi="Helvetica" w:cs="Helvetica"/>
          <w:b/>
          <w:bCs/>
          <w:lang w:val="en-US"/>
        </w:rPr>
        <w:t xml:space="preserve"> 2: Recommendations for exercise to reduce falls</w:t>
      </w:r>
    </w:p>
    <w:tbl>
      <w:tblPr>
        <w:tblStyle w:val="TableGrid"/>
        <w:tblW w:w="0" w:type="auto"/>
        <w:tblLook w:val="04A0" w:firstRow="1" w:lastRow="0" w:firstColumn="1" w:lastColumn="0" w:noHBand="0" w:noVBand="1"/>
      </w:tblPr>
      <w:tblGrid>
        <w:gridCol w:w="8630"/>
      </w:tblGrid>
      <w:tr w:rsidR="00956926" w:rsidRPr="00161C60" w14:paraId="1D36B976" w14:textId="77777777" w:rsidTr="005B76DF">
        <w:tc>
          <w:tcPr>
            <w:tcW w:w="8630" w:type="dxa"/>
            <w:shd w:val="clear" w:color="auto" w:fill="auto"/>
          </w:tcPr>
          <w:p w14:paraId="6231FE2D" w14:textId="02230414" w:rsidR="004A176D" w:rsidRPr="00161C60" w:rsidRDefault="004A176D" w:rsidP="00370098">
            <w:pPr>
              <w:pStyle w:val="Heading4"/>
              <w:spacing w:before="120"/>
              <w:ind w:left="0"/>
              <w:outlineLvl w:val="3"/>
              <w:rPr>
                <w:rFonts w:ascii="Helvetica" w:eastAsiaTheme="minorHAnsi" w:hAnsi="Helvetica" w:cs="Helvetica"/>
                <w:bCs/>
                <w:iCs w:val="0"/>
                <w:color w:val="auto"/>
              </w:rPr>
            </w:pPr>
            <w:bookmarkStart w:id="8" w:name="_Toc512605577"/>
            <w:r w:rsidRPr="00161C60">
              <w:rPr>
                <w:rFonts w:ascii="Helvetica" w:eastAsiaTheme="minorHAnsi" w:hAnsi="Helvetica" w:cs="Helvetica"/>
                <w:bCs/>
                <w:iCs w:val="0"/>
                <w:color w:val="auto"/>
              </w:rPr>
              <w:t xml:space="preserve">For </w:t>
            </w:r>
            <w:bookmarkStart w:id="9" w:name="_Hlk519082399"/>
            <w:r w:rsidRPr="00161C60">
              <w:rPr>
                <w:rFonts w:ascii="Helvetica" w:eastAsiaTheme="minorHAnsi" w:hAnsi="Helvetica" w:cs="Helvetica"/>
                <w:bCs/>
                <w:iCs w:val="0"/>
                <w:color w:val="auto"/>
              </w:rPr>
              <w:t>all people with osteoporosis (particularly those aged 65 or who have poor balance)</w:t>
            </w:r>
          </w:p>
          <w:bookmarkEnd w:id="9"/>
          <w:p w14:paraId="32F0F7E3" w14:textId="13CD210E"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Physical activity or exercise to improve balance and muscle strength is recommended. [E</w:t>
            </w:r>
            <w:r w:rsidR="00664938" w:rsidRPr="00161C60">
              <w:rPr>
                <w:rFonts w:ascii="Helvetica" w:hAnsi="Helvetica" w:cs="Helvetica"/>
                <w:bCs/>
                <w:color w:val="auto"/>
                <w:sz w:val="24"/>
                <w:szCs w:val="24"/>
              </w:rPr>
              <w:t>]</w:t>
            </w:r>
            <w:r w:rsidRPr="00161C60">
              <w:rPr>
                <w:rFonts w:ascii="Helvetica" w:hAnsi="Helvetica" w:cs="Helvetica"/>
                <w:bCs/>
                <w:color w:val="auto"/>
                <w:sz w:val="24"/>
                <w:szCs w:val="24"/>
                <w:shd w:val="clear" w:color="auto" w:fill="DAEEF3" w:themeFill="accent5" w:themeFillTint="33"/>
              </w:rPr>
              <w:t xml:space="preserve"> </w:t>
            </w:r>
          </w:p>
          <w:p w14:paraId="61629CC0" w14:textId="1461E853"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Balance and muscle strength exercise (including activities such as Tai Chi, dance, yoga and Pilates) are recommended at least twice a week to reduce the risk of falls especially in older age. [C</w:t>
            </w:r>
            <w:r w:rsidR="00664938" w:rsidRPr="00161C60">
              <w:rPr>
                <w:rFonts w:ascii="Helvetica" w:hAnsi="Helvetica" w:cs="Helvetica"/>
                <w:bCs/>
                <w:color w:val="auto"/>
                <w:sz w:val="24"/>
                <w:szCs w:val="24"/>
              </w:rPr>
              <w:t>]</w:t>
            </w:r>
            <w:r w:rsidRPr="00161C60">
              <w:rPr>
                <w:rFonts w:ascii="Helvetica" w:hAnsi="Helvetica" w:cs="Helvetica"/>
                <w:bCs/>
                <w:color w:val="auto"/>
                <w:sz w:val="24"/>
                <w:szCs w:val="24"/>
                <w:shd w:val="clear" w:color="auto" w:fill="DAEEF3" w:themeFill="accent5" w:themeFillTint="33"/>
              </w:rPr>
              <w:t xml:space="preserve"> </w:t>
            </w:r>
          </w:p>
          <w:p w14:paraId="4F468816" w14:textId="26A0CE9C" w:rsidR="004A176D" w:rsidRPr="00161C60" w:rsidRDefault="004A176D" w:rsidP="00370098">
            <w:pPr>
              <w:pStyle w:val="Heading4"/>
              <w:spacing w:before="120"/>
              <w:ind w:left="0"/>
              <w:outlineLvl w:val="3"/>
              <w:rPr>
                <w:rFonts w:ascii="Helvetica" w:eastAsiaTheme="minorHAnsi" w:hAnsi="Helvetica" w:cs="Helvetica"/>
                <w:bCs/>
                <w:iCs w:val="0"/>
                <w:color w:val="auto"/>
              </w:rPr>
            </w:pPr>
            <w:r w:rsidRPr="00161C60">
              <w:rPr>
                <w:rFonts w:ascii="Helvetica" w:eastAsiaTheme="minorHAnsi" w:hAnsi="Helvetica" w:cs="Helvetica"/>
                <w:bCs/>
                <w:iCs w:val="0"/>
                <w:color w:val="auto"/>
              </w:rPr>
              <w:t>For people with osteoporosis who are already having falls</w:t>
            </w:r>
          </w:p>
          <w:p w14:paraId="5FDF9373"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People who fall repeatedly or have started to avoiding activity as a result of concern about falling, should be referred to a local falls service. [C]</w:t>
            </w:r>
          </w:p>
          <w:p w14:paraId="1F288C5B" w14:textId="4CDA6C5C"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Exercise interventions to prevent falls should be tailored to suit the individual to ensure that they challenge balance without increasing falls risk. [E</w:t>
            </w:r>
            <w:r w:rsidR="00664938" w:rsidRPr="00161C60">
              <w:rPr>
                <w:rFonts w:ascii="Helvetica" w:hAnsi="Helvetica" w:cs="Helvetica"/>
                <w:bCs/>
                <w:color w:val="auto"/>
                <w:sz w:val="24"/>
                <w:szCs w:val="24"/>
              </w:rPr>
              <w:t>]</w:t>
            </w:r>
          </w:p>
          <w:p w14:paraId="719D2FE9" w14:textId="6E87E9B9"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 xml:space="preserve">Specific and </w:t>
            </w:r>
            <w:r w:rsidR="00664938" w:rsidRPr="00161C60">
              <w:rPr>
                <w:rFonts w:ascii="Helvetica" w:hAnsi="Helvetica" w:cs="Helvetica"/>
                <w:bCs/>
                <w:color w:val="auto"/>
                <w:sz w:val="24"/>
                <w:szCs w:val="24"/>
              </w:rPr>
              <w:t>h</w:t>
            </w:r>
            <w:r w:rsidRPr="00161C60">
              <w:rPr>
                <w:rFonts w:ascii="Helvetica" w:hAnsi="Helvetica" w:cs="Helvetica"/>
                <w:bCs/>
                <w:color w:val="auto"/>
                <w:sz w:val="24"/>
                <w:szCs w:val="24"/>
              </w:rPr>
              <w:t>ighly challenging balance and muscle strengthening exercises, supervised by a trained health or exercise professional, are recommended. [E</w:t>
            </w:r>
            <w:r w:rsidR="00664938" w:rsidRPr="00161C60">
              <w:rPr>
                <w:rFonts w:ascii="Helvetica" w:hAnsi="Helvetica" w:cs="Helvetica"/>
                <w:bCs/>
                <w:color w:val="auto"/>
                <w:sz w:val="24"/>
                <w:szCs w:val="24"/>
              </w:rPr>
              <w:t>]</w:t>
            </w:r>
          </w:p>
          <w:p w14:paraId="3643E7F8" w14:textId="3E0BD2FD"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Highly challenging balance and muscle strength training for 3 hours a week over at least 4 months is recommended – this could be around 25 mins/day or 3x 1hr sessions a week. [E</w:t>
            </w:r>
            <w:r w:rsidR="00664938" w:rsidRPr="00161C60">
              <w:rPr>
                <w:rFonts w:ascii="Helvetica" w:hAnsi="Helvetica" w:cs="Helvetica"/>
                <w:bCs/>
                <w:color w:val="auto"/>
                <w:sz w:val="24"/>
                <w:szCs w:val="24"/>
              </w:rPr>
              <w:t>]</w:t>
            </w:r>
          </w:p>
          <w:p w14:paraId="6626E557" w14:textId="2614C275"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The Otago or FaME (PSI) exercise programmes are recommended. [E</w:t>
            </w:r>
            <w:r w:rsidR="00664938" w:rsidRPr="00161C60">
              <w:rPr>
                <w:rFonts w:ascii="Helvetica" w:hAnsi="Helvetica" w:cs="Helvetica"/>
                <w:bCs/>
                <w:color w:val="auto"/>
                <w:sz w:val="24"/>
                <w:szCs w:val="24"/>
              </w:rPr>
              <w:t>]</w:t>
            </w:r>
          </w:p>
          <w:p w14:paraId="7D39290C" w14:textId="766FE86A"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Gradual progression from strength and balance exercises to higher impact exercise (such as brisk walking) is recommended for the frailer older adult to prevent an increase in falls risk. [C</w:t>
            </w:r>
            <w:r w:rsidR="00664938" w:rsidRPr="00161C60">
              <w:rPr>
                <w:rFonts w:ascii="Helvetica" w:hAnsi="Helvetica" w:cs="Helvetica"/>
                <w:bCs/>
                <w:color w:val="auto"/>
                <w:sz w:val="24"/>
                <w:szCs w:val="24"/>
              </w:rPr>
              <w:t>]</w:t>
            </w:r>
          </w:p>
          <w:p w14:paraId="14E8A786" w14:textId="0C9B4EAD" w:rsidR="004A176D" w:rsidRPr="00161C60" w:rsidRDefault="004A176D" w:rsidP="005B76DF">
            <w:pPr>
              <w:pStyle w:val="ListParagraph"/>
              <w:numPr>
                <w:ilvl w:val="0"/>
                <w:numId w:val="8"/>
              </w:numPr>
              <w:spacing w:before="120" w:after="0" w:line="240" w:lineRule="auto"/>
              <w:ind w:left="307" w:hanging="307"/>
              <w:rPr>
                <w:rFonts w:ascii="Helvetica" w:hAnsi="Helvetica" w:cs="Helvetica"/>
                <w:bCs/>
                <w:color w:val="auto"/>
                <w:sz w:val="24"/>
                <w:szCs w:val="24"/>
                <w:shd w:val="clear" w:color="auto" w:fill="DAEEF3" w:themeFill="accent5" w:themeFillTint="33"/>
              </w:rPr>
            </w:pPr>
            <w:r w:rsidRPr="00161C60">
              <w:rPr>
                <w:rFonts w:ascii="Helvetica" w:hAnsi="Helvetica" w:cs="Helvetica"/>
                <w:bCs/>
                <w:color w:val="auto"/>
                <w:sz w:val="24"/>
                <w:szCs w:val="24"/>
              </w:rPr>
              <w:t>Exercise to strengthen back muscles and improve posture should be considered to reduce falls risk. [C</w:t>
            </w:r>
            <w:r w:rsidR="00664938" w:rsidRPr="00161C60">
              <w:rPr>
                <w:rFonts w:ascii="Helvetica" w:hAnsi="Helvetica" w:cs="Helvetica"/>
                <w:bCs/>
                <w:color w:val="auto"/>
                <w:sz w:val="24"/>
                <w:szCs w:val="24"/>
              </w:rPr>
              <w:t>]</w:t>
            </w:r>
          </w:p>
          <w:p w14:paraId="3C6F8464" w14:textId="63FB549B" w:rsidR="004A176D" w:rsidRPr="00161C60" w:rsidRDefault="004A176D" w:rsidP="005B76DF">
            <w:pPr>
              <w:pStyle w:val="ListParagraph"/>
              <w:numPr>
                <w:ilvl w:val="0"/>
                <w:numId w:val="8"/>
              </w:numPr>
              <w:spacing w:before="120" w:after="0" w:line="240" w:lineRule="auto"/>
              <w:ind w:left="307" w:hanging="307"/>
              <w:rPr>
                <w:rFonts w:ascii="Helvetica" w:hAnsi="Helvetica" w:cs="Helvetica"/>
                <w:b/>
                <w:i/>
                <w:color w:val="auto"/>
                <w:sz w:val="24"/>
                <w:szCs w:val="24"/>
              </w:rPr>
            </w:pPr>
            <w:r w:rsidRPr="00161C60">
              <w:rPr>
                <w:rFonts w:ascii="Helvetica" w:hAnsi="Helvetica" w:cs="Helvetica"/>
                <w:bCs/>
                <w:color w:val="auto"/>
                <w:sz w:val="24"/>
                <w:szCs w:val="24"/>
              </w:rPr>
              <w:t>Advice about reducing falls risk should be communicated in a positive way to be relevant and effective. [E</w:t>
            </w:r>
            <w:r w:rsidR="00664938" w:rsidRPr="00161C60">
              <w:rPr>
                <w:rFonts w:ascii="Helvetica" w:hAnsi="Helvetica" w:cs="Helvetica"/>
                <w:bCs/>
                <w:color w:val="auto"/>
                <w:sz w:val="24"/>
                <w:szCs w:val="24"/>
              </w:rPr>
              <w:t>]</w:t>
            </w:r>
          </w:p>
        </w:tc>
      </w:tr>
    </w:tbl>
    <w:p w14:paraId="5775A222" w14:textId="77777777" w:rsidR="004A176D" w:rsidRPr="00161C60" w:rsidRDefault="004A176D" w:rsidP="005B76DF">
      <w:pPr>
        <w:spacing w:before="120" w:after="0" w:line="240" w:lineRule="auto"/>
        <w:rPr>
          <w:rFonts w:ascii="Helvetica" w:hAnsi="Helvetica" w:cs="Helvetica"/>
          <w:b/>
        </w:rPr>
      </w:pPr>
      <w:r w:rsidRPr="00161C60">
        <w:rPr>
          <w:rFonts w:ascii="Helvetica" w:hAnsi="Helvetica" w:cs="Helvetica"/>
          <w:b/>
        </w:rPr>
        <w:br w:type="page"/>
      </w:r>
    </w:p>
    <w:bookmarkEnd w:id="8"/>
    <w:p w14:paraId="343A5806" w14:textId="70EBB35C" w:rsidR="00370098" w:rsidRPr="00161C60" w:rsidRDefault="00370098" w:rsidP="00370098">
      <w:pPr>
        <w:pStyle w:val="Heading2"/>
        <w:rPr>
          <w:rFonts w:ascii="Helvetica" w:hAnsi="Helvetica" w:cs="Helvetica"/>
          <w:b/>
          <w:bCs/>
          <w:color w:val="auto"/>
        </w:rPr>
      </w:pPr>
      <w:r w:rsidRPr="00161C60">
        <w:rPr>
          <w:rFonts w:ascii="Helvetica" w:hAnsi="Helvetica" w:cs="Helvetica"/>
          <w:b/>
          <w:bCs/>
          <w:color w:val="auto"/>
        </w:rPr>
        <w:t xml:space="preserve">Straight: </w:t>
      </w:r>
      <w:r w:rsidR="00CE48C3" w:rsidRPr="00161C60">
        <w:rPr>
          <w:rFonts w:ascii="Helvetica" w:hAnsi="Helvetica" w:cs="Helvetica"/>
          <w:b/>
          <w:bCs/>
          <w:color w:val="auto"/>
        </w:rPr>
        <w:t xml:space="preserve">modifying </w:t>
      </w:r>
      <w:r w:rsidRPr="00161C60">
        <w:rPr>
          <w:rFonts w:ascii="Helvetica" w:hAnsi="Helvetica" w:cs="Helvetica"/>
          <w:b/>
          <w:bCs/>
          <w:color w:val="auto"/>
        </w:rPr>
        <w:t xml:space="preserve">physical activity and exercise to reduce risk of vertebral fracture, improve posture and </w:t>
      </w:r>
      <w:r w:rsidR="0081043A" w:rsidRPr="00161C60">
        <w:rPr>
          <w:rFonts w:ascii="Helvetica" w:hAnsi="Helvetica" w:cs="Helvetica"/>
          <w:b/>
          <w:bCs/>
          <w:color w:val="auto"/>
        </w:rPr>
        <w:t>manage symptoms</w:t>
      </w:r>
      <w:r w:rsidRPr="00161C60">
        <w:rPr>
          <w:rFonts w:ascii="Helvetica" w:hAnsi="Helvetica" w:cs="Helvetica"/>
          <w:b/>
          <w:bCs/>
          <w:color w:val="auto"/>
        </w:rPr>
        <w:t xml:space="preserve"> after vertebral fracture.</w:t>
      </w:r>
    </w:p>
    <w:p w14:paraId="6514443E" w14:textId="36C11123" w:rsidR="008F1897" w:rsidRPr="00161C60" w:rsidRDefault="00B50D76" w:rsidP="008A01F7">
      <w:pPr>
        <w:spacing w:before="120" w:after="0" w:line="240" w:lineRule="auto"/>
        <w:rPr>
          <w:rFonts w:ascii="Helvetica" w:hAnsi="Helvetica" w:cs="Helvetica"/>
        </w:rPr>
      </w:pPr>
      <w:r w:rsidRPr="00161C60">
        <w:rPr>
          <w:rFonts w:ascii="Helvetica" w:hAnsi="Helvetica" w:cs="Helvetica"/>
        </w:rPr>
        <w:t>Given the limited evidence around how to reduce risk of vertebral fracture during activity, and the role of exercise in improving kyphosis and managing vertebral fracture</w:t>
      </w:r>
      <w:r w:rsidR="00E93539">
        <w:rPr>
          <w:rFonts w:ascii="Helvetica" w:hAnsi="Helvetica" w:cs="Helvetica"/>
        </w:rPr>
        <w:t xml:space="preserve"> (Appendix V)</w:t>
      </w:r>
      <w:r w:rsidRPr="00161C60">
        <w:rPr>
          <w:rFonts w:ascii="Helvetica" w:hAnsi="Helvetica" w:cs="Helvetica"/>
        </w:rPr>
        <w:t>, recommendations</w:t>
      </w:r>
      <w:r w:rsidR="00E93539">
        <w:rPr>
          <w:rFonts w:ascii="Helvetica" w:hAnsi="Helvetica" w:cs="Helvetica"/>
        </w:rPr>
        <w:t xml:space="preserve"> (</w:t>
      </w:r>
      <w:r w:rsidR="005455BA">
        <w:rPr>
          <w:rFonts w:ascii="Helvetica" w:hAnsi="Helvetica" w:cs="Helvetica"/>
        </w:rPr>
        <w:t>T</w:t>
      </w:r>
      <w:r w:rsidR="00E93539">
        <w:rPr>
          <w:rFonts w:ascii="Helvetica" w:hAnsi="Helvetica" w:cs="Helvetica"/>
        </w:rPr>
        <w:t>able 3)</w:t>
      </w:r>
      <w:r w:rsidRPr="00161C60">
        <w:rPr>
          <w:rFonts w:ascii="Helvetica" w:hAnsi="Helvetica" w:cs="Helvetica"/>
        </w:rPr>
        <w:t xml:space="preserve"> are consensus rather than evidence based </w:t>
      </w:r>
      <w:r w:rsidR="00780A5A" w:rsidRPr="00161C60">
        <w:rPr>
          <w:rFonts w:ascii="Helvetica" w:hAnsi="Helvetica" w:cs="Helvetica"/>
        </w:rPr>
        <w:t xml:space="preserve">and </w:t>
      </w:r>
      <w:r w:rsidRPr="00161C60">
        <w:rPr>
          <w:rFonts w:ascii="Helvetica" w:hAnsi="Helvetica" w:cs="Helvetica"/>
        </w:rPr>
        <w:t>take into account previous consensus statements</w:t>
      </w:r>
      <w:r w:rsidR="008F1897" w:rsidRPr="00161C60">
        <w:rPr>
          <w:rFonts w:ascii="Helvetica" w:hAnsi="Helvetica" w:cs="Helvetica"/>
        </w:rPr>
        <w:t>.</w:t>
      </w:r>
    </w:p>
    <w:p w14:paraId="3836B963" w14:textId="334EF6E6" w:rsidR="008F1897" w:rsidRPr="00161C60" w:rsidRDefault="008F1897" w:rsidP="008A01F7">
      <w:pPr>
        <w:spacing w:before="120" w:after="0" w:line="240" w:lineRule="auto"/>
        <w:rPr>
          <w:rFonts w:ascii="Helvetica" w:hAnsi="Helvetica" w:cs="Helvetica"/>
        </w:rPr>
      </w:pPr>
      <w:r w:rsidRPr="00161C60">
        <w:rPr>
          <w:rFonts w:ascii="Helvetica" w:hAnsi="Helvetica" w:cs="Helvetica"/>
        </w:rPr>
        <w:t>T</w:t>
      </w:r>
      <w:r w:rsidR="00F90ADC" w:rsidRPr="00161C60">
        <w:rPr>
          <w:rFonts w:ascii="Helvetica" w:hAnsi="Helvetica" w:cs="Helvetica"/>
        </w:rPr>
        <w:t>he risks of exercise were found to be relatively low</w:t>
      </w:r>
      <w:r w:rsidR="00DB7FB0">
        <w:rPr>
          <w:rFonts w:ascii="Helvetica" w:hAnsi="Helvetica" w:cs="Helvetica"/>
        </w:rPr>
        <w:t xml:space="preserve"> </w:t>
      </w:r>
      <w:r w:rsidR="00C32853" w:rsidRPr="00161C60">
        <w:rPr>
          <w:rFonts w:ascii="Helvetica" w:eastAsia="Calibri" w:hAnsi="Helvetica" w:cs="Helvetica"/>
          <w:noProof/>
          <w:vertAlign w:val="superscript"/>
        </w:rPr>
        <w:t>6</w:t>
      </w:r>
      <w:r w:rsidR="00F90ADC" w:rsidRPr="00161C60">
        <w:rPr>
          <w:rFonts w:ascii="Helvetica" w:hAnsi="Helvetica" w:cs="Helvetica"/>
        </w:rPr>
        <w:t xml:space="preserve"> and the benefits of exercise to health and wellbeing are substantial</w:t>
      </w:r>
      <w:r w:rsidR="00DB7FB0">
        <w:rPr>
          <w:rFonts w:ascii="Helvetica" w:hAnsi="Helvetica" w:cs="Helvetica"/>
        </w:rPr>
        <w:t xml:space="preserve"> </w:t>
      </w:r>
      <w:r w:rsidR="00DB7FB0" w:rsidRPr="00161C60">
        <w:rPr>
          <w:rFonts w:ascii="Helvetica" w:hAnsi="Helvetica" w:cs="Helvetica"/>
        </w:rPr>
        <w:fldChar w:fldCharType="begin" w:fldLock="1"/>
      </w:r>
      <w:r w:rsidR="008A29C3">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Care","given":"","non-dropping-particle":"","parse-names":false,"suffix":""}],"id":"ITEM-3","issued":{"date-parts":[["2019"]]},"title":"UK Chief Medical Officers’ Physical Activity Guidelines.","type":"webpage"},"uris":["http://www.mendeley.com/documents/?uuid=0ef2c276-caf9-4e59-a59a-6c3318f18bf9"]}],"mendeley":{"formattedCitation":"&lt;sup&gt;12–14&lt;/sup&gt;","plainTextFormattedCitation":"12–14","previouslyFormattedCitation":"&lt;sup&gt;12–14&lt;/sup&gt;"},"properties":{"noteIndex":0},"schema":"https://github.com/citation-style-language/schema/raw/master/csl-citation.json"}</w:instrText>
      </w:r>
      <w:r w:rsidR="00DB7FB0" w:rsidRPr="00161C60">
        <w:rPr>
          <w:rFonts w:ascii="Helvetica" w:hAnsi="Helvetica" w:cs="Helvetica"/>
        </w:rPr>
        <w:fldChar w:fldCharType="separate"/>
      </w:r>
      <w:r w:rsidR="001B5724" w:rsidRPr="001B5724">
        <w:rPr>
          <w:rFonts w:ascii="Helvetica" w:hAnsi="Helvetica" w:cs="Helvetica"/>
          <w:noProof/>
          <w:vertAlign w:val="superscript"/>
        </w:rPr>
        <w:t>12–14</w:t>
      </w:r>
      <w:r w:rsidR="00DB7FB0" w:rsidRPr="00161C60">
        <w:rPr>
          <w:rFonts w:ascii="Helvetica" w:hAnsi="Helvetica" w:cs="Helvetica"/>
        </w:rPr>
        <w:fldChar w:fldCharType="end"/>
      </w:r>
      <w:r w:rsidR="00F90ADC" w:rsidRPr="00161C60">
        <w:rPr>
          <w:rFonts w:ascii="Helvetica" w:hAnsi="Helvetica" w:cs="Helvetica"/>
        </w:rPr>
        <w:t xml:space="preserve">, </w:t>
      </w:r>
      <w:r w:rsidRPr="00161C60">
        <w:rPr>
          <w:rFonts w:ascii="Helvetica" w:hAnsi="Helvetica" w:cs="Helvetica"/>
        </w:rPr>
        <w:t xml:space="preserve">so </w:t>
      </w:r>
      <w:r w:rsidR="00F90ADC" w:rsidRPr="00161C60">
        <w:rPr>
          <w:rFonts w:ascii="Helvetica" w:hAnsi="Helvetica" w:cs="Helvetica"/>
        </w:rPr>
        <w:t>it is recommended that the emphasis is on being able to continue rather than prohibit exercise.</w:t>
      </w:r>
      <w:r w:rsidR="00B3742C" w:rsidRPr="00161C60">
        <w:rPr>
          <w:rFonts w:ascii="Helvetica" w:hAnsi="Helvetica" w:cs="Helvetica"/>
        </w:rPr>
        <w:t xml:space="preserve"> </w:t>
      </w:r>
    </w:p>
    <w:p w14:paraId="21E5B752" w14:textId="27BB36F2" w:rsidR="008F1897" w:rsidRPr="00161C60" w:rsidRDefault="00B3742C" w:rsidP="002E5C3E">
      <w:pPr>
        <w:spacing w:before="120" w:after="0" w:line="240" w:lineRule="auto"/>
        <w:rPr>
          <w:rFonts w:ascii="Helvetica" w:hAnsi="Helvetica" w:cs="Helvetica"/>
        </w:rPr>
      </w:pPr>
      <w:r w:rsidRPr="00161C60">
        <w:rPr>
          <w:rFonts w:ascii="Helvetica" w:hAnsi="Helvetica" w:cs="Helvetica"/>
        </w:rPr>
        <w:t xml:space="preserve">As reduced kyphosis may benefit pain, falls and vertebral fracture risk, exercises to improve posture (particularly </w:t>
      </w:r>
      <w:r w:rsidR="002E5C3E" w:rsidRPr="00161C60">
        <w:rPr>
          <w:rFonts w:ascii="Helvetica" w:hAnsi="Helvetica" w:cs="Helvetica"/>
        </w:rPr>
        <w:t xml:space="preserve">by increasing the strength </w:t>
      </w:r>
      <w:r w:rsidRPr="00161C60">
        <w:rPr>
          <w:rFonts w:ascii="Helvetica" w:hAnsi="Helvetica" w:cs="Helvetica"/>
        </w:rPr>
        <w:t xml:space="preserve">of spinal extensors) </w:t>
      </w:r>
      <w:r w:rsidR="00A92E64" w:rsidRPr="00161C60">
        <w:rPr>
          <w:rFonts w:ascii="Helvetica" w:hAnsi="Helvetica" w:cs="Helvetica"/>
        </w:rPr>
        <w:t>are</w:t>
      </w:r>
      <w:r w:rsidRPr="00161C60">
        <w:rPr>
          <w:rFonts w:ascii="Helvetica" w:hAnsi="Helvetica" w:cs="Helvetica"/>
        </w:rPr>
        <w:t xml:space="preserve"> recommended</w:t>
      </w:r>
      <w:r w:rsidR="002E5C3E" w:rsidRPr="00161C60">
        <w:rPr>
          <w:rFonts w:ascii="Helvetica" w:hAnsi="Helvetica" w:cs="Helvetica"/>
        </w:rPr>
        <w:t>. Exercise can improve back extensor strength and posture, to counter the expected neuromuscular changes linked to weaker, less fatigue-resistant, muscles, combine</w:t>
      </w:r>
      <w:r w:rsidR="00823264" w:rsidRPr="00161C60">
        <w:rPr>
          <w:rFonts w:ascii="Helvetica" w:hAnsi="Helvetica" w:cs="Helvetica"/>
        </w:rPr>
        <w:t>d</w:t>
      </w:r>
      <w:r w:rsidR="002E5C3E" w:rsidRPr="00161C60">
        <w:rPr>
          <w:rFonts w:ascii="Helvetica" w:hAnsi="Helvetica" w:cs="Helvetica"/>
        </w:rPr>
        <w:t xml:space="preserve"> with deficits due to spinal pathology t</w:t>
      </w:r>
      <w:r w:rsidR="00823264" w:rsidRPr="00161C60">
        <w:rPr>
          <w:rFonts w:ascii="Helvetica" w:hAnsi="Helvetica" w:cs="Helvetica"/>
        </w:rPr>
        <w:t>hat</w:t>
      </w:r>
      <w:r w:rsidR="002E5C3E" w:rsidRPr="00161C60">
        <w:rPr>
          <w:rFonts w:ascii="Helvetica" w:hAnsi="Helvetica" w:cs="Helvetica"/>
        </w:rPr>
        <w:t xml:space="preserve"> exacerbate back muscle weakness and postural</w:t>
      </w:r>
      <w:r w:rsidR="00823264" w:rsidRPr="00161C60">
        <w:rPr>
          <w:rFonts w:ascii="Helvetica" w:hAnsi="Helvetica" w:cs="Helvetica"/>
        </w:rPr>
        <w:t xml:space="preserve"> </w:t>
      </w:r>
      <w:r w:rsidR="002E5C3E" w:rsidRPr="00161C60">
        <w:rPr>
          <w:rFonts w:ascii="Helvetica" w:hAnsi="Helvetica" w:cs="Helvetica"/>
        </w:rPr>
        <w:t>deformity in people with osteoporosis</w:t>
      </w:r>
      <w:r w:rsidR="006E399C" w:rsidRPr="00161C60">
        <w:rPr>
          <w:rFonts w:ascii="Helvetica" w:hAnsi="Helvetica" w:cs="Helvetica"/>
        </w:rPr>
        <w:t xml:space="preserve"> </w:t>
      </w:r>
      <w:r w:rsidR="006E399C" w:rsidRPr="00161C60">
        <w:rPr>
          <w:rFonts w:ascii="Helvetica" w:hAnsi="Helvetica" w:cs="Helvetica"/>
        </w:rPr>
        <w:fldChar w:fldCharType="begin" w:fldLock="1"/>
      </w:r>
      <w:r w:rsidR="008A29C3">
        <w:rPr>
          <w:rFonts w:ascii="Helvetica" w:hAnsi="Helvetica" w:cs="Helvetica"/>
        </w:rPr>
        <w:instrText>ADDIN CSL_CITATION {"citationItems":[{"id":"ITEM-1","itemData":{"DOI":"10.1007/s00198-016-3560-4","ISSN":"14332965","PMID":"26984569","abstract":"Summary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author":[{"dropping-particle":"","family":"Evstigneeva","given":"L.","non-dropping-particle":"","parse-names":false,"suffix":""},{"dropping-particle":"","family":"Lesnyak","given":"O.","non-dropping-particle":"","parse-names":false,"suffix":""},{"dropping-particle":"","family":"Bultink","given":"I. E.M.","non-dropping-particle":"","parse-names":false,"suffix":""},{"dropping-particle":"","family":"Lems","given":"W. F.","non-dropping-particle":"","parse-names":false,"suffix":""},{"dropping-particle":"","family":"Kozhemyakina","given":"E.","non-dropping-particle":"","parse-names":false,"suffix":""},{"dropping-particle":"","family":"Negodaeva","given":"E.","non-dropping-particle":"","parse-names":false,"suffix":""},{"dropping-particle":"","family":"Guselnikova","given":"G.","non-dropping-particle":"","parse-names":false,"suffix":""},{"dropping-particle":"","family":"Belkin","given":"A.","non-dropping-particle":"","parse-names":false,"suffix":""}],"container-title":"Osteoporosis International","id":"ITEM-1","issue":"8","issued":{"date-parts":[["2016"]]},"page":"2515-2524","publisher":"Osteoporosis International","title":"Effect of twelve-month physical exercise program on patients with osteoporotic vertebral fractures: A randomized, controlled trial","type":"article-journal","volume":"27"},"uris":["http://www.mendeley.com/documents/?uuid=8eb1dc01-6846-47ed-8557-637b3114bedd"]}],"mendeley":{"formattedCitation":"&lt;sup&gt;59&lt;/sup&gt;","plainTextFormattedCitation":"59","previouslyFormattedCitation":"&lt;sup&gt;59&lt;/sup&gt;"},"properties":{"noteIndex":0},"schema":"https://github.com/citation-style-language/schema/raw/master/csl-citation.json"}</w:instrText>
      </w:r>
      <w:r w:rsidR="006E399C" w:rsidRPr="00161C60">
        <w:rPr>
          <w:rFonts w:ascii="Helvetica" w:hAnsi="Helvetica" w:cs="Helvetica"/>
        </w:rPr>
        <w:fldChar w:fldCharType="separate"/>
      </w:r>
      <w:r w:rsidR="001B5724" w:rsidRPr="001B5724">
        <w:rPr>
          <w:rFonts w:ascii="Helvetica" w:hAnsi="Helvetica" w:cs="Helvetica"/>
          <w:noProof/>
          <w:vertAlign w:val="superscript"/>
        </w:rPr>
        <w:t>59</w:t>
      </w:r>
      <w:r w:rsidR="006E399C" w:rsidRPr="00161C60">
        <w:rPr>
          <w:rFonts w:ascii="Helvetica" w:hAnsi="Helvetica" w:cs="Helvetica"/>
        </w:rPr>
        <w:fldChar w:fldCharType="end"/>
      </w:r>
      <w:r w:rsidR="002E5C3E" w:rsidRPr="00161C60">
        <w:rPr>
          <w:rFonts w:ascii="Helvetica" w:hAnsi="Helvetica" w:cs="Helvetica"/>
        </w:rPr>
        <w:t>. Improvements in back extensor muscle function are likely to underpin the improvemen</w:t>
      </w:r>
      <w:r w:rsidR="00823264" w:rsidRPr="00161C60">
        <w:rPr>
          <w:rFonts w:ascii="Helvetica" w:hAnsi="Helvetica" w:cs="Helvetica"/>
        </w:rPr>
        <w:t>ts observed in standing balance</w:t>
      </w:r>
      <w:r w:rsidR="006E399C" w:rsidRPr="00161C60">
        <w:rPr>
          <w:rFonts w:ascii="Helvetica" w:hAnsi="Helvetica" w:cs="Helvetica"/>
        </w:rPr>
        <w:t xml:space="preserve"> </w:t>
      </w:r>
      <w:r w:rsidR="006E399C" w:rsidRPr="00161C60">
        <w:rPr>
          <w:rFonts w:ascii="Helvetica" w:hAnsi="Helvetica" w:cs="Helvetica"/>
        </w:rPr>
        <w:fldChar w:fldCharType="begin" w:fldLock="1"/>
      </w:r>
      <w:r w:rsidR="008A29C3">
        <w:rPr>
          <w:rFonts w:ascii="Helvetica" w:hAnsi="Helvetica" w:cs="Helvetica"/>
        </w:rPr>
        <w:instrText>ADDIN CSL_CITATION {"citationItems":[{"id":"ITEM-1","itemData":{"DOI":"10.1007/s00198-006-0252-5","ISSN":"0937941X","PMID":"17089080","abstract":"Introduction: The purpose of this study was to investigate the effect of a 12-month Balance Training Program on balance, mobility and falling frequency in women with osteoporosis. Methods: Sixty-six consecutive elderly women were selected from the Osteometabolic Disease Outpatient Clinic and randomized into 2 groups: the 'Intervention', submitted for balance training; and the 'Control', without intervention. Balance, mobility and falling frequency were evaluated before and at the end of the trial, using the Berg Balance Scale (BBS), the Clinical Test Sensory Interaction Balance (CTSIB) and the Timed \"Up &amp; Go\" Test (TUGT). Intervention used techniques to improve balance consisting of a 1-hour session each week and a home-based exercise program. Results: Sixty women completed the study and were analyzed. The BBS difference was significant higher in the Intervention group compared to Control (5.5±5.67 vs -0.5±4.88 score, p&lt;0.001). Similarly, the number of patients in the Intervention group presented improvement in two conditions of CTSIB compared to Control (eyes closed and unstable surface condition: 13 vs one patient, p&lt;0.001 and eyes open, visual conflict and unstable surface condition: 12 vs one patient, p&lt;0.001). Additionally, the differences between the TUGT were reduced in the Intervention group compared to Control (-3.65±3.61 vs 2.27±7.18 seconds, p&lt; 0.001). Notably, this improvement was paralleled by a reduction in the number of falls/patient in the Intervention group compared to Control (-0.77 ± 1.76 vs 0.33 ± 0.96, p=0.018). Conclusion: This longitudinal prospective study demonstrated that an intervention using balance training is effective in improving functional and static balance, mobility and falling frequency in elderly women with osteoporosis. © 2006 International Osteoporosis Foundation and National Osteoporosis Foundation.","author":[{"dropping-particle":"","family":"Madureira","given":"M. M.","non-dropping-particle":"","parse-names":false,"suffix":""},{"dropping-particle":"","family":"Takayama","given":"L.","non-dropping-particle":"","parse-names":false,"suffix":""},{"dropping-particle":"","family":"Gallinaro","given":"A. L.","non-dropping-particle":"","parse-names":false,"suffix":""},{"dropping-particle":"","family":"Caparbo","given":"V. F.","non-dropping-particle":"","parse-names":false,"suffix":""},{"dropping-particle":"","family":"Costa","given":"R. A.","non-dropping-particle":"","parse-names":false,"suffix":""},{"dropping-particle":"","family":"Pereira","given":"R. M.R.","non-dropping-particle":"","parse-names":false,"suffix":""}],"container-title":"Osteoporosis International","id":"ITEM-1","issue":"4","issued":{"date-parts":[["2007"]]},"page":"419-425","title":"Balance training program is highly effective in improving functional status and reducing the risk of falls in elderly women with osteoporosis: A randomized controlled trial","type":"article-journal","volume":"18"},"uris":["http://www.mendeley.com/documents/?uuid=4a141ab7-77ed-4f69-a468-940d76b858ee"]}],"mendeley":{"formattedCitation":"&lt;sup&gt;60&lt;/sup&gt;","plainTextFormattedCitation":"60","previouslyFormattedCitation":"&lt;sup&gt;60&lt;/sup&gt;"},"properties":{"noteIndex":0},"schema":"https://github.com/citation-style-language/schema/raw/master/csl-citation.json"}</w:instrText>
      </w:r>
      <w:r w:rsidR="006E399C" w:rsidRPr="00161C60">
        <w:rPr>
          <w:rFonts w:ascii="Helvetica" w:hAnsi="Helvetica" w:cs="Helvetica"/>
        </w:rPr>
        <w:fldChar w:fldCharType="separate"/>
      </w:r>
      <w:r w:rsidR="001B5724" w:rsidRPr="001B5724">
        <w:rPr>
          <w:rFonts w:ascii="Helvetica" w:hAnsi="Helvetica" w:cs="Helvetica"/>
          <w:noProof/>
          <w:vertAlign w:val="superscript"/>
        </w:rPr>
        <w:t>60</w:t>
      </w:r>
      <w:r w:rsidR="006E399C" w:rsidRPr="00161C60">
        <w:rPr>
          <w:rFonts w:ascii="Helvetica" w:hAnsi="Helvetica" w:cs="Helvetica"/>
        </w:rPr>
        <w:fldChar w:fldCharType="end"/>
      </w:r>
      <w:r w:rsidR="00823264" w:rsidRPr="00161C60">
        <w:rPr>
          <w:rFonts w:ascii="Helvetica" w:hAnsi="Helvetica" w:cs="Helvetica"/>
        </w:rPr>
        <w:t xml:space="preserve">. Different trials have used varying frequency and intensity of exercise. Overall, the consensus from the trials is that the initial dose and progression needs to be tailored to the individual to provide safe but incremental challenge and that the higher the dose and the longer the duration of the intervention the greater change observed, particularly in people over 70 years old </w:t>
      </w:r>
      <w:r w:rsidR="00CF546E" w:rsidRPr="00161C60">
        <w:rPr>
          <w:rFonts w:ascii="Helvetica" w:hAnsi="Helvetica" w:cs="Helvetica"/>
        </w:rPr>
        <w:fldChar w:fldCharType="begin" w:fldLock="1"/>
      </w:r>
      <w:r w:rsidR="008A29C3">
        <w:rPr>
          <w:rFonts w:ascii="Helvetica" w:hAnsi="Helvetica" w:cs="Helvetica"/>
        </w:rPr>
        <w:instrText>ADDIN CSL_CITATION {"citationItems":[{"id":"ITEM-1","itemData":{"DOI":"10.3310/hta23440","ISSN":"20464924","PMID":"31456562","abstract":"Background: A total of 25,000 people in the UK have osteoporotic vertebral fracture (OVF). Evidence suggests that physiotherapy may have an important treatment role. Objective: The objective was to investigate the clinical effectiveness and cost-effectiveness of two different physiotherapy programmes for people with OVF compared with a single physiotherapy session. Design: This was a prospective, adaptive, multicentre, assessor-blinded randomised controlled trial (RCT) with nested qualitative and health economic studies. Setting: This trial was based in 21 NHS physiotherapy departments. Participants: The participants were people with symptomatic OVF. Interventions: Seven sessions of either manual outpatient physiotherapy or exercise outpatient physiotherapy compared with the best practice of a 1-hour single session of physiotherapy (SSPT). Main outcome measures: Outcomes were measured at 4 and 12 months. The primary outcomes were quality of life and muscle endurance, which were measured by the disease-specific QUALEFFO-41 (Quality of Life Questionnaire of the European Foundation for Osteoporosis - 41 items) and timed loaded standing (TLS) test, respectively. Secondary outcomes were (1) thoracic kyphosis angle, (2) balance, evaluated via the functional reach test (FRT), and (3) physical function, assessed via the Short Physical Performance Battery (SPPB), 6-minute walk test (6MWT), Physical Activity Scale for the Elderly, a health resource use and falls diary, and the EuroQol-5 Dimensions, five-level version. Results: A total of 615 participants were enrolled, with 216, 203 and 196 randomised by a computergenerated program to exercise therapy, manual therapy and a SSPT, respectively. Baseline data were available for 613 participants, 531 (86.6%) of whom were women; the mean age of these participants was 72.14 years (standard deviation 9.09 years). Primary outcome data were obtained for 69% of participants (429/615) at 12 months: 175 in the exercise therapy arm, 181 in the manual therapy arm and 173 in theSSPT arm. Interim analysis met the criteria for all arms to remain in the study. For the primary outcomes at 12 months, there were no significant benefits over SSPT of exercise [QUALEFFO-41, difference -0.23 points, 95% confidence interval (CI) -3.20 to 1.59 points; p = 1.000; and TLS test, difference 5.77 seconds, 95% CI -4.85 to 20.46 seconds; p = 0.437] or of manual therapy (QUALEFFO-41, difference 1.35 points, 95% CI -1.76 to 2.93 points; p = 0.744; …","author":[{"dropping-particle":"","family":"Barker","given":"Karen L.","non-dropping-particle":"","parse-names":false,"suffix":""},{"dropping-particle":"","family":"Newman","given":"Meredith","non-dropping-particle":"","parse-names":false,"suffix":""},{"dropping-particle":"","family":"Stallard","given":"Nigel","non-dropping-particle":"","parse-names":false,"suffix":""},{"dropping-particle":"","family":"Leal","given":"Jose","non-dropping-particle":"","parse-names":false,"suffix":""},{"dropping-particle":"","family":"Lowe","given":"Catherine Minns","non-dropping-particle":"","parse-names":false,"suffix":""},{"dropping-particle":"","family":"Javaid","given":"Muhammad K.","non-dropping-particle":"","parse-names":false,"suffix":""},{"dropping-particle":"","family":"Noufaily","given":"Angela","non-dropping-particle":"","parse-names":false,"suffix":""},{"dropping-particle":"","family":"Adhikari","given":"Anish","non-dropping-particle":"","parse-names":false,"suffix":""},{"dropping-particle":"","family":"Hughes","given":"Tamsin","non-dropping-particle":"","parse-names":false,"suffix":""},{"dropping-particle":"","family":"Smith","given":"David J.","non-dropping-particle":"","parse-names":false,"suffix":""},{"dropping-particle":"","family":"Gandhi","given":"Varsha","non-dropping-particle":"","parse-names":false,"suffix":""},{"dropping-particle":"","family":"Cooper","given":"Cyrus","non-dropping-particle":"","parse-names":false,"suffix":""},{"dropping-particle":"","family":"Lamb","given":"Sarah E.","non-dropping-particle":"","parse-names":false,"suffix":""}],"container-title":"Health Technology Assessment","id":"ITEM-1","issue":"44","issued":{"date-parts":[["2019"]]},"page":"vii-317","title":"Exercise or manual physiotherapy compared with a single session of physiotherapy for osteoporotic vertebral fracture: Three-arm PROVE RCT","type":"article-journal","volume":"23"},"uris":["http://www.mendeley.com/documents/?uuid=bdf9e6b6-3be4-4cc2-9e75-3dab59feb809"]}],"mendeley":{"formattedCitation":"&lt;sup&gt;61&lt;/sup&gt;","plainTextFormattedCitation":"61","previouslyFormattedCitation":"&lt;sup&gt;61&lt;/sup&gt;"},"properties":{"noteIndex":0},"schema":"https://github.com/citation-style-language/schema/raw/master/csl-citation.json"}</w:instrText>
      </w:r>
      <w:r w:rsidR="00CF546E" w:rsidRPr="00161C60">
        <w:rPr>
          <w:rFonts w:ascii="Helvetica" w:hAnsi="Helvetica" w:cs="Helvetica"/>
        </w:rPr>
        <w:fldChar w:fldCharType="separate"/>
      </w:r>
      <w:r w:rsidR="001B5724" w:rsidRPr="001B5724">
        <w:rPr>
          <w:rFonts w:ascii="Helvetica" w:hAnsi="Helvetica" w:cs="Helvetica"/>
          <w:noProof/>
          <w:vertAlign w:val="superscript"/>
        </w:rPr>
        <w:t>61</w:t>
      </w:r>
      <w:r w:rsidR="00CF546E" w:rsidRPr="00161C60">
        <w:rPr>
          <w:rFonts w:ascii="Helvetica" w:hAnsi="Helvetica" w:cs="Helvetica"/>
        </w:rPr>
        <w:fldChar w:fldCharType="end"/>
      </w:r>
      <w:r w:rsidR="006E399C" w:rsidRPr="00161C60">
        <w:rPr>
          <w:rFonts w:ascii="Helvetica" w:hAnsi="Helvetica" w:cs="Helvetica"/>
        </w:rPr>
        <w:t>.</w:t>
      </w:r>
      <w:r w:rsidR="00823264" w:rsidRPr="00161C60">
        <w:rPr>
          <w:rFonts w:ascii="Helvetica" w:hAnsi="Helvetica" w:cs="Helvetica"/>
        </w:rPr>
        <w:t xml:space="preserve"> </w:t>
      </w:r>
      <w:r w:rsidR="002E5C3E" w:rsidRPr="007E47AE">
        <w:rPr>
          <w:rFonts w:ascii="Helvetica" w:hAnsi="Helvetica" w:cs="Helvetica"/>
        </w:rPr>
        <w:t xml:space="preserve"> </w:t>
      </w:r>
    </w:p>
    <w:p w14:paraId="434F7A08" w14:textId="41BDC0AA" w:rsidR="00780A5A" w:rsidRPr="00161C60" w:rsidRDefault="00B3742C" w:rsidP="008A01F7">
      <w:pPr>
        <w:spacing w:before="120" w:after="0" w:line="240" w:lineRule="auto"/>
        <w:rPr>
          <w:rFonts w:ascii="Helvetica" w:hAnsi="Helvetica" w:cs="Helvetica"/>
        </w:rPr>
      </w:pPr>
      <w:r w:rsidRPr="00161C60">
        <w:rPr>
          <w:rFonts w:ascii="Helvetica" w:hAnsi="Helvetica" w:cs="Helvetica"/>
        </w:rPr>
        <w:t>Avoiding activities that may provide excessive spinal load or flexion is a pragmatic approach to limit potential triggers of vertebral fracture and more detailed strategies are supplied in previous guidance</w:t>
      </w:r>
      <w:r w:rsidR="00C042E7" w:rsidRPr="00161C60">
        <w:rPr>
          <w:rFonts w:ascii="Helvetica" w:hAnsi="Helvetica" w:cs="Helvetica"/>
        </w:rPr>
        <w:t xml:space="preserve"> </w:t>
      </w:r>
      <w:r w:rsidR="00C042E7" w:rsidRPr="00161C60">
        <w:rPr>
          <w:rFonts w:ascii="Helvetica" w:hAnsi="Helvetica" w:cs="Helvetica"/>
        </w:rPr>
        <w:fldChar w:fldCharType="begin" w:fldLock="1"/>
      </w:r>
      <w:r w:rsidR="008A29C3">
        <w:rPr>
          <w:rFonts w:ascii="Helvetica" w:hAnsi="Helvetica" w:cs="Helvetica"/>
        </w:rPr>
        <w:instrText>ADDIN CSL_CITATION {"citationItems":[{"id":"ITEM-1","itemData":{"DOI":"10.1007/s00198-014-2881-4","ISBN":"0019801428814","ISSN":"14332965","PMID":"25510579","abstract":"Summary: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International","id":"ITEM-1","issue":"3","issued":{"date-parts":[["2015"]]},"page":"891-910","title":"Too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19&lt;/sup&gt;","plainTextFormattedCitation":"19","previouslyFormattedCitation":"&lt;sup&gt;19&lt;/sup&gt;"},"properties":{"noteIndex":0},"schema":"https://github.com/citation-style-language/schema/raw/master/csl-citation.json"}</w:instrText>
      </w:r>
      <w:r w:rsidR="00C042E7" w:rsidRPr="00161C60">
        <w:rPr>
          <w:rFonts w:ascii="Helvetica" w:hAnsi="Helvetica" w:cs="Helvetica"/>
        </w:rPr>
        <w:fldChar w:fldCharType="separate"/>
      </w:r>
      <w:r w:rsidR="001B5724" w:rsidRPr="001B5724">
        <w:rPr>
          <w:rFonts w:ascii="Helvetica" w:hAnsi="Helvetica" w:cs="Helvetica"/>
          <w:noProof/>
          <w:vertAlign w:val="superscript"/>
        </w:rPr>
        <w:t>19</w:t>
      </w:r>
      <w:r w:rsidR="00C042E7" w:rsidRPr="00161C60">
        <w:rPr>
          <w:rFonts w:ascii="Helvetica" w:hAnsi="Helvetica" w:cs="Helvetica"/>
        </w:rPr>
        <w:fldChar w:fldCharType="end"/>
      </w:r>
      <w:r w:rsidRPr="00161C60">
        <w:rPr>
          <w:rFonts w:ascii="Helvetica" w:hAnsi="Helvetica" w:cs="Helvetica"/>
        </w:rPr>
        <w:t xml:space="preserve">. </w:t>
      </w:r>
    </w:p>
    <w:p w14:paraId="52698E05" w14:textId="25702CC0" w:rsidR="008A01F7" w:rsidRPr="00161C60" w:rsidRDefault="00B3742C" w:rsidP="008A01F7">
      <w:pPr>
        <w:spacing w:before="120" w:after="0" w:line="240" w:lineRule="auto"/>
        <w:rPr>
          <w:rFonts w:ascii="Helvetica" w:hAnsi="Helvetica" w:cs="Helvetica"/>
        </w:rPr>
      </w:pPr>
      <w:r w:rsidRPr="00161C60">
        <w:rPr>
          <w:rFonts w:ascii="Helvetica" w:hAnsi="Helvetica" w:cs="Helvetica"/>
        </w:rPr>
        <w:t xml:space="preserve">People with </w:t>
      </w:r>
      <w:r w:rsidR="004E0FB6" w:rsidRPr="007E47AE">
        <w:rPr>
          <w:rFonts w:ascii="Helvetica" w:hAnsi="Helvetica" w:cs="Helvetica"/>
        </w:rPr>
        <w:t>pain following</w:t>
      </w:r>
      <w:r w:rsidR="007A6DFD" w:rsidRPr="00161C60">
        <w:rPr>
          <w:rFonts w:ascii="Helvetica" w:hAnsi="Helvetica" w:cs="Helvetica"/>
        </w:rPr>
        <w:t xml:space="preserve"> </w:t>
      </w:r>
      <w:r w:rsidRPr="00161C60">
        <w:rPr>
          <w:rFonts w:ascii="Helvetica" w:hAnsi="Helvetica" w:cs="Helvetica"/>
        </w:rPr>
        <w:t xml:space="preserve">vertebral fracture may benefit from exercise to </w:t>
      </w:r>
      <w:r w:rsidR="007510C5" w:rsidRPr="00161C60">
        <w:rPr>
          <w:rFonts w:ascii="Helvetica" w:hAnsi="Helvetica" w:cs="Helvetica"/>
        </w:rPr>
        <w:t xml:space="preserve">improve </w:t>
      </w:r>
      <w:r w:rsidRPr="00161C60">
        <w:rPr>
          <w:rFonts w:ascii="Helvetica" w:hAnsi="Helvetica" w:cs="Helvetica"/>
        </w:rPr>
        <w:t xml:space="preserve">symptoms as well </w:t>
      </w:r>
      <w:r w:rsidR="007510C5" w:rsidRPr="00161C60">
        <w:rPr>
          <w:rFonts w:ascii="Helvetica" w:hAnsi="Helvetica" w:cs="Helvetica"/>
        </w:rPr>
        <w:t>as helping to maintain</w:t>
      </w:r>
      <w:r w:rsidRPr="00161C60">
        <w:rPr>
          <w:rFonts w:ascii="Helvetica" w:hAnsi="Helvetica" w:cs="Helvetica"/>
        </w:rPr>
        <w:t xml:space="preserve"> usual activity. Whilst such exercise should be delivered with expert advice</w:t>
      </w:r>
      <w:r w:rsidR="00CA12BA" w:rsidRPr="00161C60">
        <w:rPr>
          <w:rFonts w:ascii="Helvetica" w:hAnsi="Helvetica" w:cs="Helvetica"/>
        </w:rPr>
        <w:t>, it is important that those with limited access to physiotherapy still have opportunity to benefit, so yoga or Pilates classes</w:t>
      </w:r>
      <w:r w:rsidRPr="00161C60">
        <w:rPr>
          <w:rFonts w:ascii="Helvetica" w:hAnsi="Helvetica" w:cs="Helvetica"/>
        </w:rPr>
        <w:t xml:space="preserve"> </w:t>
      </w:r>
      <w:r w:rsidR="00CA12BA" w:rsidRPr="00161C60">
        <w:rPr>
          <w:rFonts w:ascii="Helvetica" w:hAnsi="Helvetica" w:cs="Helvetica"/>
        </w:rPr>
        <w:t>with an instructor</w:t>
      </w:r>
      <w:r w:rsidR="00494B21" w:rsidRPr="00161C60">
        <w:rPr>
          <w:rFonts w:ascii="Helvetica" w:hAnsi="Helvetica" w:cs="Helvetica"/>
        </w:rPr>
        <w:t xml:space="preserve"> </w:t>
      </w:r>
      <w:r w:rsidR="00DE2003" w:rsidRPr="007E47AE">
        <w:rPr>
          <w:rFonts w:ascii="Helvetica" w:hAnsi="Helvetica" w:cs="Helvetica"/>
        </w:rPr>
        <w:t>with an understanding of appropriate exercise and movement for patients with vertebral fracture</w:t>
      </w:r>
      <w:r w:rsidR="00CA12BA" w:rsidRPr="00161C60">
        <w:rPr>
          <w:rFonts w:ascii="Helvetica" w:hAnsi="Helvetica" w:cs="Helvetica"/>
        </w:rPr>
        <w:t xml:space="preserve"> may be an alternative. Hydrotherapy improved quality of life </w:t>
      </w:r>
      <w:r w:rsidR="00E71C25" w:rsidRPr="00161C60">
        <w:rPr>
          <w:rFonts w:ascii="Helvetica" w:hAnsi="Helvetica" w:cs="Helvetica"/>
        </w:rPr>
        <w:fldChar w:fldCharType="begin" w:fldLock="1"/>
      </w:r>
      <w:r w:rsidR="008A29C3">
        <w:rPr>
          <w:rFonts w:ascii="Helvetica" w:hAnsi="Helvetica" w:cs="Helvetica"/>
        </w:rPr>
        <w:instrText>ADDIN CSL_CITATION {"citationItems":[{"id":"ITEM-1","itemData":{"DOI":"10.1016/S0004-9514(05)70038-6","ISSN":"00049514","PMID":"15924512","abstract":"The purpose of this study was to assess the effects of a water-based exercise and self-management program on balance, fear of falling, and quality of life in community-dwelling women 65 years of age or older with a diagnosis of osteopenia or osteoporosis. Fifty women with an average age of 73.3 years (range 65.5-82.4, SD 3.9) were randomised to intervention or control groups. The intervention group received a 10-week water-based exercise and self-management program compiled by Community Physiotherapy Services and conducted by a physiotherapist at an aquatic centre twice a week for one hour. The control group did not receive any instructions and were not encouraged to change their physical activity, activities of daily living or social habits during the study. Change in balance, measured using the step test, from baseline to follow-up differed between intervention and control groups, with mean (95% CI) between-group differences of 1.7 (0.9 to 2.6) and 2.1 (1.1 to 3.1) steps on the left and right sides respectively. Between-group differences in score changes were also significant in four of the eight domains of quality of life measured using the Short Form 36 questionnaire (SF36; physical function 8.6 (0.4 to 16.8), vitality 12.0 (2.3 to 21.8), social function, and 14.1 (0.6 to 27.7) mental health 10.2 (2.0 to 18.4)), but not fear of failing measured using the modified falls efficacy scale (0.25 (-0.3 to 0.81). It is concluded that a water-based exercise and self-management program produced significant changes in balance and quality of life, but not fear of falling, in this group of community-dwelling women 65 years of age or older with a diagnosis of osteopenia or osteoporosis.","author":[{"dropping-particle":"","family":"Devereux","given":"Kathryn","non-dropping-particle":"","parse-names":false,"suffix":""},{"dropping-particle":"","family":"Robertson","given":"Dianne","non-dropping-particle":"","parse-names":false,"suffix":""},{"dropping-particle":"","family":"Briffa","given":"N. Kathryn","non-dropping-particle":"","parse-names":false,"suffix":""}],"container-title":"Australian Journal of Physiotherapy","id":"ITEM-1","issue":"2","issued":{"date-parts":[["2005"]]},"page":"102-108","publisher":"Elsevier","title":"Effects of a water-based program on women 65 years and over: A randomised controlled trial","type":"article-journal","volume":"51"},"uris":["http://www.mendeley.com/documents/?uuid=5d3a268d-bfd2-4093-bc66-21b3e0a9a744"]}],"mendeley":{"formattedCitation":"&lt;sup&gt;62&lt;/sup&gt;","plainTextFormattedCitation":"62","previouslyFormattedCitation":"&lt;sup&gt;62&lt;/sup&gt;"},"properties":{"noteIndex":0},"schema":"https://github.com/citation-style-language/schema/raw/master/csl-citation.json"}</w:instrText>
      </w:r>
      <w:r w:rsidR="00E71C25" w:rsidRPr="00161C60">
        <w:rPr>
          <w:rFonts w:ascii="Helvetica" w:hAnsi="Helvetica" w:cs="Helvetica"/>
        </w:rPr>
        <w:fldChar w:fldCharType="separate"/>
      </w:r>
      <w:r w:rsidR="001B5724" w:rsidRPr="001B5724">
        <w:rPr>
          <w:rFonts w:ascii="Helvetica" w:hAnsi="Helvetica" w:cs="Helvetica"/>
          <w:noProof/>
          <w:vertAlign w:val="superscript"/>
        </w:rPr>
        <w:t>62</w:t>
      </w:r>
      <w:r w:rsidR="00E71C25" w:rsidRPr="00161C60">
        <w:rPr>
          <w:rFonts w:ascii="Helvetica" w:hAnsi="Helvetica" w:cs="Helvetica"/>
        </w:rPr>
        <w:fldChar w:fldCharType="end"/>
      </w:r>
      <w:r w:rsidR="00E71C25" w:rsidRPr="00161C60">
        <w:rPr>
          <w:rFonts w:ascii="Helvetica" w:hAnsi="Helvetica" w:cs="Helvetica"/>
        </w:rPr>
        <w:t xml:space="preserve"> </w:t>
      </w:r>
      <w:r w:rsidR="00CA12BA" w:rsidRPr="00161C60">
        <w:rPr>
          <w:rFonts w:ascii="Helvetica" w:hAnsi="Helvetica" w:cs="Helvetica"/>
        </w:rPr>
        <w:t>so may be appropriate for</w:t>
      </w:r>
      <w:r w:rsidR="00CB6174">
        <w:rPr>
          <w:rFonts w:ascii="Helvetica" w:hAnsi="Helvetica" w:cs="Helvetica"/>
        </w:rPr>
        <w:t xml:space="preserve"> improving</w:t>
      </w:r>
      <w:r w:rsidR="00CA12BA" w:rsidRPr="00161C60">
        <w:rPr>
          <w:rFonts w:ascii="Helvetica" w:hAnsi="Helvetica" w:cs="Helvetica"/>
        </w:rPr>
        <w:t xml:space="preserve"> </w:t>
      </w:r>
      <w:r w:rsidR="00CB6174" w:rsidRPr="007E47AE">
        <w:rPr>
          <w:rFonts w:ascii="Helvetica" w:hAnsi="Helvetica" w:cs="Helvetica"/>
        </w:rPr>
        <w:t>vertebral fracture symptoms</w:t>
      </w:r>
      <w:r w:rsidR="00CB6174" w:rsidRPr="00161C60">
        <w:rPr>
          <w:rFonts w:ascii="Helvetica" w:hAnsi="Helvetica" w:cs="Helvetica"/>
        </w:rPr>
        <w:t xml:space="preserve"> </w:t>
      </w:r>
      <w:r w:rsidR="00CB6174">
        <w:rPr>
          <w:rFonts w:ascii="Helvetica" w:hAnsi="Helvetica" w:cs="Helvetica"/>
        </w:rPr>
        <w:t>as those affected may</w:t>
      </w:r>
      <w:r w:rsidR="00CA12BA" w:rsidRPr="00161C60">
        <w:rPr>
          <w:rFonts w:ascii="Helvetica" w:hAnsi="Helvetica" w:cs="Helvetica"/>
        </w:rPr>
        <w:t xml:space="preserve"> find water based exercise more comfortable</w:t>
      </w:r>
      <w:r w:rsidR="00834FAB">
        <w:rPr>
          <w:rFonts w:ascii="Helvetica" w:hAnsi="Helvetica" w:cs="Helvetica"/>
        </w:rPr>
        <w:t>, although it may not benefit bone strength</w:t>
      </w:r>
      <w:r w:rsidR="00CA12BA" w:rsidRPr="00161C60">
        <w:rPr>
          <w:rFonts w:ascii="Helvetica" w:hAnsi="Helvetica" w:cs="Helvetica"/>
        </w:rPr>
        <w:t>.</w:t>
      </w:r>
    </w:p>
    <w:p w14:paraId="44B7A1F7" w14:textId="77777777" w:rsidR="008F1897" w:rsidRPr="00161C60" w:rsidRDefault="008F1897" w:rsidP="008A01F7">
      <w:pPr>
        <w:spacing w:before="120" w:after="0" w:line="240" w:lineRule="auto"/>
        <w:rPr>
          <w:rFonts w:ascii="Helvetica" w:hAnsi="Helvetica" w:cs="Helvetica"/>
        </w:rPr>
      </w:pPr>
    </w:p>
    <w:p w14:paraId="761F537B" w14:textId="77777777" w:rsidR="009D1D63" w:rsidRDefault="009D1D63">
      <w:pPr>
        <w:rPr>
          <w:rFonts w:ascii="Helvetica" w:hAnsi="Helvetica" w:cs="Helvetica"/>
          <w:b/>
          <w:bCs/>
        </w:rPr>
      </w:pPr>
      <w:r>
        <w:rPr>
          <w:rFonts w:ascii="Helvetica" w:hAnsi="Helvetica" w:cs="Helvetica"/>
          <w:b/>
          <w:bCs/>
        </w:rPr>
        <w:br w:type="page"/>
      </w:r>
    </w:p>
    <w:p w14:paraId="4B87AAE5" w14:textId="14149EDD" w:rsidR="004A176D" w:rsidRPr="00161C60" w:rsidRDefault="0081043A" w:rsidP="00664938">
      <w:pPr>
        <w:spacing w:before="120" w:after="0" w:line="240" w:lineRule="auto"/>
        <w:rPr>
          <w:rFonts w:ascii="Helvetica" w:hAnsi="Helvetica" w:cs="Helvetica"/>
          <w:b/>
          <w:bCs/>
        </w:rPr>
      </w:pPr>
      <w:r w:rsidRPr="00161C60">
        <w:rPr>
          <w:rFonts w:ascii="Helvetica" w:hAnsi="Helvetica" w:cs="Helvetica"/>
          <w:b/>
          <w:bCs/>
        </w:rPr>
        <w:t>Table 3: recommendations to reduce risk of vertebral fracture, improve posture and manage symptoms of vertebral fracture</w:t>
      </w:r>
    </w:p>
    <w:tbl>
      <w:tblPr>
        <w:tblStyle w:val="TableGrid"/>
        <w:tblW w:w="0" w:type="auto"/>
        <w:tblLook w:val="04A0" w:firstRow="1" w:lastRow="0" w:firstColumn="1" w:lastColumn="0" w:noHBand="0" w:noVBand="1"/>
      </w:tblPr>
      <w:tblGrid>
        <w:gridCol w:w="8630"/>
      </w:tblGrid>
      <w:tr w:rsidR="00956926" w:rsidRPr="00161C60" w14:paraId="5E6B0D86" w14:textId="77777777" w:rsidTr="00047AC9">
        <w:tc>
          <w:tcPr>
            <w:tcW w:w="8630" w:type="dxa"/>
            <w:shd w:val="clear" w:color="auto" w:fill="auto"/>
          </w:tcPr>
          <w:p w14:paraId="22271CC7" w14:textId="61948E38" w:rsidR="00B17CC2" w:rsidRPr="00161C60" w:rsidRDefault="00B17CC2" w:rsidP="00B17CC2">
            <w:pPr>
              <w:spacing w:before="120"/>
              <w:ind w:left="0"/>
              <w:rPr>
                <w:rFonts w:ascii="Helvetica" w:hAnsi="Helvetica" w:cs="Helvetica"/>
                <w:i/>
                <w:iCs/>
                <w:color w:val="auto"/>
              </w:rPr>
            </w:pPr>
            <w:r w:rsidRPr="00161C60">
              <w:rPr>
                <w:rFonts w:ascii="Helvetica" w:hAnsi="Helvetica" w:cs="Helvetica"/>
                <w:i/>
                <w:iCs/>
                <w:color w:val="auto"/>
              </w:rPr>
              <w:t xml:space="preserve">For all people with osteoporosis </w:t>
            </w:r>
          </w:p>
          <w:p w14:paraId="5187B690" w14:textId="17230F2C"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shd w:val="clear" w:color="auto" w:fill="FFFFFF" w:themeFill="background1"/>
              </w:rPr>
              <w:t>A positive and reassuring approach is recommended to reduce fear, enhance confidence and control - ‘how to’ rather than ‘don’t do’, especially as most people with osteoporosis are unlikely to experience a vertebral fracture during these activities. [C</w:t>
            </w:r>
            <w:r w:rsidR="0081043A" w:rsidRPr="00161C60">
              <w:rPr>
                <w:rFonts w:ascii="Helvetica" w:hAnsi="Helvetica" w:cs="Helvetica"/>
                <w:color w:val="auto"/>
                <w:sz w:val="24"/>
                <w:szCs w:val="24"/>
                <w:shd w:val="clear" w:color="auto" w:fill="FFFFFF" w:themeFill="background1"/>
              </w:rPr>
              <w:t>]</w:t>
            </w:r>
          </w:p>
          <w:p w14:paraId="5E739BF6" w14:textId="77777777"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Exercises to improve muscle strength in the back are recommended to improve posture and support the spine. Aim for exercises repeated 3-5 times and held for 3-5 seconds at least twice a week. [C</w:t>
            </w:r>
            <w:r w:rsidRPr="00161C60">
              <w:rPr>
                <w:rFonts w:ascii="Helvetica" w:hAnsi="Helvetica" w:cs="Helvetica"/>
                <w:color w:val="auto"/>
                <w:sz w:val="24"/>
                <w:szCs w:val="24"/>
                <w:shd w:val="clear" w:color="auto" w:fill="DAEEF3" w:themeFill="accent5" w:themeFillTint="33"/>
              </w:rPr>
              <w:t>]</w:t>
            </w:r>
          </w:p>
          <w:p w14:paraId="14330A8E" w14:textId="3F9CCFA1"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Safe techniques for day-to-day moving and lifting are: [C</w:t>
            </w:r>
            <w:r w:rsidR="0081043A" w:rsidRPr="00161C60">
              <w:rPr>
                <w:rFonts w:ascii="Helvetica" w:hAnsi="Helvetica" w:cs="Helvetica"/>
                <w:color w:val="auto"/>
                <w:sz w:val="24"/>
                <w:szCs w:val="24"/>
              </w:rPr>
              <w:t>]</w:t>
            </w:r>
          </w:p>
          <w:p w14:paraId="0528A96E" w14:textId="1B81CD9B"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‘Think straight’ - a straight upper back (and keeping the neck in line with the spine) is the key principle for all movements that involve bending and lifting</w:t>
            </w:r>
            <w:r w:rsidR="0081043A" w:rsidRPr="00161C60">
              <w:rPr>
                <w:rFonts w:ascii="Helvetica" w:hAnsi="Helvetica" w:cs="Helvetica"/>
                <w:color w:val="auto"/>
                <w:sz w:val="24"/>
                <w:szCs w:val="24"/>
              </w:rPr>
              <w:t>.</w:t>
            </w:r>
          </w:p>
          <w:p w14:paraId="03F88B26" w14:textId="2E696A85"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However, recognising the natural curves in the back, flexibility and function remain important and should be encouraged</w:t>
            </w:r>
            <w:r w:rsidR="0081043A" w:rsidRPr="00161C60">
              <w:rPr>
                <w:rFonts w:ascii="Helvetica" w:hAnsi="Helvetica" w:cs="Helvetica"/>
                <w:color w:val="auto"/>
                <w:sz w:val="24"/>
                <w:szCs w:val="24"/>
              </w:rPr>
              <w:t>.</w:t>
            </w:r>
          </w:p>
          <w:p w14:paraId="70FEEE65" w14:textId="29452529"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Safe lifting techniques are recommended rather than instructions such as ‘don’t lift’ or ‘only lift up to a specific weight’</w:t>
            </w:r>
            <w:r w:rsidR="0081043A" w:rsidRPr="00161C60">
              <w:rPr>
                <w:rFonts w:ascii="Helvetica" w:hAnsi="Helvetica" w:cs="Helvetica"/>
                <w:color w:val="auto"/>
                <w:sz w:val="24"/>
                <w:szCs w:val="24"/>
              </w:rPr>
              <w:t>.</w:t>
            </w:r>
          </w:p>
          <w:p w14:paraId="7F0C7E5E" w14:textId="5B5288CF"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The ‘hip hinge’ is a simple technique for safe bending that facilitates this and can be practi</w:t>
            </w:r>
            <w:r w:rsidR="00B3742C" w:rsidRPr="00161C60">
              <w:rPr>
                <w:rFonts w:ascii="Helvetica" w:hAnsi="Helvetica" w:cs="Helvetica"/>
                <w:color w:val="auto"/>
                <w:sz w:val="24"/>
                <w:szCs w:val="24"/>
              </w:rPr>
              <w:t>c</w:t>
            </w:r>
            <w:r w:rsidRPr="00161C60">
              <w:rPr>
                <w:rFonts w:ascii="Helvetica" w:hAnsi="Helvetica" w:cs="Helvetica"/>
                <w:color w:val="auto"/>
                <w:sz w:val="24"/>
                <w:szCs w:val="24"/>
              </w:rPr>
              <w:t>ed and integrated into all day-to-day movements</w:t>
            </w:r>
            <w:r w:rsidR="0081043A" w:rsidRPr="00161C60">
              <w:rPr>
                <w:rFonts w:ascii="Helvetica" w:hAnsi="Helvetica" w:cs="Helvetica"/>
                <w:color w:val="auto"/>
                <w:sz w:val="24"/>
                <w:szCs w:val="24"/>
              </w:rPr>
              <w:t>.</w:t>
            </w:r>
          </w:p>
          <w:p w14:paraId="1D58C8B9" w14:textId="77777777"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Always move in a smooth, controlled way within a comfortable range.  Rotation (twisting) movements should be safe if performed smoothly and comfortably.</w:t>
            </w:r>
          </w:p>
          <w:p w14:paraId="72191C53" w14:textId="77777777" w:rsidR="00B17CC2" w:rsidRPr="00161C60" w:rsidRDefault="00B17CC2" w:rsidP="00B17CC2">
            <w:pPr>
              <w:pStyle w:val="ListParagraph"/>
              <w:numPr>
                <w:ilvl w:val="0"/>
                <w:numId w:val="12"/>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Engage abdominal muscles during movements</w:t>
            </w:r>
            <w:r w:rsidRPr="00161C60">
              <w:rPr>
                <w:rFonts w:ascii="Helvetica" w:hAnsi="Helvetica" w:cs="Helvetica"/>
                <w:color w:val="auto"/>
                <w:sz w:val="24"/>
                <w:szCs w:val="24"/>
                <w:shd w:val="clear" w:color="auto" w:fill="DAEEF3" w:themeFill="accent5" w:themeFillTint="33"/>
              </w:rPr>
              <w:t>.</w:t>
            </w:r>
          </w:p>
          <w:p w14:paraId="4860820E" w14:textId="77777777"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Movements or exercise that involve sustained, repeated or end-range flexion should be modified or avoided. [C</w:t>
            </w:r>
            <w:r w:rsidRPr="00161C60">
              <w:rPr>
                <w:rFonts w:ascii="Helvetica" w:hAnsi="Helvetica" w:cs="Helvetica"/>
                <w:color w:val="auto"/>
                <w:sz w:val="24"/>
                <w:szCs w:val="24"/>
                <w:shd w:val="clear" w:color="auto" w:fill="DAEEF3" w:themeFill="accent5" w:themeFillTint="33"/>
              </w:rPr>
              <w:t>]</w:t>
            </w:r>
          </w:p>
          <w:p w14:paraId="39784FB3" w14:textId="0D980302"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Any exercise that causes the back to curve excessively especially with an added load should be modified or avoided. [C</w:t>
            </w:r>
            <w:r w:rsidRPr="00161C60">
              <w:rPr>
                <w:rFonts w:ascii="Helvetica" w:hAnsi="Helvetica" w:cs="Helvetica"/>
                <w:color w:val="auto"/>
                <w:sz w:val="24"/>
                <w:szCs w:val="24"/>
                <w:shd w:val="clear" w:color="auto" w:fill="DAEEF3" w:themeFill="accent5" w:themeFillTint="33"/>
              </w:rPr>
              <w:t>]</w:t>
            </w:r>
          </w:p>
          <w:p w14:paraId="57966A35" w14:textId="08F6E4E0"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 xml:space="preserve">People who are experienced, demonstrate flexibility in the spine and can manage the moves comfortably and smoothly, should be advised that they can continue with these activities as long as they are fit enough to manage them with ease. </w:t>
            </w:r>
            <w:r w:rsidRPr="00161C60">
              <w:rPr>
                <w:rFonts w:ascii="Helvetica" w:hAnsi="Helvetica" w:cs="Helvetica"/>
                <w:color w:val="auto"/>
                <w:sz w:val="24"/>
                <w:szCs w:val="24"/>
                <w14:textOutline w14:w="0" w14:cap="flat" w14:cmpd="sng" w14:algn="ctr">
                  <w14:noFill/>
                  <w14:prstDash w14:val="solid"/>
                  <w14:round/>
                </w14:textOutline>
              </w:rPr>
              <w:t>As a precaution, alternatives to exercises such as the ‘roll down ‘and ‘curl up’ in Pilates should be considered</w:t>
            </w:r>
            <w:r w:rsidR="0081043A" w:rsidRPr="00161C60">
              <w:rPr>
                <w:rFonts w:ascii="Helvetica" w:hAnsi="Helvetica" w:cs="Helvetica"/>
                <w:color w:val="auto"/>
                <w:sz w:val="24"/>
                <w:szCs w:val="24"/>
                <w14:textOutline w14:w="0" w14:cap="flat" w14:cmpd="sng" w14:algn="ctr">
                  <w14:noFill/>
                  <w14:prstDash w14:val="solid"/>
                  <w14:round/>
                </w14:textOutline>
              </w:rPr>
              <w:t xml:space="preserve">. </w:t>
            </w:r>
            <w:r w:rsidRPr="00161C60">
              <w:rPr>
                <w:rFonts w:ascii="Helvetica" w:hAnsi="Helvetica" w:cs="Helvetica"/>
                <w:color w:val="auto"/>
                <w:sz w:val="24"/>
                <w:szCs w:val="24"/>
              </w:rPr>
              <w:t>[C]</w:t>
            </w:r>
          </w:p>
          <w:p w14:paraId="40754779" w14:textId="0524E485" w:rsidR="00B17CC2" w:rsidRPr="00161C60" w:rsidRDefault="00B17CC2" w:rsidP="00B17CC2">
            <w:pPr>
              <w:pStyle w:val="ListParagraph"/>
              <w:numPr>
                <w:ilvl w:val="0"/>
                <w:numId w:val="8"/>
              </w:numPr>
              <w:spacing w:before="120" w:after="0" w:line="240" w:lineRule="auto"/>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14:textOutline w14:w="0" w14:cap="flat" w14:cmpd="sng" w14:algn="ctr">
                  <w14:noFill/>
                  <w14:prstDash w14:val="solid"/>
                  <w14:round/>
                </w14:textOutline>
              </w:rPr>
              <w:t xml:space="preserve">Correct form and technique </w:t>
            </w:r>
            <w:r w:rsidR="00C91651" w:rsidRPr="00161C60">
              <w:rPr>
                <w:rFonts w:ascii="Helvetica" w:hAnsi="Helvetica" w:cs="Helvetica"/>
                <w:color w:val="auto"/>
                <w:sz w:val="24"/>
                <w:szCs w:val="24"/>
                <w14:textOutline w14:w="0" w14:cap="flat" w14:cmpd="sng" w14:algn="ctr">
                  <w14:noFill/>
                  <w14:prstDash w14:val="solid"/>
                  <w14:round/>
                </w14:textOutline>
              </w:rPr>
              <w:t>is</w:t>
            </w:r>
            <w:r w:rsidRPr="00161C60">
              <w:rPr>
                <w:rFonts w:ascii="Helvetica" w:hAnsi="Helvetica" w:cs="Helvetica"/>
                <w:color w:val="auto"/>
                <w:sz w:val="24"/>
                <w:szCs w:val="24"/>
                <w14:textOutline w14:w="0" w14:cap="flat" w14:cmpd="sng" w14:algn="ctr">
                  <w14:noFill/>
                  <w14:prstDash w14:val="solid"/>
                  <w14:round/>
                </w14:textOutline>
              </w:rPr>
              <w:t xml:space="preserve"> important [C]</w:t>
            </w:r>
          </w:p>
          <w:p w14:paraId="3A1FC6EB" w14:textId="0292A8FE" w:rsidR="00B17CC2" w:rsidRPr="00161C60" w:rsidRDefault="00047AC9" w:rsidP="00B17CC2">
            <w:pPr>
              <w:spacing w:before="120"/>
              <w:ind w:left="0"/>
              <w:rPr>
                <w:rFonts w:ascii="Helvetica" w:hAnsi="Helvetica" w:cs="Helvetica"/>
                <w:bCs/>
                <w:i/>
                <w:iCs/>
                <w:color w:val="auto"/>
                <w:shd w:val="clear" w:color="auto" w:fill="DAEEF3" w:themeFill="accent5" w:themeFillTint="33"/>
              </w:rPr>
            </w:pPr>
            <w:r w:rsidRPr="00161C60">
              <w:rPr>
                <w:rFonts w:ascii="Helvetica" w:hAnsi="Helvetica" w:cs="Helvetica"/>
                <w:bCs/>
                <w:i/>
                <w:iCs/>
                <w:color w:val="auto"/>
                <w14:textOutline w14:w="0" w14:cap="flat" w14:cmpd="sng" w14:algn="ctr">
                  <w14:noFill/>
                  <w14:prstDash w14:val="solid"/>
                  <w14:round/>
                </w14:textOutline>
              </w:rPr>
              <w:t>F</w:t>
            </w:r>
            <w:r w:rsidR="00B17CC2" w:rsidRPr="00161C60">
              <w:rPr>
                <w:rFonts w:ascii="Helvetica" w:hAnsi="Helvetica" w:cs="Helvetica"/>
                <w:bCs/>
                <w:i/>
                <w:iCs/>
                <w:color w:val="auto"/>
                <w14:textOutline w14:w="0" w14:cap="flat" w14:cmpd="sng" w14:algn="ctr">
                  <w14:noFill/>
                  <w14:prstDash w14:val="solid"/>
                  <w14:round/>
                </w14:textOutline>
              </w:rPr>
              <w:t>or people with osteoporosis with vertebral fracture.</w:t>
            </w:r>
          </w:p>
          <w:p w14:paraId="701EFE02" w14:textId="77777777" w:rsidR="00B17CC2" w:rsidRPr="00161C60" w:rsidRDefault="00B17CC2" w:rsidP="00B17CC2">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Prompt moving and lifting advice is recommended soon after painful vertebral fractures to reduce fear and maintain mobility and function [C</w:t>
            </w:r>
            <w:r w:rsidRPr="00161C60">
              <w:rPr>
                <w:rFonts w:ascii="Helvetica" w:hAnsi="Helvetica" w:cs="Helvetica"/>
                <w:color w:val="auto"/>
                <w:sz w:val="24"/>
                <w:szCs w:val="24"/>
                <w:shd w:val="clear" w:color="auto" w:fill="DAEEF3" w:themeFill="accent5" w:themeFillTint="33"/>
              </w:rPr>
              <w:t>]</w:t>
            </w:r>
          </w:p>
          <w:p w14:paraId="4637DCF0" w14:textId="1EE37363" w:rsidR="004A176D" w:rsidRPr="00161C60" w:rsidRDefault="00B17CC2" w:rsidP="00047AC9">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A referral to a physiotherapist will be helpful although some advice will also be important as soon as possible after a painful fracture [C</w:t>
            </w:r>
            <w:r w:rsidRPr="00161C60">
              <w:rPr>
                <w:rFonts w:ascii="Helvetica" w:hAnsi="Helvetica" w:cs="Helvetica"/>
                <w:color w:val="auto"/>
                <w:sz w:val="24"/>
                <w:szCs w:val="24"/>
                <w:shd w:val="clear" w:color="auto" w:fill="DAEEF3" w:themeFill="accent5" w:themeFillTint="33"/>
              </w:rPr>
              <w:t>]</w:t>
            </w:r>
          </w:p>
          <w:p w14:paraId="400E9095" w14:textId="6645EF62" w:rsidR="004A176D" w:rsidRPr="00161C60" w:rsidRDefault="004A176D" w:rsidP="00047AC9">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bookmarkStart w:id="10" w:name="_Hlk520229172"/>
            <w:r w:rsidRPr="00161C60">
              <w:rPr>
                <w:rFonts w:ascii="Helvetica" w:hAnsi="Helvetica" w:cs="Helvetica"/>
                <w:color w:val="auto"/>
                <w:sz w:val="24"/>
                <w:szCs w:val="24"/>
              </w:rPr>
              <w:t>Daily exercises to strengthen back muscles (with a focus on endurance by exercising at low intensity), reduce muscle spasm, relieve pain, improve flexibility, and promote best possible posture are recommended with a referral to a physiotherapist for tailored advice. Aim for repeated exercise 3-5 times and held for 3-5 seconds. [C</w:t>
            </w:r>
            <w:r w:rsidRPr="00161C60">
              <w:rPr>
                <w:rFonts w:ascii="Helvetica" w:hAnsi="Helvetica" w:cs="Helvetica"/>
                <w:color w:val="auto"/>
                <w:sz w:val="24"/>
                <w:szCs w:val="24"/>
                <w:shd w:val="clear" w:color="auto" w:fill="DAEEF3" w:themeFill="accent5" w:themeFillTint="33"/>
              </w:rPr>
              <w:t>]</w:t>
            </w:r>
            <w:bookmarkEnd w:id="10"/>
          </w:p>
          <w:p w14:paraId="09CD853D"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Maintaining physical activity and exercise is recommended to address pain and improve well-being.  [C</w:t>
            </w:r>
            <w:r w:rsidRPr="00161C60">
              <w:rPr>
                <w:rFonts w:ascii="Helvetica" w:hAnsi="Helvetica" w:cs="Helvetica"/>
                <w:color w:val="auto"/>
                <w:sz w:val="24"/>
                <w:szCs w:val="24"/>
                <w:shd w:val="clear" w:color="auto" w:fill="DAEEF3" w:themeFill="accent5" w:themeFillTint="33"/>
              </w:rPr>
              <w:t>]</w:t>
            </w:r>
          </w:p>
          <w:p w14:paraId="2C7D3839"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Professionals should explain how exercise interventions may help with back pain as people are fearful that exercise will make pain worse. [C</w:t>
            </w:r>
            <w:r w:rsidRPr="00161C60">
              <w:rPr>
                <w:rFonts w:ascii="Helvetica" w:hAnsi="Helvetica" w:cs="Helvetica"/>
                <w:color w:val="auto"/>
                <w:sz w:val="24"/>
                <w:szCs w:val="24"/>
                <w:shd w:val="clear" w:color="auto" w:fill="DAEEF3" w:themeFill="accent5" w:themeFillTint="33"/>
              </w:rPr>
              <w:t>]</w:t>
            </w:r>
          </w:p>
          <w:p w14:paraId="5AE2ABFC" w14:textId="23FD6A4E"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Yoga and Pilates and similar exercise programmes should be considered to help with posture and pain through teaching form, alignment and muscle strength and relaxation. [C</w:t>
            </w:r>
            <w:r w:rsidRPr="00161C60">
              <w:rPr>
                <w:rFonts w:ascii="Helvetica" w:hAnsi="Helvetica" w:cs="Helvetica"/>
                <w:color w:val="auto"/>
                <w:sz w:val="24"/>
                <w:szCs w:val="24"/>
                <w:shd w:val="clear" w:color="auto" w:fill="DAEEF3" w:themeFill="accent5" w:themeFillTint="33"/>
              </w:rPr>
              <w:t>]</w:t>
            </w:r>
          </w:p>
          <w:p w14:paraId="4BE3F4CC" w14:textId="1E40E158" w:rsidR="00047AC9" w:rsidRPr="00161C60" w:rsidRDefault="00047AC9" w:rsidP="00574418">
            <w:pPr>
              <w:pStyle w:val="ListParagraph"/>
              <w:numPr>
                <w:ilvl w:val="1"/>
                <w:numId w:val="8"/>
              </w:numPr>
              <w:spacing w:before="120" w:after="0" w:line="240" w:lineRule="auto"/>
              <w:ind w:left="709"/>
              <w:rPr>
                <w:rFonts w:ascii="Helvetica" w:hAnsi="Helvetica" w:cs="Helvetica"/>
                <w:color w:val="auto"/>
                <w:sz w:val="24"/>
                <w:szCs w:val="24"/>
                <w:shd w:val="clear" w:color="auto" w:fill="DAEEF3" w:themeFill="accent5" w:themeFillTint="33"/>
              </w:rPr>
            </w:pPr>
            <w:r w:rsidRPr="00161C60">
              <w:rPr>
                <w:rFonts w:ascii="Helvetica" w:hAnsi="Helvetica" w:cs="Helvetica"/>
                <w:color w:val="auto"/>
                <w:sz w:val="24"/>
                <w:szCs w:val="24"/>
              </w:rPr>
              <w:t>Classes should, if possible, by led by an instructor who has been trained to work with older individuals or those with osteoporosis and can amend exercises according to ability and range of movement</w:t>
            </w:r>
            <w:r w:rsidRPr="00161C60">
              <w:rPr>
                <w:rFonts w:ascii="Helvetica" w:hAnsi="Helvetica" w:cs="Helvetica"/>
                <w:color w:val="auto"/>
                <w:sz w:val="24"/>
                <w:szCs w:val="24"/>
                <w:shd w:val="clear" w:color="auto" w:fill="DAEEF3" w:themeFill="accent5" w:themeFillTint="33"/>
              </w:rPr>
              <w:t>.</w:t>
            </w:r>
          </w:p>
          <w:p w14:paraId="44ECD51D" w14:textId="77777777"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Breathing and pelvic floor exercises are recommended to help with other symptoms that may be exacerbated by severe spinal kyphosis. [C</w:t>
            </w:r>
            <w:r w:rsidRPr="00161C60">
              <w:rPr>
                <w:rFonts w:ascii="Helvetica" w:hAnsi="Helvetica" w:cs="Helvetica"/>
                <w:color w:val="auto"/>
                <w:sz w:val="24"/>
                <w:szCs w:val="24"/>
                <w:shd w:val="clear" w:color="auto" w:fill="DAEEF3" w:themeFill="accent5" w:themeFillTint="33"/>
              </w:rPr>
              <w:t>]</w:t>
            </w:r>
          </w:p>
          <w:p w14:paraId="4CB888F5" w14:textId="209E3350" w:rsidR="004A176D" w:rsidRPr="00161C60" w:rsidRDefault="004A176D" w:rsidP="005B76DF">
            <w:pPr>
              <w:pStyle w:val="ListParagraph"/>
              <w:numPr>
                <w:ilvl w:val="0"/>
                <w:numId w:val="8"/>
              </w:numPr>
              <w:spacing w:before="120" w:after="0" w:line="240" w:lineRule="auto"/>
              <w:ind w:left="307" w:hanging="307"/>
              <w:rPr>
                <w:rFonts w:ascii="Helvetica" w:hAnsi="Helvetica" w:cs="Helvetica"/>
                <w:color w:val="auto"/>
                <w:sz w:val="24"/>
                <w:szCs w:val="24"/>
              </w:rPr>
            </w:pPr>
            <w:r w:rsidRPr="00161C60">
              <w:rPr>
                <w:rFonts w:ascii="Helvetica" w:hAnsi="Helvetica" w:cs="Helvetica"/>
                <w:color w:val="auto"/>
                <w:sz w:val="24"/>
                <w:szCs w:val="24"/>
              </w:rPr>
              <w:t>Hydrotherapy should be considered to help improve quality of life.</w:t>
            </w:r>
            <w:r w:rsidR="00831222" w:rsidRPr="00161C60">
              <w:rPr>
                <w:rFonts w:ascii="Helvetica" w:hAnsi="Helvetica" w:cs="Helvetica"/>
                <w:color w:val="auto"/>
                <w:sz w:val="24"/>
                <w:szCs w:val="24"/>
              </w:rPr>
              <w:t xml:space="preserve"> </w:t>
            </w:r>
            <w:r w:rsidRPr="00161C60">
              <w:rPr>
                <w:rFonts w:ascii="Helvetica" w:hAnsi="Helvetica" w:cs="Helvetica"/>
                <w:color w:val="auto"/>
                <w:sz w:val="24"/>
                <w:szCs w:val="24"/>
              </w:rPr>
              <w:t>[C]</w:t>
            </w:r>
          </w:p>
        </w:tc>
      </w:tr>
    </w:tbl>
    <w:p w14:paraId="1B8212F1" w14:textId="3C278B64" w:rsidR="008F1897" w:rsidRPr="00161C60" w:rsidRDefault="008F1897" w:rsidP="008F1897">
      <w:pPr>
        <w:spacing w:before="120" w:after="0" w:line="240" w:lineRule="auto"/>
        <w:rPr>
          <w:rFonts w:ascii="Helvetica" w:hAnsi="Helvetica" w:cs="Helvetica"/>
          <w:b/>
        </w:rPr>
      </w:pPr>
    </w:p>
    <w:p w14:paraId="0E4FA7B7" w14:textId="77777777" w:rsidR="00BB32D9" w:rsidRPr="00161C60" w:rsidRDefault="00BB32D9" w:rsidP="00BB32D9">
      <w:pPr>
        <w:rPr>
          <w:rFonts w:ascii="Helvetica" w:hAnsi="Helvetica" w:cs="Helvetica"/>
          <w:b/>
          <w:bCs/>
        </w:rPr>
      </w:pPr>
      <w:r w:rsidRPr="00161C60">
        <w:rPr>
          <w:rFonts w:ascii="Helvetica" w:hAnsi="Helvetica" w:cs="Helvetica"/>
          <w:b/>
          <w:bCs/>
        </w:rPr>
        <w:t>Reponses to consultation</w:t>
      </w:r>
    </w:p>
    <w:p w14:paraId="41B072A2" w14:textId="5B718A94" w:rsidR="00BB32D9" w:rsidRPr="00161C60" w:rsidRDefault="00BB32D9" w:rsidP="00256196">
      <w:pPr>
        <w:spacing w:before="120" w:after="0" w:line="240" w:lineRule="auto"/>
        <w:rPr>
          <w:rFonts w:ascii="Helvetica" w:hAnsi="Helvetica" w:cs="Helvetica"/>
        </w:rPr>
      </w:pPr>
      <w:r w:rsidRPr="00161C60">
        <w:rPr>
          <w:rFonts w:ascii="Helvetica" w:hAnsi="Helvetica" w:cs="Helvetica"/>
        </w:rPr>
        <w:t xml:space="preserve">A total of 155 comments were received. Minor changes were made in response to this feedback. In 2020/2021, the final updated statement was </w:t>
      </w:r>
      <w:r w:rsidR="0066607A">
        <w:rPr>
          <w:rFonts w:ascii="Helvetica" w:hAnsi="Helvetica" w:cs="Helvetica"/>
        </w:rPr>
        <w:t>again</w:t>
      </w:r>
      <w:r w:rsidR="0066607A" w:rsidRPr="00161C60">
        <w:rPr>
          <w:rFonts w:ascii="Helvetica" w:hAnsi="Helvetica" w:cs="Helvetica"/>
        </w:rPr>
        <w:t xml:space="preserve"> </w:t>
      </w:r>
      <w:r w:rsidRPr="00161C60">
        <w:rPr>
          <w:rFonts w:ascii="Helvetica" w:hAnsi="Helvetica" w:cs="Helvetica"/>
        </w:rPr>
        <w:t xml:space="preserve">reviewed and updated by the EESG to confirm that recommendations were still consistent with more recent evidence. </w:t>
      </w:r>
    </w:p>
    <w:p w14:paraId="541B534B" w14:textId="5858564A" w:rsidR="00BB32D9" w:rsidRPr="00161C60" w:rsidRDefault="00BB32D9" w:rsidP="008F1897">
      <w:pPr>
        <w:spacing w:before="120" w:after="0" w:line="240" w:lineRule="auto"/>
        <w:rPr>
          <w:rFonts w:ascii="Helvetica" w:hAnsi="Helvetica" w:cs="Helvetica"/>
          <w:b/>
        </w:rPr>
      </w:pPr>
      <w:r w:rsidRPr="00161C60">
        <w:rPr>
          <w:rFonts w:ascii="Helvetica" w:hAnsi="Helvetica" w:cs="Helvetica"/>
        </w:rPr>
        <w:t xml:space="preserve">To support implementation, a range of resources were developed that are available on Royal Osteoporosis Society website: infographics and quick guide for health professionals </w:t>
      </w:r>
      <w:r w:rsidRPr="00161C60">
        <w:rPr>
          <w:rFonts w:ascii="Helvetica" w:hAnsi="Helvetica" w:cs="Helvetica"/>
        </w:rPr>
        <w:fldChar w:fldCharType="begin" w:fldLock="1"/>
      </w:r>
      <w:r w:rsidR="008A29C3">
        <w:rPr>
          <w:rFonts w:ascii="Helvetica" w:hAnsi="Helvetica" w:cs="Helvetica"/>
        </w:rPr>
        <w:instrText>ADDIN CSL_CITATION {"citationItems":[{"id":"ITEM-1","itemData":{"URL":"https://strwebstgmedia.blob.core.windows.net/media/1hsfzfe3/consensus-statement-strong-steady-and-straight-web-march-2019.pdf","accessed":{"date-parts":[["2021","3","1"]]},"author":[{"dropping-particle":"","family":"Royal Osteoporosis Society","given":"","non-dropping-particle":"","parse-names":false,"suffix":""}],"id":"ITEM-1","issued":{"date-parts":[["2019"]]},"title":"Strong, Steady and Straight. An Expert Consensus Statement on Physical Activity and Exercise for Osteoporosis.","type":"webpage"},"uris":["http://www.mendeley.com/documents/?uuid=0ee0f110-5478-4e41-b9e4-b6f4cd3e9bda"]}],"mendeley":{"formattedCitation":"&lt;sup&gt;63&lt;/sup&gt;","plainTextFormattedCitation":"63","previouslyFormattedCitation":"&lt;sup&gt;63&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63</w:t>
      </w:r>
      <w:r w:rsidRPr="00161C60">
        <w:rPr>
          <w:rFonts w:ascii="Helvetica" w:hAnsi="Helvetica" w:cs="Helvetica"/>
        </w:rPr>
        <w:fldChar w:fldCharType="end"/>
      </w:r>
      <w:r w:rsidR="00BE11C7" w:rsidRPr="00161C60">
        <w:rPr>
          <w:rFonts w:ascii="Helvetica" w:hAnsi="Helvetica" w:cs="Helvetica"/>
        </w:rPr>
        <w:t>,</w:t>
      </w:r>
      <w:r w:rsidR="002447FB" w:rsidRPr="00161C60">
        <w:rPr>
          <w:rFonts w:ascii="Helvetica" w:hAnsi="Helvetica" w:cs="Helvetica"/>
        </w:rPr>
        <w:fldChar w:fldCharType="begin" w:fldLock="1"/>
      </w:r>
      <w:r w:rsidR="008A29C3">
        <w:rPr>
          <w:rFonts w:ascii="Helvetica" w:hAnsi="Helvetica" w:cs="Helvetica"/>
        </w:rPr>
        <w:instrText>ADDIN CSL_CITATION {"citationItems":[{"id":"ITEM-1","itemData":{"author":[{"dropping-particle":"","family":"Royal Osteoporosis Society","given":"","non-dropping-particle":"","parse-names":false,"suffix":""}],"id":"ITEM-1","issued":{"date-parts":[["2019"]]},"title":"Strong, Steady and Straight: Physical Activity and Exercise for Osteoporosis. Quick guide: summary","type":"article-journal"},"uris":["http://www.mendeley.com/documents/?uuid=98421842-7d46-4862-a301-2e7aa7519a54"]}],"mendeley":{"formattedCitation":"&lt;sup&gt;64&lt;/sup&gt;","plainTextFormattedCitation":"64","previouslyFormattedCitation":"&lt;sup&gt;64&lt;/sup&gt;"},"properties":{"noteIndex":0},"schema":"https://github.com/citation-style-language/schema/raw/master/csl-citation.json"}</w:instrText>
      </w:r>
      <w:r w:rsidR="002447FB" w:rsidRPr="00161C60">
        <w:rPr>
          <w:rFonts w:ascii="Helvetica" w:hAnsi="Helvetica" w:cs="Helvetica"/>
        </w:rPr>
        <w:fldChar w:fldCharType="separate"/>
      </w:r>
      <w:r w:rsidR="001B5724" w:rsidRPr="001B5724">
        <w:rPr>
          <w:rFonts w:ascii="Helvetica" w:hAnsi="Helvetica" w:cs="Helvetica"/>
          <w:noProof/>
          <w:vertAlign w:val="superscript"/>
        </w:rPr>
        <w:t>64</w:t>
      </w:r>
      <w:r w:rsidR="002447FB" w:rsidRPr="00161C60">
        <w:rPr>
          <w:rFonts w:ascii="Helvetica" w:hAnsi="Helvetica" w:cs="Helvetica"/>
        </w:rPr>
        <w:fldChar w:fldCharType="end"/>
      </w:r>
      <w:r w:rsidRPr="00161C60">
        <w:rPr>
          <w:rFonts w:ascii="Helvetica" w:hAnsi="Helvetica" w:cs="Helvetica"/>
        </w:rPr>
        <w:t xml:space="preserve"> as well as fact sheets and videos for the public </w:t>
      </w:r>
      <w:r w:rsidRPr="00161C60">
        <w:rPr>
          <w:rFonts w:ascii="Helvetica" w:hAnsi="Helvetica" w:cs="Helvetica"/>
        </w:rPr>
        <w:fldChar w:fldCharType="begin" w:fldLock="1"/>
      </w:r>
      <w:r w:rsidR="008A29C3">
        <w:rPr>
          <w:rFonts w:ascii="Helvetica" w:hAnsi="Helvetica" w:cs="Helvetica"/>
        </w:rPr>
        <w:instrText>ADDIN CSL_CITATION {"citationItems":[{"id":"ITEM-1","itemData":{"URL":"theros.org.uk/exercise","accessed":{"date-parts":[["2021","4","1"]]},"author":[{"dropping-particle":"","family":"Royal Osteoporosis Society","given":"","non-dropping-particle":"","parse-names":false,"suffix":""}],"id":"ITEM-1","issued":{"date-parts":[["2019"]]},"title":"Exercise and physical activity for osteoporosis and bone health","type":"webpage"},"uris":["http://www.mendeley.com/documents/?uuid=c1f53cc8-18d6-4360-8c49-a577a7161b87"]}],"mendeley":{"formattedCitation":"&lt;sup&gt;65&lt;/sup&gt;","plainTextFormattedCitation":"65","previouslyFormattedCitation":"&lt;sup&gt;65&lt;/sup&gt;"},"properties":{"noteIndex":0},"schema":"https://github.com/citation-style-language/schema/raw/master/csl-citation.json"}</w:instrText>
      </w:r>
      <w:r w:rsidRPr="00161C60">
        <w:rPr>
          <w:rFonts w:ascii="Helvetica" w:hAnsi="Helvetica" w:cs="Helvetica"/>
        </w:rPr>
        <w:fldChar w:fldCharType="separate"/>
      </w:r>
      <w:r w:rsidR="001B5724" w:rsidRPr="001B5724">
        <w:rPr>
          <w:rFonts w:ascii="Helvetica" w:hAnsi="Helvetica" w:cs="Helvetica"/>
          <w:noProof/>
          <w:vertAlign w:val="superscript"/>
        </w:rPr>
        <w:t>65</w:t>
      </w:r>
      <w:r w:rsidRPr="00161C60">
        <w:rPr>
          <w:rFonts w:ascii="Helvetica" w:hAnsi="Helvetica" w:cs="Helvetica"/>
        </w:rPr>
        <w:fldChar w:fldCharType="end"/>
      </w:r>
      <w:r w:rsidRPr="00161C60">
        <w:rPr>
          <w:rStyle w:val="Hyperlink"/>
        </w:rPr>
        <w:t>.</w:t>
      </w:r>
    </w:p>
    <w:p w14:paraId="6CE01B7D" w14:textId="6D597248" w:rsidR="002B25AC" w:rsidRPr="00161C60" w:rsidRDefault="002B25AC" w:rsidP="004E5EC5">
      <w:pPr>
        <w:keepNext/>
        <w:keepLines/>
        <w:spacing w:before="240" w:after="0"/>
        <w:outlineLvl w:val="2"/>
        <w:rPr>
          <w:rFonts w:ascii="Helvetica" w:hAnsi="Helvetica" w:cs="Helvetica"/>
          <w:b/>
        </w:rPr>
      </w:pPr>
      <w:r w:rsidRPr="00161C60">
        <w:rPr>
          <w:rFonts w:ascii="Helvetica" w:hAnsi="Helvetica" w:cs="Helvetica"/>
          <w:b/>
          <w:bCs/>
          <w:sz w:val="28"/>
          <w:szCs w:val="28"/>
        </w:rPr>
        <w:t>Discussion</w:t>
      </w:r>
    </w:p>
    <w:p w14:paraId="517B7178" w14:textId="735F86DF" w:rsidR="005571DC" w:rsidRPr="00161C60" w:rsidRDefault="00C20339" w:rsidP="00AD0C67">
      <w:pPr>
        <w:spacing w:before="120" w:after="0" w:line="240" w:lineRule="auto"/>
        <w:rPr>
          <w:rFonts w:ascii="Helvetica" w:hAnsi="Helvetica" w:cs="Helvetica"/>
        </w:rPr>
      </w:pPr>
      <w:r w:rsidRPr="00161C60">
        <w:rPr>
          <w:rFonts w:ascii="Helvetica" w:hAnsi="Helvetica" w:cs="Helvetica"/>
        </w:rPr>
        <w:t>Health professionals and people with osteoporosis had substantial uncertainty about the efficacy and safety of exercise in people with osteoporosis. However, evidence synthesis confirmed that physical activity and exercise ha</w:t>
      </w:r>
      <w:r w:rsidR="002112EE" w:rsidRPr="00161C60">
        <w:rPr>
          <w:rFonts w:ascii="Helvetica" w:hAnsi="Helvetica" w:cs="Helvetica"/>
        </w:rPr>
        <w:t>ve</w:t>
      </w:r>
      <w:r w:rsidRPr="00161C60">
        <w:rPr>
          <w:rFonts w:ascii="Helvetica" w:hAnsi="Helvetica" w:cs="Helvetica"/>
        </w:rPr>
        <w:t xml:space="preserve"> multiple potential benefits for those with osteoporosis</w:t>
      </w:r>
      <w:r w:rsidR="00DF667A" w:rsidRPr="00161C60">
        <w:rPr>
          <w:rFonts w:ascii="Helvetica" w:hAnsi="Helvetica" w:cs="Helvetica"/>
        </w:rPr>
        <w:t>:</w:t>
      </w:r>
      <w:r w:rsidRPr="00161C60">
        <w:rPr>
          <w:rFonts w:ascii="Helvetica" w:hAnsi="Helvetica" w:cs="Helvetica"/>
        </w:rPr>
        <w:t xml:space="preserve"> it may modestly </w:t>
      </w:r>
      <w:r w:rsidR="00CE48C3" w:rsidRPr="00161C60">
        <w:rPr>
          <w:rFonts w:ascii="Helvetica" w:hAnsi="Helvetica" w:cs="Helvetica"/>
        </w:rPr>
        <w:t xml:space="preserve">benefit </w:t>
      </w:r>
      <w:r w:rsidRPr="00161C60">
        <w:rPr>
          <w:rFonts w:ascii="Helvetica" w:hAnsi="Helvetica" w:cs="Helvetica"/>
        </w:rPr>
        <w:t>bone strength, improve</w:t>
      </w:r>
      <w:r w:rsidR="00DF667A" w:rsidRPr="00161C60">
        <w:rPr>
          <w:rFonts w:ascii="Helvetica" w:hAnsi="Helvetica" w:cs="Helvetica"/>
        </w:rPr>
        <w:t xml:space="preserve"> muscle</w:t>
      </w:r>
      <w:r w:rsidRPr="00161C60">
        <w:rPr>
          <w:rFonts w:ascii="Helvetica" w:hAnsi="Helvetica" w:cs="Helvetica"/>
        </w:rPr>
        <w:t xml:space="preserve"> strength and balance and hence reduce falls risk, and reduce kyphosis which may benefit pain, self</w:t>
      </w:r>
      <w:r w:rsidR="000A7D57" w:rsidRPr="00161C60">
        <w:rPr>
          <w:rFonts w:ascii="Helvetica" w:hAnsi="Helvetica" w:cs="Helvetica"/>
        </w:rPr>
        <w:t>-</w:t>
      </w:r>
      <w:r w:rsidRPr="00161C60">
        <w:rPr>
          <w:rFonts w:ascii="Helvetica" w:hAnsi="Helvetica" w:cs="Helvetica"/>
        </w:rPr>
        <w:t xml:space="preserve">esteem and risk of falls and fractures. Physical activity has a range of other health benefits. </w:t>
      </w:r>
      <w:r w:rsidR="00AB6140" w:rsidRPr="00161C60">
        <w:rPr>
          <w:rFonts w:ascii="Helvetica" w:hAnsi="Helvetica" w:cs="Helvetica"/>
        </w:rPr>
        <w:t>We conducted an updated and more thorough analysis of adverse events (particularly fractures) reported during exercise:</w:t>
      </w:r>
      <w:r w:rsidR="005571DC" w:rsidRPr="00161C60">
        <w:rPr>
          <w:rFonts w:ascii="Helvetica" w:hAnsi="Helvetica" w:cs="Helvetica"/>
        </w:rPr>
        <w:t xml:space="preserve"> harms have not been consistently reported</w:t>
      </w:r>
      <w:r w:rsidR="007510C5" w:rsidRPr="00161C60">
        <w:rPr>
          <w:rFonts w:ascii="Helvetica" w:hAnsi="Helvetica" w:cs="Helvetica"/>
        </w:rPr>
        <w:t>,</w:t>
      </w:r>
      <w:r w:rsidR="005571DC" w:rsidRPr="00161C60">
        <w:rPr>
          <w:rFonts w:ascii="Helvetica" w:hAnsi="Helvetica" w:cs="Helvetica"/>
        </w:rPr>
        <w:t xml:space="preserve"> </w:t>
      </w:r>
      <w:r w:rsidR="007510C5" w:rsidRPr="00161C60">
        <w:rPr>
          <w:rFonts w:ascii="Helvetica" w:hAnsi="Helvetica" w:cs="Helvetica"/>
        </w:rPr>
        <w:t>and while</w:t>
      </w:r>
      <w:r w:rsidR="005571DC" w:rsidRPr="00161C60">
        <w:rPr>
          <w:rFonts w:ascii="Helvetica" w:hAnsi="Helvetica" w:cs="Helvetica"/>
        </w:rPr>
        <w:t xml:space="preserve"> </w:t>
      </w:r>
      <w:r w:rsidR="007510C5" w:rsidRPr="00161C60">
        <w:rPr>
          <w:rFonts w:ascii="Helvetica" w:hAnsi="Helvetica" w:cs="Helvetica"/>
        </w:rPr>
        <w:t>a small number of</w:t>
      </w:r>
      <w:r w:rsidR="005571DC" w:rsidRPr="00161C60">
        <w:rPr>
          <w:rFonts w:ascii="Helvetica" w:hAnsi="Helvetica" w:cs="Helvetica"/>
        </w:rPr>
        <w:t xml:space="preserve"> fractures </w:t>
      </w:r>
      <w:r w:rsidR="007510C5" w:rsidRPr="00161C60">
        <w:rPr>
          <w:rFonts w:ascii="Helvetica" w:hAnsi="Helvetica" w:cs="Helvetica"/>
        </w:rPr>
        <w:t xml:space="preserve">have been </w:t>
      </w:r>
      <w:r w:rsidR="005571DC" w:rsidRPr="00161C60">
        <w:rPr>
          <w:rFonts w:ascii="Helvetica" w:hAnsi="Helvetica" w:cs="Helvetica"/>
        </w:rPr>
        <w:t>reported during exercise</w:t>
      </w:r>
      <w:r w:rsidR="00780A5A" w:rsidRPr="00161C60">
        <w:rPr>
          <w:rFonts w:ascii="Helvetica" w:hAnsi="Helvetica" w:cs="Helvetica"/>
        </w:rPr>
        <w:t>, the benefits outweigh the risks</w:t>
      </w:r>
      <w:r w:rsidR="005571DC" w:rsidRPr="00161C60">
        <w:rPr>
          <w:rFonts w:ascii="Helvetica" w:hAnsi="Helvetica" w:cs="Helvetica"/>
        </w:rPr>
        <w:t xml:space="preserve">. </w:t>
      </w:r>
      <w:r w:rsidRPr="00161C60">
        <w:rPr>
          <w:rFonts w:ascii="Helvetica" w:hAnsi="Helvetica" w:cs="Helvetica"/>
        </w:rPr>
        <w:t xml:space="preserve">The level of evidence </w:t>
      </w:r>
      <w:r w:rsidR="00AB6140" w:rsidRPr="00161C60">
        <w:rPr>
          <w:rFonts w:ascii="Helvetica" w:hAnsi="Helvetica" w:cs="Helvetica"/>
        </w:rPr>
        <w:t>for people</w:t>
      </w:r>
      <w:r w:rsidRPr="00161C60">
        <w:rPr>
          <w:rFonts w:ascii="Helvetica" w:hAnsi="Helvetica" w:cs="Helvetica"/>
        </w:rPr>
        <w:t xml:space="preserve"> who have</w:t>
      </w:r>
      <w:r w:rsidR="00AB6140" w:rsidRPr="00161C60">
        <w:rPr>
          <w:rFonts w:ascii="Helvetica" w:hAnsi="Helvetica" w:cs="Helvetica"/>
        </w:rPr>
        <w:t xml:space="preserve"> existing</w:t>
      </w:r>
      <w:r w:rsidRPr="00161C60">
        <w:rPr>
          <w:rFonts w:ascii="Helvetica" w:hAnsi="Helvetica" w:cs="Helvetica"/>
        </w:rPr>
        <w:t xml:space="preserve"> fractures is lower unfortunately; there is inconsistent evidence that exercise could benefit pain, physical function and quality of life. Many of our recommendations</w:t>
      </w:r>
      <w:r w:rsidR="00AB6140" w:rsidRPr="00161C60">
        <w:rPr>
          <w:rFonts w:ascii="Helvetica" w:hAnsi="Helvetica" w:cs="Helvetica"/>
        </w:rPr>
        <w:t xml:space="preserve"> for this group</w:t>
      </w:r>
      <w:r w:rsidRPr="00161C60">
        <w:rPr>
          <w:rFonts w:ascii="Helvetica" w:hAnsi="Helvetica" w:cs="Helvetica"/>
        </w:rPr>
        <w:t xml:space="preserve"> are thus based on consensus rather than evidence.</w:t>
      </w:r>
    </w:p>
    <w:p w14:paraId="68F04F24" w14:textId="45E9552F" w:rsidR="00E9584A" w:rsidRPr="00161C60" w:rsidRDefault="00E9584A" w:rsidP="00AD0C67">
      <w:pPr>
        <w:spacing w:before="120" w:after="0" w:line="240" w:lineRule="auto"/>
        <w:rPr>
          <w:rFonts w:ascii="Helvetica" w:hAnsi="Helvetica" w:cs="Helvetica"/>
        </w:rPr>
      </w:pPr>
      <w:r w:rsidRPr="00161C60">
        <w:rPr>
          <w:rFonts w:ascii="Helvetica" w:hAnsi="Helvetica" w:cs="Helvetica"/>
        </w:rPr>
        <w:t xml:space="preserve">We recommend several overarching principles. Physical activity and exercise have an important role in promoting bone strength, reducing falls risk and managing vertebral fracture symptoms, so they should be part of a broad approach that includes other lifestyle changes, combined with pharmaceutical treatment where appropriate. People with osteoporosis </w:t>
      </w:r>
      <w:r w:rsidR="007510C5" w:rsidRPr="00161C60">
        <w:rPr>
          <w:rFonts w:ascii="Helvetica" w:hAnsi="Helvetica" w:cs="Helvetica"/>
        </w:rPr>
        <w:t xml:space="preserve">should </w:t>
      </w:r>
      <w:r w:rsidRPr="00161C60">
        <w:rPr>
          <w:rFonts w:ascii="Helvetica" w:hAnsi="Helvetica" w:cs="Helvetica"/>
        </w:rPr>
        <w:t xml:space="preserve">be encouraged to do more rather than less. This requires professionals to adopt a positive and encouraging approach, focussing on “how to” messages rather than “don’t do”. </w:t>
      </w:r>
      <w:r w:rsidR="005C570A" w:rsidRPr="00161C60">
        <w:rPr>
          <w:rFonts w:ascii="Helvetica" w:hAnsi="Helvetica" w:cs="Helvetica"/>
        </w:rPr>
        <w:t xml:space="preserve">Although specific types or exercise may be most effective, even a minimal level of activity should provide some benefit. The evidence indicates that physical activity and </w:t>
      </w:r>
      <w:r w:rsidR="00780A5A" w:rsidRPr="00161C60">
        <w:rPr>
          <w:rFonts w:ascii="Helvetica" w:hAnsi="Helvetica" w:cs="Helvetica"/>
        </w:rPr>
        <w:t xml:space="preserve">exercise </w:t>
      </w:r>
      <w:r w:rsidR="005C570A" w:rsidRPr="00161C60">
        <w:rPr>
          <w:rFonts w:ascii="Helvetica" w:hAnsi="Helvetica" w:cs="Helvetica"/>
        </w:rPr>
        <w:t>is not associated with significant harm, including vertebral fracture; in general</w:t>
      </w:r>
      <w:r w:rsidR="005568F3">
        <w:rPr>
          <w:rFonts w:ascii="Helvetica" w:hAnsi="Helvetica" w:cs="Helvetica"/>
        </w:rPr>
        <w:t>,</w:t>
      </w:r>
      <w:r w:rsidR="005C570A" w:rsidRPr="00161C60">
        <w:rPr>
          <w:rFonts w:ascii="Helvetica" w:hAnsi="Helvetica" w:cs="Helvetica"/>
        </w:rPr>
        <w:t xml:space="preserve"> the benefits of physical activity outweigh the risks. Professionals should avoid restricting physical activity or exercise unnecessarily according to BMD or fracture thresholds as this may discourage exercise or activities that promote bone as well as other health benefits. Finally, people with painful vertebral fractures need clear and prompt guidance on how to adapt movements involved with </w:t>
      </w:r>
      <w:r w:rsidR="005C2967" w:rsidRPr="00161C60">
        <w:rPr>
          <w:rFonts w:ascii="Helvetica" w:hAnsi="Helvetica" w:cs="Helvetica"/>
        </w:rPr>
        <w:t>day-to-</w:t>
      </w:r>
      <w:r w:rsidR="005C570A" w:rsidRPr="00161C60">
        <w:rPr>
          <w:rFonts w:ascii="Helvetica" w:hAnsi="Helvetica" w:cs="Helvetica"/>
        </w:rPr>
        <w:t xml:space="preserve">day living including how exercises can help with posture and pain. Anyone with osteoporosis may benefit from guidance on amending some postures and movements to care for their back. </w:t>
      </w:r>
      <w:r w:rsidR="008A29C3">
        <w:rPr>
          <w:rFonts w:ascii="Helvetica" w:hAnsi="Helvetica" w:cs="Helvetica"/>
        </w:rPr>
        <w:t xml:space="preserve">Supporting resources were produced </w:t>
      </w:r>
      <w:r w:rsidR="008A29C3">
        <w:rPr>
          <w:rFonts w:ascii="Helvetica" w:hAnsi="Helvetica" w:cs="Helvetica"/>
        </w:rPr>
        <w:fldChar w:fldCharType="begin" w:fldLock="1"/>
      </w:r>
      <w:r w:rsidR="00516D4E">
        <w:rPr>
          <w:rFonts w:ascii="Helvetica" w:hAnsi="Helvetica" w:cs="Helvetica"/>
        </w:rPr>
        <w:instrText>ADDIN CSL_CITATION {"citationItems":[{"id":"ITEM-1","itemData":{"URL":"https://strwebstgmedia.blob.core.windows.net/media/1hsfzfe3/consensus-statement-strong-steady-and-straight-web-march-2019.pdf","accessed":{"date-parts":[["2021","3","1"]]},"author":[{"dropping-particle":"","family":"Royal Osteoporosis Society","given":"","non-dropping-particle":"","parse-names":false,"suffix":""}],"id":"ITEM-1","issued":{"date-parts":[["2019"]]},"title":"Strong, Steady and Straight. An Expert Consensus Statement on Physical Activity and Exercise for Osteoporosis.","type":"webpage"},"uris":["http://www.mendeley.com/documents/?uuid=0ee0f110-5478-4e41-b9e4-b6f4cd3e9bda"]},{"id":"ITEM-2","itemData":{"author":[{"dropping-particle":"","family":"Royal Osteoporosis Society","given":"","non-dropping-particle":"","parse-names":false,"suffix":""}],"id":"ITEM-2","issued":{"date-parts":[["2019"]]},"title":"Strong, Steady and Straight: Physical Activity and Exercise for Osteoporosis. Quick guide: summary","type":"article-journal"},"uris":["http://www.mendeley.com/documents/?uuid=98421842-7d46-4862-a301-2e7aa7519a54"]},{"id":"ITEM-3","itemData":{"URL":"theros.org.uk/exercise","accessed":{"date-parts":[["2021","4","1"]]},"author":[{"dropping-particle":"","family":"Royal Osteoporosis Society","given":"","non-dropping-particle":"","parse-names":false,"suffix":""}],"id":"ITEM-3","issued":{"date-parts":[["2019"]]},"title":"Exercise and physical activity for osteoporosis and bone health","type":"webpage"},"uris":["http://www.mendeley.com/documents/?uuid=c1f53cc8-18d6-4360-8c49-a577a7161b87"]}],"mendeley":{"formattedCitation":"&lt;sup&gt;63–65&lt;/sup&gt;","plainTextFormattedCitation":"63–65","previouslyFormattedCitation":"&lt;sup&gt;63–65&lt;/sup&gt;"},"properties":{"noteIndex":0},"schema":"https://github.com/citation-style-language/schema/raw/master/csl-citation.json"}</w:instrText>
      </w:r>
      <w:r w:rsidR="008A29C3">
        <w:rPr>
          <w:rFonts w:ascii="Helvetica" w:hAnsi="Helvetica" w:cs="Helvetica"/>
        </w:rPr>
        <w:fldChar w:fldCharType="separate"/>
      </w:r>
      <w:r w:rsidR="008A29C3" w:rsidRPr="008A29C3">
        <w:rPr>
          <w:rFonts w:ascii="Helvetica" w:hAnsi="Helvetica" w:cs="Helvetica"/>
          <w:noProof/>
          <w:vertAlign w:val="superscript"/>
        </w:rPr>
        <w:t>63–65</w:t>
      </w:r>
      <w:r w:rsidR="008A29C3">
        <w:rPr>
          <w:rFonts w:ascii="Helvetica" w:hAnsi="Helvetica" w:cs="Helvetica"/>
        </w:rPr>
        <w:fldChar w:fldCharType="end"/>
      </w:r>
    </w:p>
    <w:p w14:paraId="30E0857C" w14:textId="38D42453" w:rsidR="005F230C" w:rsidRPr="00161C60" w:rsidRDefault="007812F3" w:rsidP="005F230C">
      <w:pPr>
        <w:spacing w:before="120" w:after="0" w:line="240" w:lineRule="auto"/>
        <w:rPr>
          <w:rFonts w:ascii="Helvetica" w:hAnsi="Helvetica" w:cs="Helvetica"/>
          <w:b/>
          <w:bCs/>
        </w:rPr>
      </w:pPr>
      <w:r w:rsidRPr="00161C60">
        <w:rPr>
          <w:rFonts w:ascii="Helvetica" w:hAnsi="Helvetica" w:cs="Helvetica"/>
          <w:b/>
          <w:bCs/>
        </w:rPr>
        <w:t>B</w:t>
      </w:r>
      <w:r w:rsidR="005F230C" w:rsidRPr="00161C60">
        <w:rPr>
          <w:rFonts w:ascii="Helvetica" w:hAnsi="Helvetica" w:cs="Helvetica"/>
          <w:b/>
          <w:bCs/>
        </w:rPr>
        <w:t>one strength</w:t>
      </w:r>
    </w:p>
    <w:p w14:paraId="49655BCA" w14:textId="3BC219C2" w:rsidR="005571DC" w:rsidRPr="00161C60" w:rsidRDefault="007510C5" w:rsidP="00AD0C67">
      <w:pPr>
        <w:spacing w:before="120" w:after="0" w:line="240" w:lineRule="auto"/>
        <w:rPr>
          <w:rFonts w:ascii="Helvetica" w:hAnsi="Helvetica" w:cs="Helvetica"/>
        </w:rPr>
      </w:pPr>
      <w:r w:rsidRPr="00161C60">
        <w:rPr>
          <w:rFonts w:ascii="Helvetica" w:hAnsi="Helvetica" w:cs="Helvetica"/>
        </w:rPr>
        <w:t>A</w:t>
      </w:r>
      <w:r w:rsidR="005571DC" w:rsidRPr="00161C60">
        <w:rPr>
          <w:rFonts w:ascii="Helvetica" w:hAnsi="Helvetica" w:cs="Helvetica"/>
        </w:rPr>
        <w:t xml:space="preserve"> combination of </w:t>
      </w:r>
      <w:r w:rsidR="008F1897" w:rsidRPr="00161C60">
        <w:rPr>
          <w:rFonts w:ascii="Helvetica" w:hAnsi="Helvetica" w:cs="Helvetica"/>
        </w:rPr>
        <w:t xml:space="preserve">high load </w:t>
      </w:r>
      <w:r w:rsidR="005571DC" w:rsidRPr="00161C60">
        <w:rPr>
          <w:rFonts w:ascii="Helvetica" w:hAnsi="Helvetica" w:cs="Helvetica"/>
        </w:rPr>
        <w:t>resistance exercise or weightbearing exercise</w:t>
      </w:r>
      <w:r w:rsidR="38E4F1CD" w:rsidRPr="00161C60">
        <w:rPr>
          <w:rFonts w:ascii="Helvetica" w:hAnsi="Helvetica" w:cs="Helvetica"/>
        </w:rPr>
        <w:t xml:space="preserve"> with impact</w:t>
      </w:r>
      <w:r w:rsidR="005571DC" w:rsidRPr="00161C60">
        <w:rPr>
          <w:rFonts w:ascii="Helvetica" w:hAnsi="Helvetica" w:cs="Helvetica"/>
        </w:rPr>
        <w:t xml:space="preserve"> </w:t>
      </w:r>
      <w:r w:rsidRPr="00161C60">
        <w:rPr>
          <w:rFonts w:ascii="Helvetica" w:hAnsi="Helvetica" w:cs="Helvetica"/>
        </w:rPr>
        <w:t xml:space="preserve">appears the </w:t>
      </w:r>
      <w:r w:rsidR="005571DC" w:rsidRPr="00161C60">
        <w:rPr>
          <w:rFonts w:ascii="Helvetica" w:hAnsi="Helvetica" w:cs="Helvetica"/>
        </w:rPr>
        <w:t xml:space="preserve">most effective for bone strength. Moderate impact exercise may be </w:t>
      </w:r>
      <w:r w:rsidR="00E9584A" w:rsidRPr="00161C60">
        <w:rPr>
          <w:rFonts w:ascii="Helvetica" w:hAnsi="Helvetica" w:cs="Helvetica"/>
        </w:rPr>
        <w:t xml:space="preserve">more </w:t>
      </w:r>
      <w:r w:rsidR="005571DC" w:rsidRPr="00161C60">
        <w:rPr>
          <w:rFonts w:ascii="Helvetica" w:hAnsi="Helvetica" w:cs="Helvetica"/>
        </w:rPr>
        <w:t xml:space="preserve">effective but lower impact (equivalent to brisk walking) </w:t>
      </w:r>
      <w:r w:rsidR="008A29C3">
        <w:rPr>
          <w:rFonts w:ascii="Helvetica" w:hAnsi="Helvetica" w:cs="Helvetica"/>
        </w:rPr>
        <w:t>wa</w:t>
      </w:r>
      <w:r w:rsidR="005571DC" w:rsidRPr="00161C60">
        <w:rPr>
          <w:rFonts w:ascii="Helvetica" w:hAnsi="Helvetica" w:cs="Helvetica"/>
        </w:rPr>
        <w:t>s advised in those with vertebral fractures or multiple low trauma fractures</w:t>
      </w:r>
      <w:r w:rsidR="00705932" w:rsidRPr="00161C60">
        <w:rPr>
          <w:rFonts w:ascii="Helvetica" w:hAnsi="Helvetica" w:cs="Helvetica"/>
        </w:rPr>
        <w:t xml:space="preserve">. </w:t>
      </w:r>
      <w:r w:rsidR="00AB5659" w:rsidRPr="00161C60">
        <w:rPr>
          <w:rFonts w:ascii="Helvetica" w:hAnsi="Helvetica" w:cs="Helvetica"/>
        </w:rPr>
        <w:t xml:space="preserve">Several recent reviews confirmed efficacy of resistance exercise </w:t>
      </w:r>
      <w:r w:rsidR="005571DC" w:rsidRPr="00161C60">
        <w:rPr>
          <w:rFonts w:ascii="Helvetica" w:hAnsi="Helvetica" w:cs="Helvetica"/>
        </w:rPr>
        <w:fldChar w:fldCharType="begin" w:fldLock="1"/>
      </w:r>
      <w:r w:rsidR="008A29C3">
        <w:rPr>
          <w:rFonts w:ascii="Helvetica" w:hAnsi="Helvetica" w:cs="Helvetica"/>
        </w:rPr>
        <w:instrText>ADDIN CSL_CITATION {"citationItems":[{"id":"ITEM-1","itemData":{"DOI":"10.3389/fphys.2020.00652","ISSN":"1664042X","abstract":"Osteoporosis is a major health problem in post-menopausal women (PMW). Exercise training is considered a cost-effective strategy to prevent osteoporosis in middle aged-older people. The purpose of this study is to summarize the effect of exercise on BMD among PMW. A comprehensive search of electronic databases was conducted through PubMed, Scopus, Web of Science, Cochrane, Science Direct, Eric, ProQuest, and Primo. BMD changes (standardized mean differences: SMD) of the lumbar spine (LS) femoral neck (FN) and/or total hip were considered as outcome measures. After subgroup categorization, statistical methods were used to combine data and compare subgroups. Seventy-five studies were included. The pooled number of participants was 5,300 (intervention group: n = 2,901, control group: n = 2,399). The pooled estimate of random effect analysis was SMD = 0.37, 95%-CI: 0.25–0.50, SMD = 0.33, 95%-CI: 0.23–0.43, and SMD = 0.40, 95%-CI: 0.28–0.51 for LS, FN, and total Hip-BMD, respectively. In the present meta-analysis, there was a significant (p &lt; 0.001), but rather low effect (SMD = 0.33–0.40) of exercise on BMD at LS and proximal femur. A large variation among the single study findings was observed, with highly effective studies but also studies that trigger significant negative results. These findings can be largely attributed to differences among the exercise protocols of the studies. Findings suggest that the true effect of exercise on BMD is diluted by a considerable amount of studies with inadequate exercise protocols.","author":[{"dropping-particle":"","family":"Shojaa","given":"Mahdieh","non-dropping-particle":"","parse-names":false,"suffix":""},{"dropping-particle":"","family":"Stengel","given":"Simon","non-dropping-particle":"Von","parse-names":false,"suffix":""},{"dropping-particle":"","family":"Schoene","given":"Daniel","non-dropping-particle":"","parse-names":false,"suffix":""},{"dropping-particle":"","family":"Kohl","given":"Matthias","non-dropping-particle":"","parse-names":false,"suffix":""},{"dropping-particle":"","family":"Barone","given":"Giuseppe","non-dropping-particle":"","parse-names":false,"suffix":""},{"dropping-particle":"","family":"Bragonzoni","given":"Laura","non-dropping-particle":"","parse-names":false,"suffix":""},{"dropping-particle":"","family":"Dallolio","given":"Laura","non-dropping-particle":"","parse-names":false,"suffix":""},{"dropping-particle":"","family":"Marini","given":"Sofia","non-dropping-particle":"","parse-names":false,"suffix":""},{"dropping-particle":"","family":"Murphy","given":"Marie H.","non-dropping-particle":"","parse-names":false,"suffix":""},{"dropping-particle":"","family":"Stephenson","given":"Aoife","non-dropping-particle":"","parse-names":false,"suffix":""},{"dropping-particle":"","family":"Mänty","given":"Minna","non-dropping-particle":"","parse-names":false,"suffix":""},{"dropping-particle":"","family":"Julin","given":"Mikko","non-dropping-particle":"","parse-names":false,"suffix":""},{"dropping-particle":"","family":"Risto","given":"Tapani","non-dropping-particle":"","parse-names":false,"suffix":""},{"dropping-particle":"","family":"Kemmler","given":"Wolfgang","non-dropping-particle":"","parse-names":false,"suffix":""}],"container-title":"Frontiers in Physiology","id":"ITEM-1","issue":"June","issued":{"date-parts":[["2020"]]},"title":"Effect of exercise training on bone mineral density in post-menopausal women: A systematic review and meta-analysis of intervention studies","type":"article-journal","volume":"11"},"uris":["http://www.mendeley.com/documents/?uuid=cd88f5dd-e4f1-4adc-b096-ea780c64be87"]},{"id":"ITEM-2","itemData":{"abstract":"This systematic review and meta-analysis set out to determine the effect of dynamic resistance exercise (DRT) on areal bone mineral density (aBMD) in postmenopausal women and derive evidence-based recommendations for optimized training protocols. A systematic review of the literature according to the PRISMA statement included (a) controlled trials, (b) of isolated DRT with at least one exercise and one control group, (c) with intervention durations ≥ 6 months, (d) aBMD assessments at lumbar spine or proximal femur, (e) in cohorts of postmenopausal women. We searched eight electronic databases up to March 2019 without language restrictions. The meta-analysis was performed using a random-effects model. Standardized mean differences (SMD) for BMD changes at lumbar spine (LS), femoral neck (FN), and total hip (TH) were defined as outcome measures. Moderators of the exercise effects, i.e., “intervention length,” “type of DRT,” “training frequency,” “exercise intensity,” and “exercise volume,” were addressed by sub-group analyses. The study was registered in the international prospective register of systematic reviews (PROSPERO) under ID: CRD42018095097. Seventeen articles with 20 exercise and 18 control groups were eligible. SMD average is 0.54 (95% CI 0.22–0.87) for LS-BMD, 0.22 (0.07–0.38) for FN-BMD, and 0.48 (0.22–0.75) for THBMD changes (all p ≤ 0.015). While sub-group analysis for FN-BMD revealed no differences within categories of moderators, lower training frequency (&lt; 2 sessions/week) resulted in significantly higher BMD changes at LS and TH compared to higher training frequency (≥ 2 sessions/week). Additionally, free weight training was significantly superior to DRT devices for improving TH-BMD. This work provided further evidence for significant, albeit only low–moderate, effects of DRT on LS-, FN-, and TH-BMD. Unfortunately, sub-analysis results did not allow meaningful exercise recommendations to be derived. This systematic review and meta-analysis observed a significant low–moderate effect of dynamic resistance exercise on bone mineral density changes in postmenopausal women. However, sub-group analyses focusing on exercise characteristics found no results that enable the derivation of meaningful exercise recommendations in the area of exercise and osteoporosis prevention or therapy.","author":[{"dropping-particle":"","family":"Shojaa","given":"Mahdieh","non-dropping-particle":"","parse-names":false,"suffix":""},{"dropping-particle":"","family":"Stengel","given":"Simon","non-dropping-particle":"Von","parse-names":false,"suffix":""},{"dropping-particle":"","family":"Kohl","given":"M","non-dropping-particle":"","parse-names":false,"suffix":""},{"dropping-particle":"","family":"Schoene","given":"Daniel","non-dropping-particle":"","parse-names":false,"suffix":""},{"dropping-particle":"","family":"Kemmler","given":"Wolfgang","non-dropping-particle":"","parse-names":false,"suffix":""}],"container-title":"Osteoporosis International","id":"ITEM-2","issued":{"date-parts":[["2020"]]},"page":"1427-1444","title":"Effects of dynamic resistance exercise on bone mineral density in postmenopausal women: a systematic review and meta-analysis with special emphasis on exercise parameters.","type":"article-journal","volume":"31"},"uris":["http://www.mendeley.com/documents/?uuid=005db316-602d-4441-989e-8c5183fa3cfc"]},{"id":"ITEM-3","itemData":{"DOI":"10.1007/s00223-020-00744-w","ISBN":"0123456789","ISSN":"14320827","PMID":"32785775","abstract":"In this sub-analysis of a comprehensive meta-analysis, we aimed to determine the effect of different types of exercise on (areal) bone mineral density (BMD) in postmenopausal women. A systematic review of the literature according to the PRISMA statement included (a) controlled trials, (b) with at least one exercise and one control group, (c) intervention ≥ 6 months, (d) BMD assessments at lumbar spine (LS), femoral neck (FN) or total hip (TH), (e) in postmenopausal women. Eight electronic databases were scanned without language restrictions up to March 2019. The present subgroup analysis was conducted as a mixed-effect meta-analysis with “type of exercise” as the moderator. The 84 eligible exercise groups were classified into (a) weight bearing (WB, n = 30) exercise, (b) (dynamic) resistance exercise (DRT, n = 18), (c) mixed WB&amp;DRT interventions (n = 36). Outcome measures were standardized mean differences (SMD) for BMD-changes at LS, FN and TH. All types of exercise significantly affect BMD at LS, FN and TH. SMD for LS average 0.40 (95% CI 0.15–0.65) for DRT, SMD 0.26 (0.03–0.49) for WB and SMD 0.42 (0.23–0.61) for WB&amp;DRT. SMD for FN were 0.27 (0.09–0.45) for DRT, 0.37 (0.12–0.62) for WB and 0.35 (0.19–0.51) for WB&amp;DRT. Lastly, SMD for TH changes were 0.51 (0.28–0.74) for DRT, 0.40 (0.21–0.58) for WB and 0.34 (0.14–0.53) for WB&amp;DRT. In summary, we provided further evidence for the favorable effect of exercise on BMD largely independent of the type of exercise. However, in order to generate dedicated exercise recommendations or exercise guideline, meta-analyses might be a too rough tool.","author":[{"dropping-particle":"","family":"Kemmler","given":"Wolfgang","non-dropping-particle":"","parse-names":false,"suffix":""},{"dropping-particle":"","family":"Shojaa","given":"Mahdieh","non-dropping-particle":"","parse-names":false,"suffix":""},{"dropping-particle":"","family":"Kohl","given":"Matthias","non-dropping-particle":"","parse-names":false,"suffix":""},{"dropping-particle":"","family":"Stengel","given":"Simon","non-dropping-particle":"von","parse-names":false,"suffix":""}],"container-title":"Calcified Tissue International","id":"ITEM-3","issue":"5","issued":{"date-parts":[["2020"]]},"number-of-pages":"409-439","publisher":"Springer US","title":"Effects of Different Types of Exercise on Bone Mineral Density in Postmenopausal Women: A Systematic Review and Meta-analysis","type":"book","volume":"107"},"uris":["http://www.mendeley.com/documents/?uuid=0808a895-3d64-4c94-b452-3c3953fafa7e"]}],"mendeley":{"formattedCitation":"&lt;sup&gt;66–68&lt;/sup&gt;","plainTextFormattedCitation":"66–68","previouslyFormattedCitation":"&lt;sup&gt;66–68&lt;/sup&gt;"},"properties":{"noteIndex":0},"schema":"https://github.com/citation-style-language/schema/raw/master/csl-citation.json"}</w:instrText>
      </w:r>
      <w:r w:rsidR="005571DC" w:rsidRPr="00161C60">
        <w:rPr>
          <w:rFonts w:ascii="Helvetica" w:hAnsi="Helvetica" w:cs="Helvetica"/>
        </w:rPr>
        <w:fldChar w:fldCharType="separate"/>
      </w:r>
      <w:r w:rsidR="001B5724" w:rsidRPr="001B5724">
        <w:rPr>
          <w:rFonts w:ascii="Helvetica" w:hAnsi="Helvetica" w:cs="Helvetica"/>
          <w:noProof/>
          <w:vertAlign w:val="superscript"/>
        </w:rPr>
        <w:t>66–68</w:t>
      </w:r>
      <w:r w:rsidR="005571DC" w:rsidRPr="00161C60">
        <w:rPr>
          <w:rFonts w:ascii="Helvetica" w:hAnsi="Helvetica" w:cs="Helvetica"/>
        </w:rPr>
        <w:fldChar w:fldCharType="end"/>
      </w:r>
      <w:r w:rsidR="00AB5659" w:rsidRPr="00161C60">
        <w:rPr>
          <w:rFonts w:ascii="Helvetica" w:hAnsi="Helvetica" w:cs="Helvetica"/>
        </w:rPr>
        <w:t xml:space="preserve">; one reported no benefit but was very selective in the studies included </w:t>
      </w:r>
      <w:r w:rsidR="005571DC" w:rsidRPr="00161C60">
        <w:rPr>
          <w:rFonts w:ascii="Helvetica" w:hAnsi="Helvetica" w:cs="Helvetica"/>
        </w:rPr>
        <w:fldChar w:fldCharType="begin" w:fldLock="1"/>
      </w:r>
      <w:r w:rsidR="008A29C3">
        <w:rPr>
          <w:rFonts w:ascii="Helvetica" w:hAnsi="Helvetica" w:cs="Helvetica"/>
        </w:rPr>
        <w:instrText>ADDIN CSL_CITATION {"citationItems":[{"id":"ITEM-1","itemData":{"DOI":"10.1007/s00223-020-00671-w","ISBN":"0123456789","ISSN":"14320827","PMID":"32055889","abstract":"Effectiveness of exercise on bone mass is closely related to the mode of exercise training regimen, as well as the study design. This study aimed to determine the effect of different modes of exercise training on lumbar spine and femoral neck bone mineral density (BMD) in older postmenopausal women (PMW). PubMed, CINAHL, Medline, Google Scholar, and Scopus databases and reference lists of included studies were searched up until March 25, 2019 for randomized controlled trials (RCTs) that evaluated the effectiveness of various modes of exercise training in PMW. Sixteen RCTs with 1624 subjects were included. Our study found no significant change in both lumbar spine and femoral neck BMD following exercise training (MD: 0.01 g/cm2; 95% confidence interval (CI) [− 0.01, 0.02] and MD: 0.00 g/cm2; 95% CI [− 0.01, 0.01], respectively). However, subgroup analysis by type of exercise training revealed that lumbar spine BMD (MD: 0.01; 95% CI [0.00, 0.02]) raised significantly when whole-body vibration (WBV) was employed as intervention compared with RCTs that utilized aerobic (MD: − 0.01; 95% CI [− 0.02, − 0.01]), resistance (MD: 0.01; 95% CI [− 0.04, 0.06]), and combined training (MD: 0.03; 95% CI [− 0.01, 0.08]). On the other hand, lumbar spine BMD (MD: − 0.01; 95% CI [− 0.02, − 0.01]) reduced significantly when aerobic exercise training was used as intervention compared with RCTs that utilized resistance training, combined training, and WBV. By contrast, these analyses did not have significant effect on change in femoral neck BMD. WBV is an effective method to improve lumbar spine BMD in older PMW.","author":[{"dropping-particle":"","family":"Mohammad Rahimi","given":"Gholam Rasul","non-dropping-particle":"","parse-names":false,"suffix":""},{"dropping-particle":"","family":"Smart","given":"Neil A.","non-dropping-particle":"","parse-names":false,"suffix":""},{"dropping-particle":"","family":"Liang","given":"Michael T.C.","non-dropping-particle":"","parse-names":false,"suffix":""},{"dropping-particle":"","family":"Bijeh","given":"Nahid","non-dropping-particle":"","parse-names":false,"suffix":""},{"dropping-particle":"","family":"Albanaqi","given":"Alsaeedi L.","non-dropping-particle":"","parse-names":false,"suffix":""},{"dropping-particle":"","family":"Fathi","given":"Mehrdad","non-dropping-particle":"","parse-names":false,"suffix":""},{"dropping-particle":"","family":"Niyazi","given":"Arghavan","non-dropping-particle":"","parse-names":false,"suffix":""},{"dropping-particle":"","family":"Mohammad Rahimi","given":"Nasser","non-dropping-particle":"","parse-names":false,"suffix":""}],"container-title":"Calcified Tissue International","id":"ITEM-1","issue":"6","issued":{"date-parts":[["2020"]]},"page":"577-590","publisher":"Springer US","title":"The Impact of Different Modes of Exercise Training on Bone Mineral Density in Older Postmenopausal Women: A Systematic Review and Meta-analysis Research","type":"article-journal","volume":"106"},"uris":["http://www.mendeley.com/documents/?uuid=ed794b7f-195b-4d53-8109-bc840d97e42b"]}],"mendeley":{"formattedCitation":"&lt;sup&gt;69&lt;/sup&gt;","plainTextFormattedCitation":"69","previouslyFormattedCitation":"&lt;sup&gt;69&lt;/sup&gt;"},"properties":{"noteIndex":0},"schema":"https://github.com/citation-style-language/schema/raw/master/csl-citation.json"}</w:instrText>
      </w:r>
      <w:r w:rsidR="005571DC" w:rsidRPr="00161C60">
        <w:rPr>
          <w:rFonts w:ascii="Helvetica" w:hAnsi="Helvetica" w:cs="Helvetica"/>
        </w:rPr>
        <w:fldChar w:fldCharType="separate"/>
      </w:r>
      <w:r w:rsidR="001B5724" w:rsidRPr="001B5724">
        <w:rPr>
          <w:rFonts w:ascii="Helvetica" w:hAnsi="Helvetica" w:cs="Helvetica"/>
          <w:noProof/>
          <w:vertAlign w:val="superscript"/>
        </w:rPr>
        <w:t>69</w:t>
      </w:r>
      <w:r w:rsidR="005571DC" w:rsidRPr="00161C60">
        <w:rPr>
          <w:rFonts w:ascii="Helvetica" w:hAnsi="Helvetica" w:cs="Helvetica"/>
        </w:rPr>
        <w:fldChar w:fldCharType="end"/>
      </w:r>
      <w:r w:rsidR="00AB5659" w:rsidRPr="00161C60">
        <w:rPr>
          <w:rFonts w:ascii="Helvetica" w:hAnsi="Helvetica" w:cs="Helvetica"/>
        </w:rPr>
        <w:t>. Consistent with previous guidance, w</w:t>
      </w:r>
      <w:r w:rsidR="00705932" w:rsidRPr="00161C60">
        <w:rPr>
          <w:rFonts w:ascii="Helvetica" w:hAnsi="Helvetica" w:cs="Helvetica"/>
        </w:rPr>
        <w:t xml:space="preserve">e recommend that resistance exercise should </w:t>
      </w:r>
      <w:r w:rsidR="00AB5659" w:rsidRPr="00161C60">
        <w:rPr>
          <w:rFonts w:ascii="Helvetica" w:hAnsi="Helvetica" w:cs="Helvetica"/>
        </w:rPr>
        <w:t>progress to</w:t>
      </w:r>
      <w:r w:rsidR="00705932" w:rsidRPr="00161C60">
        <w:rPr>
          <w:rFonts w:ascii="Helvetica" w:hAnsi="Helvetica" w:cs="Helvetica"/>
        </w:rPr>
        <w:t xml:space="preserve"> high intensity. </w:t>
      </w:r>
      <w:r w:rsidR="009B75FA">
        <w:rPr>
          <w:rFonts w:ascii="Helvetica" w:hAnsi="Helvetica" w:cs="Helvetica"/>
        </w:rPr>
        <w:t>Although some recent</w:t>
      </w:r>
      <w:r w:rsidR="00D513B9" w:rsidRPr="00161C60">
        <w:rPr>
          <w:rFonts w:ascii="Helvetica" w:hAnsi="Helvetica" w:cs="Helvetica"/>
        </w:rPr>
        <w:t xml:space="preserve"> meta-analyses did not detect greater benefits from high than lower load resistance exercise </w:t>
      </w:r>
      <w:r w:rsidR="00D513B9" w:rsidRPr="00161C60">
        <w:rPr>
          <w:rFonts w:ascii="Helvetica" w:hAnsi="Helvetica" w:cs="Helvetica"/>
        </w:rPr>
        <w:fldChar w:fldCharType="begin" w:fldLock="1"/>
      </w:r>
      <w:r w:rsidR="008A29C3">
        <w:rPr>
          <w:rFonts w:ascii="Helvetica" w:hAnsi="Helvetica" w:cs="Helvetica"/>
        </w:rPr>
        <w:instrText>ADDIN CSL_CITATION {"citationItems":[{"id":"ITEM-1","itemData":{"abstract":"This systematic review and meta-analysis set out to determine the effect of dynamic resistance exercise (DRT) on areal bone mineral density (aBMD) in postmenopausal women and derive evidence-based recommendations for optimized training protocols. A systematic review of the literature according to the PRISMA statement included (a) controlled trials, (b) of isolated DRT with at least one exercise and one control group, (c) with intervention durations ≥ 6 months, (d) aBMD assessments at lumbar spine or proximal femur, (e) in cohorts of postmenopausal women. We searched eight electronic databases up to March 2019 without language restrictions. The meta-analysis was performed using a random-effects model. Standardized mean differences (SMD) for BMD changes at lumbar spine (LS), femoral neck (FN), and total hip (TH) were defined as outcome measures. Moderators of the exercise effects, i.e., “intervention length,” “type of DRT,” “training frequency,” “exercise intensity,” and “exercise volume,” were addressed by sub-group analyses. The study was registered in the international prospective register of systematic reviews (PROSPERO) under ID: CRD42018095097. Seventeen articles with 20 exercise and 18 control groups were eligible. SMD average is 0.54 (95% CI 0.22–0.87) for LS-BMD, 0.22 (0.07–0.38) for FN-BMD, and 0.48 (0.22–0.75) for THBMD changes (all p ≤ 0.015). While sub-group analysis for FN-BMD revealed no differences within categories of moderators, lower training frequency (&lt; 2 sessions/week) resulted in significantly higher BMD changes at LS and TH compared to higher training frequency (≥ 2 sessions/week). Additionally, free weight training was significantly superior to DRT devices for improving TH-BMD. This work provided further evidence for significant, albeit only low–moderate, effects of DRT on LS-, FN-, and TH-BMD. Unfortunately, sub-analysis results did not allow meaningful exercise recommendations to be derived. This systematic review and meta-analysis observed a significant low–moderate effect of dynamic resistance exercise on bone mineral density changes in postmenopausal women. However, sub-group analyses focusing on exercise characteristics found no results that enable the derivation of meaningful exercise recommendations in the area of exercise and osteoporosis prevention or therapy.","author":[{"dropping-particle":"","family":"Shojaa","given":"Mahdieh","non-dropping-particle":"","parse-names":false,"suffix":""},{"dropping-particle":"","family":"Stengel","given":"Simon","non-dropping-particle":"Von","parse-names":false,"suffix":""},{"dropping-particle":"","family":"Kohl","given":"M","non-dropping-particle":"","parse-names":false,"suffix":""},{"dropping-particle":"","family":"Schoene","given":"Daniel","non-dropping-particle":"","parse-names":false,"suffix":""},{"dropping-particle":"","family":"Kemmler","given":"Wolfgang","non-dropping-particle":"","parse-names":false,"suffix":""}],"container-title":"Osteoporosis International","id":"ITEM-1","issued":{"date-parts":[["2020"]]},"page":"1427-1444","title":"Effects of dynamic resistance exercise on bone mineral density in postmenopausal women: a systematic review and meta-analysis with special emphasis on exercise parameters.","type":"article-journal","volume":"31"},"uris":["http://www.mendeley.com/documents/?uuid=005db316-602d-4441-989e-8c5183fa3cfc"]},{"id":"ITEM-2","itemData":{"DOI":"10.1007/s00223-020-00744-w","ISBN":"0123456789","ISSN":"14320827","PMID":"32785775","abstract":"In this sub-analysis of a comprehensive meta-analysis, we aimed to determine the effect of different types of exercise on (areal) bone mineral density (BMD) in postmenopausal women. A systematic review of the literature according to the PRISMA statement included (a) controlled trials, (b) with at least one exercise and one control group, (c) intervention ≥ 6 months, (d) BMD assessments at lumbar spine (LS), femoral neck (FN) or total hip (TH), (e) in postmenopausal women. Eight electronic databases were scanned without language restrictions up to March 2019. The present subgroup analysis was conducted as a mixed-effect meta-analysis with “type of exercise” as the moderator. The 84 eligible exercise groups were classified into (a) weight bearing (WB, n = 30) exercise, (b) (dynamic) resistance exercise (DRT, n = 18), (c) mixed WB&amp;DRT interventions (n = 36). Outcome measures were standardized mean differences (SMD) for BMD-changes at LS, FN and TH. All types of exercise significantly affect BMD at LS, FN and TH. SMD for LS average 0.40 (95% CI 0.15–0.65) for DRT, SMD 0.26 (0.03–0.49) for WB and SMD 0.42 (0.23–0.61) for WB&amp;DRT. SMD for FN were 0.27 (0.09–0.45) for DRT, 0.37 (0.12–0.62) for WB and 0.35 (0.19–0.51) for WB&amp;DRT. Lastly, SMD for TH changes were 0.51 (0.28–0.74) for DRT, 0.40 (0.21–0.58) for WB and 0.34 (0.14–0.53) for WB&amp;DRT. In summary, we provided further evidence for the favorable effect of exercise on BMD largely independent of the type of exercise. However, in order to generate dedicated exercise recommendations or exercise guideline, meta-analyses might be a too rough tool.","author":[{"dropping-particle":"","family":"Kemmler","given":"Wolfgang","non-dropping-particle":"","parse-names":false,"suffix":""},{"dropping-particle":"","family":"Shojaa","given":"Mahdieh","non-dropping-particle":"","parse-names":false,"suffix":""},{"dropping-particle":"","family":"Kohl","given":"Matthias","non-dropping-particle":"","parse-names":false,"suffix":""},{"dropping-particle":"","family":"Stengel","given":"Simon","non-dropping-particle":"von","parse-names":false,"suffix":""}],"container-title":"Calcified Tissue International","id":"ITEM-2","issue":"5","issued":{"date-parts":[["2020"]]},"number-of-pages":"409-439","publisher":"Springer US","title":"Effects of Different Types of Exercise on Bone Mineral Density in Postmenopausal Women: A Systematic Review and Meta-analysis","type":"book","volume":"107"},"uris":["http://www.mendeley.com/documents/?uuid=0808a895-3d64-4c94-b452-3c3953fafa7e"]},{"id":"ITEM-3","itemData":{"DOI":"10.1016/j.exger.2020.110973","ISSN":"18736815","PMID":"32454079","abstract":"Purpose: To compare the effects of high-load (≥ 70 of 1RM) and low-load (&lt; 70 of 1RM) resistance training (RT) on femoral neck and lumbar spine bone mineral density (BMD) in middle-aged and older people. Design: Systematic review with meta-analysis. Data source: English language searches of the electronic databases PubMed/Medline, Scopus and Web of Science. Inclusion criteria: (i) older or middle-aged (≥ 45 years old) participants of both sexes with or without comorbidities, (ii) studies that compared high-load (≥70% 1 RM) versus low-load (&lt;70% 1RM) RT, (iii) studies that examined femoral neck or lumbar spine BMD. Results: From 1052 studies found, six were included in qualitative and quantitative analysis. The meta-analysis revealed no difference between groups for femoral neck (weighted mean difference [MD] and 95% confidence interval (CI) = 0.00 g/cm2 [95% CI, −0.01 to 0.01]; P = 0.63) and lumbar spine (MD = 0.01 g/cm2 [95% CI, −0.00 to 0.02]; P = 0.12) BDM. There was a substantial heterogeneity for femoral neck (I2 = 47%; P = 0.07) and lumbar spine (I2 = 59%; P = 0.02). Subgroup analysis revealed a significant effect of high-load RT on femoral neck BMD when participants presented normal BMD values (MD = 0.01 g/cm2 [95% CI, −0.00 to 0.02]; P = 0.04) and on interventions lasting up to 6 months (MD = 0.01 g/cm2 [95% CI, −0.00 to 0.02]; P = 0.03). Conclusion: Both high- and low-load RT have similar effects on femoral neck and lumbar spine BMD in aging people.","author":[{"dropping-particle":"","family":"Souza","given":"Daniel","non-dropping-particle":"","parse-names":false,"suffix":""},{"dropping-particle":"","family":"Barbalho","given":"Matheus","non-dropping-particle":"","parse-names":false,"suffix":""},{"dropping-particle":"","family":"Ramirez-Campillo","given":"Rodrigo","non-dropping-particle":"","parse-names":false,"suffix":""},{"dropping-particle":"","family":"Martins","given":"Wagner","non-dropping-particle":"","parse-names":false,"suffix":""},{"dropping-particle":"","family":"Gentil","given":"Paulo","non-dropping-particle":"","parse-names":false,"suffix":""}],"container-title":"Experimental Gerontology","id":"ITEM-3","issue":"May","issued":{"date-parts":[["2020"]]},"page":"110973","publisher":"Elsevier","title":"High and low-load resistance training produce similar effects on bone mineral density of middle-aged and older people: A systematic review with meta-analysis of randomized clinical trials","type":"article-journal","volume":"138"},"uris":["http://www.mendeley.com/documents/?uuid=c997db3e-bac6-4255-9d4f-efe50827559e"]}],"mendeley":{"formattedCitation":"&lt;sup&gt;67,68,70&lt;/sup&gt;","plainTextFormattedCitation":"67,68,70","previouslyFormattedCitation":"&lt;sup&gt;67,68,70&lt;/sup&gt;"},"properties":{"noteIndex":0},"schema":"https://github.com/citation-style-language/schema/raw/master/csl-citation.json"}</w:instrText>
      </w:r>
      <w:r w:rsidR="00D513B9" w:rsidRPr="00161C60">
        <w:rPr>
          <w:rFonts w:ascii="Helvetica" w:hAnsi="Helvetica" w:cs="Helvetica"/>
        </w:rPr>
        <w:fldChar w:fldCharType="separate"/>
      </w:r>
      <w:r w:rsidR="001B5724" w:rsidRPr="001B5724">
        <w:rPr>
          <w:rFonts w:ascii="Helvetica" w:hAnsi="Helvetica" w:cs="Helvetica"/>
          <w:noProof/>
          <w:vertAlign w:val="superscript"/>
        </w:rPr>
        <w:t>67,68,70</w:t>
      </w:r>
      <w:r w:rsidR="00D513B9" w:rsidRPr="00161C60">
        <w:rPr>
          <w:rFonts w:ascii="Helvetica" w:hAnsi="Helvetica" w:cs="Helvetica"/>
        </w:rPr>
        <w:fldChar w:fldCharType="end"/>
      </w:r>
      <w:r w:rsidR="004C36B0">
        <w:rPr>
          <w:rFonts w:ascii="Helvetica" w:hAnsi="Helvetica" w:cs="Helvetica"/>
        </w:rPr>
        <w:t>,</w:t>
      </w:r>
      <w:r w:rsidR="00D513B9" w:rsidRPr="00161C60">
        <w:rPr>
          <w:rFonts w:ascii="Helvetica" w:hAnsi="Helvetica" w:cs="Helvetica"/>
        </w:rPr>
        <w:t xml:space="preserve"> </w:t>
      </w:r>
      <w:r w:rsidR="00D513B9" w:rsidRPr="007E47AE">
        <w:rPr>
          <w:rFonts w:ascii="Helvetica" w:hAnsi="Helvetica" w:cs="Helvetica"/>
        </w:rPr>
        <w:t>some of the interventions classified as high intensity were of more moderate loading and</w:t>
      </w:r>
      <w:r w:rsidR="00D513B9" w:rsidRPr="00161C60">
        <w:rPr>
          <w:rFonts w:ascii="Helvetica" w:hAnsi="Helvetica" w:cs="Helvetica"/>
        </w:rPr>
        <w:t xml:space="preserve"> substantial heterogeneity</w:t>
      </w:r>
      <w:r w:rsidR="004C36B0">
        <w:rPr>
          <w:rFonts w:ascii="Helvetica" w:hAnsi="Helvetica" w:cs="Helvetica"/>
        </w:rPr>
        <w:t xml:space="preserve"> </w:t>
      </w:r>
      <w:r w:rsidR="00D513B9" w:rsidRPr="00161C60">
        <w:rPr>
          <w:rFonts w:ascii="Helvetica" w:hAnsi="Helvetica" w:cs="Helvetica"/>
        </w:rPr>
        <w:t xml:space="preserve">meant that it was not possible to detect significant differences according intensity </w:t>
      </w:r>
      <w:r w:rsidR="00D513B9" w:rsidRPr="00161C60">
        <w:rPr>
          <w:rFonts w:ascii="Helvetica" w:hAnsi="Helvetica" w:cs="Helvetica"/>
        </w:rPr>
        <w:fldChar w:fldCharType="begin" w:fldLock="1"/>
      </w:r>
      <w:r w:rsidR="008A29C3">
        <w:rPr>
          <w:rFonts w:ascii="Helvetica" w:hAnsi="Helvetica" w:cs="Helvetica"/>
        </w:rPr>
        <w:instrText>ADDIN CSL_CITATION {"citationItems":[{"id":"ITEM-1","itemData":{"abstract":"This systematic review and meta-analysis set out to determine the effect of dynamic resistance exercise (DRT) on areal bone mineral density (aBMD) in postmenopausal women and derive evidence-based recommendations for optimized training protocols. A systematic review of the literature according to the PRISMA statement included (a) controlled trials, (b) of isolated DRT with at least one exercise and one control group, (c) with intervention durations ≥ 6 months, (d) aBMD assessments at lumbar spine or proximal femur, (e) in cohorts of postmenopausal women. We searched eight electronic databases up to March 2019 without language restrictions. The meta-analysis was performed using a random-effects model. Standardized mean differences (SMD) for BMD changes at lumbar spine (LS), femoral neck (FN), and total hip (TH) were defined as outcome measures. Moderators of the exercise effects, i.e., “intervention length,” “type of DRT,” “training frequency,” “exercise intensity,” and “exercise volume,” were addressed by sub-group analyses. The study was registered in the international prospective register of systematic reviews (PROSPERO) under ID: CRD42018095097. Seventeen articles with 20 exercise and 18 control groups were eligible. SMD average is 0.54 (95% CI 0.22–0.87) for LS-BMD, 0.22 (0.07–0.38) for FN-BMD, and 0.48 (0.22–0.75) for THBMD changes (all p ≤ 0.015). While sub-group analysis for FN-BMD revealed no differences within categories of moderators, lower training frequency (&lt; 2 sessions/week) resulted in significantly higher BMD changes at LS and TH compared to higher training frequency (≥ 2 sessions/week). Additionally, free weight training was significantly superior to DRT devices for improving TH-BMD. This work provided further evidence for significant, albeit only low–moderate, effects of DRT on LS-, FN-, and TH-BMD. Unfortunately, sub-analysis results did not allow meaningful exercise recommendations to be derived. This systematic review and meta-analysis observed a significant low–moderate effect of dynamic resistance exercise on bone mineral density changes in postmenopausal women. However, sub-group analyses focusing on exercise characteristics found no results that enable the derivation of meaningful exercise recommendations in the area of exercise and osteoporosis prevention or therapy.","author":[{"dropping-particle":"","family":"Shojaa","given":"Mahdieh","non-dropping-particle":"","parse-names":false,"suffix":""},{"dropping-particle":"","family":"Stengel","given":"Simon","non-dropping-particle":"Von","parse-names":false,"suffix":""},{"dropping-particle":"","family":"Kohl","given":"M","non-dropping-particle":"","parse-names":false,"suffix":""},{"dropping-particle":"","family":"Schoene","given":"Daniel","non-dropping-particle":"","parse-names":false,"suffix":""},{"dropping-particle":"","family":"Kemmler","given":"Wolfgang","non-dropping-particle":"","parse-names":false,"suffix":""}],"container-title":"Osteoporosis International","id":"ITEM-1","issued":{"date-parts":[["2020"]]},"page":"1427-1444","title":"Effects of dynamic resistance exercise on bone mineral density in postmenopausal women: a systematic review and meta-analysis with special emphasis on exercise parameters.","type":"article-journal","volume":"31"},"uris":["http://www.mendeley.com/documents/?uuid=005db316-602d-4441-989e-8c5183fa3cfc"]},{"id":"ITEM-2","itemData":{"DOI":"10.1007/s00223-020-00744-w","ISBN":"0123456789","ISSN":"14320827","PMID":"32785775","abstract":"In this sub-analysis of a comprehensive meta-analysis, we aimed to determine the effect of different types of exercise on (areal) bone mineral density (BMD) in postmenopausal women. A systematic review of the literature according to the PRISMA statement included (a) controlled trials, (b) with at least one exercise and one control group, (c) intervention ≥ 6 months, (d) BMD assessments at lumbar spine (LS), femoral neck (FN) or total hip (TH), (e) in postmenopausal women. Eight electronic databases were scanned without language restrictions up to March 2019. The present subgroup analysis was conducted as a mixed-effect meta-analysis with “type of exercise” as the moderator. The 84 eligible exercise groups were classified into (a) weight bearing (WB, n = 30) exercise, (b) (dynamic) resistance exercise (DRT, n = 18), (c) mixed WB&amp;DRT interventions (n = 36). Outcome measures were standardized mean differences (SMD) for BMD-changes at LS, FN and TH. All types of exercise significantly affect BMD at LS, FN and TH. SMD for LS average 0.40 (95% CI 0.15–0.65) for DRT, SMD 0.26 (0.03–0.49) for WB and SMD 0.42 (0.23–0.61) for WB&amp;DRT. SMD for FN were 0.27 (0.09–0.45) for DRT, 0.37 (0.12–0.62) for WB and 0.35 (0.19–0.51) for WB&amp;DRT. Lastly, SMD for TH changes were 0.51 (0.28–0.74) for DRT, 0.40 (0.21–0.58) for WB and 0.34 (0.14–0.53) for WB&amp;DRT. In summary, we provided further evidence for the favorable effect of exercise on BMD largely independent of the type of exercise. However, in order to generate dedicated exercise recommendations or exercise guideline, meta-analyses might be a too rough tool.","author":[{"dropping-particle":"","family":"Kemmler","given":"Wolfgang","non-dropping-particle":"","parse-names":false,"suffix":""},{"dropping-particle":"","family":"Shojaa","given":"Mahdieh","non-dropping-particle":"","parse-names":false,"suffix":""},{"dropping-particle":"","family":"Kohl","given":"Matthias","non-dropping-particle":"","parse-names":false,"suffix":""},{"dropping-particle":"","family":"Stengel","given":"Simon","non-dropping-particle":"von","parse-names":false,"suffix":""}],"container-title":"Calcified Tissue International","id":"ITEM-2","issue":"5","issued":{"date-parts":[["2020"]]},"number-of-pages":"409-439","publisher":"Springer US","title":"Effects of Different Types of Exercise on Bone Mineral Density in Postmenopausal Women: A Systematic Review and Meta-analysis","type":"book","volume":"107"},"uris":["http://www.mendeley.com/documents/?uuid=0808a895-3d64-4c94-b452-3c3953fafa7e"]}],"mendeley":{"formattedCitation":"&lt;sup&gt;67,68&lt;/sup&gt;","plainTextFormattedCitation":"67,68","previouslyFormattedCitation":"&lt;sup&gt;67,68&lt;/sup&gt;"},"properties":{"noteIndex":0},"schema":"https://github.com/citation-style-language/schema/raw/master/csl-citation.json"}</w:instrText>
      </w:r>
      <w:r w:rsidR="00D513B9" w:rsidRPr="00161C60">
        <w:rPr>
          <w:rFonts w:ascii="Helvetica" w:hAnsi="Helvetica" w:cs="Helvetica"/>
        </w:rPr>
        <w:fldChar w:fldCharType="separate"/>
      </w:r>
      <w:r w:rsidR="001B5724" w:rsidRPr="001B5724">
        <w:rPr>
          <w:rFonts w:ascii="Helvetica" w:hAnsi="Helvetica" w:cs="Helvetica"/>
          <w:noProof/>
          <w:vertAlign w:val="superscript"/>
        </w:rPr>
        <w:t>67,68</w:t>
      </w:r>
      <w:r w:rsidR="00D513B9" w:rsidRPr="00161C60">
        <w:rPr>
          <w:rFonts w:ascii="Helvetica" w:hAnsi="Helvetica" w:cs="Helvetica"/>
        </w:rPr>
        <w:fldChar w:fldCharType="end"/>
      </w:r>
      <w:r w:rsidR="00D513B9" w:rsidRPr="00161C60">
        <w:rPr>
          <w:rFonts w:ascii="Helvetica" w:hAnsi="Helvetica" w:cs="Helvetica"/>
        </w:rPr>
        <w:t xml:space="preserve">. </w:t>
      </w:r>
      <w:r w:rsidR="00131431">
        <w:rPr>
          <w:rFonts w:ascii="Helvetica" w:hAnsi="Helvetica" w:cs="Helvetica"/>
        </w:rPr>
        <w:t>One</w:t>
      </w:r>
      <w:r w:rsidR="007D36CA" w:rsidRPr="00161C60">
        <w:rPr>
          <w:rFonts w:ascii="Helvetica" w:hAnsi="Helvetica" w:cs="Helvetica"/>
        </w:rPr>
        <w:t xml:space="preserve"> recent </w:t>
      </w:r>
      <w:r w:rsidR="00B92119" w:rsidRPr="00161C60">
        <w:rPr>
          <w:rFonts w:ascii="Helvetica" w:hAnsi="Helvetica" w:cs="Helvetica"/>
        </w:rPr>
        <w:t>meta-</w:t>
      </w:r>
      <w:r w:rsidR="00AD1254" w:rsidRPr="00161C60">
        <w:rPr>
          <w:rFonts w:ascii="Helvetica" w:hAnsi="Helvetica" w:cs="Helvetica"/>
        </w:rPr>
        <w:t>analy</w:t>
      </w:r>
      <w:r w:rsidRPr="00161C60">
        <w:rPr>
          <w:rFonts w:ascii="Helvetica" w:hAnsi="Helvetica" w:cs="Helvetica"/>
        </w:rPr>
        <w:t>sis</w:t>
      </w:r>
      <w:r w:rsidR="00AD1254" w:rsidRPr="00161C60">
        <w:rPr>
          <w:rFonts w:ascii="Helvetica" w:hAnsi="Helvetica" w:cs="Helvetica"/>
        </w:rPr>
        <w:t xml:space="preserve"> </w:t>
      </w:r>
      <w:r w:rsidR="003A686C">
        <w:rPr>
          <w:rFonts w:ascii="Helvetica" w:hAnsi="Helvetica" w:cs="Helvetica"/>
        </w:rPr>
        <w:t>confirmed</w:t>
      </w:r>
      <w:r w:rsidR="003A686C" w:rsidRPr="00161C60">
        <w:rPr>
          <w:rFonts w:ascii="Helvetica" w:hAnsi="Helvetica" w:cs="Helvetica"/>
        </w:rPr>
        <w:t xml:space="preserve"> </w:t>
      </w:r>
      <w:r w:rsidR="00AD1254" w:rsidRPr="00161C60">
        <w:rPr>
          <w:rFonts w:ascii="Helvetica" w:hAnsi="Helvetica" w:cs="Helvetica"/>
        </w:rPr>
        <w:t xml:space="preserve">that high intensity training </w:t>
      </w:r>
      <w:r w:rsidR="003A686C">
        <w:rPr>
          <w:rFonts w:ascii="Helvetica" w:hAnsi="Helvetica" w:cs="Helvetica"/>
        </w:rPr>
        <w:t>wa</w:t>
      </w:r>
      <w:r w:rsidR="003A686C" w:rsidRPr="00161C60">
        <w:rPr>
          <w:rFonts w:ascii="Helvetica" w:hAnsi="Helvetica" w:cs="Helvetica"/>
        </w:rPr>
        <w:t xml:space="preserve">s </w:t>
      </w:r>
      <w:r w:rsidR="00AD1254" w:rsidRPr="00161C60">
        <w:rPr>
          <w:rFonts w:ascii="Helvetica" w:hAnsi="Helvetica" w:cs="Helvetica"/>
        </w:rPr>
        <w:t xml:space="preserve">more effective than moderate intensity at the lumbar spine </w:t>
      </w:r>
      <w:r w:rsidR="00AD1254" w:rsidRPr="00161C60">
        <w:rPr>
          <w:rFonts w:ascii="Helvetica" w:hAnsi="Helvetica" w:cs="Helvetica"/>
        </w:rPr>
        <w:fldChar w:fldCharType="begin" w:fldLock="1"/>
      </w:r>
      <w:r w:rsidR="001B5724">
        <w:rPr>
          <w:rFonts w:ascii="Helvetica" w:hAnsi="Helvetica" w:cs="Helvetica"/>
        </w:rPr>
        <w:instrText>ADDIN CSL_CITATION {"citationItems":[{"id":"ITEM-1","itemData":{"DOI":"10.1016/j.bone.2020.115697","ISSN":"87563282","PMID":"33357834","abstract":"Background: Previous reviews have concluded that exercise has only modest effects on bone mineral density (BMD) in postmenopausal women. Despite the well-recognized strong positive relationship between load magnitude and bone response observed from animal research, the majority of human trials have examined the effects of only low to moderate intensity exercise on bone. We speculated that meta-analysing according to intensity may reveal a more potent exercise effect at higher intensity. Objectives: To determine the effects of low, moderate and high intensity exercise on BMD at the spine and hip in postmenopausal women. Methods: Electronic databases and reference lists were searched for RCTs that examined the effect of exercise compared to control on DXA-derived lumbar spine, femoral neck or total hip BMD in healthy postmenopausal women. Interventions were classified as low, moderate or high intensity and pooled based on classification. Mean differences (MD) were calculated using random effects models and a risk of bias analysis was undertaken. To determine the effect of different exercise types (resistance and impact training) on BMD outcomes, subgroup analyses for all intensity categories and outcomes were conducted. Separate meta-analyses were undertaken to examine the influence of adding exercise to a bone medication intervention and to examine exercise effects on fracture risk. Results: Fifty-three trials, testing 63 interventions (19 low, 40 moderate, 4 high intensity) were included. At the lumbar spine, high intensity exercise yielded greater BMD effects (MD = 0.031 g/cm2 95% CI [0.012, 0.049], p = 0.002) than moderate (MD = 0.012 g/cm2 95% CI [0.008, 0.017], p &lt; 0.001) and low intensity (MD = 0.010 g/cm2 95% CI [0.005, 0.015], p &lt; 0.001). Low and moderate intensity exercise was equally effective at the femoral neck (low: 0.011 g/cm2 95% CI [0.006, 0.016], p &lt; 0.001; moderate: 0.011 g/cm2 95% CI [0.007, 0.015], p &lt; 0.001), but no effect of high-intensity exercise was observed. Moderate intensity exercise increased total hip BMD (0.008 g/cm2 95% CI [0.004, 0.012], p &lt; 0.001), but low intensity did not. There were insufficient data to meta-analyse the effect of high intensity exercise at the total hip. Resistance training, potentially in combination with impact training, appears to be the most effective osteogenic stimulus at the spine and hip. Findings from meta-regression analyses were not informative and no influence of exercise on medication eff…","author":[{"dropping-particle":"","family":"Kistler-Fischbacher","given":"Melanie","non-dropping-particle":"","parse-names":false,"suffix":""},{"dropping-particle":"","family":"Weeks","given":"Benjamin K.","non-dropping-particle":"","parse-names":false,"suffix":""},{"dropping-particle":"","family":"Beck","given":"Belinda R.","non-dropping-particle":"","parse-names":false,"suffix":""}],"container-title":"Bone","id":"ITEM-1","issue":"December 2020","issued":{"date-parts":[["2021"]]},"page":"115697","publisher":"Elsevier Inc.","title":"The effect of exercise intensity on bone in postmenopausal women (part 2): A meta-analysis","type":"article-journal","volume":"143"},"uris":["http://www.mendeley.com/documents/?uuid=9662907c-e189-47b5-8938-e75bc69e98c5"]}],"mendeley":{"formattedCitation":"&lt;sup&gt;71&lt;/sup&gt;","plainTextFormattedCitation":"71","previouslyFormattedCitation":"&lt;sup&gt;71&lt;/sup&gt;"},"properties":{"noteIndex":0},"schema":"https://github.com/citation-style-language/schema/raw/master/csl-citation.json"}</w:instrText>
      </w:r>
      <w:r w:rsidR="00AD1254" w:rsidRPr="00161C60">
        <w:rPr>
          <w:rFonts w:ascii="Helvetica" w:hAnsi="Helvetica" w:cs="Helvetica"/>
        </w:rPr>
        <w:fldChar w:fldCharType="separate"/>
      </w:r>
      <w:r w:rsidR="000F0C5A" w:rsidRPr="000F0C5A">
        <w:rPr>
          <w:rFonts w:ascii="Helvetica" w:hAnsi="Helvetica" w:cs="Helvetica"/>
          <w:noProof/>
          <w:vertAlign w:val="superscript"/>
        </w:rPr>
        <w:t>71</w:t>
      </w:r>
      <w:r w:rsidR="00AD1254" w:rsidRPr="00161C60">
        <w:rPr>
          <w:rFonts w:ascii="Helvetica" w:hAnsi="Helvetica" w:cs="Helvetica"/>
        </w:rPr>
        <w:fldChar w:fldCharType="end"/>
      </w:r>
      <w:r w:rsidR="003832C7" w:rsidRPr="00161C60">
        <w:rPr>
          <w:rFonts w:ascii="Helvetica" w:hAnsi="Helvetica" w:cs="Helvetica"/>
        </w:rPr>
        <w:t xml:space="preserve">. </w:t>
      </w:r>
    </w:p>
    <w:p w14:paraId="5A4F00AF" w14:textId="78FB56A2" w:rsidR="005F230C" w:rsidRPr="00161C60" w:rsidRDefault="007812F3" w:rsidP="005F230C">
      <w:pPr>
        <w:spacing w:before="120" w:after="0" w:line="240" w:lineRule="auto"/>
        <w:rPr>
          <w:rFonts w:ascii="Helvetica" w:hAnsi="Helvetica" w:cs="Helvetica"/>
          <w:b/>
          <w:bCs/>
        </w:rPr>
      </w:pPr>
      <w:r w:rsidRPr="00161C60">
        <w:rPr>
          <w:rFonts w:ascii="Helvetica" w:hAnsi="Helvetica" w:cs="Helvetica"/>
          <w:b/>
          <w:bCs/>
        </w:rPr>
        <w:t>F</w:t>
      </w:r>
      <w:r w:rsidR="005F230C" w:rsidRPr="00161C60">
        <w:rPr>
          <w:rFonts w:ascii="Helvetica" w:hAnsi="Helvetica" w:cs="Helvetica"/>
          <w:b/>
          <w:bCs/>
        </w:rPr>
        <w:t>alls risk</w:t>
      </w:r>
    </w:p>
    <w:p w14:paraId="4DF851A9" w14:textId="661415BC" w:rsidR="00EF5BE4" w:rsidRPr="00161C60" w:rsidRDefault="00EF5BE4" w:rsidP="00AD0C67">
      <w:pPr>
        <w:spacing w:before="120" w:after="0" w:line="240" w:lineRule="auto"/>
        <w:rPr>
          <w:rFonts w:ascii="Helvetica" w:hAnsi="Helvetica" w:cs="Helvetica"/>
        </w:rPr>
      </w:pPr>
      <w:r w:rsidRPr="00161C60">
        <w:rPr>
          <w:rFonts w:ascii="Helvetica" w:hAnsi="Helvetica" w:cs="Helvetica"/>
        </w:rPr>
        <w:t xml:space="preserve">A high proportion of fractures result from falls, and we recommend strength and balance training to reduce fall incidence, based on a large body of evidence. Exercise </w:t>
      </w:r>
      <w:r w:rsidR="00725FC8">
        <w:rPr>
          <w:rFonts w:ascii="Helvetica" w:hAnsi="Helvetica" w:cs="Helvetica"/>
        </w:rPr>
        <w:t>is</w:t>
      </w:r>
      <w:r w:rsidRPr="00161C60">
        <w:rPr>
          <w:rFonts w:ascii="Helvetica" w:hAnsi="Helvetica" w:cs="Helvetica"/>
        </w:rPr>
        <w:t xml:space="preserve"> effective in preventing fall related injuries in people with osteoporosis</w:t>
      </w:r>
      <w:r w:rsidR="00FD1422" w:rsidRPr="00161C60">
        <w:rPr>
          <w:rFonts w:ascii="Helvetica" w:hAnsi="Helvetica" w:cs="Helvetica"/>
        </w:rPr>
        <w:t xml:space="preserve"> </w:t>
      </w:r>
      <w:r w:rsidR="00FD1422" w:rsidRPr="00161C60">
        <w:rPr>
          <w:rFonts w:ascii="Helvetica" w:hAnsi="Helvetica" w:cs="Helvetica"/>
        </w:rPr>
        <w:fldChar w:fldCharType="begin" w:fldLock="1"/>
      </w:r>
      <w:r w:rsidR="008A29C3">
        <w:rPr>
          <w:rFonts w:ascii="Helvetica" w:hAnsi="Helvetica" w:cs="Helvetica"/>
        </w:rPr>
        <w:instrText>ADDIN CSL_CITATION {"citationItems":[{"id":"ITEM-1","itemData":{"DOI":"10.1186/s12877-019-1359-9","ISSN":"14712318","PMID":"31795944","abstract":"Background: Whether exercise prevents fall-related injuries in different health conditions and with different training protocols is still unclear. This study aimed to determine the effect of exercise on fall-related injuries by participant characteristics and divergent exercise protocols. The safety and compliance of exercise were also examined. Methods: Electronic database searches were conducted in PubMed, Web of Science, and EMBASE for randomised controlled trials that evaluated the influence of exercise on fall-induced injuries in older people. Results: Twenty-five trials met the inclusion criteria. Exercise significantly reduced the risk of fall-related injuries in older adults, risk ratio (RR) 0.879 [95% confidence interval (CI) 0.832-0.928]. Among the injuries, events needing medical care or resulting fractures were also decreased by exercise intervention, with RR 0.681 (0.562-0.825) and 0.561 (0.366-0.860), respectively. When analysis was stratified by participant characteristics and exercise protocols, we found that participants at high risk of falling, or with osteoporosis, were sensitive to exercise intervention. Combined exercise protocols and balance training were the most effective exercise types in reducing fall-related injuries. Exercise-associated beneficial effects were even significant in very old people (≥80 years) and across the duration of interventions (&lt; 6 months, 6 to 12 months and ≥ 12 months). Exercise only generated a very low injury rate per participant year (0.002, 95% CI 0-0.05) and showed relatively good compliance of exercise (as reported in the included papers) (78.5, 95% CI 72.8-84.2%). Conclusions: Exercise is effective in preventing fall-induced injuries across a variety of baseline participant characteristics and exercise protocols. Exercise was associated with a low injury rate and had a good compliance, suggesting it is a feasible approach to managing fall-related injuries.","author":[{"dropping-particle":"","family":"Zhao","given":"Renqing","non-dropping-particle":"","parse-names":false,"suffix":""},{"dropping-particle":"","family":"Bu","given":"Wenqian","non-dropping-particle":"","parse-names":false,"suffix":""},{"dropping-particle":"","family":"Chen","given":"Xianghe","non-dropping-particle":"","parse-names":false,"suffix":""}],"container-title":"BMC Geriatrics","id":"ITEM-1","issue":"1","issued":{"date-parts":[["2019"]]},"page":"1-12","publisher":"BMC Geriatrics","title":"The efficacy and safety of exercise for prevention of fall-related injuries in older people with different health conditions, and differing intervention protocols: A meta-analysis of randomized controlled trials","type":"article-journal","volume":"19"},"uris":["http://www.mendeley.com/documents/?uuid=7a5e2d9b-c197-430d-ad20-b1d088d17b84"]}],"mendeley":{"formattedCitation":"&lt;sup&gt;72&lt;/sup&gt;","plainTextFormattedCitation":"72","previouslyFormattedCitation":"&lt;sup&gt;72&lt;/sup&gt;"},"properties":{"noteIndex":0},"schema":"https://github.com/citation-style-language/schema/raw/master/csl-citation.json"}</w:instrText>
      </w:r>
      <w:r w:rsidR="00FD1422" w:rsidRPr="00161C60">
        <w:rPr>
          <w:rFonts w:ascii="Helvetica" w:hAnsi="Helvetica" w:cs="Helvetica"/>
        </w:rPr>
        <w:fldChar w:fldCharType="separate"/>
      </w:r>
      <w:r w:rsidR="001B5724" w:rsidRPr="001B5724">
        <w:rPr>
          <w:rFonts w:ascii="Helvetica" w:hAnsi="Helvetica" w:cs="Helvetica"/>
          <w:noProof/>
          <w:vertAlign w:val="superscript"/>
        </w:rPr>
        <w:t>72</w:t>
      </w:r>
      <w:r w:rsidR="00FD1422" w:rsidRPr="00161C60">
        <w:rPr>
          <w:rFonts w:ascii="Helvetica" w:hAnsi="Helvetica" w:cs="Helvetica"/>
        </w:rPr>
        <w:fldChar w:fldCharType="end"/>
      </w:r>
      <w:r w:rsidRPr="00161C60">
        <w:rPr>
          <w:rFonts w:ascii="Helvetica" w:hAnsi="Helvetica" w:cs="Helvetica"/>
        </w:rPr>
        <w:t xml:space="preserve"> </w:t>
      </w:r>
      <w:r w:rsidR="007A3246" w:rsidRPr="00161C60">
        <w:rPr>
          <w:rFonts w:ascii="Helvetica" w:hAnsi="Helvetica" w:cs="Helvetica"/>
        </w:rPr>
        <w:t xml:space="preserve">and </w:t>
      </w:r>
      <w:r w:rsidR="00FD1422" w:rsidRPr="00161C60">
        <w:rPr>
          <w:rFonts w:ascii="Helvetica" w:hAnsi="Helvetica" w:cs="Helvetica"/>
        </w:rPr>
        <w:t>in the broader population</w:t>
      </w:r>
      <w:r w:rsidR="007A3246" w:rsidRPr="00161C60">
        <w:rPr>
          <w:rFonts w:ascii="Helvetica" w:hAnsi="Helvetica" w:cs="Helvetica"/>
        </w:rPr>
        <w:t xml:space="preserve"> participants randomised to exercise interventions had 26% fewer injurious falls, and 16% fewer fractures, than those randomised to control groups</w:t>
      </w:r>
      <w:r w:rsidR="00FD1422" w:rsidRPr="00161C60">
        <w:rPr>
          <w:rFonts w:ascii="Helvetica" w:hAnsi="Helvetica" w:cs="Helvetica"/>
        </w:rPr>
        <w:t xml:space="preserve"> </w:t>
      </w:r>
      <w:r w:rsidR="00FD1422" w:rsidRPr="00161C60">
        <w:rPr>
          <w:rFonts w:ascii="Helvetica" w:hAnsi="Helvetica" w:cs="Helvetica"/>
        </w:rPr>
        <w:fldChar w:fldCharType="begin" w:fldLock="1"/>
      </w:r>
      <w:r w:rsidR="008A29C3">
        <w:rPr>
          <w:rFonts w:ascii="Helvetica" w:hAnsi="Helvetica" w:cs="Helvetica"/>
        </w:rPr>
        <w:instrText>ADDIN CSL_CITATION {"citationItems":[{"id":"ITEM-1","itemData":{"DOI":"10.1001/jamainternmed.2018.5406","ISSN":"21686106","PMID":"30592475","abstract":"Importance: Long-term exercise benefits on prevalent adverse events in older populations, such as falls, fractures, or hospitalizations, are not yet established or known. Objective: To systematically review and investigate the association of long-term exercise interventions (≥1 year) with the risk of falls, injurious falls, multiple falls, fractures, hospitalization, and mortality in older adults. Data Sources: PubMed, Cochrane Central Register of Controlled Trials, SportDiscus, PsychInfo, and Ageline were searched through March 2018. Study Selection: Exercise randomized clinical trials (RCTs) with intervention length of 1 year or longer, performed among participants 60 years or older. Data Extraction and Synthesis: Two raters independently screened articles, abstracted the data, and assessed the risk of bias. Data were combined with risk ratios (RRs) using DerSimonian and Laird's random-effects model (Mantel-Haenszel method). Main Outcomes and Measures: Six binary outcomes for the risk of falls, injurious falls, multiple falls (≥2 falls), fractures, hospitalization, and mortality. Results: Forty-six studies (22709 participants) were included in the review and 40 (21868 participants) in the meta-analyses (mean [SD] age, 73.1 [7.1] years; 15054 [66.3%] of participants were women). The most used exercise was a multicomponent training (eg, aerobic plus strength plus balance); mean frequency was 3 times per week, about 50 minutes per session, at a moderate intensity. Comparator groups were often active controls. Exercise significantly decreased the risk of falls (n = 20 RCTs; 4420 participants; RR, 0.88; 95% CI, 0.79-0.98) and injurious falls (9 RTCs; 4481 participants; RR, 0.74; 95% CI, 0.62-0.88), and tended to reduce the risk of fractures (19 RTCs; 8410 participants; RR, 0.84; 95% CI, 0.71-1.00; P =.05). Exercise did not significantly diminish the risk of multiple falls (13 RTCs; 3060 participants), hospitalization (12 RTCs; 5639 participants), and mortality (29 RTCs; 11441 participants). Sensitivity analyses provided similar findings, except the fixed-effect meta-analysis for the risk of fracture, which showed a significant effect favoring exercisers (RR, 0.84; 95% CI, 0.70-1.00; P =.047). Meta-regressions on mortality and falls suggest that 2 to 3 times per week would be the optimal exercise frequency. Conclusions and Relevance: Long-term exercise is associated with a reduction in falls, injurious falls, and probably fractures in older adults, includin…","author":[{"dropping-particle":"","family":"Souto Barreto","given":"Philipe","non-dropping-particle":"De","parse-names":false,"suffix":""},{"dropping-particle":"","family":"Rolland","given":"Yves","non-dropping-particle":"","parse-names":false,"suffix":""},{"dropping-particle":"","family":"Vellas","given":"Bruno","non-dropping-particle":"","parse-names":false,"suffix":""},{"dropping-particle":"","family":"Maltais","given":"Mathieu","non-dropping-particle":"","parse-names":false,"suffix":""}],"container-title":"JAMA Internal Medicine","id":"ITEM-1","issue":"3","issued":{"date-parts":[["2019"]]},"page":"394-405","title":"Association of Long-term Exercise Training with Risk of Falls, Fractures, Hospitalizations, and Mortality in Older Adults: A Systematic Review and Meta-analysis","type":"article-journal","volume":"179"},"uris":["http://www.mendeley.com/documents/?uuid=50cf8647-9378-4901-a7ea-6f4b4ec49d5f"]}],"mendeley":{"formattedCitation":"&lt;sup&gt;73&lt;/sup&gt;","plainTextFormattedCitation":"73","previouslyFormattedCitation":"&lt;sup&gt;73&lt;/sup&gt;"},"properties":{"noteIndex":0},"schema":"https://github.com/citation-style-language/schema/raw/master/csl-citation.json"}</w:instrText>
      </w:r>
      <w:r w:rsidR="00FD1422" w:rsidRPr="00161C60">
        <w:rPr>
          <w:rFonts w:ascii="Helvetica" w:hAnsi="Helvetica" w:cs="Helvetica"/>
        </w:rPr>
        <w:fldChar w:fldCharType="separate"/>
      </w:r>
      <w:r w:rsidR="001B5724" w:rsidRPr="001B5724">
        <w:rPr>
          <w:rFonts w:ascii="Helvetica" w:hAnsi="Helvetica" w:cs="Helvetica"/>
          <w:noProof/>
          <w:vertAlign w:val="superscript"/>
        </w:rPr>
        <w:t>73</w:t>
      </w:r>
      <w:r w:rsidR="00FD1422" w:rsidRPr="00161C60">
        <w:rPr>
          <w:rFonts w:ascii="Helvetica" w:hAnsi="Helvetica" w:cs="Helvetica"/>
        </w:rPr>
        <w:fldChar w:fldCharType="end"/>
      </w:r>
      <w:r w:rsidR="007A3246" w:rsidRPr="00161C60">
        <w:rPr>
          <w:rFonts w:ascii="Helvetica" w:hAnsi="Helvetica" w:cs="Helvetica"/>
        </w:rPr>
        <w:t xml:space="preserve">. </w:t>
      </w:r>
      <w:r w:rsidRPr="00161C60">
        <w:rPr>
          <w:rFonts w:ascii="Helvetica" w:hAnsi="Helvetica" w:cs="Helvetica"/>
        </w:rPr>
        <w:t xml:space="preserve">This highlights that although health practitioners and people with osteoporosis may be concerned about </w:t>
      </w:r>
      <w:r w:rsidR="00CE48C3" w:rsidRPr="00161C60">
        <w:rPr>
          <w:rFonts w:ascii="Helvetica" w:hAnsi="Helvetica" w:cs="Helvetica"/>
        </w:rPr>
        <w:t xml:space="preserve">vertebral fractures </w:t>
      </w:r>
      <w:r w:rsidRPr="00161C60">
        <w:rPr>
          <w:rFonts w:ascii="Helvetica" w:hAnsi="Helvetica" w:cs="Helvetica"/>
        </w:rPr>
        <w:t xml:space="preserve">sustained during exercise that can </w:t>
      </w:r>
      <w:r w:rsidR="007A3246" w:rsidRPr="00161C60">
        <w:rPr>
          <w:rFonts w:ascii="Helvetica" w:hAnsi="Helvetica" w:cs="Helvetica"/>
        </w:rPr>
        <w:t>directly</w:t>
      </w:r>
      <w:r w:rsidRPr="00161C60">
        <w:rPr>
          <w:rFonts w:ascii="Helvetica" w:hAnsi="Helvetica" w:cs="Helvetica"/>
        </w:rPr>
        <w:t xml:space="preserve"> be attributed to the exercise, it is important to balance this concern with the injuries prevented </w:t>
      </w:r>
      <w:r w:rsidR="00FD1422" w:rsidRPr="00161C60">
        <w:rPr>
          <w:rFonts w:ascii="Helvetica" w:hAnsi="Helvetica" w:cs="Helvetica"/>
        </w:rPr>
        <w:t>by</w:t>
      </w:r>
      <w:r w:rsidRPr="00161C60">
        <w:rPr>
          <w:rFonts w:ascii="Helvetica" w:hAnsi="Helvetica" w:cs="Helvetica"/>
        </w:rPr>
        <w:t xml:space="preserve"> exercise despite it being much harder to directly attribute an injury to not exercising.</w:t>
      </w:r>
    </w:p>
    <w:p w14:paraId="3D5BC1C0" w14:textId="77777777" w:rsidR="00D22947" w:rsidRPr="00161C60" w:rsidRDefault="00D22947" w:rsidP="00AD0C67">
      <w:pPr>
        <w:spacing w:before="120" w:after="0" w:line="240" w:lineRule="auto"/>
        <w:rPr>
          <w:rFonts w:ascii="Helvetica" w:hAnsi="Helvetica" w:cs="Helvetica"/>
          <w:b/>
          <w:bCs/>
        </w:rPr>
      </w:pPr>
      <w:r w:rsidRPr="00161C60">
        <w:rPr>
          <w:rFonts w:ascii="Helvetica" w:hAnsi="Helvetica" w:cs="Helvetica"/>
          <w:b/>
          <w:bCs/>
        </w:rPr>
        <w:t>Vertebral fracture prevention and management</w:t>
      </w:r>
    </w:p>
    <w:p w14:paraId="4A844B93" w14:textId="43235409" w:rsidR="00ED5FD2" w:rsidRPr="00161C60" w:rsidRDefault="00ED5FD2" w:rsidP="00AD0C67">
      <w:pPr>
        <w:spacing w:before="120" w:after="0" w:line="240" w:lineRule="auto"/>
        <w:rPr>
          <w:rFonts w:ascii="Helvetica" w:hAnsi="Helvetica" w:cs="Helvetica"/>
        </w:rPr>
      </w:pPr>
      <w:r w:rsidRPr="00161C60">
        <w:rPr>
          <w:rFonts w:ascii="Helvetica" w:hAnsi="Helvetica" w:cs="Helvetica"/>
        </w:rPr>
        <w:t>We follow previous guidance in recommending safe lifting strategies and in particular avoid</w:t>
      </w:r>
      <w:r w:rsidR="00CE48C3" w:rsidRPr="00161C60">
        <w:rPr>
          <w:rFonts w:ascii="Helvetica" w:hAnsi="Helvetica" w:cs="Helvetica"/>
        </w:rPr>
        <w:t>ing</w:t>
      </w:r>
      <w:r w:rsidRPr="00161C60">
        <w:rPr>
          <w:rFonts w:ascii="Helvetica" w:hAnsi="Helvetica" w:cs="Helvetica"/>
        </w:rPr>
        <w:t xml:space="preserve"> loaded flexion or end of range movements, both during everyday life and exercise such as Pilates or yoga. </w:t>
      </w:r>
      <w:r w:rsidR="009723B6" w:rsidRPr="00161C60">
        <w:rPr>
          <w:rFonts w:ascii="Helvetica" w:hAnsi="Helvetica" w:cs="Helvetica"/>
        </w:rPr>
        <w:t>We also recommend exercise to strengthen spine muscles, that may</w:t>
      </w:r>
      <w:r w:rsidR="00CE48C3" w:rsidRPr="00161C60">
        <w:rPr>
          <w:rFonts w:ascii="Helvetica" w:hAnsi="Helvetica" w:cs="Helvetica"/>
        </w:rPr>
        <w:t xml:space="preserve"> reduce pain and</w:t>
      </w:r>
      <w:r w:rsidR="009723B6" w:rsidRPr="00161C60">
        <w:rPr>
          <w:rFonts w:ascii="Helvetica" w:hAnsi="Helvetica" w:cs="Helvetica"/>
        </w:rPr>
        <w:t xml:space="preserve"> reduce kyphosis that may further reduce risks of falls and fractures.</w:t>
      </w:r>
    </w:p>
    <w:p w14:paraId="29CBEDEA" w14:textId="6888F002" w:rsidR="00401131" w:rsidRPr="00161C60" w:rsidRDefault="00FE5317" w:rsidP="00AD0C67">
      <w:pPr>
        <w:spacing w:before="120" w:after="0" w:line="240" w:lineRule="auto"/>
        <w:rPr>
          <w:rFonts w:ascii="Helvetica" w:hAnsi="Helvetica" w:cs="Helvetica"/>
        </w:rPr>
      </w:pPr>
      <w:r w:rsidRPr="00161C60">
        <w:rPr>
          <w:rFonts w:ascii="Helvetica" w:hAnsi="Helvetica" w:cs="Helvetica"/>
        </w:rPr>
        <w:t>Our recommendations for people with vertebral fracture are to undertake strength and balance training, although keep impact exercise to an intensity no more than brisk walking</w:t>
      </w:r>
      <w:r w:rsidR="00EA4657" w:rsidRPr="00161C60">
        <w:rPr>
          <w:rFonts w:ascii="Helvetica" w:hAnsi="Helvetica" w:cs="Helvetica"/>
        </w:rPr>
        <w:t xml:space="preserve"> unless under instruction</w:t>
      </w:r>
      <w:r w:rsidR="00721F7D" w:rsidRPr="00161C60">
        <w:rPr>
          <w:rFonts w:ascii="Helvetica" w:hAnsi="Helvetica" w:cs="Helvetica"/>
        </w:rPr>
        <w:t xml:space="preserve"> with personalised advice</w:t>
      </w:r>
      <w:r w:rsidRPr="00161C60">
        <w:rPr>
          <w:rFonts w:ascii="Helvetica" w:hAnsi="Helvetica" w:cs="Helvetica"/>
        </w:rPr>
        <w:t xml:space="preserve">. Exercises to strengthen the spine muscles should be conducted and symptoms may also benefit from pelvic floor exercise or hydrotherapy. Given the limited evidence these are consensus based. </w:t>
      </w:r>
      <w:r w:rsidR="000570C3" w:rsidRPr="00161C60">
        <w:rPr>
          <w:rFonts w:ascii="Helvetica" w:hAnsi="Helvetica" w:cs="Helvetica"/>
        </w:rPr>
        <w:t>An</w:t>
      </w:r>
      <w:r w:rsidR="003F5E12" w:rsidRPr="00161C60">
        <w:rPr>
          <w:rFonts w:ascii="Helvetica" w:hAnsi="Helvetica" w:cs="Helvetica"/>
        </w:rPr>
        <w:t xml:space="preserve"> updated Cochrane review on exercise after vertebral fracture</w:t>
      </w:r>
      <w:r w:rsidR="000570C3" w:rsidRPr="00161C60">
        <w:rPr>
          <w:rFonts w:ascii="Helvetica" w:hAnsi="Helvetica" w:cs="Helvetica"/>
        </w:rPr>
        <w:t xml:space="preserve"> found that evidence was still sparse and findings variable</w:t>
      </w:r>
      <w:r w:rsidR="004A6319" w:rsidRPr="00161C60">
        <w:rPr>
          <w:rFonts w:ascii="Helvetica" w:hAnsi="Helvetica" w:cs="Helvetica"/>
        </w:rPr>
        <w:t>; no further studies had reported on adverse events</w:t>
      </w:r>
      <w:r w:rsidR="000570C3" w:rsidRPr="00161C60">
        <w:rPr>
          <w:rFonts w:ascii="Helvetica" w:hAnsi="Helvetica" w:cs="Helvetica"/>
        </w:rPr>
        <w:t xml:space="preserve"> </w:t>
      </w:r>
      <w:r w:rsidR="000570C3" w:rsidRPr="00161C60">
        <w:rPr>
          <w:rFonts w:ascii="Helvetica" w:hAnsi="Helvetica" w:cs="Helvetica"/>
        </w:rPr>
        <w:fldChar w:fldCharType="begin" w:fldLock="1"/>
      </w:r>
      <w:r w:rsidR="008A29C3">
        <w:rPr>
          <w:rFonts w:ascii="Helvetica" w:hAnsi="Helvetica" w:cs="Helvetica"/>
        </w:rPr>
        <w:instrText>ADDIN CSL_CITATION {"citationItems":[{"id":"ITEM-1","itemData":{"DOI":"10.1002/14651858.CD008618.pub3","ISSN":"1469493X","PMID":"31273764","abstract":"Background Vertebral fractures are associated with increased morbidity (e.g. pain, reduced quality of life) and mortality. Therapeutic exercise is a non-pharmacological conservative treatment that is often recommended for patients with vertebral fractures to reduce pain and restore functional movement. This is an update of a Cochrane Review first published in 2013. Objectives To assess the effects (benefits and harms) of exercise intervention of four weeks or greater (alone or as part of a physical therapy intervention) versus non-exercise/non-active physical therapy intervention, no intervention or placebo among adults with a history of vertebral fractures on incident fragility fractures of the hip, vertebra or other sites. Our secondary objectives were to evaluate the effects of exercise on the following outcomes: falls, pain, physical performance, health-related quality of life (disease-specific and generic), and adverse events. Search methods We searched the following databases until November 2017: the Cochrane Library (Issue 11 of 12), MEDLINE (from 2005), Embase (from 1988), CINAHL (Cumulative Index to Nursing and Allied Health Literature, from 1982), AMED (from 1985), and PEDro (Physiotherapy Evidence Database, from 1929). Ongoing/recently completed trials were identified by searching the World Health Organization International Clinical Trials Registry Platform and ClinicalTrials.gov.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For this update, the search results were limited from 2011 onward. Selection criteria We included all randomized controlled trials and quasi-randomized trials comparing exercise or active physical therapy interventions with placebo/non-exercise/non-active physical therapy interventions or no intervention implemented in individuals with a history of vertebral fracture. Data collection and analysis Two review authors independently selected trials and extracted data using a pre-tested data extraction form. Disagreements were resolved by consensus, or third-party adjudication. We used Cochrane’s tool for assessing risk of bias to evaluate each study. Studies were grouped according to duration of follow-up (i.e. a) 4-12 weeks; b) 16-24 weeks; c) 52 weeks); a study could be…","author":[{"dropping-particle":"","family":"Gibbs","given":"Jenna C.","non-dropping-particle":"","parse-names":false,"suffix":""},{"dropping-particle":"","family":"Macintyre","given":"Norma J.","non-dropping-particle":"","parse-names":false,"suffix":""},{"dropping-particle":"","family":"Ponzano","given":"Matteo","non-dropping-particle":"","parse-names":false,"suffix":""},{"dropping-particle":"","family":"Templeton","given":"Jeffrey Alan","non-dropping-particle":"","parse-names":false,"suffix":""},{"dropping-particle":"","family":"Thabane","given":"Lehana","non-dropping-particle":"","parse-names":false,"suffix":""},{"dropping-particle":"","family":"Papaioannou","given":"Alexandra","non-dropping-particle":"","parse-names":false,"suffix":""},{"dropping-particle":"","family":"Giangregorio","given":"Lora M.","non-dropping-particle":"","parse-names":false,"suffix":""}],"container-title":"Cochrane Database of Systematic Reviews","id":"ITEM-1","issue":"7","issued":{"date-parts":[["2019"]]},"title":"Exercise for improving outcomes after osteoporotic vertebral fracture","type":"article-journal","volume":"2019"},"uris":["http://www.mendeley.com/documents/?uuid=754032dc-d608-4fe0-905e-558c2524df03"]}],"mendeley":{"formattedCitation":"&lt;sup&gt;46&lt;/sup&gt;","plainTextFormattedCitation":"46","previouslyFormattedCitation":"&lt;sup&gt;46&lt;/sup&gt;"},"properties":{"noteIndex":0},"schema":"https://github.com/citation-style-language/schema/raw/master/csl-citation.json"}</w:instrText>
      </w:r>
      <w:r w:rsidR="000570C3" w:rsidRPr="00161C60">
        <w:rPr>
          <w:rFonts w:ascii="Helvetica" w:hAnsi="Helvetica" w:cs="Helvetica"/>
        </w:rPr>
        <w:fldChar w:fldCharType="separate"/>
      </w:r>
      <w:r w:rsidR="001B5724" w:rsidRPr="001B5724">
        <w:rPr>
          <w:rFonts w:ascii="Helvetica" w:hAnsi="Helvetica" w:cs="Helvetica"/>
          <w:noProof/>
          <w:vertAlign w:val="superscript"/>
        </w:rPr>
        <w:t>46</w:t>
      </w:r>
      <w:r w:rsidR="000570C3" w:rsidRPr="00161C60">
        <w:rPr>
          <w:rFonts w:ascii="Helvetica" w:hAnsi="Helvetica" w:cs="Helvetica"/>
        </w:rPr>
        <w:fldChar w:fldCharType="end"/>
      </w:r>
      <w:r w:rsidR="003F5E12" w:rsidRPr="00161C60">
        <w:rPr>
          <w:rFonts w:ascii="Helvetica" w:hAnsi="Helvetica" w:cs="Helvetica"/>
        </w:rPr>
        <w:t>.</w:t>
      </w:r>
      <w:r w:rsidR="00B50D76" w:rsidRPr="00161C60">
        <w:rPr>
          <w:rFonts w:ascii="Helvetica" w:hAnsi="Helvetica" w:cs="Helvetica"/>
        </w:rPr>
        <w:t xml:space="preserve"> </w:t>
      </w:r>
      <w:r w:rsidR="00BE2945" w:rsidRPr="00161C60">
        <w:rPr>
          <w:rFonts w:ascii="Helvetica" w:hAnsi="Helvetica" w:cs="Helvetica"/>
        </w:rPr>
        <w:t>Recent findings continue to be mixed; a</w:t>
      </w:r>
      <w:r w:rsidR="004A6319" w:rsidRPr="00161C60">
        <w:rPr>
          <w:rFonts w:ascii="Helvetica" w:hAnsi="Helvetica" w:cs="Helvetica"/>
        </w:rPr>
        <w:t xml:space="preserve"> home based exercise intervention produced only</w:t>
      </w:r>
      <w:r w:rsidR="00B50D76" w:rsidRPr="00161C60">
        <w:rPr>
          <w:rFonts w:ascii="Helvetica" w:hAnsi="Helvetica" w:cs="Helvetica"/>
        </w:rPr>
        <w:t xml:space="preserve"> modest improvements in physical function and no change in quality of life, pain or kyphosis</w:t>
      </w:r>
      <w:r w:rsidR="004A6319" w:rsidRPr="00161C60">
        <w:rPr>
          <w:rFonts w:ascii="Helvetica" w:hAnsi="Helvetica" w:cs="Helvetica"/>
        </w:rPr>
        <w:t xml:space="preserve"> in women with vertebral fracture</w:t>
      </w:r>
      <w:r w:rsidR="00B50D76" w:rsidRPr="00161C60">
        <w:rPr>
          <w:rFonts w:ascii="Helvetica" w:hAnsi="Helvetica" w:cs="Helvetica"/>
        </w:rPr>
        <w:t xml:space="preserve">; </w:t>
      </w:r>
      <w:r w:rsidR="004A6319" w:rsidRPr="00161C60">
        <w:rPr>
          <w:rFonts w:ascii="Helvetica" w:hAnsi="Helvetica" w:cs="Helvetica"/>
        </w:rPr>
        <w:t>authors</w:t>
      </w:r>
      <w:r w:rsidR="00B50D76" w:rsidRPr="00161C60">
        <w:rPr>
          <w:rFonts w:ascii="Helvetica" w:hAnsi="Helvetica" w:cs="Helvetica"/>
        </w:rPr>
        <w:t xml:space="preserve"> ascribed this to poor adherence to home based exercise</w:t>
      </w:r>
      <w:r w:rsidR="000570C3" w:rsidRPr="00161C60">
        <w:rPr>
          <w:rFonts w:ascii="Helvetica" w:hAnsi="Helvetica" w:cs="Helvetica"/>
        </w:rPr>
        <w:t xml:space="preserve"> </w:t>
      </w:r>
      <w:r w:rsidR="000570C3" w:rsidRPr="00161C60">
        <w:rPr>
          <w:rFonts w:ascii="Helvetica" w:hAnsi="Helvetica" w:cs="Helvetica"/>
        </w:rPr>
        <w:fldChar w:fldCharType="begin" w:fldLock="1"/>
      </w:r>
      <w:r w:rsidR="008A29C3">
        <w:rPr>
          <w:rFonts w:ascii="Helvetica" w:hAnsi="Helvetica" w:cs="Helvetica"/>
        </w:rPr>
        <w:instrText>ADDIN CSL_CITATION {"citationItems":[{"id":"ITEM-1","itemData":{"DOI":"10.1093/ptj/pzz188","ISSN":"15386724","PMID":"31899499","abstract":"Regular exercise is advocated in osteoporosis guidelines to prevent fractures. Few studies have evaluated the effect of exercise on functional performance, posture, and other outcomes that are important to patients after vertebral fractures. Objective: This pilot study will explore the effect of home exercise versus control on functional performance, posture, and patient-reported outcome measures. Design: This study was a parallel 2-arm pilot feasibility trial with 1:1 randomization to exercise or attentional control groups. Setting: This study took place in 5 Canadian and 2 Australian academic or community hospitals/centers. Participants: This study included 141 women ≥65 years of age with radiographically confirmed vertebral fractures. Intervention: A physical therapist delivered exercise and behavioral counseling in 6 home visits over 8 months and monthly calls. Participants were to exercise ≥3 times weekly. Controls received equal attention. Measurements: Functional performance, posture, quality of life, pain, and behavior-change outcomes were assessed at baseline and after 6 (questionnaires only) and 12 months. Adherence to exercise was assessed by calendar diary. All t tests examined between-group mean differences (MD) in change from baseline in intention-to-treat and per-protocol analyses. Results: There was a small effect of exercise on 5 times sit-to-stand test versus control (MD = -1.58 [95% CI = -3.09 to -0.07], intention-to-treat; MD = -1.49 [95% CI = -3.12 to 0.16], per-protocol). There were no other major or statistically significant MDs for any other measured outcomes after follow-up. Adherence declined over time. Limitations: Treatment effects on variables may have been underestimated due to multiple comparisons and underpowered analyses. Conclusions: Our exploratory estimate of the effect of exercise on functional leg muscle strength was consistent in direction and magnitude with other trials in individuals with vertebral fractures. Declining adherence to home exercise suggests that strategies to enhance long-term adherence might be important in future confirmatory trials.","author":[{"dropping-particle":"","family":"Gibbs","given":"Jenna C.","non-dropping-particle":"","parse-names":false,"suffix":""},{"dropping-particle":"","family":"McArthur","given":"Caitlin","non-dropping-particle":"","parse-names":false,"suffix":""},{"dropping-particle":"","family":"Wark","given":"John D.","non-dropping-particle":"","parse-names":false,"suffix":""},{"dropping-particle":"","family":"Thabane","given":"Lehana","non-dropping-particle":"","parse-names":false,"suffix":""},{"dropping-particle":"","family":"Scherer","given":"Samuel C.","non-dropping-particle":"","parse-names":false,"suffix":""},{"dropping-particle":"","family":"Prasad","given":"Sadhana","non-dropping-particle":"","parse-names":false,"suffix":""},{"dropping-particle":"","family":"Papaioannou","given":"Alexandra","non-dropping-particle":"","parse-names":false,"suffix":""},{"dropping-particle":"","family":"Mittmann","given":"Nicole","non-dropping-particle":"","parse-names":false,"suffix":""},{"dropping-particle":"","family":"Laprade","given":"Judi","non-dropping-particle":"","parse-names":false,"suffix":""},{"dropping-particle":"","family":"Kim","given":"Sandra","non-dropping-particle":"","parse-names":false,"suffix":""},{"dropping-particle":"","family":"Khan","given":"Aliya","non-dropping-particle":"","parse-names":false,"suffix":""},{"dropping-particle":"","family":"Kendler","given":"David L.","non-dropping-particle":"","parse-names":false,"suffix":""},{"dropping-particle":"","family":"Hill","given":"Keith D.","non-dropping-particle":"","parse-names":false,"suffix":""},{"dropping-particle":"","family":"Cheung","given":"Angela M.","non-dropping-particle":"","parse-names":false,"suffix":""},{"dropping-particle":"","family":"Bleakney","given":"Robert","non-dropping-particle":"","parse-names":false,"suffix":""},{"dropping-particle":"","family":"Ashe","given":"Maureen C.","non-dropping-particle":"","parse-names":false,"suffix":""},{"dropping-particle":"","family":"Adachi","given":"Jonathan D.","non-dropping-particle":"","parse-names":false,"suffix":""},{"dropping-particle":"","family":"Giangregorio","given":"Lora M.","non-dropping-particle":"","parse-names":false,"suffix":""}],"container-title":"Physical Therapy","id":"ITEM-1","issue":"4","issued":{"date-parts":[["2020"]]},"page":"662-676","title":"The Effects of Home Exercise in Older Women with Vertebral Fractures: A Pilot Randomized Controlled Trial","type":"article-journal","volume":"100"},"uris":["http://www.mendeley.com/documents/?uuid=0d1b7b0b-59a4-4279-8898-0b5e29a7b3af"]}],"mendeley":{"formattedCitation":"&lt;sup&gt;74&lt;/sup&gt;","plainTextFormattedCitation":"74","previouslyFormattedCitation":"&lt;sup&gt;74&lt;/sup&gt;"},"properties":{"noteIndex":0},"schema":"https://github.com/citation-style-language/schema/raw/master/csl-citation.json"}</w:instrText>
      </w:r>
      <w:r w:rsidR="000570C3" w:rsidRPr="00161C60">
        <w:rPr>
          <w:rFonts w:ascii="Helvetica" w:hAnsi="Helvetica" w:cs="Helvetica"/>
        </w:rPr>
        <w:fldChar w:fldCharType="separate"/>
      </w:r>
      <w:r w:rsidR="001B5724" w:rsidRPr="001B5724">
        <w:rPr>
          <w:rFonts w:ascii="Helvetica" w:hAnsi="Helvetica" w:cs="Helvetica"/>
          <w:noProof/>
          <w:vertAlign w:val="superscript"/>
        </w:rPr>
        <w:t>74</w:t>
      </w:r>
      <w:r w:rsidR="000570C3" w:rsidRPr="00161C60">
        <w:rPr>
          <w:rFonts w:ascii="Helvetica" w:hAnsi="Helvetica" w:cs="Helvetica"/>
        </w:rPr>
        <w:fldChar w:fldCharType="end"/>
      </w:r>
      <w:r w:rsidR="007216A4" w:rsidRPr="00161C60">
        <w:rPr>
          <w:rFonts w:ascii="Helvetica" w:hAnsi="Helvetica" w:cs="Helvetica"/>
        </w:rPr>
        <w:t>. A</w:t>
      </w:r>
      <w:r w:rsidR="00BE2945" w:rsidRPr="00161C60">
        <w:rPr>
          <w:rFonts w:ascii="Helvetica" w:hAnsi="Helvetica" w:cs="Helvetica"/>
        </w:rPr>
        <w:t xml:space="preserve"> shorter resistance and balance training intervention improved strength, balance and fear of falling, which may reduce falls risk as well as increasing confidence to remain active </w:t>
      </w:r>
      <w:r w:rsidR="00474727" w:rsidRPr="00161C60">
        <w:rPr>
          <w:rFonts w:ascii="Helvetica" w:hAnsi="Helvetica" w:cs="Helvetica"/>
        </w:rPr>
        <w:fldChar w:fldCharType="begin" w:fldLock="1"/>
      </w:r>
      <w:r w:rsidR="008A29C3">
        <w:rPr>
          <w:rFonts w:ascii="Helvetica" w:hAnsi="Helvetica" w:cs="Helvetica"/>
        </w:rPr>
        <w:instrText>ADDIN CSL_CITATION {"citationItems":[{"id":"ITEM-1","itemData":{"DOI":"10.1007/s00198-020-05398-w","ISSN":"14332965","PMID":"32338312","abstract":"The original version of this article, published on 10 January 2020, contained a mistake. An author’s name was misspelled.","author":[{"dropping-particle":"","family":"Stanghelle","given":"B.","non-dropping-particle":"","parse-names":false,"suffix":""},{"dropping-particle":"","family":"Bentzen","given":"H.","non-dropping-particle":"","parse-names":false,"suffix":""},{"dropping-particle":"","family":"Giangregorio","given":"L.","non-dropping-particle":"","parse-names":false,"suffix":""},{"dropping-particle":"","family":"Pripp","given":"A. H.","non-dropping-particle":"","parse-names":false,"suffix":""},{"dropping-particle":"","family":"Skelton","given":"D. A.","non-dropping-particle":"","parse-names":false,"suffix":""},{"dropping-particle":"","family":"Bergland","given":"A.","non-dropping-particle":"","parse-names":false,"suffix":""}],"container-title":"Osteoporosis International","id":"ITEM-1","issue":"6","issued":{"date-parts":[["2020"]]},"page":"1069-1078","publisher":"Osteoporosis International","title":"Effects of a resistance and balance exercise programme on physical fitness, health-related quality of life and fear of falling in older women with osteoporosis and vertebral fracture: a randomized controlled trial (Osteoporosis International, (2020), 31, ","type":"article-journal","volume":"31"},"uris":["http://www.mendeley.com/documents/?uuid=13eb9441-264f-4c38-8036-750721b04cbb"]}],"mendeley":{"formattedCitation":"&lt;sup&gt;75&lt;/sup&gt;","plainTextFormattedCitation":"75","previouslyFormattedCitation":"&lt;sup&gt;75&lt;/sup&gt;"},"properties":{"noteIndex":0},"schema":"https://github.com/citation-style-language/schema/raw/master/csl-citation.json"}</w:instrText>
      </w:r>
      <w:r w:rsidR="00474727" w:rsidRPr="00161C60">
        <w:rPr>
          <w:rFonts w:ascii="Helvetica" w:hAnsi="Helvetica" w:cs="Helvetica"/>
        </w:rPr>
        <w:fldChar w:fldCharType="separate"/>
      </w:r>
      <w:r w:rsidR="001B5724" w:rsidRPr="001B5724">
        <w:rPr>
          <w:rFonts w:ascii="Helvetica" w:hAnsi="Helvetica" w:cs="Helvetica"/>
          <w:noProof/>
          <w:vertAlign w:val="superscript"/>
        </w:rPr>
        <w:t>75</w:t>
      </w:r>
      <w:r w:rsidR="00474727" w:rsidRPr="00161C60">
        <w:rPr>
          <w:rFonts w:ascii="Helvetica" w:hAnsi="Helvetica" w:cs="Helvetica"/>
        </w:rPr>
        <w:fldChar w:fldCharType="end"/>
      </w:r>
      <w:r w:rsidR="00BE2945" w:rsidRPr="00161C60">
        <w:rPr>
          <w:rFonts w:ascii="Helvetica" w:hAnsi="Helvetica" w:cs="Helvetica"/>
        </w:rPr>
        <w:t xml:space="preserve">. </w:t>
      </w:r>
      <w:r w:rsidR="000570C3" w:rsidRPr="00161C60">
        <w:rPr>
          <w:rFonts w:ascii="Helvetica" w:hAnsi="Helvetica" w:cs="Helvetica"/>
        </w:rPr>
        <w:t xml:space="preserve">There is thus no later evidence that would affect the recommendations </w:t>
      </w:r>
      <w:r w:rsidR="004A6319" w:rsidRPr="00161C60">
        <w:rPr>
          <w:rFonts w:ascii="Helvetica" w:hAnsi="Helvetica" w:cs="Helvetica"/>
        </w:rPr>
        <w:t>and the</w:t>
      </w:r>
      <w:r w:rsidR="000570C3" w:rsidRPr="00161C60">
        <w:rPr>
          <w:rFonts w:ascii="Helvetica" w:hAnsi="Helvetica" w:cs="Helvetica"/>
        </w:rPr>
        <w:t xml:space="preserve"> level o</w:t>
      </w:r>
      <w:r w:rsidR="004A6319" w:rsidRPr="00161C60">
        <w:rPr>
          <w:rFonts w:ascii="Helvetica" w:hAnsi="Helvetica" w:cs="Helvetica"/>
        </w:rPr>
        <w:t>f</w:t>
      </w:r>
      <w:r w:rsidR="000570C3" w:rsidRPr="00161C60">
        <w:rPr>
          <w:rFonts w:ascii="Helvetica" w:hAnsi="Helvetica" w:cs="Helvetica"/>
        </w:rPr>
        <w:t xml:space="preserve"> evidence</w:t>
      </w:r>
      <w:r w:rsidR="004A6319" w:rsidRPr="00161C60">
        <w:rPr>
          <w:rFonts w:ascii="Helvetica" w:hAnsi="Helvetica" w:cs="Helvetica"/>
        </w:rPr>
        <w:t xml:space="preserve"> about exercise in those with vertebral fracture is still low</w:t>
      </w:r>
      <w:r w:rsidR="000570C3" w:rsidRPr="00161C60">
        <w:rPr>
          <w:rFonts w:ascii="Helvetica" w:hAnsi="Helvetica" w:cs="Helvetica"/>
        </w:rPr>
        <w:t xml:space="preserve">. </w:t>
      </w:r>
    </w:p>
    <w:p w14:paraId="46F5B20E" w14:textId="77777777" w:rsidR="00544A23" w:rsidRPr="00161C60" w:rsidRDefault="00544A23" w:rsidP="00544A23">
      <w:pPr>
        <w:spacing w:before="120" w:after="0" w:line="240" w:lineRule="auto"/>
        <w:rPr>
          <w:rFonts w:ascii="Helvetica" w:hAnsi="Helvetica" w:cs="Helvetica"/>
          <w:b/>
          <w:bCs/>
        </w:rPr>
      </w:pPr>
      <w:r w:rsidRPr="00161C60">
        <w:rPr>
          <w:rFonts w:ascii="Helvetica" w:hAnsi="Helvetica" w:cs="Helvetica"/>
          <w:b/>
          <w:bCs/>
        </w:rPr>
        <w:t>Exercise and pharmaceutical treatment</w:t>
      </w:r>
    </w:p>
    <w:p w14:paraId="281038C2" w14:textId="2C0B5372" w:rsidR="00F725C5" w:rsidRPr="00161C60" w:rsidRDefault="00F725C5" w:rsidP="00F725C5">
      <w:pPr>
        <w:spacing w:before="120" w:after="0" w:line="240" w:lineRule="auto"/>
        <w:rPr>
          <w:rFonts w:ascii="Helvetica" w:hAnsi="Helvetica" w:cs="Helvetica"/>
        </w:rPr>
      </w:pPr>
      <w:r w:rsidRPr="00161C60">
        <w:rPr>
          <w:rFonts w:ascii="Helvetica" w:hAnsi="Helvetica" w:cs="Helvetica"/>
        </w:rPr>
        <w:t xml:space="preserve">The level of evidence and magnitude of benefit from exercise is substantially lower than that for osteoporosis medications </w:t>
      </w:r>
      <w:r w:rsidRPr="00161C60">
        <w:rPr>
          <w:rFonts w:ascii="Helvetica" w:hAnsi="Helvetica" w:cs="Helvetica"/>
        </w:rPr>
        <w:fldChar w:fldCharType="begin" w:fldLock="1"/>
      </w:r>
      <w:r w:rsidR="00DF44C9" w:rsidRPr="00161C60">
        <w:rPr>
          <w:rFonts w:ascii="Helvetica" w:hAnsi="Helvetica" w:cs="Helvetica"/>
        </w:rPr>
        <w:instrText>ADDIN CSL_CITATION {"citationItems":[{"id":"ITEM-1","itemData":{"DOI":"10.1007/s11657-017-0324-5","ISSN":"18623514","PMID":"28425085","abstract":"Introduction: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Osteoporosis","id":"ITEM-1","issue":"1","issued":{"date-parts":[["2017"]]},"publisher":"Archives of Osteoporosis","title":"UK clinical guideline for the prevention and treatment of osteoporosis","type":"article-journal","volume":"12"},"uris":["http://www.mendeley.com/documents/?uuid=3515a08f-a10e-4464-9100-438ce757ba9d"]}],"mendeley":{"formattedCitation":"&lt;sup&gt;8&lt;/sup&gt;","plainTextFormattedCitation":"8","previouslyFormattedCitation":"&lt;sup&gt;8&lt;/sup&gt;"},"properties":{"noteIndex":0},"schema":"https://github.com/citation-style-language/schema/raw/master/csl-citation.json"}</w:instrText>
      </w:r>
      <w:r w:rsidRPr="00161C60">
        <w:rPr>
          <w:rFonts w:ascii="Helvetica" w:hAnsi="Helvetica" w:cs="Helvetica"/>
        </w:rPr>
        <w:fldChar w:fldCharType="separate"/>
      </w:r>
      <w:r w:rsidR="008B6B17" w:rsidRPr="00161C60">
        <w:rPr>
          <w:rFonts w:ascii="Helvetica" w:hAnsi="Helvetica" w:cs="Helvetica"/>
          <w:noProof/>
          <w:vertAlign w:val="superscript"/>
        </w:rPr>
        <w:t>8</w:t>
      </w:r>
      <w:r w:rsidRPr="00161C60">
        <w:rPr>
          <w:rFonts w:ascii="Helvetica" w:hAnsi="Helvetica" w:cs="Helvetica"/>
        </w:rPr>
        <w:fldChar w:fldCharType="end"/>
      </w:r>
      <w:r w:rsidRPr="00161C60">
        <w:rPr>
          <w:rFonts w:ascii="Helvetica" w:hAnsi="Helvetica" w:cs="Helvetica"/>
        </w:rPr>
        <w:t xml:space="preserve"> </w:t>
      </w:r>
      <w:r w:rsidRPr="007E47AE">
        <w:rPr>
          <w:rFonts w:ascii="Helvetica" w:hAnsi="Helvetica" w:cs="Helvetica"/>
        </w:rPr>
        <w:t>with much less funding to exercise studies</w:t>
      </w:r>
      <w:r w:rsidRPr="00161C60">
        <w:rPr>
          <w:rFonts w:ascii="Helvetica" w:hAnsi="Helvetica" w:cs="Helvetica"/>
        </w:rPr>
        <w:t>. As such, exercise should be viewed as adjunct rather than alternative to pharmaceutical treatment where this is indicated. However, people with osteoporosis are keen to contribute to management of their osteoporosis with lifestyle approaches/exercise, and inactivity will increase risk of falls and many other health conditions, so it is important to consider exercise even when pharmaceutical treatment is used.</w:t>
      </w:r>
    </w:p>
    <w:p w14:paraId="7DC7ABEC" w14:textId="0C97D637" w:rsidR="00825A31" w:rsidRPr="00161C60" w:rsidRDefault="009030C4" w:rsidP="00AD0C67">
      <w:pPr>
        <w:spacing w:before="120" w:after="0" w:line="240" w:lineRule="auto"/>
        <w:rPr>
          <w:rFonts w:ascii="Helvetica" w:hAnsi="Helvetica" w:cs="Helvetica"/>
          <w:b/>
          <w:bCs/>
        </w:rPr>
      </w:pPr>
      <w:r w:rsidRPr="00161C60">
        <w:rPr>
          <w:rFonts w:ascii="Helvetica" w:hAnsi="Helvetica" w:cs="Helvetica"/>
          <w:b/>
          <w:bCs/>
        </w:rPr>
        <w:t>Strengths and Limitations</w:t>
      </w:r>
    </w:p>
    <w:p w14:paraId="075CB521" w14:textId="217AFAC1" w:rsidR="008F1897" w:rsidRPr="00161C60" w:rsidRDefault="008F1897" w:rsidP="00AD0C67">
      <w:pPr>
        <w:spacing w:before="120" w:after="0" w:line="240" w:lineRule="auto"/>
        <w:rPr>
          <w:rFonts w:ascii="Helvetica" w:hAnsi="Helvetica" w:cs="Helvetica"/>
        </w:rPr>
      </w:pPr>
      <w:r w:rsidRPr="00161C60">
        <w:rPr>
          <w:rFonts w:ascii="Helvetica" w:hAnsi="Helvetica" w:cs="Helvetica"/>
        </w:rPr>
        <w:t>The evidence reviewed was primarily composed of targeted exercise interventions, often conducted in a laboratory or clinic. Whilst such well controlled interventions are informative about the parameters of exercise that are effective, they may be less available to many people with osteoporosis (although a fall prevention exercise programme should be available to those at risk of falls). We took the pragmatic decision to recommend some types of exercise available in the community that seemed likely to provide the necessary training stimulus (Figure 1)- although the type and intensity of such exercise may be much more variable. Even if such exercise was less effective it may at least postpone inactivity related decline</w:t>
      </w:r>
      <w:r w:rsidR="009723B6" w:rsidRPr="00161C60">
        <w:rPr>
          <w:rFonts w:ascii="Helvetica" w:hAnsi="Helvetica" w:cs="Helvetica"/>
        </w:rPr>
        <w:t>.</w:t>
      </w:r>
    </w:p>
    <w:p w14:paraId="77454C81" w14:textId="06A51DCE" w:rsidR="00C335E7" w:rsidRPr="00161C60" w:rsidRDefault="008C5DFE" w:rsidP="00AD0C67">
      <w:pPr>
        <w:spacing w:before="120" w:after="0" w:line="240" w:lineRule="auto"/>
        <w:rPr>
          <w:rFonts w:ascii="Helvetica" w:hAnsi="Helvetica" w:cs="Helvetica"/>
        </w:rPr>
      </w:pPr>
      <w:r w:rsidRPr="00161C60">
        <w:rPr>
          <w:rFonts w:ascii="Helvetica" w:hAnsi="Helvetica" w:cs="Helvetica"/>
        </w:rPr>
        <w:t>T</w:t>
      </w:r>
      <w:r w:rsidR="00D44D70" w:rsidRPr="00161C60">
        <w:rPr>
          <w:rFonts w:ascii="Helvetica" w:hAnsi="Helvetica" w:cs="Helvetica"/>
        </w:rPr>
        <w:t xml:space="preserve">his statement </w:t>
      </w:r>
      <w:r w:rsidRPr="00161C60">
        <w:rPr>
          <w:rFonts w:ascii="Helvetica" w:hAnsi="Helvetica" w:cs="Helvetica"/>
        </w:rPr>
        <w:t>provides</w:t>
      </w:r>
      <w:r w:rsidR="00D44D70" w:rsidRPr="00161C60">
        <w:rPr>
          <w:rFonts w:ascii="Helvetica" w:hAnsi="Helvetica" w:cs="Helvetica"/>
        </w:rPr>
        <w:t xml:space="preserve"> update</w:t>
      </w:r>
      <w:r w:rsidR="00780A5A" w:rsidRPr="00161C60">
        <w:rPr>
          <w:rFonts w:ascii="Helvetica" w:hAnsi="Helvetica" w:cs="Helvetica"/>
        </w:rPr>
        <w:t>d</w:t>
      </w:r>
      <w:r w:rsidR="00D44D70" w:rsidRPr="00161C60">
        <w:rPr>
          <w:rFonts w:ascii="Helvetica" w:hAnsi="Helvetica" w:cs="Helvetica"/>
        </w:rPr>
        <w:t xml:space="preserve"> evidence consideration</w:t>
      </w:r>
      <w:r w:rsidR="00C15516" w:rsidRPr="00161C60">
        <w:rPr>
          <w:rFonts w:ascii="Helvetica" w:hAnsi="Helvetica" w:cs="Helvetica"/>
        </w:rPr>
        <w:t xml:space="preserve"> </w:t>
      </w:r>
      <w:r w:rsidR="00D44D70" w:rsidRPr="00161C60">
        <w:rPr>
          <w:rFonts w:ascii="Helvetica" w:hAnsi="Helvetica" w:cs="Helvetica"/>
        </w:rPr>
        <w:t xml:space="preserve">and application to the UK setting. Limitations </w:t>
      </w:r>
      <w:r w:rsidR="00007877" w:rsidRPr="00161C60">
        <w:rPr>
          <w:rFonts w:ascii="Helvetica" w:hAnsi="Helvetica" w:cs="Helvetica"/>
        </w:rPr>
        <w:t xml:space="preserve">to the </w:t>
      </w:r>
      <w:r w:rsidR="007258B8" w:rsidRPr="00161C60">
        <w:rPr>
          <w:rFonts w:ascii="Helvetica" w:hAnsi="Helvetica" w:cs="Helvetica"/>
        </w:rPr>
        <w:t xml:space="preserve">process include that the stakeholder </w:t>
      </w:r>
      <w:r w:rsidR="001664EB" w:rsidRPr="00161C60">
        <w:rPr>
          <w:rFonts w:ascii="Helvetica" w:hAnsi="Helvetica" w:cs="Helvetica"/>
        </w:rPr>
        <w:t>group</w:t>
      </w:r>
      <w:r w:rsidR="006377D0">
        <w:rPr>
          <w:rFonts w:ascii="Helvetica" w:hAnsi="Helvetica" w:cs="Helvetica"/>
        </w:rPr>
        <w:t>s</w:t>
      </w:r>
      <w:r w:rsidR="001664EB" w:rsidRPr="00161C60">
        <w:rPr>
          <w:rFonts w:ascii="Helvetica" w:hAnsi="Helvetica" w:cs="Helvetica"/>
        </w:rPr>
        <w:t xml:space="preserve"> </w:t>
      </w:r>
      <w:r w:rsidR="006377D0" w:rsidRPr="00161C60">
        <w:rPr>
          <w:rFonts w:ascii="Helvetica" w:hAnsi="Helvetica" w:cs="Helvetica"/>
        </w:rPr>
        <w:t>w</w:t>
      </w:r>
      <w:r w:rsidR="006377D0">
        <w:rPr>
          <w:rFonts w:ascii="Helvetica" w:hAnsi="Helvetica" w:cs="Helvetica"/>
        </w:rPr>
        <w:t>ere</w:t>
      </w:r>
      <w:r w:rsidR="006377D0" w:rsidRPr="00161C60">
        <w:rPr>
          <w:rFonts w:ascii="Helvetica" w:hAnsi="Helvetica" w:cs="Helvetica"/>
        </w:rPr>
        <w:t xml:space="preserve"> </w:t>
      </w:r>
      <w:r w:rsidR="00205762" w:rsidRPr="00161C60">
        <w:rPr>
          <w:rFonts w:ascii="Helvetica" w:hAnsi="Helvetica" w:cs="Helvetica"/>
        </w:rPr>
        <w:t>predominantly white and female</w:t>
      </w:r>
      <w:r w:rsidR="00052B30" w:rsidRPr="00161C60">
        <w:rPr>
          <w:rFonts w:ascii="Helvetica" w:hAnsi="Helvetica" w:cs="Helvetica"/>
        </w:rPr>
        <w:t>, although a</w:t>
      </w:r>
      <w:r w:rsidR="00E36185" w:rsidRPr="00161C60">
        <w:rPr>
          <w:rFonts w:ascii="Helvetica" w:hAnsi="Helvetica" w:cs="Helvetica"/>
        </w:rPr>
        <w:t>dvice and access to exercise is needed for</w:t>
      </w:r>
      <w:r w:rsidR="00310357" w:rsidRPr="00161C60">
        <w:rPr>
          <w:rFonts w:ascii="Helvetica" w:hAnsi="Helvetica" w:cs="Helvetica"/>
        </w:rPr>
        <w:t xml:space="preserve"> all populations. </w:t>
      </w:r>
      <w:r w:rsidR="00F04CA7" w:rsidRPr="00161C60">
        <w:rPr>
          <w:rFonts w:ascii="Helvetica" w:hAnsi="Helvetica" w:cs="Helvetica"/>
        </w:rPr>
        <w:t>Furthermore, we hav</w:t>
      </w:r>
      <w:r w:rsidR="00123291" w:rsidRPr="00161C60">
        <w:rPr>
          <w:rFonts w:ascii="Helvetica" w:hAnsi="Helvetica" w:cs="Helvetica"/>
        </w:rPr>
        <w:t>e</w:t>
      </w:r>
      <w:r w:rsidR="00F04CA7" w:rsidRPr="00161C60">
        <w:rPr>
          <w:rFonts w:ascii="Helvetica" w:hAnsi="Helvetica" w:cs="Helvetica"/>
        </w:rPr>
        <w:t xml:space="preserve"> no health economic eval</w:t>
      </w:r>
      <w:r w:rsidR="00123291" w:rsidRPr="00161C60">
        <w:rPr>
          <w:rFonts w:ascii="Helvetica" w:hAnsi="Helvetica" w:cs="Helvetica"/>
        </w:rPr>
        <w:t xml:space="preserve">uation. </w:t>
      </w:r>
      <w:r w:rsidR="00310357" w:rsidRPr="00161C60">
        <w:rPr>
          <w:rFonts w:ascii="Helvetica" w:hAnsi="Helvetica" w:cs="Helvetica"/>
        </w:rPr>
        <w:t>Li</w:t>
      </w:r>
      <w:r w:rsidR="00052B30" w:rsidRPr="00161C60">
        <w:rPr>
          <w:rFonts w:ascii="Helvetica" w:hAnsi="Helvetica" w:cs="Helvetica"/>
        </w:rPr>
        <w:t>m</w:t>
      </w:r>
      <w:r w:rsidR="00310357" w:rsidRPr="00161C60">
        <w:rPr>
          <w:rFonts w:ascii="Helvetica" w:hAnsi="Helvetica" w:cs="Helvetica"/>
        </w:rPr>
        <w:t>itation</w:t>
      </w:r>
      <w:r w:rsidR="00040E10">
        <w:rPr>
          <w:rFonts w:ascii="Helvetica" w:hAnsi="Helvetica" w:cs="Helvetica"/>
        </w:rPr>
        <w:t>s</w:t>
      </w:r>
      <w:r w:rsidR="00310357" w:rsidRPr="00161C60">
        <w:rPr>
          <w:rFonts w:ascii="Helvetica" w:hAnsi="Helvetica" w:cs="Helvetica"/>
        </w:rPr>
        <w:t xml:space="preserve"> to the strength of recommendations </w:t>
      </w:r>
      <w:r w:rsidR="00D44D70" w:rsidRPr="00161C60">
        <w:rPr>
          <w:rFonts w:ascii="Helvetica" w:hAnsi="Helvetica" w:cs="Helvetica"/>
        </w:rPr>
        <w:t xml:space="preserve">arise due to limited evidence available in some areas, including lack of studies with fracture as primary outcome, inconsistent reporting of adverse effects of exercise and limited number of interventions in </w:t>
      </w:r>
      <w:r w:rsidR="00956334" w:rsidRPr="00161C60">
        <w:rPr>
          <w:rFonts w:ascii="Helvetica" w:hAnsi="Helvetica" w:cs="Helvetica"/>
        </w:rPr>
        <w:t xml:space="preserve">men, ethnic minority groups and </w:t>
      </w:r>
      <w:r w:rsidR="00D44D70" w:rsidRPr="00161C60">
        <w:rPr>
          <w:rFonts w:ascii="Helvetica" w:hAnsi="Helvetica" w:cs="Helvetica"/>
        </w:rPr>
        <w:t xml:space="preserve">people with osteoporosis (although recent findings from LIFTMOR studies suggest that principles developed in theoretical studies and broader populations apply to those with osteoporosis). A further limitation is that many </w:t>
      </w:r>
      <w:r w:rsidR="00B02BAF">
        <w:rPr>
          <w:rFonts w:ascii="Helvetica" w:hAnsi="Helvetica" w:cs="Helvetica"/>
        </w:rPr>
        <w:t xml:space="preserve">individual </w:t>
      </w:r>
      <w:r w:rsidR="00EB1679">
        <w:rPr>
          <w:rFonts w:ascii="Helvetica" w:hAnsi="Helvetica" w:cs="Helvetica"/>
        </w:rPr>
        <w:t>trials</w:t>
      </w:r>
      <w:r w:rsidR="00D44D70" w:rsidRPr="00161C60">
        <w:rPr>
          <w:rFonts w:ascii="Helvetica" w:hAnsi="Helvetica" w:cs="Helvetica"/>
        </w:rPr>
        <w:t xml:space="preserve"> have small sample sizes and so we are reliant on meta-</w:t>
      </w:r>
      <w:r w:rsidR="00695C2A" w:rsidRPr="00161C60">
        <w:rPr>
          <w:rFonts w:ascii="Helvetica" w:hAnsi="Helvetica" w:cs="Helvetica"/>
        </w:rPr>
        <w:t>analys</w:t>
      </w:r>
      <w:r w:rsidR="00695C2A">
        <w:rPr>
          <w:rFonts w:ascii="Helvetica" w:hAnsi="Helvetica" w:cs="Helvetica"/>
        </w:rPr>
        <w:t>e</w:t>
      </w:r>
      <w:r w:rsidR="00695C2A" w:rsidRPr="00161C60">
        <w:rPr>
          <w:rFonts w:ascii="Helvetica" w:hAnsi="Helvetica" w:cs="Helvetica"/>
        </w:rPr>
        <w:t>s</w:t>
      </w:r>
      <w:r w:rsidR="00695C2A">
        <w:rPr>
          <w:rFonts w:ascii="Helvetica" w:hAnsi="Helvetica" w:cs="Helvetica"/>
        </w:rPr>
        <w:t xml:space="preserve"> of data pooled from multiple studies</w:t>
      </w:r>
      <w:r w:rsidR="00D44D70" w:rsidRPr="00161C60">
        <w:rPr>
          <w:rFonts w:ascii="Helvetica" w:hAnsi="Helvetica" w:cs="Helvetica"/>
        </w:rPr>
        <w:t>. This may cause problems with exercise interventions</w:t>
      </w:r>
      <w:r w:rsidR="004F68A1" w:rsidRPr="00161C60">
        <w:rPr>
          <w:rFonts w:ascii="Helvetica" w:hAnsi="Helvetica" w:cs="Helvetica"/>
        </w:rPr>
        <w:t xml:space="preserve">: </w:t>
      </w:r>
      <w:r w:rsidR="00D44D70" w:rsidRPr="00161C60">
        <w:rPr>
          <w:rFonts w:ascii="Helvetica" w:hAnsi="Helvetica" w:cs="Helvetica"/>
        </w:rPr>
        <w:t>heterogeneity may arise through different types of exercise interventions, intensity, frequency and volume of exercise or population characteristics such as age, health status and habitual activity. Even within one exercise mode such as resistance training, differences in exercise intensity, or velocity of contraction, could affect efficacy.</w:t>
      </w:r>
      <w:r w:rsidR="00956713" w:rsidRPr="00161C60">
        <w:rPr>
          <w:rFonts w:ascii="Helvetica" w:hAnsi="Helvetica" w:cs="Helvetica"/>
        </w:rPr>
        <w:t xml:space="preserve"> </w:t>
      </w:r>
      <w:r w:rsidR="00956713" w:rsidRPr="007E47AE">
        <w:rPr>
          <w:rFonts w:ascii="Helvetica" w:hAnsi="Helvetica" w:cs="Helvetica"/>
        </w:rPr>
        <w:t>Furthermore</w:t>
      </w:r>
      <w:r w:rsidR="005C43CC" w:rsidRPr="007E47AE">
        <w:rPr>
          <w:rFonts w:ascii="Helvetica" w:hAnsi="Helvetica" w:cs="Helvetica"/>
        </w:rPr>
        <w:t>,</w:t>
      </w:r>
      <w:r w:rsidR="00883C92">
        <w:rPr>
          <w:rFonts w:ascii="Helvetica" w:hAnsi="Helvetica" w:cs="Helvetica"/>
        </w:rPr>
        <w:t xml:space="preserve"> </w:t>
      </w:r>
      <w:r w:rsidR="00C23B15">
        <w:rPr>
          <w:rFonts w:ascii="Helvetica" w:hAnsi="Helvetica" w:cs="Helvetica"/>
        </w:rPr>
        <w:t>selection of studies for</w:t>
      </w:r>
      <w:r w:rsidR="000E168E">
        <w:rPr>
          <w:rFonts w:ascii="Helvetica" w:hAnsi="Helvetica" w:cs="Helvetica"/>
        </w:rPr>
        <w:t xml:space="preserve"> </w:t>
      </w:r>
      <w:r w:rsidR="00956713" w:rsidRPr="007E47AE">
        <w:rPr>
          <w:rFonts w:ascii="Helvetica" w:hAnsi="Helvetica" w:cs="Helvetica"/>
        </w:rPr>
        <w:t xml:space="preserve">meta-analyses </w:t>
      </w:r>
      <w:r w:rsidR="00C23B15">
        <w:rPr>
          <w:rFonts w:ascii="Helvetica" w:hAnsi="Helvetica" w:cs="Helvetica"/>
        </w:rPr>
        <w:t xml:space="preserve">has </w:t>
      </w:r>
      <w:r w:rsidR="00956713" w:rsidRPr="007E47AE">
        <w:rPr>
          <w:rFonts w:ascii="Helvetica" w:hAnsi="Helvetica" w:cs="Helvetica"/>
        </w:rPr>
        <w:t>differ</w:t>
      </w:r>
      <w:r w:rsidR="004C0B19">
        <w:rPr>
          <w:rFonts w:ascii="Helvetica" w:hAnsi="Helvetica" w:cs="Helvetica"/>
        </w:rPr>
        <w:t>ed</w:t>
      </w:r>
      <w:r w:rsidR="00956713" w:rsidRPr="007E47AE">
        <w:rPr>
          <w:rFonts w:ascii="Helvetica" w:hAnsi="Helvetica" w:cs="Helvetica"/>
        </w:rPr>
        <w:t xml:space="preserve"> in </w:t>
      </w:r>
      <w:r w:rsidR="001F4461" w:rsidRPr="007E47AE">
        <w:rPr>
          <w:rFonts w:ascii="Helvetica" w:hAnsi="Helvetica" w:cs="Helvetica"/>
        </w:rPr>
        <w:t xml:space="preserve">search strategies, </w:t>
      </w:r>
      <w:r w:rsidR="00956713" w:rsidRPr="007E47AE">
        <w:rPr>
          <w:rFonts w:ascii="Helvetica" w:hAnsi="Helvetica" w:cs="Helvetica"/>
        </w:rPr>
        <w:t xml:space="preserve">inclusion and exclusion criteria and </w:t>
      </w:r>
      <w:r w:rsidR="001F4461" w:rsidRPr="007E47AE">
        <w:rPr>
          <w:rFonts w:ascii="Helvetica" w:hAnsi="Helvetica" w:cs="Helvetica"/>
        </w:rPr>
        <w:t>classifications</w:t>
      </w:r>
      <w:r w:rsidR="00956713" w:rsidRPr="007E47AE">
        <w:rPr>
          <w:rFonts w:ascii="Helvetica" w:hAnsi="Helvetica" w:cs="Helvetica"/>
        </w:rPr>
        <w:t xml:space="preserve"> of exercise, sometimes producing conflicting findings. We have </w:t>
      </w:r>
      <w:r w:rsidR="001F4461" w:rsidRPr="007E47AE">
        <w:rPr>
          <w:rFonts w:ascii="Helvetica" w:hAnsi="Helvetica" w:cs="Helvetica"/>
        </w:rPr>
        <w:t>not formally rated the quality of the reviews in our analysis</w:t>
      </w:r>
      <w:r w:rsidR="001F4461" w:rsidRPr="00161C60">
        <w:rPr>
          <w:rFonts w:ascii="Helvetica" w:hAnsi="Helvetica" w:cs="Helvetica"/>
        </w:rPr>
        <w:t>.</w:t>
      </w:r>
      <w:r w:rsidR="00D44D70" w:rsidRPr="00161C60">
        <w:rPr>
          <w:rFonts w:ascii="Helvetica" w:hAnsi="Helvetica" w:cs="Helvetica"/>
        </w:rPr>
        <w:t xml:space="preserve"> Given the highly localised effects of exercise on bone the efficacy at specific skeletal sites may vary depending on the precise exercises used. </w:t>
      </w:r>
      <w:r w:rsidR="00B0739E" w:rsidRPr="007E47AE">
        <w:rPr>
          <w:rFonts w:ascii="Helvetica" w:hAnsi="Helvetica" w:cs="Helvetica"/>
        </w:rPr>
        <w:t>F</w:t>
      </w:r>
      <w:r w:rsidR="00AB17B1" w:rsidRPr="007E47AE">
        <w:rPr>
          <w:rFonts w:ascii="Helvetica" w:hAnsi="Helvetica" w:cs="Helvetica"/>
        </w:rPr>
        <w:t>inally</w:t>
      </w:r>
      <w:r w:rsidR="00B0739E" w:rsidRPr="007E47AE">
        <w:rPr>
          <w:rFonts w:ascii="Helvetica" w:hAnsi="Helvetica" w:cs="Helvetica"/>
        </w:rPr>
        <w:t xml:space="preserve">, most studies </w:t>
      </w:r>
      <w:r w:rsidR="002819FB" w:rsidRPr="007E47AE">
        <w:rPr>
          <w:rFonts w:ascii="Helvetica" w:hAnsi="Helvetica" w:cs="Helvetica"/>
        </w:rPr>
        <w:t xml:space="preserve">focussed on BMD, but localised </w:t>
      </w:r>
      <w:r w:rsidR="00EB6D19" w:rsidRPr="007E47AE">
        <w:rPr>
          <w:rFonts w:ascii="Helvetica" w:hAnsi="Helvetica" w:cs="Helvetica"/>
        </w:rPr>
        <w:t>adaptations in bone mean that such changes may not parallel changes in bone strength.</w:t>
      </w:r>
    </w:p>
    <w:p w14:paraId="5E27B40E" w14:textId="59B858CD" w:rsidR="003369C0" w:rsidRPr="00161C60" w:rsidRDefault="00912D9A" w:rsidP="00454520">
      <w:pPr>
        <w:keepNext/>
        <w:keepLines/>
        <w:spacing w:before="240" w:after="0"/>
        <w:outlineLvl w:val="2"/>
        <w:rPr>
          <w:rFonts w:ascii="Helvetica" w:hAnsi="Helvetica" w:cs="Helvetica"/>
          <w:b/>
          <w:bCs/>
        </w:rPr>
      </w:pPr>
      <w:r w:rsidRPr="00161C60">
        <w:rPr>
          <w:rFonts w:ascii="Helvetica" w:hAnsi="Helvetica" w:cs="Helvetica"/>
          <w:b/>
          <w:bCs/>
        </w:rPr>
        <w:t>Implementation</w:t>
      </w:r>
    </w:p>
    <w:p w14:paraId="5FB75390" w14:textId="6AF02A3C" w:rsidR="00002E84" w:rsidRPr="00161C60" w:rsidRDefault="00002E84" w:rsidP="00002E84">
      <w:pPr>
        <w:spacing w:before="120" w:after="0" w:line="240" w:lineRule="auto"/>
        <w:rPr>
          <w:rFonts w:ascii="Helvetica" w:hAnsi="Helvetica" w:cs="Helvetica"/>
        </w:rPr>
      </w:pPr>
      <w:r w:rsidRPr="00161C60">
        <w:rPr>
          <w:rFonts w:ascii="Helvetica" w:hAnsi="Helvetica" w:cs="Helvetica"/>
        </w:rPr>
        <w:t>This consensus statement provides clear consistent advice</w:t>
      </w:r>
      <w:r w:rsidR="002356EF">
        <w:rPr>
          <w:rFonts w:ascii="Helvetica" w:hAnsi="Helvetica" w:cs="Helvetica"/>
        </w:rPr>
        <w:t xml:space="preserve"> </w:t>
      </w:r>
      <w:r w:rsidRPr="00161C60">
        <w:rPr>
          <w:rFonts w:ascii="Helvetica" w:hAnsi="Helvetica" w:cs="Helvetica"/>
        </w:rPr>
        <w:t>for people living with osteoporosis and health</w:t>
      </w:r>
      <w:r w:rsidR="000A2CD7" w:rsidRPr="00161C60">
        <w:rPr>
          <w:rFonts w:ascii="Helvetica" w:hAnsi="Helvetica" w:cs="Helvetica"/>
        </w:rPr>
        <w:t xml:space="preserve"> prof</w:t>
      </w:r>
      <w:r w:rsidR="00ED1265" w:rsidRPr="00161C60">
        <w:rPr>
          <w:rFonts w:ascii="Helvetica" w:hAnsi="Helvetica" w:cs="Helvetica"/>
        </w:rPr>
        <w:t>e</w:t>
      </w:r>
      <w:r w:rsidR="000A2CD7" w:rsidRPr="00161C60">
        <w:rPr>
          <w:rFonts w:ascii="Helvetica" w:hAnsi="Helvetica" w:cs="Helvetica"/>
        </w:rPr>
        <w:t>ssionals</w:t>
      </w:r>
      <w:r w:rsidR="00706A50" w:rsidRPr="00161C60">
        <w:rPr>
          <w:rFonts w:ascii="Helvetica" w:hAnsi="Helvetica" w:cs="Helvetica"/>
        </w:rPr>
        <w:t xml:space="preserve"> </w:t>
      </w:r>
      <w:r w:rsidRPr="00161C60">
        <w:rPr>
          <w:rFonts w:ascii="Helvetica" w:hAnsi="Helvetica" w:cs="Helvetica"/>
        </w:rPr>
        <w:t>working with them about the evidence for, and safety of, exercise</w:t>
      </w:r>
      <w:r w:rsidR="00A408B9">
        <w:rPr>
          <w:rFonts w:ascii="Helvetica" w:hAnsi="Helvetica" w:cs="Helvetica"/>
        </w:rPr>
        <w:t xml:space="preserve"> (see Appendix VI for further UK specific guidance)</w:t>
      </w:r>
      <w:r w:rsidR="00516D4E">
        <w:rPr>
          <w:rFonts w:ascii="Helvetica" w:hAnsi="Helvetica" w:cs="Helvetica"/>
        </w:rPr>
        <w:t xml:space="preserve">, supported by resources </w:t>
      </w:r>
      <w:r w:rsidR="00516D4E">
        <w:rPr>
          <w:rFonts w:ascii="Helvetica" w:hAnsi="Helvetica" w:cs="Helvetica"/>
        </w:rPr>
        <w:fldChar w:fldCharType="begin" w:fldLock="1"/>
      </w:r>
      <w:r w:rsidR="00516D4E">
        <w:rPr>
          <w:rFonts w:ascii="Helvetica" w:hAnsi="Helvetica" w:cs="Helvetica"/>
        </w:rPr>
        <w:instrText>ADDIN CSL_CITATION {"citationItems":[{"id":"ITEM-1","itemData":{"URL":"https://strwebstgmedia.blob.core.windows.net/media/1hsfzfe3/consensus-statement-strong-steady-and-straight-web-march-2019.pdf","accessed":{"date-parts":[["2021","3","1"]]},"author":[{"dropping-particle":"","family":"Royal Osteoporosis Society","given":"","non-dropping-particle":"","parse-names":false,"suffix":""}],"id":"ITEM-1","issued":{"date-parts":[["2019"]]},"title":"Strong, Steady and Straight. An Expert Consensus Statement on Physical Activity and Exercise for Osteoporosis.","type":"webpage"},"uris":["http://www.mendeley.com/documents/?uuid=0ee0f110-5478-4e41-b9e4-b6f4cd3e9bda"]},{"id":"ITEM-2","itemData":{"author":[{"dropping-particle":"","family":"Royal Osteoporosis Society","given":"","non-dropping-particle":"","parse-names":false,"suffix":""}],"id":"ITEM-2","issued":{"date-parts":[["2019"]]},"title":"Strong, Steady and Straight: Physical Activity and Exercise for Osteoporosis. Quick guide: summary","type":"article-journal"},"uris":["http://www.mendeley.com/documents/?uuid=98421842-7d46-4862-a301-2e7aa7519a54"]},{"id":"ITEM-3","itemData":{"URL":"theros.org.uk/exercise","accessed":{"date-parts":[["2021","4","1"]]},"author":[{"dropping-particle":"","family":"Royal Osteoporosis Society","given":"","non-dropping-particle":"","parse-names":false,"suffix":""}],"id":"ITEM-3","issued":{"date-parts":[["2019"]]},"title":"Exercise and physical activity for osteoporosis and bone health","type":"webpage"},"uris":["http://www.mendeley.com/documents/?uuid=c1f53cc8-18d6-4360-8c49-a577a7161b87"]}],"mendeley":{"formattedCitation":"&lt;sup&gt;63–65&lt;/sup&gt;","plainTextFormattedCitation":"63–65"},"properties":{"noteIndex":0},"schema":"https://github.com/citation-style-language/schema/raw/master/csl-citation.json"}</w:instrText>
      </w:r>
      <w:r w:rsidR="00516D4E">
        <w:rPr>
          <w:rFonts w:ascii="Helvetica" w:hAnsi="Helvetica" w:cs="Helvetica"/>
        </w:rPr>
        <w:fldChar w:fldCharType="separate"/>
      </w:r>
      <w:r w:rsidR="00516D4E" w:rsidRPr="00516D4E">
        <w:rPr>
          <w:rFonts w:ascii="Helvetica" w:hAnsi="Helvetica" w:cs="Helvetica"/>
          <w:noProof/>
          <w:vertAlign w:val="superscript"/>
        </w:rPr>
        <w:t>63–65</w:t>
      </w:r>
      <w:r w:rsidR="00516D4E">
        <w:rPr>
          <w:rFonts w:ascii="Helvetica" w:hAnsi="Helvetica" w:cs="Helvetica"/>
        </w:rPr>
        <w:fldChar w:fldCharType="end"/>
      </w:r>
      <w:r w:rsidRPr="00161C60">
        <w:rPr>
          <w:rFonts w:ascii="Helvetica" w:hAnsi="Helvetica" w:cs="Helvetica"/>
        </w:rPr>
        <w:t xml:space="preserve">. To ensure effective implementation of the strong, steady, and straight exercise approaches, there are factors that act as both facilitators and barriers to implementation that need consideration. These include appropriate and timely identification and management of people living with osteoporosis by primary and secondary care providers; provision of exercise interventions that conform to evidence-based requirements and the complexity of providing multiple exercise programmes for different long-term conditions in the context of limited resources; and uptake and adherence to exercise interventions (short-term and long-term). </w:t>
      </w:r>
      <w:r w:rsidR="00BA2FAC" w:rsidRPr="00161C60">
        <w:rPr>
          <w:rFonts w:ascii="Helvetica" w:hAnsi="Helvetica" w:cs="Helvetica"/>
        </w:rPr>
        <w:t xml:space="preserve">Osteoporosis exercise programmes, like </w:t>
      </w:r>
      <w:r w:rsidR="00150BFA" w:rsidRPr="00161C60">
        <w:rPr>
          <w:rFonts w:ascii="Helvetica" w:hAnsi="Helvetica" w:cs="Helvetica"/>
        </w:rPr>
        <w:t xml:space="preserve">other </w:t>
      </w:r>
      <w:r w:rsidR="00BA2FAC" w:rsidRPr="00161C60">
        <w:rPr>
          <w:rFonts w:ascii="Helvetica" w:hAnsi="Helvetica" w:cs="Helvetica"/>
        </w:rPr>
        <w:t>exercise programmes for older people</w:t>
      </w:r>
      <w:r w:rsidR="00150BFA" w:rsidRPr="00161C60">
        <w:rPr>
          <w:rFonts w:ascii="Helvetica" w:hAnsi="Helvetica" w:cs="Helvetica"/>
        </w:rPr>
        <w:t xml:space="preserve"> and those with long term conditions, need to be more than a prescribed set of exercises. They need to consider education and physical literacy, support and goal setting, motivation strategies, behaviour change techniques and take into consideration needs and preferences</w:t>
      </w:r>
      <w:r w:rsidR="00DE3C6F" w:rsidRPr="00161C60">
        <w:rPr>
          <w:rFonts w:ascii="Helvetica" w:hAnsi="Helvetica" w:cs="Helvetica"/>
        </w:rPr>
        <w:t xml:space="preserve"> </w:t>
      </w:r>
      <w:r w:rsidR="00DE3C6F" w:rsidRPr="00161C60">
        <w:rPr>
          <w:rFonts w:ascii="Helvetica" w:hAnsi="Helvetica" w:cs="Helvetica"/>
        </w:rPr>
        <w:fldChar w:fldCharType="begin" w:fldLock="1"/>
      </w:r>
      <w:r w:rsidR="008A29C3">
        <w:rPr>
          <w:rFonts w:ascii="Helvetica" w:hAnsi="Helvetica" w:cs="Helvetica"/>
        </w:rPr>
        <w:instrText>ADDIN CSL_CITATION {"citationItems":[{"id":"ITEM-1","itemData":{"DOI":"10.22540/jfsf-03-105","ISSN":"2459-4148","abstract":"Objectives: This review sought to investigate the question: what are the key barriers to, and enablers for, older adults undertaking muscle strengthening and balance activities, and how can these be addressed by individuals and practitioners? Methods: A search of PubMed for review-level evidence on professional and personal barriers and motivators for strength and balance activities among older people. Results: The search and expert consultation found 46 studies; after screening, twelve papers were included. Many of the barriers and motivators to strength and balance activities are familiar ones that can also apply to physical activity more generally, such as not having the time. More specific barriers to strength and balance activities for older people were perceived risk of a heart attack, stroke, or death, and fear of looking too muscular; with motivators being improved ability to complete daily activities, preventing deterioration and disability, and decreasing the risk or fear of falling. Conclusions: This review of reviews has found a small but consistent body of literature describing the motivators and barriers to older adults taking part in strength and balance activities. This may be used as the basis for planning and delivering physical activity programmes for older adults.","author":[{"dropping-particle":"","family":"Cavill","given":"Nick A.","non-dropping-particle":"","parse-names":false,"suffix":""},{"dropping-particle":"","family":"Foster","given":"Charlie E.M.","non-dropping-particle":"","parse-names":false,"suffix":""}],"container-title":"Journal of Frailty, Sarcopenia and Falls","id":"ITEM-1","issue":"02","issued":{"date-parts":[["2018"]]},"page":"105-113","title":"Enablers and barriers to older people’s participation in strength and balance activities: A review of reviews","type":"article-journal","volume":"03"},"uris":["http://www.mendeley.com/documents/?uuid=d59e37ae-949b-4713-8222-93ff811aea9c"]},{"id":"ITEM-2","itemData":{"DOI":"10.1123/japa.2018-0343","ISSN":"1543267X","PMID":"31141447","abstract":"Identifying the difference in the barriers and motivators between middle-aged and older adults could contribute toward the development of age-specific health promotion interventions. The aim of this review was to synthesize the literature on the barriers and motivators for physical activity in middle-aged (50–64 years) and older (65–70 years) adults. This review examined qualitative and quantitative studies using the theoretical domain framework as the guiding theory. The search generated 9,400 results from seven databases, and 55 articles meeting the inclusion criteria were included. The results indicate that the barriers are comparable across the two age groups, with environmental factors and resources being the most commonly identified barriers. In older adults, social influences, reinforcement, and assistance in managing change were the most identified motivators. In middle-aged adults, goal-setting, the belief that an activity will be beneficial, and social influences were identified as the most important motivators. These findings can be used by professionals to encourage engagement with and adherence to physical activity.","author":[{"dropping-particle":"","family":"Spiteri","given":"Karl","non-dropping-particle":"","parse-names":false,"suffix":""},{"dropping-particle":"","family":"Broom","given":"David","non-dropping-particle":"","parse-names":false,"suffix":""},{"dropping-particle":"","family":"Bekhet","given":"Amira Hassan","non-dropping-particle":"","parse-names":false,"suffix":""},{"dropping-particle":"","family":"Caro","given":"John Xerri","non-dropping-particle":"De","parse-names":false,"suffix":""},{"dropping-particle":"","family":"Laventure","given":"Bob","non-dropping-particle":"","parse-names":false,"suffix":""},{"dropping-particle":"","family":"Grafton","given":"Kate","non-dropping-particle":"","parse-names":false,"suffix":""}],"container-title":"Journal of Aging and Physical Activity","id":"ITEM-2","issue":"6","issued":{"date-parts":[["2019"]]},"page":"929-944","title":"Barriers and motivators of physical activity participation in middle-aged and older adults—a systematic review","type":"article-journal","volume":"27"},"uris":["http://www.mendeley.com/documents/?uuid=64f9181c-d317-4e41-a485-242c363d9b9b"]}],"mendeley":{"formattedCitation":"&lt;sup&gt;76,77&lt;/sup&gt;","plainTextFormattedCitation":"76,77","previouslyFormattedCitation":"&lt;sup&gt;76,77&lt;/sup&gt;"},"properties":{"noteIndex":0},"schema":"https://github.com/citation-style-language/schema/raw/master/csl-citation.json"}</w:instrText>
      </w:r>
      <w:r w:rsidR="00DE3C6F" w:rsidRPr="00161C60">
        <w:rPr>
          <w:rFonts w:ascii="Helvetica" w:hAnsi="Helvetica" w:cs="Helvetica"/>
        </w:rPr>
        <w:fldChar w:fldCharType="separate"/>
      </w:r>
      <w:r w:rsidR="001B5724" w:rsidRPr="001B5724">
        <w:rPr>
          <w:rFonts w:ascii="Helvetica" w:hAnsi="Helvetica" w:cs="Helvetica"/>
          <w:noProof/>
          <w:vertAlign w:val="superscript"/>
        </w:rPr>
        <w:t>76,77</w:t>
      </w:r>
      <w:r w:rsidR="00DE3C6F" w:rsidRPr="00161C60">
        <w:rPr>
          <w:rFonts w:ascii="Helvetica" w:hAnsi="Helvetica" w:cs="Helvetica"/>
        </w:rPr>
        <w:fldChar w:fldCharType="end"/>
      </w:r>
      <w:r w:rsidR="00150BFA" w:rsidRPr="00161C60">
        <w:rPr>
          <w:rFonts w:ascii="Helvetica" w:hAnsi="Helvetica" w:cs="Helvetica"/>
        </w:rPr>
        <w:t xml:space="preserve">. </w:t>
      </w:r>
      <w:r w:rsidR="003853E4" w:rsidRPr="00161C60">
        <w:rPr>
          <w:rFonts w:ascii="Helvetica" w:hAnsi="Helvetica" w:cs="Helvetica"/>
        </w:rPr>
        <w:t xml:space="preserve">For effective implementation of the strong, steady, and straight exercise approaches </w:t>
      </w:r>
      <w:r w:rsidR="00411B8D">
        <w:rPr>
          <w:rFonts w:ascii="Helvetica" w:hAnsi="Helvetica" w:cs="Helvetica"/>
        </w:rPr>
        <w:t>an</w:t>
      </w:r>
      <w:r w:rsidR="00421A32">
        <w:rPr>
          <w:rFonts w:ascii="Helvetica" w:hAnsi="Helvetica" w:cs="Helvetica"/>
        </w:rPr>
        <w:t xml:space="preserve"> </w:t>
      </w:r>
      <w:r w:rsidR="003853E4" w:rsidRPr="00161C60">
        <w:rPr>
          <w:rFonts w:ascii="Helvetica" w:hAnsi="Helvetica" w:cs="Helvetica"/>
        </w:rPr>
        <w:t xml:space="preserve">infrastructure for measuring and monitoring for quality assurance and improvement </w:t>
      </w:r>
      <w:r w:rsidR="00421A32">
        <w:rPr>
          <w:rFonts w:ascii="Helvetica" w:hAnsi="Helvetica" w:cs="Helvetica"/>
        </w:rPr>
        <w:t>is needed</w:t>
      </w:r>
      <w:r w:rsidR="003853E4" w:rsidRPr="00161C60">
        <w:rPr>
          <w:rFonts w:ascii="Helvetica" w:hAnsi="Helvetica" w:cs="Helvetica"/>
        </w:rPr>
        <w:t>- to ensure ongoing fidelity (right populations targeted by right professionals, dose, frequency, intensity, challenge, resistance etc</w:t>
      </w:r>
      <w:r w:rsidR="004B4C89" w:rsidRPr="00161C60">
        <w:rPr>
          <w:rFonts w:ascii="Helvetica" w:hAnsi="Helvetica" w:cs="Helvetica"/>
        </w:rPr>
        <w:t>.)</w:t>
      </w:r>
      <w:r w:rsidR="004B4C89">
        <w:rPr>
          <w:rFonts w:ascii="Helvetica" w:hAnsi="Helvetica" w:cs="Helvetica"/>
        </w:rPr>
        <w:t>. We need</w:t>
      </w:r>
      <w:r w:rsidR="004B4C89" w:rsidRPr="00161C60">
        <w:rPr>
          <w:rFonts w:ascii="Helvetica" w:hAnsi="Helvetica" w:cs="Helvetica"/>
        </w:rPr>
        <w:t xml:space="preserve"> </w:t>
      </w:r>
      <w:r w:rsidR="003853E4" w:rsidRPr="00161C60">
        <w:rPr>
          <w:rFonts w:ascii="Helvetica" w:hAnsi="Helvetica" w:cs="Helvetica"/>
        </w:rPr>
        <w:t>to demonstrate impact to justify investment in osteoporosis programmes.</w:t>
      </w:r>
      <w:r w:rsidR="00421A32">
        <w:rPr>
          <w:rFonts w:ascii="Helvetica" w:hAnsi="Helvetica" w:cs="Helvetica"/>
        </w:rPr>
        <w:t xml:space="preserve"> This is increasingly important a</w:t>
      </w:r>
      <w:r w:rsidR="004B4C89">
        <w:rPr>
          <w:rFonts w:ascii="Helvetica" w:hAnsi="Helvetica" w:cs="Helvetica"/>
        </w:rPr>
        <w:t>s</w:t>
      </w:r>
      <w:r w:rsidR="00421A32">
        <w:rPr>
          <w:rFonts w:ascii="Helvetica" w:hAnsi="Helvetica" w:cs="Helvetica"/>
        </w:rPr>
        <w:t xml:space="preserve"> </w:t>
      </w:r>
      <w:r w:rsidR="006B75AC">
        <w:rPr>
          <w:rFonts w:ascii="Helvetica" w:hAnsi="Helvetica" w:cs="Helvetica"/>
        </w:rPr>
        <w:t xml:space="preserve">the impact of COVID and increased prevention and </w:t>
      </w:r>
      <w:r w:rsidR="00A326F8">
        <w:rPr>
          <w:rFonts w:ascii="Helvetica" w:hAnsi="Helvetica" w:cs="Helvetica"/>
        </w:rPr>
        <w:t>rehabilitation</w:t>
      </w:r>
      <w:r w:rsidR="006B75AC">
        <w:rPr>
          <w:rFonts w:ascii="Helvetica" w:hAnsi="Helvetica" w:cs="Helvetica"/>
        </w:rPr>
        <w:t xml:space="preserve"> needs ha</w:t>
      </w:r>
      <w:r w:rsidR="00EB578F">
        <w:rPr>
          <w:rFonts w:ascii="Helvetica" w:hAnsi="Helvetica" w:cs="Helvetica"/>
        </w:rPr>
        <w:t>ve</w:t>
      </w:r>
      <w:r w:rsidR="006B75AC">
        <w:rPr>
          <w:rFonts w:ascii="Helvetica" w:hAnsi="Helvetica" w:cs="Helvetica"/>
        </w:rPr>
        <w:t xml:space="preserve"> the potential to </w:t>
      </w:r>
      <w:r w:rsidR="00E81099">
        <w:rPr>
          <w:rFonts w:ascii="Helvetica" w:hAnsi="Helvetica" w:cs="Helvetica"/>
        </w:rPr>
        <w:t xml:space="preserve">jeopardise the offer of exercise for osteoporosis. </w:t>
      </w:r>
      <w:r w:rsidR="00D922D1" w:rsidRPr="00161C60">
        <w:rPr>
          <w:rFonts w:ascii="Helvetica" w:hAnsi="Helvetica" w:cs="Helvetica"/>
        </w:rPr>
        <w:t xml:space="preserve"> </w:t>
      </w:r>
    </w:p>
    <w:p w14:paraId="41FCC815" w14:textId="0DDE2378" w:rsidR="00373AB3" w:rsidRPr="00161C60" w:rsidRDefault="002541AE" w:rsidP="00002E84">
      <w:pPr>
        <w:spacing w:before="120" w:after="0" w:line="240" w:lineRule="auto"/>
        <w:rPr>
          <w:rFonts w:ascii="Helvetica" w:hAnsi="Helvetica" w:cs="Helvetica"/>
          <w:b/>
          <w:bCs/>
        </w:rPr>
      </w:pPr>
      <w:r w:rsidRPr="00161C60">
        <w:rPr>
          <w:rFonts w:ascii="Helvetica" w:hAnsi="Helvetica" w:cs="Helvetica"/>
          <w:b/>
          <w:bCs/>
        </w:rPr>
        <w:t>Conclusions</w:t>
      </w:r>
    </w:p>
    <w:p w14:paraId="6E8F6E95" w14:textId="2570E2A5" w:rsidR="00C20339" w:rsidRPr="00161C60" w:rsidRDefault="00C20339" w:rsidP="00AD0C67">
      <w:pPr>
        <w:spacing w:before="120" w:after="0" w:line="240" w:lineRule="auto"/>
        <w:rPr>
          <w:rFonts w:ascii="Helvetica" w:hAnsi="Helvetica" w:cs="Helvetica"/>
        </w:rPr>
      </w:pPr>
      <w:r w:rsidRPr="00161C60">
        <w:rPr>
          <w:rFonts w:ascii="Helvetica" w:hAnsi="Helvetica" w:cs="Helvetica"/>
        </w:rPr>
        <w:t>Key recommendations are that people with osteoporosis should undertake resistance and impact exercise to maximise bone strength; should take part in activities to improve strength and balance to reduce falls and undertake spinal extension exercise to improve posture</w:t>
      </w:r>
      <w:r w:rsidR="39DA892C" w:rsidRPr="00161C60">
        <w:rPr>
          <w:rFonts w:ascii="Helvetica" w:hAnsi="Helvetica" w:cs="Helvetica"/>
        </w:rPr>
        <w:t>,</w:t>
      </w:r>
      <w:r w:rsidRPr="00161C60">
        <w:rPr>
          <w:rFonts w:ascii="Helvetica" w:hAnsi="Helvetica" w:cs="Helvetica"/>
        </w:rPr>
        <w:t xml:space="preserve"> and potentially reduce</w:t>
      </w:r>
      <w:r w:rsidR="6DA67047" w:rsidRPr="00161C60">
        <w:rPr>
          <w:rFonts w:ascii="Helvetica" w:hAnsi="Helvetica" w:cs="Helvetica"/>
        </w:rPr>
        <w:t xml:space="preserve"> pain levels caused by vertebral fractures,</w:t>
      </w:r>
      <w:r w:rsidRPr="00161C60">
        <w:rPr>
          <w:rFonts w:ascii="Helvetica" w:hAnsi="Helvetica" w:cs="Helvetica"/>
        </w:rPr>
        <w:t xml:space="preserve"> risk of falls and vertebral fracture. </w:t>
      </w:r>
      <w:r w:rsidR="00CC3B25" w:rsidRPr="00161C60">
        <w:rPr>
          <w:rFonts w:ascii="Helvetica" w:hAnsi="Helvetica" w:cs="Helvetica"/>
        </w:rPr>
        <w:t xml:space="preserve">Although we </w:t>
      </w:r>
      <w:r w:rsidRPr="00161C60">
        <w:rPr>
          <w:rFonts w:ascii="Helvetica" w:hAnsi="Helvetica" w:cs="Helvetica"/>
        </w:rPr>
        <w:t xml:space="preserve">recommend avoiding postures involving a high degree of spinal flexion </w:t>
      </w:r>
      <w:r w:rsidR="00223C9C" w:rsidRPr="00161C60">
        <w:rPr>
          <w:rFonts w:ascii="Helvetica" w:hAnsi="Helvetica" w:cs="Helvetica"/>
        </w:rPr>
        <w:t xml:space="preserve">(especially weighted) </w:t>
      </w:r>
      <w:r w:rsidRPr="00161C60">
        <w:rPr>
          <w:rFonts w:ascii="Helvetica" w:hAnsi="Helvetica" w:cs="Helvetica"/>
        </w:rPr>
        <w:t>during exercise or daily life, and that people with vertebral fracture or multiple low trauma fractures should only exercise up to an impact equivalent to brisk walking</w:t>
      </w:r>
      <w:r w:rsidR="00CC3B25" w:rsidRPr="00161C60">
        <w:rPr>
          <w:rFonts w:ascii="Helvetica" w:hAnsi="Helvetica" w:cs="Helvetica"/>
        </w:rPr>
        <w:t>, there is limited evidence of harms from exercise</w:t>
      </w:r>
      <w:r w:rsidRPr="00161C60">
        <w:rPr>
          <w:rFonts w:ascii="Helvetica" w:hAnsi="Helvetica" w:cs="Helvetica"/>
        </w:rPr>
        <w:t>. People with vertebral fractures may benefit from exercise to reduce pain, improve mobility and quality of life, ideally with advice from a physiotherapist. Most importantly, inactivity should be avoided</w:t>
      </w:r>
      <w:r w:rsidR="006A0649">
        <w:rPr>
          <w:rFonts w:ascii="Helvetica" w:hAnsi="Helvetica" w:cs="Helvetica"/>
        </w:rPr>
        <w:t xml:space="preserve">, </w:t>
      </w:r>
      <w:r w:rsidRPr="00161C60">
        <w:rPr>
          <w:rFonts w:ascii="Helvetica" w:hAnsi="Helvetica" w:cs="Helvetica"/>
        </w:rPr>
        <w:t xml:space="preserve"> physical activity encouraged</w:t>
      </w:r>
      <w:r w:rsidR="005E7FDC" w:rsidRPr="00161C60">
        <w:rPr>
          <w:rFonts w:ascii="Helvetica" w:hAnsi="Helvetica" w:cs="Helvetica"/>
        </w:rPr>
        <w:t xml:space="preserve"> and reassurance provided to counter the fear of moving that could detrimentally affect bone strength and health/quality of life more broadly</w:t>
      </w:r>
      <w:r w:rsidRPr="00161C60">
        <w:rPr>
          <w:rFonts w:ascii="Helvetica" w:hAnsi="Helvetica" w:cs="Helvetica"/>
        </w:rPr>
        <w:t xml:space="preserve">. </w:t>
      </w:r>
    </w:p>
    <w:p w14:paraId="61C344B5" w14:textId="77777777" w:rsidR="005B3553" w:rsidRPr="00161C60" w:rsidRDefault="005B3553" w:rsidP="00256819">
      <w:pPr>
        <w:spacing w:before="240" w:after="0" w:line="240" w:lineRule="auto"/>
        <w:rPr>
          <w:b/>
          <w:bCs/>
          <w:sz w:val="28"/>
          <w:szCs w:val="28"/>
        </w:rPr>
      </w:pPr>
      <w:r w:rsidRPr="00161C60">
        <w:rPr>
          <w:b/>
          <w:bCs/>
          <w:sz w:val="28"/>
          <w:szCs w:val="28"/>
        </w:rPr>
        <w:t xml:space="preserve">Contributors </w:t>
      </w:r>
    </w:p>
    <w:p w14:paraId="133B2F0B" w14:textId="30548206" w:rsidR="005B3553" w:rsidRPr="00161C60" w:rsidRDefault="005B3553" w:rsidP="00AD0C67">
      <w:pPr>
        <w:spacing w:before="120" w:after="0" w:line="240" w:lineRule="auto"/>
        <w:rPr>
          <w:rFonts w:ascii="Helvetica" w:hAnsi="Helvetica" w:cs="Helvetica"/>
        </w:rPr>
      </w:pPr>
      <w:r w:rsidRPr="00161C60">
        <w:t xml:space="preserve">All authors were involved in conceptualising the paper, drafting, revisions and editing and final review. DAS and SL led </w:t>
      </w:r>
      <w:r w:rsidR="00AA2B46" w:rsidRPr="00161C60">
        <w:t xml:space="preserve">consensus process. KBW, DAS and SL </w:t>
      </w:r>
      <w:r w:rsidR="00B82A37" w:rsidRPr="00161C60">
        <w:t>led the drafting of the manuscript w</w:t>
      </w:r>
      <w:r w:rsidR="00383B17" w:rsidRPr="00161C60">
        <w:t>it</w:t>
      </w:r>
      <w:r w:rsidR="00B82A37" w:rsidRPr="00161C60">
        <w:t xml:space="preserve">h contributions from KLB, EC, </w:t>
      </w:r>
      <w:r w:rsidR="00D42F39" w:rsidRPr="00161C60">
        <w:t>S</w:t>
      </w:r>
      <w:r w:rsidR="00383B17" w:rsidRPr="00161C60">
        <w:t>dB, S</w:t>
      </w:r>
      <w:r w:rsidR="00987EB5" w:rsidRPr="00161C60">
        <w:t>A</w:t>
      </w:r>
      <w:r w:rsidR="00383B17" w:rsidRPr="00161C60">
        <w:t xml:space="preserve"> and ZP</w:t>
      </w:r>
      <w:r w:rsidRPr="00161C60">
        <w:t>. All authors reviewed</w:t>
      </w:r>
      <w:r w:rsidR="00F2464C" w:rsidRPr="00161C60">
        <w:t>, edited</w:t>
      </w:r>
      <w:r w:rsidRPr="00161C60">
        <w:t xml:space="preserve"> and approved the final paper.</w:t>
      </w:r>
    </w:p>
    <w:p w14:paraId="0DF4E042" w14:textId="6741B01E" w:rsidR="000A7D57" w:rsidRPr="00161C60" w:rsidRDefault="000A7D57" w:rsidP="00256819">
      <w:pPr>
        <w:pStyle w:val="Heading1"/>
        <w:rPr>
          <w:rFonts w:ascii="Helvetica" w:hAnsi="Helvetica" w:cs="Helvetica"/>
          <w:b/>
          <w:bCs/>
          <w:color w:val="auto"/>
          <w:sz w:val="28"/>
          <w:szCs w:val="28"/>
        </w:rPr>
      </w:pPr>
      <w:r w:rsidRPr="00161C60">
        <w:rPr>
          <w:rFonts w:ascii="Helvetica" w:hAnsi="Helvetica" w:cs="Helvetica"/>
          <w:b/>
          <w:bCs/>
          <w:color w:val="auto"/>
          <w:sz w:val="28"/>
          <w:szCs w:val="28"/>
        </w:rPr>
        <w:t xml:space="preserve">Acknowledgements </w:t>
      </w:r>
    </w:p>
    <w:p w14:paraId="6B991013" w14:textId="26DDD9DC" w:rsidR="000A7D57" w:rsidRPr="00161C60" w:rsidRDefault="000A7D57" w:rsidP="000A7D57">
      <w:pPr>
        <w:rPr>
          <w:rFonts w:ascii="Helvetica" w:hAnsi="Helvetica" w:cs="Helvetica"/>
        </w:rPr>
      </w:pPr>
      <w:r w:rsidRPr="00161C60">
        <w:rPr>
          <w:rFonts w:ascii="Helvetica" w:hAnsi="Helvetica" w:cs="Helvetica"/>
        </w:rPr>
        <w:t>Development of this statement was facilitated by funding by the Royal Osteoporosis Society, UK.</w:t>
      </w:r>
    </w:p>
    <w:p w14:paraId="7A538E5D" w14:textId="770DA007" w:rsidR="0001653F" w:rsidRPr="00161C60" w:rsidRDefault="008039DF" w:rsidP="0001653F">
      <w:pPr>
        <w:pStyle w:val="Heading1"/>
        <w:rPr>
          <w:rFonts w:ascii="Helvetica" w:hAnsi="Helvetica" w:cs="Helvetica"/>
          <w:b/>
          <w:bCs/>
          <w:color w:val="auto"/>
          <w:sz w:val="28"/>
          <w:szCs w:val="28"/>
        </w:rPr>
      </w:pPr>
      <w:r w:rsidRPr="00161C60">
        <w:rPr>
          <w:rFonts w:ascii="Helvetica" w:hAnsi="Helvetica" w:cs="Helvetica"/>
          <w:b/>
          <w:bCs/>
          <w:color w:val="auto"/>
          <w:sz w:val="28"/>
          <w:szCs w:val="28"/>
        </w:rPr>
        <w:t xml:space="preserve">Tweet </w:t>
      </w:r>
      <w:r w:rsidR="0001653F" w:rsidRPr="00161C60">
        <w:rPr>
          <w:rFonts w:ascii="Helvetica" w:hAnsi="Helvetica" w:cs="Helvetica"/>
          <w:b/>
          <w:bCs/>
          <w:color w:val="auto"/>
          <w:sz w:val="28"/>
          <w:szCs w:val="28"/>
        </w:rPr>
        <w:t xml:space="preserve"> </w:t>
      </w:r>
    </w:p>
    <w:p w14:paraId="72898B74" w14:textId="62143BA1" w:rsidR="0001653F" w:rsidRPr="00161C60" w:rsidRDefault="00C078B6" w:rsidP="0001653F">
      <w:pPr>
        <w:rPr>
          <w:rFonts w:ascii="Helvetica" w:hAnsi="Helvetica" w:cs="Helvetica"/>
        </w:rPr>
      </w:pPr>
      <w:r w:rsidRPr="00161C60">
        <w:rPr>
          <w:rFonts w:ascii="Helvetica" w:hAnsi="Helvetica" w:cs="Helvetica"/>
        </w:rPr>
        <w:t xml:space="preserve">New consensus statement highlights that physical activity </w:t>
      </w:r>
      <w:r w:rsidR="00A4776A" w:rsidRPr="00161C60">
        <w:rPr>
          <w:rFonts w:ascii="Helvetica" w:hAnsi="Helvetica" w:cs="Helvetica"/>
        </w:rPr>
        <w:t xml:space="preserve">and exercise </w:t>
      </w:r>
      <w:r w:rsidR="00AB3E54" w:rsidRPr="00161C60">
        <w:rPr>
          <w:rFonts w:ascii="Helvetica" w:hAnsi="Helvetica" w:cs="Helvetica"/>
        </w:rPr>
        <w:t>are</w:t>
      </w:r>
      <w:r w:rsidRPr="00161C60">
        <w:rPr>
          <w:rFonts w:ascii="Helvetica" w:hAnsi="Helvetica" w:cs="Helvetica"/>
        </w:rPr>
        <w:t xml:space="preserve"> important to prevent further bone loss, prevent falls</w:t>
      </w:r>
      <w:r w:rsidR="00A4776A" w:rsidRPr="00161C60">
        <w:rPr>
          <w:rFonts w:ascii="Helvetica" w:hAnsi="Helvetica" w:cs="Helvetica"/>
        </w:rPr>
        <w:t xml:space="preserve"> and</w:t>
      </w:r>
      <w:r w:rsidRPr="00161C60">
        <w:rPr>
          <w:rFonts w:ascii="Helvetica" w:hAnsi="Helvetica" w:cs="Helvetica"/>
        </w:rPr>
        <w:t xml:space="preserve"> </w:t>
      </w:r>
      <w:r w:rsidR="00A32867" w:rsidRPr="00161C60">
        <w:rPr>
          <w:rFonts w:ascii="Helvetica" w:hAnsi="Helvetica" w:cs="Helvetica"/>
        </w:rPr>
        <w:t>maintain spine strength</w:t>
      </w:r>
      <w:r w:rsidR="00274461" w:rsidRPr="00161C60">
        <w:rPr>
          <w:rFonts w:ascii="Helvetica" w:hAnsi="Helvetica" w:cs="Helvetica"/>
        </w:rPr>
        <w:t xml:space="preserve">, </w:t>
      </w:r>
      <w:r w:rsidR="00A32867" w:rsidRPr="00161C60">
        <w:rPr>
          <w:rFonts w:ascii="Helvetica" w:hAnsi="Helvetica" w:cs="Helvetica"/>
        </w:rPr>
        <w:t>posture</w:t>
      </w:r>
      <w:r w:rsidR="00274461" w:rsidRPr="00161C60">
        <w:rPr>
          <w:rFonts w:ascii="Helvetica" w:hAnsi="Helvetica" w:cs="Helvetica"/>
        </w:rPr>
        <w:t xml:space="preserve"> and manage pain</w:t>
      </w:r>
      <w:r w:rsidR="00A4776A" w:rsidRPr="00161C60">
        <w:rPr>
          <w:rFonts w:ascii="Helvetica" w:hAnsi="Helvetica" w:cs="Helvetica"/>
        </w:rPr>
        <w:t xml:space="preserve"> in people with oste</w:t>
      </w:r>
      <w:r w:rsidR="008039DF" w:rsidRPr="00161C60">
        <w:rPr>
          <w:rFonts w:ascii="Helvetica" w:hAnsi="Helvetica" w:cs="Helvetica"/>
        </w:rPr>
        <w:t>oporosis</w:t>
      </w:r>
      <w:r w:rsidR="008E714B" w:rsidRPr="00161C60">
        <w:rPr>
          <w:rFonts w:ascii="Helvetica" w:hAnsi="Helvetica" w:cs="Helvetica"/>
        </w:rPr>
        <w:t>. We need a “how to” not “don’t do” approach.</w:t>
      </w:r>
    </w:p>
    <w:p w14:paraId="6DBB61A4" w14:textId="77777777" w:rsidR="00C1489C" w:rsidRPr="00161C60" w:rsidRDefault="00C1489C" w:rsidP="00C1489C">
      <w:pPr>
        <w:pStyle w:val="Heading2"/>
        <w:rPr>
          <w:rFonts w:ascii="Helvetica" w:hAnsi="Helvetica" w:cs="Arial"/>
          <w:b/>
          <w:bCs/>
          <w:color w:val="auto"/>
        </w:rPr>
      </w:pPr>
      <w:r w:rsidRPr="00161C60">
        <w:rPr>
          <w:rFonts w:ascii="Helvetica" w:hAnsi="Helvetica" w:cs="Arial"/>
          <w:b/>
          <w:bCs/>
          <w:color w:val="auto"/>
        </w:rPr>
        <w:t>ORCIDs</w:t>
      </w:r>
    </w:p>
    <w:p w14:paraId="489DBE6C" w14:textId="77777777" w:rsidR="00C1489C" w:rsidRPr="00161C60" w:rsidRDefault="00C1489C" w:rsidP="00C1489C">
      <w:pPr>
        <w:spacing w:after="0" w:line="240" w:lineRule="auto"/>
        <w:rPr>
          <w:rFonts w:ascii="Helvetica" w:hAnsi="Helvetica"/>
        </w:rPr>
      </w:pPr>
      <w:r w:rsidRPr="00161C60">
        <w:rPr>
          <w:rFonts w:ascii="Helvetica" w:hAnsi="Helvetica"/>
        </w:rPr>
        <w:t>KBW 0000-0002-3708-4346</w:t>
      </w:r>
    </w:p>
    <w:p w14:paraId="669F1A29" w14:textId="77777777" w:rsidR="00C1489C" w:rsidRPr="00161C60" w:rsidRDefault="00C1489C" w:rsidP="00C1489C">
      <w:pPr>
        <w:spacing w:after="0" w:line="240" w:lineRule="auto"/>
        <w:rPr>
          <w:rFonts w:ascii="Helvetica" w:hAnsi="Helvetica"/>
        </w:rPr>
      </w:pPr>
      <w:r w:rsidRPr="00161C60">
        <w:rPr>
          <w:rFonts w:ascii="Helvetica" w:hAnsi="Helvetica"/>
        </w:rPr>
        <w:t>DAS 0000-0001-6223-9840</w:t>
      </w:r>
    </w:p>
    <w:p w14:paraId="00BB8A70" w14:textId="77777777" w:rsidR="00C1489C" w:rsidRPr="00161C60" w:rsidRDefault="00C1489C" w:rsidP="00C1489C">
      <w:pPr>
        <w:spacing w:after="0" w:line="240" w:lineRule="auto"/>
        <w:rPr>
          <w:rFonts w:ascii="Helvetica" w:hAnsi="Helvetica"/>
        </w:rPr>
      </w:pPr>
      <w:r w:rsidRPr="00161C60">
        <w:rPr>
          <w:rFonts w:ascii="Helvetica" w:hAnsi="Helvetica"/>
        </w:rPr>
        <w:t>KLB 0000-0001-9363-0383</w:t>
      </w:r>
    </w:p>
    <w:p w14:paraId="35BAA19C" w14:textId="77777777" w:rsidR="00C1489C" w:rsidRPr="00161C60" w:rsidRDefault="00C1489C" w:rsidP="00C1489C">
      <w:pPr>
        <w:spacing w:after="0" w:line="240" w:lineRule="auto"/>
        <w:rPr>
          <w:rFonts w:ascii="Helvetica" w:hAnsi="Helvetica"/>
        </w:rPr>
      </w:pPr>
      <w:r w:rsidRPr="00161C60">
        <w:rPr>
          <w:rFonts w:ascii="Helvetica" w:hAnsi="Helvetica"/>
        </w:rPr>
        <w:t>EMC 0000-0001-8332-9052</w:t>
      </w:r>
    </w:p>
    <w:p w14:paraId="53D6BCFB" w14:textId="77777777" w:rsidR="00C1489C" w:rsidRPr="00161C60" w:rsidRDefault="00C1489C" w:rsidP="00C1489C">
      <w:pPr>
        <w:spacing w:after="0" w:line="240" w:lineRule="auto"/>
        <w:rPr>
          <w:rFonts w:ascii="Helvetica" w:hAnsi="Helvetica"/>
        </w:rPr>
      </w:pPr>
      <w:r w:rsidRPr="00161C60">
        <w:rPr>
          <w:rFonts w:ascii="Helvetica" w:hAnsi="Helvetica"/>
        </w:rPr>
        <w:t>SA 0000-0001-8152-7610</w:t>
      </w:r>
    </w:p>
    <w:p w14:paraId="701CD048" w14:textId="77777777" w:rsidR="00C1489C" w:rsidRPr="00161C60" w:rsidRDefault="00C1489C" w:rsidP="00C1489C">
      <w:pPr>
        <w:spacing w:after="0" w:line="240" w:lineRule="auto"/>
        <w:rPr>
          <w:rFonts w:ascii="Helvetica" w:hAnsi="Helvetica"/>
        </w:rPr>
      </w:pPr>
      <w:r w:rsidRPr="00161C60">
        <w:rPr>
          <w:rFonts w:ascii="Helvetica" w:hAnsi="Helvetica"/>
        </w:rPr>
        <w:t>ZP 0000-0002-7783-2986</w:t>
      </w:r>
    </w:p>
    <w:p w14:paraId="1C6F57F7" w14:textId="77777777" w:rsidR="00C1489C" w:rsidRPr="00161C60" w:rsidRDefault="00C1489C" w:rsidP="00C1489C">
      <w:pPr>
        <w:spacing w:after="0" w:line="240" w:lineRule="auto"/>
        <w:rPr>
          <w:rFonts w:ascii="Helvetica" w:hAnsi="Helvetica"/>
        </w:rPr>
      </w:pPr>
      <w:r w:rsidRPr="00161C60">
        <w:rPr>
          <w:rFonts w:ascii="Helvetica" w:hAnsi="Helvetica"/>
        </w:rPr>
        <w:t>KRR 0000-0003-1458-8186</w:t>
      </w:r>
    </w:p>
    <w:p w14:paraId="768E514E" w14:textId="77777777" w:rsidR="00C1489C" w:rsidRPr="00161C60" w:rsidRDefault="00C1489C" w:rsidP="00C1489C">
      <w:pPr>
        <w:spacing w:after="0" w:line="240" w:lineRule="auto"/>
        <w:rPr>
          <w:rFonts w:ascii="Helvetica" w:hAnsi="Helvetica"/>
        </w:rPr>
      </w:pPr>
      <w:r w:rsidRPr="00161C60">
        <w:rPr>
          <w:rFonts w:ascii="Helvetica" w:hAnsi="Helvetica"/>
        </w:rPr>
        <w:t>JHT 0000-0002-7475-3932</w:t>
      </w:r>
    </w:p>
    <w:p w14:paraId="4CD20E7A" w14:textId="77777777" w:rsidR="00C1489C" w:rsidRPr="00161C60" w:rsidRDefault="00C1489C" w:rsidP="00C1489C">
      <w:pPr>
        <w:spacing w:after="0" w:line="240" w:lineRule="auto"/>
        <w:rPr>
          <w:rFonts w:ascii="Helvetica" w:hAnsi="Helvetica"/>
        </w:rPr>
      </w:pPr>
      <w:r w:rsidRPr="00161C60">
        <w:rPr>
          <w:rFonts w:ascii="Helvetica" w:hAnsi="Helvetica"/>
        </w:rPr>
        <w:t>KAW 0000-0001-7034-6750</w:t>
      </w:r>
    </w:p>
    <w:p w14:paraId="318242F3" w14:textId="77777777" w:rsidR="00C1489C" w:rsidRPr="00161C60" w:rsidRDefault="00C1489C" w:rsidP="00C1489C">
      <w:pPr>
        <w:spacing w:after="0" w:line="240" w:lineRule="auto"/>
        <w:rPr>
          <w:rFonts w:ascii="Helvetica" w:hAnsi="Helvetica"/>
        </w:rPr>
      </w:pPr>
      <w:r w:rsidRPr="00161C60">
        <w:rPr>
          <w:rFonts w:ascii="Helvetica" w:hAnsi="Helvetica"/>
        </w:rPr>
        <w:t>JW 0000-0002-4109-9970</w:t>
      </w:r>
    </w:p>
    <w:p w14:paraId="6D4F3BF1" w14:textId="77777777" w:rsidR="00C1489C" w:rsidRPr="00161C60" w:rsidRDefault="00C1489C" w:rsidP="00C1489C">
      <w:pPr>
        <w:spacing w:after="0" w:line="240" w:lineRule="auto"/>
        <w:rPr>
          <w:rFonts w:ascii="Helvetica" w:hAnsi="Helvetica"/>
        </w:rPr>
      </w:pPr>
    </w:p>
    <w:p w14:paraId="13BB7A53" w14:textId="77777777" w:rsidR="00C1489C" w:rsidRPr="00161C60" w:rsidRDefault="00C1489C" w:rsidP="00C1489C">
      <w:pPr>
        <w:pStyle w:val="Heading2"/>
        <w:rPr>
          <w:rFonts w:ascii="Helvetica" w:hAnsi="Helvetica" w:cs="Arial"/>
          <w:b/>
          <w:bCs/>
          <w:color w:val="auto"/>
        </w:rPr>
      </w:pPr>
      <w:r w:rsidRPr="00161C60">
        <w:rPr>
          <w:rFonts w:ascii="Helvetica" w:hAnsi="Helvetica" w:cs="Arial"/>
          <w:b/>
          <w:bCs/>
          <w:color w:val="auto"/>
        </w:rPr>
        <w:t>Twitter handles</w:t>
      </w:r>
    </w:p>
    <w:p w14:paraId="1A5079AD" w14:textId="77777777" w:rsidR="00C1489C" w:rsidRPr="00161C60" w:rsidRDefault="00C1489C" w:rsidP="00C1489C">
      <w:pPr>
        <w:spacing w:after="0" w:line="240" w:lineRule="auto"/>
        <w:rPr>
          <w:rFonts w:ascii="Helvetica" w:hAnsi="Helvetica"/>
        </w:rPr>
      </w:pPr>
      <w:r w:rsidRPr="00161C60">
        <w:rPr>
          <w:rFonts w:ascii="Helvetica" w:hAnsi="Helvetica"/>
        </w:rPr>
        <w:t>KBW @KBrookeWavell</w:t>
      </w:r>
    </w:p>
    <w:p w14:paraId="1C58AC2E" w14:textId="77777777" w:rsidR="00C1489C" w:rsidRPr="00161C60" w:rsidRDefault="00C1489C" w:rsidP="00C1489C">
      <w:pPr>
        <w:spacing w:after="0" w:line="240" w:lineRule="auto"/>
        <w:rPr>
          <w:rFonts w:ascii="Helvetica" w:hAnsi="Helvetica"/>
        </w:rPr>
      </w:pPr>
      <w:r w:rsidRPr="00161C60">
        <w:rPr>
          <w:rFonts w:ascii="Helvetica" w:hAnsi="Helvetica"/>
        </w:rPr>
        <w:t>DAS @LaterLifeTrain</w:t>
      </w:r>
    </w:p>
    <w:p w14:paraId="10D21B62" w14:textId="75419757" w:rsidR="00C1489C" w:rsidRDefault="00C1489C" w:rsidP="00C1489C">
      <w:pPr>
        <w:spacing w:after="0" w:line="240" w:lineRule="auto"/>
        <w:rPr>
          <w:rFonts w:ascii="Helvetica" w:hAnsi="Helvetica"/>
        </w:rPr>
      </w:pPr>
      <w:r w:rsidRPr="00161C60">
        <w:rPr>
          <w:rFonts w:ascii="Helvetica" w:hAnsi="Helvetica"/>
        </w:rPr>
        <w:t>KLB @ProfKarenB</w:t>
      </w:r>
    </w:p>
    <w:p w14:paraId="7057DC57" w14:textId="5C5317DB" w:rsidR="00C95608" w:rsidRPr="00161C60" w:rsidRDefault="00C95608" w:rsidP="00C1489C">
      <w:pPr>
        <w:spacing w:after="0" w:line="240" w:lineRule="auto"/>
        <w:rPr>
          <w:rFonts w:ascii="Helvetica" w:hAnsi="Helvetica"/>
        </w:rPr>
      </w:pPr>
      <w:r>
        <w:rPr>
          <w:rFonts w:ascii="Helvetica" w:hAnsi="Helvetica"/>
        </w:rPr>
        <w:t xml:space="preserve">EMC </w:t>
      </w:r>
      <w:r w:rsidR="00A2621C">
        <w:rPr>
          <w:rFonts w:ascii="Helvetica" w:hAnsi="Helvetica"/>
        </w:rPr>
        <w:t>@emcbristol</w:t>
      </w:r>
    </w:p>
    <w:p w14:paraId="4A299B7B" w14:textId="77777777" w:rsidR="000573E7" w:rsidRDefault="00C1489C" w:rsidP="00C1489C">
      <w:pPr>
        <w:spacing w:after="0" w:line="240" w:lineRule="auto"/>
        <w:rPr>
          <w:rFonts w:ascii="Helvetica" w:hAnsi="Helvetica"/>
        </w:rPr>
      </w:pPr>
      <w:r w:rsidRPr="00161C60">
        <w:rPr>
          <w:rFonts w:ascii="Helvetica" w:hAnsi="Helvetica"/>
        </w:rPr>
        <w:t xml:space="preserve">SdB </w:t>
      </w:r>
      <w:r w:rsidR="00FE055D">
        <w:rPr>
          <w:rFonts w:ascii="Helvetica" w:hAnsi="Helvetica"/>
        </w:rPr>
        <w:t>@sarahdebiase</w:t>
      </w:r>
    </w:p>
    <w:p w14:paraId="67713AB1" w14:textId="1AE5A51B" w:rsidR="00C1489C" w:rsidRPr="00161C60" w:rsidRDefault="000573E7" w:rsidP="00C1489C">
      <w:pPr>
        <w:spacing w:after="0" w:line="240" w:lineRule="auto"/>
        <w:rPr>
          <w:rFonts w:ascii="Helvetica" w:hAnsi="Helvetica"/>
        </w:rPr>
      </w:pPr>
      <w:r>
        <w:rPr>
          <w:rFonts w:ascii="Helvetica" w:hAnsi="Helvetica"/>
        </w:rPr>
        <w:t xml:space="preserve">SA </w:t>
      </w:r>
      <w:r w:rsidR="00C1489C" w:rsidRPr="00161C60">
        <w:rPr>
          <w:rFonts w:ascii="Helvetica" w:hAnsi="Helvetica"/>
        </w:rPr>
        <w:t>@AGILECSP</w:t>
      </w:r>
    </w:p>
    <w:p w14:paraId="7DE58C10" w14:textId="77777777" w:rsidR="00C1489C" w:rsidRPr="00161C60" w:rsidRDefault="00C1489C" w:rsidP="00C1489C">
      <w:pPr>
        <w:spacing w:after="0" w:line="240" w:lineRule="auto"/>
        <w:rPr>
          <w:rFonts w:ascii="Helvetica" w:hAnsi="Helvetica"/>
        </w:rPr>
      </w:pPr>
      <w:r w:rsidRPr="00161C60">
        <w:rPr>
          <w:rFonts w:ascii="Helvetica" w:hAnsi="Helvetica"/>
        </w:rPr>
        <w:t>ZP @zpaskins</w:t>
      </w:r>
    </w:p>
    <w:p w14:paraId="6A3B3400" w14:textId="77777777" w:rsidR="00C1489C" w:rsidRPr="00161C60" w:rsidRDefault="00C1489C" w:rsidP="00C1489C">
      <w:pPr>
        <w:spacing w:after="0" w:line="240" w:lineRule="auto"/>
        <w:rPr>
          <w:rFonts w:ascii="Helvetica" w:hAnsi="Helvetica"/>
        </w:rPr>
      </w:pPr>
      <w:r w:rsidRPr="00161C60">
        <w:rPr>
          <w:rFonts w:ascii="Helvetica" w:hAnsi="Helvetica"/>
        </w:rPr>
        <w:t>JT @JonTobias1</w:t>
      </w:r>
    </w:p>
    <w:p w14:paraId="27FB9A1A" w14:textId="7C46DD4E" w:rsidR="0001653F" w:rsidRPr="00161C60" w:rsidRDefault="00C1489C" w:rsidP="00C1489C">
      <w:pPr>
        <w:rPr>
          <w:rFonts w:ascii="Helvetica" w:hAnsi="Helvetica" w:cs="Helvetica"/>
        </w:rPr>
      </w:pPr>
      <w:r w:rsidRPr="00161C60">
        <w:rPr>
          <w:rFonts w:ascii="Helvetica" w:hAnsi="Helvetica"/>
        </w:rPr>
        <w:t>KAW @KateAWard17</w:t>
      </w:r>
    </w:p>
    <w:p w14:paraId="6A0A8703" w14:textId="6545A99D" w:rsidR="000A7D57" w:rsidRPr="00161C60" w:rsidRDefault="000A7D57" w:rsidP="00256819">
      <w:pPr>
        <w:pStyle w:val="Heading1"/>
        <w:rPr>
          <w:rFonts w:ascii="Helvetica" w:hAnsi="Helvetica" w:cs="Helvetica"/>
          <w:b/>
          <w:bCs/>
          <w:color w:val="auto"/>
          <w:sz w:val="28"/>
          <w:szCs w:val="28"/>
        </w:rPr>
      </w:pPr>
      <w:r w:rsidRPr="00161C60">
        <w:rPr>
          <w:rFonts w:ascii="Helvetica" w:hAnsi="Helvetica" w:cs="Helvetica"/>
          <w:b/>
          <w:bCs/>
          <w:color w:val="auto"/>
          <w:sz w:val="28"/>
          <w:szCs w:val="28"/>
        </w:rPr>
        <w:t>Competing interests</w:t>
      </w:r>
    </w:p>
    <w:p w14:paraId="4C6C5121" w14:textId="332D0082" w:rsidR="002B25AC" w:rsidRPr="00161C60" w:rsidRDefault="00B139C7" w:rsidP="005B76DF">
      <w:pPr>
        <w:pStyle w:val="Heading1"/>
        <w:spacing w:before="120" w:line="240" w:lineRule="auto"/>
        <w:rPr>
          <w:rFonts w:ascii="Helvetica" w:hAnsi="Helvetica" w:cs="Helvetica"/>
          <w:color w:val="auto"/>
          <w:sz w:val="24"/>
          <w:szCs w:val="24"/>
        </w:rPr>
      </w:pPr>
      <w:r w:rsidRPr="00161C60">
        <w:rPr>
          <w:rFonts w:ascii="Helvetica" w:hAnsi="Helvetica" w:cs="Helvetica"/>
          <w:color w:val="auto"/>
          <w:sz w:val="24"/>
          <w:szCs w:val="24"/>
        </w:rPr>
        <w:t xml:space="preserve">KBW, </w:t>
      </w:r>
      <w:r w:rsidR="00FA449C" w:rsidRPr="00161C60">
        <w:rPr>
          <w:rFonts w:ascii="Helvetica" w:hAnsi="Helvetica" w:cs="Helvetica"/>
          <w:color w:val="auto"/>
          <w:sz w:val="24"/>
          <w:szCs w:val="24"/>
        </w:rPr>
        <w:t xml:space="preserve">KLB; </w:t>
      </w:r>
      <w:r w:rsidR="005606A8" w:rsidRPr="00161C60">
        <w:rPr>
          <w:rFonts w:ascii="Helvetica" w:hAnsi="Helvetica" w:cs="Helvetica"/>
          <w:color w:val="auto"/>
          <w:sz w:val="24"/>
          <w:szCs w:val="24"/>
        </w:rPr>
        <w:t xml:space="preserve">EMC, </w:t>
      </w:r>
      <w:r w:rsidR="00D35698" w:rsidRPr="00161C60">
        <w:rPr>
          <w:rFonts w:ascii="Helvetica" w:hAnsi="Helvetica" w:cs="Helvetica"/>
          <w:color w:val="auto"/>
          <w:sz w:val="24"/>
          <w:szCs w:val="24"/>
        </w:rPr>
        <w:t xml:space="preserve">SdB, </w:t>
      </w:r>
      <w:r w:rsidR="005009CF" w:rsidRPr="00161C60">
        <w:rPr>
          <w:rFonts w:ascii="Helvetica" w:hAnsi="Helvetica" w:cs="Helvetica"/>
          <w:color w:val="auto"/>
          <w:sz w:val="24"/>
          <w:szCs w:val="24"/>
        </w:rPr>
        <w:t>SA</w:t>
      </w:r>
      <w:r w:rsidR="00BC5713" w:rsidRPr="00161C60">
        <w:rPr>
          <w:rFonts w:ascii="Helvetica" w:hAnsi="Helvetica" w:cs="Helvetica"/>
          <w:color w:val="auto"/>
          <w:sz w:val="24"/>
          <w:szCs w:val="24"/>
        </w:rPr>
        <w:t>, Z</w:t>
      </w:r>
      <w:r w:rsidR="00850EC1" w:rsidRPr="00161C60">
        <w:rPr>
          <w:rFonts w:ascii="Helvetica" w:hAnsi="Helvetica" w:cs="Helvetica"/>
          <w:color w:val="auto"/>
          <w:sz w:val="24"/>
          <w:szCs w:val="24"/>
        </w:rPr>
        <w:t>P</w:t>
      </w:r>
      <w:r w:rsidR="00BC5713" w:rsidRPr="00161C60">
        <w:rPr>
          <w:rFonts w:ascii="Helvetica" w:hAnsi="Helvetica" w:cs="Helvetica"/>
          <w:color w:val="auto"/>
          <w:sz w:val="24"/>
          <w:szCs w:val="24"/>
        </w:rPr>
        <w:t>, K</w:t>
      </w:r>
      <w:r w:rsidR="0073109C" w:rsidRPr="00161C60">
        <w:rPr>
          <w:rFonts w:ascii="Helvetica" w:hAnsi="Helvetica" w:cs="Helvetica"/>
          <w:color w:val="auto"/>
          <w:sz w:val="24"/>
          <w:szCs w:val="24"/>
        </w:rPr>
        <w:t>R</w:t>
      </w:r>
      <w:r w:rsidR="00BC5713" w:rsidRPr="00161C60">
        <w:rPr>
          <w:rFonts w:ascii="Helvetica" w:hAnsi="Helvetica" w:cs="Helvetica"/>
          <w:color w:val="auto"/>
          <w:sz w:val="24"/>
          <w:szCs w:val="24"/>
        </w:rPr>
        <w:t>, R</w:t>
      </w:r>
      <w:r w:rsidR="00612AD2" w:rsidRPr="00161C60">
        <w:rPr>
          <w:rFonts w:ascii="Helvetica" w:hAnsi="Helvetica" w:cs="Helvetica"/>
          <w:color w:val="auto"/>
          <w:sz w:val="24"/>
          <w:szCs w:val="24"/>
        </w:rPr>
        <w:t>M</w:t>
      </w:r>
      <w:r w:rsidR="00BC5713" w:rsidRPr="00161C60">
        <w:rPr>
          <w:rFonts w:ascii="Helvetica" w:hAnsi="Helvetica" w:cs="Helvetica"/>
          <w:color w:val="auto"/>
          <w:sz w:val="24"/>
          <w:szCs w:val="24"/>
        </w:rPr>
        <w:t>L,</w:t>
      </w:r>
      <w:r w:rsidR="00D35698" w:rsidRPr="00161C60">
        <w:rPr>
          <w:rFonts w:ascii="Helvetica" w:hAnsi="Helvetica" w:cs="Helvetica"/>
          <w:color w:val="auto"/>
          <w:sz w:val="24"/>
          <w:szCs w:val="24"/>
        </w:rPr>
        <w:t xml:space="preserve"> </w:t>
      </w:r>
      <w:r w:rsidR="00AD2C75" w:rsidRPr="00161C60">
        <w:rPr>
          <w:rFonts w:ascii="Helvetica" w:hAnsi="Helvetica" w:cs="Helvetica"/>
          <w:color w:val="auto"/>
          <w:sz w:val="24"/>
          <w:szCs w:val="24"/>
        </w:rPr>
        <w:t xml:space="preserve">JHT, </w:t>
      </w:r>
      <w:r w:rsidR="00C27938" w:rsidRPr="00161C60">
        <w:rPr>
          <w:rFonts w:ascii="Helvetica" w:hAnsi="Helvetica" w:cs="Helvetica"/>
          <w:color w:val="auto"/>
          <w:sz w:val="24"/>
          <w:szCs w:val="24"/>
        </w:rPr>
        <w:t xml:space="preserve">KAW, </w:t>
      </w:r>
      <w:r w:rsidR="00C134F7" w:rsidRPr="00161C60">
        <w:rPr>
          <w:rFonts w:ascii="Helvetica" w:hAnsi="Helvetica" w:cs="Helvetica"/>
          <w:color w:val="auto"/>
          <w:sz w:val="24"/>
          <w:szCs w:val="24"/>
        </w:rPr>
        <w:t>J</w:t>
      </w:r>
      <w:r w:rsidR="00FC13AD" w:rsidRPr="00161C60">
        <w:rPr>
          <w:rFonts w:ascii="Helvetica" w:hAnsi="Helvetica" w:cs="Helvetica"/>
          <w:color w:val="auto"/>
          <w:sz w:val="24"/>
          <w:szCs w:val="24"/>
        </w:rPr>
        <w:t xml:space="preserve">W </w:t>
      </w:r>
      <w:r w:rsidR="00C134F7" w:rsidRPr="00161C60">
        <w:rPr>
          <w:rFonts w:ascii="Helvetica" w:hAnsi="Helvetica" w:cs="Helvetica"/>
          <w:color w:val="auto"/>
          <w:sz w:val="24"/>
          <w:szCs w:val="24"/>
        </w:rPr>
        <w:t>and SL</w:t>
      </w:r>
      <w:r w:rsidR="000A7D57" w:rsidRPr="00161C60">
        <w:rPr>
          <w:rFonts w:ascii="Helvetica" w:hAnsi="Helvetica" w:cs="Helvetica"/>
          <w:color w:val="auto"/>
          <w:sz w:val="24"/>
          <w:szCs w:val="24"/>
        </w:rPr>
        <w:t xml:space="preserve"> h</w:t>
      </w:r>
      <w:r w:rsidR="00C27938" w:rsidRPr="00161C60">
        <w:rPr>
          <w:rFonts w:ascii="Helvetica" w:hAnsi="Helvetica" w:cs="Helvetica"/>
          <w:color w:val="auto"/>
          <w:sz w:val="24"/>
          <w:szCs w:val="24"/>
        </w:rPr>
        <w:t xml:space="preserve">ave </w:t>
      </w:r>
      <w:r w:rsidR="000A7D57" w:rsidRPr="00161C60">
        <w:rPr>
          <w:rFonts w:ascii="Helvetica" w:hAnsi="Helvetica" w:cs="Helvetica"/>
          <w:color w:val="auto"/>
          <w:sz w:val="24"/>
          <w:szCs w:val="24"/>
        </w:rPr>
        <w:t xml:space="preserve">no competing interests to declare. </w:t>
      </w:r>
      <w:r w:rsidR="00223C9C" w:rsidRPr="00161C60">
        <w:rPr>
          <w:rFonts w:ascii="Helvetica" w:hAnsi="Helvetica" w:cs="Helvetica"/>
          <w:color w:val="auto"/>
          <w:sz w:val="24"/>
          <w:szCs w:val="24"/>
        </w:rPr>
        <w:t xml:space="preserve">DAS is a Director of Later Life Training, a </w:t>
      </w:r>
      <w:r w:rsidR="00362901" w:rsidRPr="00161C60">
        <w:rPr>
          <w:rFonts w:ascii="Helvetica" w:hAnsi="Helvetica" w:cs="Helvetica"/>
          <w:color w:val="auto"/>
          <w:sz w:val="24"/>
          <w:szCs w:val="24"/>
        </w:rPr>
        <w:t>not-</w:t>
      </w:r>
      <w:r w:rsidR="00223C9C" w:rsidRPr="00161C60">
        <w:rPr>
          <w:rFonts w:ascii="Helvetica" w:hAnsi="Helvetica" w:cs="Helvetica"/>
          <w:color w:val="auto"/>
          <w:sz w:val="24"/>
          <w:szCs w:val="24"/>
        </w:rPr>
        <w:t>for</w:t>
      </w:r>
      <w:r w:rsidR="00362901" w:rsidRPr="00161C60">
        <w:rPr>
          <w:rFonts w:ascii="Helvetica" w:hAnsi="Helvetica" w:cs="Helvetica"/>
          <w:color w:val="auto"/>
          <w:sz w:val="24"/>
          <w:szCs w:val="24"/>
        </w:rPr>
        <w:t>-</w:t>
      </w:r>
      <w:r w:rsidR="00223C9C" w:rsidRPr="00161C60">
        <w:rPr>
          <w:rFonts w:ascii="Helvetica" w:hAnsi="Helvetica" w:cs="Helvetica"/>
          <w:color w:val="auto"/>
          <w:sz w:val="24"/>
          <w:szCs w:val="24"/>
        </w:rPr>
        <w:t xml:space="preserve">profit organisation that provides training and qualifications to health and fitness professionals working with frailer older people.  </w:t>
      </w:r>
    </w:p>
    <w:p w14:paraId="6079463A" w14:textId="77777777" w:rsidR="00D30CDC" w:rsidRPr="00161C60" w:rsidRDefault="00D30CDC" w:rsidP="00D30CDC"/>
    <w:p w14:paraId="629366BF" w14:textId="32854E4A" w:rsidR="00D44D70" w:rsidRPr="00161C60" w:rsidRDefault="00D30CDC" w:rsidP="005B76DF">
      <w:pPr>
        <w:pStyle w:val="Heading1"/>
        <w:spacing w:before="120" w:line="240" w:lineRule="auto"/>
        <w:rPr>
          <w:rFonts w:ascii="Helvetica" w:hAnsi="Helvetica" w:cs="Helvetica"/>
          <w:b/>
          <w:bCs/>
          <w:color w:val="auto"/>
          <w:sz w:val="28"/>
          <w:szCs w:val="28"/>
        </w:rPr>
      </w:pPr>
      <w:r w:rsidRPr="00161C60">
        <w:rPr>
          <w:rFonts w:ascii="Helvetica" w:hAnsi="Helvetica" w:cs="Helvetica"/>
          <w:b/>
          <w:bCs/>
          <w:color w:val="auto"/>
          <w:sz w:val="28"/>
          <w:szCs w:val="28"/>
        </w:rPr>
        <w:t>Exclusive licence</w:t>
      </w:r>
    </w:p>
    <w:p w14:paraId="1F30E81B" w14:textId="7AE1352A" w:rsidR="00C613B6" w:rsidRPr="00161C60" w:rsidRDefault="00C613B6" w:rsidP="00C613B6">
      <w:pPr>
        <w:rPr>
          <w:shd w:val="clear" w:color="auto" w:fill="FFFFFF"/>
        </w:rPr>
      </w:pPr>
      <w:r w:rsidRPr="00161C60">
        <w:rPr>
          <w:shd w:val="clear" w:color="auto" w:fill="FFFFFF"/>
        </w:rPr>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w:t>
      </w:r>
      <w:hyperlink r:id="rId12" w:tgtFrame="_new" w:history="1">
        <w:r w:rsidRPr="00161C60">
          <w:rPr>
            <w:rStyle w:val="Hyperlink"/>
            <w:color w:val="auto"/>
            <w:shd w:val="clear" w:color="auto" w:fill="FFFFFF"/>
          </w:rPr>
          <w:t>Creative Commons</w:t>
        </w:r>
      </w:hyperlink>
      <w:r w:rsidRPr="00161C60">
        <w:rPr>
          <w:shd w:val="clear" w:color="auto" w:fill="FFFFFF"/>
        </w:rPr>
        <w:t> licence will apply to this Work are set out in our licence referred to above.</w:t>
      </w:r>
    </w:p>
    <w:p w14:paraId="2CC196EA" w14:textId="09CD981E" w:rsidR="00931677" w:rsidRPr="00161C60" w:rsidRDefault="00931677" w:rsidP="00C613B6">
      <w:pPr>
        <w:rPr>
          <w:b/>
          <w:bCs/>
          <w:sz w:val="20"/>
          <w:szCs w:val="20"/>
        </w:rPr>
      </w:pPr>
      <w:r w:rsidRPr="00161C60">
        <w:rPr>
          <w:b/>
          <w:bCs/>
          <w:sz w:val="20"/>
          <w:szCs w:val="20"/>
          <w:shd w:val="clear" w:color="auto" w:fill="FFFFFF"/>
        </w:rPr>
        <w:t>References</w:t>
      </w:r>
    </w:p>
    <w:p w14:paraId="0E2E565B" w14:textId="6FA7EB3F" w:rsidR="00516D4E" w:rsidRPr="00516D4E" w:rsidRDefault="00FF53E2" w:rsidP="00516D4E">
      <w:pPr>
        <w:widowControl w:val="0"/>
        <w:autoSpaceDE w:val="0"/>
        <w:autoSpaceDN w:val="0"/>
        <w:adjustRightInd w:val="0"/>
        <w:spacing w:line="240" w:lineRule="auto"/>
        <w:ind w:left="640" w:hanging="640"/>
        <w:rPr>
          <w:noProof/>
        </w:rPr>
      </w:pPr>
      <w:r>
        <w:fldChar w:fldCharType="begin" w:fldLock="1"/>
      </w:r>
      <w:r>
        <w:instrText xml:space="preserve">ADDIN Mendeley Bibliography CSL_BIBLIOGRAPHY </w:instrText>
      </w:r>
      <w:r>
        <w:fldChar w:fldCharType="separate"/>
      </w:r>
      <w:r w:rsidR="00516D4E" w:rsidRPr="00516D4E">
        <w:rPr>
          <w:noProof/>
        </w:rPr>
        <w:t xml:space="preserve">1. </w:t>
      </w:r>
      <w:r w:rsidR="00516D4E" w:rsidRPr="00516D4E">
        <w:rPr>
          <w:noProof/>
        </w:rPr>
        <w:tab/>
        <w:t xml:space="preserve">Odén A, McCloskey E V., Kanis JA, Harvey NC, Johansson H. Burden of high fracture probability worldwide: secular increases 2010–2040. </w:t>
      </w:r>
      <w:r w:rsidR="00516D4E" w:rsidRPr="00516D4E">
        <w:rPr>
          <w:i/>
          <w:iCs/>
          <w:noProof/>
        </w:rPr>
        <w:t>Osteoporos Int</w:t>
      </w:r>
      <w:r w:rsidR="00516D4E" w:rsidRPr="00516D4E">
        <w:rPr>
          <w:noProof/>
        </w:rPr>
        <w:t>. 2015;26(9):2243-2248. doi:10.1007/s00198-015-3154-6</w:t>
      </w:r>
    </w:p>
    <w:p w14:paraId="22B396A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 </w:t>
      </w:r>
      <w:r w:rsidRPr="00516D4E">
        <w:rPr>
          <w:noProof/>
        </w:rPr>
        <w:tab/>
        <w:t xml:space="preserve">Cooper C. The crippling consequences of fractures and their impact on quality of life. </w:t>
      </w:r>
      <w:r w:rsidRPr="00516D4E">
        <w:rPr>
          <w:i/>
          <w:iCs/>
          <w:noProof/>
        </w:rPr>
        <w:t>Am J Med</w:t>
      </w:r>
      <w:r w:rsidRPr="00516D4E">
        <w:rPr>
          <w:noProof/>
        </w:rPr>
        <w:t>. 1997;103(2):S12-S19. doi:10.1016/S0002-9343(97)90022-X</w:t>
      </w:r>
    </w:p>
    <w:p w14:paraId="5EA699D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 </w:t>
      </w:r>
      <w:r w:rsidRPr="00516D4E">
        <w:rPr>
          <w:noProof/>
        </w:rPr>
        <w:tab/>
        <w:t xml:space="preserve">Suzuki N, Ogikubo O, Hansson T. The course of the acute vertebral body fragility fracture: its effect on pain, disability and quality of life during 12 months. </w:t>
      </w:r>
      <w:r w:rsidRPr="00516D4E">
        <w:rPr>
          <w:i/>
          <w:iCs/>
          <w:noProof/>
        </w:rPr>
        <w:t>Eur Spine J</w:t>
      </w:r>
      <w:r w:rsidRPr="00516D4E">
        <w:rPr>
          <w:noProof/>
        </w:rPr>
        <w:t>. 2008;17(10):1380-1390. doi:10.1007/s00586-008-0753-3</w:t>
      </w:r>
    </w:p>
    <w:p w14:paraId="3867E66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 </w:t>
      </w:r>
      <w:r w:rsidRPr="00516D4E">
        <w:rPr>
          <w:noProof/>
        </w:rPr>
        <w:tab/>
        <w:t xml:space="preserve">Drew S, Clark E, Al-Sari U, Moore A, Gooberman-Hill R. Neglected bodily senses in women living with vertebral fracture: A focus group study. </w:t>
      </w:r>
      <w:r w:rsidRPr="00516D4E">
        <w:rPr>
          <w:i/>
          <w:iCs/>
          <w:noProof/>
        </w:rPr>
        <w:t>Rheumatol (United Kingdom)</w:t>
      </w:r>
      <w:r w:rsidRPr="00516D4E">
        <w:rPr>
          <w:noProof/>
        </w:rPr>
        <w:t>. 2020;59(2):379-385. doi:10.1093/rheumatology/kez249</w:t>
      </w:r>
    </w:p>
    <w:p w14:paraId="04FDEFF5"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 </w:t>
      </w:r>
      <w:r w:rsidRPr="00516D4E">
        <w:rPr>
          <w:noProof/>
        </w:rPr>
        <w:tab/>
        <w:t xml:space="preserve">Press D, Nazrun AS, Tzar MN, Mokhtar SA, Mohamed IN. A systematic review of the outcomes of osteoporotic fracture patients after hospital discharge: morbidity, subsequent fractures, and mortality. </w:t>
      </w:r>
      <w:r w:rsidRPr="00516D4E">
        <w:rPr>
          <w:i/>
          <w:iCs/>
          <w:noProof/>
        </w:rPr>
        <w:t>Ther Clin Risk Manag</w:t>
      </w:r>
      <w:r w:rsidRPr="00516D4E">
        <w:rPr>
          <w:noProof/>
        </w:rPr>
        <w:t>. 2014;10:937-948. doi:10.2147/TCRM.S72456</w:t>
      </w:r>
    </w:p>
    <w:p w14:paraId="1CEB3FE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 </w:t>
      </w:r>
      <w:r w:rsidRPr="00516D4E">
        <w:rPr>
          <w:noProof/>
        </w:rPr>
        <w:tab/>
        <w:t xml:space="preserve">Klop C, Welsing PMJ, Cooper C, et al. Mortality in British hip fracture patients, 2000-2010: A population-based retrospective cohort study. </w:t>
      </w:r>
      <w:r w:rsidRPr="00516D4E">
        <w:rPr>
          <w:i/>
          <w:iCs/>
          <w:noProof/>
        </w:rPr>
        <w:t>Bone</w:t>
      </w:r>
      <w:r w:rsidRPr="00516D4E">
        <w:rPr>
          <w:noProof/>
        </w:rPr>
        <w:t>. 2014;66:171-177. doi:10.1016/j.bone.2014.06.011</w:t>
      </w:r>
    </w:p>
    <w:p w14:paraId="07FE653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 </w:t>
      </w:r>
      <w:r w:rsidRPr="00516D4E">
        <w:rPr>
          <w:noProof/>
        </w:rPr>
        <w:tab/>
        <w:t>Clynes MA, Harvey NC, Curtis EM, Fuggle NR, Elaine M, Cooper C. The Epidemiology of Osteoporosis. 2020;133(1):105-117. doi:10.1093/bmb/ldaa005.The</w:t>
      </w:r>
    </w:p>
    <w:p w14:paraId="457DDDF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8. </w:t>
      </w:r>
      <w:r w:rsidRPr="00516D4E">
        <w:rPr>
          <w:noProof/>
        </w:rPr>
        <w:tab/>
        <w:t xml:space="preserve">Compston J, Cooper A, Cooper C, et al. UK clinical guideline for the prevention and treatment of osteoporosis. </w:t>
      </w:r>
      <w:r w:rsidRPr="00516D4E">
        <w:rPr>
          <w:i/>
          <w:iCs/>
          <w:noProof/>
        </w:rPr>
        <w:t>Arch Osteoporos</w:t>
      </w:r>
      <w:r w:rsidRPr="00516D4E">
        <w:rPr>
          <w:noProof/>
        </w:rPr>
        <w:t>. 2017;12(1). doi:10.1007/s11657-017-0324-5</w:t>
      </w:r>
    </w:p>
    <w:p w14:paraId="08B88D7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9. </w:t>
      </w:r>
      <w:r w:rsidRPr="00516D4E">
        <w:rPr>
          <w:noProof/>
        </w:rPr>
        <w:tab/>
        <w:t>Gyle S (Scottish IGN. Management of Osteoporosis and Prevention of Fragility Fractures. SIGN 142. Published 2020. http://www.sign.ac.uk/assets/sign142.pdf</w:t>
      </w:r>
    </w:p>
    <w:p w14:paraId="2B18E8E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10. </w:t>
      </w:r>
      <w:r w:rsidRPr="00516D4E">
        <w:rPr>
          <w:noProof/>
        </w:rPr>
        <w:tab/>
        <w:t xml:space="preserve">Moayyeri A. The Association Between Physical Activity and Osteoporotic Fractures: A Review of the Evidence and Implications for Future Research. </w:t>
      </w:r>
      <w:r w:rsidRPr="00516D4E">
        <w:rPr>
          <w:i/>
          <w:iCs/>
          <w:noProof/>
        </w:rPr>
        <w:t>Ann Epidemiol</w:t>
      </w:r>
      <w:r w:rsidRPr="00516D4E">
        <w:rPr>
          <w:noProof/>
        </w:rPr>
        <w:t>. 2008;18(11):827-835. doi:10.1016/j.annepidem.2008.08.007</w:t>
      </w:r>
    </w:p>
    <w:p w14:paraId="75AC90E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11. </w:t>
      </w:r>
      <w:r w:rsidRPr="00516D4E">
        <w:rPr>
          <w:noProof/>
        </w:rPr>
        <w:tab/>
        <w:t xml:space="preserve">Reventlow SD. Perceived risk of osteoporosis: restricted physical activities? Qualitative interview study with women in their sixties. </w:t>
      </w:r>
      <w:r w:rsidRPr="00516D4E">
        <w:rPr>
          <w:i/>
          <w:iCs/>
          <w:noProof/>
        </w:rPr>
        <w:t>Scand J Prim Health Care</w:t>
      </w:r>
      <w:r w:rsidRPr="00516D4E">
        <w:rPr>
          <w:noProof/>
        </w:rPr>
        <w:t>. 2007;25(3):160-165. doi:10.1080/02813430701305668</w:t>
      </w:r>
    </w:p>
    <w:p w14:paraId="783EFE3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12. </w:t>
      </w:r>
      <w:r w:rsidRPr="00516D4E">
        <w:rPr>
          <w:noProof/>
        </w:rPr>
        <w:tab/>
        <w:t xml:space="preserve">Giangregorio LM, Papaioannou A, MacIntyre NJ, et al. Too Fit to Fracture: Exercise recommendations for individuals with osteoporosis or osteoporotic vertebral fracture. </w:t>
      </w:r>
      <w:r w:rsidRPr="00516D4E">
        <w:rPr>
          <w:i/>
          <w:iCs/>
          <w:noProof/>
        </w:rPr>
        <w:t>Osteoporos Int</w:t>
      </w:r>
      <w:r w:rsidRPr="00516D4E">
        <w:rPr>
          <w:noProof/>
        </w:rPr>
        <w:t>. 2014;25(3):821-835. doi:10.1007/s00198-013-2523-2</w:t>
      </w:r>
    </w:p>
    <w:p w14:paraId="23AACB1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13. </w:t>
      </w:r>
      <w:r w:rsidRPr="00516D4E">
        <w:rPr>
          <w:noProof/>
        </w:rPr>
        <w:tab/>
        <w:t xml:space="preserve">Beck BR, Daly RM, Singh MAF, Taaffe DR. Exercise and Sports Science Australia (ESSA) position statement on exercise prescription for the prevention and management of osteoporosis. </w:t>
      </w:r>
      <w:r w:rsidRPr="00516D4E">
        <w:rPr>
          <w:i/>
          <w:iCs/>
          <w:noProof/>
        </w:rPr>
        <w:t>J Sci Med Sport</w:t>
      </w:r>
      <w:r w:rsidRPr="00516D4E">
        <w:rPr>
          <w:noProof/>
        </w:rPr>
        <w:t>. 2017;20(5):438-445. doi:10.1016/j.jsams.2016.10.001</w:t>
      </w:r>
    </w:p>
    <w:p w14:paraId="6A3ED04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14. </w:t>
      </w:r>
      <w:r w:rsidRPr="00516D4E">
        <w:rPr>
          <w:noProof/>
        </w:rPr>
        <w:tab/>
        <w:t>Department of Health and Social Care. UK Chief Medical Officers’ Physical Activity Guidelines. Published 2019. Accessed September 18, 2019. https://assets.publishing.service.gov.uk/government/uploads/system/uploads/attachment_data/file/832868/ukchief-medical-officers-physical-activity-guidelines.pdf</w:t>
      </w:r>
    </w:p>
    <w:p w14:paraId="06C83AB6"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15. </w:t>
      </w:r>
      <w:r w:rsidRPr="00516D4E">
        <w:rPr>
          <w:noProof/>
        </w:rPr>
        <w:tab/>
        <w:t xml:space="preserve">Bandurra A. Self-efficacy mechanism in human agency. </w:t>
      </w:r>
      <w:r w:rsidRPr="00516D4E">
        <w:rPr>
          <w:i/>
          <w:iCs/>
          <w:noProof/>
        </w:rPr>
        <w:t>Am Psychol</w:t>
      </w:r>
      <w:r w:rsidRPr="00516D4E">
        <w:rPr>
          <w:noProof/>
        </w:rPr>
        <w:t>. 1982;37(2):122-147.</w:t>
      </w:r>
    </w:p>
    <w:p w14:paraId="4A811D9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16. </w:t>
      </w:r>
      <w:r w:rsidRPr="00516D4E">
        <w:rPr>
          <w:noProof/>
        </w:rPr>
        <w:tab/>
        <w:t xml:space="preserve">Jones GR, Stathokostas L, Young BW, et al. Development of a physical literacy model for older adults - a consensus process by the collaborative working group on physical literacy for older Canadians. </w:t>
      </w:r>
      <w:r w:rsidRPr="00516D4E">
        <w:rPr>
          <w:i/>
          <w:iCs/>
          <w:noProof/>
        </w:rPr>
        <w:t>BMC Geriatr</w:t>
      </w:r>
      <w:r w:rsidRPr="00516D4E">
        <w:rPr>
          <w:noProof/>
        </w:rPr>
        <w:t>. 2018;18:13.</w:t>
      </w:r>
    </w:p>
    <w:p w14:paraId="565878D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17. </w:t>
      </w:r>
      <w:r w:rsidRPr="00516D4E">
        <w:rPr>
          <w:noProof/>
        </w:rPr>
        <w:tab/>
        <w:t xml:space="preserve">Jones GR, Stathokostas L, Young BW, et al. Development of a physical literacy model for older adults - A consensus process by the collaborative working group on physical literacy for older Canadians. </w:t>
      </w:r>
      <w:r w:rsidRPr="00516D4E">
        <w:rPr>
          <w:i/>
          <w:iCs/>
          <w:noProof/>
        </w:rPr>
        <w:t>BMC Geriatr</w:t>
      </w:r>
      <w:r w:rsidRPr="00516D4E">
        <w:rPr>
          <w:noProof/>
        </w:rPr>
        <w:t>. 2018;18(1):1-16. doi:10.1186/s12877-017-0687-x</w:t>
      </w:r>
    </w:p>
    <w:p w14:paraId="1B2124F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18. </w:t>
      </w:r>
      <w:r w:rsidRPr="00516D4E">
        <w:rPr>
          <w:noProof/>
        </w:rPr>
        <w:tab/>
        <w:t xml:space="preserve">Kohrt WM, Bloomfield SA, Little KD, Nelson ME, Yingling VR. Physical Activity and Bone Health. </w:t>
      </w:r>
      <w:r w:rsidRPr="00516D4E">
        <w:rPr>
          <w:i/>
          <w:iCs/>
          <w:noProof/>
        </w:rPr>
        <w:t>Med Sci Sport Exerc</w:t>
      </w:r>
      <w:r w:rsidRPr="00516D4E">
        <w:rPr>
          <w:noProof/>
        </w:rPr>
        <w:t>. 2004;36(11):1985-1996. doi:10.1249/01.MSS.0000142662.21767.58</w:t>
      </w:r>
    </w:p>
    <w:p w14:paraId="6194663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19. </w:t>
      </w:r>
      <w:r w:rsidRPr="00516D4E">
        <w:rPr>
          <w:noProof/>
        </w:rPr>
        <w:tab/>
        <w:t xml:space="preserve">Giangregorio LM, McGill S, Wark JD, et al. Too Fit To Fracture: outcomes of a Delphi consensus process on physical activity and exercise recommendations for adults with osteoporosis with or without vertebral fractures. </w:t>
      </w:r>
      <w:r w:rsidRPr="00516D4E">
        <w:rPr>
          <w:i/>
          <w:iCs/>
          <w:noProof/>
        </w:rPr>
        <w:t>Osteoporos Int</w:t>
      </w:r>
      <w:r w:rsidRPr="00516D4E">
        <w:rPr>
          <w:noProof/>
        </w:rPr>
        <w:t>. 2015;26(3):891-910. doi:10.1007/s00198-014-2881-4</w:t>
      </w:r>
    </w:p>
    <w:p w14:paraId="1522D65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20. </w:t>
      </w:r>
      <w:r w:rsidRPr="00516D4E">
        <w:rPr>
          <w:noProof/>
        </w:rPr>
        <w:tab/>
        <w:t xml:space="preserve">Chartered Society of Physiotherapy. </w:t>
      </w:r>
      <w:r w:rsidRPr="00516D4E">
        <w:rPr>
          <w:i/>
          <w:iCs/>
          <w:noProof/>
        </w:rPr>
        <w:t>Physiotherapy Guidelines for the Management of Osteoporosis</w:t>
      </w:r>
      <w:r w:rsidRPr="00516D4E">
        <w:rPr>
          <w:noProof/>
        </w:rPr>
        <w:t>. CSP; 1999.</w:t>
      </w:r>
    </w:p>
    <w:p w14:paraId="74860A44"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21. </w:t>
      </w:r>
      <w:r w:rsidRPr="00516D4E">
        <w:rPr>
          <w:noProof/>
        </w:rPr>
        <w:tab/>
        <w:t xml:space="preserve">Bansal S, Katzman WB, Giangregorio LM. Exercise for improving age-related hyperkyphotic posture: A systematic review. </w:t>
      </w:r>
      <w:r w:rsidRPr="00516D4E">
        <w:rPr>
          <w:i/>
          <w:iCs/>
          <w:noProof/>
        </w:rPr>
        <w:t>Arch Phys Med Rehabil</w:t>
      </w:r>
      <w:r w:rsidRPr="00516D4E">
        <w:rPr>
          <w:noProof/>
        </w:rPr>
        <w:t>. 2014;95(1):129-140. doi:10.1016/j.apmr.2013.06.022</w:t>
      </w:r>
    </w:p>
    <w:p w14:paraId="5544CF2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22. </w:t>
      </w:r>
      <w:r w:rsidRPr="00516D4E">
        <w:rPr>
          <w:noProof/>
        </w:rPr>
        <w:tab/>
        <w:t xml:space="preserve">Sherrington C, Fairhall NJ, Wallbank GK, et al. Exercise for preventing falls in older people living in the community. </w:t>
      </w:r>
      <w:r w:rsidRPr="00516D4E">
        <w:rPr>
          <w:i/>
          <w:iCs/>
          <w:noProof/>
        </w:rPr>
        <w:t>Cochrane Database Syst Rev</w:t>
      </w:r>
      <w:r w:rsidRPr="00516D4E">
        <w:rPr>
          <w:noProof/>
        </w:rPr>
        <w:t>. 2019;2019(1). doi:10.1002/14651858.CD012424.pub2</w:t>
      </w:r>
    </w:p>
    <w:p w14:paraId="4BCC267E"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23. </w:t>
      </w:r>
      <w:r w:rsidRPr="00516D4E">
        <w:rPr>
          <w:noProof/>
        </w:rPr>
        <w:tab/>
        <w:t xml:space="preserve">Zhao R, Zhao M, Zhang L. Efficiency of Jumping Exercise in Improving Bone Mineral Density Among Premenopausal Women: A Meta-Analysis. </w:t>
      </w:r>
      <w:r w:rsidRPr="00516D4E">
        <w:rPr>
          <w:i/>
          <w:iCs/>
          <w:noProof/>
        </w:rPr>
        <w:t>Sport Med</w:t>
      </w:r>
      <w:r w:rsidRPr="00516D4E">
        <w:rPr>
          <w:noProof/>
        </w:rPr>
        <w:t>. 2014;44(10):1393-1402. doi:10.1007/s40279-014-0220-8</w:t>
      </w:r>
    </w:p>
    <w:p w14:paraId="71ED9E5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24. </w:t>
      </w:r>
      <w:r w:rsidRPr="00516D4E">
        <w:rPr>
          <w:noProof/>
        </w:rPr>
        <w:tab/>
        <w:t xml:space="preserve">Zhao R, Zhao M, Xu Z. The effects of differing resistance training modes on the preservation of bone mineral density in postmenopausal women: a meta-analysis. </w:t>
      </w:r>
      <w:r w:rsidRPr="00516D4E">
        <w:rPr>
          <w:i/>
          <w:iCs/>
          <w:noProof/>
        </w:rPr>
        <w:t>Osteoporos Int</w:t>
      </w:r>
      <w:r w:rsidRPr="00516D4E">
        <w:rPr>
          <w:noProof/>
        </w:rPr>
        <w:t>. 2015;26(5):1605-1618. doi:10.1007/s00198-015-3034-0</w:t>
      </w:r>
    </w:p>
    <w:p w14:paraId="43E159E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25. </w:t>
      </w:r>
      <w:r w:rsidRPr="00516D4E">
        <w:rPr>
          <w:noProof/>
        </w:rPr>
        <w:tab/>
        <w:t xml:space="preserve">Zhao R, Zhang M, Zhang Q. The effectiveness of combined exercise interventions for preventing postmenopausal bone loss: A systematic review and meta-analysis. </w:t>
      </w:r>
      <w:r w:rsidRPr="00516D4E">
        <w:rPr>
          <w:i/>
          <w:iCs/>
          <w:noProof/>
        </w:rPr>
        <w:t>J Orthop Sports Phys Ther</w:t>
      </w:r>
      <w:r w:rsidRPr="00516D4E">
        <w:rPr>
          <w:noProof/>
        </w:rPr>
        <w:t>. 2017;47(4):241-251. doi:10.2519/jospt.2017.6969</w:t>
      </w:r>
    </w:p>
    <w:p w14:paraId="374215E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26. </w:t>
      </w:r>
      <w:r w:rsidRPr="00516D4E">
        <w:rPr>
          <w:noProof/>
        </w:rPr>
        <w:tab/>
        <w:t xml:space="preserve">Kelley GA, Kelley KS, Kohrt WM. Erratum: Exercise and bone mineral density in premenopausal women: A meta-analysis of randomized controlled trials (International Journal of Endocrinology). </w:t>
      </w:r>
      <w:r w:rsidRPr="00516D4E">
        <w:rPr>
          <w:i/>
          <w:iCs/>
          <w:noProof/>
        </w:rPr>
        <w:t>Int J Endocrinol</w:t>
      </w:r>
      <w:r w:rsidRPr="00516D4E">
        <w:rPr>
          <w:noProof/>
        </w:rPr>
        <w:t>. 2013;2013. doi:10.1155/2013/583217</w:t>
      </w:r>
    </w:p>
    <w:p w14:paraId="7D503BB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27. </w:t>
      </w:r>
      <w:r w:rsidRPr="00516D4E">
        <w:rPr>
          <w:noProof/>
        </w:rPr>
        <w:tab/>
        <w:t xml:space="preserve">Kelley GA, Kelley KS, Kohrt WM. Effects of ground and joint reaction force exercise on lumbar spine and femoral neck bone mineral density in postmenopausal women: A meta-analysis of randomized controlled trials. </w:t>
      </w:r>
      <w:r w:rsidRPr="00516D4E">
        <w:rPr>
          <w:i/>
          <w:iCs/>
          <w:noProof/>
        </w:rPr>
        <w:t>BMC Musculoskelet Disord</w:t>
      </w:r>
      <w:r w:rsidRPr="00516D4E">
        <w:rPr>
          <w:noProof/>
        </w:rPr>
        <w:t>. 2012;13. doi:10.1186/1471-2474-13-177</w:t>
      </w:r>
    </w:p>
    <w:p w14:paraId="0A0F45F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28. </w:t>
      </w:r>
      <w:r w:rsidRPr="00516D4E">
        <w:rPr>
          <w:noProof/>
        </w:rPr>
        <w:tab/>
        <w:t xml:space="preserve">Gómez-Bruton A, Gónzalez-Agüero A, Gómez-Cabello A, Casajús JA, Vicente-Rodríguez G. Is Bone Tissue Really Affected by Swimming? A Systematic Review. </w:t>
      </w:r>
      <w:r w:rsidRPr="00516D4E">
        <w:rPr>
          <w:i/>
          <w:iCs/>
          <w:noProof/>
        </w:rPr>
        <w:t>PLoS One</w:t>
      </w:r>
      <w:r w:rsidRPr="00516D4E">
        <w:rPr>
          <w:noProof/>
        </w:rPr>
        <w:t>. 2013;8(8). doi:10.1371/journal.pone.0070119</w:t>
      </w:r>
    </w:p>
    <w:p w14:paraId="06FC5CB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29. </w:t>
      </w:r>
      <w:r w:rsidRPr="00516D4E">
        <w:rPr>
          <w:noProof/>
        </w:rPr>
        <w:tab/>
        <w:t xml:space="preserve">Kelley GA, Kelley KS, Kohrt WM. Exercise and bone mineral density in men: A meta-analysis of randomized controlled trials. </w:t>
      </w:r>
      <w:r w:rsidRPr="00516D4E">
        <w:rPr>
          <w:i/>
          <w:iCs/>
          <w:noProof/>
        </w:rPr>
        <w:t>Bone</w:t>
      </w:r>
      <w:r w:rsidRPr="00516D4E">
        <w:rPr>
          <w:noProof/>
        </w:rPr>
        <w:t>. 2013;53(1):103-111. doi:10.1016/j.bone.2012.11.031</w:t>
      </w:r>
    </w:p>
    <w:p w14:paraId="1A7DAA9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30. </w:t>
      </w:r>
      <w:r w:rsidRPr="00516D4E">
        <w:rPr>
          <w:noProof/>
        </w:rPr>
        <w:tab/>
        <w:t xml:space="preserve">Gómez-Cabello A, Ara I, González-Agüero A, Casajús JA, Vicente-Rodríguez G. Effects of training on bone mass in older adults: A systematic review. </w:t>
      </w:r>
      <w:r w:rsidRPr="00516D4E">
        <w:rPr>
          <w:i/>
          <w:iCs/>
          <w:noProof/>
        </w:rPr>
        <w:t>Sport Med</w:t>
      </w:r>
      <w:r w:rsidRPr="00516D4E">
        <w:rPr>
          <w:noProof/>
        </w:rPr>
        <w:t>. 2012;42(4):301-325. doi:10.2165/11597670-000000000-00000</w:t>
      </w:r>
    </w:p>
    <w:p w14:paraId="6206B2C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31. </w:t>
      </w:r>
      <w:r w:rsidRPr="00516D4E">
        <w:rPr>
          <w:noProof/>
        </w:rPr>
        <w:tab/>
        <w:t xml:space="preserve">Martyn-St James M, Carroll S. A meta-analysis of impact exercise on postmenopausal bone loss: The case for mixed loading exercise programmes. </w:t>
      </w:r>
      <w:r w:rsidRPr="00516D4E">
        <w:rPr>
          <w:i/>
          <w:iCs/>
          <w:noProof/>
        </w:rPr>
        <w:t>Br J Sports Med</w:t>
      </w:r>
      <w:r w:rsidRPr="00516D4E">
        <w:rPr>
          <w:noProof/>
        </w:rPr>
        <w:t>. 2009;43(12):898-908. doi:10.1136/bjsm.2008.052704</w:t>
      </w:r>
    </w:p>
    <w:p w14:paraId="36057E85"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32. </w:t>
      </w:r>
      <w:r w:rsidRPr="00516D4E">
        <w:rPr>
          <w:noProof/>
        </w:rPr>
        <w:tab/>
        <w:t xml:space="preserve">Marques EA, Mota J, Carvalho J. Exercise effects on bone mineral density in older adults: A meta-analysis of randomized controlled trials. </w:t>
      </w:r>
      <w:r w:rsidRPr="00516D4E">
        <w:rPr>
          <w:i/>
          <w:iCs/>
          <w:noProof/>
        </w:rPr>
        <w:t>Age (Omaha)</w:t>
      </w:r>
      <w:r w:rsidRPr="00516D4E">
        <w:rPr>
          <w:noProof/>
        </w:rPr>
        <w:t>. 2012;34(6):1493-1515. doi:10.1007/s11357-011-9311-8</w:t>
      </w:r>
    </w:p>
    <w:p w14:paraId="0BD3825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33. </w:t>
      </w:r>
      <w:r w:rsidRPr="00516D4E">
        <w:rPr>
          <w:noProof/>
        </w:rPr>
        <w:tab/>
        <w:t xml:space="preserve">Martyn-St James M, Carroll S. Meta-analysis of walking for preservation of bone mineral density in postmenopausal women. </w:t>
      </w:r>
      <w:r w:rsidRPr="00516D4E">
        <w:rPr>
          <w:i/>
          <w:iCs/>
          <w:noProof/>
        </w:rPr>
        <w:t>Bone</w:t>
      </w:r>
      <w:r w:rsidRPr="00516D4E">
        <w:rPr>
          <w:noProof/>
        </w:rPr>
        <w:t>. 2008;43(3):521-531. doi:10.1016/j.bone.2008.05.012</w:t>
      </w:r>
    </w:p>
    <w:p w14:paraId="4C3B3AA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34. </w:t>
      </w:r>
      <w:r w:rsidRPr="00516D4E">
        <w:rPr>
          <w:noProof/>
        </w:rPr>
        <w:tab/>
        <w:t xml:space="preserve">Martyn St James M, Carroll S. Effects of different impact exercise modalities on bone mineral density in premenopausal women: A meta-analysis. </w:t>
      </w:r>
      <w:r w:rsidRPr="00516D4E">
        <w:rPr>
          <w:i/>
          <w:iCs/>
          <w:noProof/>
        </w:rPr>
        <w:t>J Bone Miner Metab</w:t>
      </w:r>
      <w:r w:rsidRPr="00516D4E">
        <w:rPr>
          <w:noProof/>
        </w:rPr>
        <w:t>. 2010;28(3):251-267. doi:10.1007/s00774-009-0139-6</w:t>
      </w:r>
    </w:p>
    <w:p w14:paraId="1745578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35. </w:t>
      </w:r>
      <w:r w:rsidRPr="00516D4E">
        <w:rPr>
          <w:noProof/>
        </w:rPr>
        <w:tab/>
        <w:t xml:space="preserve">Martyn St James M, Carroll S. Progressive high-intensity resistance training and bone mineral density changes among premenopausal women: Evidence of discordant site-specific skeletal effects. </w:t>
      </w:r>
      <w:r w:rsidRPr="00516D4E">
        <w:rPr>
          <w:i/>
          <w:iCs/>
          <w:noProof/>
        </w:rPr>
        <w:t>Sport Med</w:t>
      </w:r>
      <w:r w:rsidRPr="00516D4E">
        <w:rPr>
          <w:noProof/>
        </w:rPr>
        <w:t>. 2006;36(8):683-704. doi:10.2165/00007256-200636080-00005</w:t>
      </w:r>
    </w:p>
    <w:p w14:paraId="5A3CC25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36. </w:t>
      </w:r>
      <w:r w:rsidRPr="00516D4E">
        <w:rPr>
          <w:noProof/>
        </w:rPr>
        <w:tab/>
        <w:t xml:space="preserve">Martyn-St. James M, Carroll S. High-intensity resistance training and postmenopausal bone loss: A meta-analysis. </w:t>
      </w:r>
      <w:r w:rsidRPr="00516D4E">
        <w:rPr>
          <w:i/>
          <w:iCs/>
          <w:noProof/>
        </w:rPr>
        <w:t>Osteoporos Int</w:t>
      </w:r>
      <w:r w:rsidRPr="00516D4E">
        <w:rPr>
          <w:noProof/>
        </w:rPr>
        <w:t>. 2006;17(8):1225-1240. doi:10.1007/s00198-006-0083-4</w:t>
      </w:r>
    </w:p>
    <w:p w14:paraId="67F8890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37. </w:t>
      </w:r>
      <w:r w:rsidRPr="00516D4E">
        <w:rPr>
          <w:noProof/>
        </w:rPr>
        <w:tab/>
        <w:t xml:space="preserve">Kemmler W, von Stengel S, Kohl M. Exercise frequency and bone mineral density development in exercising postmenopausal osteopenic women. Is there a critical dose of exercise for affecting bone? Results of the Erlangen Fitness and Osteoporosis Prevention Study. </w:t>
      </w:r>
      <w:r w:rsidRPr="00516D4E">
        <w:rPr>
          <w:i/>
          <w:iCs/>
          <w:noProof/>
        </w:rPr>
        <w:t>Bone</w:t>
      </w:r>
      <w:r w:rsidRPr="00516D4E">
        <w:rPr>
          <w:noProof/>
        </w:rPr>
        <w:t>. 2016;89:1-6. doi:10.1016/j.bone.2016.04.019</w:t>
      </w:r>
    </w:p>
    <w:p w14:paraId="44AEA4D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38. </w:t>
      </w:r>
      <w:r w:rsidRPr="00516D4E">
        <w:rPr>
          <w:noProof/>
        </w:rPr>
        <w:tab/>
        <w:t xml:space="preserve">Kelley GA, Kelley KS. Exercise and bone mineral density at the femoral neck in postmenopausal women: A meta-analysis of controlled clinical trials with individual patient data. </w:t>
      </w:r>
      <w:r w:rsidRPr="00516D4E">
        <w:rPr>
          <w:i/>
          <w:iCs/>
          <w:noProof/>
        </w:rPr>
        <w:t>Am J Obstet Gynecol</w:t>
      </w:r>
      <w:r w:rsidRPr="00516D4E">
        <w:rPr>
          <w:noProof/>
        </w:rPr>
        <w:t>. 2006;194(3):760-767. doi:10.1016/j.ajog.2005.09.006</w:t>
      </w:r>
    </w:p>
    <w:p w14:paraId="7AF5D1B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39. </w:t>
      </w:r>
      <w:r w:rsidRPr="00516D4E">
        <w:rPr>
          <w:noProof/>
        </w:rPr>
        <w:tab/>
        <w:t xml:space="preserve">Simas V, Hing W, Pope R, Climstein M. Effects of water-based exercise on bone health of middle-aged and older adults: a systematic review and meta-analysis. </w:t>
      </w:r>
      <w:r w:rsidRPr="00516D4E">
        <w:rPr>
          <w:i/>
          <w:iCs/>
          <w:noProof/>
        </w:rPr>
        <w:t>Open Access J Sport Med</w:t>
      </w:r>
      <w:r w:rsidRPr="00516D4E">
        <w:rPr>
          <w:noProof/>
        </w:rPr>
        <w:t>. 2017;Volume 8:39-60. doi:10.2147/oajsm.s129182</w:t>
      </w:r>
    </w:p>
    <w:p w14:paraId="437C74D6"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40. </w:t>
      </w:r>
      <w:r w:rsidRPr="00516D4E">
        <w:rPr>
          <w:noProof/>
        </w:rPr>
        <w:tab/>
        <w:t xml:space="preserve">Foster C, Armstrong MEG. What types of physical activities are effective in developing muscle and bone strength and balance? </w:t>
      </w:r>
      <w:r w:rsidRPr="00516D4E">
        <w:rPr>
          <w:i/>
          <w:iCs/>
          <w:noProof/>
        </w:rPr>
        <w:t>J Frailty, Sarcopenia Falls</w:t>
      </w:r>
      <w:r w:rsidRPr="00516D4E">
        <w:rPr>
          <w:noProof/>
        </w:rPr>
        <w:t>. 2018;03(02):58-65. doi:10.22540/jfsf-03-058</w:t>
      </w:r>
    </w:p>
    <w:p w14:paraId="189B17A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41. </w:t>
      </w:r>
      <w:r w:rsidRPr="00516D4E">
        <w:rPr>
          <w:noProof/>
        </w:rPr>
        <w:tab/>
        <w:t xml:space="preserve">Babatunde OO, Forsyth JJ, Gidlow CJ. A meta-analysis of brief high-impact exercises for enhancing bone health in premenopausal women. </w:t>
      </w:r>
      <w:r w:rsidRPr="00516D4E">
        <w:rPr>
          <w:i/>
          <w:iCs/>
          <w:noProof/>
        </w:rPr>
        <w:t>Osteoporos Int</w:t>
      </w:r>
      <w:r w:rsidRPr="00516D4E">
        <w:rPr>
          <w:noProof/>
        </w:rPr>
        <w:t>. 2012;23(1):109-119. doi:10.1007/s00198-011-1801-0</w:t>
      </w:r>
    </w:p>
    <w:p w14:paraId="10E80AD6"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42. </w:t>
      </w:r>
      <w:r w:rsidRPr="00516D4E">
        <w:rPr>
          <w:noProof/>
        </w:rPr>
        <w:tab/>
        <w:t xml:space="preserve">Bolam KA, Van Uffelen JGZ, Taaffe DR. The effect of physical exercise on bone density in middle-aged and older men: A systematic review. </w:t>
      </w:r>
      <w:r w:rsidRPr="00516D4E">
        <w:rPr>
          <w:i/>
          <w:iCs/>
          <w:noProof/>
        </w:rPr>
        <w:t>Osteoporos Int</w:t>
      </w:r>
      <w:r w:rsidRPr="00516D4E">
        <w:rPr>
          <w:noProof/>
        </w:rPr>
        <w:t>. 2013;24(11):2749-2762. doi:10.1007/s00198-013-2346-1</w:t>
      </w:r>
    </w:p>
    <w:p w14:paraId="30F4760E"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43. </w:t>
      </w:r>
      <w:r w:rsidRPr="00516D4E">
        <w:rPr>
          <w:noProof/>
        </w:rPr>
        <w:tab/>
        <w:t xml:space="preserve">Pinheiro MB, Oliveira J, Bauman A, Fairhall N, Kwok W, Sherrington C. </w:t>
      </w:r>
      <w:r w:rsidRPr="00516D4E">
        <w:rPr>
          <w:i/>
          <w:iCs/>
          <w:noProof/>
        </w:rPr>
        <w:t>Evidence on Physical Activity and Osteoporosis Prevention for People Aged 65+ Years: A Systematic Review to Inform the WHO Guidelines on Physical Activity and Sedentary Behaviour</w:t>
      </w:r>
      <w:r w:rsidRPr="00516D4E">
        <w:rPr>
          <w:noProof/>
        </w:rPr>
        <w:t>. Vol 17. International Journal of Behavioral Nutrition and Physical Activity; 2020. doi:10.1186/s12966-020-01040-4</w:t>
      </w:r>
    </w:p>
    <w:p w14:paraId="2D61C76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44. </w:t>
      </w:r>
      <w:r w:rsidRPr="00516D4E">
        <w:rPr>
          <w:noProof/>
        </w:rPr>
        <w:tab/>
        <w:t xml:space="preserve">Howe TE, Shea B, Dawson LJ, et al. Exercise for preventing and treating osteoporosis in postmenopausal women. </w:t>
      </w:r>
      <w:r w:rsidRPr="00516D4E">
        <w:rPr>
          <w:i/>
          <w:iCs/>
          <w:noProof/>
        </w:rPr>
        <w:t>Cochrane Database Syst Rev</w:t>
      </w:r>
      <w:r w:rsidRPr="00516D4E">
        <w:rPr>
          <w:noProof/>
        </w:rPr>
        <w:t>. 2011;2011(7):1-167. doi:10.1002/14651858.CD000333.pub2.</w:t>
      </w:r>
    </w:p>
    <w:p w14:paraId="1B2BD63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45. </w:t>
      </w:r>
      <w:r w:rsidRPr="00516D4E">
        <w:rPr>
          <w:noProof/>
        </w:rPr>
        <w:tab/>
        <w:t xml:space="preserve">Giangregorio LM, Macintyre NJ, Thabane L, Skidmore CJ, Papaioannou A. Exercise for improving outcomes after osteoporotic vertebral fracture. </w:t>
      </w:r>
      <w:r w:rsidRPr="00516D4E">
        <w:rPr>
          <w:i/>
          <w:iCs/>
          <w:noProof/>
        </w:rPr>
        <w:t>Cochrane Database Syst Rev</w:t>
      </w:r>
      <w:r w:rsidRPr="00516D4E">
        <w:rPr>
          <w:noProof/>
        </w:rPr>
        <w:t>. 2013;2013(1). doi:10.1002/14651858.CD008618.pub2</w:t>
      </w:r>
    </w:p>
    <w:p w14:paraId="7BC507D7"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46. </w:t>
      </w:r>
      <w:r w:rsidRPr="00516D4E">
        <w:rPr>
          <w:noProof/>
        </w:rPr>
        <w:tab/>
        <w:t xml:space="preserve">Gibbs JC, Macintyre NJ, Ponzano M, et al. Exercise for improving outcomes after osteoporotic vertebral fracture. </w:t>
      </w:r>
      <w:r w:rsidRPr="00516D4E">
        <w:rPr>
          <w:i/>
          <w:iCs/>
          <w:noProof/>
        </w:rPr>
        <w:t>Cochrane Database Syst Rev</w:t>
      </w:r>
      <w:r w:rsidRPr="00516D4E">
        <w:rPr>
          <w:noProof/>
        </w:rPr>
        <w:t>. 2019;2019(7). doi:10.1002/14651858.CD008618.pub3</w:t>
      </w:r>
    </w:p>
    <w:p w14:paraId="50CAAE7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47. </w:t>
      </w:r>
      <w:r w:rsidRPr="00516D4E">
        <w:rPr>
          <w:noProof/>
        </w:rPr>
        <w:tab/>
        <w:t xml:space="preserve">Kemmler W, von Stengel S. Dose-response effect of exercise frequency on bone mineral density in post-menopausal, osteopenic women. </w:t>
      </w:r>
      <w:r w:rsidRPr="00516D4E">
        <w:rPr>
          <w:i/>
          <w:iCs/>
          <w:noProof/>
        </w:rPr>
        <w:t>Scand J Med Sci Sport</w:t>
      </w:r>
      <w:r w:rsidRPr="00516D4E">
        <w:rPr>
          <w:noProof/>
        </w:rPr>
        <w:t>. 2014;24(3):526-534. doi:10.1111/sms.12024</w:t>
      </w:r>
    </w:p>
    <w:p w14:paraId="0A946367"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48. </w:t>
      </w:r>
      <w:r w:rsidRPr="00516D4E">
        <w:rPr>
          <w:noProof/>
        </w:rPr>
        <w:tab/>
        <w:t xml:space="preserve">Sherrington C, Michaleff ZA, Fairhall N, et al. Exercise to prevent falls in older adults: An updated systematic review and meta-analysis. </w:t>
      </w:r>
      <w:r w:rsidRPr="00516D4E">
        <w:rPr>
          <w:i/>
          <w:iCs/>
          <w:noProof/>
        </w:rPr>
        <w:t>Br J Sports Med</w:t>
      </w:r>
      <w:r w:rsidRPr="00516D4E">
        <w:rPr>
          <w:noProof/>
        </w:rPr>
        <w:t>. 2017;51(24):1749-1757. doi:10.1136/bjsports-2016-096547</w:t>
      </w:r>
    </w:p>
    <w:p w14:paraId="79B61B2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49. </w:t>
      </w:r>
      <w:r w:rsidRPr="00516D4E">
        <w:rPr>
          <w:noProof/>
        </w:rPr>
        <w:tab/>
        <w:t xml:space="preserve">Kunutsor SK, Leyland S, Skelton DA, et al. Adverse events and safety issues associated with physical activity and exercise for adults with osteoporosis and osteopenia: A systematic review of observational studies and an updated review of interventional studies. </w:t>
      </w:r>
      <w:r w:rsidRPr="00516D4E">
        <w:rPr>
          <w:i/>
          <w:iCs/>
          <w:noProof/>
        </w:rPr>
        <w:t>J Frailty, Sarcopenia Falls</w:t>
      </w:r>
      <w:r w:rsidRPr="00516D4E">
        <w:rPr>
          <w:noProof/>
        </w:rPr>
        <w:t>. 2018;03(04):155-178. doi:10.22540/jfsf-03-155</w:t>
      </w:r>
    </w:p>
    <w:p w14:paraId="5A3D15A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50. </w:t>
      </w:r>
      <w:r w:rsidRPr="00516D4E">
        <w:rPr>
          <w:noProof/>
        </w:rPr>
        <w:tab/>
        <w:t xml:space="preserve">Sinaki M, Mikkelsen BA, Beth A. Postmenopausal spinal osteoporosis: Flexion versus extension exercises. </w:t>
      </w:r>
      <w:r w:rsidRPr="00516D4E">
        <w:rPr>
          <w:i/>
          <w:iCs/>
          <w:noProof/>
        </w:rPr>
        <w:t>Arch Phys Med Rehabil</w:t>
      </w:r>
      <w:r w:rsidRPr="00516D4E">
        <w:rPr>
          <w:noProof/>
        </w:rPr>
        <w:t>. 1984;65(10):593-596.</w:t>
      </w:r>
    </w:p>
    <w:p w14:paraId="7474FAE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51. </w:t>
      </w:r>
      <w:r w:rsidRPr="00516D4E">
        <w:rPr>
          <w:noProof/>
        </w:rPr>
        <w:tab/>
        <w:t xml:space="preserve">Sinaki M. Yoga Spinal Flexion Positions and Vertebral Compression Fracture in Osteopenia or Osteoporosis of Spine: Case Series. </w:t>
      </w:r>
      <w:r w:rsidRPr="00516D4E">
        <w:rPr>
          <w:i/>
          <w:iCs/>
          <w:noProof/>
        </w:rPr>
        <w:t>Pain Pract</w:t>
      </w:r>
      <w:r w:rsidRPr="00516D4E">
        <w:rPr>
          <w:noProof/>
        </w:rPr>
        <w:t>. 2013;13(1):68-75. doi:10.1111/j.1533-2500.2012.00545.x</w:t>
      </w:r>
    </w:p>
    <w:p w14:paraId="46C9D864"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52. </w:t>
      </w:r>
      <w:r w:rsidRPr="00516D4E">
        <w:rPr>
          <w:noProof/>
        </w:rPr>
        <w:tab/>
        <w:t xml:space="preserve">Gold DT, Shipp KM, Pieper CF, Duncan PW, Martinez S, Lyles KW. Group treatment improves trunk strength and psychological status in older women with vertebral fractures: Results of a randomized, clinical trial. </w:t>
      </w:r>
      <w:r w:rsidRPr="00516D4E">
        <w:rPr>
          <w:i/>
          <w:iCs/>
          <w:noProof/>
        </w:rPr>
        <w:t>J Am Geriatr Soc</w:t>
      </w:r>
      <w:r w:rsidRPr="00516D4E">
        <w:rPr>
          <w:noProof/>
        </w:rPr>
        <w:t>. 2004;52(9):1471-1478. doi:10.1111/j.1532-5415.2004.52409.x</w:t>
      </w:r>
    </w:p>
    <w:p w14:paraId="487F4CF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53. </w:t>
      </w:r>
      <w:r w:rsidRPr="00516D4E">
        <w:rPr>
          <w:noProof/>
        </w:rPr>
        <w:tab/>
        <w:t xml:space="preserve">Watson SL, Weeks BK, Weis LJ, Harding AT, Horan SA, Beck BR. High-intensity exercise did not cause vertebral fractures and improves thoracic kyphosis in postmenopausal women with low to very low bone mass: the LIFTMOR trial. </w:t>
      </w:r>
      <w:r w:rsidRPr="00516D4E">
        <w:rPr>
          <w:i/>
          <w:iCs/>
          <w:noProof/>
        </w:rPr>
        <w:t>Osteoporos Int</w:t>
      </w:r>
      <w:r w:rsidRPr="00516D4E">
        <w:rPr>
          <w:noProof/>
        </w:rPr>
        <w:t>. 2019;30(5):957-964. doi:10.1007/s00198-018-04829-z</w:t>
      </w:r>
    </w:p>
    <w:p w14:paraId="56B89B5C"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54. </w:t>
      </w:r>
      <w:r w:rsidRPr="00516D4E">
        <w:rPr>
          <w:noProof/>
        </w:rPr>
        <w:tab/>
        <w:t xml:space="preserve">Harding AT, Weeks BK, Lambert C, Watson SL, Weis LJ, Beck BR. Exploring thoracic kyphosis and incident fracture from vertebral morphology with high-intensity exercise in middle-aged and older men with osteopenia and osteoporosis: a secondary analysis of the LIFTMOR-M trial. </w:t>
      </w:r>
      <w:r w:rsidRPr="00516D4E">
        <w:rPr>
          <w:i/>
          <w:iCs/>
          <w:noProof/>
        </w:rPr>
        <w:t>Osteoporos Int</w:t>
      </w:r>
      <w:r w:rsidRPr="00516D4E">
        <w:rPr>
          <w:noProof/>
        </w:rPr>
        <w:t>. Published online 2020. doi:10.1007/s00198-020-05583-x</w:t>
      </w:r>
    </w:p>
    <w:p w14:paraId="032D0D64"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55. </w:t>
      </w:r>
      <w:r w:rsidRPr="00516D4E">
        <w:rPr>
          <w:noProof/>
        </w:rPr>
        <w:tab/>
        <w:t xml:space="preserve">Giangregorio LM, Gibbs JC, Templeton JA, et al. Build better bones with exercise (B3E pilot trial): results of a feasibility study of a multicenter randomized controlled trial of 12 months of home exercise in older women with vertebral fracture. </w:t>
      </w:r>
      <w:r w:rsidRPr="00516D4E">
        <w:rPr>
          <w:i/>
          <w:iCs/>
          <w:noProof/>
        </w:rPr>
        <w:t>Osteoporos Int</w:t>
      </w:r>
      <w:r w:rsidRPr="00516D4E">
        <w:rPr>
          <w:noProof/>
        </w:rPr>
        <w:t>. 2018;29(11):2545-2556. doi:10.1007/s00198-018-4652-0</w:t>
      </w:r>
    </w:p>
    <w:p w14:paraId="72675731"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56. </w:t>
      </w:r>
      <w:r w:rsidRPr="00516D4E">
        <w:rPr>
          <w:noProof/>
        </w:rPr>
        <w:tab/>
        <w:t xml:space="preserve">Garber CE, Blissmer B, Deschenes MR, et al. Quantity and quality of exercise for developing and maintaining cardiorespiratory, musculoskeletal, and neuromotor fitness in apparently healthy adults: Guidance for prescribing exercise. </w:t>
      </w:r>
      <w:r w:rsidRPr="00516D4E">
        <w:rPr>
          <w:i/>
          <w:iCs/>
          <w:noProof/>
        </w:rPr>
        <w:t>Med Sci Sports Exerc</w:t>
      </w:r>
      <w:r w:rsidRPr="00516D4E">
        <w:rPr>
          <w:noProof/>
        </w:rPr>
        <w:t>. 2011;43(7):1334-1359. doi:10.1249/MSS.0b013e318213fefb</w:t>
      </w:r>
    </w:p>
    <w:p w14:paraId="0188F6E8"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57. </w:t>
      </w:r>
      <w:r w:rsidRPr="00516D4E">
        <w:rPr>
          <w:noProof/>
        </w:rPr>
        <w:tab/>
        <w:t xml:space="preserve">Skelton DA, Mavroeidi A. How do muscle and bone strengthening and balance activities (MBSBA) vary across the life course, and are there particular ages where MBSBA are most important? </w:t>
      </w:r>
      <w:r w:rsidRPr="00516D4E">
        <w:rPr>
          <w:i/>
          <w:iCs/>
          <w:noProof/>
        </w:rPr>
        <w:t>J Frailty, Sarcopenia Falls</w:t>
      </w:r>
      <w:r w:rsidRPr="00516D4E">
        <w:rPr>
          <w:noProof/>
        </w:rPr>
        <w:t>. 2018;03(02):74-84. doi:10.22540/jfsf-03-074</w:t>
      </w:r>
    </w:p>
    <w:p w14:paraId="7E74CF4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58. </w:t>
      </w:r>
      <w:r w:rsidRPr="00516D4E">
        <w:rPr>
          <w:noProof/>
        </w:rPr>
        <w:tab/>
        <w:t xml:space="preserve">Yardley L, Beyer N, Hauer K, McKee K, Ballinger C, Todd C. Recommendations for promoting the engagement of older people in activities to prevent falls. </w:t>
      </w:r>
      <w:r w:rsidRPr="00516D4E">
        <w:rPr>
          <w:i/>
          <w:iCs/>
          <w:noProof/>
        </w:rPr>
        <w:t>Qual Saf Health Care</w:t>
      </w:r>
      <w:r w:rsidRPr="00516D4E">
        <w:rPr>
          <w:noProof/>
        </w:rPr>
        <w:t>. 2007;16(3):230-234. doi:10.1136/qshc.2006.019802</w:t>
      </w:r>
    </w:p>
    <w:p w14:paraId="62421045"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59. </w:t>
      </w:r>
      <w:r w:rsidRPr="00516D4E">
        <w:rPr>
          <w:noProof/>
        </w:rPr>
        <w:tab/>
        <w:t xml:space="preserve">Evstigneeva L, Lesnyak O, Bultink IEM, et al. Effect of twelve-month physical exercise program on patients with osteoporotic vertebral fractures: A randomized, controlled trial. </w:t>
      </w:r>
      <w:r w:rsidRPr="00516D4E">
        <w:rPr>
          <w:i/>
          <w:iCs/>
          <w:noProof/>
        </w:rPr>
        <w:t>Osteoporos Int</w:t>
      </w:r>
      <w:r w:rsidRPr="00516D4E">
        <w:rPr>
          <w:noProof/>
        </w:rPr>
        <w:t>. 2016;27(8):2515-2524. doi:10.1007/s00198-016-3560-4</w:t>
      </w:r>
    </w:p>
    <w:p w14:paraId="1B77152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60. </w:t>
      </w:r>
      <w:r w:rsidRPr="00516D4E">
        <w:rPr>
          <w:noProof/>
        </w:rPr>
        <w:tab/>
        <w:t xml:space="preserve">Madureira MM, Takayama L, Gallinaro AL, Caparbo VF, Costa RA, Pereira RMR. Balance training program is highly effective in improving functional status and reducing the risk of falls in elderly women with osteoporosis: A randomized controlled trial. </w:t>
      </w:r>
      <w:r w:rsidRPr="00516D4E">
        <w:rPr>
          <w:i/>
          <w:iCs/>
          <w:noProof/>
        </w:rPr>
        <w:t>Osteoporos Int</w:t>
      </w:r>
      <w:r w:rsidRPr="00516D4E">
        <w:rPr>
          <w:noProof/>
        </w:rPr>
        <w:t>. 2007;18(4):419-425. doi:10.1007/s00198-006-0252-5</w:t>
      </w:r>
    </w:p>
    <w:p w14:paraId="4272B30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61. </w:t>
      </w:r>
      <w:r w:rsidRPr="00516D4E">
        <w:rPr>
          <w:noProof/>
        </w:rPr>
        <w:tab/>
        <w:t xml:space="preserve">Barker KL, Newman M, Stallard N, et al. Exercise or manual physiotherapy compared with a single session of physiotherapy for osteoporotic vertebral fracture: Three-arm PROVE RCT. </w:t>
      </w:r>
      <w:r w:rsidRPr="00516D4E">
        <w:rPr>
          <w:i/>
          <w:iCs/>
          <w:noProof/>
        </w:rPr>
        <w:t>Health Technol Assess (Rockv)</w:t>
      </w:r>
      <w:r w:rsidRPr="00516D4E">
        <w:rPr>
          <w:noProof/>
        </w:rPr>
        <w:t>. 2019;23(44):vii-317. doi:10.3310/hta23440</w:t>
      </w:r>
    </w:p>
    <w:p w14:paraId="454B398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62. </w:t>
      </w:r>
      <w:r w:rsidRPr="00516D4E">
        <w:rPr>
          <w:noProof/>
        </w:rPr>
        <w:tab/>
        <w:t xml:space="preserve">Devereux K, Robertson D, Briffa NK. Effects of a water-based program on women 65 years and over: A randomised controlled trial. </w:t>
      </w:r>
      <w:r w:rsidRPr="00516D4E">
        <w:rPr>
          <w:i/>
          <w:iCs/>
          <w:noProof/>
        </w:rPr>
        <w:t>Aust J Physiother</w:t>
      </w:r>
      <w:r w:rsidRPr="00516D4E">
        <w:rPr>
          <w:noProof/>
        </w:rPr>
        <w:t>. 2005;51(2):102-108. doi:10.1016/S0004-9514(05)70038-6</w:t>
      </w:r>
    </w:p>
    <w:p w14:paraId="71EA16E0"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63. </w:t>
      </w:r>
      <w:r w:rsidRPr="00516D4E">
        <w:rPr>
          <w:noProof/>
        </w:rPr>
        <w:tab/>
        <w:t>Royal Osteoporosis Society. Strong, Steady and Straight. An Expert Consensus Statement on Physical Activity and Exercise for Osteoporosis. Published 2019. Accessed March 1, 2021. https://strwebstgmedia.blob.core.windows.net/media/1hsfzfe3/consensus-statement-strong-steady-and-straight-web-march-2019.pdf</w:t>
      </w:r>
    </w:p>
    <w:p w14:paraId="3C7C89BC"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64. </w:t>
      </w:r>
      <w:r w:rsidRPr="00516D4E">
        <w:rPr>
          <w:noProof/>
        </w:rPr>
        <w:tab/>
        <w:t>Royal Osteoporosis Society. Strong, Steady and Straight: Physical Activity and Exercise for Osteoporosis. Quick guide: summary. Published online 2019. https://theros.org.uk/media/0o5h1l53/ros-strong-steady-straight-quick-guide-february-2019.pdf</w:t>
      </w:r>
    </w:p>
    <w:p w14:paraId="10BCBC9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65. </w:t>
      </w:r>
      <w:r w:rsidRPr="00516D4E">
        <w:rPr>
          <w:noProof/>
        </w:rPr>
        <w:tab/>
        <w:t>Royal Osteoporosis Society. Exercise and physical activity for osteoporosis and bone health. Published 2019. Accessed April 1, 2021. theros.org.uk/exercise</w:t>
      </w:r>
    </w:p>
    <w:p w14:paraId="339C287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66. </w:t>
      </w:r>
      <w:r w:rsidRPr="00516D4E">
        <w:rPr>
          <w:noProof/>
        </w:rPr>
        <w:tab/>
        <w:t xml:space="preserve">Shojaa M, Von Stengel S, Schoene D, et al. Effect of exercise training on bone mineral density in post-menopausal women: A systematic review and meta-analysis of intervention studies. </w:t>
      </w:r>
      <w:r w:rsidRPr="00516D4E">
        <w:rPr>
          <w:i/>
          <w:iCs/>
          <w:noProof/>
        </w:rPr>
        <w:t>Front Physiol</w:t>
      </w:r>
      <w:r w:rsidRPr="00516D4E">
        <w:rPr>
          <w:noProof/>
        </w:rPr>
        <w:t>. 2020;11(June). doi:10.3389/fphys.2020.00652</w:t>
      </w:r>
    </w:p>
    <w:p w14:paraId="08C9A39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67. </w:t>
      </w:r>
      <w:r w:rsidRPr="00516D4E">
        <w:rPr>
          <w:noProof/>
        </w:rPr>
        <w:tab/>
        <w:t xml:space="preserve">Shojaa M, Von Stengel S, Kohl M, Schoene D, Kemmler W. Effects of dynamic resistance exercise on bone mineral density in postmenopausal women: a systematic review and meta-analysis with special emphasis on exercise parameters. </w:t>
      </w:r>
      <w:r w:rsidRPr="00516D4E">
        <w:rPr>
          <w:i/>
          <w:iCs/>
          <w:noProof/>
        </w:rPr>
        <w:t>Osteoporos Int</w:t>
      </w:r>
      <w:r w:rsidRPr="00516D4E">
        <w:rPr>
          <w:noProof/>
        </w:rPr>
        <w:t>. 2020;31:1427-1444.</w:t>
      </w:r>
    </w:p>
    <w:p w14:paraId="3A94C3F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68. </w:t>
      </w:r>
      <w:r w:rsidRPr="00516D4E">
        <w:rPr>
          <w:noProof/>
        </w:rPr>
        <w:tab/>
        <w:t xml:space="preserve">Kemmler W, Shojaa M, Kohl M, von Stengel S. </w:t>
      </w:r>
      <w:r w:rsidRPr="00516D4E">
        <w:rPr>
          <w:i/>
          <w:iCs/>
          <w:noProof/>
        </w:rPr>
        <w:t>Effects of Different Types of Exercise on Bone Mineral Density in Postmenopausal Women: A Systematic Review and Meta-Analysis</w:t>
      </w:r>
      <w:r w:rsidRPr="00516D4E">
        <w:rPr>
          <w:noProof/>
        </w:rPr>
        <w:t>. Vol 107. Springer US; 2020. doi:10.1007/s00223-020-00744-w</w:t>
      </w:r>
    </w:p>
    <w:p w14:paraId="782E05A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69. </w:t>
      </w:r>
      <w:r w:rsidRPr="00516D4E">
        <w:rPr>
          <w:noProof/>
        </w:rPr>
        <w:tab/>
        <w:t xml:space="preserve">Mohammad Rahimi GR, Smart NA, Liang MTC, et al. The Impact of Different Modes of Exercise Training on Bone Mineral Density in Older Postmenopausal Women: A Systematic Review and Meta-analysis Research. </w:t>
      </w:r>
      <w:r w:rsidRPr="00516D4E">
        <w:rPr>
          <w:i/>
          <w:iCs/>
          <w:noProof/>
        </w:rPr>
        <w:t>Calcif Tissue Int</w:t>
      </w:r>
      <w:r w:rsidRPr="00516D4E">
        <w:rPr>
          <w:noProof/>
        </w:rPr>
        <w:t>. 2020;106(6):577-590. doi:10.1007/s00223-020-00671-w</w:t>
      </w:r>
    </w:p>
    <w:p w14:paraId="189D048F"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70. </w:t>
      </w:r>
      <w:r w:rsidRPr="00516D4E">
        <w:rPr>
          <w:noProof/>
        </w:rPr>
        <w:tab/>
        <w:t xml:space="preserve">Souza D, Barbalho M, Ramirez-Campillo R, Martins W, Gentil P. High and low-load resistance training produce similar effects on bone mineral density of middle-aged and older people: A systematic review with meta-analysis of randomized clinical trials. </w:t>
      </w:r>
      <w:r w:rsidRPr="00516D4E">
        <w:rPr>
          <w:i/>
          <w:iCs/>
          <w:noProof/>
        </w:rPr>
        <w:t>Exp Gerontol</w:t>
      </w:r>
      <w:r w:rsidRPr="00516D4E">
        <w:rPr>
          <w:noProof/>
        </w:rPr>
        <w:t>. 2020;138(May):110973. doi:10.1016/j.exger.2020.110973</w:t>
      </w:r>
    </w:p>
    <w:p w14:paraId="5AC4B0B3"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71. </w:t>
      </w:r>
      <w:r w:rsidRPr="00516D4E">
        <w:rPr>
          <w:noProof/>
        </w:rPr>
        <w:tab/>
        <w:t xml:space="preserve">Kistler-Fischbacher M, Weeks BK, Beck BR. The effect of exercise intensity on bone in postmenopausal women (part 2): A meta-analysis. </w:t>
      </w:r>
      <w:r w:rsidRPr="00516D4E">
        <w:rPr>
          <w:i/>
          <w:iCs/>
          <w:noProof/>
        </w:rPr>
        <w:t>Bone</w:t>
      </w:r>
      <w:r w:rsidRPr="00516D4E">
        <w:rPr>
          <w:noProof/>
        </w:rPr>
        <w:t>. 2021;143(December 2020):115697. doi:10.1016/j.bone.2020.115697</w:t>
      </w:r>
    </w:p>
    <w:p w14:paraId="46BB9932"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72. </w:t>
      </w:r>
      <w:r w:rsidRPr="00516D4E">
        <w:rPr>
          <w:noProof/>
        </w:rPr>
        <w:tab/>
        <w:t xml:space="preserve">Zhao R, Bu W, Chen X. The efficacy and safety of exercise for prevention of fall-related injuries in older people with different health conditions, and differing intervention protocols: A meta-analysis of randomized controlled trials. </w:t>
      </w:r>
      <w:r w:rsidRPr="00516D4E">
        <w:rPr>
          <w:i/>
          <w:iCs/>
          <w:noProof/>
        </w:rPr>
        <w:t>BMC Geriatr</w:t>
      </w:r>
      <w:r w:rsidRPr="00516D4E">
        <w:rPr>
          <w:noProof/>
        </w:rPr>
        <w:t>. 2019;19(1):1-12. doi:10.1186/s12877-019-1359-9</w:t>
      </w:r>
    </w:p>
    <w:p w14:paraId="25F0E8A9"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73. </w:t>
      </w:r>
      <w:r w:rsidRPr="00516D4E">
        <w:rPr>
          <w:noProof/>
        </w:rPr>
        <w:tab/>
        <w:t xml:space="preserve">De Souto Barreto P, Rolland Y, Vellas B, Maltais M. Association of Long-term Exercise Training with Risk of Falls, Fractures, Hospitalizations, and Mortality in Older Adults: A Systematic Review and Meta-analysis. </w:t>
      </w:r>
      <w:r w:rsidRPr="00516D4E">
        <w:rPr>
          <w:i/>
          <w:iCs/>
          <w:noProof/>
        </w:rPr>
        <w:t>JAMA Intern Med</w:t>
      </w:r>
      <w:r w:rsidRPr="00516D4E">
        <w:rPr>
          <w:noProof/>
        </w:rPr>
        <w:t>. 2019;179(3):394-405. doi:10.1001/jamainternmed.2018.5406</w:t>
      </w:r>
    </w:p>
    <w:p w14:paraId="261A588A"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74. </w:t>
      </w:r>
      <w:r w:rsidRPr="00516D4E">
        <w:rPr>
          <w:noProof/>
        </w:rPr>
        <w:tab/>
        <w:t xml:space="preserve">Gibbs JC, McArthur C, Wark JD, et al. The Effects of Home Exercise in Older Women with Vertebral Fractures: A Pilot Randomized Controlled Trial. </w:t>
      </w:r>
      <w:r w:rsidRPr="00516D4E">
        <w:rPr>
          <w:i/>
          <w:iCs/>
          <w:noProof/>
        </w:rPr>
        <w:t>Phys Ther</w:t>
      </w:r>
      <w:r w:rsidRPr="00516D4E">
        <w:rPr>
          <w:noProof/>
        </w:rPr>
        <w:t>. 2020;100(4):662-676. doi:10.1093/ptj/pzz188</w:t>
      </w:r>
    </w:p>
    <w:p w14:paraId="5BC36200"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75. </w:t>
      </w:r>
      <w:r w:rsidRPr="00516D4E">
        <w:rPr>
          <w:noProof/>
        </w:rPr>
        <w:tab/>
        <w:t xml:space="preserve">Stanghelle B, Bentzen H, Giangregorio L, Pripp AH, Skelton DA, Bergland A. Effects of a resistance and balance exercise programme on physical fitness, health-related quality of life and fear of falling in older women with osteoporosis and vertebral fracture: a randomized controlled trial (Osteoporosis International, (2020), 31, . </w:t>
      </w:r>
      <w:r w:rsidRPr="00516D4E">
        <w:rPr>
          <w:i/>
          <w:iCs/>
          <w:noProof/>
        </w:rPr>
        <w:t>Osteoporos Int</w:t>
      </w:r>
      <w:r w:rsidRPr="00516D4E">
        <w:rPr>
          <w:noProof/>
        </w:rPr>
        <w:t>. 2020;31(6):1069-1078. doi:10.1007/s00198-020-05398-w</w:t>
      </w:r>
    </w:p>
    <w:p w14:paraId="719378DB"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76. </w:t>
      </w:r>
      <w:r w:rsidRPr="00516D4E">
        <w:rPr>
          <w:noProof/>
        </w:rPr>
        <w:tab/>
        <w:t xml:space="preserve">Cavill NA, Foster CEM. Enablers and barriers to older people’s participation in strength and balance activities: A review of reviews. </w:t>
      </w:r>
      <w:r w:rsidRPr="00516D4E">
        <w:rPr>
          <w:i/>
          <w:iCs/>
          <w:noProof/>
        </w:rPr>
        <w:t>J Frailty, Sarcopenia Falls</w:t>
      </w:r>
      <w:r w:rsidRPr="00516D4E">
        <w:rPr>
          <w:noProof/>
        </w:rPr>
        <w:t>. 2018;03(02):105-113. doi:10.22540/jfsf-03-105</w:t>
      </w:r>
    </w:p>
    <w:p w14:paraId="4190681D" w14:textId="77777777" w:rsidR="00516D4E" w:rsidRPr="00516D4E" w:rsidRDefault="00516D4E" w:rsidP="00516D4E">
      <w:pPr>
        <w:widowControl w:val="0"/>
        <w:autoSpaceDE w:val="0"/>
        <w:autoSpaceDN w:val="0"/>
        <w:adjustRightInd w:val="0"/>
        <w:spacing w:line="240" w:lineRule="auto"/>
        <w:ind w:left="640" w:hanging="640"/>
        <w:rPr>
          <w:noProof/>
        </w:rPr>
      </w:pPr>
      <w:r w:rsidRPr="00516D4E">
        <w:rPr>
          <w:noProof/>
        </w:rPr>
        <w:t xml:space="preserve">77. </w:t>
      </w:r>
      <w:r w:rsidRPr="00516D4E">
        <w:rPr>
          <w:noProof/>
        </w:rPr>
        <w:tab/>
        <w:t xml:space="preserve">Spiteri K, Broom D, Bekhet AH, De Caro JX, Laventure B, Grafton K. Barriers and motivators of physical activity participation in middle-aged and older adults—a systematic review. </w:t>
      </w:r>
      <w:r w:rsidRPr="00516D4E">
        <w:rPr>
          <w:i/>
          <w:iCs/>
          <w:noProof/>
        </w:rPr>
        <w:t>J Aging Phys Act</w:t>
      </w:r>
      <w:r w:rsidRPr="00516D4E">
        <w:rPr>
          <w:noProof/>
        </w:rPr>
        <w:t>. 2019;27(6):929-944. doi:10.1123/japa.2018-0343</w:t>
      </w:r>
    </w:p>
    <w:p w14:paraId="3D4A8ECE" w14:textId="7F322F42" w:rsidR="00AA6073" w:rsidRPr="00161C60" w:rsidRDefault="00FF53E2" w:rsidP="00E07743">
      <w:pPr>
        <w:widowControl w:val="0"/>
        <w:autoSpaceDE w:val="0"/>
        <w:autoSpaceDN w:val="0"/>
        <w:adjustRightInd w:val="0"/>
        <w:spacing w:line="240" w:lineRule="auto"/>
        <w:ind w:left="640" w:hanging="640"/>
      </w:pPr>
      <w:r>
        <w:fldChar w:fldCharType="end"/>
      </w:r>
    </w:p>
    <w:p w14:paraId="4FF7A996" w14:textId="77777777" w:rsidR="005468BF" w:rsidRDefault="005468BF">
      <w:pPr>
        <w:rPr>
          <w:rFonts w:ascii="Helvetica" w:hAnsi="Helvetica" w:cs="Helvetica"/>
          <w:b/>
          <w:bCs/>
        </w:rPr>
      </w:pPr>
      <w:r>
        <w:rPr>
          <w:rFonts w:ascii="Helvetica" w:hAnsi="Helvetica" w:cs="Helvetica"/>
          <w:b/>
          <w:bCs/>
        </w:rPr>
        <w:br w:type="page"/>
      </w:r>
    </w:p>
    <w:p w14:paraId="5224EC6C" w14:textId="3389FE90" w:rsidR="006761DD" w:rsidRPr="00925D7F" w:rsidRDefault="00AA6073" w:rsidP="00A10D9A">
      <w:pPr>
        <w:rPr>
          <w:rFonts w:ascii="Verdana" w:hAnsi="Verdana" w:cstheme="minorBidi"/>
          <w:color w:val="4F81BD" w:themeColor="accent1"/>
          <w:sz w:val="22"/>
          <w:szCs w:val="22"/>
        </w:rPr>
      </w:pPr>
      <w:r w:rsidRPr="00A10D9A">
        <w:rPr>
          <w:rFonts w:ascii="Helvetica" w:hAnsi="Helvetica" w:cs="Helvetica"/>
          <w:b/>
          <w:bCs/>
        </w:rPr>
        <w:t xml:space="preserve">Figure legend: </w:t>
      </w:r>
      <w:r w:rsidRPr="00A10D9A">
        <w:rPr>
          <w:rFonts w:ascii="Helvetica" w:hAnsi="Helvetica" w:cs="Helvetica"/>
          <w:b/>
          <w:bCs/>
        </w:rPr>
        <w:br/>
      </w:r>
      <w:r w:rsidRPr="00A10D9A">
        <w:rPr>
          <w:rFonts w:ascii="Helvetica" w:hAnsi="Helvetica" w:cs="Helvetica"/>
        </w:rPr>
        <w:t>Figure 1: Summary of exercise recommendations</w:t>
      </w:r>
      <w:r w:rsidR="006250FC" w:rsidRPr="00A10D9A">
        <w:rPr>
          <w:rFonts w:ascii="Helvetica" w:hAnsi="Helvetica" w:cs="Helvetica"/>
        </w:rPr>
        <w:t xml:space="preserve"> (from</w:t>
      </w:r>
      <w:r w:rsidR="00CB2FAC" w:rsidRPr="00A10D9A">
        <w:rPr>
          <w:rFonts w:ascii="Helvetica" w:hAnsi="Helvetica" w:cs="Helvetica"/>
        </w:rPr>
        <w:t xml:space="preserve"> Royal Osteoporosis Society</w:t>
      </w:r>
      <w:r w:rsidR="006250FC" w:rsidRPr="00A10D9A">
        <w:rPr>
          <w:rFonts w:ascii="Helvetica" w:hAnsi="Helvetica" w:cs="Helvetica"/>
        </w:rPr>
        <w:t xml:space="preserve"> </w:t>
      </w:r>
      <w:r w:rsidR="00D23107" w:rsidRPr="00A10D9A">
        <w:rPr>
          <w:rFonts w:ascii="Helvetica" w:hAnsi="Helvetica" w:cs="Helvetica"/>
        </w:rPr>
        <w:fldChar w:fldCharType="begin" w:fldLock="1"/>
      </w:r>
      <w:r w:rsidR="00D23107" w:rsidRPr="00A10D9A">
        <w:rPr>
          <w:rFonts w:ascii="Helvetica" w:hAnsi="Helvetica" w:cs="Helvetica"/>
        </w:rPr>
        <w:instrText>ADDIN CSL_CITATION {"citationItems":[{"id":"ITEM-1","itemData":{"author":[{"dropping-particle":"","family":"Royal Osteoporosis Society","given":"","non-dropping-particle":"","parse-names":false,"suffix":""}],"id":"ITEM-1","issued":{"date-parts":[["2019"]]},"title":"Strong, Steady and Straight: Physical Activity and Exercise for Osteoporosis. Quick guide: summary","type":"article-journal"},"uris":["http://www.mendeley.com/documents/?uuid=98421842-7d46-4862-a301-2e7aa7519a54"]}],"mendeley":{"formattedCitation":"&lt;sup&gt;64&lt;/sup&gt;","plainTextFormattedCitation":"64","previouslyFormattedCitation":"&lt;sup&gt;64&lt;/sup&gt;"},"properties":{"noteIndex":0},"schema":"https://github.com/citation-style-language/schema/raw/master/csl-citation.json"}</w:instrText>
      </w:r>
      <w:r w:rsidR="00D23107" w:rsidRPr="00A10D9A">
        <w:rPr>
          <w:rFonts w:ascii="Helvetica" w:hAnsi="Helvetica" w:cs="Helvetica"/>
        </w:rPr>
        <w:fldChar w:fldCharType="separate"/>
      </w:r>
      <w:r w:rsidR="00D23107" w:rsidRPr="00A10D9A">
        <w:rPr>
          <w:rFonts w:ascii="Helvetica" w:hAnsi="Helvetica" w:cs="Helvetica"/>
          <w:noProof/>
          <w:vertAlign w:val="superscript"/>
        </w:rPr>
        <w:t>64</w:t>
      </w:r>
      <w:r w:rsidR="00D23107" w:rsidRPr="00A10D9A">
        <w:rPr>
          <w:rFonts w:ascii="Helvetica" w:hAnsi="Helvetica" w:cs="Helvetica"/>
        </w:rPr>
        <w:fldChar w:fldCharType="end"/>
      </w:r>
      <w:r w:rsidR="00D23107" w:rsidRPr="00A10D9A">
        <w:rPr>
          <w:rFonts w:ascii="Helvetica" w:hAnsi="Helvetica" w:cs="Helvetica"/>
        </w:rPr>
        <w:t>).</w:t>
      </w:r>
      <w:r w:rsidR="006761DD" w:rsidRPr="00A10D9A">
        <w:rPr>
          <w:rFonts w:ascii="Helvetica" w:hAnsi="Helvetica" w:cs="Helvetica"/>
        </w:rPr>
        <w:t xml:space="preserve"> </w:t>
      </w:r>
      <w:r w:rsidR="006761DD">
        <w:t>Most research evidence is based on formal exercise. The suggested sports and activities include some with research evidence and some that may safely help engagement in activity and improve quality of life based on expert consens</w:t>
      </w:r>
      <w:r w:rsidR="003C49EE">
        <w:t>us</w:t>
      </w:r>
      <w:r w:rsidR="006761DD">
        <w:t xml:space="preserve">. </w:t>
      </w:r>
    </w:p>
    <w:p w14:paraId="5CCD848B" w14:textId="6B31C013" w:rsidR="00645D32" w:rsidRDefault="005468BF" w:rsidP="00FC448C">
      <w:pPr>
        <w:pStyle w:val="Heading1"/>
        <w:spacing w:before="120" w:line="240" w:lineRule="auto"/>
        <w:rPr>
          <w:rFonts w:ascii="Helvetica" w:hAnsi="Helvetica" w:cs="Helvetica"/>
        </w:rPr>
      </w:pPr>
      <w:r>
        <w:rPr>
          <w:noProof/>
          <w:lang w:eastAsia="en-GB"/>
        </w:rPr>
        <w:drawing>
          <wp:inline distT="0" distB="0" distL="0" distR="0" wp14:anchorId="3ADB5930" wp14:editId="54D2BC2D">
            <wp:extent cx="5731510" cy="4238625"/>
            <wp:effectExtent l="0" t="0" r="2540" b="952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238625"/>
                    </a:xfrm>
                    <a:prstGeom prst="rect">
                      <a:avLst/>
                    </a:prstGeom>
                    <a:noFill/>
                    <a:ln>
                      <a:noFill/>
                    </a:ln>
                  </pic:spPr>
                </pic:pic>
              </a:graphicData>
            </a:graphic>
          </wp:inline>
        </w:drawing>
      </w:r>
    </w:p>
    <w:p w14:paraId="0E61BF94" w14:textId="77777777" w:rsidR="00EE1DDE" w:rsidRDefault="00EE1DDE" w:rsidP="005468BF">
      <w:pPr>
        <w:sectPr w:rsidR="00EE1DDE" w:rsidSect="00D70FC0">
          <w:footerReference w:type="default" r:id="rId14"/>
          <w:pgSz w:w="11906" w:h="16838"/>
          <w:pgMar w:top="1440" w:right="1440" w:bottom="1134" w:left="1440" w:header="708" w:footer="558" w:gutter="0"/>
          <w:cols w:space="708"/>
          <w:docGrid w:linePitch="360"/>
        </w:sectPr>
      </w:pPr>
    </w:p>
    <w:p w14:paraId="0BC38300" w14:textId="77777777" w:rsidR="000F5BC4" w:rsidRPr="00875798" w:rsidRDefault="000F5BC4" w:rsidP="000F5BC4">
      <w:pPr>
        <w:pStyle w:val="Heading1"/>
        <w:spacing w:before="120" w:line="240" w:lineRule="auto"/>
        <w:rPr>
          <w:rFonts w:ascii="Helvetica" w:hAnsi="Helvetica" w:cs="Helvetica"/>
          <w:b/>
          <w:bCs/>
          <w:color w:val="auto"/>
          <w:sz w:val="28"/>
          <w:szCs w:val="28"/>
        </w:rPr>
      </w:pPr>
      <w:bookmarkStart w:id="11" w:name="_Toc90635353"/>
      <w:bookmarkStart w:id="12" w:name="_Toc90635528"/>
      <w:bookmarkStart w:id="13" w:name="_Toc96616268"/>
      <w:r w:rsidRPr="00875798">
        <w:rPr>
          <w:rFonts w:ascii="Helvetica" w:hAnsi="Helvetica" w:cs="Helvetica"/>
          <w:b/>
          <w:bCs/>
          <w:color w:val="auto"/>
          <w:sz w:val="28"/>
          <w:szCs w:val="28"/>
        </w:rPr>
        <w:t>Strong, Steady and Straight: UK consensus statement on physical activity and exercise for osteoporosis.</w:t>
      </w:r>
      <w:bookmarkEnd w:id="11"/>
      <w:bookmarkEnd w:id="12"/>
      <w:bookmarkEnd w:id="13"/>
    </w:p>
    <w:p w14:paraId="66855E2E" w14:textId="77777777" w:rsidR="000F5BC4" w:rsidRPr="00875798" w:rsidRDefault="000F5BC4" w:rsidP="000F5BC4">
      <w:pPr>
        <w:spacing w:before="240" w:after="0" w:line="240" w:lineRule="auto"/>
        <w:rPr>
          <w:rFonts w:ascii="Helvetica" w:hAnsi="Helvetica"/>
        </w:rPr>
      </w:pPr>
      <w:r w:rsidRPr="00875798">
        <w:rPr>
          <w:rFonts w:ascii="Helvetica" w:hAnsi="Helvetica"/>
        </w:rPr>
        <w:t>Katherine Brooke-Wavell</w:t>
      </w:r>
      <w:r w:rsidRPr="00875798">
        <w:rPr>
          <w:rFonts w:ascii="Helvetica" w:hAnsi="Helvetica"/>
          <w:vertAlign w:val="superscript"/>
        </w:rPr>
        <w:t>1</w:t>
      </w:r>
      <w:r w:rsidRPr="00875798">
        <w:rPr>
          <w:rFonts w:ascii="Helvetica" w:hAnsi="Helvetica"/>
        </w:rPr>
        <w:t>*, Dawn A Skelton</w:t>
      </w:r>
      <w:r w:rsidRPr="00875798">
        <w:rPr>
          <w:rFonts w:ascii="Helvetica" w:hAnsi="Helvetica"/>
          <w:vertAlign w:val="superscript"/>
        </w:rPr>
        <w:t>2</w:t>
      </w:r>
      <w:r w:rsidRPr="00875798">
        <w:rPr>
          <w:rFonts w:ascii="Helvetica" w:hAnsi="Helvetica"/>
        </w:rPr>
        <w:t>*, Karen L Barker</w:t>
      </w:r>
      <w:r w:rsidRPr="00875798">
        <w:rPr>
          <w:rFonts w:ascii="Helvetica" w:hAnsi="Helvetica"/>
          <w:vertAlign w:val="superscript"/>
        </w:rPr>
        <w:t>3</w:t>
      </w:r>
      <w:r w:rsidRPr="00875798">
        <w:rPr>
          <w:rFonts w:ascii="Helvetica" w:hAnsi="Helvetica"/>
        </w:rPr>
        <w:t>, Emma M Clark</w:t>
      </w:r>
      <w:r w:rsidRPr="00875798">
        <w:rPr>
          <w:rFonts w:ascii="Helvetica" w:hAnsi="Helvetica"/>
          <w:vertAlign w:val="superscript"/>
        </w:rPr>
        <w:t>4</w:t>
      </w:r>
      <w:r w:rsidRPr="00875798">
        <w:rPr>
          <w:rFonts w:ascii="Helvetica" w:hAnsi="Helvetica"/>
        </w:rPr>
        <w:t>, Sarah De Biase</w:t>
      </w:r>
      <w:r w:rsidRPr="00875798">
        <w:rPr>
          <w:rFonts w:ascii="Helvetica" w:hAnsi="Helvetica"/>
          <w:vertAlign w:val="superscript"/>
        </w:rPr>
        <w:t>5</w:t>
      </w:r>
      <w:r w:rsidRPr="00875798">
        <w:rPr>
          <w:rFonts w:ascii="Helvetica" w:hAnsi="Helvetica"/>
        </w:rPr>
        <w:t>, Susanne Arnold</w:t>
      </w:r>
      <w:r w:rsidRPr="00875798">
        <w:rPr>
          <w:rFonts w:ascii="Helvetica" w:hAnsi="Helvetica"/>
          <w:vertAlign w:val="superscript"/>
        </w:rPr>
        <w:t>6</w:t>
      </w:r>
      <w:r w:rsidRPr="00875798">
        <w:rPr>
          <w:rFonts w:ascii="Helvetica" w:hAnsi="Helvetica"/>
        </w:rPr>
        <w:t>, Zoe Paskins</w:t>
      </w:r>
      <w:r w:rsidRPr="00875798">
        <w:rPr>
          <w:rFonts w:ascii="Helvetica" w:hAnsi="Helvetica"/>
          <w:vertAlign w:val="superscript"/>
        </w:rPr>
        <w:t>7</w:t>
      </w:r>
      <w:r w:rsidRPr="00875798">
        <w:rPr>
          <w:rFonts w:ascii="Helvetica" w:hAnsi="Helvetica"/>
        </w:rPr>
        <w:t>, Katie R Robinson</w:t>
      </w:r>
      <w:r w:rsidRPr="00875798">
        <w:rPr>
          <w:rFonts w:ascii="Helvetica" w:hAnsi="Helvetica"/>
          <w:vertAlign w:val="superscript"/>
        </w:rPr>
        <w:t>8</w:t>
      </w:r>
      <w:r w:rsidRPr="00875798">
        <w:rPr>
          <w:rFonts w:ascii="Helvetica" w:hAnsi="Helvetica"/>
        </w:rPr>
        <w:t>, Rachel Lewis</w:t>
      </w:r>
      <w:r w:rsidRPr="00875798">
        <w:rPr>
          <w:rFonts w:ascii="Helvetica" w:hAnsi="Helvetica"/>
          <w:vertAlign w:val="superscript"/>
        </w:rPr>
        <w:t>9</w:t>
      </w:r>
      <w:r w:rsidRPr="00875798">
        <w:rPr>
          <w:rFonts w:ascii="Helvetica" w:hAnsi="Helvetica"/>
        </w:rPr>
        <w:t>, Jonathan H Tobias</w:t>
      </w:r>
      <w:r w:rsidRPr="00875798">
        <w:rPr>
          <w:rFonts w:ascii="Helvetica" w:hAnsi="Helvetica"/>
          <w:vertAlign w:val="superscript"/>
        </w:rPr>
        <w:t>10</w:t>
      </w:r>
      <w:r w:rsidRPr="00875798">
        <w:rPr>
          <w:rFonts w:ascii="Helvetica" w:hAnsi="Helvetica"/>
        </w:rPr>
        <w:t>, Kate A Ward</w:t>
      </w:r>
      <w:r w:rsidRPr="00875798">
        <w:rPr>
          <w:rFonts w:ascii="Helvetica" w:hAnsi="Helvetica"/>
          <w:vertAlign w:val="superscript"/>
        </w:rPr>
        <w:t>11</w:t>
      </w:r>
      <w:r w:rsidRPr="00875798">
        <w:rPr>
          <w:rFonts w:ascii="Helvetica" w:hAnsi="Helvetica"/>
        </w:rPr>
        <w:t>, Julie Whitney</w:t>
      </w:r>
      <w:r w:rsidRPr="00875798">
        <w:rPr>
          <w:rFonts w:ascii="Helvetica" w:hAnsi="Helvetica"/>
          <w:vertAlign w:val="superscript"/>
        </w:rPr>
        <w:t>12</w:t>
      </w:r>
      <w:r w:rsidRPr="00875798">
        <w:rPr>
          <w:rFonts w:ascii="Helvetica" w:hAnsi="Helvetica"/>
        </w:rPr>
        <w:t>, Sarah Leyland</w:t>
      </w:r>
      <w:r w:rsidRPr="00875798">
        <w:rPr>
          <w:rFonts w:ascii="Helvetica" w:hAnsi="Helvetica"/>
          <w:vertAlign w:val="superscript"/>
        </w:rPr>
        <w:t>13</w:t>
      </w:r>
      <w:r w:rsidRPr="00875798">
        <w:rPr>
          <w:rFonts w:ascii="Helvetica" w:hAnsi="Helvetica"/>
        </w:rPr>
        <w:t>.</w:t>
      </w:r>
    </w:p>
    <w:p w14:paraId="257AF9FB" w14:textId="77777777" w:rsidR="000F5BC4" w:rsidRPr="00875798" w:rsidRDefault="000F5BC4" w:rsidP="000F5BC4">
      <w:pPr>
        <w:rPr>
          <w:rFonts w:ascii="Helvetica" w:hAnsi="Helvetica"/>
        </w:rPr>
      </w:pPr>
      <w:r w:rsidRPr="00875798">
        <w:rPr>
          <w:rFonts w:ascii="Helvetica" w:hAnsi="Helvetica"/>
        </w:rPr>
        <w:t>*joint first authors</w:t>
      </w:r>
    </w:p>
    <w:p w14:paraId="79D4E1E7" w14:textId="77777777" w:rsidR="000F5BC4" w:rsidRPr="00875798" w:rsidRDefault="000F5BC4" w:rsidP="000F5BC4">
      <w:pPr>
        <w:rPr>
          <w:rFonts w:ascii="Helvetica" w:hAnsi="Helvetica" w:cs="Helvetica"/>
          <w:b/>
          <w:bCs/>
        </w:rPr>
      </w:pPr>
    </w:p>
    <w:p w14:paraId="76EB654F" w14:textId="77777777" w:rsidR="000F5BC4" w:rsidRPr="00875798" w:rsidRDefault="000F5BC4" w:rsidP="000F5BC4">
      <w:pPr>
        <w:rPr>
          <w:rFonts w:ascii="Helvetica" w:hAnsi="Helvetica" w:cs="Helvetica"/>
          <w:b/>
          <w:bCs/>
        </w:rPr>
      </w:pPr>
    </w:p>
    <w:p w14:paraId="3F9A746C" w14:textId="77777777" w:rsidR="000F5BC4" w:rsidRPr="00875798" w:rsidRDefault="000F5BC4" w:rsidP="000F5BC4">
      <w:pPr>
        <w:rPr>
          <w:rFonts w:ascii="Helvetica" w:hAnsi="Helvetica" w:cs="Helvetica"/>
          <w:b/>
          <w:bCs/>
          <w:sz w:val="28"/>
          <w:szCs w:val="28"/>
        </w:rPr>
      </w:pPr>
      <w:r w:rsidRPr="00875798">
        <w:rPr>
          <w:rFonts w:ascii="Helvetica" w:hAnsi="Helvetica" w:cs="Helvetica"/>
          <w:b/>
          <w:bCs/>
          <w:sz w:val="28"/>
          <w:szCs w:val="28"/>
        </w:rPr>
        <w:t>SUPPLEMENTARY MATERIAL</w:t>
      </w:r>
    </w:p>
    <w:p w14:paraId="23711C4B" w14:textId="77777777" w:rsidR="000F5BC4" w:rsidRPr="00875798" w:rsidRDefault="000F5BC4" w:rsidP="000F5BC4">
      <w:pPr>
        <w:rPr>
          <w:rFonts w:ascii="Helvetica" w:hAnsi="Helvetica" w:cs="Helvetica"/>
          <w:b/>
          <w:bCs/>
        </w:rPr>
      </w:pPr>
    </w:p>
    <w:p w14:paraId="4557208B" w14:textId="77777777" w:rsidR="000F5BC4" w:rsidRPr="00875798" w:rsidRDefault="000F5BC4" w:rsidP="000F5BC4">
      <w:pPr>
        <w:pStyle w:val="TOC1"/>
        <w:rPr>
          <w:rFonts w:asciiTheme="minorHAnsi" w:eastAsiaTheme="minorEastAsia" w:hAnsiTheme="minorHAnsi" w:cstheme="minorBidi"/>
          <w:noProof/>
          <w:sz w:val="22"/>
          <w:szCs w:val="22"/>
          <w:lang w:eastAsia="en-GB"/>
        </w:rPr>
      </w:pPr>
      <w:r w:rsidRPr="00875798">
        <w:rPr>
          <w:b/>
          <w:bCs/>
        </w:rPr>
        <w:t>CONTENTS:</w:t>
      </w:r>
      <w:r w:rsidRPr="00875798">
        <w:rPr>
          <w:b/>
          <w:bCs/>
        </w:rPr>
        <w:fldChar w:fldCharType="begin"/>
      </w:r>
      <w:r w:rsidRPr="00875798">
        <w:rPr>
          <w:b/>
          <w:bCs/>
        </w:rPr>
        <w:instrText xml:space="preserve"> TOC \o "1-2" \h \z \u </w:instrText>
      </w:r>
      <w:r w:rsidRPr="00875798">
        <w:rPr>
          <w:b/>
          <w:bCs/>
        </w:rPr>
        <w:fldChar w:fldCharType="separate"/>
      </w:r>
      <w:hyperlink w:anchor="_Toc90635528" w:history="1"/>
    </w:p>
    <w:sdt>
      <w:sdtPr>
        <w:rPr>
          <w:rFonts w:ascii="Arial" w:eastAsiaTheme="minorHAnsi" w:hAnsi="Arial" w:cs="Arial"/>
          <w:noProof/>
          <w:color w:val="auto"/>
          <w:sz w:val="24"/>
          <w:szCs w:val="24"/>
          <w:lang w:val="en-GB"/>
        </w:rPr>
        <w:id w:val="1776594346"/>
        <w:docPartObj>
          <w:docPartGallery w:val="Table of Contents"/>
          <w:docPartUnique/>
        </w:docPartObj>
      </w:sdtPr>
      <w:sdtEndPr>
        <w:rPr>
          <w:sz w:val="22"/>
          <w:szCs w:val="22"/>
        </w:rPr>
      </w:sdtEndPr>
      <w:sdtContent>
        <w:p w14:paraId="3A885049" w14:textId="77777777" w:rsidR="000F5BC4" w:rsidRPr="00875798" w:rsidRDefault="000F5BC4" w:rsidP="000F5BC4">
          <w:pPr>
            <w:pStyle w:val="TOCHeading"/>
            <w:rPr>
              <w:noProof/>
              <w:color w:val="auto"/>
              <w:sz w:val="28"/>
              <w:szCs w:val="28"/>
            </w:rPr>
          </w:pPr>
          <w:r w:rsidRPr="00875798">
            <w:rPr>
              <w:noProof/>
              <w:color w:val="auto"/>
              <w:sz w:val="28"/>
              <w:szCs w:val="28"/>
            </w:rPr>
            <w:fldChar w:fldCharType="begin"/>
          </w:r>
          <w:r w:rsidRPr="00875798">
            <w:rPr>
              <w:noProof/>
              <w:color w:val="auto"/>
              <w:sz w:val="28"/>
              <w:szCs w:val="28"/>
            </w:rPr>
            <w:instrText xml:space="preserve"> TOC \o "1-3" \h \z \u </w:instrText>
          </w:r>
          <w:r w:rsidRPr="00875798">
            <w:rPr>
              <w:noProof/>
              <w:color w:val="auto"/>
              <w:sz w:val="28"/>
              <w:szCs w:val="28"/>
            </w:rPr>
            <w:fldChar w:fldCharType="separate"/>
          </w:r>
          <w:hyperlink w:anchor="_Toc96616268" w:history="1">
            <w:r w:rsidRPr="00875798">
              <w:rPr>
                <w:rStyle w:val="Hyperlink"/>
                <w:rFonts w:ascii="Helvetica" w:hAnsi="Helvetica" w:cs="Helvetica"/>
                <w:b/>
                <w:bCs/>
                <w:noProof/>
                <w:color w:val="auto"/>
                <w:sz w:val="28"/>
                <w:szCs w:val="28"/>
              </w:rPr>
              <w:t>Strong, Steady and Straight: UK consensus statement on physical activity and exercise for osteoporosis.</w:t>
            </w:r>
            <w:r w:rsidRPr="00875798">
              <w:rPr>
                <w:noProof/>
                <w:webHidden/>
                <w:color w:val="auto"/>
                <w:sz w:val="28"/>
                <w:szCs w:val="28"/>
              </w:rPr>
              <w:tab/>
            </w:r>
            <w:r w:rsidRPr="00875798">
              <w:rPr>
                <w:noProof/>
                <w:webHidden/>
                <w:color w:val="auto"/>
                <w:sz w:val="28"/>
                <w:szCs w:val="28"/>
              </w:rPr>
              <w:fldChar w:fldCharType="begin"/>
            </w:r>
            <w:r w:rsidRPr="00875798">
              <w:rPr>
                <w:noProof/>
                <w:webHidden/>
                <w:color w:val="auto"/>
                <w:sz w:val="28"/>
                <w:szCs w:val="28"/>
              </w:rPr>
              <w:instrText xml:space="preserve"> PAGEREF _Toc96616268 \h </w:instrText>
            </w:r>
            <w:r w:rsidRPr="00875798">
              <w:rPr>
                <w:noProof/>
                <w:webHidden/>
                <w:color w:val="auto"/>
                <w:sz w:val="28"/>
                <w:szCs w:val="28"/>
              </w:rPr>
            </w:r>
            <w:r w:rsidRPr="00875798">
              <w:rPr>
                <w:noProof/>
                <w:webHidden/>
                <w:color w:val="auto"/>
                <w:sz w:val="28"/>
                <w:szCs w:val="28"/>
              </w:rPr>
              <w:fldChar w:fldCharType="separate"/>
            </w:r>
            <w:r w:rsidRPr="00875798">
              <w:rPr>
                <w:noProof/>
                <w:webHidden/>
                <w:color w:val="auto"/>
                <w:sz w:val="28"/>
                <w:szCs w:val="28"/>
              </w:rPr>
              <w:t>1</w:t>
            </w:r>
            <w:r w:rsidRPr="00875798">
              <w:rPr>
                <w:noProof/>
                <w:webHidden/>
                <w:color w:val="auto"/>
                <w:sz w:val="28"/>
                <w:szCs w:val="28"/>
              </w:rPr>
              <w:fldChar w:fldCharType="end"/>
            </w:r>
          </w:hyperlink>
        </w:p>
        <w:p w14:paraId="1A7CC78E" w14:textId="5C33C1CB" w:rsidR="000F5BC4" w:rsidRPr="00875798" w:rsidRDefault="00956728" w:rsidP="000F5BC4">
          <w:pPr>
            <w:pStyle w:val="TOC2"/>
            <w:tabs>
              <w:tab w:val="right" w:leader="dot" w:pos="9016"/>
            </w:tabs>
            <w:rPr>
              <w:rFonts w:eastAsiaTheme="minorEastAsia"/>
              <w:noProof/>
              <w:sz w:val="22"/>
              <w:szCs w:val="22"/>
              <w:lang w:eastAsia="en-GB"/>
            </w:rPr>
          </w:pPr>
          <w:hyperlink w:anchor="_Toc96616269" w:history="1">
            <w:r w:rsidR="000F5BC4" w:rsidRPr="00875798">
              <w:rPr>
                <w:rStyle w:val="Hyperlink"/>
                <w:b/>
                <w:bCs/>
                <w:noProof/>
                <w:color w:val="auto"/>
              </w:rPr>
              <w:t>Appendix I: Topics from Stakeholder Groups</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_Toc96616269 \h </w:instrText>
            </w:r>
            <w:r w:rsidR="000F5BC4" w:rsidRPr="00875798">
              <w:rPr>
                <w:noProof/>
                <w:webHidden/>
              </w:rPr>
            </w:r>
            <w:r w:rsidR="000F5BC4" w:rsidRPr="00875798">
              <w:rPr>
                <w:noProof/>
                <w:webHidden/>
              </w:rPr>
              <w:fldChar w:fldCharType="separate"/>
            </w:r>
            <w:r w:rsidR="000F5BC4" w:rsidRPr="00875798">
              <w:rPr>
                <w:noProof/>
                <w:webHidden/>
              </w:rPr>
              <w:t>2</w:t>
            </w:r>
            <w:r w:rsidR="000F5BC4" w:rsidRPr="00875798">
              <w:rPr>
                <w:noProof/>
                <w:webHidden/>
              </w:rPr>
              <w:fldChar w:fldCharType="end"/>
            </w:r>
          </w:hyperlink>
        </w:p>
        <w:p w14:paraId="40004D8E" w14:textId="489E65CF" w:rsidR="000F5BC4" w:rsidRPr="00875798" w:rsidRDefault="00956728" w:rsidP="000F5BC4">
          <w:pPr>
            <w:pStyle w:val="TOC2"/>
            <w:tabs>
              <w:tab w:val="right" w:leader="dot" w:pos="9016"/>
            </w:tabs>
            <w:rPr>
              <w:rFonts w:eastAsiaTheme="minorEastAsia"/>
              <w:noProof/>
              <w:sz w:val="22"/>
              <w:szCs w:val="22"/>
              <w:lang w:eastAsia="en-GB"/>
            </w:rPr>
          </w:pPr>
          <w:hyperlink w:anchor="_Toc96616270" w:history="1">
            <w:r w:rsidR="000F5BC4" w:rsidRPr="00875798">
              <w:rPr>
                <w:rStyle w:val="Hyperlink"/>
                <w:b/>
                <w:bCs/>
                <w:noProof/>
                <w:color w:val="auto"/>
              </w:rPr>
              <w:t>Appendix II: Online Survey</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_Toc96616270 \h </w:instrText>
            </w:r>
            <w:r w:rsidR="000F5BC4" w:rsidRPr="00875798">
              <w:rPr>
                <w:noProof/>
                <w:webHidden/>
              </w:rPr>
            </w:r>
            <w:r w:rsidR="000F5BC4" w:rsidRPr="00875798">
              <w:rPr>
                <w:noProof/>
                <w:webHidden/>
              </w:rPr>
              <w:fldChar w:fldCharType="separate"/>
            </w:r>
            <w:r w:rsidR="000F5BC4" w:rsidRPr="00875798">
              <w:rPr>
                <w:noProof/>
                <w:webHidden/>
              </w:rPr>
              <w:t>3</w:t>
            </w:r>
            <w:r w:rsidR="000F5BC4" w:rsidRPr="00875798">
              <w:rPr>
                <w:noProof/>
                <w:webHidden/>
              </w:rPr>
              <w:fldChar w:fldCharType="end"/>
            </w:r>
          </w:hyperlink>
        </w:p>
        <w:p w14:paraId="66AC188D" w14:textId="7FB48099" w:rsidR="000F5BC4" w:rsidRPr="00875798" w:rsidRDefault="00956728" w:rsidP="000F5BC4">
          <w:pPr>
            <w:pStyle w:val="TOC2"/>
            <w:tabs>
              <w:tab w:val="right" w:leader="dot" w:pos="9016"/>
            </w:tabs>
            <w:rPr>
              <w:rFonts w:eastAsiaTheme="minorEastAsia"/>
              <w:noProof/>
              <w:sz w:val="22"/>
              <w:szCs w:val="22"/>
              <w:lang w:eastAsia="en-GB"/>
            </w:rPr>
          </w:pPr>
          <w:hyperlink w:anchor="_Toc96616271" w:history="1">
            <w:r w:rsidR="000F5BC4" w:rsidRPr="00875798">
              <w:rPr>
                <w:rStyle w:val="Hyperlink"/>
                <w:b/>
                <w:bCs/>
                <w:noProof/>
                <w:color w:val="auto"/>
              </w:rPr>
              <w:t>Appendix III: Composition of Exercise Expert Steering Group and Exercise Expert Working Group</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_Toc96616271 \h </w:instrText>
            </w:r>
            <w:r w:rsidR="000F5BC4" w:rsidRPr="00875798">
              <w:rPr>
                <w:noProof/>
                <w:webHidden/>
              </w:rPr>
            </w:r>
            <w:r w:rsidR="000F5BC4" w:rsidRPr="00875798">
              <w:rPr>
                <w:noProof/>
                <w:webHidden/>
              </w:rPr>
              <w:fldChar w:fldCharType="separate"/>
            </w:r>
            <w:r w:rsidR="000F5BC4" w:rsidRPr="00875798">
              <w:rPr>
                <w:noProof/>
                <w:webHidden/>
              </w:rPr>
              <w:t>5</w:t>
            </w:r>
            <w:r w:rsidR="000F5BC4" w:rsidRPr="00875798">
              <w:rPr>
                <w:noProof/>
                <w:webHidden/>
              </w:rPr>
              <w:fldChar w:fldCharType="end"/>
            </w:r>
          </w:hyperlink>
        </w:p>
        <w:p w14:paraId="7336BC80" w14:textId="4AB67BF2" w:rsidR="000F5BC4" w:rsidRPr="00875798" w:rsidRDefault="00956728" w:rsidP="000F5BC4">
          <w:pPr>
            <w:pStyle w:val="TOC2"/>
            <w:tabs>
              <w:tab w:val="right" w:leader="dot" w:pos="9016"/>
            </w:tabs>
            <w:rPr>
              <w:rFonts w:eastAsiaTheme="minorEastAsia"/>
              <w:noProof/>
              <w:sz w:val="22"/>
              <w:szCs w:val="22"/>
              <w:lang w:eastAsia="en-GB"/>
            </w:rPr>
          </w:pPr>
          <w:hyperlink w:anchor="_Toc96616272" w:history="1">
            <w:r w:rsidR="000F5BC4" w:rsidRPr="00875798">
              <w:rPr>
                <w:rStyle w:val="Hyperlink"/>
                <w:b/>
                <w:bCs/>
                <w:noProof/>
                <w:color w:val="auto"/>
              </w:rPr>
              <w:t>Appendix IV: stakeholder organisations</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_Toc96616272 \h </w:instrText>
            </w:r>
            <w:r w:rsidR="000F5BC4" w:rsidRPr="00875798">
              <w:rPr>
                <w:noProof/>
                <w:webHidden/>
              </w:rPr>
            </w:r>
            <w:r w:rsidR="000F5BC4" w:rsidRPr="00875798">
              <w:rPr>
                <w:noProof/>
                <w:webHidden/>
              </w:rPr>
              <w:fldChar w:fldCharType="separate"/>
            </w:r>
            <w:r w:rsidR="000F5BC4" w:rsidRPr="00875798">
              <w:rPr>
                <w:noProof/>
                <w:webHidden/>
              </w:rPr>
              <w:t>7</w:t>
            </w:r>
            <w:r w:rsidR="000F5BC4" w:rsidRPr="00875798">
              <w:rPr>
                <w:noProof/>
                <w:webHidden/>
              </w:rPr>
              <w:fldChar w:fldCharType="end"/>
            </w:r>
          </w:hyperlink>
        </w:p>
        <w:p w14:paraId="15EA6E31" w14:textId="55BDD13F" w:rsidR="000F5BC4" w:rsidRPr="00875798" w:rsidRDefault="00956728" w:rsidP="000F5BC4">
          <w:pPr>
            <w:pStyle w:val="TOC2"/>
            <w:tabs>
              <w:tab w:val="right" w:leader="dot" w:pos="9016"/>
            </w:tabs>
            <w:rPr>
              <w:rFonts w:eastAsiaTheme="minorEastAsia"/>
              <w:noProof/>
              <w:sz w:val="22"/>
              <w:szCs w:val="22"/>
              <w:lang w:eastAsia="en-GB"/>
            </w:rPr>
          </w:pPr>
          <w:hyperlink w:anchor="_Toc96616273" w:history="1">
            <w:r w:rsidR="000F5BC4" w:rsidRPr="00875798">
              <w:rPr>
                <w:rStyle w:val="Hyperlink"/>
                <w:b/>
                <w:bCs/>
                <w:noProof/>
                <w:color w:val="auto"/>
              </w:rPr>
              <w:t>Appendix V: Summary of research evidence informing recommendations</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_Toc96616273 \h </w:instrText>
            </w:r>
            <w:r w:rsidR="000F5BC4" w:rsidRPr="00875798">
              <w:rPr>
                <w:noProof/>
                <w:webHidden/>
              </w:rPr>
            </w:r>
            <w:r w:rsidR="000F5BC4" w:rsidRPr="00875798">
              <w:rPr>
                <w:noProof/>
                <w:webHidden/>
              </w:rPr>
              <w:fldChar w:fldCharType="separate"/>
            </w:r>
            <w:r w:rsidR="000F5BC4" w:rsidRPr="00875798">
              <w:rPr>
                <w:noProof/>
                <w:webHidden/>
              </w:rPr>
              <w:t>8</w:t>
            </w:r>
            <w:r w:rsidR="000F5BC4" w:rsidRPr="00875798">
              <w:rPr>
                <w:noProof/>
                <w:webHidden/>
              </w:rPr>
              <w:fldChar w:fldCharType="end"/>
            </w:r>
          </w:hyperlink>
        </w:p>
        <w:p w14:paraId="5D9212A9" w14:textId="6E115206" w:rsidR="000F5BC4" w:rsidRPr="00875798" w:rsidRDefault="00956728" w:rsidP="000F5BC4">
          <w:pPr>
            <w:pStyle w:val="TOC2"/>
            <w:tabs>
              <w:tab w:val="right" w:leader="dot" w:pos="9016"/>
            </w:tabs>
            <w:rPr>
              <w:rFonts w:eastAsiaTheme="minorEastAsia"/>
              <w:noProof/>
              <w:sz w:val="22"/>
              <w:szCs w:val="22"/>
              <w:lang w:eastAsia="en-GB"/>
            </w:rPr>
          </w:pPr>
          <w:hyperlink w:anchor="_Toc96616285" w:history="1">
            <w:r w:rsidR="000F5BC4" w:rsidRPr="00875798">
              <w:rPr>
                <w:rStyle w:val="Hyperlink"/>
                <w:b/>
                <w:bCs/>
                <w:noProof/>
                <w:color w:val="auto"/>
              </w:rPr>
              <w:t>Appendix IV: Implementation in a UK context</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_Toc96616285 \h </w:instrText>
            </w:r>
            <w:r w:rsidR="000F5BC4" w:rsidRPr="00875798">
              <w:rPr>
                <w:noProof/>
                <w:webHidden/>
              </w:rPr>
            </w:r>
            <w:r w:rsidR="000F5BC4" w:rsidRPr="00875798">
              <w:rPr>
                <w:noProof/>
                <w:webHidden/>
              </w:rPr>
              <w:fldChar w:fldCharType="separate"/>
            </w:r>
            <w:r w:rsidR="000F5BC4" w:rsidRPr="00875798">
              <w:rPr>
                <w:noProof/>
                <w:webHidden/>
              </w:rPr>
              <w:t>16</w:t>
            </w:r>
            <w:r w:rsidR="000F5BC4" w:rsidRPr="00875798">
              <w:rPr>
                <w:noProof/>
                <w:webHidden/>
              </w:rPr>
              <w:fldChar w:fldCharType="end"/>
            </w:r>
          </w:hyperlink>
        </w:p>
        <w:p w14:paraId="47E2B476" w14:textId="29849EDA" w:rsidR="000F5BC4" w:rsidRPr="00875798" w:rsidRDefault="00956728" w:rsidP="000F5BC4">
          <w:pPr>
            <w:pStyle w:val="TOC2"/>
            <w:tabs>
              <w:tab w:val="right" w:leader="dot" w:pos="9016"/>
            </w:tabs>
            <w:rPr>
              <w:rFonts w:eastAsiaTheme="minorEastAsia"/>
              <w:noProof/>
              <w:sz w:val="22"/>
              <w:szCs w:val="22"/>
              <w:lang w:eastAsia="en-GB"/>
            </w:rPr>
          </w:pPr>
          <w:hyperlink w:anchor="_Toc96616287" w:history="1">
            <w:r w:rsidR="000F5BC4" w:rsidRPr="00875798">
              <w:rPr>
                <w:rStyle w:val="Hyperlink"/>
                <w:rFonts w:eastAsia="Calibri"/>
                <w:b/>
                <w:bCs/>
                <w:noProof/>
                <w:color w:val="auto"/>
              </w:rPr>
              <w:t>Supplementary Material References</w:t>
            </w:r>
            <w:r w:rsidR="000F5BC4" w:rsidRPr="00875798">
              <w:rPr>
                <w:noProof/>
                <w:webHidden/>
              </w:rPr>
              <w:tab/>
            </w:r>
            <w:r w:rsidR="00E73394">
              <w:rPr>
                <w:noProof/>
                <w:webHidden/>
              </w:rPr>
              <w:t>S</w:t>
            </w:r>
            <w:r w:rsidR="000F5BC4" w:rsidRPr="00875798">
              <w:rPr>
                <w:noProof/>
                <w:webHidden/>
              </w:rPr>
              <w:fldChar w:fldCharType="begin"/>
            </w:r>
            <w:r w:rsidR="000F5BC4" w:rsidRPr="00875798">
              <w:rPr>
                <w:noProof/>
                <w:webHidden/>
              </w:rPr>
              <w:instrText xml:space="preserve"> PAGEREF _Toc96616287 \h </w:instrText>
            </w:r>
            <w:r w:rsidR="000F5BC4" w:rsidRPr="00875798">
              <w:rPr>
                <w:noProof/>
                <w:webHidden/>
              </w:rPr>
            </w:r>
            <w:r w:rsidR="000F5BC4" w:rsidRPr="00875798">
              <w:rPr>
                <w:noProof/>
                <w:webHidden/>
              </w:rPr>
              <w:fldChar w:fldCharType="separate"/>
            </w:r>
            <w:r w:rsidR="000F5BC4" w:rsidRPr="00875798">
              <w:rPr>
                <w:noProof/>
                <w:webHidden/>
              </w:rPr>
              <w:t>18</w:t>
            </w:r>
            <w:r w:rsidR="000F5BC4" w:rsidRPr="00875798">
              <w:rPr>
                <w:noProof/>
                <w:webHidden/>
              </w:rPr>
              <w:fldChar w:fldCharType="end"/>
            </w:r>
          </w:hyperlink>
        </w:p>
        <w:p w14:paraId="5F31EF41" w14:textId="77777777" w:rsidR="000F5BC4" w:rsidRPr="00875798" w:rsidRDefault="000F5BC4" w:rsidP="000F5BC4">
          <w:pPr>
            <w:rPr>
              <w:noProof/>
              <w:sz w:val="22"/>
              <w:szCs w:val="22"/>
            </w:rPr>
          </w:pPr>
          <w:r w:rsidRPr="00875798">
            <w:rPr>
              <w:b/>
              <w:bCs/>
              <w:noProof/>
              <w:sz w:val="22"/>
              <w:szCs w:val="22"/>
            </w:rPr>
            <w:fldChar w:fldCharType="end"/>
          </w:r>
        </w:p>
        <w:p w14:paraId="19B46908" w14:textId="77777777" w:rsidR="000F5BC4" w:rsidRPr="00875798" w:rsidRDefault="00956728" w:rsidP="000F5BC4">
          <w:pPr>
            <w:spacing w:before="240" w:after="0" w:line="240" w:lineRule="auto"/>
            <w:rPr>
              <w:noProof/>
              <w:sz w:val="22"/>
              <w:szCs w:val="22"/>
            </w:rPr>
          </w:pPr>
        </w:p>
      </w:sdtContent>
    </w:sdt>
    <w:p w14:paraId="392E1845" w14:textId="77777777" w:rsidR="000F5BC4" w:rsidRPr="00875798" w:rsidRDefault="000F5BC4" w:rsidP="000F5BC4">
      <w:pPr>
        <w:spacing w:before="240" w:after="0" w:line="240" w:lineRule="auto"/>
        <w:rPr>
          <w:rFonts w:ascii="Helvetica" w:hAnsi="Helvetica" w:cs="Helvetica"/>
          <w:b/>
          <w:bCs/>
        </w:rPr>
      </w:pPr>
      <w:r w:rsidRPr="00875798">
        <w:rPr>
          <w:rFonts w:ascii="Helvetica" w:hAnsi="Helvetica" w:cs="Helvetica"/>
          <w:b/>
          <w:bCs/>
        </w:rPr>
        <w:fldChar w:fldCharType="end"/>
      </w:r>
    </w:p>
    <w:p w14:paraId="3865EA08" w14:textId="77777777" w:rsidR="000F5BC4" w:rsidRPr="00875798" w:rsidRDefault="000F5BC4" w:rsidP="000F5BC4">
      <w:pPr>
        <w:rPr>
          <w:rFonts w:ascii="Helvetica" w:hAnsi="Helvetica" w:cs="Helvetica"/>
          <w:b/>
          <w:bCs/>
        </w:rPr>
      </w:pPr>
      <w:r w:rsidRPr="00875798">
        <w:rPr>
          <w:rFonts w:ascii="Helvetica" w:hAnsi="Helvetica" w:cs="Helvetica"/>
          <w:b/>
          <w:bCs/>
        </w:rPr>
        <w:br w:type="page"/>
      </w:r>
    </w:p>
    <w:p w14:paraId="38CFFC04" w14:textId="77777777" w:rsidR="000F5BC4" w:rsidRPr="00875798" w:rsidRDefault="000F5BC4" w:rsidP="000F5BC4">
      <w:pPr>
        <w:pStyle w:val="Heading2"/>
        <w:rPr>
          <w:rFonts w:ascii="Arial" w:hAnsi="Arial" w:cs="Arial"/>
          <w:b/>
          <w:bCs/>
          <w:color w:val="auto"/>
          <w:sz w:val="24"/>
          <w:szCs w:val="24"/>
        </w:rPr>
      </w:pPr>
      <w:bookmarkStart w:id="14" w:name="_Toc96616269"/>
      <w:bookmarkStart w:id="15" w:name="_Toc90635529"/>
      <w:r w:rsidRPr="00875798">
        <w:rPr>
          <w:rFonts w:ascii="Arial" w:hAnsi="Arial" w:cs="Arial"/>
          <w:b/>
          <w:bCs/>
          <w:color w:val="auto"/>
          <w:sz w:val="24"/>
          <w:szCs w:val="24"/>
        </w:rPr>
        <w:t>Appendix I: Discussion guides for Stakeholder Groups</w:t>
      </w:r>
      <w:bookmarkEnd w:id="14"/>
    </w:p>
    <w:p w14:paraId="1E03E764" w14:textId="77777777" w:rsidR="000F5BC4" w:rsidRPr="00875798" w:rsidRDefault="000F5BC4" w:rsidP="000F5BC4">
      <w:pPr>
        <w:rPr>
          <w:b/>
          <w:bCs/>
        </w:rPr>
      </w:pPr>
    </w:p>
    <w:p w14:paraId="16D0BB2D" w14:textId="77777777" w:rsidR="000F5BC4" w:rsidRPr="00875798" w:rsidRDefault="000F5BC4" w:rsidP="000F5BC4">
      <w:pPr>
        <w:pStyle w:val="Default"/>
        <w:rPr>
          <w:rFonts w:ascii="Arial" w:hAnsi="Arial" w:cs="Arial"/>
          <w:color w:val="auto"/>
        </w:rPr>
      </w:pPr>
      <w:r w:rsidRPr="00875798">
        <w:rPr>
          <w:rFonts w:ascii="Arial" w:hAnsi="Arial" w:cs="Arial"/>
          <w:color w:val="auto"/>
        </w:rPr>
        <w:t xml:space="preserve">1. Question guide for stakeholder groups with patients </w:t>
      </w:r>
    </w:p>
    <w:p w14:paraId="60A96AA3"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Introductions, what are your experiences of osteoporosis and fracture? </w:t>
      </w:r>
    </w:p>
    <w:p w14:paraId="5E6CDF62"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What does the term exercise mean to you? How is it different from physical activity? </w:t>
      </w:r>
    </w:p>
    <w:p w14:paraId="11C28939"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Do you think exercise is important in osteoporosis? </w:t>
      </w:r>
    </w:p>
    <w:p w14:paraId="6F170248" w14:textId="77777777" w:rsidR="000F5BC4" w:rsidRPr="00875798" w:rsidRDefault="000F5BC4" w:rsidP="000F5BC4">
      <w:pPr>
        <w:pStyle w:val="Default"/>
        <w:numPr>
          <w:ilvl w:val="0"/>
          <w:numId w:val="29"/>
        </w:numPr>
        <w:spacing w:after="43"/>
        <w:rPr>
          <w:rFonts w:ascii="Arial" w:hAnsi="Arial" w:cs="Arial"/>
          <w:color w:val="auto"/>
        </w:rPr>
      </w:pPr>
      <w:r w:rsidRPr="00875798">
        <w:rPr>
          <w:rFonts w:ascii="Arial" w:hAnsi="Arial" w:cs="Arial"/>
          <w:color w:val="auto"/>
        </w:rPr>
        <w:t xml:space="preserve">Have any of you started a new exercise since your fracture/since you have been diagnosed. Tell us about this </w:t>
      </w:r>
    </w:p>
    <w:p w14:paraId="60BF754C" w14:textId="77777777" w:rsidR="000F5BC4" w:rsidRPr="00875798" w:rsidRDefault="000F5BC4" w:rsidP="000F5BC4">
      <w:pPr>
        <w:pStyle w:val="Default"/>
        <w:numPr>
          <w:ilvl w:val="0"/>
          <w:numId w:val="29"/>
        </w:numPr>
        <w:spacing w:after="43"/>
        <w:rPr>
          <w:rFonts w:ascii="Arial" w:hAnsi="Arial" w:cs="Arial"/>
          <w:color w:val="auto"/>
        </w:rPr>
      </w:pPr>
      <w:r w:rsidRPr="00875798">
        <w:rPr>
          <w:rFonts w:ascii="Arial" w:hAnsi="Arial" w:cs="Arial"/>
          <w:color w:val="auto"/>
        </w:rPr>
        <w:t xml:space="preserve">What would make you feel more confident to undertake exercise </w:t>
      </w:r>
    </w:p>
    <w:p w14:paraId="2C03C93D" w14:textId="77777777" w:rsidR="000F5BC4" w:rsidRPr="00875798" w:rsidRDefault="000F5BC4" w:rsidP="000F5BC4">
      <w:pPr>
        <w:pStyle w:val="Default"/>
        <w:numPr>
          <w:ilvl w:val="0"/>
          <w:numId w:val="29"/>
        </w:numPr>
        <w:rPr>
          <w:rFonts w:ascii="Arial" w:hAnsi="Arial" w:cs="Arial"/>
          <w:color w:val="auto"/>
        </w:rPr>
      </w:pPr>
      <w:r w:rsidRPr="00875798">
        <w:rPr>
          <w:rFonts w:ascii="Arial" w:hAnsi="Arial" w:cs="Arial"/>
          <w:color w:val="auto"/>
        </w:rPr>
        <w:t xml:space="preserve">What are your concerns relating to exercise </w:t>
      </w:r>
    </w:p>
    <w:p w14:paraId="284C00D4" w14:textId="77777777" w:rsidR="000F5BC4" w:rsidRPr="00875798" w:rsidRDefault="000F5BC4" w:rsidP="000F5BC4">
      <w:pPr>
        <w:pStyle w:val="Default"/>
        <w:rPr>
          <w:rFonts w:ascii="Arial" w:hAnsi="Arial" w:cs="Arial"/>
          <w:color w:val="auto"/>
        </w:rPr>
      </w:pPr>
    </w:p>
    <w:p w14:paraId="06C88C6D" w14:textId="77777777" w:rsidR="000F5BC4" w:rsidRPr="00875798" w:rsidRDefault="000F5BC4" w:rsidP="000F5BC4">
      <w:pPr>
        <w:pStyle w:val="Default"/>
        <w:rPr>
          <w:rFonts w:ascii="Arial" w:hAnsi="Arial" w:cs="Arial"/>
          <w:color w:val="auto"/>
        </w:rPr>
      </w:pPr>
      <w:r w:rsidRPr="00875798">
        <w:rPr>
          <w:rFonts w:ascii="Arial" w:hAnsi="Arial" w:cs="Arial"/>
          <w:i/>
          <w:iCs/>
          <w:color w:val="auto"/>
        </w:rPr>
        <w:t xml:space="preserve">Show Strong Straight &amp; Steady powerpoint </w:t>
      </w:r>
    </w:p>
    <w:p w14:paraId="56BFE90B" w14:textId="77777777" w:rsidR="000F5BC4" w:rsidRPr="00875798" w:rsidRDefault="000F5BC4" w:rsidP="000F5BC4">
      <w:pPr>
        <w:pStyle w:val="Default"/>
        <w:numPr>
          <w:ilvl w:val="0"/>
          <w:numId w:val="30"/>
        </w:numPr>
        <w:rPr>
          <w:rFonts w:ascii="Arial" w:hAnsi="Arial" w:cs="Arial"/>
          <w:color w:val="auto"/>
        </w:rPr>
      </w:pPr>
      <w:r w:rsidRPr="00875798">
        <w:rPr>
          <w:rFonts w:ascii="Arial" w:hAnsi="Arial" w:cs="Arial"/>
          <w:color w:val="auto"/>
        </w:rPr>
        <w:t xml:space="preserve">What do you think about the headings strong, straight and steady and what do you think they mean? </w:t>
      </w:r>
    </w:p>
    <w:p w14:paraId="1B5C34B9" w14:textId="77777777" w:rsidR="000F5BC4" w:rsidRPr="00875798" w:rsidRDefault="000F5BC4" w:rsidP="000F5BC4">
      <w:pPr>
        <w:pStyle w:val="Default"/>
        <w:numPr>
          <w:ilvl w:val="0"/>
          <w:numId w:val="30"/>
        </w:numPr>
        <w:rPr>
          <w:rFonts w:ascii="Arial" w:hAnsi="Arial" w:cs="Arial"/>
          <w:color w:val="auto"/>
        </w:rPr>
      </w:pPr>
      <w:r w:rsidRPr="00875798">
        <w:rPr>
          <w:rFonts w:ascii="Arial" w:hAnsi="Arial" w:cs="Arial"/>
          <w:color w:val="auto"/>
        </w:rPr>
        <w:t xml:space="preserve">Does this include the important questions? </w:t>
      </w:r>
    </w:p>
    <w:p w14:paraId="3B5F5BFF" w14:textId="77777777" w:rsidR="000F5BC4" w:rsidRPr="00875798" w:rsidRDefault="000F5BC4" w:rsidP="000F5BC4">
      <w:pPr>
        <w:pStyle w:val="Default"/>
        <w:numPr>
          <w:ilvl w:val="0"/>
          <w:numId w:val="30"/>
        </w:numPr>
        <w:rPr>
          <w:rFonts w:ascii="Arial" w:hAnsi="Arial" w:cs="Arial"/>
          <w:color w:val="auto"/>
        </w:rPr>
      </w:pPr>
      <w:r w:rsidRPr="00875798">
        <w:rPr>
          <w:rFonts w:ascii="Arial" w:hAnsi="Arial" w:cs="Arial"/>
          <w:color w:val="auto"/>
        </w:rPr>
        <w:t xml:space="preserve">Do you think advice should be different for different groups of people? If so – who? </w:t>
      </w:r>
    </w:p>
    <w:p w14:paraId="545927B8" w14:textId="77777777" w:rsidR="000F5BC4" w:rsidRPr="00875798" w:rsidRDefault="000F5BC4" w:rsidP="000F5BC4">
      <w:pPr>
        <w:pStyle w:val="Default"/>
        <w:rPr>
          <w:rFonts w:ascii="Arial" w:hAnsi="Arial" w:cs="Arial"/>
          <w:color w:val="auto"/>
        </w:rPr>
      </w:pPr>
    </w:p>
    <w:p w14:paraId="7B558EC3" w14:textId="77777777" w:rsidR="000F5BC4" w:rsidRPr="00875798" w:rsidRDefault="000F5BC4" w:rsidP="000F5BC4">
      <w:pPr>
        <w:pStyle w:val="Default"/>
        <w:rPr>
          <w:rFonts w:ascii="Arial" w:hAnsi="Arial" w:cs="Arial"/>
          <w:color w:val="auto"/>
        </w:rPr>
      </w:pPr>
    </w:p>
    <w:p w14:paraId="1C52D5A3" w14:textId="77777777" w:rsidR="000F5BC4" w:rsidRPr="00875798" w:rsidRDefault="000F5BC4" w:rsidP="000F5BC4">
      <w:pPr>
        <w:pStyle w:val="Default"/>
        <w:rPr>
          <w:rFonts w:ascii="Arial" w:hAnsi="Arial" w:cs="Arial"/>
          <w:color w:val="auto"/>
        </w:rPr>
      </w:pPr>
      <w:r w:rsidRPr="00875798">
        <w:rPr>
          <w:rFonts w:ascii="Arial" w:hAnsi="Arial" w:cs="Arial"/>
          <w:color w:val="auto"/>
        </w:rPr>
        <w:t xml:space="preserve">2. Question guide for stakeholder groups with health and exercise professionals </w:t>
      </w:r>
    </w:p>
    <w:p w14:paraId="30DA9F5D"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Introductions </w:t>
      </w:r>
    </w:p>
    <w:p w14:paraId="4E2081C2"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What are you experiences of discussing exercise with patients with OP and fracture? </w:t>
      </w:r>
    </w:p>
    <w:p w14:paraId="501EDA8C"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What uncertainties do you have about advising patients about exercise? </w:t>
      </w:r>
    </w:p>
    <w:p w14:paraId="4AB31C5A" w14:textId="77777777" w:rsidR="000F5BC4" w:rsidRPr="00875798" w:rsidRDefault="000F5BC4" w:rsidP="000F5BC4">
      <w:pPr>
        <w:pStyle w:val="Default"/>
        <w:numPr>
          <w:ilvl w:val="0"/>
          <w:numId w:val="31"/>
        </w:numPr>
        <w:rPr>
          <w:rFonts w:ascii="Arial" w:hAnsi="Arial" w:cs="Arial"/>
          <w:color w:val="auto"/>
        </w:rPr>
      </w:pPr>
      <w:r w:rsidRPr="00875798">
        <w:rPr>
          <w:rFonts w:ascii="Arial" w:hAnsi="Arial" w:cs="Arial"/>
          <w:color w:val="auto"/>
        </w:rPr>
        <w:t xml:space="preserve">What does the term exercise mean to you – or your patients. How is it different from physical activity </w:t>
      </w:r>
    </w:p>
    <w:p w14:paraId="54538D53" w14:textId="77777777" w:rsidR="000F5BC4" w:rsidRPr="00875798" w:rsidRDefault="000F5BC4" w:rsidP="000F5BC4">
      <w:pPr>
        <w:pStyle w:val="Default"/>
        <w:rPr>
          <w:rFonts w:ascii="Arial" w:hAnsi="Arial" w:cs="Arial"/>
          <w:color w:val="auto"/>
        </w:rPr>
      </w:pPr>
      <w:r w:rsidRPr="00875798">
        <w:rPr>
          <w:rFonts w:ascii="Arial" w:hAnsi="Arial" w:cs="Arial"/>
          <w:i/>
          <w:iCs/>
          <w:color w:val="auto"/>
        </w:rPr>
        <w:t xml:space="preserve">Show Strong Straight &amp; Steady powerpoint </w:t>
      </w:r>
    </w:p>
    <w:p w14:paraId="246180D2" w14:textId="77777777" w:rsidR="000F5BC4" w:rsidRPr="00875798" w:rsidRDefault="000F5BC4" w:rsidP="000F5BC4">
      <w:pPr>
        <w:pStyle w:val="Default"/>
        <w:numPr>
          <w:ilvl w:val="0"/>
          <w:numId w:val="32"/>
        </w:numPr>
        <w:rPr>
          <w:rFonts w:ascii="Arial" w:hAnsi="Arial" w:cs="Arial"/>
          <w:color w:val="auto"/>
        </w:rPr>
      </w:pPr>
      <w:r w:rsidRPr="00875798">
        <w:rPr>
          <w:rFonts w:ascii="Arial" w:hAnsi="Arial" w:cs="Arial"/>
          <w:color w:val="auto"/>
        </w:rPr>
        <w:t xml:space="preserve">What do you think about the headings strong, straight and steady and what do you think they mean? </w:t>
      </w:r>
    </w:p>
    <w:p w14:paraId="4B97BFB2" w14:textId="77777777" w:rsidR="000F5BC4" w:rsidRPr="00875798" w:rsidRDefault="000F5BC4" w:rsidP="000F5BC4">
      <w:pPr>
        <w:pStyle w:val="Default"/>
        <w:numPr>
          <w:ilvl w:val="0"/>
          <w:numId w:val="32"/>
        </w:numPr>
        <w:rPr>
          <w:rFonts w:ascii="Arial" w:hAnsi="Arial" w:cs="Arial"/>
          <w:color w:val="auto"/>
        </w:rPr>
      </w:pPr>
      <w:r w:rsidRPr="00875798">
        <w:rPr>
          <w:rFonts w:ascii="Arial" w:hAnsi="Arial" w:cs="Arial"/>
          <w:color w:val="auto"/>
        </w:rPr>
        <w:t xml:space="preserve">Does this include the important questions? </w:t>
      </w:r>
    </w:p>
    <w:p w14:paraId="17A1ED7A" w14:textId="77777777" w:rsidR="000F5BC4" w:rsidRPr="00875798" w:rsidRDefault="000F5BC4" w:rsidP="000F5BC4">
      <w:pPr>
        <w:pStyle w:val="Default"/>
        <w:numPr>
          <w:ilvl w:val="0"/>
          <w:numId w:val="32"/>
        </w:numPr>
        <w:rPr>
          <w:rFonts w:ascii="Arial" w:hAnsi="Arial" w:cs="Arial"/>
          <w:color w:val="auto"/>
        </w:rPr>
      </w:pPr>
      <w:r w:rsidRPr="00875798">
        <w:rPr>
          <w:rFonts w:ascii="Arial" w:hAnsi="Arial" w:cs="Arial"/>
          <w:color w:val="auto"/>
        </w:rPr>
        <w:t xml:space="preserve">Do you think advice should be different for different groups of people? If so – who? </w:t>
      </w:r>
    </w:p>
    <w:p w14:paraId="3A2024AE" w14:textId="77777777" w:rsidR="000F5BC4" w:rsidRPr="00875798" w:rsidRDefault="000F5BC4" w:rsidP="000F5BC4">
      <w:pPr>
        <w:pStyle w:val="ListParagraph"/>
        <w:numPr>
          <w:ilvl w:val="0"/>
          <w:numId w:val="32"/>
        </w:numPr>
        <w:rPr>
          <w:rFonts w:ascii="Helvetica" w:eastAsiaTheme="majorEastAsia" w:hAnsi="Helvetica" w:cs="Helvetica"/>
          <w:b/>
          <w:bCs/>
          <w:color w:val="auto"/>
          <w:sz w:val="26"/>
          <w:szCs w:val="26"/>
        </w:rPr>
      </w:pPr>
      <w:r w:rsidRPr="00875798">
        <w:rPr>
          <w:rFonts w:ascii="Arial" w:hAnsi="Arial" w:cs="Arial"/>
          <w:color w:val="auto"/>
          <w:sz w:val="24"/>
          <w:szCs w:val="24"/>
        </w:rPr>
        <w:t xml:space="preserve">Who should have an assessment before exercise and who should do the assessment? </w:t>
      </w:r>
      <w:r w:rsidRPr="00875798">
        <w:rPr>
          <w:rFonts w:ascii="Helvetica" w:hAnsi="Helvetica" w:cs="Helvetica"/>
          <w:b/>
          <w:bCs/>
          <w:color w:val="auto"/>
        </w:rPr>
        <w:br w:type="page"/>
      </w:r>
    </w:p>
    <w:p w14:paraId="7E2C0C5C" w14:textId="77777777" w:rsidR="000F5BC4" w:rsidRPr="00875798" w:rsidRDefault="000F5BC4" w:rsidP="000F5BC4">
      <w:pPr>
        <w:pStyle w:val="Heading2"/>
        <w:rPr>
          <w:rFonts w:ascii="Helvetica" w:hAnsi="Helvetica" w:cs="Helvetica"/>
          <w:b/>
          <w:bCs/>
          <w:color w:val="auto"/>
        </w:rPr>
      </w:pPr>
      <w:bookmarkStart w:id="16" w:name="_Toc96616270"/>
      <w:r w:rsidRPr="00875798">
        <w:rPr>
          <w:rFonts w:ascii="Helvetica" w:hAnsi="Helvetica" w:cs="Helvetica"/>
          <w:b/>
          <w:bCs/>
          <w:color w:val="auto"/>
        </w:rPr>
        <w:t>Appendix II: Online Survey</w:t>
      </w:r>
      <w:bookmarkEnd w:id="16"/>
    </w:p>
    <w:p w14:paraId="7AE32DDD" w14:textId="77777777" w:rsidR="000F5BC4" w:rsidRPr="00875798" w:rsidRDefault="000F5BC4" w:rsidP="000F5BC4"/>
    <w:p w14:paraId="78636EA5" w14:textId="77777777" w:rsidR="000F5BC4" w:rsidRPr="00875798" w:rsidRDefault="000F5BC4" w:rsidP="000F5BC4">
      <w:r w:rsidRPr="00875798">
        <w:t>The National Osteoporosis Society is working with experts in the field to create a UK Expert Statement on how exercise and physical activity can help to improve bone strength - what exercise is needed and what is safe. Although information and advice is available, we know there are uncertainties and unanswered questions that need addressing so that people with osteoporosis can get the information they need.</w:t>
      </w:r>
    </w:p>
    <w:p w14:paraId="1998976C" w14:textId="77777777" w:rsidR="000F5BC4" w:rsidRPr="00875798" w:rsidRDefault="000F5BC4" w:rsidP="000F5BC4">
      <w:r w:rsidRPr="00875798">
        <w:t>If you are either a health professional, working with people with osteoporosis, or you have the condition or are at risk, we would love to hear your views.</w:t>
      </w:r>
    </w:p>
    <w:p w14:paraId="0DF5B7DE" w14:textId="77777777" w:rsidR="000F5BC4" w:rsidRPr="00875798" w:rsidRDefault="000F5BC4" w:rsidP="000F5BC4"/>
    <w:p w14:paraId="269B8AE1" w14:textId="77777777" w:rsidR="000F5BC4" w:rsidRPr="00875798" w:rsidRDefault="000F5BC4" w:rsidP="000F5BC4">
      <w:pPr>
        <w:ind w:left="567" w:hanging="567"/>
      </w:pPr>
      <w:r w:rsidRPr="00875798">
        <w:t>1.</w:t>
      </w:r>
      <w:r w:rsidRPr="00875798">
        <w:tab/>
        <w:t>Do you have a questions or issues about exercise and osteoporosis that you would like the experts to address in their Expert Statement ? Please explain in the box below.</w:t>
      </w:r>
      <w:r w:rsidRPr="00875798">
        <w:br/>
        <w:t>An example might be ' Will brisk walking strengthen the bones in my back' or 'Is jogging helpful and safe to strengthen my hip bones, if I've got low bone density'</w:t>
      </w:r>
    </w:p>
    <w:tbl>
      <w:tblPr>
        <w:tblStyle w:val="TableGrid"/>
        <w:tblW w:w="0" w:type="auto"/>
        <w:tblInd w:w="567" w:type="dxa"/>
        <w:tblLook w:val="04A0" w:firstRow="1" w:lastRow="0" w:firstColumn="1" w:lastColumn="0" w:noHBand="0" w:noVBand="1"/>
      </w:tblPr>
      <w:tblGrid>
        <w:gridCol w:w="8449"/>
      </w:tblGrid>
      <w:tr w:rsidR="000F5BC4" w:rsidRPr="00875798" w14:paraId="6523B83A" w14:textId="77777777" w:rsidTr="001A7DC7">
        <w:tc>
          <w:tcPr>
            <w:tcW w:w="9016" w:type="dxa"/>
          </w:tcPr>
          <w:p w14:paraId="382B9B4D" w14:textId="77777777" w:rsidR="000F5BC4" w:rsidRPr="00875798" w:rsidRDefault="000F5BC4" w:rsidP="001A7DC7">
            <w:pPr>
              <w:rPr>
                <w:color w:val="auto"/>
              </w:rPr>
            </w:pPr>
          </w:p>
          <w:p w14:paraId="7BF1B056" w14:textId="77777777" w:rsidR="000F5BC4" w:rsidRPr="00875798" w:rsidRDefault="000F5BC4" w:rsidP="001A7DC7">
            <w:pPr>
              <w:rPr>
                <w:color w:val="auto"/>
              </w:rPr>
            </w:pPr>
          </w:p>
          <w:p w14:paraId="0206CB82" w14:textId="77777777" w:rsidR="000F5BC4" w:rsidRPr="00875798" w:rsidRDefault="000F5BC4" w:rsidP="001A7DC7">
            <w:pPr>
              <w:rPr>
                <w:color w:val="auto"/>
              </w:rPr>
            </w:pPr>
          </w:p>
          <w:p w14:paraId="59B9DBDE" w14:textId="77777777" w:rsidR="000F5BC4" w:rsidRPr="00875798" w:rsidRDefault="000F5BC4" w:rsidP="001A7DC7">
            <w:pPr>
              <w:rPr>
                <w:color w:val="auto"/>
              </w:rPr>
            </w:pPr>
          </w:p>
          <w:p w14:paraId="4A34C2D8" w14:textId="77777777" w:rsidR="000F5BC4" w:rsidRPr="00875798" w:rsidRDefault="000F5BC4" w:rsidP="001A7DC7">
            <w:pPr>
              <w:rPr>
                <w:color w:val="auto"/>
              </w:rPr>
            </w:pPr>
          </w:p>
        </w:tc>
      </w:tr>
    </w:tbl>
    <w:p w14:paraId="265F6828" w14:textId="77777777" w:rsidR="000F5BC4" w:rsidRPr="00875798" w:rsidRDefault="000F5BC4" w:rsidP="000F5BC4">
      <w:pPr>
        <w:ind w:left="567" w:hanging="567"/>
      </w:pPr>
    </w:p>
    <w:p w14:paraId="352B8D44" w14:textId="77777777" w:rsidR="000F5BC4" w:rsidRPr="00875798" w:rsidRDefault="000F5BC4" w:rsidP="000F5BC4">
      <w:pPr>
        <w:ind w:left="567" w:hanging="567"/>
      </w:pPr>
    </w:p>
    <w:p w14:paraId="62D72F29" w14:textId="77777777" w:rsidR="000F5BC4" w:rsidRPr="00875798" w:rsidRDefault="000F5BC4" w:rsidP="000F5BC4">
      <w:pPr>
        <w:ind w:left="567" w:hanging="567"/>
      </w:pPr>
      <w:r w:rsidRPr="00875798">
        <w:t>2.</w:t>
      </w:r>
      <w:r w:rsidRPr="00875798">
        <w:tab/>
        <w:t>Are you interested in this subject as : (please tick all that apply)</w:t>
      </w:r>
    </w:p>
    <w:p w14:paraId="74392057" w14:textId="77777777" w:rsidR="000F5BC4" w:rsidRPr="00875798" w:rsidRDefault="000F5BC4" w:rsidP="000F5BC4">
      <w:pPr>
        <w:pStyle w:val="ListParagraph"/>
        <w:numPr>
          <w:ilvl w:val="0"/>
          <w:numId w:val="21"/>
        </w:numPr>
        <w:rPr>
          <w:color w:val="auto"/>
        </w:rPr>
      </w:pPr>
      <w:r w:rsidRPr="00875798">
        <w:rPr>
          <w:color w:val="auto"/>
        </w:rPr>
        <w:t>a health professional</w:t>
      </w:r>
    </w:p>
    <w:p w14:paraId="4E9AB1C0" w14:textId="77777777" w:rsidR="000F5BC4" w:rsidRPr="00875798" w:rsidRDefault="000F5BC4" w:rsidP="000F5BC4">
      <w:pPr>
        <w:pStyle w:val="ListParagraph"/>
        <w:numPr>
          <w:ilvl w:val="0"/>
          <w:numId w:val="21"/>
        </w:numPr>
        <w:rPr>
          <w:color w:val="auto"/>
        </w:rPr>
      </w:pPr>
      <w:r w:rsidRPr="00875798">
        <w:rPr>
          <w:color w:val="auto"/>
        </w:rPr>
        <w:t>someone with low bone density - not in the osteoporosis range someone with osteoporosis (diagnosed on a bone density scan) someone with osteoporosis who has had one spinal fracture someone who has had more than one spinal fracture</w:t>
      </w:r>
    </w:p>
    <w:p w14:paraId="1FA1EE3D" w14:textId="77777777" w:rsidR="000F5BC4" w:rsidRPr="00875798" w:rsidRDefault="000F5BC4" w:rsidP="000F5BC4">
      <w:pPr>
        <w:pStyle w:val="ListParagraph"/>
        <w:numPr>
          <w:ilvl w:val="0"/>
          <w:numId w:val="21"/>
        </w:numPr>
        <w:rPr>
          <w:color w:val="auto"/>
        </w:rPr>
      </w:pPr>
      <w:r w:rsidRPr="00875798">
        <w:rPr>
          <w:color w:val="auto"/>
        </w:rPr>
        <w:t>someone with osteoporosis - you aren't sure if you've had spinal fractures someone with osteoporosis who has broken other bones after a simple fall someone 'at risk' of fractures and advised to take an osteoporosis drug treatment someone with risk factors for osteoporosis</w:t>
      </w:r>
    </w:p>
    <w:p w14:paraId="223D6BAF" w14:textId="77777777" w:rsidR="000F5BC4" w:rsidRPr="00875798" w:rsidRDefault="000F5BC4" w:rsidP="000F5BC4">
      <w:pPr>
        <w:pStyle w:val="ListParagraph"/>
        <w:numPr>
          <w:ilvl w:val="0"/>
          <w:numId w:val="21"/>
        </w:numPr>
        <w:rPr>
          <w:color w:val="auto"/>
        </w:rPr>
      </w:pPr>
      <w:r w:rsidRPr="00875798">
        <w:rPr>
          <w:color w:val="auto"/>
        </w:rPr>
        <w:t>someone who isn't very mobile or used to exercise</w:t>
      </w:r>
    </w:p>
    <w:p w14:paraId="2958E407" w14:textId="77777777" w:rsidR="000F5BC4" w:rsidRPr="00875798" w:rsidRDefault="000F5BC4" w:rsidP="000F5BC4">
      <w:pPr>
        <w:pStyle w:val="ListParagraph"/>
        <w:numPr>
          <w:ilvl w:val="0"/>
          <w:numId w:val="21"/>
        </w:numPr>
        <w:rPr>
          <w:color w:val="auto"/>
        </w:rPr>
      </w:pPr>
      <w:r w:rsidRPr="00875798">
        <w:rPr>
          <w:color w:val="auto"/>
        </w:rPr>
        <w:t>Other (please specify)</w:t>
      </w:r>
    </w:p>
    <w:tbl>
      <w:tblPr>
        <w:tblStyle w:val="TableGrid"/>
        <w:tblW w:w="0" w:type="auto"/>
        <w:tblInd w:w="720" w:type="dxa"/>
        <w:tblLook w:val="04A0" w:firstRow="1" w:lastRow="0" w:firstColumn="1" w:lastColumn="0" w:noHBand="0" w:noVBand="1"/>
      </w:tblPr>
      <w:tblGrid>
        <w:gridCol w:w="8296"/>
      </w:tblGrid>
      <w:tr w:rsidR="000F5BC4" w:rsidRPr="00875798" w14:paraId="31E9B918" w14:textId="77777777" w:rsidTr="001A7DC7">
        <w:tc>
          <w:tcPr>
            <w:tcW w:w="9016" w:type="dxa"/>
          </w:tcPr>
          <w:p w14:paraId="5230B702" w14:textId="77777777" w:rsidR="000F5BC4" w:rsidRPr="00875798" w:rsidRDefault="000F5BC4" w:rsidP="001A7DC7">
            <w:pPr>
              <w:pStyle w:val="ListParagraph"/>
              <w:ind w:left="0"/>
              <w:rPr>
                <w:color w:val="auto"/>
              </w:rPr>
            </w:pPr>
          </w:p>
        </w:tc>
      </w:tr>
    </w:tbl>
    <w:p w14:paraId="6E6EA0BD" w14:textId="77777777" w:rsidR="000F5BC4" w:rsidRPr="00875798" w:rsidRDefault="000F5BC4" w:rsidP="000F5BC4"/>
    <w:p w14:paraId="25195664" w14:textId="77777777" w:rsidR="000F5BC4" w:rsidRPr="00875798" w:rsidRDefault="000F5BC4" w:rsidP="000F5BC4">
      <w:pPr>
        <w:ind w:left="567" w:hanging="567"/>
      </w:pPr>
      <w:r w:rsidRPr="00875798">
        <w:t xml:space="preserve">3. </w:t>
      </w:r>
      <w:r w:rsidRPr="00875798">
        <w:tab/>
        <w:t>The charity plans to produce new and improved information resources on exercise and osteoporosis. Would you, or your patients, use the following :</w:t>
      </w:r>
    </w:p>
    <w:p w14:paraId="58140B2D" w14:textId="77777777" w:rsidR="000F5BC4" w:rsidRPr="00875798" w:rsidRDefault="000F5BC4" w:rsidP="000F5BC4">
      <w:pPr>
        <w:pStyle w:val="ListParagraph"/>
        <w:numPr>
          <w:ilvl w:val="0"/>
          <w:numId w:val="22"/>
        </w:numPr>
        <w:rPr>
          <w:color w:val="auto"/>
        </w:rPr>
      </w:pPr>
      <w:r w:rsidRPr="00875798">
        <w:rPr>
          <w:color w:val="auto"/>
        </w:rPr>
        <w:t>printed material, such as fact sheets, that could be ordered or downloaded from our website video clips on our website</w:t>
      </w:r>
    </w:p>
    <w:p w14:paraId="13FD96D1" w14:textId="77777777" w:rsidR="000F5BC4" w:rsidRPr="00875798" w:rsidRDefault="000F5BC4" w:rsidP="000F5BC4">
      <w:pPr>
        <w:pStyle w:val="ListParagraph"/>
        <w:numPr>
          <w:ilvl w:val="0"/>
          <w:numId w:val="22"/>
        </w:numPr>
        <w:rPr>
          <w:color w:val="auto"/>
        </w:rPr>
      </w:pPr>
      <w:r w:rsidRPr="00875798">
        <w:rPr>
          <w:color w:val="auto"/>
        </w:rPr>
        <w:t>a DVD</w:t>
      </w:r>
    </w:p>
    <w:p w14:paraId="028F7EC3" w14:textId="77777777" w:rsidR="000F5BC4" w:rsidRPr="00875798" w:rsidRDefault="000F5BC4" w:rsidP="000F5BC4">
      <w:pPr>
        <w:pStyle w:val="ListParagraph"/>
        <w:numPr>
          <w:ilvl w:val="0"/>
          <w:numId w:val="22"/>
        </w:numPr>
        <w:rPr>
          <w:color w:val="auto"/>
        </w:rPr>
      </w:pPr>
      <w:r w:rsidRPr="00875798">
        <w:rPr>
          <w:color w:val="auto"/>
        </w:rPr>
        <w:t>Other (please specify)</w:t>
      </w:r>
    </w:p>
    <w:tbl>
      <w:tblPr>
        <w:tblStyle w:val="TableGrid"/>
        <w:tblW w:w="0" w:type="auto"/>
        <w:tblInd w:w="567" w:type="dxa"/>
        <w:tblLook w:val="04A0" w:firstRow="1" w:lastRow="0" w:firstColumn="1" w:lastColumn="0" w:noHBand="0" w:noVBand="1"/>
      </w:tblPr>
      <w:tblGrid>
        <w:gridCol w:w="8449"/>
      </w:tblGrid>
      <w:tr w:rsidR="000F5BC4" w:rsidRPr="00875798" w14:paraId="24511E87" w14:textId="77777777" w:rsidTr="001A7DC7">
        <w:tc>
          <w:tcPr>
            <w:tcW w:w="9016" w:type="dxa"/>
          </w:tcPr>
          <w:p w14:paraId="55FEA01B" w14:textId="77777777" w:rsidR="000F5BC4" w:rsidRPr="00875798" w:rsidRDefault="000F5BC4" w:rsidP="001A7DC7">
            <w:pPr>
              <w:rPr>
                <w:color w:val="auto"/>
              </w:rPr>
            </w:pPr>
          </w:p>
        </w:tc>
      </w:tr>
    </w:tbl>
    <w:p w14:paraId="570CEF0B" w14:textId="77777777" w:rsidR="000F5BC4" w:rsidRPr="00875798" w:rsidRDefault="000F5BC4" w:rsidP="000F5BC4"/>
    <w:p w14:paraId="263B5635" w14:textId="77777777" w:rsidR="000F5BC4" w:rsidRPr="00875798" w:rsidRDefault="000F5BC4" w:rsidP="000F5BC4">
      <w:pPr>
        <w:ind w:left="567" w:hanging="567"/>
      </w:pPr>
      <w:r w:rsidRPr="00875798">
        <w:t xml:space="preserve">4. </w:t>
      </w:r>
      <w:r w:rsidRPr="00875798">
        <w:tab/>
        <w:t>How old are you (please only answer Q 4- 6 if you are interested for yourself) :</w:t>
      </w:r>
    </w:p>
    <w:p w14:paraId="4D670798" w14:textId="77777777" w:rsidR="000F5BC4" w:rsidRPr="00875798" w:rsidRDefault="000F5BC4" w:rsidP="000F5BC4">
      <w:pPr>
        <w:pStyle w:val="ListParagraph"/>
        <w:numPr>
          <w:ilvl w:val="0"/>
          <w:numId w:val="23"/>
        </w:numPr>
        <w:rPr>
          <w:color w:val="auto"/>
        </w:rPr>
      </w:pPr>
      <w:r w:rsidRPr="00875798">
        <w:rPr>
          <w:color w:val="auto"/>
        </w:rPr>
        <w:t>0 - 35</w:t>
      </w:r>
    </w:p>
    <w:p w14:paraId="049B31FB" w14:textId="77777777" w:rsidR="000F5BC4" w:rsidRPr="00875798" w:rsidRDefault="000F5BC4" w:rsidP="000F5BC4">
      <w:pPr>
        <w:pStyle w:val="ListParagraph"/>
        <w:numPr>
          <w:ilvl w:val="0"/>
          <w:numId w:val="23"/>
        </w:numPr>
        <w:rPr>
          <w:color w:val="auto"/>
        </w:rPr>
      </w:pPr>
      <w:r w:rsidRPr="00875798">
        <w:rPr>
          <w:color w:val="auto"/>
        </w:rPr>
        <w:t>36 - 45</w:t>
      </w:r>
    </w:p>
    <w:p w14:paraId="50D922E7" w14:textId="77777777" w:rsidR="000F5BC4" w:rsidRPr="00875798" w:rsidRDefault="000F5BC4" w:rsidP="000F5BC4">
      <w:pPr>
        <w:pStyle w:val="ListParagraph"/>
        <w:numPr>
          <w:ilvl w:val="0"/>
          <w:numId w:val="23"/>
        </w:numPr>
        <w:rPr>
          <w:color w:val="auto"/>
        </w:rPr>
      </w:pPr>
      <w:r w:rsidRPr="00875798">
        <w:rPr>
          <w:color w:val="auto"/>
        </w:rPr>
        <w:t>46 - 55</w:t>
      </w:r>
    </w:p>
    <w:p w14:paraId="351CE504" w14:textId="77777777" w:rsidR="000F5BC4" w:rsidRPr="00875798" w:rsidRDefault="000F5BC4" w:rsidP="000F5BC4">
      <w:pPr>
        <w:pStyle w:val="ListParagraph"/>
        <w:numPr>
          <w:ilvl w:val="0"/>
          <w:numId w:val="23"/>
        </w:numPr>
        <w:rPr>
          <w:color w:val="auto"/>
        </w:rPr>
      </w:pPr>
      <w:r w:rsidRPr="00875798">
        <w:rPr>
          <w:color w:val="auto"/>
        </w:rPr>
        <w:t>56 - 65</w:t>
      </w:r>
    </w:p>
    <w:p w14:paraId="308A8FEA" w14:textId="77777777" w:rsidR="000F5BC4" w:rsidRPr="00875798" w:rsidRDefault="000F5BC4" w:rsidP="000F5BC4">
      <w:pPr>
        <w:pStyle w:val="ListParagraph"/>
        <w:numPr>
          <w:ilvl w:val="0"/>
          <w:numId w:val="23"/>
        </w:numPr>
        <w:rPr>
          <w:color w:val="auto"/>
        </w:rPr>
      </w:pPr>
      <w:r w:rsidRPr="00875798">
        <w:rPr>
          <w:color w:val="auto"/>
        </w:rPr>
        <w:t>66 - 75</w:t>
      </w:r>
    </w:p>
    <w:p w14:paraId="4EBFC618" w14:textId="77777777" w:rsidR="000F5BC4" w:rsidRPr="00875798" w:rsidRDefault="000F5BC4" w:rsidP="000F5BC4">
      <w:pPr>
        <w:pStyle w:val="ListParagraph"/>
        <w:numPr>
          <w:ilvl w:val="0"/>
          <w:numId w:val="23"/>
        </w:numPr>
        <w:rPr>
          <w:color w:val="auto"/>
        </w:rPr>
      </w:pPr>
      <w:r w:rsidRPr="00875798">
        <w:rPr>
          <w:color w:val="auto"/>
        </w:rPr>
        <w:t>76 - 85</w:t>
      </w:r>
    </w:p>
    <w:p w14:paraId="2E1F6880" w14:textId="77777777" w:rsidR="000F5BC4" w:rsidRPr="00875798" w:rsidRDefault="000F5BC4" w:rsidP="000F5BC4">
      <w:pPr>
        <w:pStyle w:val="ListParagraph"/>
        <w:numPr>
          <w:ilvl w:val="0"/>
          <w:numId w:val="23"/>
        </w:numPr>
        <w:rPr>
          <w:color w:val="auto"/>
        </w:rPr>
      </w:pPr>
      <w:r w:rsidRPr="00875798">
        <w:rPr>
          <w:color w:val="auto"/>
        </w:rPr>
        <w:t>86 or over</w:t>
      </w:r>
    </w:p>
    <w:p w14:paraId="05F8D1EB" w14:textId="77777777" w:rsidR="000F5BC4" w:rsidRPr="00875798" w:rsidRDefault="000F5BC4" w:rsidP="000F5BC4">
      <w:pPr>
        <w:ind w:left="567" w:hanging="567"/>
      </w:pPr>
    </w:p>
    <w:p w14:paraId="3599C890" w14:textId="77777777" w:rsidR="000F5BC4" w:rsidRPr="00875798" w:rsidRDefault="000F5BC4" w:rsidP="000F5BC4">
      <w:pPr>
        <w:ind w:left="567" w:hanging="567"/>
      </w:pPr>
      <w:r w:rsidRPr="00875798">
        <w:t xml:space="preserve">5. </w:t>
      </w:r>
      <w:r w:rsidRPr="00875798">
        <w:tab/>
        <w:t>What gender are you :</w:t>
      </w:r>
    </w:p>
    <w:p w14:paraId="67B00BE2" w14:textId="77777777" w:rsidR="000F5BC4" w:rsidRPr="00875798" w:rsidRDefault="000F5BC4" w:rsidP="000F5BC4">
      <w:pPr>
        <w:pStyle w:val="ListParagraph"/>
        <w:numPr>
          <w:ilvl w:val="0"/>
          <w:numId w:val="24"/>
        </w:numPr>
        <w:rPr>
          <w:color w:val="auto"/>
        </w:rPr>
      </w:pPr>
      <w:r w:rsidRPr="00875798">
        <w:rPr>
          <w:color w:val="auto"/>
        </w:rPr>
        <w:t xml:space="preserve">male  </w:t>
      </w:r>
    </w:p>
    <w:p w14:paraId="67C4D98E" w14:textId="77777777" w:rsidR="000F5BC4" w:rsidRPr="00875798" w:rsidRDefault="000F5BC4" w:rsidP="000F5BC4">
      <w:pPr>
        <w:pStyle w:val="ListParagraph"/>
        <w:numPr>
          <w:ilvl w:val="0"/>
          <w:numId w:val="24"/>
        </w:numPr>
        <w:rPr>
          <w:color w:val="auto"/>
        </w:rPr>
      </w:pPr>
      <w:r w:rsidRPr="00875798">
        <w:rPr>
          <w:color w:val="auto"/>
        </w:rPr>
        <w:t xml:space="preserve">female  </w:t>
      </w:r>
    </w:p>
    <w:p w14:paraId="05DB117A" w14:textId="77777777" w:rsidR="000F5BC4" w:rsidRPr="00875798" w:rsidRDefault="000F5BC4" w:rsidP="000F5BC4">
      <w:pPr>
        <w:pStyle w:val="ListParagraph"/>
        <w:numPr>
          <w:ilvl w:val="0"/>
          <w:numId w:val="24"/>
        </w:numPr>
        <w:rPr>
          <w:color w:val="auto"/>
        </w:rPr>
      </w:pPr>
      <w:r w:rsidRPr="00875798">
        <w:rPr>
          <w:color w:val="auto"/>
        </w:rPr>
        <w:t>other</w:t>
      </w:r>
    </w:p>
    <w:p w14:paraId="403A3695" w14:textId="77777777" w:rsidR="000F5BC4" w:rsidRPr="00875798" w:rsidRDefault="000F5BC4" w:rsidP="000F5BC4">
      <w:pPr>
        <w:ind w:left="567" w:hanging="567"/>
      </w:pPr>
    </w:p>
    <w:p w14:paraId="144CD3FD" w14:textId="77777777" w:rsidR="000F5BC4" w:rsidRPr="00875798" w:rsidRDefault="000F5BC4" w:rsidP="000F5BC4">
      <w:pPr>
        <w:ind w:left="567" w:hanging="567"/>
      </w:pPr>
      <w:r w:rsidRPr="00875798">
        <w:t xml:space="preserve">6. </w:t>
      </w:r>
      <w:r w:rsidRPr="00875798">
        <w:tab/>
        <w:t>How would you describe your ethnic origin :</w:t>
      </w:r>
    </w:p>
    <w:p w14:paraId="626D4CED" w14:textId="77777777" w:rsidR="000F5BC4" w:rsidRPr="00875798" w:rsidRDefault="000F5BC4" w:rsidP="000F5BC4">
      <w:pPr>
        <w:pStyle w:val="ListParagraph"/>
        <w:numPr>
          <w:ilvl w:val="0"/>
          <w:numId w:val="25"/>
        </w:numPr>
        <w:rPr>
          <w:color w:val="auto"/>
        </w:rPr>
      </w:pPr>
      <w:r w:rsidRPr="00875798">
        <w:rPr>
          <w:color w:val="auto"/>
        </w:rPr>
        <w:t>White</w:t>
      </w:r>
    </w:p>
    <w:p w14:paraId="162D0CE5" w14:textId="77777777" w:rsidR="000F5BC4" w:rsidRPr="00875798" w:rsidRDefault="000F5BC4" w:rsidP="000F5BC4">
      <w:pPr>
        <w:pStyle w:val="ListParagraph"/>
        <w:numPr>
          <w:ilvl w:val="0"/>
          <w:numId w:val="25"/>
        </w:numPr>
        <w:rPr>
          <w:color w:val="auto"/>
        </w:rPr>
      </w:pPr>
      <w:r w:rsidRPr="00875798">
        <w:rPr>
          <w:color w:val="auto"/>
        </w:rPr>
        <w:t xml:space="preserve">Asian or Asian British (including Chinese)     </w:t>
      </w:r>
    </w:p>
    <w:p w14:paraId="59547D24" w14:textId="77777777" w:rsidR="000F5BC4" w:rsidRPr="00875798" w:rsidRDefault="000F5BC4" w:rsidP="000F5BC4">
      <w:pPr>
        <w:pStyle w:val="ListParagraph"/>
        <w:numPr>
          <w:ilvl w:val="0"/>
          <w:numId w:val="25"/>
        </w:numPr>
        <w:rPr>
          <w:color w:val="auto"/>
        </w:rPr>
      </w:pPr>
      <w:r w:rsidRPr="00875798">
        <w:rPr>
          <w:color w:val="auto"/>
        </w:rPr>
        <w:t xml:space="preserve">Black/African/Caribbean/Black British      </w:t>
      </w:r>
    </w:p>
    <w:p w14:paraId="1951A0A7" w14:textId="77777777" w:rsidR="000F5BC4" w:rsidRPr="00875798" w:rsidRDefault="000F5BC4" w:rsidP="000F5BC4">
      <w:pPr>
        <w:pStyle w:val="ListParagraph"/>
        <w:numPr>
          <w:ilvl w:val="0"/>
          <w:numId w:val="25"/>
        </w:numPr>
        <w:rPr>
          <w:color w:val="auto"/>
        </w:rPr>
      </w:pPr>
      <w:r w:rsidRPr="00875798">
        <w:rPr>
          <w:color w:val="auto"/>
        </w:rPr>
        <w:t>Mixed/multiple ethnic groups</w:t>
      </w:r>
    </w:p>
    <w:p w14:paraId="6B8CE096" w14:textId="77777777" w:rsidR="000F5BC4" w:rsidRPr="00875798" w:rsidRDefault="000F5BC4" w:rsidP="000F5BC4">
      <w:pPr>
        <w:pStyle w:val="ListParagraph"/>
        <w:numPr>
          <w:ilvl w:val="0"/>
          <w:numId w:val="25"/>
        </w:numPr>
        <w:rPr>
          <w:color w:val="auto"/>
        </w:rPr>
      </w:pPr>
      <w:r w:rsidRPr="00875798">
        <w:rPr>
          <w:color w:val="auto"/>
        </w:rPr>
        <w:t xml:space="preserve">I prefer not to say </w:t>
      </w:r>
    </w:p>
    <w:p w14:paraId="1690C3FE" w14:textId="77777777" w:rsidR="000F5BC4" w:rsidRPr="00875798" w:rsidRDefault="000F5BC4" w:rsidP="000F5BC4">
      <w:pPr>
        <w:pStyle w:val="ListParagraph"/>
        <w:numPr>
          <w:ilvl w:val="0"/>
          <w:numId w:val="25"/>
        </w:numPr>
        <w:rPr>
          <w:color w:val="auto"/>
        </w:rPr>
      </w:pPr>
      <w:r w:rsidRPr="00875798">
        <w:rPr>
          <w:color w:val="auto"/>
        </w:rPr>
        <w:t>Other (please specify)</w:t>
      </w:r>
    </w:p>
    <w:p w14:paraId="4ABBB785" w14:textId="77777777" w:rsidR="000F5BC4" w:rsidRPr="00875798" w:rsidRDefault="000F5BC4" w:rsidP="000F5BC4">
      <w:pPr>
        <w:spacing w:before="80"/>
        <w:ind w:left="567" w:hanging="567"/>
        <w:rPr>
          <w:w w:val="105"/>
        </w:rPr>
      </w:pPr>
    </w:p>
    <w:p w14:paraId="1E7C57C3" w14:textId="77777777" w:rsidR="000F5BC4" w:rsidRPr="00875798" w:rsidRDefault="000F5BC4" w:rsidP="000F5BC4">
      <w:pPr>
        <w:spacing w:before="80"/>
        <w:ind w:left="567" w:hanging="567"/>
        <w:rPr>
          <w:b/>
          <w:bCs/>
        </w:rPr>
      </w:pPr>
      <w:r w:rsidRPr="00875798">
        <w:rPr>
          <w:b/>
          <w:bCs/>
          <w:w w:val="105"/>
        </w:rPr>
        <w:t>Thank</w:t>
      </w:r>
      <w:r w:rsidRPr="00875798">
        <w:rPr>
          <w:b/>
          <w:bCs/>
          <w:spacing w:val="-6"/>
          <w:w w:val="105"/>
        </w:rPr>
        <w:t xml:space="preserve"> </w:t>
      </w:r>
      <w:r w:rsidRPr="00875798">
        <w:rPr>
          <w:b/>
          <w:bCs/>
          <w:w w:val="105"/>
        </w:rPr>
        <w:t>you</w:t>
      </w:r>
      <w:r w:rsidRPr="00875798">
        <w:rPr>
          <w:b/>
          <w:bCs/>
          <w:spacing w:val="-6"/>
          <w:w w:val="105"/>
        </w:rPr>
        <w:t xml:space="preserve"> </w:t>
      </w:r>
      <w:r w:rsidRPr="00875798">
        <w:rPr>
          <w:b/>
          <w:bCs/>
          <w:w w:val="105"/>
        </w:rPr>
        <w:t>for</w:t>
      </w:r>
      <w:r w:rsidRPr="00875798">
        <w:rPr>
          <w:b/>
          <w:bCs/>
          <w:spacing w:val="-6"/>
          <w:w w:val="105"/>
        </w:rPr>
        <w:t xml:space="preserve"> </w:t>
      </w:r>
      <w:r w:rsidRPr="00875798">
        <w:rPr>
          <w:b/>
          <w:bCs/>
          <w:w w:val="105"/>
        </w:rPr>
        <w:t>your</w:t>
      </w:r>
      <w:r w:rsidRPr="00875798">
        <w:rPr>
          <w:b/>
          <w:bCs/>
          <w:spacing w:val="-5"/>
          <w:w w:val="105"/>
        </w:rPr>
        <w:t xml:space="preserve"> </w:t>
      </w:r>
      <w:r w:rsidRPr="00875798">
        <w:rPr>
          <w:b/>
          <w:bCs/>
          <w:w w:val="105"/>
        </w:rPr>
        <w:t>help.</w:t>
      </w:r>
    </w:p>
    <w:p w14:paraId="233FA3A4" w14:textId="77777777" w:rsidR="000F5BC4" w:rsidRPr="00875798" w:rsidRDefault="000F5BC4" w:rsidP="000F5BC4">
      <w:pPr>
        <w:spacing w:before="61" w:line="319" w:lineRule="auto"/>
        <w:rPr>
          <w:b/>
          <w:bCs/>
        </w:rPr>
      </w:pPr>
      <w:r w:rsidRPr="00875798">
        <w:rPr>
          <w:b/>
          <w:bCs/>
          <w:w w:val="105"/>
        </w:rPr>
        <w:t>We cannot provide you will a personal reply from this survey. If you would like to discuss your own situation or get more</w:t>
      </w:r>
      <w:r w:rsidRPr="00875798">
        <w:rPr>
          <w:b/>
          <w:bCs/>
          <w:spacing w:val="1"/>
          <w:w w:val="105"/>
        </w:rPr>
        <w:t xml:space="preserve"> </w:t>
      </w:r>
      <w:r w:rsidRPr="00875798">
        <w:rPr>
          <w:b/>
          <w:bCs/>
          <w:w w:val="105"/>
        </w:rPr>
        <w:t xml:space="preserve">information please contact our helpline 0808 800 0035 or </w:t>
      </w:r>
      <w:hyperlink r:id="rId15">
        <w:r w:rsidRPr="00875798">
          <w:rPr>
            <w:b/>
            <w:bCs/>
            <w:w w:val="105"/>
          </w:rPr>
          <w:t xml:space="preserve">nurses@nos.org.uk </w:t>
        </w:r>
      </w:hyperlink>
      <w:r w:rsidRPr="00875798">
        <w:rPr>
          <w:b/>
          <w:bCs/>
          <w:w w:val="105"/>
        </w:rPr>
        <w:t>.</w:t>
      </w:r>
      <w:r w:rsidRPr="00875798">
        <w:rPr>
          <w:b/>
          <w:bCs/>
          <w:spacing w:val="1"/>
          <w:w w:val="105"/>
        </w:rPr>
        <w:t xml:space="preserve"> </w:t>
      </w:r>
      <w:r w:rsidRPr="00875798">
        <w:rPr>
          <w:b/>
          <w:bCs/>
          <w:w w:val="105"/>
        </w:rPr>
        <w:t>If you would like more information about the</w:t>
      </w:r>
      <w:r w:rsidRPr="00875798">
        <w:rPr>
          <w:b/>
          <w:bCs/>
          <w:spacing w:val="-44"/>
          <w:w w:val="105"/>
        </w:rPr>
        <w:t xml:space="preserve"> </w:t>
      </w:r>
      <w:r w:rsidRPr="00875798">
        <w:rPr>
          <w:b/>
          <w:bCs/>
          <w:w w:val="105"/>
        </w:rPr>
        <w:t>Strong,Straight</w:t>
      </w:r>
      <w:r w:rsidRPr="00875798">
        <w:rPr>
          <w:b/>
          <w:bCs/>
          <w:spacing w:val="-3"/>
          <w:w w:val="105"/>
        </w:rPr>
        <w:t xml:space="preserve"> </w:t>
      </w:r>
      <w:r w:rsidRPr="00875798">
        <w:rPr>
          <w:b/>
          <w:bCs/>
          <w:w w:val="105"/>
        </w:rPr>
        <w:t>and</w:t>
      </w:r>
      <w:r w:rsidRPr="00875798">
        <w:rPr>
          <w:b/>
          <w:bCs/>
          <w:spacing w:val="-2"/>
          <w:w w:val="105"/>
        </w:rPr>
        <w:t xml:space="preserve"> </w:t>
      </w:r>
      <w:r w:rsidRPr="00875798">
        <w:rPr>
          <w:b/>
          <w:bCs/>
          <w:w w:val="105"/>
        </w:rPr>
        <w:t>Steady</w:t>
      </w:r>
      <w:r w:rsidRPr="00875798">
        <w:rPr>
          <w:b/>
          <w:bCs/>
          <w:spacing w:val="-2"/>
          <w:w w:val="105"/>
        </w:rPr>
        <w:t xml:space="preserve"> </w:t>
      </w:r>
      <w:r w:rsidRPr="00875798">
        <w:rPr>
          <w:b/>
          <w:bCs/>
          <w:w w:val="105"/>
        </w:rPr>
        <w:t>project,</w:t>
      </w:r>
      <w:r w:rsidRPr="00875798">
        <w:rPr>
          <w:b/>
          <w:bCs/>
          <w:spacing w:val="-2"/>
          <w:w w:val="105"/>
        </w:rPr>
        <w:t xml:space="preserve"> </w:t>
      </w:r>
      <w:r w:rsidRPr="00875798">
        <w:rPr>
          <w:b/>
          <w:bCs/>
          <w:w w:val="105"/>
        </w:rPr>
        <w:t>please</w:t>
      </w:r>
      <w:r w:rsidRPr="00875798">
        <w:rPr>
          <w:b/>
          <w:bCs/>
          <w:spacing w:val="-2"/>
          <w:w w:val="105"/>
        </w:rPr>
        <w:t xml:space="preserve"> </w:t>
      </w:r>
      <w:r w:rsidRPr="00875798">
        <w:rPr>
          <w:b/>
          <w:bCs/>
          <w:w w:val="105"/>
        </w:rPr>
        <w:t>email</w:t>
      </w:r>
      <w:r w:rsidRPr="00875798">
        <w:rPr>
          <w:b/>
          <w:bCs/>
          <w:spacing w:val="-2"/>
          <w:w w:val="105"/>
        </w:rPr>
        <w:t xml:space="preserve"> </w:t>
      </w:r>
      <w:hyperlink r:id="rId16">
        <w:r w:rsidRPr="00875798">
          <w:rPr>
            <w:b/>
            <w:bCs/>
            <w:w w:val="105"/>
          </w:rPr>
          <w:t>s.leyland@nos.org.uk.</w:t>
        </w:r>
      </w:hyperlink>
    </w:p>
    <w:p w14:paraId="5B758F36" w14:textId="77777777" w:rsidR="000F5BC4" w:rsidRPr="00875798" w:rsidRDefault="000F5BC4" w:rsidP="000F5BC4">
      <w:pPr>
        <w:pStyle w:val="Heading2"/>
        <w:rPr>
          <w:rFonts w:ascii="Helvetica" w:hAnsi="Helvetica" w:cs="Helvetica"/>
          <w:b/>
          <w:bCs/>
          <w:color w:val="auto"/>
        </w:rPr>
      </w:pPr>
      <w:bookmarkStart w:id="17" w:name="_Toc96616271"/>
      <w:r w:rsidRPr="00875798">
        <w:rPr>
          <w:rFonts w:ascii="Helvetica" w:hAnsi="Helvetica" w:cs="Helvetica"/>
          <w:b/>
          <w:bCs/>
          <w:color w:val="auto"/>
        </w:rPr>
        <w:t>Appendix III: Composition of Exercise Expert Steering Group and Exercise Expert Working Group</w:t>
      </w:r>
      <w:bookmarkEnd w:id="15"/>
      <w:bookmarkEnd w:id="17"/>
    </w:p>
    <w:p w14:paraId="4803F324" w14:textId="77777777" w:rsidR="000F5BC4" w:rsidRPr="00875798" w:rsidRDefault="000F5BC4" w:rsidP="000F5BC4">
      <w:pPr>
        <w:rPr>
          <w:rFonts w:ascii="Helvetica" w:hAnsi="Helvetica" w:cs="Helvetica"/>
          <w:b/>
          <w:bCs/>
        </w:rPr>
      </w:pPr>
    </w:p>
    <w:p w14:paraId="5A9394D4" w14:textId="77777777" w:rsidR="000F5BC4" w:rsidRPr="00875798" w:rsidRDefault="000F5BC4" w:rsidP="000F5BC4">
      <w:pPr>
        <w:rPr>
          <w:rFonts w:ascii="Helvetica" w:hAnsi="Helvetica" w:cs="Helvetica"/>
          <w:b/>
          <w:bCs/>
        </w:rPr>
      </w:pPr>
      <w:r w:rsidRPr="00875798">
        <w:rPr>
          <w:rFonts w:ascii="Helvetica" w:hAnsi="Helvetica" w:cs="Helvetica"/>
          <w:b/>
          <w:bCs/>
        </w:rPr>
        <w:t xml:space="preserve">Expert Exercise Steering Group </w:t>
      </w:r>
    </w:p>
    <w:p w14:paraId="6AC1604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CHAIR: Professor Dawn Skelton, Professor in Ageing and Health, Glasgow Caledonian University</w:t>
      </w:r>
    </w:p>
    <w:p w14:paraId="179881A1"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Coordinator and project lead: Sarah Leyland, Osteoporosis Nurse Consultant, Royal Osteoporosis Society</w:t>
      </w:r>
    </w:p>
    <w:p w14:paraId="50B1C98A"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Project officer: Virginia Wakefield, Royal Osteoporosis Society</w:t>
      </w:r>
    </w:p>
    <w:p w14:paraId="4F8D9AF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Karen Barker, Professor of Physiotherapy, University of Oxford</w:t>
      </w:r>
    </w:p>
    <w:p w14:paraId="067F85F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Kate Bennett, Clinical Lead Physiotherapist, Solent NHS Trust, and AGILE Vice Chair, Southampton</w:t>
      </w:r>
    </w:p>
    <w:p w14:paraId="65426AE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Dr Katherine Brooke-Wavell, Senior Lecturer in Human Biology, Loughborough University</w:t>
      </w:r>
    </w:p>
    <w:p w14:paraId="400D1A6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Emma Clark, Professor of Clinical Musculoskeletal Epidemiology, University of Bristol, and Consultant Rheumatologist, North Bristol NHS Trust</w:t>
      </w:r>
    </w:p>
    <w:p w14:paraId="51B9E6F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Rachel Lewis, Clinical Specialist Physiotherapist in Rheumatology, North Bristol NHS Trust</w:t>
      </w:r>
    </w:p>
    <w:p w14:paraId="63DF3307"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Dr Zoe Paskins, Senior Lecturer and Honorary Consultant in Rheumatology at the Primary Care Versus Arthritis Centre, Keele University</w:t>
      </w:r>
    </w:p>
    <w:p w14:paraId="04B5797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Jon Tobias, Professor in Rheumatology, University of Bristol; Honorary Consultant North Bristol NHS Trust</w:t>
      </w:r>
    </w:p>
    <w:p w14:paraId="4100E574"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Professor Kate Ward, Professor of Global Musculoskeletal Health, MRC Lifecourse Epidemiology Centre, University of Southampton</w:t>
      </w:r>
    </w:p>
    <w:p w14:paraId="5A6F6137"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Dr Julie Whitney, National Institute for Health Research (NIHR) clinical lecturer (physiotherapy), Kings College Hospital, London</w:t>
      </w:r>
    </w:p>
    <w:p w14:paraId="7DF15F28" w14:textId="77777777" w:rsidR="000F5BC4" w:rsidRPr="00875798" w:rsidRDefault="000F5BC4" w:rsidP="000F5BC4">
      <w:pPr>
        <w:spacing w:before="120" w:after="0" w:line="240" w:lineRule="auto"/>
        <w:rPr>
          <w:rFonts w:ascii="Helvetica" w:hAnsi="Helvetica" w:cs="Helvetica"/>
        </w:rPr>
      </w:pPr>
    </w:p>
    <w:p w14:paraId="2FDC7C1E" w14:textId="77777777" w:rsidR="000F5BC4" w:rsidRPr="00875798" w:rsidRDefault="000F5BC4" w:rsidP="000F5BC4">
      <w:pPr>
        <w:rPr>
          <w:rFonts w:ascii="Helvetica" w:hAnsi="Helvetica" w:cs="Helvetica"/>
          <w:b/>
          <w:bCs/>
        </w:rPr>
      </w:pPr>
      <w:r w:rsidRPr="00875798">
        <w:rPr>
          <w:rFonts w:ascii="Helvetica" w:hAnsi="Helvetica" w:cs="Helvetica"/>
          <w:b/>
          <w:bCs/>
        </w:rPr>
        <w:br w:type="page"/>
      </w:r>
    </w:p>
    <w:p w14:paraId="389244AB" w14:textId="77777777" w:rsidR="000F5BC4" w:rsidRPr="00875798" w:rsidRDefault="000F5BC4" w:rsidP="000F5BC4">
      <w:pPr>
        <w:spacing w:before="120" w:after="0" w:line="240" w:lineRule="auto"/>
        <w:rPr>
          <w:rFonts w:ascii="Helvetica" w:hAnsi="Helvetica" w:cs="Helvetica"/>
          <w:b/>
          <w:bCs/>
        </w:rPr>
      </w:pPr>
      <w:r w:rsidRPr="00875798">
        <w:rPr>
          <w:rFonts w:ascii="Helvetica" w:hAnsi="Helvetica" w:cs="Helvetica"/>
          <w:b/>
          <w:bCs/>
        </w:rPr>
        <w:t xml:space="preserve">Exercise Expert Working Group </w:t>
      </w:r>
    </w:p>
    <w:p w14:paraId="5E612FAF"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Natalie Beswetherick, Director of Practice and Development at the Chartered Society of Physiotherapy</w:t>
      </w:r>
    </w:p>
    <w:p w14:paraId="516F2510"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Kirsty Carne, Specialist Osteoporosis Nurse, ROS</w:t>
      </w:r>
    </w:p>
    <w:p w14:paraId="2FEDC48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Will Carr, Head of Service Delivery, ROS</w:t>
      </w:r>
    </w:p>
    <w:p w14:paraId="4F988611"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Dr Alex Ireland, Lecturer In Physiology at the School of Healthcare Science, Manchester Metropolitan University </w:t>
      </w:r>
    </w:p>
    <w:p w14:paraId="295C2806"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Vicky Johnston, Specialist Physiotherapist at the Cumbria Partnership NHS Trust </w:t>
      </w:r>
    </w:p>
    <w:p w14:paraId="4F782C9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Andrea Julius, Bone Health Specialist Physiotherapist at St George’s Hospital, London </w:t>
      </w:r>
    </w:p>
    <w:p w14:paraId="5053A8D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Nicola Lauchlan, Clinical Specialist Physiotherapist in Osteoporosis and Falls in the Community Falls Prevention Programme, Glasgow </w:t>
      </w:r>
    </w:p>
    <w:p w14:paraId="348065D1"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Sarah Legg, Senior Physiotherapist, Rheumatology at the Royal National Hospital For Rheumatic Diseases, Bath </w:t>
      </w:r>
    </w:p>
    <w:p w14:paraId="3CCEE17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Dr Katie Robinson, Research Physiotherapist at the School of Medicine, University of Nottingham </w:t>
      </w:r>
    </w:p>
    <w:p w14:paraId="67AD34BA"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Yvonne Sadler, Public/patient representative</w:t>
      </w:r>
    </w:p>
    <w:p w14:paraId="7ACCA5DF"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Ruth Sawtell, Public/patient representative</w:t>
      </w:r>
    </w:p>
    <w:p w14:paraId="1804683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Christina Scorringe, Clinical Specialist Rheumatology Physiotherapist and Clinical Rheumatology Lead at Northwick Park Hospital, London </w:t>
      </w:r>
    </w:p>
    <w:p w14:paraId="7C1E670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George Studd, Strength and Conditioning Coach at the Department of Sports Development &amp; Recreation, Sports Training Village, University Of Bath</w:t>
      </w:r>
    </w:p>
    <w:p w14:paraId="35639D6F"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Ruth Ten Hove, Head of Research and Development at the Chartered Society Of Physiotherapy</w:t>
      </w:r>
    </w:p>
    <w:p w14:paraId="499B8B2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Fizz Thompson, Clinical Director, NOS</w:t>
      </w:r>
    </w:p>
    <w:p w14:paraId="6F36639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Catherine Van’t Riet, Physiotherapist and Clinical Team Lead at the Integrated Falls and Bone Health Service, St George’s University Hospital, London</w:t>
      </w:r>
    </w:p>
    <w:p w14:paraId="1497341B" w14:textId="77777777" w:rsidR="000F5BC4" w:rsidRPr="00875798" w:rsidRDefault="000F5BC4" w:rsidP="000F5BC4">
      <w:pPr>
        <w:rPr>
          <w:rFonts w:ascii="Helvetica" w:hAnsi="Helvetica" w:cs="Helvetica"/>
        </w:rPr>
      </w:pPr>
    </w:p>
    <w:p w14:paraId="07B6B5B8" w14:textId="77777777" w:rsidR="000F5BC4" w:rsidRPr="00875798" w:rsidRDefault="000F5BC4" w:rsidP="000F5BC4">
      <w:pPr>
        <w:rPr>
          <w:rFonts w:ascii="Helvetica" w:hAnsi="Helvetica" w:cs="Helvetica"/>
        </w:rPr>
      </w:pPr>
    </w:p>
    <w:p w14:paraId="07661962" w14:textId="77777777" w:rsidR="000F5BC4" w:rsidRPr="00875798" w:rsidRDefault="000F5BC4" w:rsidP="000F5BC4">
      <w:pPr>
        <w:rPr>
          <w:rFonts w:ascii="Helvetica" w:hAnsi="Helvetica" w:cs="Helvetica"/>
        </w:rPr>
      </w:pPr>
      <w:r w:rsidRPr="00875798">
        <w:rPr>
          <w:rFonts w:ascii="Helvetica" w:hAnsi="Helvetica" w:cs="Helvetica"/>
        </w:rPr>
        <w:br w:type="page"/>
      </w:r>
    </w:p>
    <w:p w14:paraId="72E8674A" w14:textId="77777777" w:rsidR="000F5BC4" w:rsidRPr="00875798" w:rsidRDefault="000F5BC4" w:rsidP="000F5BC4">
      <w:pPr>
        <w:pStyle w:val="Heading2"/>
        <w:rPr>
          <w:rFonts w:ascii="Helvetica" w:hAnsi="Helvetica" w:cs="Helvetica"/>
          <w:b/>
          <w:bCs/>
          <w:color w:val="auto"/>
        </w:rPr>
      </w:pPr>
      <w:bookmarkStart w:id="18" w:name="_Toc90635530"/>
      <w:bookmarkStart w:id="19" w:name="_Toc96616272"/>
      <w:r w:rsidRPr="00875798">
        <w:rPr>
          <w:rFonts w:ascii="Helvetica" w:hAnsi="Helvetica" w:cs="Helvetica"/>
          <w:b/>
          <w:bCs/>
          <w:color w:val="auto"/>
        </w:rPr>
        <w:t>Appendix IV: stakeholder organisations</w:t>
      </w:r>
      <w:bookmarkEnd w:id="18"/>
      <w:bookmarkEnd w:id="19"/>
    </w:p>
    <w:p w14:paraId="58CF85E8" w14:textId="77777777" w:rsidR="000F5BC4" w:rsidRPr="00875798" w:rsidRDefault="000F5BC4" w:rsidP="000F5BC4">
      <w:pPr>
        <w:rPr>
          <w:rFonts w:ascii="Helvetica" w:hAnsi="Helvetica" w:cs="Helvetica"/>
        </w:rPr>
      </w:pPr>
    </w:p>
    <w:p w14:paraId="2C50F138" w14:textId="77777777" w:rsidR="000F5BC4" w:rsidRPr="00875798" w:rsidRDefault="000F5BC4" w:rsidP="000F5BC4">
      <w:pPr>
        <w:rPr>
          <w:rFonts w:ascii="Helvetica" w:hAnsi="Helvetica" w:cs="Helvetica"/>
        </w:rPr>
      </w:pPr>
      <w:r w:rsidRPr="00875798">
        <w:rPr>
          <w:rFonts w:ascii="Helvetica" w:hAnsi="Helvetica" w:cs="Helvetica"/>
        </w:rPr>
        <w:t>British Association of Sport and Exercise Sciences</w:t>
      </w:r>
    </w:p>
    <w:p w14:paraId="3842C650" w14:textId="77777777" w:rsidR="000F5BC4" w:rsidRPr="00875798" w:rsidRDefault="000F5BC4" w:rsidP="000F5BC4">
      <w:pPr>
        <w:rPr>
          <w:rFonts w:ascii="Helvetica" w:hAnsi="Helvetica" w:cs="Helvetica"/>
        </w:rPr>
      </w:pPr>
      <w:r w:rsidRPr="00875798">
        <w:rPr>
          <w:rFonts w:ascii="Helvetica" w:hAnsi="Helvetica" w:cs="Helvetica"/>
        </w:rPr>
        <w:t>British Geriatrics Society</w:t>
      </w:r>
    </w:p>
    <w:p w14:paraId="74BEC426" w14:textId="77777777" w:rsidR="000F5BC4" w:rsidRPr="00875798" w:rsidRDefault="000F5BC4" w:rsidP="000F5BC4">
      <w:pPr>
        <w:rPr>
          <w:rFonts w:ascii="Helvetica" w:hAnsi="Helvetica" w:cs="Helvetica"/>
        </w:rPr>
      </w:pPr>
      <w:r w:rsidRPr="00875798">
        <w:rPr>
          <w:rFonts w:ascii="Helvetica" w:hAnsi="Helvetica" w:cs="Helvetica"/>
        </w:rPr>
        <w:t>Bone Research Society</w:t>
      </w:r>
    </w:p>
    <w:p w14:paraId="5577E4E2" w14:textId="77777777" w:rsidR="000F5BC4" w:rsidRPr="00875798" w:rsidRDefault="000F5BC4" w:rsidP="000F5BC4">
      <w:pPr>
        <w:rPr>
          <w:rFonts w:ascii="Helvetica" w:hAnsi="Helvetica" w:cs="Helvetica"/>
        </w:rPr>
      </w:pPr>
      <w:r w:rsidRPr="00875798">
        <w:rPr>
          <w:rFonts w:ascii="Helvetica" w:hAnsi="Helvetica" w:cs="Helvetica"/>
        </w:rPr>
        <w:t>Chartered Institute for the Management of Sport and Physical Activity</w:t>
      </w:r>
    </w:p>
    <w:p w14:paraId="73948E56" w14:textId="77777777" w:rsidR="000F5BC4" w:rsidRPr="00875798" w:rsidRDefault="000F5BC4" w:rsidP="000F5BC4">
      <w:pPr>
        <w:rPr>
          <w:rFonts w:ascii="Helvetica" w:hAnsi="Helvetica" w:cs="Helvetica"/>
        </w:rPr>
      </w:pPr>
      <w:r w:rsidRPr="00875798">
        <w:rPr>
          <w:rFonts w:ascii="Helvetica" w:hAnsi="Helvetica" w:cs="Helvetica"/>
        </w:rPr>
        <w:t>Chartered Society of Physiotherapy</w:t>
      </w:r>
    </w:p>
    <w:p w14:paraId="25256A16" w14:textId="77777777" w:rsidR="000F5BC4" w:rsidRPr="00875798" w:rsidRDefault="000F5BC4" w:rsidP="000F5BC4">
      <w:pPr>
        <w:rPr>
          <w:rFonts w:ascii="Helvetica" w:hAnsi="Helvetica" w:cs="Helvetica"/>
        </w:rPr>
      </w:pPr>
      <w:r w:rsidRPr="00875798">
        <w:rPr>
          <w:rFonts w:ascii="Helvetica" w:hAnsi="Helvetica" w:cs="Helvetica"/>
        </w:rPr>
        <w:t>Orthopaedic Trauma Society</w:t>
      </w:r>
    </w:p>
    <w:p w14:paraId="276396C0" w14:textId="77777777" w:rsidR="000F5BC4" w:rsidRPr="00875798" w:rsidRDefault="000F5BC4" w:rsidP="000F5BC4">
      <w:pPr>
        <w:rPr>
          <w:rFonts w:ascii="Helvetica" w:hAnsi="Helvetica" w:cs="Helvetica"/>
        </w:rPr>
      </w:pPr>
      <w:r w:rsidRPr="00875798">
        <w:rPr>
          <w:rFonts w:ascii="Helvetica" w:hAnsi="Helvetica" w:cs="Helvetica"/>
        </w:rPr>
        <w:t>Register of Exercise Professionals</w:t>
      </w:r>
    </w:p>
    <w:p w14:paraId="329B058A" w14:textId="77777777" w:rsidR="000F5BC4" w:rsidRPr="00875798" w:rsidRDefault="000F5BC4" w:rsidP="000F5BC4">
      <w:pPr>
        <w:rPr>
          <w:rFonts w:ascii="Helvetica" w:hAnsi="Helvetica" w:cs="Helvetica"/>
        </w:rPr>
      </w:pPr>
      <w:r w:rsidRPr="00875798">
        <w:rPr>
          <w:rFonts w:ascii="Helvetica" w:hAnsi="Helvetica" w:cs="Helvetica"/>
        </w:rPr>
        <w:t>Society for Endocrinology</w:t>
      </w:r>
    </w:p>
    <w:p w14:paraId="0030450C" w14:textId="77777777" w:rsidR="000F5BC4" w:rsidRPr="00875798" w:rsidRDefault="000F5BC4" w:rsidP="000F5BC4">
      <w:pPr>
        <w:rPr>
          <w:rFonts w:ascii="Helvetica" w:hAnsi="Helvetica" w:cs="Helvetica"/>
        </w:rPr>
      </w:pPr>
      <w:r w:rsidRPr="00875798">
        <w:rPr>
          <w:rFonts w:ascii="Helvetica" w:hAnsi="Helvetica" w:cs="Helvetica"/>
        </w:rPr>
        <w:t>PD:Approval</w:t>
      </w:r>
    </w:p>
    <w:p w14:paraId="56D57C87" w14:textId="77777777" w:rsidR="000F5BC4" w:rsidRPr="00875798" w:rsidRDefault="000F5BC4" w:rsidP="000F5BC4">
      <w:pPr>
        <w:rPr>
          <w:rFonts w:ascii="Helvetica" w:hAnsi="Helvetica" w:cs="Helvetica"/>
        </w:rPr>
      </w:pPr>
      <w:r w:rsidRPr="00875798">
        <w:rPr>
          <w:rFonts w:ascii="Helvetica" w:hAnsi="Helvetica" w:cs="Helvetica"/>
        </w:rPr>
        <w:t>The Physiological Society</w:t>
      </w:r>
    </w:p>
    <w:p w14:paraId="57173676" w14:textId="77777777" w:rsidR="000F5BC4" w:rsidRPr="00875798" w:rsidRDefault="000F5BC4" w:rsidP="000F5BC4">
      <w:pPr>
        <w:rPr>
          <w:rFonts w:ascii="Helvetica" w:hAnsi="Helvetica" w:cs="Helvetica"/>
        </w:rPr>
      </w:pPr>
      <w:r w:rsidRPr="00875798">
        <w:rPr>
          <w:rFonts w:ascii="Helvetica" w:hAnsi="Helvetica" w:cs="Helvetica"/>
        </w:rPr>
        <w:br w:type="page"/>
      </w:r>
    </w:p>
    <w:p w14:paraId="309138EA" w14:textId="77777777" w:rsidR="000F5BC4" w:rsidRPr="00875798" w:rsidRDefault="000F5BC4" w:rsidP="000F5BC4">
      <w:pPr>
        <w:pStyle w:val="Heading2"/>
        <w:rPr>
          <w:color w:val="auto"/>
        </w:rPr>
      </w:pPr>
      <w:bookmarkStart w:id="20" w:name="_Toc90635531"/>
      <w:bookmarkStart w:id="21" w:name="_Toc96616273"/>
      <w:r w:rsidRPr="00875798">
        <w:rPr>
          <w:rFonts w:ascii="Helvetica" w:hAnsi="Helvetica" w:cs="Helvetica"/>
          <w:b/>
          <w:bCs/>
          <w:color w:val="auto"/>
        </w:rPr>
        <w:t xml:space="preserve">Appendix V: Summary of research evidence </w:t>
      </w:r>
      <w:bookmarkEnd w:id="20"/>
      <w:r w:rsidRPr="00875798">
        <w:rPr>
          <w:rFonts w:ascii="Helvetica" w:hAnsi="Helvetica" w:cs="Helvetica"/>
          <w:b/>
          <w:bCs/>
          <w:color w:val="auto"/>
        </w:rPr>
        <w:t>informing recommendations</w:t>
      </w:r>
      <w:bookmarkEnd w:id="21"/>
    </w:p>
    <w:p w14:paraId="4E414000" w14:textId="77777777" w:rsidR="000F5BC4" w:rsidRPr="00875798" w:rsidRDefault="000F5BC4" w:rsidP="000F5BC4">
      <w:pPr>
        <w:rPr>
          <w:rFonts w:ascii="Helvetica" w:hAnsi="Helvetica" w:cs="Helvetica"/>
          <w:b/>
          <w:bCs/>
        </w:rPr>
      </w:pPr>
      <w:r w:rsidRPr="00875798">
        <w:rPr>
          <w:rFonts w:ascii="Helvetica" w:hAnsi="Helvetica" w:cs="Helvetica"/>
          <w:b/>
          <w:bCs/>
        </w:rPr>
        <w:t>Strong: Physical activity and exercise to promote bone strength and prevent fractures</w:t>
      </w:r>
    </w:p>
    <w:p w14:paraId="3841156B" w14:textId="77777777" w:rsidR="000F5BC4" w:rsidRPr="00875798" w:rsidRDefault="000F5BC4" w:rsidP="000F5BC4">
      <w:pPr>
        <w:spacing w:before="240"/>
        <w:rPr>
          <w:b/>
          <w:bCs/>
        </w:rPr>
      </w:pPr>
      <w:r w:rsidRPr="00875798">
        <w:rPr>
          <w:b/>
          <w:bCs/>
        </w:rPr>
        <w:t>Research Evidence</w:t>
      </w:r>
    </w:p>
    <w:p w14:paraId="33DF8669"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Observational studies suggest that day-to-day participation in physical activity reduces the risk of fracture. Age-adjusted risk of hip fractures is up to 40% lower in the most active compared with the least active adults </w:t>
      </w:r>
      <w:r w:rsidRPr="00875798">
        <w:rPr>
          <w:rFonts w:ascii="Helvetica" w:hAnsi="Helvetica" w:cs="Helvetica"/>
        </w:rPr>
        <w:fldChar w:fldCharType="begin" w:fldLock="1"/>
      </w:r>
      <w:r w:rsidRPr="00875798">
        <w:rPr>
          <w:rFonts w:ascii="Helvetica" w:hAnsi="Helvetica" w:cs="Helvetica"/>
        </w:rPr>
        <w:instrText>ADDIN CSL_CITATION {"citationItems":[{"id":"ITEM-1","itemData":{"ISBN":"0002-8614 (Print)\\r0002-8614 (Linking)","ISSN":"0002-8614 (Print) 0002-8614 (Linking)","PMID":"10968291","abstract":"OBJECTIVES: Assess the relationship between physical activity and risk for falls and osteoporotic fractures among older adults. DESIGN: Review and synthesis of published literature. MEASUREMENTS: We searched the literature using MEDLINE, Current Contents, and the bibliographies of articles identified. We included randomized controlled trials (RCT) of the effects of physical activity on the incidence of falls and case-control and prospective cohort studies of the association of physical activity with osteoporotic fracture risk. We also summarized mechanisms whereby physical activity may influence risk for falls and fractures. RESULTS: Observational epidemiologic studies and randomized clinical trials evaluating the effectiveness of physical activity programs to prevent falls have been inconclusive. However, many studies have lacked adequate statistical power, and recent trials suggest that exercise, particularly involving balance and lower extremity strength training, may reduce risk of falling. There is consistent evidence from prospective and case-control studies that physical activity is associated with a 20-40% reduced risk of hip fracture relative to sedentary individuals. The few studies that have examined the association between physical activity and risk of other common osteoporotic fractures, such as vertebral and wrist fractures, have not found physical activity to be protective. CONCLUSIONS: Epidemiologic studies suggest that higher levels of leisure time physical activity prevent hip fractures and RCTs suggest certain exercise programs may reduce risk of falls. Future research needs to evaluate the types and quantity of physical activity needed for optimal protection from falls and identify which populations will benefit most from exercise.","author":[{"dropping-particle":"","family":"Gregg","given":"E W","non-dropping-particle":"","parse-names":false,"suffix":""},{"dropping-particle":"","family":"Pereira","given":"M A","non-dropping-particle":"","parse-names":false,"suffix":""},{"dropping-particle":"","family":"Caspersen","given":"C J","non-dropping-particle":"","parse-names":false,"suffix":""}],"container-title":"J Am Geriatr Soc","id":"ITEM-1","issue":"8","issued":{"date-parts":[["2000","8"]]},"page":"883-893","title":"Physical activity, falls, and fractures among older adults: a review of the epidemiologic evidence","type":"article-journal","volume":"48"},"uris":["http://www.mendeley.com/documents/?uuid=bbac615f-0fef-48b5-ae78-43d9c6671f21"]}],"mendeley":{"formattedCitation":"&lt;sup&gt;1&lt;/sup&gt;","plainTextFormattedCitation":"1","previouslyFormattedCitation":"&lt;sup&gt;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w:t>
      </w:r>
      <w:r w:rsidRPr="00875798">
        <w:rPr>
          <w:rFonts w:ascii="Helvetica" w:hAnsi="Helvetica" w:cs="Helvetica"/>
        </w:rPr>
        <w:fldChar w:fldCharType="end"/>
      </w:r>
      <w:r w:rsidRPr="00875798">
        <w:rPr>
          <w:rFonts w:ascii="Helvetica" w:hAnsi="Helvetica" w:cs="Helvetica"/>
        </w:rPr>
        <w:t xml:space="preserve">. This may be mediated through lower risk of falls and/or higher bone strength. The strongest evidence is for a reduction in the risk of hip fracture. For example, an evidence synthesis of 13 prospective cohort studies of men and women aged &gt;35 followed up for 4-35 years identified a 38-45% reduced risk of hip fracture with higher levels of physical activity participation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{"citationItems":[{"id":"ITEM-1","itemData":{"DOI":"10.1016/j.annepidem.2008.08.007","ISSN":"10472797","PMID":"18809340","abstract":"Purpose: Physical activity helps maintain mobility, physical functioning, bone mineral density (BMD), muscle strength, balance and, therefore, may help prevent falls and fractures among the elderly. Meanwhile, it is theoretically possible that physical activity increases risk of fractures as it may increase risk of falls and has only a modest effect on BMD. This review aims to assess the potential causal association between physical activity and osteoporotic fractures from an epidemiological viewpoint. Methods: As the medical literature lacks direct evidence from randomized controlled trials (RCTs) with fracture end points, a meta-analysis of 13 prospective cohort studies with hip fracture end point is presented. The current evidence base regarding the link between exercise and fracture risk determinants (namely, falls, BMD, and bone quality) are also summarized. Results: Moderate-to-vigorous physical activity is associated with a hip fracture risk reduction of 45% (95% CI, 31-56%) and 38% (95% CI, 31-44%), respectively, among men and women. Risk of falling is suggested to be generally reduced among physically active people with a potential increased risk in the most active and inactive people. Positive effects of physical activity on BMD and bone quality are of a questionable magnitude for reduction of fracture risk. Conclusion: The complexity of relationship between physical activity and osteoporotic fractures points out to the need for RCTs to be conducted with fractures as the primary end point. © 2008 Elsevier Inc. All rights reserved.","author":[{"dropping-particle":"","family":"Moayyeri","given":"Alireza","non-dropping-particle":"","parse-names":false,"suffix":""}],"container-title":"Annals of Epidemiology","id":"ITEM-1","issue":"11","issued":{"date-parts":[["2008"]]},"page":"827-835","title":"The Association Between Physical Activity and Osteoporotic Fractures: A Review of the Evidence and Implications for Future Research","type":"article-journal","volume":"18"},"uris":["http://www.mendeley.com/documents/?uuid=b0b9af88-f7dc-4d20-83d2-72d4b9c3d702"]}],"mendeley":{"formattedCitation":"&lt;sup&gt;2&lt;/sup&gt;","plainTextFormattedCitation":"2","previouslyFormattedCitation":"&lt;sup&gt;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w:t>
      </w:r>
      <w:r w:rsidRPr="00875798">
        <w:rPr>
          <w:rFonts w:ascii="Helvetica" w:hAnsi="Helvetica" w:cs="Helvetica"/>
        </w:rPr>
        <w:fldChar w:fldCharType="end"/>
      </w:r>
      <w:r w:rsidRPr="00875798">
        <w:rPr>
          <w:rFonts w:ascii="Helvetica" w:hAnsi="Helvetica" w:cs="Helvetica"/>
        </w:rPr>
        <w:t xml:space="preserve">. Similar results are seen in papers published since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{"citationItems":[{"id":"ITEM-1","itemData":{"DOI":"10.1002/jbmr.1963","ISSN":"08840431","PMID":"23609238","abstract":"Low levels of physical activity or sun exposure and limitations to physical functioning (or disability) have been identified as possible risk factors for hip fracture. However, these factors are closely related, and data on their independent and joint association with risk of hip fracture are limited. A total of 158,057 individuals aged ≥45 years sampled from the general population of New South Wales, Australia, from the prospective 45 and Up Study completed a baseline postal questionnaire in 2006 to 2009 including data on physical activity (Active Australia questionnaire); sun exposure (usual time outdoors); and physical functioning (Medical Outcomes Score-Physical Functioning; scored 0 to 100). Incident first hip fractures were ascertained by linkage to administrative hospital data (n = 293; average follow-up 2.3 years). The relative risk (RR) of hip fracture was estimated using Cox proportional hazards. Poorer physical functioning, lower physical activity, and less time outdoors were positively related to each other at baseline and individually associated with significantly increased hip fracture risk. However, physical activity and time outdoors were not significantly related to hip fracture risk after adjustment for baseline physical functioning or when analysis was restricted to those with no or mild baseline physical limitation. In contrast, physical functioning remained strongly related to hip fracture risk after adjustment for the other two factors; compared with the group without limitation (100), the RR of hip fracture among those with mild (75-95), moderate (50-70), severe (25-45), and greatest (0-20) level of physical limitation was 1.38 (95% confidence interval [CI] 0.88-2.14), 2.14 (1.29-3.53), 3.87 (2.31-6.44), and 5.61 (3.33-9.42), respectively. The findings suggest that limitation in physical functioning, but not physical activity or time outdoors, is strongly related to hip fracture risk. The apparent increased risk of hip fracture previously described for low physical activity or sun exposure may be, at least in part due to uncontrolled confounding. © 2013 American Society for Bone and Mineral Research. © 2013 American Society for Bone and Mineral Research.","author":[{"dropping-particle":"","family":"Lai","given":"Jeffrey K.C.","non-dropping-particle":"","parse-names":false,"suffix":""},{"dropping-particle":"","family":"Lucas","given":"Robyn M.","non-dropping-particle":"","parse-names":false,"suffix":""},{"dropping-particle":"","family":"Armstrong","given":"Miranda","non-dropping-particle":"","parse-names":false,"suffix":""},{"dropping-particle":"","family":"Banks","given":"Emily","non-dropping-particle":"","parse-names":false,"suffix":""}],"container-title":"Journal of Bone and Mineral Research","id":"ITEM-1","issue":"10","issued":{"date-parts":[["2013"]]},"page":"2222-2231","title":"Prospective observational study of physical functioning, physical activity, and time outdoors and the risk of hip fracture: A population-based cohort study of 158,057 older adults in the 45 and up study","type":"article-journal","volume":"28"},"uris":["http://www.mendeley.com/documents/?uuid=cdd9193e-90f0-4a77-b008-3ae3723b1b7e"]},{"id":"ITEM-2","itemData":{"DOI":"10.2105/AJPH.2013.301667","ISSN":"15410048","PMID":"24524497","abstract":"Objectives. We assessed associations between activity and hip fracture in men. Methods. The Health Professionals Follow-up Study reported time spent walking, sitting, and in 10 other discretionary activities every 2 years in 35 996 men aged 50 years and older from 1986 to 2010. We calculated hazard ratios (HRs) for risk of hip fracture by amount of activity and sitting in Cox proportional hazards models, adjusted for age, body mass index, smoking, medication use, disease diagnoses, and diet. Results. Over 24 years, participants reported 490 low-trauma hip fractures. Energy expenditure from all activities was weakly associated with lower risk of fracture. More walking time, with little other exercise, lowered risk by 43% (HR = 0.57; 95% confidence interval [CI] = 0.39, 0.83 for ≤ 4 vs &gt; 1 hours/week), and risk decreased linearly with more frequent walking (P &gt; .001). Brisk (vs leisurely) pace lowered risk by 47%. Sitting lowered risk (HR = 0.62; 95% CI = 0.43, 0.89 for ≤ 50 vs &gt; 20 hours/week), primarily among those who also walked for exercise. We observed no benefit of strenuous activity. Conclusions. Walking is a relatively safe and easy activity for hip fracture prevention.","author":[{"dropping-particle":"","family":"Feskanich","given":"Diane","non-dropping-particle":"","parse-names":false,"suffix":""},{"dropping-particle":"","family":"Flint","given":"Alan J.","non-dropping-particle":"","parse-names":false,"suffix":""},{"dropping-particle":"","family":"Willett","given":"Walter C.","non-dropping-particle":"","parse-names":false,"suffix":""}],"container-title":"American Journal of Public Health","id":"ITEM-2","issue":"4","issued":{"date-parts":[["2014"]]},"page":"75-82","title":"Physical activity and inactivity and risk of hip fractures in men","type":"article-journal","volume":"104"},"uris":["http://www.mendeley.com/documents/?uuid=cd2457a1-d5c5-425f-b57b-3c1d3d946775"]},{"id":"ITEM-3","itemData":{"DOI":"10.1002/jbmr.3161","ISSN":"08840431","abstract":"Physical activity has been associated with reduced risk of fracture, but it is not known how the intensity or frequency of physical activity influences this risk reduction. We aim to compare the risk of hip fracture and fracture of any locale between men and women with different levels of leisure-time walking/bicycling and exercise. A total of 37,238 women (born 1914-1948) from the Swedish Mammography Cohort and 45,906 men (born 1918-1952) from the Cohort of Swedish Men were followed for a maximum of 17 years. Exposure and covariate information was collected through a self-administered questionnaire in 1997. Incident fractures (5,153 individuals with hip fracture and 15,043 with any type of fracture) and comorbidities were gathered from national and local patient registries. Hazard ratios (HRs) were calculated using Cox proportional hazards regression. Individuals who walked/bicycled less than 20 minutes per day had a lower rate of hip fracture (multivariable adjusted HR 0.77; 95% confidence interval [CI], 0.70 to 0.85) and any fracture (HR 0.87; 95% CI, 0.82 to 0.92), compared with those who hardly ever walked/bicycled. These reduced rates were also evident in both sexes, in different age categories, for vertebral fractures and for non-hip non-vertebral fractures. Those who reported exercise one hour per week had a lower rate of hip fracture (HR 0.87; 95% CI, 0.80 to 0.96) and any fracture (HR 0.94; 95% CI, 0.89 to 0.99) compared with those who exercised less than one hour per week. Only minor differences in HRs were observed in individuals with moderate compared to higher levels of walking/bicycling or exercise. Walking/bicycling and exercise showed almost equal reductions in rate of fracture when compared to those in a joint category with lowest activity. In conclusion, both moderate and high self-reported frequency of physical activity is associated with reduced future risk of fracture. This article is protected by copyright. All rights reserved","author":[{"dropping-particle":"","family":"Stattin","given":"Karl","non-dropping-particle":"","parse-names":false,"suffix":""},{"dropping-particle":"","family":"Michaëlsson","given":"Karl","non-dropping-particle":"","parse-names":false,"suffix":""},{"dropping-particle":"","family":"Larsson","given":"Susanna C.","non-dropping-particle":"","parse-names":false,"suffix":""},{"dropping-particle":"","family":"Wolk","given":"Alicja","non-dropping-particle":"","parse-names":false,"suffix":""},{"dropping-particle":"","family":"Byberg","given":"Liisa","non-dropping-particle":"","parse-names":false,"suffix":""}],"container-title":"Journal of Bone and Mineral Research","id":"ITEM-3","issue":"8","issued":{"date-parts":[["2017","4"]]},"page":"1599-1606","title":"Leisure-time physical activity and risk of fracture: a cohort study of 66,940 men and women","type":"article-journal","volume":"32"},"uris":["http://www.mendeley.com/documents/?uuid=0ea65f0e-d6a9-4391-9a30-568632fb2dcd"]},{"id":"ITEM-4","itemData":{"DOI":"10.1002/jbmr.3896","ISSN":"15234681","PMID":"31618477","abstract":"There is a paucity of information on associations between specific types of physical activity and fracture risk at different sites in otherwise healthy postmenopausal women. Therefore, we examined risk of fracture at seven different sites associated with seven different types of physical activity in the population-based prospective UK Million Women Study. A total of 371,279 postmenopausal women (mean age 59.8 years), rating their health as good or excellent and reporting participation in walking, cycling, gardening, doing housework, yoga, dance, and sports club activities, were followed for site-specific incident fracture through record linkage to national databases on day-case and overnight hospital admissions. Cox regression yielded adjusted relative risks (RRs) and, because of the large number of statistical tests done, 99% confidence intervals (CIs) for fracture at seven different sites in relation to seven different physical activities. During an average follow-up of 12 years, numbers with a first site-specific fracture were as follows: humerus (2341), forearm (1238), wrist (7358), hip (4354), femur (not neck) (617), lower leg (1184), and ankle (3629). For upper limb fractures there was significant heterogeneity across the seven activity types (test for heterogeneity p = 0.004), with gardening more than 1 hour/week associated with a lower risk (RR = 0.91; 99% CI, 0.86 to 0.96; p &lt; 0.0001), whereas cycling more than 1 hour/week was associated with an increased risk (RR = 1.11; 99% CI, 1.00 to 1.23; p = 0.008). For fractures of the lower limb (including hip) there was no significant heterogeneity by type of activity, with significant approximately 5% to 15% reductions in risk associated with most activities, except cycling. For hip fractures, there was no significant heterogeneity by type of activity, but with significant 15% to 20% reductions in risk associated with walking for 1 hour/day and participating in yoga and sporting activities. Physical activity is a modifiable risk factor for fracture, but the effects differ between different types of activities and different fracture sites. © 2019 The Authors. Journal of Bone and Mineral Research published by American Society for Bone and Mineral Research.","author":[{"dropping-particle":"","family":"Armstrong","given":"Miranda E.G.","non-dropping-particle":"","parse-names":false,"suffix":""},{"dropping-particle":"","family":"Lacombe","given":"Jason","non-dropping-particle":"","parse-names":false,"suffix":""},{"dropping-particle":"","family":"Wotton","given":"Clare J.","non-dropping-particle":"","parse-names":false,"suffix":""},{"dropping-particle":"","family":"Cairns","given":"Benjamin J.","non-dropping-particle":"","parse-names":false,"suffix":""},{"dropping-particle":"","family":"Green","given":"Jane","non-dropping-particle":"","parse-names":false,"suffix":""},{"dropping-particle":"","family":"Floud","given":"Sarah","non-dropping-particle":"","parse-names":false,"suffix":""},{"dropping-particle":"","family":"Beral","given":"Valerie","non-dropping-particle":"","parse-names":false,"suffix":""},{"dropping-particle":"","family":"Reeves","given":"Gillian K.","non-dropping-particle":"","parse-names":false,"suffix":""}],"container-title":"Journal of Bone and Mineral Research","id":"ITEM-4","issue":"2","issued":{"date-parts":[["2020"]]},"page":"277-290","title":"The Associations Between Seven Different Types of Physical Activity and the Incidence of Fracture at Seven Sites in Healthy Postmenopausal UK Women","type":"article-journal","volume":"35"},"uris":["http://www.mendeley.com/documents/?uuid=c249884e-46b7-465d-8c31-e8d89939dbcd"]}],"mendeley":{"formattedCitation":"&lt;sup&gt;3–6&lt;/sup&gt;","plainTextFormattedCitation":"3–6","previouslyFormattedCitation":"&lt;sup&gt;3–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3–6</w:t>
      </w:r>
      <w:r w:rsidRPr="00875798">
        <w:rPr>
          <w:rFonts w:ascii="Helvetica" w:hAnsi="Helvetica" w:cs="Helvetica"/>
        </w:rPr>
        <w:fldChar w:fldCharType="end"/>
      </w:r>
      <w:r w:rsidRPr="00875798">
        <w:rPr>
          <w:rFonts w:ascii="Helvetica" w:hAnsi="Helvetica" w:cs="Helvetica"/>
        </w:rPr>
        <w:t xml:space="preserve">. There is less evidence for the association between day-to-day physical activity and the risk of non-hip fractures, with contradictory results varying by age, functional status, physical activity, population studied and fracture type. It is hard to make conclusions on the </w:t>
      </w:r>
      <w:r w:rsidRPr="00875798">
        <w:rPr>
          <w:rFonts w:ascii="Helvetica" w:hAnsi="Helvetica" w:cs="Helvetica"/>
          <w:iCs/>
        </w:rPr>
        <w:t>type or intensity of the day-to-day activity</w:t>
      </w:r>
      <w:r w:rsidRPr="00875798">
        <w:rPr>
          <w:rFonts w:ascii="Helvetica" w:hAnsi="Helvetica" w:cs="Helvetica"/>
        </w:rPr>
        <w:t xml:space="preserve"> that is associated with a reduction in fractures. Walking is one of the most prevalent forms of exercise and many studies suggest that those who walk for exercise have lower risk of hip fracture </w:t>
      </w:r>
      <w:r w:rsidRPr="00875798">
        <w:rPr>
          <w:rFonts w:ascii="Helvetica" w:hAnsi="Helvetica" w:cs="Helvetica"/>
        </w:rPr>
        <w:fldChar w:fldCharType="begin" w:fldLock="1"/>
      </w:r>
      <w:r w:rsidRPr="00875798">
        <w:rPr>
          <w:rFonts w:ascii="Helvetica" w:hAnsi="Helvetica" w:cs="Helvetica"/>
        </w:rPr>
        <w:instrText>ADDIN CSL_CITATION {"citationItems":[{"id":"ITEM-1","itemData":{"DOI":"10.1056/nejm199503233321202","ISSN":"0028-4793","PMID":"7862179","abstract":"BACKGROUND Many risk factors for hip fractures have been suggested but have not been evaluated in a comprehensive prospective study.  METHODS  We assessed potential risk factors, including bone mass, in 9516 white women 65 years of age or older who had had no previous hip fracture. We then followed these women at 4-month intervals for an average of 4.1 years to determine the frequency of hip fracture. All reports of hip fractures were validated by review of x-ray films. RESULTS  During the follow-up period, 192 women had first hip fractures not due to motor vehicle accidents. In multivariable age-adjusted analyses, a maternal history of hip fracture doubled the risk of hip fracture (relative risk, 2.0; 95 percent confidence interval, 1.4 to 2.9), and the increase in risk remained significant after adjustment for bone density. Women who had gained weight since the age of 25 had a lower risk. The risk was higher among women who had previous fractures of any type after the age of 50, were tall at the age of 25, rated their own health as fair or poor, had previous hyperthyroidism, had been treated with long-acting benzodiazepines or anticonvulsant drugs, ingested greater amounts of caffeine, or spent four hours a day or less on their feet. Examination findings associated with an increased risk included the inability to rise from a chair without using one's arms, poor depth perception, poor contrast sensitivity, and tachycardia at rest. Low calcaneal bone density was also an independent risk factor. The incidence of hip fracture ranged from 1.1 (95 percent confidence interval, 0.5 to 1.6) per 1000 woman-years among women with no more than two risk factors and normal calcaneal bone density for their age to 27 (95 percent confidence interval, 20 to 34) per 1000 woman-years among those with five or more risk factors and bone density in the lowest third for their age.  CONCLUSIONS  Women with multiple risk factors and low bone density have an especially high risk of hip fracture. Maintaining body weight, walking for exercise, avoiding long-acting benzodiazepines, minimizing caffeine intake, and treating impaired visual function are among the steps that may decrease the risk.","author":[{"dropping-particle":"","family":"Cummings","given":"Steven R.","non-dropping-particle":"","parse-names":false,"suffix":""},{"dropping-particle":"","family":"Nevitt","given":"Michael C.","non-dropping-particle":"","parse-names":false,"suffix":""},{"dropping-particle":"","family":"Browner","given":"Warren S.","non-dropping-particle":"","parse-names":false,"suffix":""},{"dropping-particle":"","family":"Stone","given":"Katie","non-dropping-particle":"","parse-names":false,"suffix":""},{"dropping-particle":"","family":"Fox","given":"Kathleen M.","non-dropping-particle":"","parse-names":false,"suffix":""},{"dropping-particle":"","family":"Ensrud","given":"Kristine E.","non-dropping-particle":"","parse-names":false,"suffix":""},{"dropping-particle":"","family":"Cauley","given":"Jane","non-dropping-particle":"","parse-names":false,"suffix":""},{"dropping-particle":"","family":"Black","given":"Dennis","non-dropping-particle":"","parse-names":false,"suffix":""},{"dropping-particle":"","family":"Vogt","given":"Thomas M.","non-dropping-particle":"","parse-names":false,"suffix":""}],"container-title":"New England Journal of Medicine","id":"ITEM-1","issue":"12","issued":{"date-parts":[["1995"]]},"page":"767-773","title":"Risk Factors for Hip Fracture in White Women","type":"article-journal","volume":"332"},"uris":["http://www.mendeley.com/documents/?uuid=72b44b95-9372-4010-a2ff-ac3d2d415efe"]},{"id":"ITEM-2","itemData":{"DOI":"10.1001/jama.288.18.2300","ISSN":"00987484","PMID":"12425707","abstract":"Context: Physical activity can reduce the risk of hip fractures in older women, although the required type and duration of activity have not been determined. Walking is the most common activity among older adults, and evidence suggests that it can increase femoral bone density and reduce fracture risk. Objective: To assess the relationship of walking, leisure-time activity, and risk of hip fracture among postmenopausal women. Design, Setting, and Participants: Prospective analysis begun in 1986 with 12 years of follow-up in the Nurses' Health Study cohort of registered nurses within 11 US states. A total of 61 200 postmenopausal women (aged 40-77 years and 98% white) without diagnosis of cancer, heart disease, stroke, or osteoporosis at baseline. Main Outcome Measures: Incident hip fracture resulting from low or moderate trauma, analyzed by intensity and duration of leisure-time activity and by time spent walking, sitting, and standing, measured at baseline and updated throughout follow-up. Results: From 1986 to 1998, 415 incident hip fracture cases were identified. After controlling for age, body mass index, use of postmenopausal hormones, smoking, and dietary intakes in proportional hazards models, risk of hip fracture was lowered by 6% (95% confidence interval [CI], 4%-9%; P&lt;.001) for each increase of 3 metabolic equivalent (MET)-hours per week of activity (equivalent to 1 h/wk of walking at an average pace). Active women with at least 24 MET-h/wk had a 55% lower risk of hip fracture (relative risk [RR], 0.45; 95% CI, 0.32-0.63) compared with sedentary women with less than 3 MET-h/wk. Even women with a lower risk of hip fracture due to higher body weight experienced a further reduction in risk with higher levels of activity. Risk of hip fracture decreased linearly with increasing level of activity among women not taking postmenopausal hormones (P&lt;.001), but not among women taking hormones (P=.24). Among women who did no other exercise, walking for at least 4 h/wk was associated with a 41% lower risk of hip fracture (RR, 0.59; 95% CI, 0.37-0.94) compared with less than 1 h/wk. More time spent standing was also independently associated with lower risks. Conclusion: Moderate levels of activity, including walking, are associated with substantially lower risk of hip fracture in postmenopausal women.","author":[{"dropping-particle":"","family":"Feskanich","given":"Diane","non-dropping-particle":"","parse-names":false,"suffix":""},{"dropping-particle":"","family":"Willett","given":"Walter","non-dropping-particle":"","parse-names":false,"suffix":""},{"dropping-particle":"","family":"Colditz","given":"Graham","non-dropping-particle":"","parse-names":false,"suffix":""}],"container-title":"Journal of the American Medical Association","id":"ITEM-2","issue":"18","issued":{"date-parts":[["2002"]]},"page":"2300-2306","title":"Walking and leisure-time activity and risk of hip fracture in postmenopausal women","type":"article-journal","volume":"288"},"uris":["http://www.mendeley.com/documents/?uuid=0dd09332-04c9-4b01-b559-2ccf72f64d9d"]},{"id":"ITEM-3","itemData":{"DOI":"10.1002/jbmr.1963","ISSN":"08840431","PMID":"23609238","abstract":"Low levels of physical activity or sun exposure and limitations to physical functioning (or disability) have been identified as possible risk factors for hip fracture. However, these factors are closely related, and data on their independent and joint association with risk of hip fracture are limited. A total of 158,057 individuals aged ≥45 years sampled from the general population of New South Wales, Australia, from the prospective 45 and Up Study completed a baseline postal questionnaire in 2006 to 2009 including data on physical activity (Active Australia questionnaire); sun exposure (usual time outdoors); and physical functioning (Medical Outcomes Score-Physical Functioning; scored 0 to 100). Incident first hip fractures were ascertained by linkage to administrative hospital data (n = 293; average follow-up 2.3 years). The relative risk (RR) of hip fracture was estimated using Cox proportional hazards. Poorer physical functioning, lower physical activity, and less time outdoors were positively related to each other at baseline and individually associated with significantly increased hip fracture risk. However, physical activity and time outdoors were not significantly related to hip fracture risk after adjustment for baseline physical functioning or when analysis was restricted to those with no or mild baseline physical limitation. In contrast, physical functioning remained strongly related to hip fracture risk after adjustment for the other two factors; compared with the group without limitation (100), the RR of hip fracture among those with mild (75-95), moderate (50-70), severe (25-45), and greatest (0-20) level of physical limitation was 1.38 (95% confidence interval [CI] 0.88-2.14), 2.14 (1.29-3.53), 3.87 (2.31-6.44), and 5.61 (3.33-9.42), respectively. The findings suggest that limitation in physical functioning, but not physical activity or time outdoors, is strongly related to hip fracture risk. The apparent increased risk of hip fracture previously described for low physical activity or sun exposure may be, at least in part due to uncontrolled confounding. © 2013 American Society for Bone and Mineral Research. © 2013 American Society for Bone and Mineral Research.","author":[{"dropping-particle":"","family":"Lai","given":"Jeffrey K.C.","non-dropping-particle":"","parse-names":false,"suffix":""},{"dropping-particle":"","family":"Lucas","given":"Robyn M.","non-dropping-particle":"","parse-names":false,"suffix":""},{"dropping-particle":"","family":"Armstrong","given":"Miranda","non-dropping-particle":"","parse-names":false,"suffix":""},{"dropping-particle":"","family":"Banks","given":"Emily","non-dropping-particle":"","parse-names":false,"suffix":""}],"container-title":"Journal of Bone and Mineral Research","id":"ITEM-3","issue":"10","issued":{"date-parts":[["2013"]]},"page":"2222-2231","title":"Prospective observational study of physical functioning, physical activity, and time outdoors and the risk of hip fracture: A population-based cohort study of 158,057 older adults in the 45 and up study","type":"article-journal","volume":"28"},"uris":["http://www.mendeley.com/documents/?uuid=cdd9193e-90f0-4a77-b008-3ae3723b1b7e"]},{"id":"ITEM-4","itemData":{"DOI":"10.1002/jbmr.3896","ISSN":"15234681","PMID":"31618477","abstract":"There is a paucity of information on associations between specific types of physical activity and fracture risk at different sites in otherwise healthy postmenopausal women. Therefore, we examined risk of fracture at seven different sites associated with seven different types of physical activity in the population-based prospective UK Million Women Study. A total of 371,279 postmenopausal women (mean age 59.8 years), rating their health as good or excellent and reporting participation in walking, cycling, gardening, doing housework, yoga, dance, and sports club activities, were followed for site-specific incident fracture through record linkage to national databases on day-case and overnight hospital admissions. Cox regression yielded adjusted relative risks (RRs) and, because of the large number of statistical tests done, 99% confidence intervals (CIs) for fracture at seven different sites in relation to seven different physical activities. During an average follow-up of 12 years, numbers with a first site-specific fracture were as follows: humerus (2341), forearm (1238), wrist (7358), hip (4354), femur (not neck) (617), lower leg (1184), and ankle (3629). For upper limb fractures there was significant heterogeneity across the seven activity types (test for heterogeneity p = 0.004), with gardening more than 1 hour/week associated with a lower risk (RR = 0.91; 99% CI, 0.86 to 0.96; p &lt; 0.0001), whereas cycling more than 1 hour/week was associated with an increased risk (RR = 1.11; 99% CI, 1.00 to 1.23; p = 0.008). For fractures of the lower limb (including hip) there was no significant heterogeneity by type of activity, with significant approximately 5% to 15% reductions in risk associated with most activities, except cycling. For hip fractures, there was no significant heterogeneity by type of activity, but with significant 15% to 20% reductions in risk associated with walking for 1 hour/day and participating in yoga and sporting activities. Physical activity is a modifiable risk factor for fracture, but the effects differ between different types of activities and different fracture sites. © 2019 The Authors. Journal of Bone and Mineral Research published by American Society for Bone and Mineral Research.","author":[{"dropping-particle":"","family":"Armstrong","given":"Miranda E.G.","non-dropping-particle":"","parse-names":false,"suffix":""},{"dropping-particle":"","family":"Lacombe","given":"Jason","non-dropping-particle":"","parse-names":false,"suffix":""},{"dropping-particle":"","family":"Wotton","given":"Clare J.","non-dropping-particle":"","parse-names":false,"suffix":""},{"dropping-particle":"","family":"Cairns","given":"Benjamin J.","non-dropping-particle":"","parse-names":false,"suffix":""},{"dropping-particle":"","family":"Green","given":"Jane","non-dropping-particle":"","parse-names":false,"suffix":""},{"dropping-particle":"","family":"Floud","given":"Sarah","non-dropping-particle":"","parse-names":false,"suffix":""},{"dropping-particle":"","family":"Beral","given":"Valerie","non-dropping-particle":"","parse-names":false,"suffix":""},{"dropping-particle":"","family":"Reeves","given":"Gillian K.","non-dropping-particle":"","parse-names":false,"suffix":""}],"container-title":"Journal of Bone and Mineral Research","id":"ITEM-4","issue":"2","issued":{"date-parts":[["2020"]]},"page":"277-290","title":"The Associations Between Seven Different Types of Physical Activity and the Incidence of Fracture at Seven Sites in Healthy Postmenopausal UK Women","type":"article-journal","volume":"35"},"uris":["http://www.mendeley.com/documents/?uuid=c249884e-46b7-465d-8c31-e8d89939dbcd"]}],"mendeley":{"formattedCitation":"&lt;sup&gt;3,6–8&lt;/sup&gt;","plainTextFormattedCitation":"3,6–8","previouslyFormattedCitation":"&lt;sup&gt;3,6–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3,6–8</w:t>
      </w:r>
      <w:r w:rsidRPr="00875798">
        <w:rPr>
          <w:rFonts w:ascii="Helvetica" w:hAnsi="Helvetica" w:cs="Helvetica"/>
        </w:rPr>
        <w:fldChar w:fldCharType="end"/>
      </w:r>
      <w:r w:rsidRPr="00875798">
        <w:rPr>
          <w:rFonts w:ascii="Helvetica" w:hAnsi="Helvetica" w:cs="Helvetica"/>
        </w:rPr>
        <w:t xml:space="preserve">; although this finding may reflect the increased fracture risk of the inactive reference group. A recent review suggests walking has to be part of a multicomponent intervention to potentially reduce risk of fractures </w:t>
      </w:r>
      <w:r w:rsidRPr="00875798">
        <w:rPr>
          <w:rFonts w:ascii="Helvetica" w:hAnsi="Helvetica" w:cs="Helvetica"/>
        </w:rPr>
        <w:fldChar w:fldCharType="begin" w:fldLock="1"/>
      </w:r>
      <w:r w:rsidRPr="00875798">
        <w:rPr>
          <w:rFonts w:ascii="Helvetica" w:hAnsi="Helvetica" w:cs="Helvetica"/>
        </w:rPr>
        <w:instrText>ADDIN CSL_CITATION {"citationItems":[{"id":"ITEM-1","itemData":{"DOI":"10.1123/japa.2020-0262","ISSN":"1063-8652","PMID":"33571958","abstract":" Walking is a common activity among older adults. However, the effects of walking on health-related outcomes in people with low bone mineral density (BMD) are unknown. The authors included randomized controlled trials comparing walking to control in individuals aged ≥50 years with low BMD and at risk of fractures. The authors identified 13 randomized controlled trials: nine multicomponent interventions including walking, one that was walking only, and three Nordic walking trials. Most studies had a high risk of bias. Nordic walking may improve the Timed Up-and-Go values (1.39 s, 95% CI [1.00, 1.78], very low certainty). Multicomponent interventions including walking improved the 6-min walk test (39.37 m, 95% CI [21.83, 56.91], very low certainty) and lumbar spine BMD (0.01 g/cm 2 , 95% CI [0.00, 0.03], low certainty evidence). The effects on quality of life or femoral neck BMD were not significant. There were insufficient data on fractures, falls, or mortality. Nordic walking may improve physical functioning. The effects on other outcomes are less certain; one may need to combine walking with other exercises to be of benefit. ","author":[{"dropping-particle":"","family":"Rodrigues","given":"Isabel B.","non-dropping-particle":"","parse-names":false,"suffix":""},{"dropping-particle":"","family":"Ponzano","given":"Matteo","non-dropping-particle":"","parse-names":false,"suffix":""},{"dropping-particle":"","family":"Butt","given":"Debra A.","non-dropping-particle":"","parse-names":false,"suffix":""},{"dropping-particle":"","family":"Bartley","given":"Joan","non-dropping-particle":"","parse-names":false,"suffix":""},{"dropping-particle":"","family":"Bardai","given":"Zahra","non-dropping-particle":"","parse-names":false,"suffix":""},{"dropping-particle":"","family":"Ashe","given":"Maureen C.","non-dropping-particle":"","parse-names":false,"suffix":""},{"dropping-particle":"","family":"Chilibeck","given":"Philip D.","non-dropping-particle":"","parse-names":false,"suffix":""},{"dropping-particle":"","family":"Thabane","given":"Lehana","non-dropping-particle":"","parse-names":false,"suffix":""},{"dropping-particle":"","family":"Wark","given":"John D.","non-dropping-particle":"","parse-names":false,"suffix":""},{"dropping-particle":"","family":"Stapleton","given":"Jackie","non-dropping-particle":"","parse-names":false,"suffix":""},{"dropping-particle":"","family":"Giangregorio","given":"Lora M.","non-dropping-particle":"","parse-names":false,"suffix":""}],"container-title":"Journal of Aging and Physical Activity","id":"ITEM-1","issued":{"date-parts":[["2021"]]},"page":"1-14","title":"The Effects of Walking or Nordic Walking in Adults 50 Years and Older at Elevated Risk of Fractures: A Systematic Review and Meta-Analysis","type":"article-journal"},"uris":["http://www.mendeley.com/documents/?uuid=4ea28169-f446-4510-ad4d-a2fc7cc4e2f1"]}],"mendeley":{"formattedCitation":"&lt;sup&gt;9&lt;/sup&gt;","plainTextFormattedCitation":"9","previouslyFormattedCitation":"&lt;sup&gt;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9</w:t>
      </w:r>
      <w:r w:rsidRPr="00875798">
        <w:rPr>
          <w:rFonts w:ascii="Helvetica" w:hAnsi="Helvetica" w:cs="Helvetica"/>
        </w:rPr>
        <w:fldChar w:fldCharType="end"/>
      </w:r>
      <w:r w:rsidRPr="00875798">
        <w:rPr>
          <w:rFonts w:ascii="Helvetica" w:hAnsi="Helvetica" w:cs="Helvetica"/>
        </w:rPr>
        <w:t xml:space="preserve"> . An important caveat to these observational findings is that they may be confounded by factors such as health or socioeconomic status. </w:t>
      </w:r>
    </w:p>
    <w:p w14:paraId="21342A2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Randomised controlled trials allow more robust evidence regarding effectiveness of specific exercise interventions. Unfortunately, there are no adequately powered bone health randomised controlled trials with fracture as an endpoint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International","id":"ITEM-1","issue":"3","issued":{"date-parts":[["2014"]]},"page":"821-835","title":"Too Fit to Fracture: Exercise recommendations for individuals with osteoporosis or osteoporotic vertebral fracture","type":"article-journal","volume":"25"},"uris":["http://www.mendeley.com/documents/?uuid=e8b9bf68-43d0-46b3-8eaf-1f7796ccc550"]}],"mendeley":{"formattedCitation":"&lt;sup&gt;10&lt;/sup&gt;","plainTextFormattedCitation":"10","previouslyFormattedCitation":"&lt;sup&gt;10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10</w:t>
      </w:r>
      <w:r w:rsidRPr="00875798">
        <w:rPr>
          <w:rFonts w:ascii="Helvetica" w:hAnsi="Helvetica" w:cs="Helvetica"/>
        </w:rPr>
        <w:fldChar w:fldCharType="end"/>
      </w:r>
      <w:r w:rsidRPr="00875798">
        <w:rPr>
          <w:rFonts w:ascii="Helvetica" w:hAnsi="Helvetica" w:cs="Helvetica"/>
        </w:rPr>
        <w:t xml:space="preserve"> The first adequately powered falls prevention screening study, with more than 9000 people, did not show a reduction in fractures but the exercise programme employed was unlikely to influence BMD, only balance </w:t>
      </w:r>
      <w:r w:rsidRPr="00875798">
        <w:rPr>
          <w:rFonts w:ascii="Helvetica" w:hAnsi="Helvetica" w:cs="Helvetica"/>
        </w:rPr>
        <w:fldChar w:fldCharType="begin" w:fldLock="1"/>
      </w:r>
      <w:r w:rsidRPr="00875798">
        <w:rPr>
          <w:rFonts w:ascii="Helvetica" w:hAnsi="Helvetica" w:cs="Helvetica"/>
        </w:rPr>
        <w:instrText>ADDIN CSL_CITATION {"citationItems":[{"id":"ITEM-1","itemData":{"DOI":"10.1056/nejmoa2001500","ISSN":"0028-4793","PMID":"33211928","abstract":"Abstract Background Community screening and therapeutic prevention strategies may reduce the incidence of falls in older people. The effects of these measures on the incidence of fractures, the use...","author":[{"dropping-particle":"","family":"Lamb","given":"Sarah E.","non-dropping-particle":"","parse-names":false,"suffix":""},{"dropping-particle":"","family":"Bruce","given":"Julie","non-dropping-particle":"","parse-names":false,"suffix":""},{"dropping-particle":"","family":"Hossain","given":"Anower","non-dropping-particle":"","parse-names":false,"suffix":""},{"dropping-particle":"","family":"Ji","given":"Chen","non-dropping-particle":"","parse-names":false,"suffix":""},{"dropping-particle":"","family":"Longo","given":"Roberta","non-dropping-particle":"","parse-names":false,"suffix":""},{"dropping-particle":"","family":"Lall","given":"Ranjit","non-dropping-particle":"","parse-names":false,"suffix":""},{"dropping-particle":"","family":"Bojke","given":"Chris","non-dropping-particle":"","parse-names":false,"suffix":""},{"dropping-particle":"","family":"Hulme","given":"Claire","non-dropping-particle":"","parse-names":false,"suffix":""},{"dropping-particle":"","family":"Withers","given":"Emma","non-dropping-particle":"","parse-names":false,"suffix":""},{"dropping-particle":"","family":"Finnegan","given":"Susanne","non-dropping-particle":"","parse-names":false,"suffix":""},{"dropping-particle":"","family":"Sheridan","given":"Ray","non-dropping-particle":"","parse-names":false,"suffix":""},{"dropping-particle":"","family":"Willett","given":"Keith","non-dropping-particle":"","parse-names":false,"suffix":""},{"dropping-particle":"","family":"Underwood","given":"Martin","non-dropping-particle":"","parse-names":false,"suffix":""}],"container-title":"New England Journal of Medicine","id":"ITEM-1","issue":"19","issued":{"date-parts":[["2020"]]},"page":"1848-1859","title":"Screening and Intervention to Prevent Falls and Fractures in Older People","type":"article-journal","volume":"383"},"uris":["http://www.mendeley.com/documents/?uuid=3d2b5f51-587c-4887-846c-eb041f7ab56e"]}],"mendeley":{"formattedCitation":"&lt;sup&gt;11&lt;/sup&gt;","plainTextFormattedCitation":"11","previouslyFormattedCitation":"&lt;sup&gt;11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w:t>
      </w:r>
      <w:r w:rsidRPr="00875798">
        <w:rPr>
          <w:rFonts w:ascii="Helvetica" w:hAnsi="Helvetica" w:cs="Helvetica"/>
        </w:rPr>
        <w:fldChar w:fldCharType="end"/>
      </w:r>
      <w:r w:rsidRPr="00875798">
        <w:rPr>
          <w:rFonts w:ascii="Helvetica" w:hAnsi="Helvetica" w:cs="Helvetica"/>
        </w:rPr>
        <w:t>. To allow comparison of specific exercise characteristics that may reduce fracture risk it is thus necessary to examine research on risk factors for fracture, such as bone mineral density or fall incidence.</w:t>
      </w:r>
    </w:p>
    <w:p w14:paraId="694138D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 large number of randomised, controlled trials have examined the influence of different exercise interventions on bone mineral density (BMD), with most evidence in women and white populations. These have been summarized in systematic reviews and meta-analyses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Medicine","id":"ITEM-1","issue":"10","issued":{"date-parts":[["2014"]]},"page":"1393-1402","title":"Efficiency of Jumping Exercise in Improving Bone Mineral Density Among Premenopausal Women: A Meta-Analysis","type":"article-journal","volume":"44"},"uris":["http://www.mendeley.com/documents/?uuid=0a88391b-8e38-41f8-8465-8c1fccc85d69"]},{"id":"ITEM-2","itemData":{"DOI":"10.1007/s00198-015-3034-0","ISBN":"0019801530340","ISSN":"14332965","PMID":"25603795","abstract":"Summary: This meta-analysis synthesized current evidence from 24 clinical trials to evaluate the impact of different resistance training modes on postmenopausal bone loss. Exercise interventions were categorized into two training modes, namely resistance-alone versus combined resistance training protocols. The combined resistance training protocols were defined as the combination of resistance training and high-impact or weight-bearing exercise. The results suggested that the combined resistance training protocols were effective in improving bone mineral density (BMD) at the femoral neck and lumbar spine.Introduction: The current meta-analysis aimed to examine the effects of combined resistance and resistance-alone training protocols on the preservation of femoral neck and lumbar spine BMD in postmenopausal women.Methods: An electronic database search was conducted in PubMed, EMBASE, SPORTDiscus, Web of Science, and ProQuest up to March 1, 2014 for the influence of resistance exercise on BMD in postmenopausal women. The study quality was evaluated. The effect sizes were estimated in terms of the standardized mean difference (SMD). A subgroup analysis was conducted by exercise categories.Results: Twenty-four studies were included in the overall analysis of skeletal response to resistance exercise. The between-study heterogeneity was evident for the hip (I2 = 46.5 %) and spine (I2 = 62.3 %). The overall analysis suggested that resistance training significantly increased femoral neck BMD (SMD = 0.303, 95 % confidence interval (95 % CI) = 0.127–0.479, p = 0.001) and lumbar spine BMD (SMD = 0.311, 95 % CI = 0.115–0.507, p = 0.002) in postmenopausal women. However, subgroup analysis indicated that combined resistance training programs significantly affected both the hip BMD (SMD = 0.411, 95 % CI = 0.176–0.645, p = 0.001) and spine BMD (SMD = 0.431, 95 % CI = 0.159–0.702, p = 0.002), whereas resistance-alone protocols only produced nonsignificant positive effects both on the femoral neck and lumbar spine BMD.Conclusions: Combined resistance exercise protocols appear effective in preserving femoral neck and lumbar spine BMD in postmenopausal women, whereas resistance-alone protocols only produced a nonsignificant positive effect.","author":[{"dropping-particle":"","family":"Zhao","given":"R.","non-dropping-particle":"","parse-names":false,"suffix":""},{"dropping-particle":"","family":"Zhao","given":"M.","non-dropping-particle":"","parse-names":false,"suffix":""},{"dropping-particle":"","family":"Xu","given":"Z.","non-dropping-particle":"","parse-names":false,"suffix":""}],"container-title":"Osteoporosis International","id":"ITEM-2","issue":"5","issued":{"date-parts":[["2015"]]},"page":"1605-1618","title":"The effects of differing resistance training modes on the preservation of bone mineral density in postmenopausal women: a meta-analysis","type":"article-journal","volume":"26"},"uris":["http://www.mendeley.com/documents/?uuid=09d1f96c-7837-4fe9-a586-49a8141e0a8a"]},{"id":"ITEM-3","itemData":{"DOI":"10.2519/jospt.2017.6969","ISSN":"01906011","PMID":"28257620","abstract":"STUDY DESIGN: Systematic review and metaanalysis. BACKGROUND: It remains unclear whether exercise combining different types of physical activities (combined exercise interventions) would effectively preserve postmenopausal women's bone mineral density (BMD) at different sites. OBJECTIVE: To examine the impact of combined exercise interventions on lumbar spine, femoral neck, total hip, and total body BMD in postmenopausal women. METHODS: An electronic database search was conducted in PubMed, EMBASE, SPORTDiscus, and Web of Science up to January 1, 2016. Randomized controlled trials that conducted combined exercise interventions and reported BMD values in postmenopausal women were included. Two authors independently extracted the data from individual studies. The primary end point was the change in BMD values from baseline to follow-up. The effect sizes were estimated by the standardized mean difference (SMD) methods using fixed-effects models. RESULTS: Eleven randomized controlled trials including 1061 postmenopausal women met the inclusion criteria. The levels of between-study heterogeneity were relatively low (I2&lt;50%). Exercise integrating different physical activities significantly increased lumbar spine (SMD, 0.170; 95% confidence interval [CI]: 0.027, 0.313; P = .019), femoral neck (SMD, 0.177; 95% CI: 0.030, 0.324; P = .018), total hip (SMD, 0.198; 95% CI: 0.037, 0.359; P = .016), and total body (SMD, 0.257; 95% CI: 0.053, 0.461; P = .014) BMD. Combined exercise interventions generated a beneficial effect on femoral neck BMD (SMD, 0.219; 95% CI: 0.034, 0.404; P = .020) in groups with women aged younger than 60 years, and significantly improved lumbar spine BMD (SMD, 0.349; 95% CI: 0.064, 0.634; P = .016) in groups with women aged 60 years or older. CONCLUSION: Our findings suggest that combined exercise interventions appear to be effective in preserving postmenopausal women's BMD at the lumbar spine, femoral neck, total hip, and total body.","author":[{"dropping-particle":"","family":"Zhao","given":"Renqing","non-dropping-particle":"","parse-names":false,"suffix":""},{"dropping-particle":"","family":"Zhang","given":"Mengyi","non-dropping-particle":"","parse-names":false,"suffix":""},{"dropping-particle":"","family":"Zhang","given":"Qi","non-dropping-particle":"","parse-names":false,"suffix":""}],"container-title":"Journal of Orthopaedic and Sports Physical Therapy","id":"ITEM-3","issue":"4","issued":{"date-parts":[["2017"]]},"page":"241-251","title":"The effectiveness of combined exercise interventions for preventing postmenopausal bone loss: A systematic review and meta-analysis","type":"article-journal","volume":"47"},"uris":["http://www.mendeley.com/documents/?uuid=69e329a8-f739-463f-b401-e142f9c338d7"]},{"id":"ITEM-4","itemData":{"DOI":"10.1155/2013/583217","ISSN":"16878337","author":[{"dropping-particle":"","family":"Kelley","given":"George A.","non-dropping-particle":"","parse-names":false,"suffix":""},{"dropping-particle":"","family":"Kelley","given":"Kristi S.","non-dropping-particle":"","parse-names":false,"suffix":""},{"dropping-particle":"","family":"Kohrt","given":"Wendy M.","non-dropping-particle":"","parse-names":false,"suffix":""}],"container-title":"International Journal of Endocrinology","id":"ITEM-4","issued":{"date-parts":[["2013"]]},"title":"Erratum: Exercise and bone mineral density in premenopausal women: A meta-analysis of randomized controlled trials (International Journal of Endocrinology)","type":"article-journal","volume":"2013"},"uris":["http://www.mendeley.com/documents/?uuid=1efa1aa2-1c42-47a9-b834-20bf700e3e30"]},{"id":"ITEM-5","itemData":{"DOI":"10.1186/1471-2474-13-177","ISSN":"14712474","PMID":"22992273","abstract":"Background: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Disorders","id":"ITEM-5","issued":{"date-parts":[["2012"]]},"title":"Effects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trials","type":"article-journal","volume":"13"},"uris":["http://www.mendeley.com/documents/?uuid=af56067b-eb71-4b4e-bfca-a61628f46f8a"]},{"id":"ITEM-6","itemData":{"DOI":"10.1371/journal.pone.0070119","ISSN":"19326203","PMID":"23950908","abstract":"Background:Swimming, a sport practiced in hypogravity, has sometimes been associated with decreased bone mass.Aim:This systematic review aims to summarize and update present knowledge about the effects of swimming on bone mass, structure and metabolism in order to ascertain the effects of this sport on bone tissue.Methods:A literature search was conducted up to April 2013. A total of 64 studies focusing on swimmers bone mass, structure and metabolism met the inclusion criteria and were included in the review.Results:It has been generally observed that swimmers present lower bone mineral density than athletes who practise high impact sports and similar values when compared to sedentary controls. However, swimmers have a higher bone turnover than controls resulting in a different structure which in turn results in higher resistance to fracture indexes. Nevertheless, swimming may become highly beneficial regarding bone mass in later stages of life.Conclusion:Swimming does not seem to negatively affect bone mass, although it may not be one of the best sports to be practised in order to increase this parameter, due to the hypogravity and lack of impact characteristic of this sport. Most of the studies included in this review showed similar bone mineral density values in swimmers and sedentary controls. However, swimmers present a higher bone turnover than sedentary controls that may result in a stronger structure and consequently in a stronger bone. © 2013 Gómez-Bruton et al.","author":[{"dropping-particle":"","family":"Gómez-Bruton","given":"Alejandro","non-dropping-particle":"","parse-names":false,"suffix":""},{"dropping-particle":"","family":"Gónzalez-Agüero","given":"Alejandro","non-dropping-particle":"","parse-names":false,"suffix":""},{"dropping-particle":"","family":"Gómez-Cabello","given":"Alba","non-dropping-particle":"","parse-names":false,"suffix":""},{"dropping-particle":"","family":"Casajús","given":"José A.","non-dropping-particle":"","parse-names":false,"suffix":""},{"dropping-particle":"","family":"Vicente-Rodríguez","given":"Germán","non-dropping-particle":"","parse-names":false,"suffix":""}],"container-title":"PLoS ONE","id":"ITEM-6","issue":"8","issued":{"date-parts":[["2013"]]},"title":"Is Bone Tissue Really Affected by Swimming? A Systematic Review","type":"article-journal","volume":"8"},"uris":["http://www.mendeley.com/documents/?uuid=1c506f6c-b8f4-4f5d-b161-1ef006c845e8"]},{"id":"ITEM-7","itemData":{"DOI":"10.1016/j.bone.2012.11.031","ISSN":"87563282","PMID":"23219948","abstract":"Objective: Use the meta-analytic approach to examine the effects of ground and/or joint reaction force exercise on femoral neck (FN) and lumbar spine (LS) bone mineral density (BMD) in men. Methods: Randomized controlled exercise trials ≥24weeks were included. Standardized effect sizes (g) were calculated and pooled using random-effects models, z-score alpha values and 95% confidence intervals (CI). Heterogeneity was examined using Q and I2. Statistical significance was set at a two-tailed alpha value (p) of ≤0.05 and a trend at &gt;0.05 to ≤0.10. Results: A moderate and statistically significant improvement was found at the FN (3 g's, 187 participants, g=0.583, 95% CI=0.031, 1.135, p=0.04, Q=5.6, p=0.06, I2=64%) while a small trend was observed at the LS (5 g's, 275 participants, g=0.190, 95% CI=-0.036, 0.416, p=0.10, Q=3.0, p=0.55, I2=0%). Results were sensitive to influence analysis as well as collapsing multiple groups from the same studies so that only one g represented each study. Conclusions: There is currently insufficient evidence to recommend ground and/or joint reaction force exercise for improving and/or maintaining FN and LS BMD in men. Additional well-designed randomized controlled trials are needed before any final recommendations can be formulated. © 2012 Elsevier Inc.","author":[{"dropping-particle":"","family":"Kelley","given":"G. A.","non-dropping-particle":"","parse-names":false,"suffix":""},{"dropping-particle":"","family":"Kelley","given":"K. S.","non-dropping-particle":"","parse-names":false,"suffix":""},{"dropping-particle":"","family":"Kohrt","given":"W. M.","non-dropping-particle":"","parse-names":false,"suffix":""}],"container-title":"Bone","id":"ITEM-7","issue":"1","issued":{"date-parts":[["2013"]]},"page":"103-111","publisher":"Elsevier Inc.","title":"Exercise and bone mineral density in men: A meta-analysis of randomized controlled trials","type":"article-journal","volume":"53"},"uris":["http://www.mendeley.com/documents/?uuid=433ef880-2697-472c-80a4-f31941522750"]},{"id":"ITEM-8","itemData":{"DOI":"10.2165/11597670-000000000-00000","ISSN":"01121642","PMID":"22376192","abstract":"It is widely recognized that the risk of fractures is closely related to the typical decline in bone mass during the ageing process in both women and men. Exercise has been reported as one of the best non-pharmacological ways to improve bone mass throughout life. However, not all exercise regimens have the same positive effects on bone mass, and the studies that have evaluated the role of exercise programmes on bone-related variables in elderly people have obtained inconclusive results. This systematic review aims to summarize and update present knowledge about the effects of different types of training programmes on bone mass in older adults and elderly people as a starting point for developing future interventions that maintain a healthy bone mass and higher quality of life in people throughout their lifetime.A literature search using MEDLINE and the Cochrane Central Register of Controlled Trials databases was conducted and bibliographies for studies discussing the effect of exercise interventions in older adults published up to August 2011 were examined. Inclusion criteria were met by 59 controlled trials, 7 meta-analyses and 8 reviews. The studies included in this review indicate that bone-related variables can be increased, or at least the common decline in bone mass during ageing attenuated, through following specific training programmes. Walking provides a modest increase in the loads on the skeleton above gravity and, therefore, this type of exercise has proved to be less effective in osteoporosis prevention. Strength exercise seems to be a powerful stimulus to improve and maintain bone mass during the ageing process. Multi-component exercise programmes of strength, aerobic, high impact andor weight-bearing training, as well as whole-body vibration (WBV) alone or in combination with exercise, may help to increase or at least prevent decline in bone mass with ageing, especially in postmenopausal women. This review provides, therefore, an overview of intervention studies involving training and bone measurements among older adults, especially postmenopausal women. Some novelties are that WBV training is a promising alternative to prevent bone fractures and osteoporosis. Because this type of exercise under prescription is potentially safe, it may be considered as a low impact alternative to current methods combating bone deterioration. In other respects, the ability of peripheral quantitative computed tomography (pQCT) to assess bone strength and ge…","author":[{"dropping-particle":"","family":"Gómez-Cabello","given":"A.","non-dropping-particle":"","parse-names":false,"suffix":""},{"dropping-particle":"","family":"Ara","given":"I.","non-dropping-particle":"","parse-names":false,"suffix":""},{"dropping-particle":"","family":"González-Agüero","given":"A.","non-dropping-particle":"","parse-names":false,"suffix":""},{"dropping-particle":"","family":"Casajús","given":"J. A.","non-dropping-particle":"","parse-names":false,"suffix":""},{"dropping-particle":"","family":"Vicente-Rodríguez","given":"G.","non-dropping-particle":"","parse-names":false,"suffix":""}],"container-title":"Sports Medicine","id":"ITEM-8","issue":"4","issued":{"date-parts":[["2012"]]},"page":"301-325","title":"Effects of training on bone mass in older adults: A systematic review","type":"article-journal","volume":"42"},"uris":["http://www.mendeley.com/documents/?uuid=c41277fa-f743-4001-b464-572816382a9b"]},{"id":"ITEM-9","itemData":{"DOI":"10.1136/bjsm.2008.052704","ISBN":"4411381265","ISSN":"03063674","PMID":"18981037","abstract":"Objectives: To assess the effects of differing impact exercise protocols on postmenopausal bone loss at the hip and spine. Design: Systematic review and meta-analysis. Data sources: Electronic bibliographic databases, key journals and reference lists of reviews and articles. Review methods: Two independent reviewers assessed controlled trials evaluating effects of impact exercise on lumbar spine, femoral neck and total hip bone mineral density (BMD) in postmenopausal women for inclusion. Heterogeneity amongst trials and publication bias were assessed. Trial quality assessment was also performed. Results: 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p=0.02 and p=0.005 respectively), although heterogeneity was evident (I2=88% and I2=73%, where I2 measures the extent of inconsistency among the trials). Effects on femoral neck BMD following these types of protocols were significant (weighted mean difference (fixed effect) 0.022 g/cm2 95% CI (0.014 to 0.030); p&lt;0.001 and 0.005 g/cm2 95% CI (0.001 to 0.010); p=0.03 respectively). High-impact only and odd-impact only protocols were ineffective in increasing BMD at any site. Conclusion: Mixed loading exercise programmes combining jogging with other low-impact loading activity and programmes mixing impact activity with high-magnitude exercise as resistance training appear effective in reducing postmenopausal bone loss at the hip and spine. Other forms of impact exercise appear less effective at preserving BMD in this population. However, diverse methodological and reporting discrepancies are evident in current published trials.","author":[{"dropping-particle":"","family":"Martyn-St James","given":"M.","non-dropping-particle":"","parse-names":false,"suffix":""},{"dropping-particle":"","family":"Carroll","given":"S.","non-dropping-particle":"","parse-names":false,"suffix":""}],"container-title":"British Journal of Sports Medicine","id":"ITEM-9","issue":"12","issued":{"date-parts":[["2009"]]},"page":"898-908","title":"A meta-analysis of impact exercise on postmenopausal bone loss: The case for mixed loading exercise programmes","type":"article-journal","volume":"43"},"uris":["http://www.mendeley.com/documents/?uuid=acbe0c69-50de-4521-a654-482a1edef8d3"]},{"id":"ITEM-10","itemData":{"DOI":"10.1007/s11357-011-9311-8","ISSN":"01619152","PMID":"21922251","abstract":"The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-10","issue":"6","issued":{"date-parts":[["2012"]]},"page":"1493-1515","title":"Exercise effects on bone mineral density in older adults: A meta-analysis of randomized controlled trials","type":"article-journal","volume":"34"},"uris":["http://www.mendeley.com/documents/?uuid=b0585b0a-e240-4050-b348-af1560b4cd63"]},{"id":"ITEM-11","itemData":{"DOI":"10.1016/j.bone.2008.05.012","ISSN":"87563282","PMID":"18602880","abstract":"Whilst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 months. All eight trials reported BMD data at the lumbar spine following walking interventions among postmenopausal women. Meta-analysis showed no significant change in BMD at this site [WMD (fixed-effect) 0.007 g/cm2 95% CI (- 0.001 to 0.016); P = 0.09)]. BMD data at the femoral neck were available from five trials among postmenopausal women. Results were inconsistent (I2 = 51.4%) in showing a positive effect of walking on BMD at this site [WMD (random-effects) 0.014 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postmenopaus…","author":[{"dropping-particle":"","family":"Martyn-St James","given":"Marrissa","non-dropping-particle":"","parse-names":false,"suffix":""},{"dropping-particle":"","family":"Carroll","given":"Sean","non-dropping-particle":"","parse-names":false,"suffix":""}],"container-title":"Bone","id":"ITEM-11","issue":"3","issued":{"date-parts":[["2008"]]},"page":"521-531","title":"Meta-analysis of walking for preservation of bone mineral density in postmenopausal women","type":"article-journal","volume":"43"},"uris":["http://www.mendeley.com/documents/?uuid=63939eba-b2ae-42b4-84ff-a9550d9a0c17"]},{"id":"ITEM-12","itemData":{"DOI":"10.1007/s00774-009-0139-6","ISSN":"09148779","PMID":"20013013","abstract":"Our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Metabolism","id":"ITEM-12","issue":"3","issued":{"date-parts":[["2010"]]},"page":"251-267","title":"Effects of different impact exercise modalities on bone mineral density in premenopausal women: A meta-analysis","type":"article-journal","volume":"28"},"uris":["http://www.mendeley.com/documents/?uuid=025fc3f3-ebd1-4a4c-9af0-4c0b2bccdbe6"]},{"id":"ITEM-13","itemData":{"DOI":"10.2165/00007256-200636080-00005","ISSN":"01121642","PMID":"16869710","abstract":"Regular weight-bearing physical activity has been widely recommended for adult women and may be beneficial in preserving bone mineral density (BMD). However, there is conflicting evidence regarding the effects of resistance training on BMD in premenopausal women. Novel systematic review and meta-analysis evidence is presented on the effects of progressive high-intensity resistance training on BMD in premenopausal women. Structured computer searches of MEDLINE, EMBASE, PubMed, Web of Science, SportDiscus and Evidence Based Medicine Reviews Multifile were undertaken along with hand-searching of key journals and reference lists to locate relevant studies published up to September 2004. Criteria for included studies were published controlled studies and randomised controlled trials (RCTs) evaluating the effects of progressive, high-intensity resistance training studies on BMD in premenopausal women. Two authors reached consensus on all included and excluded studies. Study outcomes for analysis were radiographic BMD assessment from first follow-up at lumbar spine and femoral neck. Primary outcomes for analysis were absolute changes in BMD g/cm2 at lumbar spine and femoral neck. Relative changes (percentage change) in BMD at lumbar spine were also assessed. Data were extracted from studies including study design, participant characteristics and treatment mode, intensity and duration, using electronic data extraction forms. Where necessary, relevant information was obtained by contacting study authors. Methodological quality of studies was assessed using a well recognised three-question instrument designed to assess bias. Informal assessment for small sample study effects and potential bias was undertaken through visual inspection of funnel plots. The weighted mean difference method (inverse of the variances) was used for combining study group estimates. Quantification of the effect of heterogeneity among study outcomes was assessed using the I 2 statistic. Random effects and fixed-effect models were applied according to observed study heterogeneity. Comparisons resulting in I 2 &gt; 50.0% were considered heterogeneous. Where heterogeneity was observed, a random effects model was applied. Pooled estimates of effect were calculated using the Cochrane Collaboration's Review Manager (RevMan) 4.2.1 software. High-intensity progressive resistance training was shown to be efficacious in increasing absolute BMD at the lumbar spine (p &lt; 0.00001) but not the femoral neck …","author":[{"dropping-particle":"","family":"Martyn St James","given":"Marrissa","non-dropping-particle":"","parse-names":false,"suffix":""},{"dropping-particle":"","family":"Carroll","given":"Sean","non-dropping-particle":"","parse-names":false,"suffix":""}],"container-title":"Sports Medicine","id":"ITEM-13","issue":"8","issued":{"date-parts":[["2006"]]},"page":"683-704","title":"Progressive high-intensity resistance training and bone mineral density changes among premenopausal women: Evidence of discordant site-specific skeletal effects","type":"article-journal","volume":"36"},"uris":["http://www.mendeley.com/documents/?uuid=ac8b6faa-289e-415b-b8a7-a1ff3c6f0664"]},{"id":"ITEM-14","itemData":{"DOI":"10.1007/s00198-006-0083-4","ISSN":"0937941X","PMID":"16823548","abstract":"Introduction: Conflicting evidence exists regarding the optimum exercise for postmenopausal bone loss. A systematic review and meta-analysis was undertaken to evaluate the effects of randomised controlled trials (RCTs) of progressive, high-intensity resistance training on bone mineral density (BMD) amongst postmenopausal women. Methods: Structured electronic searching of multiple databases and hand-searching of key journals and reference lists was undertaken to locate relevant studies up to December 2004. Study quality and possible publication bias were assessed using recognised methods. Primary outcomes were absolute changes in BMD at the lumbar spine (LS), femoral neck (FN) and total hip (TH). A priori defined subgroup analyses included concurrent hormonal or antiresorptive therapy or calcium supplementation during the intervention. The weighted mean difference method (WMD) was used for combining study group estimates. Random or fixed effect models were applied according to study heterogeneity observed from the I 2 statistic. Results: At the LS, 14 RCT study groups were homogenous (I 2=25.2%) in demonstrating a significant increase (P=0.006) in BMD of 0.006 g/cm2 (fixed effect; 95% CI 0.002-0.011) following high-intensity resistance training. In contrast, marked heterogeneity (I 2=88.2%) was apparent within 11 RCT study groups evaluating FN. For this comparison, a random effects model showed a positive change in FN BMD of 0.010 g/cm2 (95% CI -0.002 to 0.021; P = 0.11). Subgroup analyses showed more anatomical variability of BMD responses to resistance training according to participants' hormone therapy use. Treatment effects for study groups increasing all participants' calcium intake showed significant positive BMD changes at TH (P=0.007). Methodological quality of all included studies was low, and a reporting bias towards studies with positive BMD outcomes was evident. Conclusions: These findings are relevant to the nonpharmacological treatment of postmenopausal bone loss. © International Osteoporosis Foundation and National Osteoporosis Foundation 2006.","author":[{"dropping-particle":"","family":"Martyn-St. James","given":"M.","non-dropping-particle":"","parse-names":false,"suffix":""},{"dropping-particle":"","family":"Carroll","given":"S.","non-dropping-particle":"","parse-names":false,"suffix":""}],"container-title":"Osteoporosis International","id":"ITEM-14","issue":"8","issued":{"date-parts":[["2006"]]},"page":"1225-1240","title":"High-intensity resistance training and postmenopausal bone loss: A meta-analysis","type":"article-journal","volume":"17"},"uris":["http://www.mendeley.com/documents/?uuid=4e17e95a-effe-4060-ad96-f69f099e0871"]},{"id":"ITEM-15","itemData":{"DOI":"10.1016/j.bone.2016.04.019","ISSN":"87563282","PMID":"27108341","abstract":"Due to older people's low sports participation rates, exercise frequency may be the most critical component for designing exercise protocols that address bone. The aims of the present article were to determine the independent effect of exercise frequency (ExFreq) and its corresponding changes on bone mineral density (BMD) and to identify the minimum effective dose that just relevantly affects bone.Based on the 16-year follow-up of the intense, consistently supervised Erlangen Fitness and Osteoporosis Prevention-Study, ExFreq was retrospectively determined in the exercise-group of 55 initially early-postmenopausal females with osteopenia. Linear mixed-effect regression analysis was conducted to determine the independent effect of ExFreq on BMD changes at lumbar spine and total hip. Minimum effective dose of ExFreq based on BMD changes less than the 90% quantile of the sedentary control-group (n = 43). Cut-offs were determined after 4, 8, 12 and 16 years using bootstrap with 5000 replications.After 16 years, average ExFreq ranged between 1.02 and 2.96 sessions/week (2.28 ± 0.40 sessions/week). ExFreq has an independent effect on LS-BMD (p &lt; .001) and hip-BMD (p = .005) changes. Bootstrap analysis detected a minimum effective dose at about 2 sessions/week/16 years (cut-off LS-BMD: 2.11, 95% CI: 2.06-2.12; total hip-BMD: 2.22, 95% CI: 2.00-2.78 sessions/week/16 years).In summary, the minimum effective dose of exercise frequency that relevantly addresses BMD is quite high, at least compared with the low sport participation rate of older adults. This result might not be generalizable across all exercise types, protocols and cohorts, but it does indicate at least that even when applying high impact/high intensity programs, exercise frequency and its maintenance play a key role in bone adaptation.","author":[{"dropping-particle":"","family":"Kemmler","given":"Wolfgang","non-dropping-particle":"","parse-names":false,"suffix":""},{"dropping-particle":"","family":"Stengel","given":"Simon","non-dropping-particle":"von","parse-names":false,"suffix":""},{"dropping-particle":"","family":"Kohl","given":"Matthias","non-dropping-particle":"","parse-names":false,"suffix":""}],"container-title":"Bone","id":"ITEM-15","issued":{"date-parts":[["2016"]]},"page":"1-6","publisher":"Elsevier Inc.","title":"Exercise frequency and bone mineral density development in exercising postmenopausal osteopenic women. Is there a critical dose of exercise for affecting bone? Results of the Erlangen Fitness and Osteoporosis Prevention Study","type":"article-journal","volume":"89"},"uris":["http://www.mendeley.com/documents/?uuid=e3049516-b8f3-45ef-8bb8-d3aad9a2b354"]},{"id":"ITEM-16","itemData":{"DOI":"10.1016/j.ajog.2005.09.006","ISSN":"00029378","PMID":"16522410","abstract":"Objective: We conducted a meta-analysis using individual patient data to examine the efficacy of exercise for improving bone mineral density at the femoral neck in postmenopausal women. Study design: Ten controlled clinical trials that included 595 subjects (aged 42-92 years) met our criteria for inclusion. Changes in femoral neck bone mineral density were examined by 2-way analysis of variance tests with repeated measures on 1 factor. Results: Across all designs and categories, there was an increase in bone mineral density of 0.73% ± 5.52% and 0.45% ± 6.78%, respectively, in the exercise and control subjects. However, comparison of initial and final bone mineral density values between exercise and control subjects revealed no statistically significant effect of exercise on femoral neck bone mineral density (P &gt; .05). Conclusion: Collectively, the exercise protocols that were used in this individual patient data meta-analysis do not improve femoral neck bone mineral density in postmenopausal women. © 2006 Mosby, Inc. All rights reserved.","author":[{"dropping-particle":"","family":"Kelley","given":"George A.","non-dropping-particle":"","parse-names":false,"suffix":""},{"dropping-particle":"","family":"Kelley","given":"Kristi S.","non-dropping-particle":"","parse-names":false,"suffix":""}],"container-title":"American Journal of Obstetrics and Gynecology","id":"ITEM-16","issue":"3","issued":{"date-parts":[["2006"]]},"page":"760-767","title":"Exercise and bone mineral density at the femoral neck in postmenopausal women: A meta-analysis of controlled clinical trials with individual patient data","type":"article-journal","volume":"194"},"uris":["http://www.mendeley.com/documents/?uuid=9086f0db-0b1a-4a9f-badd-59f0f7053525"]},{"id":"ITEM-17","itemData":{"DOI":"10.2147/oajsm.s129182","ISSN":"1179-1543","abstract":"BACKGROUND Age-related bone loss is a major health concern. Only exercises associated with high-impact and mechanical loading have been linked to a positive effect on bone turnover; however, these types of exercises may not always be appropriate for middle-aged and older adults due to physical decline or chronic disorders such as osteoarthritis. Water-based exercise (WBE) has been shown to affect different components of physical fitness, has lower risks of traumatic fracture, and applies less stress to joints. However, the effects of WBE on bone health are unclear. OBJECTIVE This study aimed to explore whether WBE is effective in preventing age-related bone deterioration in middle-aged and older adults. METHODS A search of relevant databases and the references of identified studies was performed. Critical narrative synthesis and meta-analyses were conducted. RESULTS Eleven studies, involving 629 participants, met all inclusion criteria. All participants were postmenopausal women. Eight studies compared WBE to a sedentary control group, and four studies had land-based exercise (LBE) participants as a comparison group. Meta-analyses revealed significant differences between WBE and control group in favor of WBE for changes in bone mineral density (BMD) at the lumbar spine (mean difference [MD] 0.03 g/cm2; 95% confidence interval [CI]: 0.01 to 0.05) and femoral neck (MD 0.04 g/cm2; 95% CI: 0.02 to 0.07). Significant differences were also revealed between WBE and LBE in favor of LBE for changes in lumbar spine BMD (MD -0.04 g/cm2; 95% CI: -0.06 to -0.02). However, there was no significant difference between WBE and LBE for changes in femoral neck BMD (MD -0.03 g/cm2; 95% CI: -0.08 to 0.01). CONCLUSION WBE may have benefits with respect to maintaining or improving bone health in postmenopausal women but less benefit when compared to LBE. Further research is required on this topic.","author":[{"dropping-particle":"","family":"Simas","given":"Vini","non-dropping-particle":"","parse-names":false,"suffix":""},{"dropping-particle":"","family":"Hing","given":"Wayne","non-dropping-particle":"","parse-names":false,"suffix":""},{"dropping-particle":"","family":"Pope","given":"Rodney","non-dropping-particle":"","parse-names":false,"suffix":""},{"dropping-particle":"","family":"Climstein","given":"Mike","non-dropping-particle":"","parse-names":false,"suffix":""}],"container-title":"Open Access Journal of Sports Medicine","id":"ITEM-17","issued":{"date-parts":[["2017","3","27"]]},"page":"39-60","publisher":"Dove Press","title":"Effects of water-based exercise on bone health of middle-aged and older adults: a systematic review and meta-analysis","type":"article-journal","volume":"Volume 8"},"uris":["http://www.mendeley.com/documents/?uuid=958bc805-a429-4ba2-993f-98e743b6bc39"]},{"id":"ITEM-18","itemData":{"DOI":"10.22540/jfsf-03-058","ISSN":"2459-4148","abstract":"The need to be fit, strong, fast and agile has been an evolutionary requirement since early history. In this paper we identify the effectiveness of different types of physical activity on muscle, bone and balance outcomes, and what types of physical activity contribute to the development and maintenance of these outcomes. We undertook a purposive search of PubMed, international evidence reviews of physical activity, and asked international experts to identify review level relevant literature on the effectiveness of muscle, bone and balance training and physical activity on health outcomes. We found consistent review level evidence that strength/resistance training as a single intervention or in combination with other activities, two/three occasions per week, were effective for muscular strength, with higher intensities of training producing greater gains. We found consistent review level evidence that strength training as a single intervention or in combination with high impact loading activities taken at least 3 times per week were effective for bone health. Physical activities with a high challenge to balance done in standing three times per week were beneficial for balance training and falls reduction. The current UK 2011 Chief Medical Officer's physical activity guidelines remain consistent with the most up to date review level evidence for muscle and balance health. [ABSTRACT FROM AUTHOR]","author":[{"dropping-particle":"","family":"Foster","given":"Charlie","non-dropping-particle":"","parse-names":false,"suffix":""},{"dropping-particle":"","family":"Armstrong","given":"Miranda E.G.","non-dropping-particle":"","parse-names":false,"suffix":""}],"container-title":"Journal of Frailty, Sarcopenia and Falls","id":"ITEM-18","issue":"02","issued":{"date-parts":[["2018"]]},"page":"58-65","title":"What types of physical activities are effective in developing muscle and bone strength and balance?","type":"article-journal","volume":"03"},"uris":["http://www.mendeley.com/documents/?uuid=46065e67-5310-4882-a4b6-c71c027ac2dc"]},{"id":"ITEM-19","itemData":{"DOI":"10.1007/s00198-011-1801-0","ISSN":"0937941X","PMID":"21953474","abstract":"Summary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International","id":"ITEM-19","issue":"1","issued":{"date-parts":[["2012"]]},"page":"109-119","title":"A meta-analysis of brief high-impact exercises for enhancing bone health in premenopausal women","type":"article-journal","volume":"23"},"uris":["http://www.mendeley.com/documents/?uuid=64a9c54f-8683-4740-bdae-6a47d91b5f9a"]},{"id":"ITEM-20","itemData":{"DOI":"10.1007/s00198-013-2523-2","ISSN":"0937941X","PMID":"24281053","abstract":"A consensus process was conducted to develop exercise recommendations for individuals with osteoporosis or vertebral fractures. A multicomponent exercise program that includes balance and resistance training is recommended. Introduction: The aim was to develop consensus on exercise recommendations for older adults: (1) with osteoporosis and (2) with osteoporotic vertebral fracture(s). Methods: The Grading of Recommendations Assessment, Development, and Evaluation method was used to evaluate the quality of evidence and develop recommendations. Outcomes important for decision making were nominated by an expert panel and patient advocates. They included falls, fractures, bone mineral density (BMD), and adverse events for individuals with osteoporosis/vertebral fractures, and pain, quality of life, and function for those with vertebral fracture. Meta-analyses evaluating the effects of exercise on the outcomes were reviewed. Observational studies or clinical trials were reviewed when meta-analyses were not available. Quality ratings were generated, and informed the recommendations. Results: The outcome for which evidence is strongest is falls. Point estimates of the effects of exercise on falls, fractures, and BMD vary according to exercise type. There is not enough evidence to quantify the risks of exercise in those with osteoporosis or vertebral fracture. Few trials of exercise exist in those with vertebral fracture. The exercise recommendations for exercise in individuals with osteoporosis or osteoporotic vertebral fracture are conditional. The panel strongly recommends a multicomponent exercise program including resistance and balance training for individuals with osteoporosis or osteoporotic vertebral fracture. The panel recommends that older adults with osteoporosis or vertebral fracture do not engage in aerobic training to the exclusion of resistance or balance training. Conclusions: The consensus of our international panel is that exercise is recommended for older adults with osteoporosis or vertebral fracture, but our recommendations are conditional. © 2013 International Osteoporosis Foundation and National Osteoporosis Foundation.","author":[{"dropping-particle":"","family":"Giangregorio","given":"L. M.","non-dropping-particle":"","parse-names":false,"suffix":""},{"dropping-particle":"","family":"Papaioannou","given":"A.","non-dropping-particle":"","parse-names":false,"suffix":""},{"dropping-particle":"","family":"MacIntyre","given":"N. J.","non-dropping-particle":"","parse-names":false,"suffix":""},{"dropping-particle":"","family":"Ashe","given":"M. C.","non-dropping-particle":"","parse-names":false,"suffix":""},{"dropping-particle":"","family":"Heinonen","given":"A.","non-dropping-particle":"","parse-names":false,"suffix":""},{"dropping-particle":"","family":"Shipp","given":"K.","non-dropping-particle":"","parse-names":false,"suffix":""},{"dropping-particle":"","family":"Wark","given":"J.","non-dropping-particle":"","parse-names":false,"suffix":""},{"dropping-particle":"","family":"McGill","given":"S.","non-dropping-particle":"","parse-names":false,"suffix":""},{"dropping-particle":"","family":"Keller","given":"H.","non-dropping-particle":"","parse-names":false,"suffix":""},{"dropping-particle":"","family":"Jain","given":"R.","non-dropping-particle":"","parse-names":false,"suffix":""},{"dropping-particle":"","family":"Laprade","given":"J.","non-dropping-particle":"","parse-names":false,"suffix":""},{"dropping-particle":"","family":"Cheung","given":"A. M.","non-dropping-particle":"","parse-names":false,"suffix":""}],"container-title":"Osteoporosis International","id":"ITEM-20","issue":"3","issued":{"date-parts":[["2014"]]},"page":"821-835","title":"Too Fit to Fracture: Exercise recommendations for individuals with osteoporosis or osteoporotic vertebral fracture","type":"article-journal","volume":"25"},"uris":["http://www.mendeley.com/documents/?uuid=e8b9bf68-43d0-46b3-8eaf-1f7796ccc550"]},{"id":"ITEM-21","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International","id":"ITEM-21","issue":"11","issued":{"date-parts":[["2013"]]},"page":"2749-2762","title":"The effect of physical exercise on bone density in middle-aged and older men: A systematic review","type":"article-journal","volume":"24"},"uris":["http://www.mendeley.com/documents/?uuid=789f751f-2685-44df-9a9f-6f1a8dd586b9"]},{"id":"ITEM-22","itemData":{"DOI":"10.1186/s12966-020-01040-4","ISBN":"1296602001","ISSN":"14795868","PMID":"33239014","abstract":"Background: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Activity","id":"ITEM-22","issue":"1","issued":{"date-parts":[["2020"]]},"number-of-pages":"1-53","publisher":"International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behaviour","type":"book","volume":"17"},"uris":["http://www.mendeley.com/documents/?uuid=7bf3624a-5bc7-438f-8048-df9cc2de3aab"]},{"id":"ITEM-23","itemData":{"DOI":"10.1002/14651858.CD000333.pub2.","ISSN":"1469493X","PMID":"21735380","abstract":"Background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Reviews","id":"ITEM-23","issue":"7","issued":{"date-parts":[["2011"]]},"page":"1-167","title":"Exercise for preventing and treating osteoporosis in postmenopausal women","type":"article-journal","volume":"2011"},"uris":["http://www.mendeley.com/documents/?uuid=9df55b14-bbc0-4af5-b26c-1f9742a80a88"]}],"mendeley":{"formattedCitation":"&lt;sup&gt;10,12–33&lt;/sup&gt;","plainTextFormattedCitation":"10,12–33","previouslyFormattedCitation":"&lt;sup&gt;10,12,21–30,13,31–33,14–20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10,12–33</w:t>
      </w:r>
      <w:r w:rsidRPr="00875798">
        <w:rPr>
          <w:rFonts w:ascii="Helvetica" w:hAnsi="Helvetica" w:cs="Helvetica"/>
        </w:rPr>
        <w:fldChar w:fldCharType="end"/>
      </w:r>
      <w:r w:rsidRPr="00875798">
        <w:rPr>
          <w:rFonts w:ascii="Helvetica" w:hAnsi="Helvetica" w:cs="Helvetica"/>
        </w:rPr>
        <w:t xml:space="preserve">, and in previous international guidance </w:t>
      </w:r>
      <w:r w:rsidRPr="00875798">
        <w:rPr>
          <w:rFonts w:ascii="Helvetica" w:hAnsi="Helvetica" w:cs="Helvetica"/>
        </w:rPr>
        <w:fldChar w:fldCharType="begin" w:fldLock="1"/>
      </w:r>
      <w:r w:rsidRPr="00875798">
        <w:rPr>
          <w:rFonts w:ascii="Helvetica" w:hAnsi="Helvetica" w:cs="Helvetica"/>
        </w:rPr>
        <w:instrText>ADDIN CSL_CITATION {"citationItems":[{"id":"ITEM-1","itemData":{"DOI":"10.1249/01.MSS.0000142662.21767.58","ISBN":"0000142662","ISSN":"0195-9131","PMID":"15514517","abstract":"Weight-bearing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Exercise","id":"ITEM-1","issue":"11","issued":{"date-parts":[["2004"]]},"page":"1985-1996","title":"Physical Activity and Bone Health","type":"article-journal","volume":"36"},"uris":["http://www.mendeley.com/documents/?uuid=840e4446-bcd0-4e41-9f11-68cea9d1c402","http://www.mendeley.com/documents/?uuid=e93b189d-ff49-4635-9d82-5d9be2cfbb44"]},{"id":"ITEM-2","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Sport","id":"ITEM-2","issue":"5","issued":{"date-parts":[["2017"]]},"page":"438-445","publisher":"Sports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-3","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International","id":"ITEM-3","issue":"3","issued":{"date-parts":[["2015"]]},"page":"891-910","title":"Too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34–36&lt;/sup&gt;","plainTextFormattedCitation":"34–36","previouslyFormattedCitation":"&lt;sup&gt;34–36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34–36</w:t>
      </w:r>
      <w:r w:rsidRPr="00875798">
        <w:rPr>
          <w:rFonts w:ascii="Helvetica" w:hAnsi="Helvetica" w:cs="Helvetica"/>
        </w:rPr>
        <w:fldChar w:fldCharType="end"/>
      </w:r>
      <w:r w:rsidRPr="00875798">
        <w:rPr>
          <w:rFonts w:ascii="Helvetica" w:hAnsi="Helvetica" w:cs="Helvetica"/>
        </w:rPr>
        <w:t xml:space="preserve">. It is important to highlight that BMD is just one determinant of bone strength. Exercise may also influence bone strength through BMD independent mechanisms, such as through changing the distribution of bone (bone geometry or microarchitecture) and the bone material properties </w:t>
      </w:r>
      <w:r w:rsidRPr="00875798">
        <w:rPr>
          <w:rFonts w:ascii="Helvetica" w:hAnsi="Helvetica" w:cs="Helvetica"/>
        </w:rPr>
        <w:fldChar w:fldCharType="begin" w:fldLock="1"/>
      </w:r>
      <w:r w:rsidRPr="00875798">
        <w:rPr>
          <w:rFonts w:ascii="Helvetica" w:hAnsi="Helvetica" w:cs="Helvetica"/>
        </w:rPr>
        <w:instrText>ADDIN CSL_CITATION {"citationItems":[{"id":"ITEM-1","itemData":{"ISSN":"11087161","PMID":"28860414","abstract":"This review summarises current understanding of how bone is sculpted through adaptive processes, designed to meet the mechanical challenges it faces in everyday life and athletic pursuits, serving as an update for clinicians, researchers and physical therapists. Bone’s ability to resist fracture under the large muscle and locomotory forces it experiences during movement and in falls or collisions is dependent on its established mechanical properties, determined by bone’s complex and multidimensional material and structural organisation. At all levels, bone is highly adaptive to habitual loading, regulating its structure according to components of its loading regime and mechanical environment, inclusive of strain magnitude, rate, frequency, distribution and deformation mode. Indeed, the greatest forces habitually applied to bone arise from muscular contractions, and the past two decades have seen substantial advances in our understanding of how these forces shape bone throughout life. Herein, we also highlight the limitations of in vivo methods to assess and understand bone collagen, and bone mineral at the material or tissue level. The inability to easily measure or closely regulate applied strain in humans is identified, limiting the translation of animal studies to human populations, and our exploration of how components of mechanical loading regimes influence mechanoadaptation.","author":[{"dropping-particle":"","family":"Hart","given":"Nicolas H.","non-dropping-particle":"","parse-names":false,"suffix":""},{"dropping-particle":"","family":"Nimphius","given":"S.","non-dropping-particle":"","parse-names":false,"suffix":""},{"dropping-particle":"","family":"Rantalainen","given":"T.","non-dropping-particle":"","parse-names":false,"suffix":""},{"dropping-particle":"","family":"Ireland","given":"A.","non-dropping-particle":"","parse-names":false,"suffix":""},{"dropping-particle":"","family":"Siafarikas","given":"A.","non-dropping-particle":"","parse-names":false,"suffix":""},{"dropping-particle":"","family":"Newton","given":"R. U.","non-dropping-particle":"","parse-names":false,"suffix":""}],"container-title":"Journal of Musculoskeletal Neuronal Interactions","id":"ITEM-1","issue":"3","issued":{"date-parts":[["2017"]]},"page":"114-139","title":"Mechanical basis of bone strength: Influence of bone material, bone structure and muscle action","type":"article-journal","volume":"17"},"uris":["http://www.mendeley.com/documents/?uuid=ab5965a6-0e84-4a70-a063-5ae131f54908"]}],"mendeley":{"formattedCitation":"&lt;sup&gt;37&lt;/sup&gt;","plainTextFormattedCitation":"37","previouslyFormattedCitation":"&lt;sup&gt;37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37</w:t>
      </w:r>
      <w:r w:rsidRPr="00875798">
        <w:rPr>
          <w:rFonts w:ascii="Helvetica" w:hAnsi="Helvetica" w:cs="Helvetica"/>
        </w:rPr>
        <w:fldChar w:fldCharType="end"/>
      </w:r>
      <w:r w:rsidRPr="00875798">
        <w:rPr>
          <w:rFonts w:ascii="Helvetica" w:hAnsi="Helvetica" w:cs="Helvetica"/>
        </w:rPr>
        <w:t xml:space="preserve">. There are fewer studies available with these outcome measures available at sites susceptible to fracture although a recent review concluded that novel or very intense activities can stimulate adaptations to loaded bones such as increased cortical thickness or periosteal diameter </w:t>
      </w:r>
      <w:r w:rsidRPr="00875798">
        <w:rPr>
          <w:rFonts w:ascii="Helvetica" w:hAnsi="Helvetica" w:cs="Helvetica"/>
        </w:rPr>
        <w:fldChar w:fldCharType="begin" w:fldLock="1"/>
      </w:r>
      <w:r w:rsidRPr="00875798">
        <w:rPr>
          <w:rFonts w:ascii="Helvetica" w:hAnsi="Helvetica" w:cs="Helvetica"/>
        </w:rPr>
        <w:instrText>ADDIN CSL_CITATION {"citationItems":[{"id":"ITEM-1","itemData":{"DOI":"10.3390/sports5020029","ISSN":"2075-4663","abstract":"Exercise is commonly recommended in the prevention and management of osteoporosis. The most common method to monitor bone mass and its response to interventions is bone densitometry. While closely associated with risk of fracture, densitometry-derived areal bone mineral density (aBMD) does not provide a reliable indication of bone geometry or morphological adaptation to stimuli. In fact, the effects of exercise interventions on aBMD are frequently modest, and may not fully represent the benefit of exercise to bone. Animal models suggest that mechanical loading indeed influences bone geometry and thus strength. Such an effect in humans has the potential to reduce osteoporotic fracture. The aim of the current narrative review is to provide an overview of what is known about the effects of exercise on bone geometry, with a focus on relevance to osteoporosis.","author":[{"dropping-particle":"","family":"Harding","given":"Amy T.","non-dropping-particle":"","parse-names":false,"suffix":""},{"dropping-particle":"","family":"Beck","given":"Belinda","non-dropping-particle":"","parse-names":false,"suffix":""}],"container-title":"Sports","id":"ITEM-1","issue":"2","issued":{"date-parts":[["2017"]]},"page":"29","title":"Exercise, Osteoporosis, and Bone Geometry","type":"article-journal","volume":"5"},"uris":["http://www.mendeley.com/documents/?uuid=25be8950-1bc1-48d2-9410-3fe9f13496e9"]}],"mendeley":{"formattedCitation":"&lt;sup&gt;38&lt;/sup&gt;","plainTextFormattedCitation":"38","previouslyFormattedCitation":"&lt;sup&gt;38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38</w:t>
      </w:r>
      <w:r w:rsidRPr="00875798">
        <w:rPr>
          <w:rFonts w:ascii="Helvetica" w:hAnsi="Helvetica" w:cs="Helvetica"/>
        </w:rPr>
        <w:fldChar w:fldCharType="end"/>
      </w:r>
      <w:r w:rsidRPr="00875798">
        <w:rPr>
          <w:rFonts w:ascii="Helvetica" w:hAnsi="Helvetica" w:cs="Helvetica"/>
        </w:rPr>
        <w:t>.</w:t>
      </w:r>
    </w:p>
    <w:p w14:paraId="062E4575" w14:textId="77777777" w:rsidR="000F5BC4" w:rsidRPr="00875798" w:rsidRDefault="000F5BC4" w:rsidP="000F5BC4">
      <w:pPr>
        <w:pStyle w:val="Heading3"/>
        <w:spacing w:before="120" w:line="240" w:lineRule="auto"/>
        <w:rPr>
          <w:rFonts w:ascii="Helvetica" w:hAnsi="Helvetica" w:cs="Helvetica"/>
          <w:i/>
          <w:iCs/>
          <w:color w:val="auto"/>
        </w:rPr>
      </w:pPr>
      <w:bookmarkStart w:id="22" w:name="_Toc96616274"/>
      <w:r w:rsidRPr="00875798">
        <w:rPr>
          <w:rFonts w:ascii="Helvetica" w:hAnsi="Helvetica" w:cs="Helvetica"/>
          <w:i/>
          <w:iCs/>
          <w:color w:val="auto"/>
        </w:rPr>
        <w:t>Type and intensity of exercise</w:t>
      </w:r>
      <w:bookmarkEnd w:id="22"/>
      <w:r w:rsidRPr="00875798">
        <w:rPr>
          <w:rFonts w:ascii="Helvetica" w:hAnsi="Helvetica" w:cs="Helvetica"/>
          <w:i/>
          <w:iCs/>
          <w:color w:val="auto"/>
        </w:rPr>
        <w:t xml:space="preserve"> </w:t>
      </w:r>
    </w:p>
    <w:p w14:paraId="382B599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As bone responds to forces applied through muscular contraction or impact forces </w:t>
      </w:r>
      <w:r w:rsidRPr="00875798">
        <w:rPr>
          <w:rFonts w:ascii="Helvetica" w:hAnsi="Helvetica" w:cs="Helvetica"/>
        </w:rPr>
        <w:fldChar w:fldCharType="begin" w:fldLock="1"/>
      </w:r>
      <w:r w:rsidRPr="00875798">
        <w:rPr>
          <w:rFonts w:ascii="Helvetica" w:hAnsi="Helvetica" w:cs="Helvetica"/>
        </w:rPr>
        <w:instrText>ADDIN CSL_CITATION {"citationItems":[{"id":"ITEM-1","itemData":{"abstract":"The still</w:instrText>
      </w:r>
      <w:r w:rsidRPr="00875798">
        <w:rPr>
          <w:rFonts w:ascii="Cambria Math" w:hAnsi="Cambria Math" w:cs="Cambria Math"/>
        </w:rPr>
        <w:instrText>‐</w:instrText>
      </w:r>
      <w:r w:rsidRPr="00875798">
        <w:rPr>
          <w:rFonts w:ascii="Helvetica" w:hAnsi="Helvetica" w:cs="Helvetica"/>
        </w:rPr>
        <w:instrText>evolving mechanostat hypothesis for bones inserts tissue</w:instrText>
      </w:r>
      <w:r w:rsidRPr="00875798">
        <w:rPr>
          <w:rFonts w:ascii="Cambria Math" w:hAnsi="Cambria Math" w:cs="Cambria Math"/>
        </w:rPr>
        <w:instrText>‐</w:instrText>
      </w:r>
      <w:r w:rsidRPr="00875798">
        <w:rPr>
          <w:rFonts w:ascii="Helvetica" w:hAnsi="Helvetica" w:cs="Helvetica"/>
        </w:rPr>
        <w:instrText>level realities into the former knowledge gap between bone's organ</w:instrText>
      </w:r>
      <w:r w:rsidRPr="00875798">
        <w:rPr>
          <w:rFonts w:ascii="Cambria Math" w:hAnsi="Cambria Math" w:cs="Cambria Math"/>
        </w:rPr>
        <w:instrText>‐</w:instrText>
      </w:r>
      <w:r w:rsidRPr="00875798">
        <w:rPr>
          <w:rFonts w:ascii="Helvetica" w:hAnsi="Helvetica" w:cs="Helvetica"/>
        </w:rPr>
        <w:instrText>level and cell</w:instrText>
      </w:r>
      <w:r w:rsidRPr="00875798">
        <w:rPr>
          <w:rFonts w:ascii="Cambria Math" w:hAnsi="Cambria Math" w:cs="Cambria Math"/>
        </w:rPr>
        <w:instrText>‐</w:instrText>
      </w:r>
      <w:r w:rsidRPr="00875798">
        <w:rPr>
          <w:rFonts w:ascii="Helvetica" w:hAnsi="Helvetica" w:cs="Helvetica"/>
        </w:rPr>
        <w:instrText>level realities. It concerns load</w:instrText>
      </w:r>
      <w:r w:rsidRPr="00875798">
        <w:rPr>
          <w:rFonts w:ascii="Cambria Math" w:hAnsi="Cambria Math" w:cs="Cambria Math"/>
        </w:rPr>
        <w:instrText>‐</w:instrText>
      </w:r>
      <w:r w:rsidRPr="00875798">
        <w:rPr>
          <w:rFonts w:ascii="Helvetica" w:hAnsi="Helvetica" w:cs="Helvetica"/>
        </w:rPr>
        <w:instrText>bearing bones in postnatal free</w:instrText>
      </w:r>
      <w:r w:rsidRPr="00875798">
        <w:rPr>
          <w:rFonts w:ascii="Cambria Math" w:hAnsi="Cambria Math" w:cs="Cambria Math"/>
        </w:rPr>
        <w:instrText>‐</w:instrText>
      </w:r>
      <w:r w:rsidRPr="00875798">
        <w:rPr>
          <w:rFonts w:ascii="Helvetica" w:hAnsi="Helvetica" w:cs="Helvetica"/>
        </w:rPr>
        <w:instrText>living bony vertebrates, physiologic bone loading, and how bones adapt their strength to the mechanical loads on them. Voluntary mechanical usage determines most of the postnatal strength of healthy bones in ways that minimize nontraumatic fractures and create a bone</w:instrText>
      </w:r>
      <w:r w:rsidRPr="00875798">
        <w:rPr>
          <w:rFonts w:ascii="Cambria Math" w:hAnsi="Cambria Math" w:cs="Cambria Math"/>
        </w:rPr>
        <w:instrText>‐</w:instrText>
      </w:r>
      <w:r w:rsidRPr="00875798">
        <w:rPr>
          <w:rFonts w:ascii="Helvetica" w:hAnsi="Helvetica" w:cs="Helvetica"/>
        </w:rPr>
        <w:instrText>strength safety factor. The mechanostat hypothesis predicts 32 things that occur, including the gross anatomical bone abnormalities in osteogenesis imperfecta; it distinguishes postnatal situations from baseline conditions at birth; it distinguishes bones that carry typical voluntary loads from bones that have other chief functions; and it distinguishes traumatic from nontraumatic fractures. It provides functional definitions of mechanical bone competence, bone quality, osteopenias, and osteoporoses. It includes permissive hormonal and other effects on bones, a marrow mediator mechanism, some limitations of clinical densitometry, a cause of bone “mass” plateaus during treatment, an “adaptational lag” in some children, and some vibration effects on bones. The mechanostat hypothesis may have analogs in nonosseous skeletal organs as well.","author":[{"dropping-particle":"","family":"Frost","given":"Harold M","non-dropping-particle":"","parse-names":false,"suffix":""}],"container-title":"Anatomical Record Part A","id":"ITEM-1","issued":{"date-parts":[["2003"]]},"page":"1081-1101","title":"Bone's mechnostat: a 2003 update","type":"article-journal","volume":"275A"},"uris":["http://www.mendeley.com/documents/?uuid=fdea6eba-fe5b-4eeb-9977-a4b8ee08de4a"]}],"mendeley":{"formattedCitation":"&lt;sup&gt;39&lt;/sup&gt;","plainTextFormattedCitation":"39","previouslyFormattedCitation":"&lt;sup&gt;39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39</w:t>
      </w:r>
      <w:r w:rsidRPr="00875798">
        <w:rPr>
          <w:rFonts w:ascii="Helvetica" w:hAnsi="Helvetica" w:cs="Helvetica"/>
        </w:rPr>
        <w:fldChar w:fldCharType="end"/>
      </w:r>
      <w:r w:rsidRPr="00875798">
        <w:rPr>
          <w:rFonts w:ascii="Helvetica" w:hAnsi="Helvetica" w:cs="Helvetica"/>
        </w:rPr>
        <w:t xml:space="preserve">, exercise can be categorized according to whether it generates impact (ground reaction) forces through weightbearing exercise, or applied load in resistance (joint reaction) exercise. </w:t>
      </w:r>
    </w:p>
    <w:p w14:paraId="7217F520"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Resistance exercise</w:t>
      </w:r>
    </w:p>
    <w:p w14:paraId="1C23CA9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Resistance or joint reaction exercise involves work against an external load, which may be provided by free weights, weights machine, resistance band or body weight. Resistance exercise intensity may be described as a proportion of repetition maximum (1RM): the maximum load that can be lifted for the specified number of lifts before fatigue. The Cochrane review demonstrated that high-force non weightbearing exercise (&gt;70% and usually 80%1RM) benefitted spine and femoral neck BMD, whilst low-force non weightbearing exercise (e.g. low load, high repetition strength training 40-60% 1RM) had no significant effect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Other meta-analyses of resistance training alone in postmenopausal women showed benefits that did not reach statistical significance, but combined interventions of variable intensities, as well as exercises targeting different muscle groups and hence loading different skeletal sites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{"citationItems":[{"id":"ITEM-1","itemData":{"DOI":"10.1007/s00198-015-3034-0","ISBN":"0019801530340","ISSN":"14332965","PMID":"25603795","abstract":"Summary: This meta-analysis synthesized current evidence from 24 clinical trials to evaluate the impact of different resistance training modes on postmenopausal bone loss. Exercise interventions were categorized into two training modes, namely resistance-alone versus combined resistance training protocols. The combined resistance training protocols were defined as the combination of resistance training and high-impact or weight-bearing exercise. The results suggested that the combined resistance training protocols were effective in improving bone mineral density (BMD) at the femoral neck and lumbar spine.Introduction: The current meta-analysis aimed to examine the effects of combined resistance and resistance-alone training protocols on the preservation of femoral neck and lumbar spine BMD in postmenopausal women.Methods: An electronic database search was conducted in PubMed, EMBASE, SPORTDiscus, Web of Science, and ProQuest up to March 1, 2014 for the influence of resistance exercise on BMD in postmenopausal women. The study quality was evaluated. The effect sizes were estimated in terms of the standardized mean difference (SMD). A subgroup analysis was conducted by exercise categories.Results: Twenty-four studies were included in the overall analysis of skeletal response to resistance exercise. The between-study heterogeneity was evident for the hip (I2 = 46.5 %) and spine (I2 = 62.3 %). The overall analysis suggested that resistance training significantly increased femoral neck BMD (SMD = 0.303, 95 % confidence interval (95 % CI) = 0.127–0.479, p = 0.001) and lumbar spine BMD (SMD = 0.311, 95 % CI = 0.115–0.507, p = 0.002) in postmenopausal women. However, subgroup analysis indicated that combined resistance training programs significantly affected both the hip BMD (SMD = 0.411, 95 % CI = 0.176–0.645, p = 0.001) and spine BMD (SMD = 0.431, 95 % CI = 0.159–0.702, p = 0.002), whereas resistance-alone protocols only produced nonsignificant positive effects both on the femoral neck and lumbar spine BMD.Conclusions: Combined resistance exercise protocols appear effective in preserving femoral neck and lumbar spine BMD in postmenopausal women, whereas resistance-alone protocols only produced a nonsignificant positive effect.","author":[{"dropping-particle":"","family":"Zhao","given":"R.","non-dropping-particle":"","parse-names":false,"suffix":""},{"dropping-particle":"","family":"Zhao","given":"M.","non-dropping-particle":"","parse-names":false,"suffix":""},{"dropping-particle":"","family":"Xu","given":"Z.","non-dropping-particle":"","parse-names":false,"suffix":""}],"container-title":"Osteoporosis International","id":"ITEM-1","issue":"5","issued":{"date-parts":[["2015"]]},"page":"1605-1618","title":"The effects of differing resistance training modes on the preservation of bone mineral density in postmenopausal women: a meta-analysis","type":"article-journal","volume":"26"},"uris":["http://www.mendeley.com/documents/?uuid=09d1f96c-7837-4fe9-a586-49a8141e0a8a"]},{"id":"ITEM-2","itemData":{"DOI":"10.1007/s11357-011-9311-8","ISSN":"01619152","PMID":"21922251","abstract":"The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-2","issue":"6","issued":{"date-parts":[["2012"]]},"page":"1493-1515","title":"Exercise effects on bone mineral density in older adults: A meta-analysis of randomized controlled trials","type":"article-journal","volume":"34"},"uris":["http://www.mendeley.com/documents/?uuid=b0585b0a-e240-4050-b348-af1560b4cd63"]}],"mendeley":{"formattedCitation":"&lt;sup&gt;13,23&lt;/sup&gt;","plainTextFormattedCitation":"13,23","previouslyFormattedCitation":"&lt;sup&gt;13,21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13,23</w:t>
      </w:r>
      <w:r w:rsidRPr="00875798">
        <w:rPr>
          <w:rFonts w:ascii="Helvetica" w:hAnsi="Helvetica" w:cs="Helvetica"/>
        </w:rPr>
        <w:fldChar w:fldCharType="end"/>
      </w:r>
      <w:r w:rsidRPr="00875798">
        <w:rPr>
          <w:rFonts w:ascii="Helvetica" w:hAnsi="Helvetica" w:cs="Helvetica"/>
        </w:rPr>
        <w:t xml:space="preserve">. Resistance training alone benefitted BMD at hip and spine sites in 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International","id":"ITEM-1","issue":"11","issued":{"date-parts":[["2013"]]},"page":"2749-2762","title":"The effect of physical exercise on bone density in middle-aged and older men: A systematic review","type":"article-journal","volume":"24"},"uris":["http://www.mendeley.com/documents/?uuid=789f751f-2685-44df-9a9f-6f1a8dd586b9"]}],"mendeley":{"formattedCitation":"&lt;sup&gt;24&lt;/sup&gt;","plainTextFormattedCitation":"24","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24</w:t>
      </w:r>
      <w:r w:rsidRPr="00875798">
        <w:rPr>
          <w:rFonts w:ascii="Helvetica" w:hAnsi="Helvetica" w:cs="Helvetica"/>
        </w:rPr>
        <w:fldChar w:fldCharType="end"/>
      </w:r>
      <w:r w:rsidRPr="00875798">
        <w:rPr>
          <w:rFonts w:ascii="Helvetica" w:hAnsi="Helvetica" w:cs="Helvetica"/>
        </w:rPr>
        <w:t xml:space="preserve">. </w:t>
      </w:r>
    </w:p>
    <w:p w14:paraId="241F76A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Animal studies and consequent theoretical models suggest that dynamic exercise is more effective than static or isometric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{"citationItems":[{"id":"ITEM-1","itemData":{"DOI":"10.1007/s001980200095","ISSN":"0937941X","PMID":"12195532","abstract":"1. The fracture resistance of bones is established and maintained as the result of an adaptive mechanism in which bone cells' modeling and remodeling activity is directly or indirectly influenced by their strain environment. 2. The mechano-responsive cells are most likely osteocytes and osteoblasts. Many studies show acute mechanically related changes in behavior of these cells in culture but many of these have not been related to the long term control of remodeling on which adaptive control of bone architecture depends. Not all bone cells' responses to mechanical stimuli are part of the cascade of responses involved in adaptive (re)modeling. The specific mechanical stimuli to which osteocytes and osteoblasts respond in vivo probably include changes in strain itself and strain generated changes in their fluid environment. Physiologic levels of bone strain have been demonstrated to be directly and indirectly involved in increasing the release of signaling molecules and anabolic growth factors, such as PGE2, PGI2, NO, and IGF-I and IGF-II, that stimulate bone cell proliferation and matrix formation. 3. The osteoregulatory nature of a natural strain regimen appears to be determined primarily by the peak strains achieved, the rate of strain change, and the extent to which the strain distribution is different from the normal strains to which the bone has adapted. Loading regimens producing high strains, high strain rates and unusual strain distributions appear to have a high osteoregulatory potential stimulating osteogenic responses and maintaining high bone mass. Static strains, strains which change slowly, and 'error-free' strains may have little or no osteoregulatory potential and may thus permit (if not engender) bone loss and low bone mass. 4. The positive osteoregulatory influence of a strain regimen is most effective during growth. Appropriate activity at this time can lead to a larger and more robust skeleton that can maintain its strength despite loss of bone tissue later in life. 5. The reduced ability to maintain bone strength in postmenopausal women is a failure of the normally adaptive response to mechanical strain under the conditions of the postmenopausal state. Evidence that early strain-related responses of bone cells involve the estrogen receptor could explain the decreased effectiveness of this pathway when estrogen receptor levels are low postmenopausally. The high strains assumed to be associated with low bone mass may downregulate ERα e…","author":[{"dropping-particle":"","family":"Ehrlich","given":"P. J.","non-dropping-particle":"","parse-names":false,"suffix":""},{"dropping-particle":"","family":"Lanyon","given":"L. E.","non-dropping-particle":"","parse-names":false,"suffix":""}],"container-title":"Osteoporosis International","id":"ITEM-1","issue":"9","issued":{"date-parts":[["2002"]]},"page":"688-700","title":"Mechanical strain and bone cell function: A review","type":"article-journal","volume":"13"},"uris":["http://www.mendeley.com/documents/?uuid=ec39b13a-be84-4960-800e-2e4d49da2ea6"]},{"id":"ITEM-2","itemData":{"ISSN":"0015-5640","author":[{"dropping-particle":"","family":"Hert","given":"J","non-dropping-particle":"","parse-names":false,"suffix":""},{"dropping-particle":"","family":"Lisková","given":"M","non-dropping-particle":"","parse-names":false,"suffix":""},{"dropping-particle":"","family":"Landa","given":"J","non-dropping-particle":"","parse-names":false,"suffix":""}],"container-title":"Folia morphologica","id":"ITEM-2","issue":"3","issued":{"date-parts":[["1971","8"]]},"page":"290—300","title":"Reaction of bone to mechanical stimuli. 1. Continuous and intermittent loading of tibia in rabbit","type":"article-journal","volume":"19"},"uris":["http://www.mendeley.com/documents/?uuid=87c54333-2cc4-4bb9-b25e-5cf79c7765dd"]}],"mendeley":{"formattedCitation":"&lt;sup&gt;40,41&lt;/sup&gt;","plainTextFormattedCitation":"40,41","previouslyFormattedCitation":"&lt;sup&gt;40,41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40,41</w:t>
      </w:r>
      <w:r w:rsidRPr="00875798">
        <w:rPr>
          <w:rFonts w:ascii="Helvetica" w:hAnsi="Helvetica" w:cs="Helvetica"/>
        </w:rPr>
        <w:fldChar w:fldCharType="end"/>
      </w:r>
      <w:r w:rsidRPr="00875798">
        <w:rPr>
          <w:rFonts w:ascii="Helvetica" w:hAnsi="Helvetica" w:cs="Helvetica"/>
        </w:rPr>
        <w:t xml:space="preserve">. Although some modest benefits to BMD have been reported with other forms of exercise that often involve static poses or slower movements, such as Tai Chi, yoga and Pilates </w:t>
      </w:r>
      <w:r w:rsidRPr="00875798">
        <w:rPr>
          <w:rFonts w:ascii="Helvetica" w:hAnsi="Helvetica" w:cs="Helvetica"/>
        </w:rPr>
        <w:fldChar w:fldCharType="begin" w:fldLock="1"/>
      </w:r>
      <w:r w:rsidRPr="00875798">
        <w:rPr>
          <w:rFonts w:ascii="Helvetica" w:hAnsi="Helvetica" w:cs="Helvetica"/>
        </w:rPr>
        <w:instrText>ADDIN CSL_CITATION {"citationItems":[{"id":"ITEM-1","itemData":{"DOI":"10.2147/CIA.S187588","ISBN":"4201707466","ISSN":"11781998","PMID":"30655662","abstract":"Purpose: The aim of this meta-analysis was to evaluate the efficacy of Tai chi (TC) as an adjuvant treatment for osteopenia and primary osteoporosis. Methods: We went through eight databases to identify relevant randomized controlled trials that compared TC with a control group. The primary outcome was osteoporosis-related fractures (fracture incidence). Meta-analyses and trial sequential analyses (TSA) were conducted using RevMan 5.3 and TSA 0.9. Results: Fifteen randomized controlled trials involving a total of 857 patients were included in the analyses. No trials reported primary outcome; however, bone mineral density (BMD) values differed significantly in subgroup 1 (TC vs no treatment; weighted mean difference [WMD] =0.05 g/cm 2 , 95% CI 0.03 to 0.07; P,0.00001; P for heterogeneity =0.22, I 2 =22%) and subgroup 2 (TC vs conventional treatments; WMD =0.16 g/cm 2 , 95% CI 0.11 to 0.21; P,0.00001; P for heterogeneity =0.008, I 2 =75%). In addition, two trials compared TC with conventional treatments, which found a significant difference in bone gla protein (standard-ized mean difference =-1.18, 95% CI-1.66 to-0.70; P,0.00001; P for heterogeneity =0.58, I 2 =75%). The results of the BMD were confirmed by TSA. Also, TC may have a certain effect on the relief of osteoporotic pain (WMD =-2.61, 95% CI-3.51 to-1.71; WMD =-1.39, 95% CI-2.01 to-0.77). However, it did not promote the quality of life, level of serum calcium, serum phosphorus, and also had no effect on bone turnover markers. Conclusion: Although there is no study monitoring fracture incidence, TC may be beneficial for patients in improving BMD values, level of bone gla protein, and relieving osteoporotic pain. However, due to the low methodological quality, current evidence for treating osteopenia and primary osteoporosis through TC is insufficient.","author":[{"dropping-particle":"","family":"Zhang","given":"Yili","non-dropping-particle":"","parse-names":false,"suffix":""},{"dropping-particle":"","family":"Chai","given":"Yan","non-dropping-particle":"","parse-names":false,"suffix":""},{"dropping-particle":"","family":"Pan","given":"Xiaojie","non-dropping-particle":"","parse-names":false,"suffix":""},{"dropping-particle":"","family":"Shen","given":"Hao","non-dropping-particle":"","parse-names":false,"suffix":""},{"dropping-particle":"","family":"Wei","given":"Xu","non-dropping-particle":"","parse-names":false,"suffix":""},{"dropping-particle":"","family":"Xie","given":"Yanming","non-dropping-particle":"","parse-names":false,"suffix":""}],"container-title":"Clinical Interventions in Aging","id":"ITEM-1","issued":{"date-parts":[["2019"]]},"page":"91-104","title":"Tai chi for treating osteopenia and primary osteoporosis: A meta-analysis and trial sequential analysis","type":"article-journal","volume":"14"},"uris":["http://www.mendeley.com/documents/?uuid=edb1e96f-5952-4534-abfd-df9ac3440634"]},{"id":"ITEM-2","itemData":{"DOI":"10.3390/ijerph14091000","ISSN":"16604601","PMID":"28862661","abstract":"Objective: The purpose of this study was to determine the effects of practicing Taichi on attenuating bone mineral density (BMD) loss. Methods: Both electronic and manual searches were performed for randomized controlled trials (RCTs) examining Taichi for bone health. Two review authors independently performed study selection and data extraction according to inclusion criteria. A third party (Lin Luo) emerged to discuss with the two review authors and resolve a disagreement. Results: Twenty RCTs were found to meet the inclusion criteria and used for meta</w:instrText>
      </w:r>
      <w:r w:rsidRPr="00875798">
        <w:rPr>
          <w:rFonts w:ascii="Cambria Math" w:hAnsi="Cambria Math" w:cs="Cambria Math"/>
        </w:rPr>
        <w:instrText>‐</w:instrText>
      </w:r>
      <w:r w:rsidRPr="00875798">
        <w:rPr>
          <w:rFonts w:ascii="Helvetica" w:hAnsi="Helvetica" w:cs="Helvetica"/>
        </w:rPr>
        <w:instrText>analysis with a total effective sample of 1604. The aggregated results from this systematic review have shown significant benefits in favour of Taichi on BMD at lumbar spine (Standard Mean Difference, SMD) = 0.29; 95% CI 0.15 to 0.43; p &lt; 0.0001), femur neck (SMD = 0.56; 95% CI 0.38 to 0.75; p &lt; 0.00001), femur trochanter (SMD = 0.04; 95% CI 0.01 to 0.07; p = 0.007), total hip BMD (SMD = 0.46; 95% CI 0.16 to 0.76; p = 0.003). Conclusions: The aggregated results from this systematic review suggests that Taichi is effective on attenuating BMD loss at the regions of lumbar spine and proximal femur neck in special populations (e.g., older adults, perimenopausal and postmenopausal women, people with osteoarthritis, and cancer survivors). Researchers should further examine the effect of Taichi on the proximal femur trochanter and total hip so that a more definitive claim can be made regarding the beneficial effects for attenuating BMD loss in these musculoskeletal regions.","author":[{"dropping-particle":"","family":"Zou","given":"Liye","non-dropping-particle":"","parse-names":false,"suffix":""},{"dropping-particle":"","family":"Wang","given":"Chaoyi","non-dropping-particle":"","parse-names":false,"suffix":""},{"dropping-particle":"","family":"Chen","given":"Kevin","non-dropping-particle":"","parse-names":false,"suffix":""},{"dropping-particle":"","family":"Shu","given":"Yankai","non-dropping-particle":"","parse-names":false,"suffix":""},{"dropping-particle":"","family":"Chen","given":"Xiaoan","non-dropping-particle":"","parse-names":false,"suffix":""},{"dropping-particle":"","family":"Luo","given":"Lin","non-dropping-particle":"","parse-names":false,"suffix":""},{"dropping-particle":"","family":"Zhao","given":"Xitang","non-dropping-particle":"","parse-names":false,"suffix":""}],"container-title":"International Journal of Environmental Research and Public Health","id":"ITEM-2","issue":"9","issued":{"date-parts":[["2017"]]},"title":"The effect of Taichi practice on attenuating bone mineral density loss: A systematic review and meta</w:instrText>
      </w:r>
      <w:r w:rsidRPr="00875798">
        <w:rPr>
          <w:rFonts w:ascii="Cambria Math" w:hAnsi="Cambria Math" w:cs="Cambria Math"/>
        </w:rPr>
        <w:instrText>‐</w:instrText>
      </w:r>
      <w:r w:rsidRPr="00875798">
        <w:rPr>
          <w:rFonts w:ascii="Helvetica" w:hAnsi="Helvetica" w:cs="Helvetica"/>
        </w:rPr>
        <w:instrText>analysis of randomized controlled trials","type":"article-journal","volume":"14"},"uris":["http://www.mendeley.com/documents/?uuid=6147b312-a8d0-4dae-b776-69a0ef8c13a9"]}],"mendeley":{"formattedCitation":"&lt;sup&gt;42,43&lt;/sup&gt;","plainTextFormattedCitation":"42,43","previouslyFormattedCitation":"&lt;sup&gt;42,43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42,43</w:t>
      </w:r>
      <w:r w:rsidRPr="00875798">
        <w:rPr>
          <w:rFonts w:ascii="Helvetica" w:hAnsi="Helvetica" w:cs="Helvetica"/>
        </w:rPr>
        <w:fldChar w:fldCharType="end"/>
      </w:r>
      <w:r w:rsidRPr="00875798">
        <w:rPr>
          <w:rFonts w:ascii="Helvetica" w:hAnsi="Helvetica" w:cs="Helvetica"/>
        </w:rPr>
        <w:t xml:space="preserve">, evidence is limited and weak </w:t>
      </w:r>
      <w:r w:rsidRPr="00875798">
        <w:rPr>
          <w:rFonts w:ascii="Helvetica" w:hAnsi="Helvetica" w:cs="Helvetica"/>
        </w:rPr>
        <w:fldChar w:fldCharType="begin" w:fldLock="1"/>
      </w:r>
      <w:r w:rsidRPr="00875798">
        <w:rPr>
          <w:rFonts w:ascii="Helvetica" w:hAnsi="Helvetica" w:cs="Helvetica"/>
        </w:rPr>
        <w:instrText>ADDIN CSL_CITATION {"citationItems":[{"id":"ITEM-1","itemData":{"DOI":"10.3233/BMR-150604","ISSN":"18786324","PMID":"26406222","abstract":"OBJECTIVE: The aim of this study was to investigate effects of Clinical Pilates Exercises on bone mineral density (BMD), physical performance and quality of life (QOL) in postmenopausal osteoporosis. METHODS: Forty-one women were recruited to the study. The subjects were divided into two groups, as the Pilates group and the control group. Subjects were evaluated for BMD at the lumbar region. Physical performance level was measured. Pain intensity level was scored with Visual Analogue Scale. QUALEFFO-41 was used for assessing QOL. RESULTS: BMD values increased in the Pilates group (p &lt; 0.05), while BMD decreased in the control group (p &lt; 0.05). Physical performance test results showed significant increases in the Pilates group (p &lt; 0.05) whereas there was no changes in the control group (p &gt; 0.05). Pain intensity level in the Pilates group was significantly decreased after the exercise (p &lt; 0.05), while it was unchanged in the control group. There were significant increases in all parameters of QOL in the Pilates group. Conversely, some parameters of QOL showed decreases in the control group (p &lt; 0.05). CONCLUSIONS: Pilates Exercises is effective to increase BMD; QOL and walking distance and also beneficial to relieve pain. Physiotherapist can use Pilates Exercises for the subjects with osteoporosis in the clinics.","author":[{"dropping-particle":"","family":"Angin","given":"Ender","non-dropping-particle":"","parse-names":false,"suffix":""},{"dropping-particle":"","family":"Erden","given":"Zafer","non-dropping-particle":"","parse-names":false,"suffix":""},{"dropping-particle":"","family":"Can","given":"Filiz","non-dropping-particle":"","parse-names":false,"suffix":""}],"container-title":"Journal of Back and Musculoskeletal Rehabilitation","id":"ITEM-1","issue":"4","issued":{"date-parts":[["2015"]]},"page":"849-858","title":"The effects of clinical pilates exercises on bone mineral density, physical performance and quality of life of women with postmenopausal osteoporosis","type":"article-journal","volume":"28"},"uris":["http://www.mendeley.com/documents/?uuid=bdc90078-b2b9-4e8d-ac02-5234ee901739"]},{"id":"ITEM-2","itemData":{"DOI":"10.1007/s00198-016-3626-3","ISSN":"14332965","PMID":"27216996","abstract":"Tai chi exercise may have positive effects on bone health in perimenopausal and postmenopausal women. This systematic review is the first to summarize evidence to clarify the efficacy of tai chi exercise in bone health. The benefits of tai chi exercise on bone health remain unclear; further studies are needed. Emerging randomized controlled trials (RCTs) exploring the efficacy of tai chi exercise on bone health among older women, but yielded inconclusive results. Our objective is to conduct a systematic review to evaluate evidence from RCTs to clarify the efficacy of tai chi exercise on bone mineral density (BMD), and bone turnover markers (BTM) in perimenopausal and postmenopausal women. Six electronic databases were searched, and reference lists of systematic reviews and identified studies from the search strategy were also screened. We included all RCTs that investigate tai chi exercise for bone health in perimenopausal and postmenopausal women. Data selection, extraction, and evaluation of risk of bias were performed independently by two reviewers. Ten trials detailed in 11 articles were included. Six of the 11 studies reported positive outcomes on bone health. Results of our meta-analysis showed a significant effect of tai chi exercise on BMD change at the spine compared with no treatment in perimenopausal and postmenopausal women. When tai chi exercise combined with a calcium supplement was compared with the calcium supplement alone, the result of BMD change at the spine showed no significant effect. Because the measurable effect observed was minimal, and due to the low quality of methodology of the studies, we conclude that the result is of limited reliability. Tai chi exercise may have benefits on bone health in perimenopausal and postmenopausal women, but the evidence is sometimes weak, poor, and inconsistent. Consequently, only limited conclusions can be drawn regarding the efficacy of tai chi exercise on bone health. Further well designed studies with low risk of bias are needed.","author":[{"dropping-particle":"","family":"Sun","given":"Z.","non-dropping-particle":"","parse-names":false,"suffix":""},{"dropping-particle":"","family":"Chen","given":"H.","non-dropping-particle":"","parse-names":false,"suffix":""},{"dropping-particle":"","family":"Berger","given":"M. R.","non-dropping-particle":"","parse-names":false,"suffix":""},{"dropping-particle":"","family":"Zhang","given":"L.","non-dropping-particle":"","parse-names":false,"suffix":""},{"dropping-particle":"","family":"Guo","given":"H.","non-dropping-particle":"","parse-names":false,"suffix":""},{"dropping-particle":"","family":"Huang","given":"Y.","non-dropping-particle":"","parse-names":false,"suffix":""}],"container-title":"Osteoporosis International","id":"ITEM-2","issue":"10","issued":{"date-parts":[["2016"]]},"page":"2901-2911","publisher":"Osteoporosis International","title":"Effects of tai chi exercise on bone health in perimenopausal and postmenopausal women: a systematic review and meta-analysis","type":"article-journal","volume":"27"},"uris":["http://www.mendeley.com/documents/?uuid=c6083be0-d22f-4cdd-aed4-9607e48c27bb"]},{"id":"ITEM-3","itemData":{"ISSN":"13032968","PMID":"26664272","abstract":"Although Yoga has the potential to be an alternative physical activity to enhance bone health, there is a lack of high quality evidence for this type of intervention. The purpose of this ran-domized controlled trial was to examine the effects of a progres-sive 8-month Ashtanga-based Yoga program on bone turnover markers (BTM), areal bone mineral density (aBMD) and volu-metric bone characteristics in premenopausal women. Thirty-four premenopausal women (35-50 years) were randomly as-signed either to a Yoga group (YE, n = 16) or a control group (CON, n = 18). Participants in YE group performed 60 minutes of an Ashtanga-based Yoga series 2 times/week with one day between sessions for 8 months, and the session intensity was progressively increased by adding the number of sun salutations (SS). Participants in CON were encouraged to maintain their normal daily lifestyles monitored by the bone specific physical activity questionnaire (BPAQ) at 2 month intervals for 8 months. Body composition was measured by dual energy x-ray absorptiometry (DXA). Bone formation (bone alkaline phospha-tase, Bone ALP) and bone resorption (Tartrate-Resistant Acid Phosphatase-5b, TRAP5b) markers were assessed at baseline and after 8 months. aBMD of total body, lumbar spine and dual proximal femur and tibia bone characteristics were measured using DXA and peripheral Quantitative Computed Tomography (pQCT), respectively. We found that the serum Bone ALP concentrations were maintained in YE, but significantly (p = 0.005) decreased in CON after the 8 month intervention, and there were significant (p = 0.002) group differences in Bone ALP percent changes (YE 9.1 ± 4.0% vs. CON -7.1 ± 2.3%). No changes in TRAP5b were found in either group. The 8-month Yoga program did not increase aBMD or tibia bone strength variables. Body composition results showed no changes in weight, fat mass, or % fat, but small significant increases in bone free lean body mass occurred in both groups. The findings of this study suggest that regular long-term Ashtanga Yoga had a small positive effect on bone formation but did not alter aBMD or tibia bone characteristics in premenopausal women.","author":[{"dropping-particle":"","family":"Kim","given":"So Jung","non-dropping-particle":"","parse-names":false,"suffix":""},{"dropping-particle":"","family":"Bemben","given":"Michael G.","non-dropping-particle":"","parse-names":false,"suffix":""},{"dropping-particle":"","family":"Knehans","given":"Allen W.","non-dropping-particle":"","parse-names":false,"suffix":""},{"dropping-particle":"","family":"Bemben","given":"Debra A.","non-dropping-particle":"","parse-names":false,"suffix":""}],"container-title":"Journal of Sports Science and Medicine","id":"ITEM-3","issue":"4","issued":{"date-parts":[["2015"]]},"page":"756-768","title":"Effects of an 8-month ashtanga-based yoga intervention on bone metabolism in middle-aged premenopausal women: A randomized controlled study","type":"article-journal","volume":"14"},"uris":["http://www.mendeley.com/documents/?uuid=d1ac28e7-5b81-47e7-85c2-686dcc28dccd"]}],"mendeley":{"formattedCitation":"&lt;sup&gt;44–46&lt;/sup&gt;","plainTextFormattedCitation":"44–46","previouslyFormattedCitation":"&lt;sup&gt;44–46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44–46</w:t>
      </w:r>
      <w:r w:rsidRPr="00875798">
        <w:rPr>
          <w:rFonts w:ascii="Helvetica" w:hAnsi="Helvetica" w:cs="Helvetica"/>
        </w:rPr>
        <w:fldChar w:fldCharType="end"/>
      </w:r>
      <w:r w:rsidRPr="00875798">
        <w:rPr>
          <w:rFonts w:ascii="Helvetica" w:hAnsi="Helvetica" w:cs="Helvetica"/>
        </w:rPr>
        <w:t>. These exercise modes may have some benefits (and risks) to outcomes other than BMD however, as discussed later.</w:t>
      </w:r>
    </w:p>
    <w:p w14:paraId="66175A7A"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Weightbearing/impact exercise</w:t>
      </w:r>
    </w:p>
    <w:p w14:paraId="28F6DF8D"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Weightbearing exercise involves the skeleton bearing the body weight during dynamic movement involving impact with the ground, and resultant ground reaction forces. Examples include walking, running, dancing, jumping and many weightbearing sports. The intensity of impact exercise is often defined by the magnitude of ground reaction forces sustained (although it is important to note that this does not include the concomitant muscle generated forces acting on bone). As the magnitude of forces will vary proportionately with body weight, impact forces may be expressed in multiples of body weight (BW). </w:t>
      </w:r>
    </w:p>
    <w:p w14:paraId="21EAE6E9"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According to a Cochrane review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high force dynamic weightbearing exercise such as jumping, skipping, aerobic dance (activities typically generating ground reaction forces &gt;2BW) benefitted BMD of the hip and trochanter, but not spine and femoral neck; although this grouping included also whole body vibration training, which may provide very low gravitational loading. High impact exercise also increased hip but not spine BMD in premenopausal women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xml:space="preserve"> and older 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{"citationItems":[{"id":"ITEM-1","itemData":{"DOI":"10.1016/j.bone.2012.12.045","ISBN":"8756-3282","ISSN":"87563282","PMID":"23291565","abstract":"Introduction: There is little evidence as to whether exercise can increase BMD in older men with no investigation of high impact exercise. Lifestyle changes and individual variability may confound exercise trials but can be minimised using a within-subject unilateral design (exercise leg [EL] vs. control leg [CL]) that has high statistical power. Purpose: This study investigated the influence of a 12. month high impact unilateral exercise intervention on femoral neck BMD in older men. Methods: Fifty, healthy, community-dwelling older men commenced a 12. month high impact unilateral exercise intervention which increased to 50 multidirectional hops, 7. days a week on one randomly allocated leg. BMD of both femurs was measured using dual energy X-ray absorptiometry (DXA) before and after 12. months of exercise, by an observer blind to the leg allocation. Repeated measures ANOVA with post hoc tests was used to detect significant effects of time, leg and interaction. Results: Thirty-five men (mean ± SD, age 69.9 ± 4.0. years) exercised for 12. months and intervention adherence was 90.5 ± 9.1% (304 ± 31 sessions completed out of 336 prescribed sessions). Fourteen men did not complete the 12. month exercise intervention due to: health problems or injuries unrelated to the intervention (n = 9), time commitments (n = 2), or discomfort during exercise (n = 3), whilst BMD data were missing for one man. Femoral neck BMD, BMC and cross-sectional area all increased in the EL (+ 0.7, + 0.9 and + 1.2 % respectively) compared to the CL (-0.9,. 0.4 and. 1.2%); interaction effect P&lt;0.05. Although the interaction term was not significant (P&gt;0.05), there were significant main effects of time for section modulus (P=0.044) and minimum neck width (P = 0.006). Section modulus increased significantly in the EL (P = 0.016) but not in the CL (P = 0.465); mean change + 2.3% and + 0.7% respectively, whereas minimum neck width increased significantly in the CL (P = 0.004) but not in the EL (P = 0.166); mean changes being + 0.7% and + 0.3% respectively. Conclusion: A 12. month high impact unilateral exercise intervention was feasible and effective for improving femoral neck BMD, BMC and geometry in older men. Carefully targeted high impact exercises may be suitable for incorporation into exercise interventions aimed at preventing fractures in healthy community-dwelling older men. © 2013 Elsevier Inc.","author":[{"dropping-particle":"","family":"Allison","given":"Sarah J.","non-dropping-particle":"","parse-names":false,"suffix":""},{"dropping-particle":"","family":"Folland","given":"Jonathan P.","non-dropping-particle":"","parse-names":false,"suffix":""},{"dropping-particle":"","family":"Rennie","given":"Winston J.","non-dropping-particle":"","parse-names":false,"suffix":""},{"dropping-particle":"","family":"Summers","given":"Gregory D.","non-dropping-particle":"","parse-names":false,"suffix":""},{"dropping-particle":"","family":"Brooke-Wavell","given":"Katherine","non-dropping-particle":"","parse-names":false,"suffix":""}],"container-title":"Bone","id":"ITEM-1","issue":"2","issued":{"date-parts":[["2013"]]},"page":"321-328","publisher":"Elsevier Inc.","title":"High impact exercise increased femoral neck bone mineral density in older men: A randomised unilateral intervention","type":"article-journal","volume":"53"},"uris":["http://www.mendeley.com/documents/?uuid=41032302-8320-4d10-91e0-8477e092fe11"]}],"mendeley":{"formattedCitation":"&lt;sup&gt;47&lt;/sup&gt;","plainTextFormattedCitation":"47","previouslyFormattedCitation":"&lt;sup&gt;47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47</w:t>
      </w:r>
      <w:r w:rsidRPr="00875798">
        <w:rPr>
          <w:rFonts w:ascii="Helvetica" w:hAnsi="Helvetica" w:cs="Helvetica"/>
        </w:rPr>
        <w:fldChar w:fldCharType="end"/>
      </w:r>
      <w:r w:rsidRPr="00875798">
        <w:rPr>
          <w:rFonts w:ascii="Helvetica" w:hAnsi="Helvetica" w:cs="Helvetica"/>
        </w:rPr>
        <w:t xml:space="preserve">. Odd impact protocols (i.e. involving multidirectional movements) increased BMD at lumbar spine and femoral neck in older adults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issue":"6","issued":{"date-parts":[["2012"]]},"page":"1493-1515","title":"Exercise effects on bone mineral density in older adults: A meta-analysis of randomized controlled trials","type":"article-journal","volume":"34"},"uris":["http://www.mendeley.com/documents/?uuid=b0585b0a-e240-4050-b348-af1560b4cd63"]}],"mendeley":{"formattedCitation":"&lt;sup&gt;13&lt;/sup&gt;","plainTextFormattedCitation":"13","previouslyFormattedCitation":"&lt;sup&gt;21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w:t>
      </w:r>
      <w:r w:rsidRPr="00875798">
        <w:rPr>
          <w:rFonts w:ascii="Helvetica" w:hAnsi="Helvetica" w:cs="Helvetica"/>
        </w:rPr>
        <w:fldChar w:fldCharType="end"/>
      </w:r>
      <w:r w:rsidRPr="00875798">
        <w:rPr>
          <w:rFonts w:ascii="Helvetica" w:hAnsi="Helvetica" w:cs="Helvetica"/>
        </w:rPr>
        <w:t xml:space="preserve">. Low force weightbearing activity such as walking and low impact aerobics (that may typically incur ground reaction forces of ~1-2BW) benefitted BMD at the spine but not hip sites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although no significant effects of low impact exercise were reported in a meta-analysis focussing on older adults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-1","issue":"6","issued":{"date-parts":[["2012"]]},"page":"1493-1515","title":"Exercise effects on bone mineral density in older adults: A meta-analysis of randomized controlled trials","type":"article-journal","volume":"34"},"uris":["http://www.mendeley.com/documents/?uuid=b0585b0a-e240-4050-b348-af1560b4cd63"]}],"mendeley":{"formattedCitation":"&lt;sup&gt;13&lt;/sup&gt;","plainTextFormattedCitation":"13","previouslyFormattedCitation":"&lt;sup&gt;21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w:t>
      </w:r>
      <w:r w:rsidRPr="00875798">
        <w:rPr>
          <w:rFonts w:ascii="Helvetica" w:hAnsi="Helvetica" w:cs="Helvetica"/>
        </w:rPr>
        <w:fldChar w:fldCharType="end"/>
      </w:r>
      <w:r w:rsidRPr="00875798">
        <w:rPr>
          <w:rFonts w:ascii="Helvetica" w:hAnsi="Helvetica" w:cs="Helvetica"/>
        </w:rPr>
        <w:t xml:space="preserve"> whilst walking alone produced modest benefits at the hip in some but not all meta-analyses </w:t>
      </w:r>
      <w:r w:rsidRPr="00875798">
        <w:rPr>
          <w:rFonts w:ascii="Helvetica" w:hAnsi="Helvetica" w:cs="Helvetica"/>
        </w:rPr>
        <w:fldChar w:fldCharType="begin" w:fldLock="1"/>
      </w:r>
      <w:r w:rsidRPr="00875798">
        <w:rPr>
          <w:rFonts w:ascii="Helvetica" w:hAnsi="Helvetica" w:cs="Helvetica"/>
        </w:rPr>
        <w:instrText>ADDIN CSL_CITATION {"citationItems":[{"id":"ITEM-1","itemData":{"DOI":"10.1519/00139143-200512000-00006","ISSN":"15398412","PMID":"16386172","abstract":"BACKGROUND AND PURPOSE: Osteoporosis, a common disease in postmenopausal women and the elderly, is associated with decreases in bone mineral density (BMD) and fractures. As weight-bearing activity such as walking has the potential to maintain or increase BMD, I sought in this meta-analysis to mathematically consolidate research on the effects of walking interventions on BMD. METHODS: A literature search for studies examining the effect of walking on BMD in postmenopausal women and men and women aged 50 years and older was conducted. Search strategies included online literature searches, hand-searches of journals, and examination of the reference lists of articles selected for inclusion. Effect sizes were calculated for each article selected for inclusion and a meta-analysis was conducted for these articles. RESULTS: Ten articles met the inclusion criteria for the meta-analysis. Walking had a significant (P &lt; or = .03) positive effect (.32) on lumbar BMD but not on the femur or the calcaneus. DISCUSSION AND CONCLUSION: The results of this meta-analysis do not suggest that walking interventions alone will limit demineralization at all skeletal sites. Perhaps other forms of exercise in addition to walking should be incorporated into training regimens for patients at risk for osteoporosis.","author":[{"dropping-particle":"","family":"Palombaro","given":"Kerstin M.","non-dropping-particle":"","parse-names":false,"suffix":""}],"container-title":"Journal of geriatric physical therapy (2001)","id":"ITEM-1","issue":"3","issued":{"date-parts":[["2005"]]},"page":"102-107","title":"Effects of walking-only interventions on bone mineral density at various skeletal sites: a meta-analysis.","type":"article-journal","volume":"28"},"uris":["http://www.mendeley.com/documents/?uuid=eac2dcca-f4e0-4817-9bfc-61ded888504a"]},{"id":"ITEM-2","itemData":{"abstract":"Objective This study aims to critically evaluate the effects of a walking intervention on bone mineral density (BMD) in perimenopausal and postmenopausal women and to identify the optimal duration of this walking exercise intervention. Methods Two independent reviewers assessed for eligibility randomized and nonrandomized controlled trials evaluating the effects of walking on BMD in perimenopausal and postmenopausal women. Heterogeneity, potential publication bias, and the quality of the included trials were assessed. Results Ten trials were eligible for inclusion. A meta-analysis of trials assessing lumbar spine BMD showed no significant effects (weighted mean difference [WMD] [fixed effects], 0.01 g/cm2; 95% CI, −0.00 to 0.02; P = 0.05) regardless of the length of the intervention duration. BMD at the femoral neck increased after long intervention durations (6 mo to 1-2 y), although no significant effect could be seen when all trials assessing femoral neck BMD were taken into account (WMD [fixed effects], 0.01 g/cm2; 95% CI, −0.00 to 0.01; P = 0.07). The effects of walking on the radius and whole body were not significant (WMD [random effects], −0.01 g/cm2; 95% CI, −0.06 to 0.04; P = 0.71; and WMD [fixed effects], 0.04 g/cm2; 95% CI, −0.00 to 0.08; P = 0.06, respectively). Conclusions Walking as a singular exercise therapy has no significant effects on BMD at the lumbar spine, at the radius, or for the whole body in perimenopausal and postmenopausal women, although significant and positive effects on femoral neck BMD in this","author":[{"dropping-particle":"","family":"Ma","given":"Di","non-dropping-particle":"","parse-names":false,"suffix":""},{"dropping-particle":"","family":"Wu","given":"Liping","non-dropping-particle":"","parse-names":false,"suffix":""},{"dropping-particle":"","family":"He","given":"Zhong","non-dropping-particle":"","parse-names":false,"suffix":""}],"container-title":"Menopause","id":"ITEM-2","issue":"11","issued":{"date-parts":[["2013"]]},"page":"1216-1226","title":"Effects of walking on the preservation of bone mineral density in perimenopausal and postmenopausal women: a systematic review and meta-analysis","type":"article-journal","volume":"20"},"uris":["http://www.mendeley.com/documents/?uuid=69491b7c-ea77-404b-82e3-fc8aea34804d"]},{"id":"ITEM-3","itemData":{"DOI":"10.1016/j.bone.2008.05.012","ISSN":"87563282","PMID":"18602880","abstract":"Whilst exercise is recommended for optimum bone health in adult women, there are few systematic reviews of the efficacy of walking as singular exercise therapy for postmenopausal bone loss. The aim of this study was to assess the effects of prescribed walking programmes on bone mineral density (BMD) at the hip and spine in postmenopausal women and to determine if effects are modified by variations in protocol design. We undertook a systematic review and meta-analysis of randomised (RCTs) and non-randomised controlled trials. Electronic bibliographic databases, key journals and reference lists of reviews and articles were searched to identify studies for inclusion. Randomised and non-randomised controlled trials assessing the effects of walking on lumbar spine, femoral neck and total hip BMD, measured by radiographic techniques, among sedentary postmenopausal women were eligible for inclusion. Two independent reviewers assessed studies for eligibility. Reported absolute BMD outcomes were combined in the analysis. Weighted mean differences (WMD) were calculated using a fixed and random-effects models. Heterogeneity among trials was examined using the Q statistic and I2 methods. Potential publication bias was assessed through funnel plot inspection. Assessment of trial quality was also performed using the widely used instrument devised by Jadad et al. [Jadad AR, Moore RA, Carroll D, Jenkinson C, Reynolds DJM, Gavaghan DJ, et al. Assessing the quality of reports of randomized clinical trials: Is blinding necessary? Cont Clin Trials 1996; 17:1-12]. Eight trials were eligible for inclusion. Treatment duration ranged from 6 to 24 months. All eight trials reported BMD data at the lumbar spine following walking interventions among postmenopausal women. Meta-analysis showed no significant change in BMD at this site [WMD (fixed-effect) 0.007 g/cm2 95% CI (- 0.001 to 0.016); P = 0.09)]. BMD data at the femoral neck were available from five trials among postmenopausal women. Results were inconsistent (I2 = 51.4%) in showing a positive effect of walking on BMD at this site [WMD (random-effects) 0.014 g/cm2 95% CI (0.000 to 0.028); P = 0.05). Insufficient data were available for meta-analysis of the total hip site. Funnel plots showed some asymmetry for negative lumbar spine BMD outcomes. Trial quality scores ranged from 0 to 3 from the Jadad scale of 0 to 5. We conclude that regular walking has no significant effect on preservation of BMD at the spine in postmenopaus…","author":[{"dropping-particle":"","family":"Martyn-St James","given":"Marrissa","non-dropping-particle":"","parse-names":false,"suffix":""},{"dropping-particle":"","family":"Carroll","given":"Sean","non-dropping-particle":"","parse-names":false,"suffix":""}],"container-title":"Bone","id":"ITEM-3","issue":"3","issued":{"date-parts":[["2008"]]},"page":"521-531","title":"Meta-analysis of walking for preservation of bone mineral density in postmenopausal women","type":"article-journal","volume":"43"},"uris":["http://www.mendeley.com/documents/?uuid=63939eba-b2ae-42b4-84ff-a9550d9a0c17"]}],"mendeley":{"formattedCitation":"&lt;sup&gt;14,48,49&lt;/sup&gt;","plainTextFormattedCitation":"14,48,49","previouslyFormattedCitation":"&lt;sup&gt;22,48,49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14,48,49</w:t>
      </w:r>
      <w:r w:rsidRPr="00875798">
        <w:rPr>
          <w:rFonts w:ascii="Helvetica" w:hAnsi="Helvetica" w:cs="Helvetica"/>
        </w:rPr>
        <w:fldChar w:fldCharType="end"/>
      </w:r>
      <w:r w:rsidRPr="00875798">
        <w:rPr>
          <w:rFonts w:ascii="Helvetica" w:hAnsi="Helvetica" w:cs="Helvetica"/>
        </w:rPr>
        <w:t xml:space="preserve">.  One biomechanical analysis suggests that walking must be at brisk pace to stimulate improvements </w:t>
      </w:r>
      <w:r w:rsidRPr="00875798">
        <w:rPr>
          <w:rFonts w:ascii="Helvetica" w:hAnsi="Helvetica" w:cs="Helvetica"/>
        </w:rPr>
        <w:fldChar w:fldCharType="begin" w:fldLock="1"/>
      </w:r>
      <w:r w:rsidRPr="00875798">
        <w:rPr>
          <w:rFonts w:ascii="Helvetica" w:hAnsi="Helvetica" w:cs="Helvetica"/>
        </w:rPr>
        <w:instrText>ADDIN CSL_CITATION {"citationItems":[{"id":"ITEM-1","itemData":{"DOI":"10.1371/journal.pone.0195463","ISBN":"1111111111","ISSN":"19326203","PMID":"29617448","abstract":"The current study aimed to assess the potential of different exercises triggering an osteogenic response at the femoral neck in a group of postmenopausal women. The osteogenic potential was determined by ranking the peak hip contact forces (HCFs) and consequent peak tensile and compressive strains at the superior and inferior part of the femoral neck during activities such as (fast) walking, running and resistance training exercises. Results indicate that fast walking (5–6 km/h) running and hopping induced significantly higher strains at the femoral neck than walking at 4 km/h which is considered a baseline exercise for bone preservation. Exercises with a high fracture risk such as hopping, need to be considered carefully especially in a frail elderly population and May therefore not be suitable as a training exercise. Since superior femoral neck frailness is related to elevated hip fracture risk, exercises such as fast walking (above 5 km/h) and running can be highly recommended to stimulate this particular area. Our results suggest that a training program including fast walking (above 5 km/h) and running exercises May increase or preserve the bone mineral density (BMD) at the femoral neck.","author":[{"dropping-particle":"","family":"Pellikaan","given":"Pim","non-dropping-particle":"","parse-names":false,"suffix":""},{"dropping-particle":"","family":"Giarmatzis","given":"Georgios","non-dropping-particle":"","parse-names":false,"suffix":""},{"dropping-particle":"","family":"Sloten","given":"Jos","non-dropping-particle":"Vander","parse-names":false,"suffix":""},{"dropping-particle":"","family":"Verschueren","given":"Sabine","non-dropping-particle":"","parse-names":false,"suffix":""},{"dropping-particle":"","family":"Jonkers","given":"Ilse","non-dropping-particle":"","parse-names":false,"suffix":""}],"container-title":"PLoS ONE","id":"ITEM-1","issue":"4","issued":{"date-parts":[["2018"]]},"page":"1-18","title":"Ranking of osteogenic potential of physical exercises in postmenopausal women based on femoral neck strains","type":"article-journal","volume":"13"},"uris":["http://www.mendeley.com/documents/?uuid=95ebb531-dcbb-4c5d-a884-a6324413d5d7"]}],"mendeley":{"formattedCitation":"&lt;sup&gt;50&lt;/sup&gt;","plainTextFormattedCitation":"50","previouslyFormattedCitation":"&lt;sup&gt;50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50</w:t>
      </w:r>
      <w:r w:rsidRPr="00875798">
        <w:rPr>
          <w:rFonts w:ascii="Helvetica" w:hAnsi="Helvetica" w:cs="Helvetica"/>
        </w:rPr>
        <w:fldChar w:fldCharType="end"/>
      </w:r>
      <w:r w:rsidRPr="00875798">
        <w:rPr>
          <w:rFonts w:ascii="Helvetica" w:hAnsi="Helvetica" w:cs="Helvetica"/>
        </w:rPr>
        <w:t xml:space="preserve">. However, brisk walking may increase risk of falls in those with a high falls risk </w:t>
      </w:r>
      <w:r w:rsidRPr="00875798">
        <w:rPr>
          <w:rFonts w:ascii="Helvetica" w:hAnsi="Helvetica" w:cs="Helvetica"/>
        </w:rPr>
        <w:fldChar w:fldCharType="begin" w:fldLock="1"/>
      </w:r>
      <w:r w:rsidRPr="00875798">
        <w:rPr>
          <w:rFonts w:ascii="Helvetica" w:hAnsi="Helvetica" w:cs="Helvetica"/>
        </w:rPr>
        <w:instrText>ADDIN CSL_CITATION {"citationItems":[{"id":"ITEM-1","itemData":{"ISSN":"0002-0729","PMID":"9271287","abstract":"OBJECTIVE to evaluate the effects of brisk walking on bone mineral density in women who had suffered an upper limb fracture. DESIGN randomized placebo-controlled trial. Assessments of bone mineral density were made before and at 1 and 2 years after intervention. Standardized and validated measures of physical capacity, self-rated health status and falls were used. SETTING district general hospital outpatient department. SUBJECTS 165 women drawn from local accident and emergency departments with a history of fracture of an upper limb in the previous 2 years. Women were randomly allocated to intervention (self-paced brisk walking) or placebo (upper limb exercises) groups. INTERVENTION both groups were seen at 3-monthly intervals to assess progress, measure physical capacity and maintain enthusiasm. The brisk-walking group were instructed to progressively increase the amount and speed of walking in a manner that suited them. The upper limb exercise placebo group were asked to carry out a series of exercises designed to improve flexibility and fine hand movements, appropriate for a past history of upper limb fracture. RESULTS drop-outs from both intervention and placebo groups were substantial (41%), although there were no significant differences in bone mineral density, physical capacity or health status between drop-outs and participants. At 2 years, among those completing the trial, bone mineral density at the femoral neck had fallen in the placebo group to a greater extent than in the brisk-walking group [mean net difference between intervention and placebo groups 0.019 g/cm2, 95% confidence interval (CI) -0.0026 to +0.041 g/cm2, P = 0.056]. Lumbar spine bone mineral density had increased to a similar extent (+0.017 g/cm2) in both groups. The cumulative risk of falls was higher in the brisk-walking group (excess risk of 15 per 100 person-years, 95% CI 1.4-29 per 100 person-years, P &lt; 0.05). There were no significant differences in clinical or spinal x-ray fracture risk or self-rated health status between intervention and placebo groups. CONCLUSION the promotion of exercise through brisk-walking advice given by nursing staff may have a small, but clinically important, impact on bone mineral density but is associated with an increased risk of falls. Self-paced brisk walking is difficult to evaluate in randomized controlled trials because of drop-outs, placebo group exercise, limited compliance and lack of standardization of the duration and intensity of w…","author":[{"dropping-particle":"","family":"Ebrahim","given":"S","non-dropping-particle":"","parse-names":false,"suffix":""},{"dropping-particle":"","family":"Thompson","given":"P W","non-dropping-particle":"","parse-names":false,"suffix":""},{"dropping-particle":"","family":"Baskaran","given":"V","non-dropping-particle":"","parse-names":false,"suffix":""},{"dropping-particle":"","family":"Evans","given":"K","non-dropping-particle":"","parse-names":false,"suffix":""}],"container-title":"Age and ageing","id":"ITEM-1","issue":"4","issued":{"date-parts":[["1997","7"]]},"page":"253-60","title":"Randomized placebo-controlled trial of brisk walking in the prevention of postmenopausal osteoporosis.","type":"article-journal","volume":"26"},"uris":["http://www.mendeley.com/documents/?uuid=de42399e-ce50-4b33-92ef-be2fc846a06a"]}],"mendeley":{"formattedCitation":"&lt;sup&gt;51&lt;/sup&gt;","plainTextFormattedCitation":"51","previouslyFormattedCitation":"&lt;sup&gt;51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51</w:t>
      </w:r>
      <w:r w:rsidRPr="00875798">
        <w:rPr>
          <w:rFonts w:ascii="Helvetica" w:hAnsi="Helvetica" w:cs="Helvetica"/>
        </w:rPr>
        <w:fldChar w:fldCharType="end"/>
      </w:r>
      <w:r w:rsidRPr="00875798">
        <w:rPr>
          <w:rFonts w:ascii="Helvetica" w:hAnsi="Helvetica" w:cs="Helvetica"/>
        </w:rPr>
        <w:t>.</w:t>
      </w:r>
    </w:p>
    <w:p w14:paraId="4BA9457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Aerobic exercise is recommended for its multiple health benefits by UK Chief Medical Officers </w:t>
      </w:r>
      <w:r w:rsidRPr="00875798">
        <w:rPr>
          <w:rFonts w:ascii="Helvetica" w:hAnsi="Helvetica" w:cs="Helvetica"/>
        </w:rPr>
        <w:fldChar w:fldCharType="begin" w:fldLock="1"/>
      </w:r>
      <w:r w:rsidRPr="00875798">
        <w:rPr>
          <w:rFonts w:ascii="Helvetica" w:hAnsi="Helvetica" w:cs="Helvetica"/>
        </w:rPr>
        <w:instrText>ADDIN CSL_CITATION {"citationItems":[{"id":"ITEM-1","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Care","given":"","non-dropping-particle":"","parse-names":false,"suffix":""}],"id":"ITEM-1","issued":{"date-parts":[["2019"]]},"title":"UK Chief Medical Officers’ Physical Activity Guidelines.","type":"webpage"},"uris":["http://www.mendeley.com/documents/?uuid=0ef2c276-caf9-4e59-a59a-6c3318f18bf9"]}],"mendeley":{"formattedCitation":"&lt;sup&gt;52&lt;/sup&gt;","plainTextFormattedCitation":"52","previouslyFormattedCitation":"&lt;sup&gt;52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52</w:t>
      </w:r>
      <w:r w:rsidRPr="00875798">
        <w:rPr>
          <w:rFonts w:ascii="Helvetica" w:hAnsi="Helvetica" w:cs="Helvetica"/>
        </w:rPr>
        <w:fldChar w:fldCharType="end"/>
      </w:r>
      <w:r w:rsidRPr="00875798">
        <w:rPr>
          <w:rFonts w:ascii="Helvetica" w:hAnsi="Helvetica" w:cs="Helvetica"/>
        </w:rPr>
        <w:t xml:space="preserve">, as well as international bodies </w:t>
      </w:r>
      <w:r w:rsidRPr="00875798">
        <w:rPr>
          <w:rFonts w:ascii="Helvetica" w:hAnsi="Helvetica" w:cs="Helvetica"/>
        </w:rPr>
        <w:fldChar w:fldCharType="begin" w:fldLock="1"/>
      </w:r>
      <w:r w:rsidRPr="00875798">
        <w:rPr>
          <w:rFonts w:ascii="Helvetica" w:hAnsi="Helvetica" w:cs="Helvetica"/>
        </w:rPr>
        <w:instrText>ADDIN CSL_CITATION {"citationItems":[{"id":"ITEM-1","itemData":{"DOI":"10.1249/mss.0b013e3180616aa2","ISSN":"01959131","PMID":"17762378","abstract":"OBJECTIVE: To issue a recommendation on the types and amounts of physical activity needed to improve and maintain health in older adults. PARTICIPANTS: A panel of scientists with expertise in public health, behavioral science, epidemiology, exercise science, medicine, and gerontology. EVIDENCE: The expert panel reviewed existing consensus statements and relevant evidence from primary research articles and reviews of the literature. PROCESS: After drafting a recommendation for the older adult population and reviewing drafts of the Updated Recommendation from the American College of Sports Medicine (ACSM) and the American Heart Association (AHA) for Adults, the panel issued a final recommendation on physical activity for older adults. SUMMARY: The recommendation for older adults is similar to the updated ACSM/AHA recommendation for adults, but has several important differences including: the recommended intensity of aerobic activity takes into account the older adult's aerobic fitness; activities that maintain or increase flexibility are recommended; and balance exercises are recommended for older adults at risk of falls. In addition, older adults should have an activity plan for achieving recommended physical activity that integrates preventive and therapeutic recommendations. The promotion of physical activity in older adults should emphasize moderate-intensity aerobic activity, muscle-strengthening activity, reducing sedentary behavior, and risk management. ©2007The American College of Sports Medicine.","author":[{"dropping-particle":"","family":"Nelson","given":"Miriam E.","non-dropping-particle":"","parse-names":false,"suffix":""},{"dropping-particle":"","family":"Rejeski","given":"W. Jack","non-dropping-particle":"","parse-names":false,"suffix":""},{"dropping-particle":"","family":"Blair","given":"Steven N.","non-dropping-particle":"","parse-names":false,"suffix":""},{"dropping-particle":"","family":"Duncan","given":"Pamela W.","non-dropping-particle":"","parse-names":false,"suffix":""},{"dropping-particle":"","family":"Judge","given":"James O.","non-dropping-particle":"","parse-names":false,"suffix":""},{"dropping-particle":"","family":"King","given":"Abby C.","non-dropping-particle":"","parse-names":false,"suffix":""},{"dropping-particle":"","family":"Macera","given":"Carol A.","non-dropping-particle":"","parse-names":false,"suffix":""},{"dropping-particle":"","family":"Castaneda-Sceppa","given":"Carmen","non-dropping-particle":"","parse-names":false,"suffix":""}],"container-title":"Medicine and Science in Sports and Exercise","id":"ITEM-1","issue":"8","issued":{"date-parts":[["2007"]]},"page":"1435-1445","title":"Physical activity and public health in older adults: Recommendation from the American College of Sports Medicine and the American Heart Association","type":"article-journal","volume":"39"},"uris":["http://www.mendeley.com/documents/?uuid=f1685add-363d-47f8-bd5e-ab622d5f1e9d"]}],"mendeley":{"formattedCitation":"&lt;sup&gt;53&lt;/sup&gt;","plainTextFormattedCitation":"53","previouslyFormattedCitation":"&lt;sup&gt;53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53</w:t>
      </w:r>
      <w:r w:rsidRPr="00875798">
        <w:rPr>
          <w:rFonts w:ascii="Helvetica" w:hAnsi="Helvetica" w:cs="Helvetica"/>
        </w:rPr>
        <w:fldChar w:fldCharType="end"/>
      </w:r>
      <w:r w:rsidRPr="00875798">
        <w:rPr>
          <w:rFonts w:ascii="Helvetica" w:hAnsi="Helvetica" w:cs="Helvetica"/>
        </w:rPr>
        <w:t xml:space="preserve">. Whilst aerobic exercise includes impact exercises such as running, some other types of aerobic exercise may provide substantial cardiorespiratory intensity but not provide adequate skeletal loading. Examples include swimming and cycling, which did not benefit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{"citationItems":[{"id":"ITEM-1","itemData":{"DOI":"10.1016/j.rbre.2016.02.013","ISSN":"18094570","PMID":"27476628","abstract":"Osteoporosis is considered a common metabolic bone disease and its prevalence is increasing worldwide. In this context, physical activity has been used as a non-pharmacological tool for prevention and auxiliary treatment of this disease. The aim of this systematic review was to evaluate the effects of cycling and swimming practice on bone mineral density (BMD). This research was conducted in accordance with the recommendations outlined by the Preferred Reporting Items for Systematic Reviews and Meta-Analyses. The studies were consulted in the period from 2004 to 2014, through major electronic databases: PubMed®, SciELO® and LILACS®. Ten studies evaluated the effects of cycling on BMD, and the results showed that nine studies have linked the practice of professional cycling with low levels of BMD. Another 18 studies have reported that swimming has no positive effects on bone mass. We conclude that cycling and swimming do not cause positive effects on BMD; thus, these are not the most suitable exercises for prevention and treatment of osteoporosis.","author":[{"dropping-particle":"","family":"Abrahin","given":"Odilon","non-dropping-particle":"","parse-names":false,"suffix":""},{"dropping-particle":"","family":"Rodrigues","given":"Rejane Pequeno","non-dropping-particle":"","parse-names":false,"suffix":""},{"dropping-particle":"","family":"Marçal","given":"Anderson Carlos","non-dropping-particle":"","parse-names":false,"suffix":""},{"dropping-particle":"","family":"Alves","given":"Erik Artur Cortinhas","non-dropping-particle":"","parse-names":false,"suffix":""},{"dropping-particle":"","family":"Figueiredo","given":"Rosa Costa","non-dropping-particle":"","parse-names":false,"suffix":""},{"dropping-particle":"","family":"Sousa","given":"Evitom Corrêa","non-dropping-particle":"de","parse-names":false,"suffix":""}],"container-title":"Revista Brasileira de Reumatologia","id":"ITEM-1","issue":"4","issued":{"date-parts":[["2016"]]},"page":"345-351","title":"Swimming and cycling do not cause positive effects on bone mineral density: A systematic review","type":"article-journal","volume":"56"},"uris":["http://www.mendeley.com/documents/?uuid=fc2ea855-fe86-4abb-af10-73c16351f9d0"]},{"id":"ITEM-2","itemData":{"DOI":"10.1371/journal.pone.0070119","ISSN":"19326203","PMID":"23950908","abstract":"Background:Swimming, a sport practiced in hypogravity, has sometimes been associated with decreased bone mass.Aim:This systematic review aims to summarize and update present knowledge about the effects of swimming on bone mass, structure and metabolism in order to ascertain the effects of this sport on bone tissue.Methods:A literature search was conducted up to April 2013. A total of 64 studies focusing on swimmers bone mass, structure and metabolism met the inclusion criteria and were included in the review.Results:It has been generally observed that swimmers present lower bone mineral density than athletes who practise high impact sports and similar values when compared to sedentary controls. However, swimmers have a higher bone turnover than controls resulting in a different structure which in turn results in higher resistance to fracture indexes. Nevertheless, swimming may become highly beneficial regarding bone mass in later stages of life.Conclusion:Swimming does not seem to negatively affect bone mass, although it may not be one of the best sports to be practised in order to increase this parameter, due to the hypogravity and lack of impact characteristic of this sport. Most of the studies included in this review showed similar bone mineral density values in swimmers and sedentary controls. However, swimmers present a higher bone turnover than sedentary controls that may result in a stronger structure and consequently in a stronger bone. © 2013 Gómez-Bruton et al.","author":[{"dropping-particle":"","family":"Gómez-Bruton","given":"Alejandro","non-dropping-particle":"","parse-names":false,"suffix":""},{"dropping-particle":"","family":"Gónzalez-Agüero","given":"Alejandro","non-dropping-particle":"","parse-names":false,"suffix":""},{"dropping-particle":"","family":"Gómez-Cabello","given":"Alba","non-dropping-particle":"","parse-names":false,"suffix":""},{"dropping-particle":"","family":"Casajús","given":"José A.","non-dropping-particle":"","parse-names":false,"suffix":""},{"dropping-particle":"","family":"Vicente-Rodríguez","given":"Germán","non-dropping-particle":"","parse-names":false,"suffix":""}],"container-title":"PLoS ONE","id":"ITEM-2","issue":"8","issued":{"date-parts":[["2013"]]},"title":"Is Bone Tissue Really Affected by Swimming? A Systematic Review","type":"article-journal","volume":"8"},"uris":["http://www.mendeley.com/documents/?uuid=1c506f6c-b8f4-4f5d-b161-1ef006c845e8"]}],"mendeley":{"formattedCitation":"&lt;sup&gt;30,54&lt;/sup&gt;","plainTextFormattedCitation":"30,54","previouslyFormattedCitation":"&lt;sup&gt;17,54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30,54</w:t>
      </w:r>
      <w:r w:rsidRPr="00875798">
        <w:rPr>
          <w:rFonts w:ascii="Helvetica" w:hAnsi="Helvetica" w:cs="Helvetica"/>
        </w:rPr>
        <w:fldChar w:fldCharType="end"/>
      </w:r>
      <w:r w:rsidRPr="00875798">
        <w:rPr>
          <w:rFonts w:ascii="Helvetica" w:hAnsi="Helvetica" w:cs="Helvetica"/>
        </w:rPr>
        <w:t xml:space="preserve">; whilst water-based exercise was less effective than land-based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{"citationItems":[{"id":"ITEM-1","itemData":{"DOI":"10.2147/oajsm.s129182","ISSN":"1179-1543","abstract":"BACKGROUND Age-related bone loss is a major health concern. Only exercises associated with high-impact and mechanical loading have been linked to a positive effect on bone turnover; however, these types of exercises may not always be appropriate for middle-aged and older adults due to physical decline or chronic disorders such as osteoarthritis. Water-based exercise (WBE) has been shown to affect different components of physical fitness, has lower risks of traumatic fracture, and applies less stress to joints. However, the effects of WBE on bone health are unclear. OBJECTIVE This study aimed to explore whether WBE is effective in preventing age-related bone deterioration in middle-aged and older adults. METHODS A search of relevant databases and the references of identified studies was performed. Critical narrative synthesis and meta-analyses were conducted. RESULTS Eleven studies, involving 629 participants, met all inclusion criteria. All participants were postmenopausal women. Eight studies compared WBE to a sedentary control group, and four studies had land-based exercise (LBE) participants as a comparison group. Meta-analyses revealed significant differences between WBE and control group in favor of WBE for changes in bone mineral density (BMD) at the lumbar spine (mean difference [MD] 0.03 g/cm2; 95% confidence interval [CI]: 0.01 to 0.05) and femoral neck (MD 0.04 g/cm2; 95% CI: 0.02 to 0.07). Significant differences were also revealed between WBE and LBE in favor of LBE for changes in lumbar spine BMD (MD -0.04 g/cm2; 95% CI: -0.06 to -0.02). However, there was no significant difference between WBE and LBE for changes in femoral neck BMD (MD -0.03 g/cm2; 95% CI: -0.08 to 0.01). CONCLUSION WBE may have benefits with respect to maintaining or improving bone health in postmenopausal women but less benefit when compared to LBE. Further research is required on this topic.","author":[{"dropping-particle":"","family":"Simas","given":"Vini","non-dropping-particle":"","parse-names":false,"suffix":""},{"dropping-particle":"","family":"Hing","given":"Wayne","non-dropping-particle":"","parse-names":false,"suffix":""},{"dropping-particle":"","family":"Pope","given":"Rodney","non-dropping-particle":"","parse-names":false,"suffix":""},{"dropping-particle":"","family":"Climstein","given":"Mike","non-dropping-particle":"","parse-names":false,"suffix":""}],"container-title":"Open Access Journal of Sports Medicine","id":"ITEM-1","issued":{"date-parts":[["2017","3","27"]]},"page":"39-60","publisher":"Dove Press","title":"Effects of water-based exercise on bone health of middle-aged and older adults: a systematic review and meta-analysis","type":"article-journal","volume":"Volume 8"},"uris":["http://www.mendeley.com/documents/?uuid=958bc805-a429-4ba2-993f-98e743b6bc39"]}],"mendeley":{"formattedCitation":"&lt;sup&gt;20&lt;/sup&gt;","plainTextFormattedCitation":"20","previouslyFormattedCitation":"&lt;sup&gt;28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20</w:t>
      </w:r>
      <w:r w:rsidRPr="00875798">
        <w:rPr>
          <w:rFonts w:ascii="Helvetica" w:hAnsi="Helvetica" w:cs="Helvetica"/>
        </w:rPr>
        <w:fldChar w:fldCharType="end"/>
      </w:r>
      <w:r w:rsidRPr="00875798">
        <w:rPr>
          <w:rFonts w:ascii="Helvetica" w:hAnsi="Helvetica" w:cs="Helvetica"/>
        </w:rPr>
        <w:t>.</w:t>
      </w:r>
    </w:p>
    <w:p w14:paraId="37DA0739"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Moderate to high impact exercise thus seems to confer skeletal benefit, with possible benefit from low impact exercise such as walking, but not from exercise where gravitational loading is reduced, such as swimming. These findings from randomised controlled trials are supported by observational studies that provide ecological validity. Using accelerometry to objectively monitor physical activity, high, but not moderate or low acceleration activities, were associated with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{"citationItems":[{"id":"ITEM-1","itemData":{"DOI":"10.1016/j.bone.2015.07.001","ISSN":"1873-2763","PMID":"26151120","abstract":"As the world's population ages, the occurrence of osteoporosis-related fractures is projected to increase. Low areal bone mineral density (aBMD), a well-known risk factor for fractures, may be influenced by physical activity (PA). In this cross-sectional study, we aimed to investigate potential associations between objective measures of PA and bone properties, in a population-based cohort of 1228 70-year-old men and women. We measured volumetric BMD (vBMD, mg/cm(3)) together with cross-sectional area (CSA, mm(2)) by peripheral quantitative computed tomography at sites located 4% and 66% in the distal-proximal trajectory at the tibia and radius. We also measured aBMD (g/cm(2)) by dual energy X-ray absorptiometry at the femoral neck, lumbar spine (L1-L4) and radius. Participants wore triaxial accelerometers for 7 consecutive days to obtain objective estimates of PA. The intensity of the objective PA was divided into light (100-1951 counts/min [CPM]), moderate (1952-5724 cpm) and vigorous (≥ 5725 cpm). Maximal accelerations for the anterior-posterior (z), medio-lateral (x), and vertical (y) axes were also separately assessed. Associations were investigated using bivariate correlations and multiple linear regression, adjusted for height, weight and sex. Vigorous PA showed the strongest association with femoral neck aBMD (β=0.09, p&lt;0.001), while both moderate and vigorous PAs were associated with cortical area and trabecular vBMD in the weight-bearing tibia (all p&lt;0.05). Peak vertical accelerations were associated significantly with cortical area (β=0.09, p&lt;0.001) and trabecular vBMD (β=0.09, p=0.001) of the tibia, whereas peak anterior-posterior accelerations showed no correlation with these properties. No positive association was found between objectively measured PA and bone parameters of the radius. In conclusion, vertical accelerations and moderate to vigorous PA independently predict bone properties, especially in the weight-bearing tibia, in 70-year-old men and women.","author":[{"dropping-particle":"","family":"Johansson","given":"Jonas","non-dropping-particle":"","parse-names":false,"suffix":""},{"dropping-particle":"","family":"Nordström","given":"Anna","non-dropping-particle":"","parse-names":false,"suffix":""},{"dropping-particle":"","family":"Nordström","given":"Peter","non-dropping-particle":"","parse-names":false,"suffix":""}],"container-title":"Bone","id":"ITEM-1","issued":{"date-parts":[["2015","12"]]},"page":"72-9","publisher":"Elsevier","title":"Objectively measured physical activity is associated with parameters of bone in 70-year-old men and women.","type":"article-journal","volume":"81"},"uris":["http://www.mendeley.com/documents/?uuid=4487930d-6013-36da-92e5-703ba50d2794","http://www.mendeley.com/documents/?uuid=dd6f95bc-5a8f-4c91-a4dc-3b008bd904c4"]},{"id":"ITEM-2","itemData":{"DOI":"10.1007/s00198-016-3863-5","ISSN":"0937-941X","author":[{"dropping-particle":"","family":"Hannam","given":"K.","non-dropping-particle":"","parse-names":false,"suffix":""},{"dropping-particle":"","family":"Deere","given":"K. C.","non-dropping-particle":"","parse-names":false,"suffix":""},{"dropping-particle":"","family":"Hartley","given":"A.","non-dropping-particle":"","parse-names":false,"suffix":""},{"dropping-particle":"","family":"Al-Sari","given":"U. A.","non-dropping-particle":"","parse-names":false,"suffix":""},{"dropping-particle":"","family":"Clark","given":"E. M.","non-dropping-particle":"","parse-names":false,"suffix":""},{"dropping-particle":"","family":"Fraser","given":"W. D.","non-dropping-particle":"","parse-names":false,"suffix":""},{"dropping-particle":"","family":"Tobias","given":"J. H.","non-dropping-particle":"","parse-names":false,"suffix":""}],"container-title":"Osteoporosis International","id":"ITEM-2","issue":"10","issued":{"date-parts":[["2017","10"]]},"page":"2813-2822","publisher":"Springer London","title":"Habitual levels of higher, but not medium or low, impact physical activity are positively related to lower limb bone strength in older women: findings from a population-based study using accelerometers to classify impact magnitude","type":"article-journal","volume":"28"},"uris":["http://www.mendeley.com/documents/?uuid=4af4c27b-aaee-31bb-85f3-56e87f7d79fa","http://www.mendeley.com/documents/?uuid=26626c61-6bcd-4c8e-9754-1c461882edf4"]},{"id":"ITEM-3","itemData":{"DOI":"10.1093/ije/dyx080","ISSN":"14643685","PMID":"29106579","abstract":"Background: Physical inactivity is a highly modifiable risk factor for the development of osteoporosis but, due to a lack of research that has precisely and objectively meaured physical activity (PA) relevant to bone, the specific contribution that PA can make to bone health is poorly understood. This study examined whether a more precise measure of PA relelvant to bone was associated with meaures of bone health in pre- and postmenopausal women in UK Biobank. Methods: Time spent at intensities specific to bone health [≥750 milli-gravitational units (mg) and ≥1000 mg] were analysed from raw tri-axial acceleration data averaged over 1-second epochs from 7-day monitoring of habitual PA using accelerometry-based activity monitors (100 Hz; AX3, Axivity, UK) of 1218 pre- and 1316 post-menopausal healthy women. In a cross-sectional analysis, associations between categories of time ( &lt; 1, 1-2 and ≥2minutes) spent above the intensity thresholds and calcaneal quantitative ultrasound measures of bone health (bone mineral density T-score, BMDT-score; speed of sound, SOS; and broadband ultrasound attenuation, BUA) were examined. Results: Compared with &lt; 1minute, spending 1-2 or ≥2minutes/day at intensities ≥1000mg in pre-menopausal and ≥750mg in post-menopausal women was positively associated with BMDT-score, SOS and BUA. Conclusion: Brief bursts of high-intensity PA relevant to bone health can be captured by applying bone-specific thresholds of intensity to raw tri-axial accelerations averaged over 1-second epochs. Accumulating 1-2 minutes/day of high-intensity PA, equivalent to running in pre-menopausal women and slow jogging in post-menopausal women, is associated with better bone health.","author":[{"dropping-particle":"","family":"Stiles","given":"Victoria H.","non-dropping-particle":"","parse-names":false,"suffix":""},{"dropping-particle":"","family":"Metcalf","given":"Brad S.","non-dropping-particle":"","parse-names":false,"suffix":""},{"dropping-particle":"","family":"Knapp","given":"Karen M.","non-dropping-particle":"","parse-names":false,"suffix":""},{"dropping-particle":"V.","family":"Rowlands","given":"Alex","non-dropping-particle":"","parse-names":false,"suffix":""}],"container-title":"International Journal of Epidemiology","id":"ITEM-3","issue":"6","issued":{"date-parts":[["2017","12"]]},"page":"1847-1856","publisher":"Oxford University Press","title":"A small amount of precisely measured high-intensity habitual physical activity predicts bone health in pre- and post-menopausal women in UK Biobank","type":"article-journal","volume":"46"},"uris":["http://www.mendeley.com/documents/?uuid=21fc93bf-c1c4-4b65-bc19-8354d558a632"]}],"mendeley":{"formattedCitation":"&lt;sup&gt;55–57&lt;/sup&gt;","plainTextFormattedCitation":"55–57","previouslyFormattedCitation":"&lt;sup&gt;55–57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55–57</w:t>
      </w:r>
      <w:r w:rsidRPr="00875798">
        <w:rPr>
          <w:rFonts w:ascii="Helvetica" w:hAnsi="Helvetica" w:cs="Helvetica"/>
        </w:rPr>
        <w:fldChar w:fldCharType="end"/>
      </w:r>
      <w:r w:rsidRPr="00875798">
        <w:rPr>
          <w:rFonts w:ascii="Helvetica" w:hAnsi="Helvetica" w:cs="Helvetica"/>
        </w:rPr>
        <w:t xml:space="preserve">.  As accelerations do not relate directly to ground reaction forces it is not possible to determine whether these relate to high impact (previously defined as &gt;4BW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Sport","id":"ITEM-1","issue":"5","issued":{"date-parts":[["2017"]]},"page":"438-445","publisher":"Sports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mendeley":{"formattedCitation":"&lt;sup&gt;35&lt;/sup&gt;","plainTextFormattedCitation":"35","previouslyFormattedCitation":"&lt;sup&gt;35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35</w:t>
      </w:r>
      <w:r w:rsidRPr="00875798">
        <w:rPr>
          <w:rFonts w:ascii="Helvetica" w:hAnsi="Helvetica" w:cs="Helvetica"/>
        </w:rPr>
        <w:fldChar w:fldCharType="end"/>
      </w:r>
      <w:r w:rsidRPr="00875798">
        <w:rPr>
          <w:rFonts w:ascii="Helvetica" w:hAnsi="Helvetica" w:cs="Helvetica"/>
        </w:rPr>
        <w:t>) or moderate impact (2-4BW) so there was no evidence as to whether high impact exercise was more effective than moderate impact.</w:t>
      </w:r>
    </w:p>
    <w:p w14:paraId="4253E342"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Combination of resistance and weightbearing exercise</w:t>
      </w:r>
    </w:p>
    <w:p w14:paraId="274234B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Meta-analytic findings are consistent that a combination of weightbearing and resistance exercise benefitted both spine and hip sites in premenopausal women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mendeley":{"formattedCitation":"&lt;sup&gt;15&lt;/sup&gt;","plainTextFormattedCitation":"15","previouslyFormattedCitation":"&lt;sup&gt;23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15</w:t>
      </w:r>
      <w:r w:rsidRPr="00875798">
        <w:rPr>
          <w:rFonts w:ascii="Helvetica" w:hAnsi="Helvetica" w:cs="Helvetica"/>
        </w:rPr>
        <w:fldChar w:fldCharType="end"/>
      </w:r>
      <w:r w:rsidRPr="00875798">
        <w:rPr>
          <w:rFonts w:ascii="Helvetica" w:hAnsi="Helvetica" w:cs="Helvetica"/>
        </w:rPr>
        <w:t xml:space="preserve">, postmenopausal women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{"citationItems":[{"id":"ITEM-1","itemData":{"DOI":"10.1136/bjsm.2008.052704","ISBN":"4411381265","ISSN":"03063674","PMID":"18981037","abstract":"Objectives: To assess the effects of differing impact exercise protocols on postmenopausal bone loss at the hip and spine. Design: Systematic review and meta-analysis. Data sources: Electronic bibliographic databases, key journals and reference lists of reviews and articles. Review methods: Two independent reviewers assessed controlled trials evaluating effects of impact exercise on lumbar spine, femoral neck and total hip bone mineral density (BMD) in postmenopausal women for inclusion. Heterogeneity amongst trials and publication bias were assessed. Trial quality assessment was also performed. Results: Impact protocols that included jogging mixed with walking and stair climbing, and protocols that incorporated impact exercise with high-magnitude loading (resistance exercises), were effective at lumbar spine (weighted mean difference (random effects) 0.025 g/cm2 95% CI (0.004 to 0.046) and 0.016 g/cm2 95% CI (0.005 to 0.027); p=0.02 and p=0.005 respectively), although heterogeneity was evident (I2=88% and I2=73%, where I2 measures the extent of inconsistency among the trials). Effects on femoral neck BMD following these types of protocols were significant (weighted mean difference (fixed effect) 0.022 g/cm2 95% CI (0.014 to 0.030); p&lt;0.001 and 0.005 g/cm2 95% CI (0.001 to 0.010); p=0.03 respectively). High-impact only and odd-impact only protocols were ineffective in increasing BMD at any site. Conclusion: Mixed loading exercise programmes combining jogging with other low-impact loading activity and programmes mixing impact activity with high-magnitude exercise as resistance training appear effective in reducing postmenopausal bone loss at the hip and spine. Other forms of impact exercise appear less effective at preserving BMD in this population. However, diverse methodological and reporting discrepancies are evident in current published trials.","author":[{"dropping-particle":"","family":"Martyn-St James","given":"M.","non-dropping-particle":"","parse-names":false,"suffix":""},{"dropping-particle":"","family":"Carroll","given":"S.","non-dropping-particle":"","parse-names":false,"suffix":""}],"container-title":"British Journal of Sports Medicine","id":"ITEM-1","issue":"12","issued":{"date-parts":[["2009"]]},"page":"898-908","title":"A meta-analysis of impact exercise on postmenopausal bone loss: The case for mixed loading exercise programmes","type":"article-journal","volume":"43"},"uris":["http://www.mendeley.com/documents/?uuid=acbe0c69-50de-4521-a654-482a1edef8d3"]},{"id":"ITEM-2","itemData":{"DOI":"10.1186/1471-2474-13-177","ISSN":"14712474","PMID":"22992273","abstract":"Background: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Reviews","id":"ITEM-4","issue":"7","issued":{"date-parts":[["2011"]]},"page":"1-167","title":"Exercise for preventing and treating osteoporosis in postmenopausal women","type":"article-journal","volume":"2011"},"uris":["http://www.mendeley.com/documents/?uuid=9df55b14-bbc0-4af5-b26c-1f9742a80a88"]}],"mendeley":{"formattedCitation":"&lt;sup&gt;13,26,29,33&lt;/sup&gt;","plainTextFormattedCitation":"13,26,29,33","previouslyFormattedCitation":"&lt;sup&gt;16,20,21,33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13,26,29,33</w:t>
      </w:r>
      <w:r w:rsidRPr="00875798">
        <w:rPr>
          <w:rFonts w:ascii="Helvetica" w:hAnsi="Helvetica" w:cs="Helvetica"/>
        </w:rPr>
        <w:fldChar w:fldCharType="end"/>
      </w:r>
      <w:r w:rsidRPr="00875798">
        <w:rPr>
          <w:rFonts w:ascii="Helvetica" w:hAnsi="Helvetica" w:cs="Helvetica"/>
        </w:rPr>
        <w:t xml:space="preserve"> and men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International","id":"ITEM-1","issue":"11","issued":{"date-parts":[["2013"]]},"page":"2749-2762","title":"The effect of physical exercise on bone density in middle-aged and older men: A systematic review","type":"article-journal","volume":"24"},"uris":["http://www.mendeley.com/documents/?uuid=789f751f-2685-44df-9a9f-6f1a8dd586b9"]}],"mendeley":{"formattedCitation":"&lt;sup&gt;24&lt;/sup&gt;","plainTextFormattedCitation":"24","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24</w:t>
      </w:r>
      <w:r w:rsidRPr="00875798">
        <w:rPr>
          <w:rFonts w:ascii="Helvetica" w:hAnsi="Helvetica" w:cs="Helvetica"/>
        </w:rPr>
        <w:fldChar w:fldCharType="end"/>
      </w:r>
      <w:r w:rsidRPr="00875798">
        <w:rPr>
          <w:rFonts w:ascii="Helvetica" w:hAnsi="Helvetica" w:cs="Helvetica"/>
        </w:rPr>
        <w:t xml:space="preserve">. The recent LIFTMOR studies demonstrated substantial benefits from a programme involving high intensity progressive resistance training and impact exercise in men and women with osteoporosis, with net benefits at the spine ~4% and proximal femur ~2-3%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{"citationItems":[{"id":"ITEM-1","itemData":{"DOI":"10.1002/jbmr.3284","ISSN":"15234681","PMID":"28975661","abstract":"Optimal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Research.","author":[{"dropping-particle":"","family":"Watson","given":"Steven L.","non-dropping-particle":"","parse-names":false,"suffix":""},{"dropping-particle":"","family":"Weeks","given":"Benjamin K.","non-dropping-particle":"","parse-names":false,"suffix":""},{"dropping-particle":"","family":"Weis","given":"Lisa J.","non-dropping-particle":"","parse-names":false,"suffix":""},{"dropping-particle":"","family":"Harding","given":"Amy T.","non-dropping-particle":"","parse-names":false,"suffix":""},{"dropping-particle":"","family":"Horan","given":"Sean A.","non-dropping-particle":"","parse-names":false,"suffix":""},{"dropping-particle":"","family":"Beck","given":"Belinda R.","non-dropping-particle":"","parse-names":false,"suffix":""}],"container-title":"Journal of Bone and Mineral Research","id":"ITEM-1","issue":"2","issued":{"date-parts":[["2018"]]},"page":"211-220","title":"High-Intensity Resistance and Impact Training Improves Bone Mineral Density and Physical Function in Postmenopausal Women With Osteopenia and Osteoporosis: The LIFTMOR Randomized Controlled Trial","type":"article-journal","volume":"33"},"uris":["http://www.mendeley.com/documents/?uuid=e6785efc-d25b-4328-a4e0-2f730e0c6907"]},{"id":"ITEM-2","itemData":{"DOI":"10.1002/jbmr.4008","ISSN":"15234681","PMID":"32176813","abstract":"The Lifting Intervention For Training Muscle and Osteoporosis Rehabilitation for Men (LIFTMOR-M) trial examined efficacy and safety of two novel exercise programs in older men with low BMD. Men with low hip and/or LS BMD were randomized to high-intensity progressive resistance and impact training (HiRIT) or machine-based isometric axial compression (IAC) and compared to a nonrandomized matched control (CON). Outcomes included: hip and LS BMD; calcaneal ultrasound parameters; anthropometry; body composition; function (timed up-and-go [TUG], five-times sit-to-stand [FTSTS]); back extensor strength (BES); leg extensor strength (LES); compliance and adverse events. Ninety-three men (67.1 ± 7.5 years; 82.1 ± 11.6 kg; 175.2 ± 6.7 cm; FN T-score −1.6 ± 0.6) were randomized to HiRIT (n = 34) or IAC (n = 33), or allocated to CON (n = 26). HiRIT improved trochanteric BMD (2.8 ± 0.8%; −0.1 ± 0.9%, p =.024), LS BMD (4.1 ± 0.7%; 0.9 ± 0.8%, p =.003), BUA (2.2 ± 0.7%; −0.8 ± 0.9%, p =.009), stiffness index (1.6 ± 0.9%; −2.0 ± 1.1%, p =.011), lean mass (1.5 ± 0.8%; −2.4 ± 0.9%, p =.002), TUG, FTSTS, BES, and LES (p &lt;.05) compared with CON. IAC improved lean mass (0.8 ± 0.8%; −2.4 ± 0.9%, p =.013) and FTSTS (−4.5 ± 1.6%; 7.5 ± 2.0%, p &lt;.001) compared with CON. HiRIT improved LS BMD (4.1 ± 0.7%; 2.0 ± 0.7%, p =.039), stiffness index (1.6 ± 0.9%; −1.3 ± 0.9%, p =.025), and FTSTS (−10.7 ± 1.6%; −4.5 ± 1.7%, p =.010) compared with IAC. Exercise compliance was high (HiRIT 77.8 ± 16.6%; IAC 78.5 ± 14.8%, p =.872). There were five minor adverse events (HiRIT, 2; IAC, 3). HiRIT was well-tolerated and improved bone, function and fracture risk more than CON or IAC. © 2020 American Society for Bone and Mineral Research.","author":[{"dropping-particle":"","family":"Harding","given":"Amy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R.","non-dropping-particle":"","parse-names":false,"suffix":""}],"container-title":"Journal of Bone and Mineral Research","id":"ITEM-2","issue":"8","issued":{"date-parts":[["2020"]]},"page":"1404-1414","title":"A Comparison of Bone-Targeted Exercise Strategies to Reduce Fracture Risk in Middle-Aged and Older Men with Osteopenia and Osteoporosis: LIFTMOR-M Semi-Randomized Controlled Trial","type":"article-journal","volume":"35"},"uris":["http://www.mendeley.com/documents/?uuid=1610ed83-7353-41ff-b63a-8625fdfc45d0"]}],"mendeley":{"formattedCitation":"&lt;sup&gt;58,59&lt;/sup&gt;","plainTextFormattedCitation":"58,59","previouslyFormattedCitation":"&lt;sup&gt;58,59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58,59</w:t>
      </w:r>
      <w:r w:rsidRPr="00875798">
        <w:rPr>
          <w:rFonts w:ascii="Helvetica" w:hAnsi="Helvetica" w:cs="Helvetica"/>
        </w:rPr>
        <w:fldChar w:fldCharType="end"/>
      </w:r>
      <w:r w:rsidRPr="00875798">
        <w:rPr>
          <w:rFonts w:ascii="Helvetica" w:hAnsi="Helvetica" w:cs="Helvetica"/>
        </w:rPr>
        <w:t>.</w:t>
      </w:r>
    </w:p>
    <w:p w14:paraId="31EE27BA" w14:textId="77777777" w:rsidR="000F5BC4" w:rsidRPr="00875798" w:rsidRDefault="000F5BC4" w:rsidP="000F5BC4">
      <w:pPr>
        <w:pStyle w:val="Heading4"/>
        <w:spacing w:before="120" w:line="240" w:lineRule="auto"/>
        <w:rPr>
          <w:rFonts w:ascii="Helvetica" w:hAnsi="Helvetica" w:cs="Helvetica"/>
          <w:color w:val="auto"/>
        </w:rPr>
      </w:pPr>
      <w:r w:rsidRPr="00875798">
        <w:rPr>
          <w:rFonts w:ascii="Helvetica" w:hAnsi="Helvetica" w:cs="Helvetica"/>
          <w:color w:val="auto"/>
        </w:rPr>
        <w:t>Sedentary behaviour</w:t>
      </w:r>
    </w:p>
    <w:p w14:paraId="1876E815" w14:textId="77777777" w:rsidR="000F5BC4" w:rsidRPr="00875798" w:rsidRDefault="000F5BC4" w:rsidP="000F5BC4">
      <w:pPr>
        <w:spacing w:before="120" w:line="240" w:lineRule="auto"/>
        <w:rPr>
          <w:rFonts w:ascii="Helvetica" w:hAnsi="Helvetica" w:cs="Helvetica"/>
        </w:rPr>
      </w:pPr>
      <w:r w:rsidRPr="00875798">
        <w:rPr>
          <w:rStyle w:val="CommentReference"/>
          <w:rFonts w:ascii="Helvetica" w:eastAsiaTheme="majorBidi" w:hAnsi="Helvetica" w:cs="Helvetica"/>
          <w:sz w:val="24"/>
          <w:szCs w:val="24"/>
        </w:rPr>
        <w:t>Observations from p</w:t>
      </w:r>
      <w:r w:rsidRPr="00875798">
        <w:rPr>
          <w:rFonts w:ascii="Helvetica" w:hAnsi="Helvetica" w:cs="Helvetica"/>
        </w:rPr>
        <w:t xml:space="preserve">opulation studies suggest that lower physical activity in later life increases the risk of hip fracture </w:t>
      </w:r>
      <w:r w:rsidRPr="00875798">
        <w:rPr>
          <w:rFonts w:ascii="Helvetica" w:hAnsi="Helvetica" w:cs="Helvetica"/>
        </w:rPr>
        <w:fldChar w:fldCharType="begin" w:fldLock="1"/>
      </w:r>
      <w:r w:rsidRPr="00875798">
        <w:rPr>
          <w:rFonts w:ascii="Helvetica" w:hAnsi="Helvetica" w:cs="Helvetica"/>
        </w:rPr>
        <w:instrText>ADDIN CSL_CITATION {"citationItems":[{"id":"ITEM-1","itemData":{"ISBN":"0002-8614 (Print)\\r0002-8614 (Linking)","ISSN":"0002-8614 (Print) 0002-8614 (Linking)","PMID":"10968291","abstract":"OBJECTIVES: Assess the relationship between physical activity and risk for falls and osteoporotic fractures among older adults. DESIGN: Review and synthesis of published literature. MEASUREMENTS: We searched the literature using MEDLINE, Current Contents, and the bibliographies of articles identified. We included randomized controlled trials (RCT) of the effects of physical activity on the incidence of falls and case-control and prospective cohort studies of the association of physical activity with osteoporotic fracture risk. We also summarized mechanisms whereby physical activity may influence risk for falls and fractures. RESULTS: Observational epidemiologic studies and randomized clinical trials evaluating the effectiveness of physical activity programs to prevent falls have been inconclusive. However, many studies have lacked adequate statistical power, and recent trials suggest that exercise, particularly involving balance and lower extremity strength training, may reduce risk of falling. There is consistent evidence from prospective and case-control studies that physical activity is associated with a 20-40% reduced risk of hip fracture relative to sedentary individuals. The few studies that have examined the association between physical activity and risk of other common osteoporotic fractures, such as vertebral and wrist fractures, have not found physical activity to be protective. CONCLUSIONS: Epidemiologic studies suggest that higher levels of leisure time physical activity prevent hip fractures and RCTs suggest certain exercise programs may reduce risk of falls. Future research needs to evaluate the types and quantity of physical activity needed for optimal protection from falls and identify which populations will benefit most from exercise.","author":[{"dropping-particle":"","family":"Gregg","given":"E W","non-dropping-particle":"","parse-names":false,"suffix":""},{"dropping-particle":"","family":"Pereira","given":"M A","non-dropping-particle":"","parse-names":false,"suffix":""},{"dropping-particle":"","family":"Caspersen","given":"C J","non-dropping-particle":"","parse-names":false,"suffix":""}],"container-title":"J Am Geriatr Soc","id":"ITEM-1","issue":"8","issued":{"date-parts":[["2000","8"]]},"page":"883-893","title":"Physical activity, falls, and fractures among older adults: a review of the epidemiologic evidence","type":"article-journal","volume":"48"},"uris":["http://www.mendeley.com/documents/?uuid=a5fc583d-7565-3595-8031-6944d128aee5","http://www.mendeley.com/documents/?uuid=bbac615f-0fef-48b5-ae78-43d9c6671f21"]}],"mendeley":{"formattedCitation":"&lt;sup&gt;1&lt;/sup&gt;","plainTextFormattedCitation":"1","previouslyFormattedCitation":"&lt;sup&gt;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w:t>
      </w:r>
      <w:r w:rsidRPr="00875798">
        <w:rPr>
          <w:rFonts w:ascii="Helvetica" w:hAnsi="Helvetica" w:cs="Helvetica"/>
        </w:rPr>
        <w:fldChar w:fldCharType="end"/>
      </w:r>
      <w:r w:rsidRPr="00875798">
        <w:rPr>
          <w:rFonts w:ascii="Helvetica" w:hAnsi="Helvetica" w:cs="Helvetica"/>
        </w:rPr>
        <w:t xml:space="preserve"> and that less sitting is associated with higher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{"citationItems":[{"id":"ITEM-1","itemData":{"DOI":"10.1016/j.bone.2014.04.009","abstract":"a b s t r a c t Background: Lack of physical activity (PA) is an important modifiable risk factor for bone mineral density (BMD). Time spent in sedentary behaviour (SB), or time spent in non-exercising seated and reclining postures, has re-cently emerged as a new public health risk, independent of the amount of time someone spends being active. As national surveys report that adults spend on average 8 h per day being sedentary, rising to 10 h a day in older age, it has been hypothesised that a repeated exposure to sitting in modern daily life, whether it is for trav-elling, working or leisure, might have a deleterious effect on bone health in a way that mirrors the results of stud-ies into the effect of lengthy periods of bed-rest. The aim of this study was to investigate for the first time a) how time spent in SB is associated with bone mineral density (BMD), b) whether this association changes depending on the amount of time spent engaging in different intensity levels of PA, and c) if the pattern of accumulation of SB and long uninterrupted periods of SB are associated with BMD. Methods: The 2005/2006 National Health and Nutrition Examination Survey (NHANES), is a cross-sectional study of a representative sample of the US population that is conducted biannually by the National Centers for Disease Control. PA and SB were assessed objectively over 7 days using an Actigraph accelerometer and BMD was measured via dual-energy X-ray absorptiometry. In this study, data are presented on four regions of the femur (femoral neck, trochanter, inter trochanter and total femur) and total spine (L1–L4). The associations between BMD, SB and PA levels were examined using multiple linear regressions stratified by gender. In addition, the association between the pattern of accumulation of SB (quantified as frequency and duration of SB) and BMD was also investigated. All models were adjusted for known risk factors associated with BMD. In total, data for 2117 individuals, aged 23–90 + years (males N = 1158), were available to analyse SB and femur BMD and 1942 individuals (males N = 1053) for analysis of SB and spine BMD. Results: There was no evidence of an association between SB time and hip or spinal BMD in men. For men, time spent doing moderate to vigorous activity (MVPA) and vigorous activity (VIG) was associated with higher total femur and the other hip sub-region BMD. The regression coefficient was B MVPA = 0.306 (95% CI: 0.021– 0.591) g/cm 2 for each 10 minute in…","author":[{"dropping-particle":"","family":"Chastin","given":"S F M","non-dropping-particle":"","parse-names":false,"suffix":""},{"dropping-particle":"","family":"Mandrichenko","given":"O","non-dropping-particle":"","parse-names":false,"suffix":""},{"dropping-particle":"","family":"Helbostadt","given":"J L","non-dropping-particle":"","parse-names":false,"suffix":""},{"dropping-particle":"","family":"Skelton","given":"D A","non-dropping-particle":"","parse-names":false,"suffix":""}],"container-title":"Bone","id":"ITEM-1","issued":{"date-parts":[["2014"]]},"page":"254-262","title":"Associations between objectively-measured sedentary behaviour and physical activity with bone mineral density in adults and older adults, the NHANES study","type":"article-journal","volume":"64"},"uris":["http://www.mendeley.com/documents/?uuid=4386b714-3540-3e43-801b-f032f0eb0f0e","http://www.mendeley.com/documents/?uuid=0a126822-19d7-46e9-8002-49de187dd8b0"]}],"mendeley":{"formattedCitation":"&lt;sup&gt;60&lt;/sup&gt;","plainTextFormattedCitation":"60","previouslyFormattedCitation":"&lt;sup&gt;60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60</w:t>
      </w:r>
      <w:r w:rsidRPr="00875798">
        <w:rPr>
          <w:rFonts w:ascii="Helvetica" w:hAnsi="Helvetica" w:cs="Helvetica"/>
        </w:rPr>
        <w:fldChar w:fldCharType="end"/>
      </w:r>
      <w:r w:rsidRPr="00875798">
        <w:rPr>
          <w:rFonts w:ascii="Helvetica" w:hAnsi="Helvetica" w:cs="Helvetica"/>
        </w:rPr>
        <w:t xml:space="preserve">.  This suggests that avoiding sedentary behaviour and maintaining standing and weightbearing activities may have a protective role in maintaining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{"citationItems":[{"id":"ITEM-1","itemData":{"DOI":"10.1016/S1568-1637(02)00045-4","ISSN":"1568-1637","abstract":"This review examines all pertinent literature sources published in the English language between 1966 to the present concerning hip fracture epidemiology, hip fracture injury mechanisms, and hip fracture management strategies. These data reveal hip fractures have several causes, but among these, the impact of falls and muscle weakness, along with low physical activity levels seems to be the most likely explanation for the rising incidence of hip fracture injuries. Related determinants of suboptimal nutrition, drugs that increase fall risk and lower the safety threshold and comorbid conditions of the neuromuscular system may also contribute to hip fracture disability. A number of interventions may help to prevent hip fracture injuries, including, interventions that optimize bone mass and quality, interventions that help prevent falls and falls dampening interventions. Rehabilitation outcomes may be improved by comprehensive interventions, prolonged follow-up strategies and ensuring that all aging adults enjoy optimal health.","author":[{"dropping-particle":"","family":"Marks","given":"Ray","non-dropping-particle":"","parse-names":false,"suffix":""},{"dropping-particle":"","family":"Allegrante","given":"John P","non-dropping-particle":"","parse-names":false,"suffix":""},{"dropping-particle":"","family":"Ronald MacKenzie","given":"C","non-dropping-particle":"","parse-names":false,"suffix":""},{"dropping-particle":"","family":"Lane","given":"Joseph M","non-dropping-particle":"","parse-names":false,"suffix":""}],"container-title":"Ageing Research Reviews","id":"ITEM-1","issue":"1","issued":{"date-parts":[["2003","1"]]},"page":"57-93","publisher":"Elsevier","title":"Hip fractures among the elderly: causes, consequences and control","type":"article-journal","volume":"2"},"uris":["http://www.mendeley.com/documents/?uuid=6ee2eea6-4c6b-33c7-bb30-d4d5d5af3c06","http://www.mendeley.com/documents/?uuid=ec7fa3ef-4cee-4ec6-b987-4fceb7c2c1b4"]}],"mendeley":{"formattedCitation":"&lt;sup&gt;61&lt;/sup&gt;","plainTextFormattedCitation":"61","previouslyFormattedCitation":"&lt;sup&gt;61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61</w:t>
      </w:r>
      <w:r w:rsidRPr="00875798">
        <w:rPr>
          <w:rFonts w:ascii="Helvetica" w:hAnsi="Helvetica" w:cs="Helvetica"/>
        </w:rPr>
        <w:fldChar w:fldCharType="end"/>
      </w:r>
      <w:r w:rsidRPr="00875798">
        <w:rPr>
          <w:rFonts w:ascii="Helvetica" w:hAnsi="Helvetica" w:cs="Helvetica"/>
        </w:rPr>
        <w:t xml:space="preserve">.  A recent systematic review of sedentary behaviour and bone health in older adults shows differing associations (mostly negative) of sedentary behaviour with BMD in men and women at different BMD sites and calls for more robust studies in this area </w:t>
      </w:r>
      <w:r w:rsidRPr="00875798">
        <w:rPr>
          <w:rFonts w:ascii="Helvetica" w:hAnsi="Helvetica" w:cs="Helvetica"/>
        </w:rPr>
        <w:fldChar w:fldCharType="begin" w:fldLock="1"/>
      </w:r>
      <w:r w:rsidRPr="00875798">
        <w:rPr>
          <w:rFonts w:ascii="Helvetica" w:hAnsi="Helvetica" w:cs="Helvetica"/>
        </w:rPr>
        <w:instrText>ADDIN CSL_CITATION {"citationItems":[{"id":"ITEM-1","itemData":{"ISBN":"4201913899","author":[{"dropping-particle":"","family":"Mcmichan","given":"L","non-dropping-particle":"","parse-names":false,"suffix":""},{"dropping-particle":"","family":"Dick","given":"M","non-dropping-particle":"","parse-names":false,"suffix":""},{"dropping-particle":"","family":"Skelton","given":"D A","non-dropping-particle":"","parse-names":false,"suffix":""},{"dropping-particle":"","family":"Chastin","given":"S F M","non-dropping-particle":"","parse-names":false,"suffix":""},{"dropping-particle":"","family":"Owen","given":"N","non-dropping-particle":"","parse-names":false,"suffix":""},{"dropping-particle":"","family":"Dunstan","given":"D W","non-dropping-particle":"","parse-names":false,"suffix":""},{"dropping-particle":"","family":"Fraser","given":"W D","non-dropping-particle":"","parse-names":false,"suffix":""},{"dropping-particle":"","family":"Tang","given":"J C Y","non-dropping-particle":"","parse-names":false,"suffix":""}],"id":"ITEM-1","issued":{"date-parts":[["2021"]]},"publisher":"Osteoporosis International","title":"Sedentary behaviour and bone health in older adults : a systematic review","type":"article-journal"},"uris":["http://www.mendeley.com/documents/?uuid=6e05a3c0-4f74-47c5-82a8-2567ef37b401"]}],"mendeley":{"formattedCitation":"&lt;sup&gt;62&lt;/sup&gt;","plainTextFormattedCitation":"62","previouslyFormattedCitation":"&lt;sup&gt;62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62</w:t>
      </w:r>
      <w:r w:rsidRPr="00875798">
        <w:rPr>
          <w:rFonts w:ascii="Helvetica" w:hAnsi="Helvetica" w:cs="Helvetica"/>
        </w:rPr>
        <w:fldChar w:fldCharType="end"/>
      </w:r>
      <w:r w:rsidRPr="00875798">
        <w:rPr>
          <w:rFonts w:ascii="Helvetica" w:hAnsi="Helvetica" w:cs="Helvetica"/>
        </w:rPr>
        <w:t xml:space="preserve">. In the context of an exercise intervention, gentle walking may not generate sufficient forces to improve BMD but maintaining such activity may be important for preventing inactivity related losses. For example, a study of men and women aged 49 - 83 identified that regular walking or cycling, reduced fracture risk by up to 23% relative to hardly ever walking or cycling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{"citationItems":[{"id":"ITEM-1","itemData":{"DOI":"10.1002/jbmr.3161","ISSN":"08840431","abstract":"Physical activity has been associated with reduced risk of fracture, but it is not known how the intensity or frequency of physical activity influences this risk reduction. We aim to compare the risk of hip fracture and fracture of any locale between men and women with different levels of leisure-time walking/bicycling and exercise. A total of 37,238 women (born 1914-1948) from the Swedish Mammography Cohort and 45,906 men (born 1918-1952) from the Cohort of Swedish Men were followed for a maximum of 17 years. Exposure and covariate information was collected through a self-administered questionnaire in 1997. Incident fractures (5,153 individuals with hip fracture and 15,043 with any type of fracture) and comorbidities were gathered from national and local patient registries. Hazard ratios (HRs) were calculated using Cox proportional hazards regression. Individuals who walked/bicycled less than 20 minutes per day had a lower rate of hip fracture (multivariable adjusted HR 0.77; 95% confidence interval [CI], 0.70 to 0.85) and any fracture (HR 0.87; 95% CI, 0.82 to 0.92), compared with those who hardly ever walked/bicycled. These reduced rates were also evident in both sexes, in different age categories, for vertebral fractures and for non-hip non-vertebral fractures. Those who reported exercise one hour per week had a lower rate of hip fracture (HR 0.87; 95% CI, 0.80 to 0.96) and any fracture (HR 0.94; 95% CI, 0.89 to 0.99) compared with those who exercised less than one hour per week. Only minor differences in HRs were observed in individuals with moderate compared to higher levels of walking/bicycling or exercise. Walking/bicycling and exercise showed almost equal reductions in rate of fracture when compared to those in a joint category with lowest activity. In conclusion, both moderate and high self-reported frequency of physical activity is associated with reduced future risk of fracture. This article is protected by copyright. All rights reserved","author":[{"dropping-particle":"","family":"Stattin","given":"Karl","non-dropping-particle":"","parse-names":false,"suffix":""},{"dropping-particle":"","family":"Michaëlsson","given":"Karl","non-dropping-particle":"","parse-names":false,"suffix":""},{"dropping-particle":"","family":"Larsson","given":"Susanna C.","non-dropping-particle":"","parse-names":false,"suffix":""},{"dropping-particle":"","family":"Wolk","given":"Alicja","non-dropping-particle":"","parse-names":false,"suffix":""},{"dropping-particle":"","family":"Byberg","given":"Liisa","non-dropping-particle":"","parse-names":false,"suffix":""}],"container-title":"Journal of Bone and Mineral Research","id":"ITEM-1","issue":"8","issued":{"date-parts":[["2017","4"]]},"page":"1599-1606","title":"Leisure-time physical activity and risk of fracture: a cohort study of 66,940 men and women","type":"article-journal","volume":"32"},"uris":["http://www.mendeley.com/documents/?uuid=0d57902d-bfe2-343b-8d5a-b0412d0b9aa2","http://www.mendeley.com/documents/?uuid=0ea65f0e-d6a9-4391-9a30-568632fb2dcd"]}],"mendeley":{"formattedCitation":"&lt;sup&gt;5&lt;/sup&gt;","plainTextFormattedCitation":"5","previouslyFormattedCitation":"&lt;sup&gt;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w:t>
      </w:r>
      <w:r w:rsidRPr="00875798">
        <w:rPr>
          <w:rFonts w:ascii="Helvetica" w:hAnsi="Helvetica" w:cs="Helvetica"/>
        </w:rPr>
        <w:fldChar w:fldCharType="end"/>
      </w:r>
      <w:r w:rsidRPr="00875798">
        <w:rPr>
          <w:rFonts w:ascii="Helvetica" w:hAnsi="Helvetica" w:cs="Helvetica"/>
        </w:rPr>
        <w:t xml:space="preserve">. A recent qualitative study suggests that people with osteoporosis are knowledgeable about the detrimental effects of sedentary behaviour and easily identify facilitators to breaking up long periods of sitting, including the use of technology </w:t>
      </w:r>
      <w:r w:rsidRPr="00875798">
        <w:rPr>
          <w:rFonts w:ascii="Helvetica" w:hAnsi="Helvetica" w:cs="Helvetica"/>
        </w:rPr>
        <w:fldChar w:fldCharType="begin" w:fldLock="1"/>
      </w:r>
      <w:r w:rsidRPr="00875798">
        <w:rPr>
          <w:rFonts w:ascii="Helvetica" w:hAnsi="Helvetica" w:cs="Helvetica"/>
        </w:rPr>
        <w:instrText>ADDIN CSL_CITATION {"citationItems":[{"id":"ITEM-1","itemData":{"author":[{"dropping-particle":"","family":"Grady","given":"Caera L","non-dropping-particle":"","parse-names":false,"suffix":""},{"dropping-particle":"","family":"Muirhead","given":"Fiona","non-dropping-particle":"","parse-names":false,"suffix":""},{"dropping-particle":"","family":"Skelton","given":"Dawn A","non-dropping-particle":"","parse-names":false,"suffix":""},{"dropping-particle":"","family":"Mavroeidi","given":"Alexandra","non-dropping-particle":"","parse-names":false,"suffix":""}],"id":"ITEM-1","issue":"December","issued":{"date-parts":[["2020"]]},"title":"Exploring osteoporosis sufferers knowledge on sedentary behaviour in the management of their disease","type":"article-journal"},"uris":["http://www.mendeley.com/documents/?uuid=9daca030-7980-43f3-a50f-fc5a38132acc"]}],"mendeley":{"formattedCitation":"&lt;sup&gt;63&lt;/sup&gt;","plainTextFormattedCitation":"63","previouslyFormattedCitation":"&lt;sup&gt;63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63</w:t>
      </w:r>
      <w:r w:rsidRPr="00875798">
        <w:rPr>
          <w:rFonts w:ascii="Helvetica" w:hAnsi="Helvetica" w:cs="Helvetica"/>
        </w:rPr>
        <w:fldChar w:fldCharType="end"/>
      </w:r>
      <w:r w:rsidRPr="00875798">
        <w:rPr>
          <w:rFonts w:ascii="Helvetica" w:hAnsi="Helvetica" w:cs="Helvetica"/>
        </w:rPr>
        <w:t>.</w:t>
      </w:r>
    </w:p>
    <w:p w14:paraId="24B23B7B" w14:textId="77777777" w:rsidR="000F5BC4" w:rsidRPr="00875798" w:rsidRDefault="000F5BC4" w:rsidP="000F5BC4">
      <w:pPr>
        <w:pStyle w:val="Heading3"/>
        <w:spacing w:before="120" w:line="240" w:lineRule="auto"/>
        <w:rPr>
          <w:rFonts w:ascii="Helvetica" w:hAnsi="Helvetica" w:cs="Helvetica"/>
          <w:i/>
          <w:iCs/>
          <w:color w:val="auto"/>
        </w:rPr>
      </w:pPr>
      <w:bookmarkStart w:id="23" w:name="_Toc96616275"/>
      <w:r w:rsidRPr="00875798">
        <w:rPr>
          <w:rFonts w:ascii="Helvetica" w:hAnsi="Helvetica" w:cs="Helvetica"/>
          <w:i/>
          <w:iCs/>
          <w:color w:val="auto"/>
        </w:rPr>
        <w:t>Exercise frequency, duration or volume</w:t>
      </w:r>
      <w:bookmarkEnd w:id="23"/>
    </w:p>
    <w:p w14:paraId="64A0ACF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Animal studies and consequent theoretical models suggest that relatively low volumes of loading that generates high strain rates in bone can stimulate gains in bone strength; that there is desensitisation after a limited number of loading cycles, and that insertion of rest pauses can increase effectiveness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{"citationItems":[{"id":"ITEM-1","itemData":{"DOI":"10.1136/bjsm.2004.016923","ISSN":"03063674","PMID":"15793082","author":[{"dropping-particle":"","family":"Turner","given":"C. H.","non-dropping-particle":"","parse-names":false,"suffix":""},{"dropping-particle":"","family":"Robling","given":"A. G.","non-dropping-particle":"","parse-names":false,"suffix":""}],"container-title":"British Journal of Sports Medicine","id":"ITEM-1","issue":"4","issued":{"date-parts":[["2005"]]},"page":"188-189","title":"Exercises for improving bone strength","type":"article-journal","volume":"39"},"uris":["http://www.mendeley.com/documents/?uuid=80523e0c-23bb-407e-a16a-3ecbf99d6e9e"]},{"id":"ITEM-2","itemData":{"DOI":"10.1007/s001980200095","ISSN":"0937941X","PMID":"12195532","abstract":"1. The fracture resistance of bones is established and maintained as the result of an adaptive mechanism in which bone cells' modeling and remodeling activity is directly or indirectly influenced by their strain environment. 2. The mechano-responsive cells are most likely osteocytes and osteoblasts. Many studies show acute mechanically related changes in behavior of these cells in culture but many of these have not been related to the long term control of remodeling on which adaptive control of bone architecture depends. Not all bone cells' responses to mechanical stimuli are part of the cascade of responses involved in adaptive (re)modeling. The specific mechanical stimuli to which osteocytes and osteoblasts respond in vivo probably include changes in strain itself and strain generated changes in their fluid environment. Physiologic levels of bone strain have been demonstrated to be directly and indirectly involved in increasing the release of signaling molecules and anabolic growth factors, such as PGE2, PGI2, NO, and IGF-I and IGF-II, that stimulate bone cell proliferation and matrix formation. 3. The osteoregulatory nature of a natural strain regimen appears to be determined primarily by the peak strains achieved, the rate of strain change, and the extent to which the strain distribution is different from the normal strains to which the bone has adapted. Loading regimens producing high strains, high strain rates and unusual strain distributions appear to have a high osteoregulatory potential stimulating osteogenic responses and maintaining high bone mass. Static strains, strains which change slowly, and 'error-free' strains may have little or no osteoregulatory potential and may thus permit (if not engender) bone loss and low bone mass. 4. The positive osteoregulatory influence of a strain regimen is most effective during growth. Appropriate activity at this time can lead to a larger and more robust skeleton that can maintain its strength despite loss of bone tissue later in life. 5. The reduced ability to maintain bone strength in postmenopausal women is a failure of the normally adaptive response to mechanical strain under the conditions of the postmenopausal state. Evidence that early strain-related responses of bone cells involve the estrogen receptor could explain the decreased effectiveness of this pathway when estrogen receptor levels are low postmenopausally. The high strains assumed to be associated with low bone mass may downregulate ERα e…","author":[{"dropping-particle":"","family":"Ehrlich","given":"P. J.","non-dropping-particle":"","parse-names":false,"suffix":""},{"dropping-particle":"","family":"Lanyon","given":"L. E.","non-dropping-particle":"","parse-names":false,"suffix":""}],"container-title":"Osteoporosis International","id":"ITEM-2","issue":"9","issued":{"date-parts":[["2002"]]},"page":"688-700","title":"Mechanical strain and bone cell function: A review","type":"article-journal","volume":"13"},"uris":["http://www.mendeley.com/documents/?uuid=ec39b13a-be84-4960-800e-2e4d49da2ea6"]}],"mendeley":{"formattedCitation":"&lt;sup&gt;40,64&lt;/sup&gt;","plainTextFormattedCitation":"40,64","previouslyFormattedCitation":"&lt;sup&gt;40,64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40,64</w:t>
      </w:r>
      <w:r w:rsidRPr="00875798">
        <w:rPr>
          <w:rFonts w:ascii="Helvetica" w:hAnsi="Helvetica" w:cs="Helvetica"/>
        </w:rPr>
        <w:fldChar w:fldCharType="end"/>
      </w:r>
      <w:r w:rsidRPr="00875798">
        <w:rPr>
          <w:rFonts w:ascii="Helvetica" w:hAnsi="Helvetica" w:cs="Helvetica"/>
        </w:rPr>
        <w:t xml:space="preserve">. This is consistent with observational studies in humans showing that intermittent bursts (1-2 minutes) of moderate impact exercise may be more beneficial to maintain or improve BMD than longer periods of low impact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{"citationItems":[{"id":"ITEM-1","itemData":{"DOI":"10.1016/S8756-3282(02)00707-X","ISSN":"8756-3282","abstract":"The signals that allow bone to adapt to its mechanical environment most likely involve strain-mediated fluid flow through the canalicular channels. Fluid can only be moved through bone by cyclic loading, and the shear stresses generated on bone cells are proportional to the rate of loading. The proportional relation between fluid shear stresses on cells and loading rate predicts that the magnitude of bone’s adaptive response to loading should be proportional to strain rate. For lower loading frequencies within the physiologic range, experimental evidence shows this is true. It is also true that the mechanical sensitivity of bone cells saturates quickly, and that a period of recovery either between loading cycles or between periods of exercise can optimize adaptive response. Together, these concepts suggest that short periods of exercise, with a 4–8 h rest period between them, are a more effective osteogenic stimulus than a single sustained session of exercise. The data also suggest that activities involving higher loading rates are more effective for increasing bone formation, even if the duration of the activity is short.","author":[{"dropping-particle":"","family":"Burr","given":"D.B.","non-dropping-particle":"","parse-names":false,"suffix":""},{"dropping-particle":"","family":"Robling","given":"A.G.","non-dropping-particle":"","parse-names":false,"suffix":""},{"dropping-particle":"","family":"Turner","given":"C.H.","non-dropping-particle":"","parse-names":false,"suffix":""}],"container-title":"Bone","id":"ITEM-1","issue":"5","issued":{"date-parts":[["2002","5"]]},"page":"781-786","publisher":"Elsevier","title":"Effects of biomechanical stress on bones in animals","type":"article-journal","volume":"30"},"uris":["http://www.mendeley.com/documents/?uuid=7f6c00ad-b817-3131-86f3-fa5e8eb18832","http://www.mendeley.com/documents/?uuid=7b27d796-7aa6-4cd7-b88f-972eb0dd8e55"]}],"mendeley":{"formattedCitation":"&lt;sup&gt;65&lt;/sup&gt;","plainTextFormattedCitation":"65","previouslyFormattedCitation":"&lt;sup&gt;65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65</w:t>
      </w:r>
      <w:r w:rsidRPr="00875798">
        <w:rPr>
          <w:rFonts w:ascii="Helvetica" w:hAnsi="Helvetica" w:cs="Helvetica"/>
        </w:rPr>
        <w:fldChar w:fldCharType="end"/>
      </w:r>
      <w:r w:rsidRPr="00875798">
        <w:rPr>
          <w:rFonts w:ascii="Helvetica" w:hAnsi="Helvetica" w:cs="Helvetica"/>
        </w:rPr>
        <w:t xml:space="preserve">. With regard to frequency, physical activity and exercise on a day-to-day basis are associated with improved bone strength and a lower risk of hip fracture </w:t>
      </w:r>
      <w:r w:rsidRPr="00875798">
        <w:rPr>
          <w:rFonts w:ascii="Helvetica" w:hAnsi="Helvetica" w:cs="Helvetica"/>
        </w:rPr>
        <w:fldChar w:fldCharType="begin" w:fldLock="1"/>
      </w:r>
      <w:r w:rsidRPr="00875798">
        <w:rPr>
          <w:rFonts w:ascii="Helvetica" w:hAnsi="Helvetica" w:cs="Helvetica"/>
        </w:rPr>
        <w:instrText>ADDIN CSL_CITATION {"citationItems":[{"id":"ITEM-1","itemData":{"ISBN":"0002-8614 (Print)\\r0002-8614 (Linking)","ISSN":"0002-8614 (Print) 0002-8614 (Linking)","PMID":"10968291","abstract":"OBJECTIVES: Assess the relationship between physical activity and risk for falls and osteoporotic fractures among older adults. DESIGN: Review and synthesis of published literature. MEASUREMENTS: We searched the literature using MEDLINE, Current Contents, and the bibliographies of articles identified. We included randomized controlled trials (RCT) of the effects of physical activity on the incidence of falls and case-control and prospective cohort studies of the association of physical activity with osteoporotic fracture risk. We also summarized mechanisms whereby physical activity may influence risk for falls and fractures. RESULTS: Observational epidemiologic studies and randomized clinical trials evaluating the effectiveness of physical activity programs to prevent falls have been inconclusive. However, many studies have lacked adequate statistical power, and recent trials suggest that exercise, particularly involving balance and lower extremity strength training, may reduce risk of falling. There is consistent evidence from prospective and case-control studies that physical activity is associated with a 20-40% reduced risk of hip fracture relative to sedentary individuals. The few studies that have examined the association between physical activity and risk of other common osteoporotic fractures, such as vertebral and wrist fractures, have not found physical activity to be protective. CONCLUSIONS: Epidemiologic studies suggest that higher levels of leisure time physical activity prevent hip fractures and RCTs suggest certain exercise programs may reduce risk of falls. Future research needs to evaluate the types and quantity of physical activity needed for optimal protection from falls and identify which populations will benefit most from exercise.","author":[{"dropping-particle":"","family":"Gregg","given":"E W","non-dropping-particle":"","parse-names":false,"suffix":""},{"dropping-particle":"","family":"Pereira","given":"M A","non-dropping-particle":"","parse-names":false,"suffix":""},{"dropping-particle":"","family":"Caspersen","given":"C J","non-dropping-particle":"","parse-names":false,"suffix":""}],"container-title":"J Am Geriatr Soc","id":"ITEM-1","issue":"8","issued":{"date-parts":[["2000","8"]]},"page":"883-893","title":"Physical activity, falls, and fractures among older adults: a review of the epidemiologic evidence","type":"article-journal","volume":"48"},"uris":["http://www.mendeley.com/documents/?uuid=bbac615f-0fef-48b5-ae78-43d9c6671f21","http://www.mendeley.com/documents/?uuid=a5fc583d-7565-3595-8031-6944d128aee5"]},{"id":"ITEM-2","itemData":{"DOI":"10.1016/S8756-3282(02)00711-1","ISBN":"8756-3282 (Print)\\r1873-2763 (Linking)","ISSN":"87563282","PMID":"11996922","abstract":"Physical activity during the first three decades of life may increase peak bone mass and reduce future osteoporosis risk. The aim of this study was to determine the extent to which different components of physical activity may influence bone mineral status within a representative population sample of young men and women. Bone mineral density (BMD) and content (BMC) were determined at the lumbar spine and femoral neck in 242 men and 212 women, aged 20-25 years, by dual-energy X-ray absorptiometry. Physical activity was assessed by a self-report questionnaire designed to measure the frequency and duration of physical activity and its components (i.e., work, non-sports leisure, sports-related activities, and peak strain sports activities). Potential confounding factors such as height, weight, diet, and smoking habits were also assessed. In multivariate linear regression models, sports activity and peak strain sports activity undertaken by men were strongly associated with both lumbar spine BMD (β = 0.35 [0.21, 0.49] and β = 0.31 [0.17, 0.44], respectively) and BMC (β = 0.33 [0.21, 0.45] and β = 0.26 [0.14, 0.38], respectively) and femoral neck BMD (β = 0.35 [0.21, 0.48] and β = 0.27 [0.14, 0.40], respectively) and BMC (β = 0.32 [0.19, 0.44] and β = 0.29 [0.17, 0.41], respectively) (all p &lt; 0.01), but work and non-sports leisure activities were not. In women, there were no associations between bone measurements and any component of physical activity. In models involving all subjects the gender/sports activity, but not the gender/peak strain, interaction term was statistically significant. Sports activity explained 10.4% of the observed variance in lumbar spine BMD in men, but &lt;1% in women. These results demonstrate the importance of sports activities, especially those involving high peak strain, in determining peak bone status in young men. Failure to observe this association in women reflects their lower participation in such activities, but they may have the same capacity to benefit from these activities as men. Intervention studies are warranted to determine whether peak bone density in women can be improved by participating, during childhood and adolescence, in sports activities involving high peak strain. © 2002 by Elsevier Science Inc. All rights reserved.","author":[{"dropping-particle":"","family":"Neville","given":"C. E.","non-dropping-particle":"","parse-names":false,"suffix":""},{"dropping-particle":"","family":"Murray","given":"L. J.","non-dropping-particle":"","parse-names":false,"suffix":""},{"dropping-particle":"","family":"Boreham","given":"C. A.G.","non-dropping-particle":"","parse-names":false,"suffix":""},{"dropping-particle":"","family":"Gallagher","given":"A. M.","non-dropping-particle":"","parse-names":false,"suffix":""},{"dropping-particle":"","family":"Twisk","given":"J.","non-dropping-particle":"","parse-names":false,"suffix":""},{"dropping-particle":"","family":"Robson","given":"P. J.","non-dropping-particle":"","parse-names":false,"suffix":""},{"dropping-particle":"","family":"Savage","given":"J. M.","non-dropping-particle":"","parse-names":false,"suffix":""},{"dropping-particle":"","family":"Kemper","given":"H. C.G.","non-dropping-particle":"","parse-names":false,"suffix":""},{"dropping-particle":"","family":"Ralston","given":"S. H.","non-dropping-particle":"","parse-names":false,"suffix":""},{"dropping-particle":"","family":"Davey Smith","given":"G.","non-dropping-particle":"","parse-names":false,"suffix":""}],"container-title":"Bone","id":"ITEM-2","issue":"5","issued":{"date-parts":[["2002","5"]]},"page":"792-798","title":"Relationship between physical activity and bone mineral status in young adults: The Northern Ireland young hearts project","type":"paper-conference","volume":"30"},"uris":["http://www.mendeley.com/documents/?uuid=629ba73f-47d8-3124-86db-d18be1344149","http://www.mendeley.com/documents/?uuid=a0b97a41-28b5-4aeb-8fab-13960ec5b700"]},{"id":"ITEM-3","itemData":{"DOI":"10.1007/s00198-013-2429-z","ISBN":"3143627344","ISSN":"0937941X","PMID":"23812598","abstract":"UNLABELLED: Our objective was to examine associations of physical activity in different life domains with peak femoral neck strength relative to load in adult women. Greater physical activity in each of the domains of sport, active living, home, and work was associated with higher peak femoral neck strength relative to load.\\n\\nINTRODUCTION: Our objective was to examine the associations of physical activity in different life domains with peak femoral neck strength relative to load in adult women. Composite indices of femoral neck strength integrate body size with femoral neck size and bone mineral density to gauge bone strength relative to load during a fall, and are inversely associated with incident fracture risk.\\n\\nMETHODS: Participants were 1,919 pre- and early perimenopausal women from the Study of Women's Health Across the Nation. Composite indices of femoral neck strength relative to load in three failure modes (compression, bending, and impact) were created from hip dual-energy X-ray absorption scans and body size. Usual physical activity within the past year was assessed with the Kaiser Physical Activity Survey in four domains: sport, home, active living, and work. We used multiple linear regression to examine the associations.\\n\\nRESULTS: Greater physical activity in each of the four domains was independently associated with higher composite indices, adjusted for age, menopausal transition stage, race/ethnicity, Study of Women's Health Across the Nation study site, smoking status, smoking pack-years, alcohol consumption level, current use of supplementary calcium, current use of supplementary vitamin D, current use of bone-adverse medications, prior use of any sex steroid hormone pills or patch, prior use of depo-provera injections, history of hyperthyroidism, history of previous adult fracture, and employment status: standardized effect sizes ranged from 0.04 (p &lt; 0.05) to 0.20 (p &lt; 0.0001).\\n\\nCONCLUSIONS: Physical activity in each domain examined was associated with higher peak femoral neck strength relative to load in pre- and early perimenopausal women.","author":[{"dropping-particle":"","family":"Mori","given":"T.","non-dropping-particle":"","parse-names":false,"suffix":""},{"dropping-particle":"","family":"Ishii","given":"S.","non-dropping-particle":"","parse-names":false,"suffix":""},{"dropping-particle":"","family":"Greendale","given":"G. A.","non-dropping-particle":"","parse-names":false,"suffix":""},{"dropping-particle":"","family":"Cauley","given":"J. A.","non-dropping-particle":"","parse-names":false,"suffix":""},{"dropping-particle":"","family":"Sternfeld","given":"B.","non-dropping-particle":"","parse-names":false,"suffix":""},{"dropping-particle":"","family":"Crandall","given":"C. J.","non-dropping-particle":"","parse-names":false,"suffix":""},{"dropping-particle":"","family":"Han","given":"W.","non-dropping-particle":"","parse-names":false,"suffix":""},{"dropping-particle":"","family":"Karlamangla","given":"A. S.","non-dropping-particle":"","parse-names":false,"suffix":""}],"container-title":"Osteoporosis International","id":"ITEM-3","issue":"1","issued":{"date-parts":[["2014","1"]]},"page":"265-272","publisher":"Springer London","title":"Physical activity as determinant of femoral neck strength relative to load in adult women: Findings from the hip strength across the menopause transition study","type":"article-journal","volume":"25"},"uris":["http://www.mendeley.com/documents/?uuid=73939525-4677-3477-a81d-8a0874a51196","http://www.mendeley.com/documents/?uuid=aedab6d8-f70b-4085-be6c-9d833415fe8f"]}],"mendeley":{"formattedCitation":"&lt;sup&gt;1,66,67&lt;/sup&gt;","plainTextFormattedCitation":"1,66,67","previouslyFormattedCitation":"&lt;sup&gt;1,66,67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1,66,67</w:t>
      </w:r>
      <w:r w:rsidRPr="00875798">
        <w:rPr>
          <w:rFonts w:ascii="Helvetica" w:hAnsi="Helvetica" w:cs="Helvetica"/>
        </w:rPr>
        <w:fldChar w:fldCharType="end"/>
      </w:r>
      <w:r w:rsidRPr="00875798">
        <w:rPr>
          <w:rFonts w:ascii="Helvetica" w:hAnsi="Helvetica" w:cs="Helvetica"/>
        </w:rPr>
        <w:t>.</w:t>
      </w:r>
    </w:p>
    <w:p w14:paraId="03181397"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With regard to frequency of resistance exercise or combined exercise modes, the majority of studies that showed BMD improvements prescribed exercise on two or three days per week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Reviews","id":"ITEM-1","issue":"7","issued":{"date-parts":[["2011"]]},"page":"1-167","title":"Exercise for preventing and treating osteoporosis in postmenopausal women","type":"article-journal","volume":"2011"},"uris":["http://www.mendeley.com/documents/?uuid=9df55b14-bbc0-4af5-b26c-1f9742a80a88"]}],"mendeley":{"formattedCitation":"&lt;sup&gt;26&lt;/sup&gt;","plainTextFormattedCitation":"26","previouslyFormattedCitation":"&lt;sup&gt;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26</w:t>
      </w:r>
      <w:r w:rsidRPr="00875798">
        <w:rPr>
          <w:rFonts w:ascii="Helvetica" w:hAnsi="Helvetica" w:cs="Helvetica"/>
        </w:rPr>
        <w:fldChar w:fldCharType="end"/>
      </w:r>
      <w:r w:rsidRPr="00875798">
        <w:rPr>
          <w:rFonts w:ascii="Helvetica" w:hAnsi="Helvetica" w:cs="Helvetica"/>
        </w:rPr>
        <w:t xml:space="preserve">. Post hoc analysis of one long-term controlled trial demonstrated that at least two sessions per week were necessary </w:t>
      </w:r>
      <w:r w:rsidRPr="00875798">
        <w:rPr>
          <w:rFonts w:ascii="Helvetica" w:hAnsi="Helvetica" w:cs="Helvetica"/>
        </w:rPr>
        <w:fldChar w:fldCharType="begin" w:fldLock="1"/>
      </w:r>
      <w:r w:rsidRPr="00875798">
        <w:rPr>
          <w:rFonts w:ascii="Helvetica" w:hAnsi="Helvetica" w:cs="Helvetica"/>
        </w:rPr>
        <w:instrText>ADDIN CSL_CITATION {"citationItems":[{"id":"ITEM-1","itemData":{"DOI":"10.1111/sms.12024","ISSN":"16000838","PMID":"23190199","abstract":"The purpose of this study was to determine the long-term dose-response relationship of exercise frequency on areal bone mineral density (aBMD) in early post-menopausal women with osteopenia. Based on the 12-year results of the consequently supervised exercise group (EG) of the Erlangen Fitness and Osteoporosis Prevention Study, we retrospectively structured two exercise groups according to the overall exercise frequency. Changes in aBMD at lumbar spine and proximal femur as assessed by dual-energy x-ray absorptiometry technique were compared between a low-frequency exercise group (LEF-EG, n=16) with 1.5-&lt;2 sessions/week and a high-frequency exercise group (HEF-EG, n=25) with ≥2-3.5 sessions/week. Changes in aBMD at the lumbar spine and proximal femur were significantly more favorable in the HEF-EG compared with the LEF-EG; lumbar spine: (mean value±standard deviation) 1.1±4.7% vs -4.1±3.0%; P=0.001, ES: d'=1.26; total hip: -4.4±3.9% vs -6.7±3.5%, P=0.045, ES: d'=0.70). BMD results of the LEF-EG did not significantly differ from the data of the non-training control group (lumbar spine: -4.4±5.2%, total hip: -6.9±5.0%). Although this result might not be generalizable across all exercise types and cohorts, it indicates that to impact bone, an overall exercise frequency of at least 2 sessions/week may be crucial, even if exercise is applied with high intensity/impact. © 2012 John Wiley &amp; Sons A/S.","author":[{"dropping-particle":"","family":"Kemmler","given":"W.","non-dropping-particle":"","parse-names":false,"suffix":""},{"dropping-particle":"","family":"Stengel","given":"S.","non-dropping-particle":"von","parse-names":false,"suffix":""}],"container-title":"Scandinavian Journal of Medicine and Science in Sports","id":"ITEM-1","issue":"3","issued":{"date-parts":[["2014"]]},"page":"526-534","title":"Dose-response effect of exercise frequency on bone mineral density in post-menopausal, osteopenic women","type":"article-journal","volume":"24"},"uris":["http://www.mendeley.com/documents/?uuid=4d315e69-02ad-45ef-8407-019c8ced92a0"]}],"mendeley":{"formattedCitation":"&lt;sup&gt;68&lt;/sup&gt;","plainTextFormattedCitation":"68","previouslyFormattedCitation":"&lt;sup&gt;68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68</w:t>
      </w:r>
      <w:r w:rsidRPr="00875798">
        <w:rPr>
          <w:rFonts w:ascii="Helvetica" w:hAnsi="Helvetica" w:cs="Helvetica"/>
        </w:rPr>
        <w:fldChar w:fldCharType="end"/>
      </w:r>
      <w:r w:rsidRPr="00875798">
        <w:rPr>
          <w:rFonts w:ascii="Helvetica" w:hAnsi="Helvetica" w:cs="Helvetica"/>
        </w:rPr>
        <w:t xml:space="preserve">. A recent randomised controlled trial of a combination of high intensity, progressive resistance training with impact exercise demonstrated that just two, 30-minute sessions per week were sufficient to increase BMD in women and men with osteoporosis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{"citationItems":[{"id":"ITEM-1","itemData":{"DOI":"10.1002/jbmr.3284","ISSN":"15234681","PMID":"28975661","abstract":"Optimal osteogenic mechanical loading requires the application of high-magnitude strains at high rates. High-intensity resistance and impact training (HiRIT) applies such loads but is not traditionally recommended for individuals with osteoporosis because of a perceived high risk of fracture. The purpose of the LIFTMOR trial was to determine the efficacy and to monitor adverse events of HiRIT to reduce parameters of risk for fracture in postmenopausal women with low bone mass. Postmenopausal women with low bone mass (T-score &lt; –1.0, screened for conditions and medications that influence bone and physical function) were recruited and randomized to either 8 months of twice-weekly, 30-minute, supervised HiRIT (5 sets of 5 repetitions, &gt;85% 1 repetition maximum) or a home-based, low-intensity exercise program (CON). Pre- and post-intervention testing included lumbar spine and proximal femur bone mineral density (BMD) and measures of functional performance (timed up-and-go, functional reach, 5 times sit-to-stand, back and leg strength). A total of 101 women (aged 65 ± 5 years, 161.8 ± 5.9 cm, 63.1 ± 10.4 kg) participated in the trial. HiRIT (n = 49) effects were superior to CON (n = 52) for lumbar spine (LS) BMD (2.9 ± 2.8% versus –1.2 ± 2.8%, p &lt; 0.001), femoral neck (FN) BMD (0.3 ± 2.6% versus –1.9 ± 2.6%, p = 0.004), FN cortical thickness (13.6 ± 16.6% versus 6.3 ± 16.6%, p = 0.014), height (0.2 ± 0.5 cm versus –0.2 ± 0.5 cm, p = 0.004), and all functional performance measures (p &lt; 0.001). Compliance was high (HiRIT 92 ± 11%; CON 85 ± 24%) in both groups, with only one adverse event reported (HiRIT: minor lower back spasm, 2/70 missed training sessions). Our novel, brief HiRIT program enhances indices of bone strength and functional performance in postmenopausal women with low bone mass. Contrary to current opinion, HiRIT was efficacious and induced no adverse events under highly supervised conditions for our sample of otherwise healthy postmenopausal women with low to very low bone mass. © 2017 American Society for Bone and Mineral Research.","author":[{"dropping-particle":"","family":"Watson","given":"Steven L.","non-dropping-particle":"","parse-names":false,"suffix":""},{"dropping-particle":"","family":"Weeks","given":"Benjamin K.","non-dropping-particle":"","parse-names":false,"suffix":""},{"dropping-particle":"","family":"Weis","given":"Lisa J.","non-dropping-particle":"","parse-names":false,"suffix":""},{"dropping-particle":"","family":"Harding","given":"Amy T.","non-dropping-particle":"","parse-names":false,"suffix":""},{"dropping-particle":"","family":"Horan","given":"Sean A.","non-dropping-particle":"","parse-names":false,"suffix":""},{"dropping-particle":"","family":"Beck","given":"Belinda R.","non-dropping-particle":"","parse-names":false,"suffix":""}],"container-title":"Journal of Bone and Mineral Research","id":"ITEM-1","issue":"2","issued":{"date-parts":[["2018"]]},"page":"211-220","title":"High-Intensity Resistance and Impact Training Improves Bone Mineral Density and Physical Function in Postmenopausal Women With Osteopenia and Osteoporosis: The LIFTMOR Randomized Controlled Trial","type":"article-journal","volume":"33"},"uris":["http://www.mendeley.com/documents/?uuid=e6785efc-d25b-4328-a4e0-2f730e0c6907"]},{"id":"ITEM-2","itemData":{"DOI":"10.1002/jbmr.4008","ISSN":"15234681","PMID":"32176813","abstract":"The Lifting Intervention For Training Muscle and Osteoporosis Rehabilitation for Men (LIFTMOR-M) trial examined efficacy and safety of two novel exercise programs in older men with low BMD. Men with low hip and/or LS BMD were randomized to high-intensity progressive resistance and impact training (HiRIT) or machine-based isometric axial compression (IAC) and compared to a nonrandomized matched control (CON). Outcomes included: hip and LS BMD; calcaneal ultrasound parameters; anthropometry; body composition; function (timed up-and-go [TUG], five-times sit-to-stand [FTSTS]); back extensor strength (BES); leg extensor strength (LES); compliance and adverse events. Ninety-three men (67.1 ± 7.5 years; 82.1 ± 11.6 kg; 175.2 ± 6.7 cm; FN T-score −1.6 ± 0.6) were randomized to HiRIT (n = 34) or IAC (n = 33), or allocated to CON (n = 26). HiRIT improved trochanteric BMD (2.8 ± 0.8%; −0.1 ± 0.9%, p =.024), LS BMD (4.1 ± 0.7%; 0.9 ± 0.8%, p =.003), BUA (2.2 ± 0.7%; −0.8 ± 0.9%, p =.009), stiffness index (1.6 ± 0.9%; −2.0 ± 1.1%, p =.011), lean mass (1.5 ± 0.8%; −2.4 ± 0.9%, p =.002), TUG, FTSTS, BES, and LES (p &lt;.05) compared with CON. IAC improved lean mass (0.8 ± 0.8%; −2.4 ± 0.9%, p =.013) and FTSTS (−4.5 ± 1.6%; 7.5 ± 2.0%, p &lt;.001) compared with CON. HiRIT improved LS BMD (4.1 ± 0.7%; 2.0 ± 0.7%, p =.039), stiffness index (1.6 ± 0.9%; −1.3 ± 0.9%, p =.025), and FTSTS (−10.7 ± 1.6%; −4.5 ± 1.7%, p =.010) compared with IAC. Exercise compliance was high (HiRIT 77.8 ± 16.6%; IAC 78.5 ± 14.8%, p =.872). There were five minor adverse events (HiRIT, 2; IAC, 3). HiRIT was well-tolerated and improved bone, function and fracture risk more than CON or IAC. © 2020 American Society for Bone and Mineral Research.","author":[{"dropping-particle":"","family":"Harding","given":"Amy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R.","non-dropping-particle":"","parse-names":false,"suffix":""}],"container-title":"Journal of Bone and Mineral Research","id":"ITEM-2","issue":"8","issued":{"date-parts":[["2020"]]},"page":"1404-1414","title":"A Comparison of Bone-Targeted Exercise Strategies to Reduce Fracture Risk in Middle-Aged and Older Men with Osteopenia and Osteoporosis: LIFTMOR-M Semi-Randomized Controlled Trial","type":"article-journal","volume":"35"},"uris":["http://www.mendeley.com/documents/?uuid=1610ed83-7353-41ff-b63a-8625fdfc45d0"]}],"mendeley":{"formattedCitation":"&lt;sup&gt;58,59&lt;/sup&gt;","plainTextFormattedCitation":"58,59","previouslyFormattedCitation":"&lt;sup&gt;58,59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58,59</w:t>
      </w:r>
      <w:r w:rsidRPr="00875798">
        <w:rPr>
          <w:rFonts w:ascii="Helvetica" w:hAnsi="Helvetica" w:cs="Helvetica"/>
        </w:rPr>
        <w:fldChar w:fldCharType="end"/>
      </w:r>
      <w:r w:rsidRPr="00875798">
        <w:rPr>
          <w:rFonts w:ascii="Helvetica" w:hAnsi="Helvetica" w:cs="Helvetica"/>
        </w:rPr>
        <w:t xml:space="preserve">. </w:t>
      </w:r>
    </w:p>
    <w:p w14:paraId="4DB44080"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Meta-analysis of randomised controlled trials has demonstrated that brief, high impact interventions (e.g. jumping) can increase hip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and one study found that such exercise was most effective when performed daily, with significantly greater BMD response relative to exercise performed on just two days per week</w:t>
      </w:r>
      <w:r w:rsidRPr="00875798">
        <w:rPr>
          <w:rFonts w:ascii="Helvetica" w:hAnsi="Helvetica" w:cs="Helvetica"/>
          <w:noProof/>
          <w:vertAlign w:val="superscript"/>
        </w:rPr>
        <w:t xml:space="preserve">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{"citationItems":[{"id":"ITEM-1","itemData":{"DOI":"10.1016/j.bone.2009.12.001","ISBN":"8756-3282","ISSN":"87563282","PMID":"20004758","abstract":"Introduction: Exercise can increase bone strength, but to be effective in reducing fracture risk, exercise must be feasible enough to be adopted into daily life and influence potentially vulnerable skeletal sites such as the superolateral cortex of the femoral neck, where thinning is associated with increased fracture risk. Brief, high-impact exercise increases femoral neck bone density but the optimal frequency of such exercise and the location of bone accrual is unknown. This study thus examined (1) the effectiveness of different weekly frequencies of exercise on femoral neck BMD and (2) whether BMD change differed between hip sites using a high-impact, unilateral intervention. Methods: Healthy premenopausal women were randomly assigned to exercise 0, 2, 4, or 7 days/week for 6 months. The exercise intervention incorporated 50 multidirectional hops on one randomly selected leg. BMD was measured by DXA at baseline and after 6 months of exercise. Changes in the exercise leg were compared between groups using ANCOVA, with change in the control leg and baseline BMD as covariates. RM-MANOVA was conducted to determine whether bone changes from exercise differed between hip sites. Results: 61 women (age 33.6±11.1 years) completed the intervention. Compliance amongst exercisers was 86.7±10.6%. Peak ground reaction forces during exercise increased from 2.5 to 2.8 times body weight. The change in femoral neck BMD in the exercise limb (adjusted for change in the control limb and baseline BMD) differed between groups (p=0.015), being -0.3% (-1.2 to 0.6), 0.0% (-1.0 to 1.0), 0.9% (-0.1 to 2.0) and 1.8% (0.8 to 2.8) in those exercising 0, 2, 4 and 7 days per week, respectively. When BMD changes at upper neck, lower neck and trochanter were compared using RM-MANOVA, a significant exercise effect was observed (p=0.048), but this did not differ significantly between sites (p=0.439) despite greatest mean increases at the upper femoral neck. Conclusions: Brief, daily hopping exercises increased femoral neck BMD in premenopausal women but less frequent exercise was not effective. Brief high-impact exercise may have a role in reducing hip fragility, but may need to be performed frequently for optimal response. © 2009 Elsevier Inc.","author":[{"dropping-particle":"","family":"Bailey","given":"Christine A.","non-dropping-particle":"","parse-names":false,"suffix":""},{"dropping-particle":"","family":"Brooke-Wavell","given":"Katherine","non-dropping-particle":"","parse-names":false,"suffix":""}],"container-title":"Bone","id":"ITEM-1","issue":"4","issued":{"date-parts":[["2010"]]},"page":"1043-1049","title":"Optimum frequency of exercise for bone health: Randomised controlled trial of a high-impact unilateral intervention","type":"article-journal","volume":"46"},"uris":["http://www.mendeley.com/documents/?uuid=a2db20cc-730b-4b0b-a74d-ed83c954aed9","http://www.mendeley.com/documents/?uuid=851ddadc-bce4-4ac4-b2d7-e33598507379"]}],"mendeley":{"formattedCitation":"&lt;sup&gt;69&lt;/sup&gt;","plainTextFormattedCitation":"69","previouslyFormattedCitation":"&lt;sup&gt;69&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69</w:t>
      </w:r>
      <w:r w:rsidRPr="00875798">
        <w:rPr>
          <w:rFonts w:ascii="Helvetica" w:hAnsi="Helvetica" w:cs="Helvetica"/>
        </w:rPr>
        <w:fldChar w:fldCharType="end"/>
      </w:r>
      <w:r w:rsidRPr="00875798">
        <w:rPr>
          <w:rFonts w:ascii="Helvetica" w:hAnsi="Helvetica" w:cs="Helvetica"/>
        </w:rPr>
        <w:t xml:space="preserve">. Finally, the most recent review of physical activity and osteoporosis prevention in people aged 65+ recommends multiple exercise types, including resistance exercise,  for 60+ minutes, 2-3 times a week for 7+ months </w:t>
      </w:r>
      <w:r w:rsidRPr="00875798">
        <w:rPr>
          <w:rFonts w:ascii="Helvetica" w:hAnsi="Helvetica" w:cs="Helvetica"/>
        </w:rPr>
        <w:fldChar w:fldCharType="begin" w:fldLock="1"/>
      </w:r>
      <w:r w:rsidRPr="00875798">
        <w:rPr>
          <w:rFonts w:ascii="Helvetica" w:hAnsi="Helvetica" w:cs="Helvetica"/>
        </w:rPr>
        <w:instrText>ADDIN CSL_CITATION {"citationItems":[{"id":"ITEM-1","itemData":{"DOI":"10.1186/s12966-020-01040-4","ISBN":"1296602001","ISSN":"14795868","PMID":"33239014","abstract":"Background: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Activity","id":"ITEM-1","issue":"1","issued":{"date-parts":[["2020"]]},"number-of-pages":"1-53","publisher":"International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mendeley":{"formattedCitation":"&lt;sup&gt;25&lt;/sup&gt;","plainTextFormattedCitation":"25","previouslyFormattedCitation":"&lt;sup&gt;32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25</w:t>
      </w:r>
      <w:r w:rsidRPr="00875798">
        <w:rPr>
          <w:rFonts w:ascii="Helvetica" w:hAnsi="Helvetica" w:cs="Helvetica"/>
        </w:rPr>
        <w:fldChar w:fldCharType="end"/>
      </w:r>
      <w:r w:rsidRPr="00875798">
        <w:rPr>
          <w:rFonts w:ascii="Helvetica" w:hAnsi="Helvetica" w:cs="Helvetica"/>
        </w:rPr>
        <w:t xml:space="preserve">. </w:t>
      </w:r>
    </w:p>
    <w:p w14:paraId="171B54A2" w14:textId="77777777" w:rsidR="000F5BC4" w:rsidRPr="00875798" w:rsidRDefault="000F5BC4" w:rsidP="000F5BC4">
      <w:pPr>
        <w:pStyle w:val="Heading3"/>
        <w:spacing w:before="240"/>
        <w:rPr>
          <w:rFonts w:ascii="Helvetica" w:hAnsi="Helvetica" w:cs="Helvetica"/>
          <w:bCs/>
          <w:i/>
          <w:iCs/>
          <w:color w:val="auto"/>
        </w:rPr>
      </w:pPr>
      <w:bookmarkStart w:id="24" w:name="_Toc96616276"/>
      <w:r w:rsidRPr="00875798">
        <w:rPr>
          <w:rFonts w:ascii="Helvetica" w:hAnsi="Helvetica" w:cs="Helvetica"/>
          <w:bCs/>
          <w:i/>
          <w:iCs/>
          <w:color w:val="auto"/>
        </w:rPr>
        <w:t>Site specificity</w:t>
      </w:r>
      <w:bookmarkEnd w:id="24"/>
    </w:p>
    <w:p w14:paraId="0E8A8513"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Loading stimulates very localised bone adaptation, with gains evident at only the loaded skeletal sites. Even within a single region of interest such as the femoral neck, a small overall benefit was associated with much larger localised increases in cortical and trabecular bone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{"citationItems":[{"id":"ITEM-1","itemData":{"DOI":"10.1002/jbmr.2499","ISSN":"15234681 08840431","abstract":"© 2015 American Society for Bone and Mineral Research. Regular exercisers have lower fracture risk, despite modest effects of exercise on bone mineral content (BMC). Exercise may produce localized cortical and trabecular bone changes that affect bone strength independently of BMC. We previously demonstrated that brief, daily unilateral hopping exercises increased femoral neck BMC in the exercise leg versus the control leg of older men. This study evaluated the effects of these exercises on cortical and trabecular bone and its 3D distribution across the proximal femur, using clinical CT. Fifty healthy men had pelvic CT scans before and after the exercise intervention. We used hip QCT analysis to quantify BMC in traditional regions of interest and estimate biomechanical variables. Cortical bone mapping localized cortical mass surface density and endocortical trabecular density changes across each proximal femur, which involved registration to a canonical proximal femur model. Following statistical parametric mapping, we visualized and quantified statistically significant changes of variables over time in both legs, and significant differences between legs. Thirty-four men aged mean (SD) 70 (4) years exercised for 12-months, attending 92% of prescribed sessions. In traditional regions of interest, cortical and trabecular BMC increased over time in both legs. Cortical BMC at the trochanter increased more in the exercise than control leg, whereas femoral neck buckling ratio declined more in the exercise than control leg. Across the entire proximal femur, cortical mass surface density increased significantly with exercise (2.7%; p &lt; 0.001), with larger changes (&gt; 6%) at anterior and posterior aspects of the femoral neck and anterior shaft. Endocortical trabecular density also increased (6.4%; p &lt; 0.001), with localized changes of &gt; 12% at the anterior femoral neck, trochanter, and inferior femoral head. Odd impact exercise increased cortical mass surface density and endocortical trabecular density, at regions that may be important to structural integrity. These exercise-induced changes were localized rather than being evenly distributed across the proximal femur.","author":[{"dropping-particle":"","family":"Allison","given":"S.J.","non-dropping-particle":"","parse-names":false,"suffix":""},{"dropping-particle":"","family":"Poole","given":"K.E.S.","non-dropping-particle":"","parse-names":false,"suffix":""},{"dropping-particle":"","family":"Treece","given":"G.M.","non-dropping-particle":"","parse-names":false,"suffix":""},{"dropping-particle":"","family":"Gee","given":"A.H.","non-dropping-particle":"","parse-names":false,"suffix":""},{"dropping-particle":"","family":"Tonkin","given":"C.","non-dropping-particle":"","parse-names":false,"suffix":""},{"dropping-particle":"","family":"Rennie","given":"W.J.","non-dropping-particle":"","parse-names":false,"suffix":""},{"dropping-particle":"","family":"Folland","given":"J.P.","non-dropping-particle":"","parse-names":false,"suffix":""},{"dropping-particle":"","family":"Summers","given":"G.D.","non-dropping-particle":"","parse-names":false,"suffix":""},{"dropping-particle":"","family":"Brooke-Wavell","given":"K.","non-dropping-particle":"","parse-names":false,"suffix":""}],"container-title":"Journal of Bone and Mineral Research","id":"ITEM-1","issue":"9","issued":{"date-parts":[["2015"]]},"page":"1709-1716","title":"The influence of high-impact exercise on cortical and trabecular bone mineral content and 3D distribution across the proximal femur in older men: A randomized controlled unilateral intervention","type":"article-journal","volume":"30"},"uris":["http://www.mendeley.com/documents/?uuid=e68d2b3d-da56-37f2-94f3-ab088bab7a4e"]}],"mendeley":{"formattedCitation":"&lt;sup&gt;70&lt;/sup&gt;","plainTextFormattedCitation":"70","previouslyFormattedCitation":"&lt;sup&gt;70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70</w:t>
      </w:r>
      <w:r w:rsidRPr="00875798">
        <w:rPr>
          <w:rFonts w:ascii="Helvetica" w:hAnsi="Helvetica" w:cs="Helvetica"/>
        </w:rPr>
        <w:fldChar w:fldCharType="end"/>
      </w:r>
      <w:r w:rsidRPr="00875798">
        <w:rPr>
          <w:rFonts w:ascii="Helvetica" w:hAnsi="Helvetica" w:cs="Helvetica"/>
        </w:rPr>
        <w:t>. As such, it is important that exercise is targeted to apply loading to the skeletal sites susceptible to osteoporotic fracture, such as spine, proximal femur, and forearm, or multi-directional to load multiple sites.</w:t>
      </w:r>
    </w:p>
    <w:p w14:paraId="731FE28C"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At the spine, greatest benefits were observed from a combination of resistance and weightbearing activity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Activity","id":"ITEM-5","issue":"1","issued":{"date-parts":[["2020"]]},"number-of-pages":"1-53","publisher":"International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behaviour","type":"book","volume":"17"},"uris":["http://www.mendeley.com/documents/?uuid=7bf3624a-5bc7-438f-8048-df9cc2de3aab"]},{"id":"ITEM-6","itemData":{"DOI":"10.1002/14651858.CD000333.pub2.","ISSN":"1469493X","PMID":"21735380","abstract":"Background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Reviews","id":"ITEM-6","issue":"7","issued":{"date-parts":[["2011"]]},"page":"1-167","title":"Exercise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 xml:space="preserve">. Benefits were also observed from resistance training alone, although variability in response may arise from variation in the type or intensity of exercises incorporated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review","type":"article-journal","volume":"24"},"uris":["http://www.mendeley.com/documents/?uuid=789f751f-2685-44df-9a9f-6f1a8dd586b9"]},{"id":"ITEM-5","itemData":{"DOI":"10.1186/s12966-020-01040-4","ISBN":"1296602001","ISSN":"14795868","PMID":"33239014","abstract":"Background: Various physical activity interventions for prevention and treatment of osteoporosis have been designed and evaluated, but the effect of such interventions on the prevention of osteoporosis in older people is unclear. The aim of this review was to investigate the association between physical activity and osteoporosis prevention in people aged 65 years and above. Methods: A systematic review was conducted and searches for individual studies were conducted in PubMed (January 2010 to March 2020) and for systematic reviews were conducted in PubMed, Embase, CINAHL and SPORTDiscus (January 2008 to July 2020). Records were screened according to the following eligibility criteria: i) population: adults aged 65 years and older; ii) exposure: greater volume, duration, frequency, or intensity of physical activity; iii) comparison: no physical activity or lesser volume, duration, frequency, or intensity of physical activity; iv) outcome: osteoporosis related measures (e.g., bone mineral density). The methodological quality of included studies was assessed and meta-analysis summarised study effects. The GRADE approach was used to rate certainty of evidence. Results: We included a total of 59 studies, including 12 observational studies and 47 trials. Within the included trials, 40 compared physical activity with no intervention controls, 11 compared two physical activity programs, and six investigated different doses of physical activity. Included studies suggest that physical activity interventions probably improve bone health among older adults and thus prevent osteoporosis (standardised effect size 0.15, 95% CI 0.05 to 0.25, 20 trials, moderate-certainty evidence, main or most relevant outcome selected for each of the included studies). Physical activity interventions probably improve lumbar spine bone mineral density (standardised effect size 0.17, 95% CI 0.04 to 0.30, 11 trials, moderate-certainty evidence) and may improve hip (femoral neck) bone mineral density (standardised effect size 0.09, 95% CI − 0.03 to 0.21, 14 trials, low-certainty evidence). Higher doses of physical activity and programs involving multiple exercise types or resistance exercise appear to be most effective. Typical programs for which significant intervention impacts were detected in trials were undertaken for 60+ mins, 2–3 times/week for 7+ months. Observational studies suggested a positive association between long-term total and planned physical activity on bone health. Conc…","author":[{"dropping-particle":"","family":"Pinheiro","given":"Marina B.","non-dropping-particle":"","parse-names":false,"suffix":""},{"dropping-particle":"","family":"Oliveira","given":"Juliana","non-dropping-particle":"","parse-names":false,"suffix":""},{"dropping-particle":"","family":"Bauman","given":"Adrian","non-dropping-particle":"","parse-names":false,"suffix":""},{"dropping-particle":"","family":"Fairhall","given":"Nicola","non-dropping-particle":"","parse-names":false,"suffix":""},{"dropping-particle":"","family":"Kwok","given":"Wing","non-dropping-particle":"","parse-names":false,"suffix":""},{"dropping-particle":"","family":"Sherrington","given":"Catherine","non-dropping-particle":"","parse-names":false,"suffix":""}],"container-title":"International Journal of Behavioral Nutrition and Physical Activity","id":"ITEM-5","issue":"1","issued":{"date-parts":[["2020"]]},"number-of-pages":"1-53","publisher":"International Journal of Behavioral Nutrition and Physical Activity","title":"Evidence on physical activity and osteoporosis prevention for people aged 65+ years: a systematic review to inform the WHO guidelines on physical activity and sedentary behaviour","type":"book","volume":"17"},"uris":["http://www.mendeley.com/documents/?uuid=7bf3624a-5bc7-438f-8048-df9cc2de3aab"]},{"id":"ITEM-6","itemData":{"DOI":"10.1002/14651858.CD000333.pub2.","ISSN":"1469493X","PMID":"21735380","abstract":"Background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Reviews","id":"ITEM-6","issue":"7","issued":{"date-parts":[["2011"]]},"page":"1-167","title":"Exercise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 xml:space="preserve">. Improving the strength of back muscles may also reduce the risk of vertebral fracture </w:t>
      </w:r>
      <w:r w:rsidRPr="00875798">
        <w:rPr>
          <w:rFonts w:ascii="Helvetica" w:hAnsi="Helvetica" w:cs="Helvetica"/>
        </w:rPr>
        <w:fldChar w:fldCharType="begin" w:fldLock="1"/>
      </w:r>
      <w:r w:rsidRPr="00875798">
        <w:rPr>
          <w:rFonts w:ascii="Helvetica" w:hAnsi="Helvetica" w:cs="Helvetica"/>
        </w:rPr>
        <w:instrText>ADDIN CSL_CITATION {"citationItems":[{"id":"ITEM-1","itemData":{"DOI":"10.1016/S8756-3282(02)00739-1","ISSN":"87563282","PMID":"12052450","abstract":"The long-term protective effect of stronger back muscles on the spine was determined in 50 healthy white postmenopausal women, aged 58-75 years, 8 years after they had completed a 2 year randomized, controlled trial. Twenty-seven subjects had performed progressive, resistive back-strengthening exercises for 2 years and 23 had served as controls. Bone mineral density, spine radiographs, back extensor strength, biochemical marker values, and level of physical activity were obtained for all subjects at baseline, 2 years, and 10 years. Mean back extensor strength (BES) in the back-exercise (BE) group was 39.4 kg at baseline, 66.8 kg at 2 years (after 2 years of prescribed exercises), and 32.9 kg at 10 years (8 years after cessation of the prescribed exercises). Mean BES in the control (C) group was 36.9 kg at baseline, 49.0 kg at 2 years, and 26.9 kg at 10 years. The difference between the two groups was still statistically significant at 10 year follow-up (p = 0.001). The difference in bone mineral density, which was not significant between the two groups at baseline and 2 year follow-up, was significant at 10 year follow-up (p = 0.0004). The incidence of vertebral compression fracture was 14 fractures in 322 vertebral bodies examined (4.3%) in the C group and 6 fractures in 378 vertebral bodies examined (1.6%) in the BE group (chi-square test, p = 0.0290). The relative risk for compression fracture was 2.7 times greater in the C group than in the BE group. To our knowledge, this is the first study reported in the literature demonstrating the long-term effect of strong back muscles on the reduction of vertebral fractures in estrogen-deficient women. © 2002 by Elsevier Science Inc. All rights reserved.","author":[{"dropping-particle":"","family":"Sinaki","given":"M.","non-dropping-particle":"","parse-names":false,"suffix":""},{"dropping-particle":"","family":"Itoi","given":"E.","non-dropping-particle":"","parse-names":false,"suffix":""},{"dropping-particle":"","family":"Wahner","given":"H. W.","non-dropping-particle":"","parse-names":false,"suffix":""},{"dropping-particle":"","family":"Wollan","given":"P.","non-dropping-particle":"","parse-names":false,"suffix":""},{"dropping-particle":"","family":"Gelzcer","given":"R.","non-dropping-particle":"","parse-names":false,"suffix":""},{"dropping-particle":"","family":"Mullan","given":"B. P.","non-dropping-particle":"","parse-names":false,"suffix":""},{"dropping-particle":"","family":"Collins","given":"D. A.","non-dropping-particle":"","parse-names":false,"suffix":""},{"dropping-particle":"","family":"Hodgson","given":"S. F.","non-dropping-particle":"","parse-names":false,"suffix":""}],"container-title":"Bone","id":"ITEM-1","issue":"6","issued":{"date-parts":[["2002"]]},"page":"836-841","title":"Stronger back muscles reduce the incidence of vertebral fractures: A prospective 10 year follow-up of postmenopausal women","type":"article-journal","volume":"30"},"uris":["http://www.mendeley.com/documents/?uuid=702fb983-882f-4dbc-ac9c-c02eedab98d2"]}],"mendeley":{"formattedCitation":"&lt;sup&gt;71&lt;/sup&gt;","plainTextFormattedCitation":"71","previouslyFormattedCitation":"&lt;sup&gt;71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71</w:t>
      </w:r>
      <w:r w:rsidRPr="00875798">
        <w:rPr>
          <w:rFonts w:ascii="Helvetica" w:hAnsi="Helvetica" w:cs="Helvetica"/>
        </w:rPr>
        <w:fldChar w:fldCharType="end"/>
      </w:r>
      <w:r w:rsidRPr="00875798">
        <w:rPr>
          <w:rFonts w:ascii="Helvetica" w:hAnsi="Helvetica" w:cs="Helvetica"/>
        </w:rPr>
        <w:t xml:space="preserve">. Impact exercise alone did not significantly benefit the spine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xml:space="preserve">. </w:t>
      </w:r>
    </w:p>
    <w:p w14:paraId="2942FAFD"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At the proximal femur, benefits were observed from impact exercise alone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{"citationItems":[{"id":"ITEM-1","itemData":{"DOI":"10.1007/s00198-011-1801-0","ISSN":"0937941X","PMID":"21953474","abstract":"Summary A snapshot of current evidence from 6 randomised controlled trials for the effects of short bouts of high impact exercises in 256 women via meta-analysis reveals that ample osteogenic response could be realised at the femoral neck and trochanter of premenopausal women with rest-inserted bouts of few mechanical bone loading cycles. Introduction Exercise is an important means of improving bone health and preventing osteoporosis. Brief bouts of simple exercises may be useful for aiding lifestyle compliance to physical activity. This study aimed to review the evidence on the effect of brief, high-impact exercise on bone health among premenopausal women. Methods A structured and comprehensive search of databases was undertaken along with hand searching of key journals and reference lists to locate relevant studies published and unpublished up to January 2011. Six randomised controlled trials met predetermined inclusion criteria. Brief high-impact exercises (&lt;30 min) were examined for their effect on bone mineral density (BMD) among premenopausal women. Trial quality was assessed using the Effective Public Health Practice Project quality assessment tool. Study outcomes for analysis, absolute change (grams per square centimetre) or relative change (in percent) in BMD at femoral neck, trochanter and lumbar spine were compared by calculating standardised mean difference (SMD) using fixed- and random effects models. Results Quality of included trials varied from medium to high on a scale of 1 to 3. Brief bouts of exercise led to significant increases in femoral neck BMD (SMD=0.64, 95%confidence interval (CI)=0.38, 0.90, overall effect Z value=4.84, p=0.001); a modest increase in trochanteric BMD (SMD=0.36, 95% CI=0.10, 0.61, Z value=2.08, p=0.04) and no increase in spinal BMD (SMD=0.04, 95% CI=-0.23, 0.31, Z value=0.26, p=0.79). Conclusion Based on the meta-analysis, brief high-impact exercise improves BMD at the hip but not at the lumbar spine. Effectiveness of this form of exercise as a lifestyle physical activity for prevention of osteoporosis should be explored in larger populations. © International Osteoporosis Foundation and National Osteoporosis Foundation 2011.","author":[{"dropping-particle":"","family":"Babatunde","given":"O. O.","non-dropping-particle":"","parse-names":false,"suffix":""},{"dropping-particle":"","family":"Forsyth","given":"J. J.","non-dropping-particle":"","parse-names":false,"suffix":""},{"dropping-particle":"","family":"Gidlow","given":"C. J.","non-dropping-particle":"","parse-names":false,"suffix":""}],"container-title":"Osteoporosis International","id":"ITEM-1","issue":"1","issued":{"date-parts":[["2012"]]},"page":"109-119","title":"A meta-analysis of brief high-impact exercises for enhancing bone health in premenopausal women","type":"article-journal","volume":"23"},"uris":["http://www.mendeley.com/documents/?uuid=64a9c54f-8683-4740-bdae-6a47d91b5f9a"]},{"id":"ITEM-2","itemData":{"DOI":"10.1007/s00774-009-0139-6","ISSN":"09148779","PMID":"20013013","abstract":"Our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Metabolism","id":"ITEM-2","issue":"3","issued":{"date-parts":[["2010"]]},"page":"251-267","title":"Effects of different impact exercise modalities on bone mineral density in premenopausal women: A meta-analysis","type":"article-journal","volume":"28"},"uris":["http://www.mendeley.com/documents/?uuid=025fc3f3-ebd1-4a4c-9af0-4c0b2bccdbe6"]},{"id":"ITEM-3","itemData":{"DOI":"10.1007/s40279-014-0220-8","ISSN":"11792035","PMID":"24981245","abstract":"Background: Jumping exercise is frequently regarded as an optimum strategy for increasing pubertal bone growth, but its role in promoting or preserving adult bone mineral density (BMD) is still undefined.\nObjectives: This meta-analysis aimed to evaluate the evidence for the influence of jumping exercise on BMD in premenopausal women and to define the effectiveness of high-impact exercise in improving or maintaining female bone health.\nMethods: We searched MEDLINE, PubMed, EMBASE, SPORTDiscus, Google Scholar and BIOSIS up to 1 September 2013 for jumping exercise influence on BMD in premenopausal women. The search terms used were ‘jumping’, ‘skipping’, ‘brief exercise’, ‘high impact’, ‘bone density’, ‘BMD’, ‘femoral neck’, ‘lumbar spine’, and ‘trochanter’, and the search was limited to females. Six papers met the search criteria.\nResults: Six studies on BMD in the femoral neck (Q = 2.63, p = 0.854, I2 = 0.0 %), trochanter (Q = 2.10, p = 0.10, I2 = 0.0 %) and lumbar spine (Q = 1.17, p = 0.979, I2 = 0.0 %) were highly homogenous in determining skeletal responses to jumping exercise. Jumping exercise significantly increased BMD in the femoral neck {weighted mean difference (WMD) [fixed effect] = 0.017 g/cm2, 95 % confidence interval (CI) 0.014–0.20, p &lt; 0.001} and trochanter (WMD [fixed effect] = 0.021, 95 % CI 0.018–0.024, p &lt; 0.001). However, the lumbar spine seemed to benefit less from such high-impact exercise (p = 0.181). Visual inspection of the plots implicated some degree of asymmetry, indicating a slightly positive treatment effect at the femoral neck and trochanter sites.\nConclusions: Based on meta-analysis of existing studies, the sensitivity of skeletal response to jumping exercise in premenopausal women is significant and site-specific, with significant benefit from high-impact exercise noted, especially at the hip.","author":[{"dropping-particle":"","family":"Zhao","given":"Renqing","non-dropping-particle":"","parse-names":false,"suffix":""},{"dropping-particle":"","family":"Zhao","given":"Meihua","non-dropping-particle":"","parse-names":false,"suffix":""},{"dropping-particle":"","family":"Zhang","given":"Liuji","non-dropping-particle":"","parse-names":false,"suffix":""}],"container-title":"Sports Medicine","id":"ITEM-3","issue":"10","issued":{"date-parts":[["2014"]]},"page":"1393-1402","title":"Efficiency of Jumping Exercise in Improving Bone Mineral Density Among Premenopausal Women: A Meta-Analysis","type":"article-journal","volume":"44"},"uris":["http://www.mendeley.com/documents/?uuid=0a88391b-8e38-41f8-8465-8c1fccc85d69"]}],"mendeley":{"formattedCitation":"&lt;sup&gt;12,15,22&lt;/sup&gt;","plainTextFormattedCitation":"12,15,22","previouslyFormattedCitation":"&lt;sup&gt;12,23,30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12,15,22</w:t>
      </w:r>
      <w:r w:rsidRPr="00875798">
        <w:rPr>
          <w:rFonts w:ascii="Helvetica" w:hAnsi="Helvetica" w:cs="Helvetica"/>
        </w:rPr>
        <w:fldChar w:fldCharType="end"/>
      </w:r>
      <w:r w:rsidRPr="00875798">
        <w:rPr>
          <w:rFonts w:ascii="Helvetica" w:hAnsi="Helvetica" w:cs="Helvetica"/>
        </w:rPr>
        <w:t xml:space="preserve"> or in combination with resistance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Reviews","id":"ITEM-5","issue":"7","issued":{"date-parts":[["2011"]]},"page":"1-167","title":"Exercise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 xml:space="preserve">. Again, some benefits were also observed from resistance training alone, although variability in response may arise from variation in the type or intensity of exercises incorporated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{"citationItems":[{"id":"ITEM-1","itemData":{"DOI":"10.1007/s00774-009-0139-6","ISSN":"09148779","PMID":"20013013","abstract":"Our objective was to assess the effects of differing modes of impact exercise on bone density at the hip and spine in premenopausal women through systematic review and meta-analysis. Electronic databases, key journals and reference lists were searched for controlled trials investigating the effects of impact exercise interventions on lumbar spine (LS), femoral neck (FN) and total hip (TH) bone mineral density (BMD) in premenopausal women. Exercise protocols were categorised according to impact loading characteristics. Weighted mean difference (WMD) meta-analyses were undertaken. Heterogeneity amongst trials was assessed. Fixed and random effects models were applied. Inspection of funnel plot symmetry was performed. Trial quality assessment was also undertaken. Combined protocols integrating odd- or high-impact exercise with high-magnitude loading (resistance exercises), were effective in increasing BMD at both LS and FN [WMD (fixed effect) 0.009 g cm-2 95% CI (0.002-0.015) and 0.007 g cm-2 95% CI (0.001-0.013); P = 0.011 and 0.017, respectively]. High-impact only protocols were effective on femoral neck BMD [WMD (fixed effect) 0.024 g cm-2 95% CI (0.002-0.027); P&lt;0.00001]. Funnel plots showed some asymmetry for positive BMD outcomes. Insufficient numbers of protocols assessing TH BMD were available for assessment. Exercise programmes that combine odd- or high-impact activity with highmagnitude resistance training appear effective in augmenting BMD in premenopausal women at the hip and spine. High-impact-alone protocols are effective only on hip BMD in this group. However, diverse methodological and reporting discrepancies are evident in published trials. © The Japanese Society for Bone and Mineral Research and Springer 2009.","author":[{"dropping-particle":"","family":"Martyn St James","given":"Marrissa","non-dropping-particle":"","parse-names":false,"suffix":""},{"dropping-particle":"","family":"Carroll","given":"Sean","non-dropping-particle":"","parse-names":false,"suffix":""}],"container-title":"Journal of Bone and Mineral Metabolism","id":"ITEM-1","issue":"3","issued":{"date-parts":[["2010"]]},"page":"251-267","title":"Effects of different impact exercise modalities on bone mineral density in premenopausal women: A meta-analysis","type":"article-journal","volume":"28"},"uris":["http://www.mendeley.com/documents/?uuid=025fc3f3-ebd1-4a4c-9af0-4c0b2bccdbe6"]},{"id":"ITEM-2","itemData":{"DOI":"10.1186/1471-2474-13-177","ISSN":"14712474","PMID":"22992273","abstract":"Background: Low bone mineral density (BMD) and subsequent fractures are a major public health problem in postmenopausal women. The purpose of this study was to use the aggregate data meta-analytic approach to examine the effects of ground (for example, walking) and/or joint reaction (for example, strength training) exercise on femoral neck (FN) and lumbar spine (LS) BMD in postmenopausal women. Methods. The a priori inclusion criteria were: (1) randomized controlled trials, (2) exercise intervention24weeks, (3) comparative control group, (4) postmenopausal women, (5) participants not regularly active, i.e., less than 150minutes of moderate intensity (3.0 to 5.9 metabolic equivalents) weight bearing endurance activity per week, less than 75minutes of vigorous intensity (&gt; 6.0 metabolic equivalents) weight bearing endurance activity per week, resistance training &lt; 2 times per week, (6) published and unpublished studies in any language since January 1, 1989, (7) BMD data available at the FN and/or LS. Studies were located by searching six electronic databases, cross-referencing, hand searching and expert review. Dual selection of studies and data abstraction were performed. Hedges standardized effect size (g) was calculated for each FN and LS BMD result and pooled using random-effects models. Z-score alpha values, 95%confidence intervals (CI) and number-needed-to-treat (NNT) were calculated for pooled results. Heterogeneity was examined using Q and I 2 . Mixed-effects ANOVA and simple meta-regression were used to examine changes in FN and LS BMD according to selected categorical and continuous variables. Statistical significance was set at an alpha value 0.05 and a trend at &gt;0.05 to0.10. Results: Small, statistically significant exercise minus control group improvements were found for both FN (28gs, 1632 participants, g=0.288, 95% CI=0.102, 0.474, p=0.002, Q=90.5, p&lt;0.0001, I 2 =70.1%, NNT=6) and LS (28gs, 1504 participants, g=0.179, 95% CI=0.003, 0.361, p=0.05, Q=77.7, p&lt;0.0001, I 2 =65.3%, NNT=6) BMD. Clinically, it was estimated that the overall changes in FN and LS would reduce the 20-year relative risk of osteoporotic fracture at any site by approximately 11% and 10%, respectively. None of the mixed-effects ANOVA analyses were statistically significant. Statistically significant, or a trend for statistically significant, associations were observed for changes in FN and LS BMD and 20 different predictors. Conclusions: The overall findings suggest that …","author":[{"dropping-particle":"","family":"Kelley","given":"George A.","non-dropping-particle":"","parse-names":false,"suffix":""},{"dropping-particle":"","family":"Kelley","given":"Kristi S.","non-dropping-particle":"","parse-names":false,"suffix":""},{"dropping-particle":"","family":"Kohrt","given":"Wendy M.","non-dropping-particle":"","parse-names":false,"suffix":""}],"container-title":"BMC Musculoskeletal Disorders","id":"ITEM-2","issued":{"date-parts":[["2012"]]},"title":"Effects of ground and joint reaction force exercise on lumbar spine and femoral neck bone mineral density in postmenopausal women: A meta-analysis of randomized controlled trials","type":"article-journal","volume":"13"},"uris":["http://www.mendeley.com/documents/?uuid=af56067b-eb71-4b4e-bfca-a61628f46f8a"]},{"id":"ITEM-3","itemData":{"DOI":"10.1007/s11357-011-9311-8","ISSN":"01619152","PMID":"21922251","abstract":"The purpose of the study was to assess the effects of exercise interventions with different impact loading characteristics on lumbar spine (LS) and femoral neck (FN) bone mineral density (BMD) in older adults. We searched electronic databases and hand searched selected journals up to February 2011 for randomized controlled trials (RCTs) investigating the effects of impact exercise interventions on LS and FN BMD in older adults. Exercise protocols were categorized according to impact loading characteristics. Weighted mean difference (WMD) meta-analyses were undertaken. Heterogeneity amongst trials and publication bias was tested. Random-effects models were applied. Trial quality assessment was also undertaken. Nineteen RCTs, including 1577 subjects, met the inclusion criteria. Twenty-two study group comparisons reported BMD data at the LS. Meta-analysis showed a significant change in BMD at this site (WMD 0.011 g/cm2, 95% CI 0.003 to 0.020; p = 0.007), although results were moderately inconsistent (I 2 = 52.2%). BMD data at the FN were available from 19 study group comparisons among older adults. Results were inconsistent (I 2 = 63.6%) in showing a significant positive effect of exercise on BMD at this site (WMD 0.016 g/cm2, 95% CI 0.005 to 0.027; p = 0.004). Combined loading studies of impact activity mixed with high-magnitude joint reaction force loading through resistance training were effective at LS (WMD 0.016 g/cm2, 95% CI 0.002 to 0.036; p = 0.028), and no inconsistency existed among these trials. Odd-impact protocols were also effective in increasing BMD at LS (WMD 0.039 g/cm2, 95% CI 0.002 to 0.075; p = 0.038) and FN (WMD 0.036 g/cm2, 95% CI 0.012 to 0.061; p = 0.004), although heterogeneity was evident (I 2 = 87.5% and I 2 = 83.5%, respectively). We found consistency among results for low-impact and resistance exercise studies on LS and FN, although non-significant BMD changes were evident amongst these types of protocols at any site and amongst the RCTs that provided a combined loading impact exercise at FN. Funnel plots showed no evidence of publication bias. Trial quality was moderate to high. The findings from our meta-analysis of RCTs support the efficacy of exercise for increasing LS and FN BMD in older adults. © 2011 American Aging Association.","author":[{"dropping-particle":"","family":"Marques","given":"Elisa A.","non-dropping-particle":"","parse-names":false,"suffix":""},{"dropping-particle":"","family":"Mota","given":"Jorge","non-dropping-particle":"","parse-names":false,"suffix":""},{"dropping-particle":"","family":"Carvalho","given":"Joana","non-dropping-particle":"","parse-names":false,"suffix":""}],"container-title":"Age","id":"ITEM-3","issue":"6","issued":{"date-parts":[["2012"]]},"page":"1493-1515","title":"Exercise effects on bone mineral density in older adults: A meta-analysis of randomized controlled trials","type":"article-journal","volume":"34"},"uris":["http://www.mendeley.com/documents/?uuid=b0585b0a-e240-4050-b348-af1560b4cd63"]},{"id":"ITEM-4","itemData":{"DOI":"10.1007/s00198-013-2346-1","ISBN":"0019801323461","ISSN":"0937941X","PMID":"23552825","abstract":"Although trials have shown that exercise has positive effects on bone mineral density (BMD), the majority of exercise trials have been conducted in older women. The aim of this study was to systematically review trials examining the effect of weight-bearing and resistance-based exercise modalities on the BMD of hip and lumbar spine of middle-aged and older men. Eight electronic databases were searched in August 2012. Randomised controlled or controlled trials that assessed the effect of weight-bearing and resistance-based exercise interventions on BMD measured by dual-energy x-ray absorptiometry, and reported effects in middle-aged and older men were included. Eight trials detailed in nine papers were included. The interventions included walking (n = 2), resistance training (n = 3), walking + resistance training (n = 1), resistance training + impact-loading activities (n = 1) and resistance training + Tai Chi (n = 1). Five of the eight trials achieved a score of less than 50 % on the modified Delphi quality rating scale. Further, there was heterogeneity in the type, intensity, frequency and duration of the exercise regimens. Effects of exercise varied greatly among studies, with six interventions having a positive effect on BMD and two interventions having no significant effect. It appears that resistance training alone or in combination with impact-loading activities are most osteogenic for this population, whereas the walking trials had limited effect on BMD. Therefore, regular resistance training and impact-loading activities should be considered as a strategy to prevent osteoporosis in middle-aged and older men. High quality randomised controlled trials are needed to establish the optimal exercise prescription. © 2013 International Osteoporosis Foundation and National Osteoporosis Foundation.","author":[{"dropping-particle":"","family":"Bolam","given":"K. A.","non-dropping-particle":"","parse-names":false,"suffix":""},{"dropping-particle":"","family":"Uffelen","given":"J. G.Z.","non-dropping-particle":"Van","parse-names":false,"suffix":""},{"dropping-particle":"","family":"Taaffe","given":"D. R.","non-dropping-particle":"","parse-names":false,"suffix":""}],"container-title":"Osteoporosis International","id":"ITEM-4","issue":"11","issued":{"date-parts":[["2013"]]},"page":"2749-2762","title":"The effect of physical exercise on bone density in middle-aged and older men: A systematic review","type":"article-journal","volume":"24"},"uris":["http://www.mendeley.com/documents/?uuid=789f751f-2685-44df-9a9f-6f1a8dd586b9"]},{"id":"ITEM-5","itemData":{"DOI":"10.1002/14651858.CD000333.pub2.","ISSN":"1469493X","PMID":"21735380","abstract":"Background Osteoporosis is a condition resulting in an increased risk of skeletal fractures due to a reduction in the density of bone tissue. Treatment of osteoporosis typically involves the use of pharmacological agents. In general it is thought that disuse (prolonged periods of inactivity) and unloading of the skeleton promotes reduced bone mass, whereas mechanical loading through exercise increases bone mass. Objectives To examine the effectiveness of exercise interventions in preventing bone loss and fractures in postmenopausal women. Search methods During the update of this review we updated the original search strategy by searching up to December 2010 the following electronic databases: the CochraneMusculoskeletal Group's Trials Register; the Cochrane Central Register of Controlled Trials (CENTRAL) (The Cochrane Library, 2010 Issue 12); MEDLINE; EMBASE; HealthSTAR; Sports Discus; CINAHL; PEDro;Web of Science; Controlled Clinical Trials; and AMED. We attempted to identify other studies by contacting experts, searching reference lists and searching trial registers. Selection criteria All randomised controlled trials (RCTs) that met our predetermined inclusion criteria. Data collection and analysis Pairs of members of the review teamextracted the data and assessed trial quality using predetermined forms. For dichotomous outcomes (fractures), we calculated risk ratios (RRs) using a fixed-effect model. For continuous data, we calculated mean differences (MDs) of the percentage change from baseline. Where heterogeneity existed (determined by the I2 statistic), we used a random-effects model. Main results Forty-three RCTs (27 new in this update) with 4320 participants met the inclusion criteria. The most effective type of exercise intervention on bone mineral density (BMD) for the neck of femur appears to be non-weight bearing high force exercise such as progressive resistance strength training for the lower limbs (MD 1.03; 95% confidence interval (CI) 0.24 to 1.82). The most effective intervention for BMD at the spine was combination exercise programmes (MD 3.22; 95% CI 1.80 to 4.64) compared with control groups. Fractures and falls were reported as adverse events in some studies. There was no effect on numbers of fractures (odds ratio (OR) 0.61; 95% CI 0.23 to 1.64). Overall, the quality of the reporting of studies in the meta-analyses was low, in particular in the areas of sequence generation, allocation concealment, blinding and loss to follow-up. Au…","author":[{"dropping-particle":"","family":"Howe","given":"Tracey E.","non-dropping-particle":"","parse-names":false,"suffix":""},{"dropping-particle":"","family":"Shea","given":"Beverley","non-dropping-particle":"","parse-names":false,"suffix":""},{"dropping-particle":"","family":"Dawson","given":"Lesley J.","non-dropping-particle":"","parse-names":false,"suffix":""},{"dropping-particle":"","family":"Downie","given":"Fiona","non-dropping-particle":"","parse-names":false,"suffix":""},{"dropping-particle":"","family":"Murray","given":"Ann","non-dropping-particle":"","parse-names":false,"suffix":""},{"dropping-particle":"","family":"Ross","given":"Craig","non-dropping-particle":"","parse-names":false,"suffix":""},{"dropping-particle":"","family":"Harbour","given":"Robin T.","non-dropping-particle":"","parse-names":false,"suffix":""},{"dropping-particle":"","family":"Caldwell","given":"Lynn M.","non-dropping-particle":"","parse-names":false,"suffix":""},{"dropping-particle":"","family":"Creed","given":"Gisela","non-dropping-particle":"","parse-names":false,"suffix":""}],"container-title":"Cochrane Database of Systematic Reviews","id":"ITEM-5","issue":"7","issued":{"date-parts":[["2011"]]},"page":"1-167","title":"Exercise for preventing and treating osteoporosis in postmenopausal women","type":"article-journal","volume":"2011"},"uris":["http://www.mendeley.com/documents/?uuid=9df55b14-bbc0-4af5-b26c-1f9742a80a88"]}],"mendeley":{"formattedCitation":"&lt;sup&gt;13,15,24,26,29&lt;/sup&gt;","plainTextFormattedCitation":"13,15,24,26,29","previouslyFormattedCitation":"&lt;sup&gt;16,21,23,31,33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13,15,24,26,29</w:t>
      </w:r>
      <w:r w:rsidRPr="00875798">
        <w:rPr>
          <w:rFonts w:ascii="Helvetica" w:hAnsi="Helvetica" w:cs="Helvetica"/>
        </w:rPr>
        <w:fldChar w:fldCharType="end"/>
      </w:r>
      <w:r w:rsidRPr="00875798">
        <w:rPr>
          <w:rFonts w:ascii="Helvetica" w:hAnsi="Helvetica" w:cs="Helvetica"/>
        </w:rPr>
        <w:t>.</w:t>
      </w:r>
    </w:p>
    <w:p w14:paraId="09A38591" w14:textId="77777777" w:rsidR="000F5BC4" w:rsidRPr="00875798" w:rsidRDefault="000F5BC4" w:rsidP="000F5BC4">
      <w:pPr>
        <w:spacing w:before="120" w:after="0" w:line="240" w:lineRule="auto"/>
        <w:rPr>
          <w:rStyle w:val="CommentReference"/>
          <w:rFonts w:ascii="Helvetica" w:hAnsi="Helvetica" w:cs="Helvetica"/>
          <w:sz w:val="24"/>
          <w:szCs w:val="24"/>
          <w:lang w:val="en-US" w:eastAsia="ja-JP"/>
        </w:rPr>
      </w:pPr>
      <w:r w:rsidRPr="00875798">
        <w:rPr>
          <w:rFonts w:ascii="Helvetica" w:hAnsi="Helvetica" w:cs="Helvetica"/>
        </w:rPr>
        <w:t xml:space="preserve">At the forearm, a recent meta-analysis suggests that both high and low intensity resistance training can benefit BMD although effects of impact exercise was unclear </w:t>
      </w:r>
      <w:r w:rsidRPr="00875798">
        <w:rPr>
          <w:rFonts w:ascii="Helvetica" w:hAnsi="Helvetica" w:cs="Helvetica"/>
        </w:rPr>
        <w:fldChar w:fldCharType="begin" w:fldLock="1"/>
      </w:r>
      <w:r w:rsidRPr="00875798">
        <w:rPr>
          <w:rFonts w:ascii="Helvetica" w:hAnsi="Helvetica" w:cs="Helvetica"/>
        </w:rPr>
        <w:instrText>ADDIN CSL_CITATION {"citationItems":[{"id":"ITEM-1","itemData":{"abstract":"Objective To examine the effectiveness of exercises for improving forearm bone mass. Data Sources MEDLINE, EMBASE, CINAHL, AMED, Web of Science, and Cochrane CENTRAL were searched from their inception until December 2018. Study Selection Eligibility included adults undertaking upper limb exercise interventions (≥12wk) to improve bone mass. Data Extraction Screening of titles, abstracts, and full texts and data extraction were undertaken independently by pairs of reviewers. Included studies were quality appraised using Cochrane risk of bias tool. Data Synthesis Exercise interventions were classified into “resistance training” of high or low intensity (HIRT/LIRT, respectively) or “impact.” Random-effects meta-analysis of the percentage change in forearm bone mass from baseline was conducted. Twenty-six studies were included in the review, of which 21 provided suitable data for meta-analysis. Methodological quality ranged from “low” to “unclear” risk of bias. Exercise generally led to increases (moderate-quality evidence) in forearm bone mass (standard mean difference [SMD], 1.27; 95% CI, 0.66-1.88; overall effect Z value=4.10; P&lt;.001). HIRT (SMD, 1.00; 95% CI, 0.37-1.62; Z value=3.11; P=.002), and LIRT (SMD, 2.36; 95% CI, 0.37-4.36; Z value=2.33; P&lt;.001) led to moderate increases in forearm bone mass. Improvements resulting from impact exercises (SMD, 1.12; 95% CI, −1.27 to 3.50; Z value=0.92; P=.36) were not statistically significant (low-quality evidence). Conclusions There is moderate-quality evidence that exercise is effective for improving forearm bone mass. There is moderate-quality evidence that upper body resistance exercise (HIRT/LIRT) promotes forearm bone mass but low-quality evidence for impact exercise. Current evidence is equivocal regarding which exercise is most effective for improving forearm bone mass.","author":[{"dropping-particle":"","family":"Babatunde","given":"Opeyemi O","non-dropping-particle":"","parse-names":false,"suffix":""},{"dropping-particle":"","family":"Bourton","given":"Amy L","non-dropping-particle":"","parse-names":false,"suffix":""},{"dropping-particle":"","family":"Karen","given":"Hind","non-dropping-particle":"","parse-names":false,"suffix":""},{"dropping-particle":"","family":"Paskins","given":"Zoe","non-dropping-particle":"","parse-names":false,"suffix":""},{"dropping-particle":"","family":"Forsyth","given":"Jacky J","non-dropping-particle":"","parse-names":false,"suffix":""}],"container-title":"Archives of Physical Medicine and Rehabilitation","id":"ITEM-1","issue":"3","issued":{"date-parts":[["2020"]]},"page":"487-511","title":"Exercise Interventions for Preventing and Treating Low Bone Mass in the Forearm: A Systematic Review and Meta-analysis","type":"article-journal","volume":"101"},"uris":["http://www.mendeley.com/documents/?uuid=dd6cd1e4-105b-4f95-bcf6-880f36f016ce"]}],"mendeley":{"formattedCitation":"&lt;sup&gt;72&lt;/sup&gt;","plainTextFormattedCitation":"72","previouslyFormattedCitation":"&lt;sup&gt;72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72</w:t>
      </w:r>
      <w:r w:rsidRPr="00875798">
        <w:rPr>
          <w:rFonts w:ascii="Helvetica" w:hAnsi="Helvetica" w:cs="Helvetica"/>
        </w:rPr>
        <w:fldChar w:fldCharType="end"/>
      </w:r>
      <w:r w:rsidRPr="00875798">
        <w:rPr>
          <w:rFonts w:ascii="Helvetica" w:hAnsi="Helvetica" w:cs="Helvetica"/>
        </w:rPr>
        <w:t xml:space="preserve">. In addition, observational studies suggest that sports such as tennis that involve substantial loading of the forearm are associated with higher forearm BMD </w:t>
      </w:r>
      <w:r w:rsidRPr="00875798">
        <w:rPr>
          <w:rStyle w:val="CommentReference"/>
          <w:rFonts w:ascii="Helvetica" w:hAnsi="Helvetica" w:cs="Helvetica"/>
          <w:sz w:val="24"/>
          <w:szCs w:val="24"/>
          <w:lang w:val="en-US" w:eastAsia="ja-JP"/>
        </w:rPr>
        <w:fldChar w:fldCharType="begin" w:fldLock="1"/>
      </w:r>
      <w:r w:rsidRPr="00875798">
        <w:rPr>
          <w:rStyle w:val="CommentReference"/>
          <w:rFonts w:ascii="Helvetica" w:hAnsi="Helvetica" w:cs="Helvetica"/>
          <w:sz w:val="24"/>
          <w:szCs w:val="24"/>
          <w:lang w:val="en-US" w:eastAsia="ja-JP"/>
        </w:rPr>
        <w:instrText>ADDIN CSL_CITATION {"citationItems":[{"id":"ITEM-1","itemData":{"DOI":"10.2165/00007256-200939060-00002","ISBN":"0939060000","ISSN":"01121642","PMID":"19773527","abstract":"BACKGROUND: The optimal rehabilitation protocol after surgical repair of an Achilles tendon rupture has not been well defined. The objective of this randomized study was to compare the effect of early weight-bearing with that of non-weight-bearing on early postoperative recovery following repair of an acutely ruptured Achilles tendon. METHODS: Between October 2003 and May 2006, 110 patients with a surgically repaired Achilles tendon rupture were enrolled from one of two major trauma-care tertiary hospitals. All patients were non-weight-bearing for the first two weeks postoperatively. At the two-week postoperative visit, patients were randomized to either weight-bearing or non-weight-bearing for an additional four weeks. Compliance was measured with a pressure sensor in the fixed-hinge ankle-foot orthosis given to each patient. Follow-up assessments were performed at six weeks, three months, and six months postoperatively. The primary outcome was health-related quality of life assessed with use of the RAND 36-Item Health Survey (RAND-36). Secondary outcomes were activity level, calf strength, ankle range of motion, return to sports and work, and complications. RESULTS: Ninety-eight patients (89%) completed the six-month follow-up. At six weeks, the weight-bearing group had significantly better scores than the non-weight-bearing group in the RAND-36 domains of physical functioning, social functioning, role-emotional, and vitality scores (p &lt; 0.05). Patients in the weight-bearing group also reported fewer limitations of daily activities at six weeks postoperatively (p &lt; 0.001). At six months, no significant differences between the groups were seen in any outcome, although both groups had poor endurance of the calf musculature. No rerupture occurred in either group. CONCLUSIONS: Early weight-bearing after surgical repair of an acute Achilles tendon rupture improves health-related quality of life in the early postoperative period and has no detrimental effect on recovery.","author":[{"dropping-particle":"","family":"Guadalupe-Grau","given":"Amelia","non-dropping-particle":"","parse-names":false,"suffix":""},{"dropping-particle":"","family":"Fuentes","given":"Teresa","non-dropping-particle":"","parse-names":false,"suffix":""},{"dropping-particle":"","family":"Guerra","given":"Borja","non-dropping-particle":"","parse-names":false,"suffix":""},{"dropping-particle":"","family":"Calbet","given":"Jose A.L.","non-dropping-particle":"","parse-names":false,"suffix":""}],"container-title":"Sports Medicine","id":"ITEM-1","issue":"6","issued":{"date-parts":[["2009"]]},"page":"439-468","title":"Exercise and bone mass in adults","type":"article-journal","volume":"39"},"uris":["http://www.mendeley.com/documents/?uuid=dd28748e-81a2-4f30-b6ff-50b2751f7952","http://www.mendeley.com/documents/?uuid=f4a7bc29-7a9d-403b-8d28-ee8470cbe029"]},{"id":"ITEM-2","itemData":{"abstract":"Objective To examine the effectiveness of exercises for improving forearm bone mass. Data Sources MEDLINE, EMBASE, CINAHL, AMED, Web of Science, and Cochrane CENTRAL were searched from their inception until December 2018. Study Selection Eligibility included adults undertaking upper limb exercise interventions (≥12wk) to improve bone mass. Data Extraction Screening of titles, abstracts, and full texts and data extraction were undertaken independently by pairs of reviewers. Included studies were quality appraised using Cochrane risk of bias tool. Data Synthesis Exercise interventions were classified into “resistance training” of high or low intensity (HIRT/LIRT, respectively) or “impact.” Random-effects meta-analysis of the percentage change in forearm bone mass from baseline was conducted. Twenty-six studies were included in the review, of which 21 provided suitable data for meta-analysis. Methodological quality ranged from “low” to “unclear” risk of bias. Exercise generally led to increases (moderate-quality evidence) in forearm bone mass (standard mean difference [SMD], 1.27; 95% CI, 0.66-1.88; overall effect Z value=4.10; P&lt;.001). HIRT (SMD, 1.00; 95% CI, 0.37-1.62; Z value=3.11; P=.002), and LIRT (SMD, 2.36; 95% CI, 0.37-4.36; Z value=2.33; P&lt;.001) led to moderate increases in forearm bone mass. Improvements resulting from impact exercises (SMD, 1.12; 95% CI, −1.27 to 3.50; Z value=0.92; P=.36) were not statistically significant (low-quality evidence). Conclusions There is moderate-quality evidence that exercise is effective for improving forearm bone mass. There is moderate-quality evidence that upper body resistance exercise (HIRT/LIRT) promotes forearm bone mass but low-quality evidence for impact exercise. Current evidence is equivocal regarding which exercise is most effective for improving forearm bone mass.","author":[{"dropping-particle":"","family":"Babatunde","given":"Opeyemi O","non-dropping-particle":"","parse-names":false,"suffix":""},{"dropping-particle":"","family":"Bourton","given":"Amy L","non-dropping-particle":"","parse-names":false,"suffix":""},{"dropping-particle":"","family":"Karen","given":"Hind","non-dropping-particle":"","parse-names":false,"suffix":""},{"dropping-particle":"","family":"Paskins","given":"Zoe","non-dropping-particle":"","parse-names":false,"suffix":""},{"dropping-particle":"","family":"Forsyth","given":"Jacky J","non-dropping-particle":"","parse-names":false,"suffix":""}],"container-title":"Archives of Physical Medicine and Rehabilitation","id":"ITEM-2","issue":"3","issued":{"date-parts":[["2020"]]},"page":"487-511","title":"Exercise Interventions for Preventing and Treating Low Bone Mass in the Forearm: A Systematic Review and Meta-analysis","type":"article-journal","volume":"101"},"uris":["http://www.mendeley.com/documents/?uuid=dd6cd1e4-105b-4f95-bcf6-880f36f016ce"]}],"mendeley":{"formattedCitation":"&lt;sup&gt;72,73&lt;/sup&gt;","plainTextFormattedCitation":"72,73","previouslyFormattedCitation":"&lt;sup&gt;72,73&lt;/sup&gt;"},"properties":{"noteIndex":0},"schema":"https://github.com/citation-style-language/schema/raw/master/csl-citation.json"}</w:instrText>
      </w:r>
      <w:r w:rsidRPr="00875798">
        <w:rPr>
          <w:rStyle w:val="CommentReference"/>
          <w:rFonts w:ascii="Helvetica" w:hAnsi="Helvetica" w:cs="Helvetica"/>
          <w:sz w:val="24"/>
          <w:szCs w:val="24"/>
          <w:lang w:val="en-US" w:eastAsia="ja-JP"/>
        </w:rPr>
        <w:fldChar w:fldCharType="separate"/>
      </w:r>
      <w:r w:rsidRPr="00875798">
        <w:rPr>
          <w:rStyle w:val="CommentReference"/>
          <w:rFonts w:ascii="Helvetica" w:hAnsi="Helvetica" w:cs="Helvetica"/>
          <w:noProof/>
          <w:sz w:val="24"/>
          <w:szCs w:val="24"/>
          <w:vertAlign w:val="superscript"/>
          <w:lang w:val="en-US" w:eastAsia="ja-JP"/>
        </w:rPr>
        <w:t>72,73</w:t>
      </w:r>
      <w:r w:rsidRPr="00875798">
        <w:rPr>
          <w:rStyle w:val="CommentReference"/>
          <w:rFonts w:ascii="Helvetica" w:hAnsi="Helvetica" w:cs="Helvetica"/>
          <w:sz w:val="24"/>
          <w:szCs w:val="24"/>
          <w:lang w:val="en-US" w:eastAsia="ja-JP"/>
        </w:rPr>
        <w:fldChar w:fldCharType="end"/>
      </w:r>
      <w:r w:rsidRPr="00875798">
        <w:rPr>
          <w:rFonts w:ascii="Helvetica" w:hAnsi="Helvetica" w:cs="Helvetica"/>
        </w:rPr>
        <w:t xml:space="preserve"> and strength </w:t>
      </w:r>
      <w:r w:rsidRPr="00875798">
        <w:rPr>
          <w:rFonts w:ascii="Helvetica" w:hAnsi="Helvetica" w:cs="Helvetica"/>
        </w:rPr>
        <w:fldChar w:fldCharType="begin" w:fldLock="1"/>
      </w:r>
      <w:r w:rsidRPr="00875798">
        <w:rPr>
          <w:rFonts w:ascii="Helvetica" w:hAnsi="Helvetica" w:cs="Helvetica"/>
        </w:rPr>
        <w:instrText>ADDIN CSL_CITATION {"citationItems":[{"id":"ITEM-1","itemData":{"DOI":"10.1249/MSS.0000000000002571","ISBN":"0000000000","ISSN":"15300315","PMID":"33394902","abstract":"Purpose Physical activity benefits bone mass and cortical bone size. The current study assessed the impact of chronic (≥10 yr) physical activity on trabecular microarchitectural properties and microfinite element analyses of estimated bone strength. Methods Female collegiate-level tennis players (n = 15; age = 20.3 ± 0.9 yr) were used as a within-subject controlled model of chronic unilateral upper-extremity physical activity. Racquet-to-nonracquet arm differences at the distal radius and radial diaphysis were assessed using high-resolution peripheral quantitative computed tomography. The distal tibia and the tibial diaphysis in both legs were also assessed, and cross-country runners (n = 15; age = 20.8 ± 1.2 yr) included as controls. Results The distal radius of the racquet arm had 11.8% (95% confidence interval [CI] = 7.9% to 15.7%) greater trabecular bone volume/tissue volume, with trabeculae that were greater in number, thickness, connectivity, and proximity to each other than that in the nonracquet arm (all P &lt; 0.01). Combined with enhanced cortical bone properties, the microarchitectural advantages at the distal radius contributed a 18.7% (95% CI = 13.0% to 24.4%) racquet-to-nonracquet arm difference in predicted load before failure. At the radial diaphysis, predicted load to failure was 9.6% (95% CI = 6.7% to 12.6%) greater in the racquet versus nonracquet arm. There were fewer and smaller side-to-side differences at the distal tibia; however, the tibial diaphysis in the leg opposite the racquet arm was larger with a thicker cortex and had 4.4% (95% CI = 1.7% to 7.1%) greater strength than the contralateral leg. Conclusion Chronically elevated physical activity enhances trabecular microarchitecture and microfinite element estimated strength, furthering observations from short-term longitudinal studies. The data also demonstrate that tennis players exhibit crossed symmetry wherein the leg opposite the racquet arm possesses enhanced tibial properties compared with in the contralateral leg.","author":[{"dropping-particle":"","family":"Warden","given":"Stuart J.","non-dropping-particle":"","parse-names":false,"suffix":""},{"dropping-particle":"","family":"Wright","given":"Christian S.","non-dropping-particle":"","parse-names":false,"suffix":""},{"dropping-particle":"","family":"Fuchs","given":"Robyn K.","non-dropping-particle":"","parse-names":false,"suffix":""}],"container-title":"Medicine and Science in Sports and Exercise","id":"ITEM-1","issue":"6","issued":{"date-parts":[["2021"]]},"page":"1179-1187","title":"Bone Microarchitecture and Strength Adaptation to Physical Activity: A Within-Subject Controlled HRpQCT Study","type":"article-journal","volume":"53"},"uris":["http://www.mendeley.com/documents/?uuid=5696a827-f4c8-4e30-92aa-4664ae43898d"]}],"mendeley":{"formattedCitation":"&lt;sup&gt;74&lt;/sup&gt;","plainTextFormattedCitation":"74","previouslyFormattedCitation":"&lt;sup&gt;74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74</w:t>
      </w:r>
      <w:r w:rsidRPr="00875798">
        <w:rPr>
          <w:rFonts w:ascii="Helvetica" w:hAnsi="Helvetica" w:cs="Helvetica"/>
        </w:rPr>
        <w:fldChar w:fldCharType="end"/>
      </w:r>
      <w:r w:rsidRPr="00875798">
        <w:rPr>
          <w:rFonts w:ascii="Helvetica" w:hAnsi="Helvetica" w:cs="Helvetica"/>
        </w:rPr>
        <w:t>.</w:t>
      </w:r>
    </w:p>
    <w:p w14:paraId="6147D45B" w14:textId="77777777" w:rsidR="000F5BC4" w:rsidRPr="00875798" w:rsidRDefault="000F5BC4" w:rsidP="000F5BC4">
      <w:pPr>
        <w:pStyle w:val="Heading3"/>
        <w:rPr>
          <w:rFonts w:ascii="Helvetica" w:hAnsi="Helvetica" w:cs="Helvetica"/>
          <w:bCs/>
          <w:i/>
          <w:iCs/>
          <w:color w:val="auto"/>
        </w:rPr>
      </w:pPr>
    </w:p>
    <w:p w14:paraId="1BAA883E" w14:textId="77777777" w:rsidR="000F5BC4" w:rsidRPr="00875798" w:rsidRDefault="000F5BC4" w:rsidP="000F5BC4">
      <w:pPr>
        <w:pStyle w:val="Heading3"/>
        <w:rPr>
          <w:rFonts w:ascii="Helvetica" w:hAnsi="Helvetica" w:cs="Helvetica"/>
          <w:bCs/>
          <w:i/>
          <w:iCs/>
          <w:color w:val="auto"/>
        </w:rPr>
      </w:pPr>
      <w:bookmarkStart w:id="25" w:name="_Toc96616277"/>
      <w:r w:rsidRPr="00875798">
        <w:rPr>
          <w:rFonts w:ascii="Helvetica" w:hAnsi="Helvetica" w:cs="Helvetica"/>
          <w:bCs/>
          <w:i/>
          <w:iCs/>
          <w:color w:val="auto"/>
        </w:rPr>
        <w:t>Other considerations</w:t>
      </w:r>
      <w:bookmarkEnd w:id="25"/>
    </w:p>
    <w:p w14:paraId="78397C8D"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lang w:val="en-US"/>
        </w:rPr>
        <w:t xml:space="preserve">Some groups need specific advice. Those with eating disorders will need advice from </w:t>
      </w:r>
      <w:r w:rsidRPr="00875798">
        <w:rPr>
          <w:rFonts w:ascii="Helvetica" w:hAnsi="Helvetica" w:cs="Helvetica"/>
          <w:color w:val="auto"/>
          <w:sz w:val="24"/>
          <w:szCs w:val="24"/>
        </w:rPr>
        <w:t>a multidisciplinary eating disorders team</w:t>
      </w:r>
      <w:r w:rsidRPr="00875798">
        <w:rPr>
          <w:rFonts w:ascii="Helvetica" w:hAnsi="Helvetica" w:cs="Helvetica"/>
          <w:color w:val="auto"/>
          <w:sz w:val="24"/>
          <w:szCs w:val="24"/>
          <w:lang w:val="en-US"/>
        </w:rPr>
        <w:t xml:space="preserve">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{"citationItems":[{"id":"ITEM-1","itemData":{"DOI":"10.1136/bjsports-2013-093218","ISBN":"1537-890X","ISSN":"03063674","PMID":"24463911","abstract":"The Female Athlete Triad is a medical condition often observed in physically active girls and women, and involves three components: (1) low energy availability with or without disordered eating, (2) menstrual dysfunction and (3) low bone mineral density. Female athletes often present with one or more of the three Triad components, and an early intervention is essential to prevent its progression to serious endpoints that include clinical eating disorders, amenorrhoea and osteoporosis. This consensus statement represents a set of recommendations developed following the 1st (San Francisco, California, USA) and 2nd (Indianapolis, Indiana, USA) International Symposia on the Female Athlete Triad. It is intended to provide clinical guidelines for physicians, athletic trainers and other healthcare providers for the screening, diagnosis and treatment of the Female Athlete Triad and to provide clear recommendations for return to play. The 2014 Female Athlete Triad Coalition Consensus Statement on Treatment and Return to Play of the Female Athlete Triad expert panel has proposed a risk stratification point system that takes into account magnitude of risk to assist the physician in decision-making regarding sport participation, clearance and return to play. Guidelines are offered for clearance categories, management by a multidisciplinary team and implementation of treatment contracts. This consensus paper has been endorsed by the Female Athlete Triad Coalition, an International Consortium of leading Triad researchers, physicians and other healthcare professionals, the American College of Sports Medicine and the American Medical Society for Sports Medicine.","author":[{"dropping-particle":"","family":"Souza","given":"Mary Jane","non-dropping-particle":"De","parse-names":false,"suffix":""},{"dropping-particle":"","family":"Nattiv","given":"Aurelia","non-dropping-particle":"","parse-names":false,"suffix":""},{"dropping-particle":"","family":"Joy","given":"Elizabeth","non-dropping-particle":"","parse-names":false,"suffix":""},{"dropping-particle":"","family":"Misra","given":"Madhusmita","non-dropping-particle":"","parse-names":false,"suffix":""},{"dropping-particle":"","family":"Williams","given":"Nancy I.","non-dropping-particle":"","parse-names":false,"suffix":""},{"dropping-particle":"","family":"Mallinson","given":"Rebecca J.","non-dropping-particle":"","parse-names":false,"suffix":""},{"dropping-particle":"","family":"Gibbs","given":"Jenna C.","non-dropping-particle":"","parse-names":false,"suffix":""},{"dropping-particle":"","family":"Olmsted","given":"Marion","non-dropping-particle":"","parse-names":false,"suffix":""},{"dropping-particle":"","family":"Goolsby","given":"Marci","non-dropping-particle":"","parse-names":false,"suffix":""},{"dropping-particle":"","family":"Matheson","given":"Gordon","non-dropping-particle":"","parse-names":false,"suffix":""}],"container-title":"British Journal of Sports Medicine","id":"ITEM-1","issue":"4","issued":{"date-parts":[["2014"]]},"page":"289","title":"2014 Female Athlete Triad Coalition Consensus Statement on Treatment and Return to Play of the Female Athlete Triad: 1st International conference held in San Francisco, California, May 2012 and 2nd International conference held in Indianapolis, Indiana, M","type":"article-journal","volume":"48"},"uris":["http://www.mendeley.com/documents/?uuid=32159708-bcdf-4346-9027-e423ae7baec7"]},{"id":"ITEM-2","itemData":{"DOI":"10.1249/MSS.0000000000000912","ISSN":"1530-0315","PMID":"26909533","abstract":"INTRODUCTION Although exercise is an effective intervention for many psychological health issues, it has often been overlooked as a potential adjunct to eating disorder (ED) treatment. Thus, our objective was to summarize the literature by synthesizing themes identified in clinical studies and explicit guidelines or recommendations for the use or management of exercise in ED interventions into a proposed set of guidelines for the use of exercise in ED treatment. METHODS A literature search in exercise science, health psychology, and the ED literature was conducted. The focus was to obtain articles that reported on therapeutic effects and/or guidelines for the therapeutic use of exercise in individuals with ED. RESULTS Our review identified 11 core themes describing techniques that have been successful in using exercise therapeutically in ED treatment. These 11 guidelines are as follows: employ a team of relevant experts, monitor medical status, screen for exercise-related psychopathology, create a written contract of how therapeutic exercise will be used, include a psychoeducational component, focus on positive reinforcement, create a graded exercise program, begin with mild-intensity exercise, tailor the mode of exercise to the needs of the individual, include a nutritional component, and debrief after exercise sessions. CONCLUSION Our review identifies specific guidelines that may enhance ED treatment outcomes. It is the first to summarize divergent literature and synthesizes previous successes that may guide the use of therapeutic exercise in some, but not all ED patients. This review provides a practical set of guidelines for the clinical management and therapeutic use of exercise in ED treatment by focusing on empowering individuals with exercise as a tool for healthy living.","author":[{"dropping-particle":"","family":"Cook","given":"Brian J","non-dropping-particle":"","parse-names":false,"suffix":""},{"dropping-particle":"","family":"Wonderlich","given":"Stephen A","non-dropping-particle":"","parse-names":false,"suffix":""},{"dropping-particle":"","family":"Mitchell","given":"James E","non-dropping-particle":"","parse-names":false,"suffix":""},{"dropping-particle":"","family":"Thompson","given":"Ron","non-dropping-particle":"","parse-names":false,"suffix":""},{"dropping-particle":"","family":"Sherman","given":"Roberta","non-dropping-particle":"","parse-names":false,"suffix":""},{"dropping-particle":"","family":"McCallum","given":"Kimberli","non-dropping-particle":"","parse-names":false,"suffix":""}],"container-title":"Medicine and science in sports and exercise","id":"ITEM-2","issue":"7","issued":{"date-parts":[["2016"]]},"page":"1408-14","publisher":"NIH Public Access","title":"Exercise in Eating Disorders Treatment: Systematic Review and Proposal of Guidelines.","type":"article-journal","volume":"48"},"uris":["http://www.mendeley.com/documents/?uuid=82a5c705-4202-3c3e-8f29-b0dededb3eaa","http://www.mendeley.com/documents/?uuid=ee0ef097-26bc-4b93-8219-02a1137a087a"]}],"mendeley":{"formattedCitation":"&lt;sup&gt;75,76&lt;/sup&gt;","plainTextFormattedCitation":"75,76","previouslyFormattedCitation":"&lt;sup&gt;85,86&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75,76</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xml:space="preserve"> as </w:t>
      </w:r>
      <w:r w:rsidRPr="00875798">
        <w:rPr>
          <w:rFonts w:ascii="Helvetica" w:hAnsi="Helvetica" w:cs="Helvetica"/>
          <w:color w:val="auto"/>
          <w:sz w:val="24"/>
          <w:szCs w:val="24"/>
        </w:rPr>
        <w:t xml:space="preserve">excessive physical activity and exercise can contribute to energy deficiency and delay recovery. Similarly, elite athletes with high training volumes may benefit from sports medicine advice as they are at increased risk of overuse injuries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{"citationItems":[{"id":"ITEM-1","itemData":{"DOI":"10.1007/s11914-007-0011-3","ISSN":"15442241","abstract":"Caloric restriction caused by undernutrition or overexercise is increasingly common and has significant health consequences such as hypothalamic amenorrhea, infertility, attainment of low peak bone mass, and bone loss leading to fracture. In these patients, the pathophysiology of amenorrhea and bone loss is multifactorial, involving hormones that integrate the nutritional state with the hypothalamic-pituitary-ovarian axis, including leptin and possibly ghrelin. The pathophysiology of bone loss includes nutritional deficiencies, possibly estrogen deficiency, and direct and indirect effects of leptin on bone. Identifying patients at risk for low bone mineral density and fracture is important, as is screening with dual energy radiograph absorptiometry. Treatment has focused on oral contraceptive use, yet improved bone mineral density is marked by nutritional recovery and anovulation reversal. Therefore, resolving the nutrition deficiency should be the cornerstone of treatment. Cognitive-behavioral therapy aims for weight recovery, which can lead to reversal of amenorrhea and improvement in other associated metabolic abnormalities. During treatment, estradiol levels can be followed to assess hypothalamic-pituitary-ovarian recovery because estradiol secretion may increase well before ovulation occurs. In patients failing the above interventions, hormone replacement should be considered, but bone mineral density should be followed because patients may continue to lose bone despite treatment with oral contraceptives if nutrition is not improved. Copyright © 2007 by Current Medicine Group LLC.","author":[{"dropping-particle":"","family":"Fenichel","given":"Rebecca M.","non-dropping-particle":"","parse-names":false,"suffix":""},{"dropping-particle":"","family":"Warren","given":"Michelle P.","non-dropping-particle":"","parse-names":false,"suffix":""}],"container-title":"Current Osteoporosis Reports","id":"ITEM-1","issue":"4","issued":{"date-parts":[["2007"]]},"page":"160-164","title":"Anorexia, bulimia, and the athletic triad: Evaluation and management","type":"article-journal","volume":"5"},"uris":["http://www.mendeley.com/documents/?uuid=681eeaa8-9ab5-47ed-bdfc-1396e2f6ac38"]},{"id":"ITEM-2","itemData":{"DOI":"10.1007/s40279-019-01217-3","ISBN":"0123456789","ISSN":"11792035","PMID":"31696452","abstract":"The Female Athlete Triad represents three interrelated conditions of (i) low energy availability (energy deficiency), presenting with or without disordered eating, (ii) menstrual dysfunction, and (iii) poor bone health, each of which can exist along a continuum of severity ranging from mild and moderate subclinical health concerns to severe clinical outcomes, including eating disorders, amenorrhea, and osteoporosis. This review provides a brief overview of the Female Athlete Triad, including updating the current thinking regarding energy availability and how it relates to reproductive function, and sets the stage for an initial working model of a similar syndrome in males that will be based on currently available evidence and will later be defined and referred to as a Male Athlete Triad by the newly re-named Female and Male Athlete Triad Coalition. A primary focus of this paper will be on the physiology of each Triad model with an emphasis on low energy availability and its role in reproductive function, with a brief introduction on its effects on bone health in men. From the data reviewed, (i) a specific threshold of energy availability below which menstrual disturbances are induced is not supported; (ii) it appears that the energetic, reproductive, and bone systems in men are more resilient to the effects of low energy availability compared to those of women, requiring more severe energetic perturbations before alterations are observed; and (iii) it appears that recovery of the hypothalamic pituitary gonadal axis can be observed more quickly in men than in women.","author":[{"dropping-particle":"","family":"Souza","given":"Mary Jane","non-dropping-particle":"De","parse-names":false,"suffix":""},{"dropping-particle":"","family":"Koltun","given":"Kristen J.","non-dropping-particle":"","parse-names":false,"suffix":""},{"dropping-particle":"","family":"Williams","given":"Nancy I.","non-dropping-particle":"","parse-names":false,"suffix":""}],"container-title":"Sports Medicine","id":"ITEM-2","issue":"0123456789","issued":{"date-parts":[["2019"]]},"page":"125-137","publisher":"Springer International Publishing","title":"The Role of Energy Availability in Reproductive Function in the Female Athlete Triad and Extension of its Effects to Men: An Initial Working Model of a Similar Syndrome in Male Athletes","type":"article-journal","volume":"49"},"uris":["http://www.mendeley.com/documents/?uuid=bccf3068-2719-498b-b3a8-7e5f41d4fbdb"]}],"mendeley":{"formattedCitation":"&lt;sup&gt;77,78&lt;/sup&gt;","plainTextFormattedCitation":"77,78","previouslyFormattedCitation":"&lt;sup&gt;87,88&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77,78</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w:t>
      </w:r>
    </w:p>
    <w:p w14:paraId="506C18BE" w14:textId="77777777" w:rsidR="000F5BC4" w:rsidRPr="00875798" w:rsidRDefault="000F5BC4" w:rsidP="000F5BC4">
      <w:pPr>
        <w:pStyle w:val="CommentText"/>
        <w:spacing w:before="120" w:after="0"/>
        <w:ind w:left="0"/>
        <w:rPr>
          <w:rFonts w:ascii="Helvetica" w:hAnsi="Helvetica" w:cs="Helvetica"/>
          <w:color w:val="auto"/>
          <w:sz w:val="24"/>
          <w:szCs w:val="24"/>
          <w:lang w:val="en-GB"/>
        </w:rPr>
      </w:pPr>
      <w:r w:rsidRPr="00875798">
        <w:rPr>
          <w:rFonts w:ascii="Helvetica" w:hAnsi="Helvetica" w:cs="Helvetica"/>
          <w:color w:val="auto"/>
          <w:sz w:val="24"/>
          <w:szCs w:val="24"/>
          <w:lang w:val="en-GB"/>
        </w:rPr>
        <w:t xml:space="preserve">Frail or sarcopenic individuals are at a higher risk of fracture and less likely to undertake physical activity </w:t>
      </w:r>
      <w:r w:rsidRPr="00875798">
        <w:rPr>
          <w:rFonts w:ascii="Helvetica" w:hAnsi="Helvetica" w:cs="Helvetica"/>
          <w:color w:val="auto"/>
          <w:sz w:val="24"/>
          <w:szCs w:val="24"/>
          <w:lang w:val="en-GB"/>
        </w:rPr>
        <w:fldChar w:fldCharType="begin" w:fldLock="1"/>
      </w:r>
      <w:r w:rsidRPr="00875798">
        <w:rPr>
          <w:rFonts w:ascii="Helvetica" w:hAnsi="Helvetica" w:cs="Helvetica"/>
          <w:color w:val="auto"/>
          <w:sz w:val="24"/>
          <w:szCs w:val="24"/>
          <w:lang w:val="en-GB"/>
        </w:rPr>
        <w:instrText>ADDIN CSL_CITATION {"citationItems":[{"id":"ITEM-1","itemData":{"DOI":"10.1111/obr.13187","ISSN":"1467789X","abstract":"Sarcopenia and obesity are common conditions in older adults that may have differing effects on falls and fracture risk. This systematic review and meta-analysis aimed to determine whether older adults with sarcopenic obesity have increased risk of falls and fractures or lower bone mass compared with older adults with sarcopenia, obesity, or neither condition. Twenty-six studies (n = 37,124) were included in the systematic review and 17 (n = 31,540) were included in the meta-analysis. Older adults with sarcopenic obesity had lower femoral neck areal bone mineral density (aBMD) compared with those with obesity alone but had higher femoral neck aBMD compared with counterparts with sarcopenia alone (both P &lt; 0.05). Older adults with sarcopenic obesity had higher nonvertebral fracture rates (incidence rate ratio: 1.88; 95% confidence intervals: 1.09, 3.23; based on two studies), compared with those with sarcopenia alone, and also had higher falls risk compared with controls (risk ratio: 1.30; 95% confidence intervals: 1.10, 1.54) and obesity alone (risk ratio: 1.17; 95% confidence intervals: 1.01, 1.36). In conclusion, this systematic review and meta-analysis has demonstrated that older adults with sarcopenic obesity are at increased risk of adverse musculoskeletal outcomes compared with individuals with obesity, sarcopenia, or neither condition. These data support the need for developing interventions to improve bone health and physical function in this population.","author":[{"dropping-particle":"","family":"Gandham","given":"Anoohya","non-dropping-particle":"","parse-names":false,"suffix":""},{"dropping-particle":"","family":"Mesinovic","given":"Jakub","non-dropping-particle":"","parse-names":false,"suffix":""},{"dropping-particle":"","family":"Jansons","given":"Paul","non-dropping-particle":"","parse-names":false,"suffix":""},{"dropping-particle":"","family":"Zengin","given":"Ayse","non-dropping-particle":"","parse-names":false,"suffix":""},{"dropping-particle":"","family":"Bonham","given":"Maxine P.","non-dropping-particle":"","parse-names":false,"suffix":""},{"dropping-particle":"","family":"Ebeling","given":"Peter R.","non-dropping-particle":"","parse-names":false,"suffix":""},{"dropping-particle":"","family":"Scott","given":"David","non-dropping-particle":"","parse-names":false,"suffix":""}],"container-title":"Obesity Reviews","id":"ITEM-1","issue":"November 2020","issued":{"date-parts":[["2021"]]},"title":"Falls, fractures, and areal bone mineral density in older adults with sarcopenic obesity: A systematic review and meta-analysis","type":"article-journal"},"uris":["http://www.mendeley.com/documents/?uuid=683585bd-d0dc-47f0-b94c-cbeea698fffd"]}],"mendeley":{"formattedCitation":"&lt;sup&gt;79&lt;/sup&gt;","plainTextFormattedCitation":"79","previouslyFormattedCitation":"&lt;sup&gt;89&lt;/sup&gt;"},"properties":{"noteIndex":0},"schema":"https://github.com/citation-style-language/schema/raw/master/csl-citation.json"}</w:instrText>
      </w:r>
      <w:r w:rsidRPr="00875798">
        <w:rPr>
          <w:rFonts w:ascii="Helvetica" w:hAnsi="Helvetica" w:cs="Helvetica"/>
          <w:color w:val="auto"/>
          <w:sz w:val="24"/>
          <w:szCs w:val="24"/>
          <w:lang w:val="en-GB"/>
        </w:rPr>
        <w:fldChar w:fldCharType="separate"/>
      </w:r>
      <w:r w:rsidRPr="00875798">
        <w:rPr>
          <w:rFonts w:ascii="Helvetica" w:hAnsi="Helvetica" w:cs="Helvetica"/>
          <w:noProof/>
          <w:color w:val="auto"/>
          <w:sz w:val="24"/>
          <w:szCs w:val="24"/>
          <w:vertAlign w:val="superscript"/>
          <w:lang w:val="en-GB"/>
        </w:rPr>
        <w:t>79</w:t>
      </w:r>
      <w:r w:rsidRPr="00875798">
        <w:rPr>
          <w:rFonts w:ascii="Helvetica" w:hAnsi="Helvetica" w:cs="Helvetica"/>
          <w:color w:val="auto"/>
          <w:sz w:val="24"/>
          <w:szCs w:val="24"/>
          <w:lang w:val="en-GB"/>
        </w:rPr>
        <w:fldChar w:fldCharType="end"/>
      </w:r>
      <w:r w:rsidRPr="00875798">
        <w:rPr>
          <w:rFonts w:ascii="Helvetica" w:hAnsi="Helvetica" w:cs="Helvetica"/>
          <w:color w:val="auto"/>
          <w:sz w:val="24"/>
          <w:szCs w:val="24"/>
          <w:lang w:val="en-GB"/>
        </w:rPr>
        <w:t xml:space="preserve">. Low gait speed or muscle strength may reduce the ability to undertake higher intensity activity, although gains are still possible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{"citationItems":[{"id":"ITEM-1","itemData":{"DOI":"10.1007/s00198-016-3875-1","ISSN":"14332965","PMID":"28035445","abstract":"Summary: It is uncertain whether subjects with mild knee osteoarthritis, and who may be at risk of osteoporosis, can exercise safely with the aim of improving hip bone strength. This RCT showed that participating in a high-impact exercise program improved femoral neck strength without any detrimental effects on knee cartilage composition. Introduction: No previous studies have examined whether high-impact exercise can improve bone strength and articular cartilage quality in subjects with mild knee osteoarthritis. In this 12-month RCT, we assessed the effects of progressive high-impact exercise on femoral neck structural strength and biochemical composition of knee cartilage in postmenopausal women. Methods: Eighty postmenopausal women with mild knee radiographic osteoarthritis were randomly assigned into the exercise (n = 40) or control (n = 40) group. Femoral neck structural strength was assessed with dual-energy X-ray absorptiometry. The knee cartilage region exposed to exercise loading was measured by the quantitative MRI techniques of T2 mapping and delayed gadolinium-enhanced MRI of cartilage (dGEMRIC). Also, an accelerometer-based body movement monitor was used to evaluate the total physical activity loading on the changes of femoral neck strength in all participants. Training effects on the outcome variables were estimated by the bootstrap analysis of covariance. Results: A significant between-group difference in femoral neck bending strength in favor of the trainees was observed after the 12-month intervention (4.4%, p &lt; 0.01). The change in femoral neck bending strength remained significant after adjusting for baseline value, age, height, and body mass (4.0%, p = 0.020). In all participants, the change in bending strength was associated with the total physical activity loading (r = 0.29, p = 0.012). The exercise participation had no effect on knee cartilage composition. Conclusion: The high-impact training increased femoral neck strength without having any harmful effect on knee cartilage in women with mild knee osteoarthritis. These findings imply that progressive high-impact exercise is a feasible method in seeking to prevent hip fractures in postmenopausal women whose articular cartilage may also be frail.","author":[{"dropping-particle":"","family":"Multanen","given":"J.","non-dropping-particle":"","parse-names":false,"suffix":""},{"dropping-particle":"","family":"Rantalainen","given":"T.","non-dropping-particle":"","parse-names":false,"suffix":""},{"dropping-particle":"","family":"Kautiainen","given":"H.","non-dropping-particle":"","parse-names":false,"suffix":""},{"dropping-particle":"","family":"Ahola","given":"R.","non-dropping-particle":"","parse-names":false,"suffix":""},{"dropping-particle":"","family":"Jämsä","given":"T.","non-dropping-particle":"","parse-names":false,"suffix":""},{"dropping-particle":"","family":"Nieminen","given":"M. T.","non-dropping-particle":"","parse-names":false,"suffix":""},{"dropping-particle":"","family":"Lammentausta","given":"E.","non-dropping-particle":"","parse-names":false,"suffix":""},{"dropping-particle":"","family":"Häkkinen","given":"A.","non-dropping-particle":"","parse-names":false,"suffix":""},{"dropping-particle":"","family":"Kiviranta","given":"I.","non-dropping-particle":"","parse-names":false,"suffix":""},{"dropping-particle":"","family":"Heinonen","given":"A.","non-dropping-particle":"","parse-names":false,"suffix":""}],"container-title":"Osteoporosis International","id":"ITEM-1","issue":"4","issued":{"date-parts":[["2017"]]},"page":"1323-1333","publisher":"Osteoporosis International","title":"Effect of progressive high-impact exercise on femoral neck structural strength in postmenopausal women with mild knee osteoarthritis: a 12-month RCT","type":"article-journal","volume":"28"},"uris":["http://www.mendeley.com/documents/?uuid=39d69dd0-34fa-4446-b514-09d0f213e20d"]},{"id":"ITEM-2","itemData":{"DOI":"10.1007/s40520-017-0863-z","ISSN":"1720-8319","PMID":"29188577","abstract":"AIM Exercise is one of the most important components in frailty prevention and treatment. Therefore, we systematically reviewed the effect of resistance training (RT) alone or combined with multimodal exercise intervention on muscle hypertrophy, maximal strength, power output, functional performance, and falls incidence in physically frail elderly. METHODS MEDLINE, Cochrane CENTRAL, PEDro, and SPORTDiscus databases were searched from 2005 to 2017. Studies must have mentioned the effects of RT (i.e., included or not in multimodal training) on at least one of the following parameters: muscle mass, muscle strength, muscle power, functional capacity, and risk of falls in frail elderly. RESULTS The initial search identified 371 studies and 16 were used for qualitative analysis for describing the effect of strength training performed alone or in a multimodal exercise intervention. We observed that RT alone or in a multimodal training may induce increases of 6.6-37% in maximal strength; 3.4-7.5% in muscle mass, 8.2% in muscle power, 4.7-58.1% in functional capacity and risk of falls, although some studies did not show enhancements. CONCLUSION Frequency of 1-6 sessions per week, training volume of 1-3 sets of 6-15 repetitions and intensity of 30-70%1-RM promoted significant enhancements on muscle strength, muscle power, and functional outcomes. Therefore, in agreement with previous studies, we suggest that supervised and controlled RT represents an effective intervention in frailty treatment.","author":[{"dropping-particle":"","family":"Lopez","given":"Pedro","non-dropping-particle":"","parse-names":false,"suffix":""},{"dropping-particle":"","family":"Pinto","given":"Ronei Silveira","non-dropping-particle":"","parse-names":false,"suffix":""},{"dropping-particle":"","family":"Radaelli","given":"Regis","non-dropping-particle":"","parse-names":false,"suffix":""},{"dropping-particle":"","family":"Rech","given":"Anderson","non-dropping-particle":"","parse-names":false,"suffix":""},{"dropping-particle":"","family":"Grazioli","given":"Rafael","non-dropping-particle":"","parse-names":false,"suffix":""},{"dropping-particle":"","family":"Izquierdo","given":"Mikel","non-dropping-particle":"","parse-names":false,"suffix":""},{"dropping-particle":"","family":"Cadore","given":"Eduardo Lusa","non-dropping-particle":"","parse-names":false,"suffix":""}],"container-title":"Aging Clinical and Experimental Research","id":"ITEM-2","issue":"8","issued":{"date-parts":[["2018","8"]]},"page":"889-899","title":"Benefits of resistance training in physically frail elderly: a systematic review","type":"article-journal","volume":"30"},"uris":["http://www.mendeley.com/documents/?uuid=e4a1999f-9376-3651-9b29-f74d8ac827f0","http://www.mendeley.com/documents/?uuid=303be1eb-d6a4-451f-b95f-89a0d6327558"]},{"id":"ITEM-3","itemData":{"DOI":"10.1093/gerona/glx223","ISSN":"1079-5006","author":[{"dropping-particle":"","family":"Hartley","given":"April","non-dropping-particle":"","parse-names":false,"suffix":""},{"dropping-particle":"","family":"Gregson","given":"Celia L","non-dropping-particle":"","parse-names":false,"suffix":""},{"dropping-particle":"","family":"Hannam","given":"Kimberly","non-dropping-particle":"","parse-names":false,"suffix":""},{"dropping-particle":"","family":"Deere","given":"Kevin C","non-dropping-particle":"","parse-names":false,"suffix":""},{"dropping-particle":"","family":"Clark","given":"Emma M","non-dropping-particle":"","parse-names":false,"suffix":""},{"dropping-particle":"","family":"Tobias","given":"Jon H","non-dropping-particle":"","parse-names":false,"suffix":""},{"dropping-particle":"","family":"Newman","given":"Anne","non-dropping-particle":"","parse-names":false,"suffix":""}],"container-title":"The Journals of Gerontology: Series A","editor":[{"dropping-particle":"","family":"Newman","given":"Anne","non-dropping-particle":"","parse-names":false,"suffix":""}],"id":"ITEM-3","issue":"5","issued":{"date-parts":[["2017","11"]]},"page":"652-659","title":"Sarcopenia Is Negatively Related to High Gravitational Impacts Achieved From Day-to-day Physical Activity","type":"article-journal","volume":"73"},"uris":["http://www.mendeley.com/documents/?uuid=ce80a01d-7d4a-3930-ab5a-fed41b1c8184","http://www.mendeley.com/documents/?uuid=7db71b68-1b4f-4f2f-a4eb-bbafd98b9a57"]}],"mendeley":{"formattedCitation":"&lt;sup&gt;80–82&lt;/sup&gt;","plainTextFormattedCitation":"80–82","previouslyFormattedCitation":"&lt;sup&gt;90–92&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80–82</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even in osteosarcopenic individuals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Pr="00875798">
        <w:rPr>
          <w:rFonts w:ascii="Cambria Math" w:hAnsi="Cambria Math" w:cs="Cambria Math"/>
          <w:color w:val="auto"/>
          <w:sz w:val="24"/>
          <w:szCs w:val="24"/>
        </w:rPr>
        <w:instrText>∼</w:instrText>
      </w:r>
      <w:r w:rsidRPr="00875798">
        <w:rPr>
          <w:rFonts w:ascii="Helvetica" w:hAnsi="Helvetica" w:cs="Helvetica"/>
          <w:color w:val="auto"/>
          <w:sz w:val="24"/>
          <w:szCs w:val="24"/>
        </w:rPr>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Aging","id":"ITEM-1","issue":"1","issued":{"date-parts":[["2021"]]},"page":"25-32","title":"Non-Pharmacological Interventions in Osteosarcopenia: A Systematic Review","type":"article-journal","volume":"25"},"uris":["http://www.mendeley.com/documents/?uuid=e96d4312-77fa-4dc6-999f-46c15c3fd430"]}],"mendeley":{"formattedCitation":"&lt;sup&gt;83&lt;/sup&gt;","plainTextFormattedCitation":"83","previouslyFormattedCitation":"&lt;sup&gt;93&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83</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w:t>
      </w:r>
      <w:r w:rsidRPr="00875798">
        <w:rPr>
          <w:rFonts w:ascii="Helvetica" w:hAnsi="Helvetica" w:cs="Helvetica"/>
          <w:color w:val="auto"/>
          <w:sz w:val="24"/>
          <w:szCs w:val="24"/>
          <w:lang w:val="en-GB"/>
        </w:rPr>
        <w:t xml:space="preserve">The evidence that frail older people can increase bone strength through exercise is weaker but two studies of 12 and 18 months duration have shown modest effects on spine and hip BMD </w:t>
      </w:r>
      <w:r w:rsidRPr="00875798">
        <w:rPr>
          <w:rFonts w:ascii="Helvetica" w:hAnsi="Helvetica" w:cs="Helvetica"/>
          <w:color w:val="auto"/>
          <w:sz w:val="24"/>
          <w:szCs w:val="24"/>
          <w:lang w:val="en-GB"/>
        </w:rPr>
        <w:fldChar w:fldCharType="begin" w:fldLock="1"/>
      </w:r>
      <w:r w:rsidRPr="00875798">
        <w:rPr>
          <w:rFonts w:ascii="Helvetica" w:hAnsi="Helvetica" w:cs="Helvetica"/>
          <w:color w:val="auto"/>
          <w:sz w:val="24"/>
          <w:szCs w:val="24"/>
          <w:lang w:val="en-GB"/>
        </w:rPr>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Pr="00875798">
        <w:rPr>
          <w:rFonts w:ascii="Cambria Math" w:hAnsi="Cambria Math" w:cs="Cambria Math"/>
          <w:color w:val="auto"/>
          <w:sz w:val="24"/>
          <w:szCs w:val="24"/>
          <w:lang w:val="en-GB"/>
        </w:rPr>
        <w:instrText>∼</w:instrText>
      </w:r>
      <w:r w:rsidRPr="00875798">
        <w:rPr>
          <w:rFonts w:ascii="Helvetica" w:hAnsi="Helvetica" w:cs="Helvetica"/>
          <w:color w:val="auto"/>
          <w:sz w:val="24"/>
          <w:szCs w:val="24"/>
          <w:lang w:val="en-GB"/>
        </w:rPr>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Aging","id":"ITEM-1","issue":"1","issued":{"date-parts":[["2021"]]},"page":"25-32","title":"Non-Pharmacological Interventions in Osteosarcopenia: A Systematic Review","type":"article-journal","volume":"25"},"uris":["http://www.mendeley.com/documents/?uuid=e96d4312-77fa-4dc6-999f-46c15c3fd430"]}],"mendeley":{"formattedCitation":"&lt;sup&gt;83&lt;/sup&gt;","plainTextFormattedCitation":"83","previouslyFormattedCitation":"&lt;sup&gt;93&lt;/sup&gt;"},"properties":{"noteIndex":0},"schema":"https://github.com/citation-style-language/schema/raw/master/csl-citation.json"}</w:instrText>
      </w:r>
      <w:r w:rsidRPr="00875798">
        <w:rPr>
          <w:rFonts w:ascii="Helvetica" w:hAnsi="Helvetica" w:cs="Helvetica"/>
          <w:color w:val="auto"/>
          <w:sz w:val="24"/>
          <w:szCs w:val="24"/>
          <w:lang w:val="en-GB"/>
        </w:rPr>
        <w:fldChar w:fldCharType="separate"/>
      </w:r>
      <w:r w:rsidRPr="00875798">
        <w:rPr>
          <w:rFonts w:ascii="Helvetica" w:hAnsi="Helvetica" w:cs="Helvetica"/>
          <w:noProof/>
          <w:color w:val="auto"/>
          <w:sz w:val="24"/>
          <w:szCs w:val="24"/>
          <w:vertAlign w:val="superscript"/>
          <w:lang w:val="en-GB"/>
        </w:rPr>
        <w:t>83</w:t>
      </w:r>
      <w:r w:rsidRPr="00875798">
        <w:rPr>
          <w:rFonts w:ascii="Helvetica" w:hAnsi="Helvetica" w:cs="Helvetica"/>
          <w:color w:val="auto"/>
          <w:sz w:val="24"/>
          <w:szCs w:val="24"/>
          <w:lang w:val="en-GB"/>
        </w:rPr>
        <w:fldChar w:fldCharType="end"/>
      </w:r>
      <w:r w:rsidRPr="00875798">
        <w:rPr>
          <w:rFonts w:ascii="Helvetica" w:hAnsi="Helvetica" w:cs="Helvetica"/>
          <w:color w:val="auto"/>
          <w:sz w:val="24"/>
          <w:szCs w:val="24"/>
          <w:lang w:val="en-GB"/>
        </w:rPr>
        <w:t>. As bone</w:t>
      </w:r>
      <w:r w:rsidRPr="00875798">
        <w:rPr>
          <w:rFonts w:ascii="Helvetica" w:hAnsi="Helvetica" w:cs="Helvetica"/>
          <w:color w:val="auto"/>
          <w:sz w:val="24"/>
          <w:szCs w:val="24"/>
        </w:rPr>
        <w:t xml:space="preserve"> is lost rapidly during inactivity, preventing this inactivity-related loss and using exercise to maintain muscle function and promote independence should be a priority.</w:t>
      </w:r>
      <w:r w:rsidRPr="00875798">
        <w:rPr>
          <w:rFonts w:ascii="Helvetica" w:hAnsi="Helvetica" w:cs="Helvetica"/>
          <w:color w:val="auto"/>
          <w:sz w:val="24"/>
          <w:szCs w:val="24"/>
          <w:lang w:val="en-GB"/>
        </w:rPr>
        <w:t xml:space="preserve"> </w:t>
      </w:r>
    </w:p>
    <w:p w14:paraId="5DFE2409" w14:textId="77777777" w:rsidR="000F5BC4" w:rsidRPr="00875798" w:rsidRDefault="000F5BC4" w:rsidP="000F5BC4">
      <w:pPr>
        <w:rPr>
          <w:rFonts w:ascii="Helvetica" w:hAnsi="Helvetica" w:cs="Helvetica"/>
          <w:b/>
          <w:bCs/>
        </w:rPr>
      </w:pPr>
    </w:p>
    <w:p w14:paraId="79B96680" w14:textId="77777777" w:rsidR="000F5BC4" w:rsidRPr="00875798" w:rsidRDefault="000F5BC4" w:rsidP="000F5BC4">
      <w:pPr>
        <w:rPr>
          <w:rFonts w:ascii="Helvetica" w:hAnsi="Helvetica" w:cs="Helvetica"/>
          <w:b/>
          <w:bCs/>
        </w:rPr>
      </w:pPr>
      <w:r w:rsidRPr="00875798">
        <w:rPr>
          <w:rFonts w:ascii="Helvetica" w:hAnsi="Helvetica" w:cs="Helvetica"/>
          <w:b/>
          <w:bCs/>
        </w:rPr>
        <w:t>STEADY- exercise and physical activity to prevent falls</w:t>
      </w:r>
    </w:p>
    <w:p w14:paraId="589E38A8" w14:textId="77777777" w:rsidR="000F5BC4" w:rsidRPr="00875798" w:rsidRDefault="000F5BC4" w:rsidP="000F5BC4">
      <w:pPr>
        <w:pStyle w:val="Heading2"/>
        <w:spacing w:before="240" w:line="240" w:lineRule="auto"/>
        <w:rPr>
          <w:rFonts w:ascii="Helvetica" w:hAnsi="Helvetica" w:cs="Helvetica"/>
          <w:i/>
          <w:iCs/>
          <w:color w:val="auto"/>
          <w:sz w:val="24"/>
          <w:szCs w:val="24"/>
        </w:rPr>
      </w:pPr>
      <w:bookmarkStart w:id="26" w:name="_Toc512605572"/>
      <w:bookmarkStart w:id="27" w:name="_Toc513730691"/>
      <w:bookmarkStart w:id="28" w:name="_Toc528064581"/>
      <w:bookmarkStart w:id="29" w:name="_Toc96616278"/>
      <w:r w:rsidRPr="00875798">
        <w:rPr>
          <w:rFonts w:ascii="Helvetica" w:hAnsi="Helvetica" w:cs="Helvetica"/>
          <w:i/>
          <w:iCs/>
          <w:color w:val="auto"/>
          <w:sz w:val="24"/>
          <w:szCs w:val="24"/>
        </w:rPr>
        <w:t>The contribution of falls to fractures</w:t>
      </w:r>
      <w:bookmarkEnd w:id="26"/>
      <w:bookmarkEnd w:id="27"/>
      <w:bookmarkEnd w:id="28"/>
      <w:bookmarkEnd w:id="29"/>
    </w:p>
    <w:p w14:paraId="48F05E1F"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rPr>
        <w:t xml:space="preserve">95% of non-vertebral fractures, and about 20% of vertebral fractures, occur following a fall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duties.","author":[{"dropping-particle":"","family":"National Institute for Health and Care Excellence","given":"","non-dropping-particle":"","parse-names":false,"suffix":""}],"container-title":"NICE Clinical guideline","id":"ITEM-1","issue":"June","issued":{"date-parts":[["2013"]]},"publisher-place":"London NICE","title":"Falls in older people: assessing risk and prevention. Clinical guideline [CG161].","type":"report"},"uris":["http://www.mendeley.com/documents/?uuid=45eba233-9138-3006-8325-828cb46f8a8c","http://www.mendeley.com/documents/?uuid=51e0e667-4b7a-49d6-a4e9-a32cd924c1e6"]}],"mendeley":{"formattedCitation":"&lt;sup&gt;106&lt;/sup&gt;","plainTextFormattedCitation":"106","previouslyFormattedCitation":"&lt;sup&gt;106&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106</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Falls and injurious falls are a significant problem in older age, with a third of people over the age of 65 falling every year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duties.","author":[{"dropping-particle":"","family":"National Institute for Health and Care Excellence","given":"","non-dropping-particle":"","parse-names":false,"suffix":""}],"container-title":"NICE Clinical guideline","id":"ITEM-1","issue":"June","issued":{"date-parts":[["2013"]]},"publisher-place":"London NICE","title":"Falls in older people: assessing risk and prevention. Clinical guideline [CG161].","type":"report"},"uris":["http://www.mendeley.com/documents/?uuid=51e0e667-4b7a-49d6-a4e9-a32cd924c1e6","http://www.mendeley.com/documents/?uuid=45eba233-9138-3006-8325-828cb46f8a8c"]},{"id":"ITEM-2","itemData":{"author":[{"dropping-particle":"","family":"Public Health England","given":"","non-dropping-particle":"","parse-names":false,"suffix":""}],"id":"ITEM-2","issued":{"date-parts":[["2017"]]},"title":"Falls and fractures: consensus statement and resources pack","type":"report"},"uris":["http://www.mendeley.com/documents/?uuid=e7cc2829-3fa7-368c-8cf4-3f94625353a1","http://www.mendeley.com/documents/?uuid=4dd1eac8-51fa-429f-b05a-808710d063ed"]}],"mendeley":{"formattedCitation":"&lt;sup&gt;106,107&lt;/sup&gt;","plainTextFormattedCitation":"106,107","previouslyFormattedCitation":"&lt;sup&gt;106,107&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106,107</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w:t>
      </w:r>
      <w:r w:rsidRPr="00875798">
        <w:rPr>
          <w:rFonts w:ascii="Helvetica" w:hAnsi="Helvetica" w:cs="Helvetica"/>
          <w:color w:val="auto"/>
          <w:sz w:val="24"/>
          <w:szCs w:val="24"/>
          <w:lang w:val="en-US"/>
        </w:rPr>
        <w:t>There is a difference in the prevalence of fractures at different sites as people age. Younger people who fall may put a hand out to try to break the fall; thus wrist fractures are more common in younger people. In older people, perhaps as result of slower reactions, hip fractures are more prevalent.</w:t>
      </w:r>
      <w:r w:rsidRPr="00875798">
        <w:rPr>
          <w:rFonts w:ascii="Helvetica" w:hAnsi="Helvetica" w:cs="Helvetica"/>
          <w:color w:val="auto"/>
          <w:sz w:val="24"/>
          <w:szCs w:val="24"/>
        </w:rPr>
        <w:t xml:space="preserve"> Hip fractures are associated with increased mortality:  6.1% of hip fracture patients die within 30 days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{"citationItems":[{"id":"ITEM-1","itemData":{"author":[{"dropping-particle":"","family":"Royal College of Physicians","given":"","non-dropping-particle":"","parse-names":false,"suffix":""}],"container-title":"National Hip Fracture Database annual report 2019","id":"ITEM-1","issued":{"date-parts":[["2019"]]},"title":"NHFD 2019 annual report","type":"article-journal"},"uris":["http://www.mendeley.com/documents/?uuid=30db5643-88d9-421e-91e8-91ab1875aba4"]}],"mendeley":{"formattedCitation":"&lt;sup&gt;108&lt;/sup&gt;","plainTextFormattedCitation":"108","previouslyFormattedCitation":"&lt;sup&gt;108&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108</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rising to over 20% in the year following fracture</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{"citationItems":[{"id":"ITEM-1","itemData":{"DOI":"10.1016/j.bone.2014.06.011","ISSN":"87563282","PMID":"24933345","abstract":"Background: Data on recent trends in mortality after hip fracture are scarce. Aims were therefore to examine secular trends in all-cause and cause-specific mortality post hip fracture and to compare this to the general population from 2000 to 2010. Methods: Population-based cohort study within the United Kingdom Clinical Practice Research Datalink and linked to cause of death data for 57.7% of patients. Patients with a first hip fracture (n. = 31,495) were matched to up to four controls by age, sex, index date, and practice. All subjects were followed for death, and lifestyle, disease and medication history adjusted hazard ratios (HRs) were calculated. Results: One-year all-cause mortality after hip fracture declined from 2009 and was 14% lower after, compared with before 2009 (22.3% to 20.5%, adj. HR 0.86, 95% CI: 0.81-0.92). The decline was observed for males (≥. 75. years) and females (≥. 85. years). Significant contributors to the decline in mortality post hip fracture were respiratory infections in females as were malignant diseases in males. However, one-year all-cause mortality remained unaltered over the decade when compared to controls with a 3.5-fold and 2.4-fold increased risk in males and females respectively. No significant changes were observed in the relative risks for one-year cause-specific mortality for both genders. Conclusions: One-year mortality after hip fracture has declined over the last decade in the UK. However, the difference in one-year mortality between hip fracture patients and the general population remained unaltered. These observations highlight the need for the continued implementation of evidence-based standards for good hip fracture care. © 2014 Elsevier Inc.","author":[{"dropping-particle":"","family":"Klop","given":"Corinne","non-dropping-particle":"","parse-names":false,"suffix":""},{"dropping-particle":"","family":"Welsing","given":"Paco M.J.","non-dropping-particle":"","parse-names":false,"suffix":""},{"dropping-particle":"","family":"Cooper","given":"Cyrus","non-dropping-particle":"","parse-names":false,"suffix":""},{"dropping-particle":"","family":"Harvey","given":"Nicholas C.","non-dropping-particle":"","parse-names":false,"suffix":""},{"dropping-particle":"","family":"Elders","given":"Petra J.M.","non-dropping-particle":"","parse-names":false,"suffix":""},{"dropping-particle":"","family":"Bijlsma","given":"Johannes W.J.","non-dropping-particle":"","parse-names":false,"suffix":""},{"dropping-particle":"","family":"Leufkens","given":"Hubert G.M.","non-dropping-particle":"","parse-names":false,"suffix":""},{"dropping-particle":"","family":"Vries","given":"Frank","non-dropping-particle":"De","parse-names":false,"suffix":""}],"container-title":"Bone","id":"ITEM-1","issued":{"date-parts":[["2014"]]},"page":"171-177","publisher":"Elsevier Inc.","title":"Mortality in British hip fracture patients, 2000-2010: A population-based retrospective cohort study","type":"article-journal","volume":"66"},"uris":["http://www.mendeley.com/documents/?uuid=e4e7213c-0842-47d9-858c-5341421b1a9a"]}],"mendeley":{"formattedCitation":"&lt;sup&gt;6&lt;/sup&gt;","plainTextFormattedCitation":"6","previouslyFormattedCitation":"&lt;sup&gt;6&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6</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Of those who survive,</w:t>
      </w:r>
      <w:r w:rsidRPr="00875798">
        <w:rPr>
          <w:rFonts w:ascii="Helvetica" w:hAnsi="Helvetica" w:cs="Helvetica"/>
          <w:color w:val="auto"/>
          <w:sz w:val="24"/>
          <w:szCs w:val="24"/>
          <w:lang w:val="en-US"/>
        </w:rPr>
        <w:t xml:space="preserve"> 30% have permanent disability, 40% are unable to walk independently and 80% are unable to carry out activities of daily living (ADLs) one year after the fracture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{"citationItems":[{"id":"ITEM-1","itemData":{"DOI":"10.1016/S0002-9343(97)90022-X","ISBN":"0002-9343 (Print) 0002-9343 (Linking)","ISSN":"00029343","PMID":"9302893","abstract":"Around 40% of white women and 13% of white men in the United States have at least one fragility fracture after the age of 50 years. The risk of fracture increases with advancing age and progressive loss of bone mass, and varies with the population being considered. The age-adjusted incidence of fragility fractures in both sexes is 25% lower in Britain and many areas of Europe than in the United States. Mortality 5 years after hip or vertebral fracture is about 20% in excess of that expected; mortality rate is highest in men &gt; 75 years suffering from a variety of chronic diseases. Most excess deaths occur in the first 6 months after hip fracture. One year after hip fracture, 40% of patients are still unable to walk independently, 60% have difficulty with at least one essential activity of daily living, and 80% are restricted in other activities, such as driving and grocery shopping. Moreover, 27% of these patients enter a nursing home for the first time. Less is known of the epidemiology of vertebral fractures and of the associated mortality and morbidity. Although an estimated 30% of postmenopausal U.S. white women have osteoporosis, and 1 in 4 has at least one vertebral deformity, two thirds of vertebral fractures remain undiagnosed. After a clinically diagnosed vertebral fracture, survival rate decreases gradually from that expected without fracture. Women with severe vertebral deformities have a consistently higher risk of back pain and height loss. An accurate assessment of the risk of fractures associated with osteoporosis and of their impact on quality of life is essential if appropriate and cost-effective interventions are to be designed for different populations.","author":[{"dropping-particle":"","family":"Cooper","given":"Cyrus","non-dropping-particle":"","parse-names":false,"suffix":""}],"container-title":"The American Journal of Medicine","id":"ITEM-1","issue":"2","issued":{"date-parts":[["1997","8"]]},"page":"S12-S19","publisher":"Elsevier","title":"The crippling consequences of fractures and their impact on quality of life","type":"article-journal","volume":"103"},"uris":["http://www.mendeley.com/documents/?uuid=a6cf7b50-6ead-43fd-936a-238b117f015c","http://www.mendeley.com/documents/?uuid=eb6c2e66-bf10-302f-b7a8-f04652886cf8"]}],"mendeley":{"formattedCitation":"&lt;sup&gt;2&lt;/sup&gt;","plainTextFormattedCitation":"2","previouslyFormattedCitation":"&lt;sup&gt;2&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2</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xml:space="preserve">. </w:t>
      </w:r>
    </w:p>
    <w:p w14:paraId="4857A3FA" w14:textId="77777777" w:rsidR="000F5BC4" w:rsidRPr="00875798" w:rsidRDefault="000F5BC4" w:rsidP="000F5BC4">
      <w:pPr>
        <w:pStyle w:val="Heading3"/>
        <w:spacing w:before="240" w:line="240" w:lineRule="auto"/>
        <w:rPr>
          <w:rFonts w:ascii="Helvetica" w:eastAsia="Verdana" w:hAnsi="Helvetica" w:cs="Helvetica"/>
          <w:i/>
          <w:iCs/>
          <w:color w:val="auto"/>
        </w:rPr>
      </w:pPr>
      <w:bookmarkStart w:id="30" w:name="_Toc528064582"/>
      <w:bookmarkStart w:id="31" w:name="_Toc96616279"/>
      <w:bookmarkStart w:id="32" w:name="_Toc512605574"/>
      <w:bookmarkStart w:id="33" w:name="_Toc513730694"/>
      <w:r w:rsidRPr="00875798">
        <w:rPr>
          <w:rFonts w:ascii="Helvetica" w:eastAsia="Verdana" w:hAnsi="Helvetica" w:cs="Helvetica"/>
          <w:i/>
          <w:iCs/>
          <w:color w:val="auto"/>
        </w:rPr>
        <w:t>Falls: causes and risk factors</w:t>
      </w:r>
      <w:bookmarkEnd w:id="30"/>
      <w:bookmarkEnd w:id="31"/>
      <w:r w:rsidRPr="00875798">
        <w:rPr>
          <w:rFonts w:ascii="Helvetica" w:eastAsia="Verdana" w:hAnsi="Helvetica" w:cs="Helvetica"/>
          <w:i/>
          <w:iCs/>
          <w:color w:val="auto"/>
        </w:rPr>
        <w:t xml:space="preserve"> </w:t>
      </w:r>
      <w:bookmarkEnd w:id="32"/>
      <w:bookmarkEnd w:id="33"/>
    </w:p>
    <w:p w14:paraId="653A8A0E"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lang w:val="en-US"/>
        </w:rPr>
      </w:pPr>
      <w:r w:rsidRPr="00875798">
        <w:rPr>
          <w:rFonts w:ascii="Helvetica" w:hAnsi="Helvetica" w:cs="Helvetica"/>
          <w:color w:val="auto"/>
          <w:sz w:val="24"/>
          <w:szCs w:val="24"/>
          <w:lang w:val="en-US"/>
        </w:rPr>
        <w:t xml:space="preserve">Risk factors for falls include: having had a fall in the last year; poor strength; poor balance; poor posture; bad eyesight; poor foot health; continence and health issues such as Parkinson’s disease; having had a stroke; and dementia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{"citationItems":[{"id":"ITEM-1","itemData":{"DOI":"10.1093/ageing/afw129","ISSN":"14682834","PMID":"27496938","abstract":"Background: falls are a major cause of disability and death in older people. Women are more likely to fall than men, but little is known about whether risk factors for falls differ between the sexes. We used data from the English Longitudinal Study of Ageing to investigate the prevalence of falls by sex and to examine cross-sectionally sex-specific associations between a range of potential risk factors and likelihood of falling. Methods: participants were 4,301 men and women aged 60 and over who had taken part in the 2012-13 survey of the English Longitudinal Study of Ageing. They provided information about sociodemographic, lifestyle and behavioural and medical factors, had their physical and cognitive function assessed and responded to a question about whether they had fallen down in the last two years. Results: in multivariable logistic regression models, severe pain and diagnosis of at least one chronic disease were independently associated with falls in both sexes. Sex-specific risk factors were incontinence (odds ratio (OR), 1.48; 95% CI, 1.19, 1.85) and frailty (OR 1.69, 95% CI 1.06, 2.69) in women, and older age (OR 1.02, 95% CI 1.04, 1.07), high levels of depressive symptoms (OR 1.33, 95% CI 1.05, 1.68), and being unable to perform a standing balance test (OR 3.32, 95% CI 2.09, 5.29) in men. Conclusion: although we found some homogeneity between the sexes in the risk factors that were associated with falls, the existence of several sex-specific risk factors suggests that gender should be taken into account in designing fall-prevention strategies.","author":[{"dropping-particle":"","family":"Gale","given":"Catharine R.","non-dropping-particle":"","parse-names":false,"suffix":""},{"dropping-particle":"","family":"Cooper","given":"Cyrus","non-dropping-particle":"","parse-names":false,"suffix":""},{"dropping-particle":"","family":"Sayer","given":"Avan Aihie","non-dropping-particle":"","parse-names":false,"suffix":""}],"container-title":"Age and Ageing","id":"ITEM-1","issue":"6","issued":{"date-parts":[["2016"]]},"page":"789-794","title":"Prevalence and risk factors for falls in older men and women: The English longitudinal study of ageing","type":"article-journal","volume":"45"},"uris":["http://www.mendeley.com/documents/?uuid=3cfa1c92-cf6b-4326-b714-943f50e50078"]}],"mendeley":{"formattedCitation":"&lt;sup&gt;109&lt;/sup&gt;","plainTextFormattedCitation":"109","previouslyFormattedCitation":"&lt;sup&gt;109&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109</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xml:space="preserve">. In an ageing person, fear of falling and comorbidities can lead to a vicious spiral of inactivity. This in turn leads to a reduction in the ability to maintain an independent lifestyle and the potential for increased risk of injury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{"citationItems":[{"id":"ITEM-1","itemData":{"author":[{"dropping-particle":"","family":"Public Health England","given":"","non-dropping-particle":"","parse-names":false,"suffix":""}],"id":"ITEM-1","issued":{"date-parts":[["2017"]]},"title":"Falls and fractures: consensus statement and resources pack","type":"report"},"uris":["http://www.mendeley.com/documents/?uuid=4dd1eac8-51fa-429f-b05a-808710d063ed","http://www.mendeley.com/documents/?uuid=e7cc2829-3fa7-368c-8cf4-3f94625353a1"]}],"mendeley":{"formattedCitation":"&lt;sup&gt;107&lt;/sup&gt;","plainTextFormattedCitation":"107","previouslyFormattedCitation":"&lt;sup&gt;107&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107</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w:t>
      </w:r>
    </w:p>
    <w:p w14:paraId="11CF2BEE"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lang w:val="en-US"/>
        </w:rPr>
        <w:t xml:space="preserve">Gait problems and use of walking aids, along with difficulties in everyday tasks and fear of falling almost double the risk of a fall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{"citationItems":[{"id":"ITEM-1","itemData":{"DOI":"10.1097/EDE.0b013e3181e89905","ISSN":"1044-3983","PMID":"20585256","abstract":"BACKGROUND Falls are the main cause of accidental death in persons aged 65 years or older. METHODS Using MEDLINE and previous reviews, we searched for prospective studies investigating risk factors for falls among community-dwelling older people. For risk factors investigated by at least 5 studies in a comparable way, we computed pooled odds ratios (ORs) using random-effects models, with a test for heterogeneity. RESULTS A total of 74 studies met the inclusion criteria and 31 risk factors were considered, including sociodemographic, mobility, sensory, psychologic, and medical factors and medication use. The strongest associations were found for history of falls (OR = 2.8 for all fallers; OR = 3.5 for recurrent fallers), gait problems (OR = 2.1; 2.2), walking aids use (OR = 2.2; 3.1), vertigo (OR = 1.8; 2.3), Parkinson disease (OR = 2.7; 2.8), and antiepileptic drug use (OR = 1.9; 2.7). For most other factors, the ORs were moderately above 1. ORs were generally higher for recurrent fallers than for all fallers. For some factors, there was substantial heterogeneity among studies. For some important factors (eg, balance and muscle weakness), we did not compute a summary estimate because the measures used in various studies were not comparable. CONCLUSIONS This meta-analysis provides comprehensive evidence-based assessment of risk factors for falls in older people, confirming their multifactorial etiology. Some nonspecific indicators of high baseline risk were also strong predictors of the risk of falling.","author":[{"dropping-particle":"","family":"Deandrea","given":"Silvia","non-dropping-particle":"","parse-names":false,"suffix":""},{"dropping-particle":"","family":"Lucenteforte","given":"Ersilia","non-dropping-particle":"","parse-names":false,"suffix":""},{"dropping-particle":"","family":"Bravi","given":"Francesca","non-dropping-particle":"","parse-names":false,"suffix":""},{"dropping-particle":"","family":"Foschi","given":"Roberto","non-dropping-particle":"","parse-names":false,"suffix":""},{"dropping-particle":"","family":"Vecchia","given":"Carlo","non-dropping-particle":"La","parse-names":false,"suffix":""},{"dropping-particle":"","family":"Negri","given":"Eva","non-dropping-particle":"","parse-names":false,"suffix":""}],"container-title":"Epidemiology","id":"ITEM-1","issue":"5","issued":{"date-parts":[["2010","9"]]},"page":"658-668","title":"Risk Factors for Falls in Community-dwelling Older People","type":"article-journal","volume":"21"},"uris":["http://www.mendeley.com/documents/?uuid=7eb375da-f564-368c-9dcf-da3333b57933","http://www.mendeley.com/documents/?uuid=65f07a3e-7cbf-4343-8521-004ddf312fe8"]}],"mendeley":{"formattedCitation":"&lt;sup&gt;110&lt;/sup&gt;","plainTextFormattedCitation":"110","previouslyFormattedCitation":"&lt;sup&gt;110&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110</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 Furthermore, people with vertebral fractures are more likely to have k</w:t>
      </w:r>
      <w:r w:rsidRPr="00875798">
        <w:rPr>
          <w:rFonts w:ascii="Helvetica" w:hAnsi="Helvetica" w:cs="Helvetica"/>
          <w:color w:val="auto"/>
          <w:sz w:val="24"/>
          <w:szCs w:val="24"/>
        </w:rPr>
        <w:t xml:space="preserve">yphosis or forward-flexed posture, which is associated with impaired balance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{"citationItems":[{"id":"ITEM-1","itemData":{"DOI":"10.1371/journal.pone.0109515","ISSN":"1932-6203","author":[{"dropping-particle":"","family":"Greig","given":"Alison M.","non-dropping-particle":"","parse-names":false,"suffix":""},{"dropping-particle":"","family":"Briggs","given":"Andrew M.","non-dropping-particle":"","parse-names":false,"suffix":""},{"dropping-particle":"","family":"Bennell","given":"Kim L.","non-dropping-particle":"","parse-names":false,"suffix":""},{"dropping-particle":"","family":"Hodges","given":"Paul W.","non-dropping-particle":"","parse-names":false,"suffix":""}],"container-title":"PLoS ONE","editor":[{"dropping-particle":"","family":"Heymann","given":"Dominique","non-dropping-particle":"","parse-names":false,"suffix":""}],"id":"ITEM-1","issue":"10","issued":{"date-parts":[["2014","10"]]},"page":"e109515","publisher":"Public Library of Science","title":"Trunk Muscle Activity Is Modified in Osteoporotic Vertebral Fracture and Thoracic Kyphosis with Potential Consequences for Vertebral Health","type":"article-journal","volume":"9"},"uris":["http://www.mendeley.com/documents/?uuid=553cae31-002a-31df-8b54-5258b6d24c63","http://www.mendeley.com/documents/?uuid=b4501c6f-980d-4703-a232-d0b2e2688f0d"]}],"mendeley":{"formattedCitation":"&lt;sup&gt;111&lt;/sup&gt;","plainTextFormattedCitation":"111","previouslyFormattedCitation":"&lt;sup&gt;111&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111</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 xml:space="preserve"> - 64% of people with kyphosis had had a fall in the previous year </w:t>
      </w:r>
      <w:r w:rsidRPr="00875798">
        <w:rPr>
          <w:rFonts w:ascii="Helvetica" w:hAnsi="Helvetica" w:cs="Helvetica"/>
          <w:color w:val="auto"/>
          <w:sz w:val="24"/>
          <w:szCs w:val="24"/>
        </w:rPr>
        <w:fldChar w:fldCharType="begin" w:fldLock="1"/>
      </w:r>
      <w:r w:rsidRPr="00875798">
        <w:rPr>
          <w:rFonts w:ascii="Helvetica" w:hAnsi="Helvetica" w:cs="Helvetica"/>
          <w:color w:val="auto"/>
          <w:sz w:val="24"/>
          <w:szCs w:val="24"/>
        </w:rPr>
        <w:instrText>ADDIN CSL_CITATION {"citationItems":[{"id":"ITEM-1","itemData":{"DOI":"10.1007/s00198-017-4253-3","ISSN":"14332965","PMID":"29018904","abstract":"SummaryHyperkyphosis commonly affects older persons and is associated with morbidity and mortality. Many have hypothesized that hyperkyphosis increases fall risk. Within this prospective study of older adults, kyphosis was significantly associated with incident falls over 1 year. Measures of hyperkyphosis could enhance falls risk assessments during primary care office visits.IntroductionTo determine the association between four measures of kyphosis and incident and injurious falls in older persons.MethodsCommunity-dwelling adults aged 65 and older (n = 72) residing in southern California were invited to participate in a prospective cohort study. Participants had kyphosis assessed four ways. Two standing measures included a flexicurve ruler placed against the back to derive a kyphotic index and the Debrunner kyphometer, a protractor used to measure the kyphotic angle in degrees. Two lying measures included the blocks method (number of 1.7 cm blocks needed to achieve a neutral head position while lying supine) and traditional Cobb angle calculation derived from DXA based lateral vertebral assessment. Baseline demographic, clinical, and other health information (including a timed up and go (TUG) test) were assessed at a clinic visit. Participants were followed monthly through email or postcard for 1 year, with falls outcomes confirmed through telephone interview.ResultsMean age was 77.8 (± 7.1) among the 52 women and 20 men. Over 12 months, 64% of participants experienced at least one incident fall and 35% experienced an injurious fall. Each standard deviation increase in kyphosis resulted in more than doubling the adjusted odds of an incident fall, even after adjusting for TUG. Odds of injurious falls were less consistent across measures; after adjusting for TUG, only the blocks method was associated with injurious falls.ConclusionsEach kyphosis measure was independently associated with incident falls. Findings were inconsistent for injurious falls; the blocks measure suggested the strongest association. If these findings are replicated, the blocks measure could be incorporated into office visits as a quick and efficient tool to identify patients at increased fall risk.","author":[{"dropping-particle":"","family":"McDaniels-Davidson","given":"C.","non-dropping-particle":"","parse-names":false,"suffix":""},{"dropping-particle":"","family":"Davis","given":"A.","non-dropping-particle":"","parse-names":false,"suffix":""},{"dropping-particle":"","family":"Wing","given":"D.","non-dropping-particle":"","parse-names":false,"suffix":""},{"dropping-particle":"","family":"Macera","given":"C.","non-dropping-particle":"","parse-names":false,"suffix":""},{"dropping-particle":"","family":"Lindsay","given":"S. P.","non-dropping-particle":"","parse-names":false,"suffix":""},{"dropping-particle":"","family":"Schousboe","given":"J. T.","non-dropping-particle":"","parse-names":false,"suffix":""},{"dropping-particle":"","family":"Nichols","given":"J. F.","non-dropping-particle":"","parse-names":false,"suffix":""},{"dropping-particle":"","family":"Kado","given":"D. M.","non-dropping-particle":"","parse-names":false,"suffix":""}],"container-title":"Osteoporosis International","id":"ITEM-1","issue":"1","issued":{"date-parts":[["2018"]]},"page":"163-169","title":"Kyphosis and incident falls among community-dwelling older adults","type":"article-journal","volume":"29"},"uris":["http://www.mendeley.com/documents/?uuid=61909d95-937a-3ba7-90e6-f648b5179a96","http://www.mendeley.com/documents/?uuid=56f96eba-5ea3-48db-a147-b22a59f34a9a"]}],"mendeley":{"formattedCitation":"&lt;sup&gt;112&lt;/sup&gt;","plainTextFormattedCitation":"112","previouslyFormattedCitation":"&lt;sup&gt;112&lt;/sup&gt;"},"properties":{"noteIndex":0},"schema":"https://github.com/citation-style-language/schema/raw/master/csl-citation.json"}</w:instrText>
      </w:r>
      <w:r w:rsidRPr="00875798">
        <w:rPr>
          <w:rFonts w:ascii="Helvetica" w:hAnsi="Helvetica" w:cs="Helvetica"/>
          <w:color w:val="auto"/>
          <w:sz w:val="24"/>
          <w:szCs w:val="24"/>
        </w:rPr>
        <w:fldChar w:fldCharType="separate"/>
      </w:r>
      <w:r w:rsidRPr="00875798">
        <w:rPr>
          <w:rFonts w:ascii="Helvetica" w:hAnsi="Helvetica" w:cs="Helvetica"/>
          <w:noProof/>
          <w:color w:val="auto"/>
          <w:sz w:val="24"/>
          <w:szCs w:val="24"/>
          <w:vertAlign w:val="superscript"/>
        </w:rPr>
        <w:t>112</w:t>
      </w:r>
      <w:r w:rsidRPr="00875798">
        <w:rPr>
          <w:rFonts w:ascii="Helvetica" w:hAnsi="Helvetica" w:cs="Helvetica"/>
          <w:color w:val="auto"/>
          <w:sz w:val="24"/>
          <w:szCs w:val="24"/>
        </w:rPr>
        <w:fldChar w:fldCharType="end"/>
      </w:r>
      <w:r w:rsidRPr="00875798">
        <w:rPr>
          <w:rFonts w:ascii="Helvetica" w:hAnsi="Helvetica" w:cs="Helvetica"/>
          <w:color w:val="auto"/>
          <w:sz w:val="24"/>
          <w:szCs w:val="24"/>
        </w:rPr>
        <w:t>.</w:t>
      </w:r>
    </w:p>
    <w:p w14:paraId="53D51211" w14:textId="77777777" w:rsidR="000F5BC4" w:rsidRPr="00875798" w:rsidRDefault="000F5BC4" w:rsidP="000F5BC4">
      <w:pPr>
        <w:spacing w:before="120" w:after="0" w:line="240" w:lineRule="auto"/>
        <w:rPr>
          <w:rFonts w:ascii="Helvetica" w:hAnsi="Helvetica" w:cs="Helvetica"/>
        </w:rPr>
      </w:pPr>
      <w:bookmarkStart w:id="34" w:name="_Toc513730696"/>
      <w:bookmarkStart w:id="35" w:name="_Toc512605576"/>
      <w:r w:rsidRPr="00875798">
        <w:rPr>
          <w:rFonts w:ascii="Helvetica" w:hAnsi="Helvetica" w:cs="Helvetica"/>
        </w:rPr>
        <w:t xml:space="preserve">Falls risk, including problems with gait, muscle strength and balance, is modifiable with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Weight-bearing activities will help muscle strength and balance to some extent, although this can become more difficult in older age.  </w:t>
      </w:r>
    </w:p>
    <w:bookmarkEnd w:id="34"/>
    <w:p w14:paraId="3022F064" w14:textId="77777777" w:rsidR="000F5BC4" w:rsidRPr="00875798" w:rsidRDefault="000F5BC4" w:rsidP="000F5BC4">
      <w:pPr>
        <w:keepNext/>
        <w:keepLines/>
        <w:spacing w:before="240" w:after="0" w:line="240" w:lineRule="auto"/>
        <w:rPr>
          <w:rFonts w:ascii="Helvetica" w:eastAsiaTheme="majorEastAsia" w:hAnsi="Helvetica" w:cs="Helvetica"/>
          <w:b/>
          <w:i/>
          <w:iCs/>
        </w:rPr>
      </w:pPr>
      <w:r w:rsidRPr="00875798">
        <w:rPr>
          <w:rFonts w:ascii="Helvetica" w:hAnsi="Helvetica" w:cs="Helvetica"/>
          <w:i/>
          <w:iCs/>
        </w:rPr>
        <w:t>Fall prevention</w:t>
      </w:r>
    </w:p>
    <w:bookmarkEnd w:id="35"/>
    <w:p w14:paraId="476CFA7A" w14:textId="77777777" w:rsidR="000F5BC4" w:rsidRPr="00875798" w:rsidRDefault="000F5BC4" w:rsidP="000F5BC4">
      <w:pPr>
        <w:pStyle w:val="ListParagraph"/>
        <w:spacing w:before="120" w:after="0" w:line="240" w:lineRule="auto"/>
        <w:ind w:left="0"/>
        <w:rPr>
          <w:rFonts w:ascii="Helvetica" w:hAnsi="Helvetica" w:cs="Helvetica"/>
          <w:color w:val="auto"/>
          <w:sz w:val="24"/>
          <w:szCs w:val="24"/>
        </w:rPr>
      </w:pPr>
      <w:r w:rsidRPr="00875798">
        <w:rPr>
          <w:rFonts w:ascii="Helvetica" w:hAnsi="Helvetica" w:cs="Helvetica"/>
          <w:color w:val="auto"/>
          <w:sz w:val="24"/>
          <w:szCs w:val="24"/>
        </w:rPr>
        <w:t>There should be a health professional assessment for multiple risk factors for falls, and advice on appropriate interventions, including a specialist falls prevention exercise programme (with balance training) where available</w:t>
      </w:r>
      <w:r w:rsidRPr="00875798">
        <w:rPr>
          <w:rFonts w:ascii="Helvetica" w:hAnsi="Helvetica" w:cs="Helvetica"/>
          <w:color w:val="auto"/>
          <w:sz w:val="24"/>
          <w:szCs w:val="24"/>
          <w:lang w:val="en-US"/>
        </w:rPr>
        <w:t xml:space="preserve">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{"citationItems":[{"id":"ITEM-1","itemData":{"author":[{"dropping-particle":"","family":"Public Health England","given":"","non-dropping-particle":"","parse-names":false,"suffix":""}],"id":"ITEM-1","issued":{"date-parts":[["2017"]]},"title":"Falls and fractures: consensus statement and resources pack","type":"report"},"uris":["http://www.mendeley.com/documents/?uuid=4dd1eac8-51fa-429f-b05a-808710d063ed","http://www.mendeley.com/documents/?uuid=e7cc2829-3fa7-368c-8cf4-3f94625353a1"]}],"mendeley":{"formattedCitation":"&lt;sup&gt;107&lt;/sup&gt;","plainTextFormattedCitation":"107","previouslyFormattedCitation":"&lt;sup&gt;107&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107</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rPr>
        <w:t xml:space="preserve">.  </w:t>
      </w:r>
      <w:r w:rsidRPr="00875798">
        <w:rPr>
          <w:rFonts w:ascii="Helvetica" w:hAnsi="Helvetica" w:cs="Helvetica"/>
          <w:color w:val="auto"/>
          <w:sz w:val="24"/>
          <w:szCs w:val="24"/>
          <w:lang w:val="en-US"/>
        </w:rPr>
        <w:t xml:space="preserve">A multi-factorial approach should include medication review, bone health risk factors, and general health assessment (e.g. eyesight, continence, foot health).  Environmental factors may need to be considered to address other risk factors, such as better lighting and marking edges of stairs if eyesight is failing </w:t>
      </w:r>
      <w:r w:rsidRPr="00875798">
        <w:rPr>
          <w:rFonts w:ascii="Helvetica" w:hAnsi="Helvetica" w:cs="Helvetica"/>
          <w:color w:val="auto"/>
          <w:sz w:val="24"/>
          <w:szCs w:val="24"/>
          <w:lang w:val="en-US"/>
        </w:rPr>
        <w:fldChar w:fldCharType="begin" w:fldLock="1"/>
      </w:r>
      <w:r w:rsidRPr="00875798">
        <w:rPr>
          <w:rFonts w:ascii="Helvetica" w:hAnsi="Helvetica" w:cs="Helvetica"/>
          <w:color w:val="auto"/>
          <w:sz w:val="24"/>
          <w:szCs w:val="24"/>
          <w:lang w:val="en-US"/>
        </w:rPr>
        <w:instrText>ADDIN CSL_CITATION {"citationItems":[{"id":"ITEM-1","itemData":{"author":[{"dropping-particle":"","family":"Gentry","given":"Tom","non-dropping-particle":"","parse-names":false,"suffix":""},{"dropping-particle":"","family":"Renoux","given":"Lea","non-dropping-particle":"","parse-names":false,"suffix":""},{"dropping-particle":"","family":"James","given":"Cathryn","non-dropping-particle":"","parse-names":false,"suffix":""},{"dropping-particle":"","family":"Treml","given":"Jonathan Dr","non-dropping-particle":"","parse-names":false,"suffix":""},{"dropping-particle":"","family":"Hodges","given":"Martin","non-dropping-particle":"","parse-names":false,"suffix":""},{"dropping-particle":"","family":"Ansari","given":"Louise","non-dropping-particle":"","parse-names":false,"suffix":""},{"dropping-particle":"","family":"Bennett","given":"Katherine","non-dropping-particle":"","parse-names":false,"suffix":""},{"dropping-particle":"","family":"Dasoju","given":"Priya","non-dropping-particle":"","parse-names":false,"suffix":""},{"dropping-particle":"","family":"Orman","given":"Karin","non-dropping-particle":"","parse-names":false,"suffix":""},{"dropping-particle":"","family":"Fellows","given":"Bob","non-dropping-particle":"","parse-names":false,"suffix":""},{"dropping-particle":"","family":"Quinn","given":"Eugene","non-dropping-particle":"","parse-names":false,"suffix":""},{"dropping-particle":"","family":"O'Reilly","given":"Peter","non-dropping-particle":"","parse-names":false,"suffix":""},{"dropping-particle":"","family":"Thurston","given":"Anne","non-dropping-particle":"","parse-names":false,"suffix":""},{"dropping-particle":"","family":"Bramley","given":"David","non-dropping-particle":"","parse-names":false,"suffix":""},{"dropping-particle":"","family":"Walkin","given":"Emily","non-dropping-particle":"","parse-names":false,"suffix":""},{"dropping-particle":"","family":"Windsor","given":"Julie","non-dropping-particle":"","parse-names":false,"suffix":""},{"dropping-particle":"","family":"MacIntyre","given":"Daniel","non-dropping-particle":"","parse-names":false,"suffix":""},{"dropping-particle":"","family":"Ali","given":"Nuzhat","non-dropping-particle":"","parse-names":false,"suffix":""},{"dropping-particle":"","family":"Jankowski","given":"Raymond","non-dropping-particle":"","parse-names":false,"suffix":""},{"dropping-particle":"","family":"Kendrick","given":"Denise Prof.","non-dropping-particle":"","parse-names":false,"suffix":""},{"dropping-particle":"","family":"Garrett","given":"Dawne","non-dropping-particle":"","parse-names":false,"suffix":""},{"dropping-particle":"","family":"Martin","given":"Finbarr Prof.","non-dropping-particle":"","parse-names":false,"suffix":""},{"dropping-particle":"","family":"O'Riordan","given":"Shelagh Dr.","non-dropping-particle":"","parse-names":false,"suffix":""},{"dropping-particle":"","family":"Martin","given":"Ashley","non-dropping-particle":"","parse-names":false,"suffix":""}],"id":"ITEM-1","issue":"January","issued":{"date-parts":[["2017"]]},"number-of-pages":"1-22","publisher-place":"London ;Public Health England","title":"Falls and fracture consensus statement Supporting commissioning for prevention","type":"report"},"uris":["http://www.mendeley.com/documents/?uuid=a1aad930-e3f5-3dd6-9ceb-8de0b6a47490","http://www.mendeley.com/documents/?uuid=580fef20-2d8b-4ca0-a911-d7e5e1848da9"]}],"mendeley":{"formattedCitation":"&lt;sup&gt;113&lt;/sup&gt;","plainTextFormattedCitation":"113","previouslyFormattedCitation":"&lt;sup&gt;113&lt;/sup&gt;"},"properties":{"noteIndex":0},"schema":"https://github.com/citation-style-language/schema/raw/master/csl-citation.json"}</w:instrText>
      </w:r>
      <w:r w:rsidRPr="00875798">
        <w:rPr>
          <w:rFonts w:ascii="Helvetica" w:hAnsi="Helvetica" w:cs="Helvetica"/>
          <w:color w:val="auto"/>
          <w:sz w:val="24"/>
          <w:szCs w:val="24"/>
          <w:lang w:val="en-US"/>
        </w:rPr>
        <w:fldChar w:fldCharType="separate"/>
      </w:r>
      <w:r w:rsidRPr="00875798">
        <w:rPr>
          <w:rFonts w:ascii="Helvetica" w:hAnsi="Helvetica" w:cs="Helvetica"/>
          <w:noProof/>
          <w:color w:val="auto"/>
          <w:sz w:val="24"/>
          <w:szCs w:val="24"/>
          <w:vertAlign w:val="superscript"/>
          <w:lang w:val="en-US"/>
        </w:rPr>
        <w:t>113</w:t>
      </w:r>
      <w:r w:rsidRPr="00875798">
        <w:rPr>
          <w:rFonts w:ascii="Helvetica" w:hAnsi="Helvetica" w:cs="Helvetica"/>
          <w:color w:val="auto"/>
          <w:sz w:val="24"/>
          <w:szCs w:val="24"/>
          <w:lang w:val="en-US"/>
        </w:rPr>
        <w:fldChar w:fldCharType="end"/>
      </w:r>
      <w:r w:rsidRPr="00875798">
        <w:rPr>
          <w:rFonts w:ascii="Helvetica" w:hAnsi="Helvetica" w:cs="Helvetica"/>
          <w:color w:val="auto"/>
          <w:sz w:val="24"/>
          <w:szCs w:val="24"/>
          <w:lang w:val="en-US"/>
        </w:rPr>
        <w:t>.</w:t>
      </w:r>
    </w:p>
    <w:p w14:paraId="3AD20578" w14:textId="77777777" w:rsidR="000F5BC4" w:rsidRPr="00875798" w:rsidRDefault="000F5BC4" w:rsidP="000F5BC4">
      <w:pPr>
        <w:spacing w:before="120" w:after="0" w:line="240" w:lineRule="auto"/>
        <w:rPr>
          <w:rFonts w:ascii="Helvetica" w:hAnsi="Helvetica" w:cs="Helvetica"/>
          <w:b/>
          <w:bCs/>
        </w:rPr>
      </w:pPr>
      <w:r w:rsidRPr="00875798">
        <w:rPr>
          <w:rFonts w:ascii="Helvetica" w:hAnsi="Helvetica" w:cs="Helvetica"/>
          <w:b/>
          <w:bCs/>
        </w:rPr>
        <w:t>Research evidence</w:t>
      </w:r>
    </w:p>
    <w:p w14:paraId="26289CB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Observational evidence demonstrates that those who meet physical activity guidelines for health (150 min/week of moderate to vigorous physical activity) are less likely to fall or injure themselves </w:t>
      </w:r>
      <w:r w:rsidRPr="00875798">
        <w:rPr>
          <w:rFonts w:ascii="Helvetica" w:hAnsi="Helvetica" w:cs="Helvetica"/>
        </w:rPr>
        <w:fldChar w:fldCharType="begin" w:fldLock="1"/>
      </w:r>
      <w:r w:rsidRPr="00875798">
        <w:rPr>
          <w:rFonts w:ascii="Helvetica" w:hAnsi="Helvetica" w:cs="Helvetica"/>
        </w:rPr>
        <w:instrText>ADDIN CSL_CITATION {"citationItems":[{"id":"ITEM-1","itemData":{"URL":"https://assets.publishing.service.gov.uk/government/uploads/system/uploads/attachment_data/file/832868/ukchief-medical-officers-physical-activity-guidelines.pdf","accessed":{"date-parts":[["2019","9","18"]]},"author":[{"dropping-particle":"","family":"Department of Health and Social Care","given":"","non-dropping-particle":"","parse-names":false,"suffix":""}],"id":"ITEM-1","issued":{"date-parts":[["2019"]]},"title":"UK Chief Medical Officers’ Physical Activity Guidelines.","type":"webpage"},"uris":["http://www.mendeley.com/documents/?uuid=0ef2c276-caf9-4e59-a59a-6c3318f18bf9"]},{"id":"ITEM-2","itemData":{"DOI":"10.1093/ageing/afx039","ISSN":"14682834","PMID":"28369185","abstract":"Objective: to explore the relationship between risk of falling at age\n90+ and prior physical activity at age 60-70s.\nDesign: population-based cohort study (The 90+ Study).\nSetting: California retirement community.\nParticipants: of 1596 cohort members, 1536 had both falls and prior\nactivity data. Mean age = 94 years; 78% female; 99% Caucasian.\nMethods: time spent in active physical activity was self-reported in\n1980s; medical history, medication, assistive devices, residence type,\nand falls (outcome) was collected in 2000s. Activity/fall relationships\nwere assessed using logistic regression.\nResults: falls were reported by 52% of participants, recurrent falls by\n32%, and severe injury by 21% of fallers. In univariate analyses risk\nof falling at age 90+ was significantly related to medical history\n(heart disease, TIA/stroke, arthritis, vision disease, depression,\ndementia), medication use (hypnotics, anti-psychotics,\nanti-depressants), use of assistive devices (cane, walker, wheelchair),\nresidence type (living with relatives, sheltered living), and source of\ninformation (self-report vs informant). Risks of falling and recurrent\nfalls at age 90+ were 35-45% lower in those reporting 30+ minutes/day\nof active physical activity at age 60-70s compared with no activity. The\nodds ratio of falling was 0.65 (95% CI = 0.44-0.97) for 30-45\nminutes/day and 0.64 (0.44-0.94) for 1+ hour/day adjusting for age, sex,\nmedical history (stroke/TIA, vision disease, depression), use of\nassistive devices, and source of information.\nConclusions and Relevance: falls are extremely common among the\noldest-old and a significant proportion lead to severe injury. This work\nis the first to show an association between exercise at age 60-70s and\nlower risk of falling at age 90+.","author":[{"dropping-particle":"","family":"Paganini-Hill","given":"Annlia","non-dropping-particle":"","parse-names":false,"suffix":""},{"dropping-particle":"","family":"Greenia","given":"Dana E.","non-dropping-particle":"","parse-names":false,"suffix":""},{"dropping-particle":"","family":"Perry","given":"Shawna","non-dropping-particle":"","parse-names":false,"suffix":""},{"dropping-particle":"","family":"Sajjadi","given":"Seyed Ahmad","non-dropping-particle":"","parse-names":false,"suffix":""},{"dropping-particle":"","family":"Kawas","given":"Claudia H.","non-dropping-particle":"","parse-names":false,"suffix":""},{"dropping-particle":"","family":"Corrada","given":"Maria M.","non-dropping-particle":"","parse-names":false,"suffix":""}],"container-title":"Age and Ageing","id":"ITEM-2","issue":"6","issued":{"date-parts":[["2017","11"]]},"page":"951-957","publisher":"Oxford University Press","title":"Lower likelihood of falling at age 90+ is associated with daily exercise a quarter of a century earlier: The 90+ Study","type":"article-journal","volume":"46"},"uris":["http://www.mendeley.com/documents/?uuid=cbaeb890-c83e-3623-8de7-0d292bb17767","http://www.mendeley.com/documents/?uuid=1566e94b-0f75-431e-88e1-edf5f3440630"]}],"mendeley":{"formattedCitation":"&lt;sup&gt;21,114&lt;/sup&gt;","plainTextFormattedCitation":"21,114","previouslyFormattedCitation":"&lt;sup&gt;21,114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21,114</w:t>
      </w:r>
      <w:r w:rsidRPr="00875798">
        <w:rPr>
          <w:rFonts w:ascii="Helvetica" w:hAnsi="Helvetica" w:cs="Helvetica"/>
        </w:rPr>
        <w:fldChar w:fldCharType="end"/>
      </w:r>
      <w:r w:rsidRPr="00875798">
        <w:rPr>
          <w:rFonts w:ascii="Helvetica" w:hAnsi="Helvetica" w:cs="Helvetica"/>
        </w:rPr>
        <w:t xml:space="preserve">. Exercise also reduces fear of falling to some extent - at least immediately after the intervention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009848.pub2","ISSN":"14651858","author":[{"dropping-particle":"","family":"Kendrick","given":"Denise","non-dropping-particle":"","parse-names":false,"suffix":""},{"dropping-particle":"","family":"Kumar","given":"Arun","non-dropping-particle":"","parse-names":false,"suffix":""},{"dropping-particle":"","family":"Carpenter","given":"Hannah","non-dropping-particle":"","parse-names":false,"suffix":""},{"dropping-particle":"","family":"Zijlstra","given":"G A Rixt","non-dropping-particle":"","parse-names":false,"suffix":""},{"dropping-particle":"","family":"Skelton","given":"Dawn A","non-dropping-particle":"","parse-names":false,"suffix":""},{"dropping-particle":"","family":"Cook","given":"Juliette R","non-dropping-particle":"","parse-names":false,"suffix":""},{"dropping-particle":"","family":"Stevens","given":"Zoe","non-dropping-particle":"","parse-names":false,"suffix":""},{"dropping-particle":"","family":"Belcher","given":"Carolyn M","non-dropping-particle":"","parse-names":false,"suffix":""},{"dropping-particle":"","family":"Haworth","given":"Deborah","non-dropping-particle":"","parse-names":false,"suffix":""},{"dropping-particle":"","family":"Gawler","given":"Sheena J","non-dropping-particle":"","parse-names":false,"suffix":""},{"dropping-particle":"","family":"Gage","given":"Heather","non-dropping-particle":"","parse-names":false,"suffix":""},{"dropping-particle":"","family":"Masud","given":"Tahir","non-dropping-particle":"","parse-names":false,"suffix":""},{"dropping-particle":"","family":"Bowling","given":"Ann","non-dropping-particle":"","parse-names":false,"suffix":""},{"dropping-particle":"","family":"Pearl","given":"Mirilee","non-dropping-particle":"","parse-names":false,"suffix":""},{"dropping-particle":"","family":"Morris","given":"Richard W","non-dropping-particle":"","parse-names":false,"suffix":""},{"dropping-particle":"","family":"Iliffe","given":"Steve","non-dropping-particle":"","parse-names":false,"suffix":""},{"dropping-particle":"","family":"Delbaere","given":"Kim","non-dropping-particle":"","parse-names":false,"suffix":""}],"container-title":"Cochrane Database of Systematic Reviews","id":"ITEM-1","issued":{"date-parts":[["2014","11"]]},"publisher":"John Wiley &amp; Sons, Ltd","title":"Exercise for reducing fear of falling in older people living in the community","type":"article-journal"},"uris":["http://www.mendeley.com/documents/?uuid=bc7a3089-7bf2-3ed2-aeeb-858be5d53c5f","http://www.mendeley.com/documents/?uuid=e9ab033e-1bfb-4704-af4a-b119497394ae"]}],"mendeley":{"formattedCitation":"&lt;sup&gt;115&lt;/sup&gt;","plainTextFormattedCitation":"115","previouslyFormattedCitation":"&lt;sup&gt;115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115</w:t>
      </w:r>
      <w:r w:rsidRPr="00875798">
        <w:rPr>
          <w:rFonts w:ascii="Helvetica" w:hAnsi="Helvetica" w:cs="Helvetica"/>
        </w:rPr>
        <w:fldChar w:fldCharType="end"/>
      </w:r>
      <w:r w:rsidRPr="00875798">
        <w:rPr>
          <w:rFonts w:ascii="Helvetica" w:hAnsi="Helvetica" w:cs="Helvetica"/>
        </w:rPr>
        <w:t xml:space="preserve">. A large number of randomised controlled trials of exercise interventions on fall incidence have been conducted, as summarised in recent meta-analyses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w:t>
      </w:r>
    </w:p>
    <w:p w14:paraId="7F1012CE" w14:textId="77777777" w:rsidR="000F5BC4" w:rsidRPr="00875798" w:rsidRDefault="000F5BC4" w:rsidP="000F5BC4">
      <w:pPr>
        <w:pStyle w:val="Heading4"/>
        <w:spacing w:before="240" w:line="240" w:lineRule="auto"/>
        <w:rPr>
          <w:rFonts w:ascii="Helvetica" w:hAnsi="Helvetica" w:cs="Helvetica"/>
          <w:color w:val="auto"/>
        </w:rPr>
      </w:pPr>
      <w:r w:rsidRPr="00875798">
        <w:rPr>
          <w:rFonts w:ascii="Helvetica" w:hAnsi="Helvetica" w:cs="Helvetica"/>
          <w:color w:val="auto"/>
        </w:rPr>
        <w:t>Type and intensity of exercise</w:t>
      </w:r>
    </w:p>
    <w:p w14:paraId="26AE673E" w14:textId="77777777" w:rsidR="000F5BC4" w:rsidRPr="00875798" w:rsidRDefault="000F5BC4" w:rsidP="000F5BC4">
      <w:pPr>
        <w:autoSpaceDE w:val="0"/>
        <w:autoSpaceDN w:val="0"/>
        <w:adjustRightInd w:val="0"/>
        <w:spacing w:before="120" w:after="0" w:line="240" w:lineRule="auto"/>
        <w:rPr>
          <w:rFonts w:ascii="Helvetica" w:hAnsi="Helvetica" w:cs="Helvetica"/>
        </w:rPr>
      </w:pPr>
      <w:r w:rsidRPr="00875798">
        <w:rPr>
          <w:rStyle w:val="Heading4Char"/>
          <w:rFonts w:ascii="Helvetica" w:hAnsi="Helvetica" w:cs="Helvetica"/>
          <w:i w:val="0"/>
          <w:iCs w:val="0"/>
          <w:color w:val="auto"/>
        </w:rPr>
        <w:t>The majority of studies have used balance training, often combined with strength training, sometimes incorporating also walking to meet physical activity guidelines for other health benefits</w:t>
      </w:r>
      <w:r w:rsidRPr="00875798">
        <w:rPr>
          <w:rFonts w:ascii="Helvetica" w:hAnsi="Helvetica" w:cs="Helvetica"/>
        </w:rPr>
        <w:t xml:space="preserv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w:t>
      </w:r>
      <w:r w:rsidRPr="00875798">
        <w:rPr>
          <w:rStyle w:val="Heading4Char"/>
          <w:rFonts w:ascii="Helvetica" w:hAnsi="Helvetica" w:cs="Helvetica"/>
          <w:i w:val="0"/>
          <w:iCs w:val="0"/>
          <w:color w:val="auto"/>
        </w:rPr>
        <w:t xml:space="preserve"> Balance training</w:t>
      </w:r>
      <w:r w:rsidRPr="00875798">
        <w:rPr>
          <w:rFonts w:ascii="Helvetica" w:hAnsi="Helvetica" w:cs="Helvetica"/>
        </w:rPr>
        <w:t xml:space="preserve"> is defined as the transfer of bodyweight from one part of the body to another or challenges specific aspects of the balance systems (e.g. vestibular systems) and balance retraining is defined as the re-education of basic functional movement patterns to a wide variety of dynamic activities that target more sophisticated aspects of balance </w:t>
      </w:r>
      <w:r w:rsidRPr="00875798">
        <w:rPr>
          <w:rFonts w:ascii="Helvetica" w:hAnsi="Helvetica" w:cs="Helvetica"/>
        </w:rPr>
        <w:fldChar w:fldCharType="begin" w:fldLock="1"/>
      </w:r>
      <w:r w:rsidRPr="00875798">
        <w:rPr>
          <w:rFonts w:ascii="Helvetica" w:hAnsi="Helvetica" w:cs="Helvetica"/>
        </w:rPr>
        <w:instrText>ADDIN CSL_CITATION {"citationItems":[{"id":"ITEM-1","itemData":{"DOI":"10.1186/1745-6215-12-125","ISBN":"1745621512","ISSN":"17456215","PMID":"21586143","abstract":"Interventions for preventing falls in older people often involve several components, multidisciplinary teams, and implementation in a variety of settings. We have developed a classification system (taxonomy) to describe interventions used to prevent falls in older people, with the aim of improving the design and reporting of clinical trials of fall-prevention interventions, and synthesis of evidence from these trials.","author":[{"dropping-particle":"","family":"Lamb","given":"Sarah E.","non-dropping-particle":"","parse-names":false,"suffix":""},{"dropping-particle":"","family":"Becker","given":"Clemens","non-dropping-particle":"","parse-names":false,"suffix":""},{"dropping-particle":"","family":"Gillespie","given":"Lesley D.","non-dropping-particle":"","parse-names":false,"suffix":""},{"dropping-particle":"","family":"Smith","given":"Jessica L.","non-dropping-particle":"","parse-names":false,"suffix":""},{"dropping-particle":"","family":"Finnegan","given":"Susanne","non-dropping-particle":"","parse-names":false,"suffix":""},{"dropping-particle":"","family":"Potter","given":"Rachel","non-dropping-particle":"","parse-names":false,"suffix":""},{"dropping-particle":"","family":"Pfeiffer","given":"Klaus","non-dropping-particle":"","parse-names":false,"suffix":""}],"container-title":"Trials","id":"ITEM-1","issued":{"date-parts":[["2011"]]},"page":"2-9","title":"Reporting of complex interventions in clinical trials: Development of a taxonomy to classify and describe fall-prevention interventions","type":"article-journal","volume":"12"},"uris":["http://www.mendeley.com/documents/?uuid=1b38ca35-bfe3-4104-9fa6-c8d63d76329e","http://www.mendeley.com/documents/?uuid=db16a633-3b37-452e-856b-2ca17ecc4496"]}],"mendeley":{"formattedCitation":"&lt;sup&gt;116&lt;/sup&gt;","plainTextFormattedCitation":"116","previouslyFormattedCitation":"&lt;sup&gt;116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116</w:t>
      </w:r>
      <w:r w:rsidRPr="00875798">
        <w:rPr>
          <w:rFonts w:ascii="Helvetica" w:hAnsi="Helvetica" w:cs="Helvetica"/>
        </w:rPr>
        <w:fldChar w:fldCharType="end"/>
      </w:r>
      <w:r w:rsidRPr="00875798">
        <w:rPr>
          <w:rFonts w:ascii="Helvetica" w:hAnsi="Helvetica" w:cs="Helvetica"/>
        </w:rPr>
        <w:t>.</w:t>
      </w:r>
    </w:p>
    <w:p w14:paraId="0BBB797D"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Overall, exercise interventions reduced the rate of falls by 23% in older people living in the community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The most effective interventions incorporated highly challenging balance training for at least 3 hours per week which reduced rate of falls by 39%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w:t>
      </w:r>
      <w:r w:rsidRPr="00875798">
        <w:rPr>
          <w:rFonts w:ascii="Helvetica" w:hAnsi="Helvetica" w:cs="Helvetica"/>
        </w:rPr>
        <w:fldChar w:fldCharType="end"/>
      </w:r>
      <w:r w:rsidRPr="00875798">
        <w:rPr>
          <w:rFonts w:ascii="Helvetica" w:hAnsi="Helvetica" w:cs="Helvetica"/>
        </w:rPr>
        <w:t xml:space="preserve">. The level of challenge can be increased by reducing the base of support (e.g. standing with legs closer together, then on one leg), moving the centre of gravity (e.g. reaching, transferring weight) and reducing the support from arms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w:t>
      </w:r>
      <w:r w:rsidRPr="00875798">
        <w:rPr>
          <w:rFonts w:ascii="Helvetica" w:hAnsi="Helvetica" w:cs="Helvetica"/>
        </w:rPr>
        <w:fldChar w:fldCharType="end"/>
      </w:r>
      <w:r w:rsidRPr="00875798">
        <w:rPr>
          <w:rFonts w:ascii="Helvetica" w:hAnsi="Helvetica" w:cs="Helvetica"/>
        </w:rPr>
        <w:t xml:space="preserve">. Most research studies included supervised sessions with an instructor to participant ratio of &lt;10 in the supervised sessions </w:t>
      </w:r>
      <w:r w:rsidRPr="00875798">
        <w:rPr>
          <w:rFonts w:ascii="Helvetica" w:hAnsi="Helvetica" w:cs="Helvetica"/>
        </w:rPr>
        <w:fldChar w:fldCharType="begin" w:fldLock="1"/>
      </w:r>
      <w:r w:rsidRPr="00875798">
        <w:rPr>
          <w:rFonts w:ascii="Helvetica" w:hAnsi="Helvetica" w:cs="Helvetica"/>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55</w:t>
      </w:r>
      <w:r w:rsidRPr="00875798">
        <w:rPr>
          <w:rFonts w:ascii="Helvetica" w:hAnsi="Helvetica" w:cs="Helvetica"/>
        </w:rPr>
        <w:fldChar w:fldCharType="end"/>
      </w:r>
      <w:r w:rsidRPr="00875798">
        <w:rPr>
          <w:rFonts w:ascii="Helvetica" w:hAnsi="Helvetica" w:cs="Helvetica"/>
        </w:rPr>
        <w:t>.</w:t>
      </w:r>
      <w:r w:rsidRPr="00875798">
        <w:rPr>
          <w:rFonts w:ascii="Helvetica" w:hAnsi="Helvetica" w:cs="Helvetica"/>
          <w:lang w:val="en-US"/>
        </w:rPr>
        <w:t xml:space="preserve"> The</w:t>
      </w:r>
      <w:r w:rsidRPr="00875798">
        <w:rPr>
          <w:rFonts w:ascii="Helvetica" w:hAnsi="Helvetica" w:cs="Helvetica"/>
        </w:rPr>
        <w:t xml:space="preserve"> Otago exercise programme and the FaME (PSI) programme are evidence-based and cost effective </w:t>
      </w:r>
      <w:r w:rsidRPr="00875798">
        <w:rPr>
          <w:rFonts w:ascii="Helvetica" w:hAnsi="Helvetica" w:cs="Helvetica"/>
        </w:rPr>
        <w:fldChar w:fldCharType="begin" w:fldLock="1"/>
      </w:r>
      <w:r w:rsidRPr="00875798">
        <w:rPr>
          <w:rFonts w:ascii="Helvetica" w:hAnsi="Helvetica" w:cs="Helvetica"/>
        </w:rPr>
        <w:instrText>ADDIN CSL_CITATION {"citationItems":[{"id":"ITEM-1","itemData":{"author":[{"dropping-particle":"","family":"Gentry","given":"Tom","non-dropping-particle":"","parse-names":false,"suffix":""},{"dropping-particle":"","family":"Renoux","given":"Lea","non-dropping-particle":"","parse-names":false,"suffix":""},{"dropping-particle":"","family":"James","given":"Cathryn","non-dropping-particle":"","parse-names":false,"suffix":""},{"dropping-particle":"","family":"Treml","given":"Jonathan Dr","non-dropping-particle":"","parse-names":false,"suffix":""},{"dropping-particle":"","family":"Hodges","given":"Martin","non-dropping-particle":"","parse-names":false,"suffix":""},{"dropping-particle":"","family":"Ansari","given":"Louise","non-dropping-particle":"","parse-names":false,"suffix":""},{"dropping-particle":"","family":"Bennett","given":"Katherine","non-dropping-particle":"","parse-names":false,"suffix":""},{"dropping-particle":"","family":"Dasoju","given":"Priya","non-dropping-particle":"","parse-names":false,"suffix":""},{"dropping-particle":"","family":"Orman","given":"Karin","non-dropping-particle":"","parse-names":false,"suffix":""},{"dropping-particle":"","family":"Fellows","given":"Bob","non-dropping-particle":"","parse-names":false,"suffix":""},{"dropping-particle":"","family":"Quinn","given":"Eugene","non-dropping-particle":"","parse-names":false,"suffix":""},{"dropping-particle":"","family":"O'Reilly","given":"Peter","non-dropping-particle":"","parse-names":false,"suffix":""},{"dropping-particle":"","family":"Thurston","given":"Anne","non-dropping-particle":"","parse-names":false,"suffix":""},{"dropping-particle":"","family":"Bramley","given":"David","non-dropping-particle":"","parse-names":false,"suffix":""},{"dropping-particle":"","family":"Walkin","given":"Emily","non-dropping-particle":"","parse-names":false,"suffix":""},{"dropping-particle":"","family":"Windsor","given":"Julie","non-dropping-particle":"","parse-names":false,"suffix":""},{"dropping-particle":"","family":"MacIntyre","given":"Daniel","non-dropping-particle":"","parse-names":false,"suffix":""},{"dropping-particle":"","family":"Ali","given":"Nuzhat","non-dropping-particle":"","parse-names":false,"suffix":""},{"dropping-particle":"","family":"Jankowski","given":"Raymond","non-dropping-particle":"","parse-names":false,"suffix":""},{"dropping-particle":"","family":"Kendrick","given":"Denise Prof.","non-dropping-particle":"","parse-names":false,"suffix":""},{"dropping-particle":"","family":"Garrett","given":"Dawne","non-dropping-particle":"","parse-names":false,"suffix":""},{"dropping-particle":"","family":"Martin","given":"Finbarr Prof.","non-dropping-particle":"","parse-names":false,"suffix":""},{"dropping-particle":"","family":"O'Riordan","given":"Shelagh Dr.","non-dropping-particle":"","parse-names":false,"suffix":""},{"dropping-particle":"","family":"Martin","given":"Ashley","non-dropping-particle":"","parse-names":false,"suffix":""}],"id":"ITEM-1","issue":"January","issued":{"date-parts":[["2017"]]},"number-of-pages":"1-22","publisher-place":"London ;Public Health England","title":"Falls and fracture consensus statement Supporting commissioning for prevention","type":"report"},"uris":["http://www.mendeley.com/documents/?uuid=580fef20-2d8b-4ca0-a911-d7e5e1848da9","http://www.mendeley.com/documents/?uuid=a1aad930-e3f5-3dd6-9ceb-8de0b6a47490"]}],"mendeley":{"formattedCitation":"&lt;sup&gt;113&lt;/sup&gt;","plainTextFormattedCitation":"113","previouslyFormattedCitation":"&lt;sup&gt;113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113</w:t>
      </w:r>
      <w:r w:rsidRPr="00875798">
        <w:rPr>
          <w:rFonts w:ascii="Helvetica" w:hAnsi="Helvetica" w:cs="Helvetica"/>
        </w:rPr>
        <w:fldChar w:fldCharType="end"/>
      </w:r>
      <w:r w:rsidRPr="00875798">
        <w:rPr>
          <w:rFonts w:ascii="Helvetica" w:hAnsi="Helvetica" w:cs="Helvetica"/>
        </w:rPr>
        <w:t>.</w:t>
      </w:r>
    </w:p>
    <w:p w14:paraId="32305A39"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iCs/>
          <w:lang w:val="en-US"/>
        </w:rPr>
        <w:t>Tai Chi</w:t>
      </w:r>
      <w:r w:rsidRPr="00875798">
        <w:rPr>
          <w:rFonts w:ascii="Helvetica" w:hAnsi="Helvetica" w:cs="Helvetica"/>
          <w:lang w:val="en-US"/>
        </w:rPr>
        <w:t xml:space="preserve"> reduced risk of falls in people with mild deficits of strength and balance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w:t>
      </w:r>
      <w:r w:rsidRPr="00875798">
        <w:rPr>
          <w:rFonts w:ascii="Helvetica" w:hAnsi="Helvetica" w:cs="Helvetica"/>
          <w:lang w:val="en-US"/>
        </w:rPr>
        <w:fldChar w:fldCharType="end"/>
      </w:r>
      <w:r w:rsidRPr="00875798">
        <w:rPr>
          <w:rFonts w:ascii="Helvetica" w:hAnsi="Helvetica" w:cs="Helvetica"/>
          <w:lang w:val="en-US"/>
        </w:rPr>
        <w:t xml:space="preserve">. However, if it has to be significantly modified for those with poor balance to participate (e.g. seated versions or versions without weight transfer), it loses its ability to improve lower limb strength, balance and falls risk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{"citationItems":[{"id":"ITEM-1","itemData":{"DOI":"10.1046/j.1532-5415.2003.51552.x","ISBN":"0002-8614","ISSN":"00028614","PMID":"14687346","abstract":"OBJECTIVES To determine whether an intense tai chi (TC) exercise program could reduce the risk of falls more than a wellness education (WE) program in older adults meeting criteria for transitioning to frailty. DESIGN Randomized, controlled trial of 48 weeks duration. SETTING Twenty congregate living facilities in the greater Atlanta area. PARTICIPANTS Sample of 291 women and 20 men aged 70 to 97. MEASUREMENTS Demographics, time to first fall and all subsequent falls, functional measures, Sickness Impact Profile, Centers for Epidemiologic Studies-Depression Scale, Activities-specific Balance Confidence Scale, Falls Efficacy Scales, and adherence to interventions. RESULTS The risk ratio (RR) of falling was not statistically different in the TC group and the WE group (RR=0.75, 95% confidence interval (CI)=0.52-1.08), P=.13). Over the 48 weeks of intervention, 46% (n=132) of the participants did not fall; the percentage of participants that fell at least once was 47.6% for the TC group and 60.3% for the WE group. CONCLUSION TC did not reduce the RR of falling in transitionally frail, older adults, but the direction of effect observed in this study, together with positive findings seen previously in more-robust older adults, suggests that TC may be clinically important and should be evaluated further in this high-risk population.","author":[{"dropping-particle":"","family":"Wolf","given":"Steven L.","non-dropping-particle":"","parse-names":false,"suffix":""},{"dropping-particle":"","family":"Sattin","given":"Richard W.","non-dropping-particle":"","parse-names":false,"suffix":""},{"dropping-particle":"","family":"Kutner","given":"Michael","non-dropping-particle":"","parse-names":false,"suffix":""},{"dropping-particle":"","family":"O'Grady","given":"Michael","non-dropping-particle":"","parse-names":false,"suffix":""},{"dropping-particle":"","family":"Greenspan","given":"Arlene I.","non-dropping-particle":"","parse-names":false,"suffix":""},{"dropping-particle":"","family":"Gregor","given":"Robert J.","non-dropping-particle":"","parse-names":false,"suffix":""}],"container-title":"Journal of the American Geriatrics Society","id":"ITEM-1","issue":"12","issued":{"date-parts":[["2003","12"]]},"page":"1693-1701","title":"Intense Tai Chi Exercise Training and Fall Occurrences in Older, Transitionally Frail Adults: A Randomized, Controlled Trial","type":"article-journal","volume":"51"},"uris":["http://www.mendeley.com/documents/?uuid=07dcad12-25ef-3b51-b226-6c5b78ed1635","http://www.mendeley.com/documents/?uuid=7fc12e12-e9e2-44fa-bc56-147948786262"]}],"mendeley":{"formattedCitation":"&lt;sup&gt;117&lt;/sup&gt;","plainTextFormattedCitation":"117","previouslyFormattedCitation":"&lt;sup&gt;117&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117</w:t>
      </w:r>
      <w:r w:rsidRPr="00875798">
        <w:rPr>
          <w:rFonts w:ascii="Helvetica" w:hAnsi="Helvetica" w:cs="Helvetica"/>
          <w:lang w:val="en-US"/>
        </w:rPr>
        <w:fldChar w:fldCharType="end"/>
      </w:r>
      <w:r w:rsidRPr="00875798">
        <w:rPr>
          <w:rFonts w:ascii="Helvetica" w:hAnsi="Helvetica" w:cs="Helvetica"/>
          <w:lang w:val="en-US"/>
        </w:rPr>
        <w:t xml:space="preserve">. </w:t>
      </w:r>
    </w:p>
    <w:p w14:paraId="0401FDD3"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rPr>
        <w:t xml:space="preserve">Not all exercise modalities reduce falls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w:t>
      </w:r>
      <w:r w:rsidRPr="00875798">
        <w:rPr>
          <w:rFonts w:ascii="Helvetica" w:hAnsi="Helvetica" w:cs="Helvetica"/>
        </w:rPr>
        <w:fldChar w:fldCharType="end"/>
      </w:r>
      <w:r w:rsidRPr="00875798">
        <w:rPr>
          <w:rFonts w:ascii="Helvetica" w:hAnsi="Helvetica" w:cs="Helvetica"/>
        </w:rPr>
        <w:t xml:space="preserve">. </w:t>
      </w:r>
      <w:r w:rsidRPr="00875798">
        <w:rPr>
          <w:rFonts w:ascii="Helvetica" w:hAnsi="Helvetica" w:cs="Helvetica"/>
          <w:lang w:val="en-US"/>
        </w:rPr>
        <w:t xml:space="preserve">Walking alone does not reduce falls risk or improve strength or balance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{"citationItems":[{"id":"ITEM-1","itemData":{"DOI":"10.1001/archinte.158.15.1695","ISSN":"0003-9926","abstract":"&lt;h3&gt;Background&lt;/h3&gt;&lt;p&gt;It is important to determine if permanent lifestyle changes may result from physical activity interventions and whether health may be affected by these changes.&lt;/p&gt;&lt;h3&gt;Objective&lt;/h3&gt;&lt;p&gt;To conduct a 10-year follow-up of physical activity and self-reported health status in participants of a randomized clinical trial of walking intervention.&lt;/p&gt;&lt;h3&gt;Methods&lt;/h3&gt;&lt;p&gt;Of the original 229 volunteer postmenopausal women who participated in the original clinical trial, 196 (N=96 intervention and 100 controls) completed the 10-year follow-up telephone interview. The interview protocol included questions on self-reported walking for exercise and purposes other than exercise, the Paffenbarger sport and exercise index, functional status, and various chronic diseases and conditions.&lt;/p&gt;&lt;h3&gt;Results&lt;/h3&gt;&lt;p&gt;The median values for both usual walking for exercise and total walking were significantly higher for walkers compared with controls (for both,&lt;i&gt;P&lt;/i&gt;=.01), with median differences of 706 and 420 kcal/wk, respectively. After excluding women who reported heart disease during the original trial, 2 women in the walking group (2%) and 11 women in the control group (12%) reported physician-diagnosed heart disease over the last 10 years (&lt;i&gt;P&lt;/i&gt;=.07). There were also fewer hospitalizations, surgeries, and falls among women in the walking group, although these differences were not statistically significant (&lt;i&gt;P&lt;/i&gt;&amp;gt;.05).&lt;/p&gt;&lt;h3&gt;Conclusions&lt;/h3&gt;&lt;p&gt;Although limited by self-report, this study may be the first to demonstrate long-term exercise compliance to a randomized control trial in older women and to suggest that health benefits may have ensued as a result of these increased activity levels.&lt;/p&gt;","author":[{"dropping-particle":"","family":"Pereira","given":"Mark A.","non-dropping-particle":"","parse-names":false,"suffix":""},{"dropping-particle":"","family":"Kriska","given":"Andrea M.","non-dropping-particle":"","parse-names":false,"suffix":""},{"dropping-particle":"","family":"Day","given":"Richard D.","non-dropping-particle":"","parse-names":false,"suffix":""},{"dropping-particle":"","family":"Cauley","given":"Jane A.","non-dropping-particle":"","parse-names":false,"suffix":""},{"dropping-particle":"","family":"LaPorte","given":"Ronald E.","non-dropping-particle":"","parse-names":false,"suffix":""},{"dropping-particle":"","family":"Kuller","given":"Lewis H.","non-dropping-particle":"","parse-names":false,"suffix":""}],"container-title":"Archives of Internal Medicine","id":"ITEM-1","issue":"15","issued":{"date-parts":[["1998","8"]]},"page":"1695","publisher":"American Medical Association","title":"A Randomized Walking Trial in Postmenopausal Women","type":"article-journal","volume":"158"},"uris":["http://www.mendeley.com/documents/?uuid=983eb41d-9b59-3251-8763-498b82419794","http://www.mendeley.com/documents/?uuid=67d469af-6a19-4473-9251-adcc1566455f"]}],"mendeley":{"formattedCitation":"&lt;sup&gt;118&lt;/sup&gt;","plainTextFormattedCitation":"118","previouslyFormattedCitation":"&lt;sup&gt;118&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118</w:t>
      </w:r>
      <w:r w:rsidRPr="00875798">
        <w:rPr>
          <w:rFonts w:ascii="Helvetica" w:hAnsi="Helvetica" w:cs="Helvetica"/>
          <w:noProof/>
          <w:vertAlign w:val="superscript"/>
          <w:lang w:val="en-US"/>
        </w:rPr>
        <w:fldChar w:fldCharType="end"/>
      </w:r>
      <w:r w:rsidRPr="00875798">
        <w:rPr>
          <w:rFonts w:ascii="Helvetica" w:hAnsi="Helvetica" w:cs="Helvetica"/>
          <w:lang w:val="en-US"/>
        </w:rPr>
        <w:t xml:space="preserve">. Brisk walking may even increase risk of falls and fractures in those with a falls history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{"citationItems":[{"id":"ITEM-1","itemData":{"ISSN":"0002-0729","PMID":"9271287","abstract":"OBJECTIVE to evaluate the effects of brisk walking on bone mineral density in women who had suffered an upper limb fracture. DESIGN randomized placebo-controlled trial. Assessments of bone mineral density were made before and at 1 and 2 years after intervention. Standardized and validated measures of physical capacity, self-rated health status and falls were used. SETTING district general hospital outpatient department. SUBJECTS 165 women drawn from local accident and emergency departments with a history of fracture of an upper limb in the previous 2 years. Women were randomly allocated to intervention (self-paced brisk walking) or placebo (upper limb exercises) groups. INTERVENTION both groups were seen at 3-monthly intervals to assess progress, measure physical capacity and maintain enthusiasm. The brisk-walking group were instructed to progressively increase the amount and speed of walking in a manner that suited them. The upper limb exercise placebo group were asked to carry out a series of exercises designed to improve flexibility and fine hand movements, appropriate for a past history of upper limb fracture. RESULTS drop-outs from both intervention and placebo groups were substantial (41%), although there were no significant differences in bone mineral density, physical capacity or health status between drop-outs and participants. At 2 years, among those completing the trial, bone mineral density at the femoral neck had fallen in the placebo group to a greater extent than in the brisk-walking group [mean net difference between intervention and placebo groups 0.019 g/cm2, 95% confidence interval (CI) -0.0026 to +0.041 g/cm2, P = 0.056]. Lumbar spine bone mineral density had increased to a similar extent (+0.017 g/cm2) in both groups. The cumulative risk of falls was higher in the brisk-walking group (excess risk of 15 per 100 person-years, 95% CI 1.4-29 per 100 person-years, P &lt; 0.05). There were no significant differences in clinical or spinal x-ray fracture risk or self-rated health status between intervention and placebo groups. CONCLUSION the promotion of exercise through brisk-walking advice given by nursing staff may have a small, but clinically important, impact on bone mineral density but is associated with an increased risk of falls. Self-paced brisk walking is difficult to evaluate in randomized controlled trials because of drop-outs, placebo group exercise, limited compliance and lack of standardization of the duration and intensity of w…","author":[{"dropping-particle":"","family":"Ebrahim","given":"S","non-dropping-particle":"","parse-names":false,"suffix":""},{"dropping-particle":"","family":"Thompson","given":"P W","non-dropping-particle":"","parse-names":false,"suffix":""},{"dropping-particle":"","family":"Baskaran","given":"V","non-dropping-particle":"","parse-names":false,"suffix":""},{"dropping-particle":"","family":"Evans","given":"K","non-dropping-particle":"","parse-names":false,"suffix":""}],"container-title":"Age and ageing","id":"ITEM-1","issue":"4","issued":{"date-parts":[["1997","7"]]},"page":"253-60","title":"Randomized placebo-controlled trial of brisk walking in the prevention of postmenopausal osteoporosis.","type":"article-journal","volume":"26"},"uris":["http://www.mendeley.com/documents/?uuid=1a452c13-b45f-3e55-925e-ed1c08236a22","http://www.mendeley.com/documents/?uuid=de42399e-ce50-4b33-92ef-be2fc846a06a"]}],"mendeley":{"formattedCitation":"&lt;sup&gt;119&lt;/sup&gt;","plainTextFormattedCitation":"119","previouslyFormattedCitation":"&lt;sup&gt;119&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119</w:t>
      </w:r>
      <w:r w:rsidRPr="00875798">
        <w:rPr>
          <w:rFonts w:ascii="Helvetica" w:hAnsi="Helvetica" w:cs="Helvetica"/>
          <w:noProof/>
          <w:vertAlign w:val="superscript"/>
          <w:lang w:val="en-US"/>
        </w:rPr>
        <w:fldChar w:fldCharType="end"/>
      </w:r>
      <w:r w:rsidRPr="00875798">
        <w:rPr>
          <w:rFonts w:ascii="Helvetica" w:hAnsi="Helvetica" w:cs="Helvetica"/>
          <w:noProof/>
          <w:lang w:val="en-US"/>
        </w:rPr>
        <w:t>.</w:t>
      </w:r>
      <w:r w:rsidRPr="00875798">
        <w:rPr>
          <w:rFonts w:ascii="Helvetica" w:hAnsi="Helvetica" w:cs="Helvetica"/>
          <w:lang w:val="en-US"/>
        </w:rPr>
        <w:t xml:space="preserve"> For the more severely frail or those with a history of injurious falls, gradual progression from strength and balance activities to brisk walking or activities that work on stamina or endurance, may avoid an increase in falls risk </w:t>
      </w:r>
      <w:r w:rsidRPr="00875798">
        <w:rPr>
          <w:rFonts w:ascii="Helvetica" w:hAnsi="Helvetica" w:cs="Helvetica"/>
          <w:lang w:val="en-US"/>
        </w:rPr>
        <w:fldChar w:fldCharType="begin" w:fldLock="1"/>
      </w:r>
      <w:r w:rsidRPr="00875798">
        <w:rPr>
          <w:rFonts w:ascii="Helvetica" w:hAnsi="Helvetica" w:cs="Helvetica"/>
          <w:lang w:val="en-US"/>
        </w:rPr>
        <w:instrText xml:space="preserve">ADDIN CSL_CITATION {"citationItems":[{"id":"ITEM-1","itemData":{"DOI":"10.1007/s12603-020-1537-7","ISSN":"17604788","PMID":"33367459","abstract":"Background: Osteosarcopenia is a geriatric syndrome defined by the concomitant presence of osteopenia/osteoporosis (loss of bone mineral density (BMD)) and sarcopenia (loss of muscle mass and/or function), which increases the risk of falls, fractures, and premature mortality. Objective: To examine the efficacy of non-pharmacological (exercise and/or nutritional) interventions on musculoskeletal measures and outcomes in osteosarcopenic adults by reviewing findings from randomized controlled trials (RCTs). Methods: This review was registered at PROSPERO (registration number: CRD42020179292) and conducted in accordance with the PRISMA guidelines. Electronic databases were searched for RCTs assessing the effect of at least one non-pharmacological intervention (any form of exercise and/or supplementation with protein, vitamin D, calcium or creatine) on any musculoskeletal measure/outcome of interest (BMD, bone strength/turnover, muscle mass and strength, physical performance, falls/fractures) in adults with osteosarcopenia as defined by any proposed criteria. Results: Two RCTs (of n=106 older osteosarcopenic adults (≥65 years)) assessing the effects of progressive resistance training (RT) (via resistance bands or machines; 2–3 times/week; </w:instrText>
      </w:r>
      <w:r w:rsidRPr="00875798">
        <w:rPr>
          <w:rFonts w:ascii="Cambria Math" w:hAnsi="Cambria Math" w:cs="Cambria Math"/>
          <w:lang w:val="en-US"/>
        </w:rPr>
        <w:instrText>∼</w:instrText>
      </w:r>
      <w:r w:rsidRPr="00875798">
        <w:rPr>
          <w:rFonts w:ascii="Helvetica" w:hAnsi="Helvetica" w:cs="Helvetica"/>
          <w:lang w:val="en-US"/>
        </w:rPr>
        <w:instrText>60 minutes in duration) were eligible for inclusion. The two RCTs demonstrated moderate quality evidence that RT increases muscle mass, strength, and quality, with changes in strength and quality occurring before muscle mass (12 vs 28 weeks). There was low quality evidence that RT increases lumbar spine BMD and maintains total hip BMD when performed for 12 and 18 months, respectively, and moderate quality evidence that RT has no effect on markers of bone turnover or physical performance. No major adverse effects were recorded in either of the RCTs. There were no eligible RCTs examining the impact of nutritional interventions. Conclusion: Chronic RT is safe and effective at potentiating gains in muscle mass, strength, and quality, and increasing or maintaining BMD in older osteosarcopenic adults. No RCT has examined the effects of protein, vitamin D, calcium, or creatine against a control/placebo in this high-risk population.","author":[{"dropping-particle":"","family":"Atlihan","given":"R.","non-dropping-particle":"","parse-names":false,"suffix":""},{"dropping-particle":"","family":"Kirk","given":"B.","non-dropping-particle":"","parse-names":false,"suffix":""},{"dropping-particle":"","family":"Duque","given":"Gustavo","non-dropping-particle":"","parse-names":false,"suffix":""}],"container-title":"Journal of Nutrition, Health and Aging","id":"ITEM-1","issue":"1","issued":{"date-parts":[["2021"]]},"page":"25-32","title":"Non-Pharmacological Interventions in Osteosarcopenia: A Systematic Review","type":"article-journal","volume":"25"},"uris":["http://www.mendeley.com/documents/?uuid=e96d4312-77fa-4dc6-999f-46c15c3fd430"]}],"mendeley":{"formattedCitation":"&lt;sup&gt;103&lt;/sup&gt;","plainTextFormattedCitation":"103","previouslyFormattedCitation":"&lt;sup&gt;103&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103</w:t>
      </w:r>
      <w:r w:rsidRPr="00875798">
        <w:rPr>
          <w:rFonts w:ascii="Helvetica" w:hAnsi="Helvetica" w:cs="Helvetica"/>
          <w:lang w:val="en-US"/>
        </w:rPr>
        <w:fldChar w:fldCharType="end"/>
      </w:r>
      <w:r w:rsidRPr="00875798">
        <w:rPr>
          <w:rFonts w:ascii="Helvetica" w:hAnsi="Helvetica" w:cs="Helvetica"/>
          <w:lang w:val="en-US"/>
        </w:rPr>
        <w:t xml:space="preserve">. </w:t>
      </w:r>
      <w:r w:rsidRPr="00875798">
        <w:rPr>
          <w:rFonts w:ascii="Helvetica" w:hAnsi="Helvetica" w:cs="Helvetica"/>
        </w:rPr>
        <w:t xml:space="preserve">Interventions that do not challenge balance sufficiently (e.g. seated programmes) have shown little or no effect on falls rates in people who are already falling, despite improvements in known risk factors, such as strength. </w:t>
      </w:r>
      <w:r w:rsidRPr="00875798">
        <w:rPr>
          <w:rFonts w:ascii="Helvetica" w:hAnsi="Helvetica" w:cs="Helvetica"/>
          <w:lang w:val="en-US"/>
        </w:rPr>
        <w:t xml:space="preserve">There is currently not enough evidence to recommend </w:t>
      </w:r>
      <w:r w:rsidRPr="00875798">
        <w:rPr>
          <w:rFonts w:ascii="Helvetica" w:hAnsi="Helvetica" w:cs="Helvetica"/>
          <w:iCs/>
          <w:lang w:val="en-US"/>
        </w:rPr>
        <w:t>dancing</w:t>
      </w:r>
      <w:r w:rsidRPr="00875798">
        <w:rPr>
          <w:rFonts w:ascii="Helvetica" w:hAnsi="Helvetica" w:cs="Helvetica"/>
          <w:lang w:val="en-US"/>
        </w:rPr>
        <w:t xml:space="preserve"> as a falls prevention activity for individuals with a high falls risk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{"citationItems":[{"id":"ITEM-1","itemData":{"DOI":"10.1016/j.maturitas.2017.05.004","ISSN":"18734111","PMID":"28610676","abstract":"Falls are a leading cause of morbidity, healthcare use and mortality. Dance is a popular form of physical activity among older people and previous research has suggested that it may improve various health outcomes in this population, including balance, gait and muscle performance. A systematic review of the potential benefits of dance on falls and fear of falling is lacking. Thus, we conducted a systematic review considering all randomized controls trials (RCTs) investigating if dance can reduce falls and improve fear of falling in older adults. Major databases were searched from inception until 1 March 2017 and a total of 10 RCTs were identified, which included a total of 680 people (n = 356 dance, n = 324 control). Overall, the mean age of the samples was 69.4 years, and 75.2% were female. Across four RCTs, dance therapy reduced falls versus usual care in only one study. Dance therapy improved fear of falling in two out of three included RCTs. There were no serious adverse events reported in the RCTs. In summary, we found a paucity of studies investigating the effect of dance on falls and fear of falling and the evidence base is preliminary and equivocal. Given the heterogeneity of the included samples and interventions, in addition to the short-term follow-up, no firm conclusions can be drawn. However, dance appears to be safe and, given its popularity and demonstrated benefits on other health/wellbeing outcomes in older adults, it is important that future research considers its potential benefits on falls/fear of falling in older age.","author":[{"dropping-particle":"","family":"Veronese","given":"Nicola","non-dropping-particle":"","parse-names":false,"suffix":""},{"dropping-particle":"","family":"Maggi","given":"Stefania","non-dropping-particle":"","parse-names":false,"suffix":""},{"dropping-particle":"","family":"Schofield","given":"Patricia","non-dropping-particle":"","parse-names":false,"suffix":""},{"dropping-particle":"","family":"Stubbs","given":"Brendon","non-dropping-particle":"","parse-names":false,"suffix":""}],"container-title":"Maturitas","id":"ITEM-1","issued":{"date-parts":[["2017","8"]]},"page":"1-5","title":"Dance movement therapy and falls prevention","type":"article-journal","volume":"102"},"uris":["http://www.mendeley.com/documents/?uuid=1b134c57-3e41-317d-8abb-cc6e5aac0067","http://www.mendeley.com/documents/?uuid=8a338031-949c-41fa-863d-32facbc9a63f"]},{"id":"ITEM-2","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Reviews","id":"ITEM-2","issue":"1","issued":{"date-parts":[["2019"]]},"title":"Exercise for preventing falls in older people living in the community","type":"article-journal","volume":"2019"},"uris":["http://www.mendeley.com/documents/?uuid=a3600dcc-a68e-42b8-94df-5e85dad039ff"]}],"mendeley":{"formattedCitation":"&lt;sup&gt;12,120&lt;/sup&gt;","plainTextFormattedCitation":"12,120","previouslyFormattedCitation":"&lt;sup&gt;12,120&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12,120</w:t>
      </w:r>
      <w:r w:rsidRPr="00875798">
        <w:rPr>
          <w:rFonts w:ascii="Helvetica" w:hAnsi="Helvetica" w:cs="Helvetica"/>
          <w:lang w:val="en-US"/>
        </w:rPr>
        <w:fldChar w:fldCharType="end"/>
      </w:r>
      <w:r w:rsidRPr="00875798">
        <w:rPr>
          <w:rFonts w:ascii="Helvetica" w:hAnsi="Helvetica" w:cs="Helvetica"/>
          <w:lang w:val="en-US"/>
        </w:rPr>
        <w:t>, although it may have the potential to reduce future falls risk in a general population.</w:t>
      </w:r>
      <w:r w:rsidRPr="00875798" w:rsidDel="00774ADC">
        <w:rPr>
          <w:rFonts w:ascii="Helvetica" w:hAnsi="Helvetica" w:cs="Helvetica"/>
          <w:lang w:val="en-US"/>
        </w:rPr>
        <w:t xml:space="preserve"> </w:t>
      </w:r>
    </w:p>
    <w:p w14:paraId="5B733535" w14:textId="77777777" w:rsidR="000F5BC4" w:rsidRPr="00875798" w:rsidRDefault="000F5BC4" w:rsidP="000F5BC4">
      <w:pPr>
        <w:pStyle w:val="Heading4"/>
        <w:spacing w:before="240" w:line="240" w:lineRule="auto"/>
        <w:rPr>
          <w:rFonts w:ascii="Helvetica" w:eastAsia="Verdana" w:hAnsi="Helvetica" w:cs="Helvetica"/>
          <w:color w:val="auto"/>
        </w:rPr>
      </w:pPr>
      <w:r w:rsidRPr="00875798">
        <w:rPr>
          <w:rFonts w:ascii="Helvetica" w:hAnsi="Helvetica" w:cs="Helvetica"/>
          <w:color w:val="auto"/>
        </w:rPr>
        <w:t xml:space="preserve">Frequency &amp; amount of </w:t>
      </w:r>
      <w:r w:rsidRPr="00875798">
        <w:rPr>
          <w:rFonts w:ascii="Helvetica" w:eastAsia="Verdana" w:hAnsi="Helvetica" w:cs="Helvetica"/>
          <w:color w:val="auto"/>
        </w:rPr>
        <w:t>intervention</w:t>
      </w:r>
    </w:p>
    <w:p w14:paraId="6DCD1CE0"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For someone with a history of falls, 3 hours a week of strength and balance training for at least 4 months (&gt;50 hours total) is needed to effectively reduce falls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{"citationItems":[{"id":"ITEM-1","itemData":{"DOI":"10.1136/bjsports-2016-096547","ISBN":"1034-7674","ISSN":"14730480","PMID":"27707740","abstract":"Objective Previous meta-analyses have found that exercise prevents falls in older people. This study aimed to test whether this effect is still present when new trials are added, and it explores whether characteristics of the trial design, sample or intervention are associated with greater fall prevention effects. Design Update of a systematic review with random effects meta-analysis and meta-regression. Data sources Cochrane Library, CINAHL, MEDLINE, EMBASE, PubMed, PEDro and SafetyLit were searched from January 2010 to January 2016. Study eligibility criteria We included randomised controlled trials that compared fall rates in older people randomised to receive exercise as a single intervention with fall rates in those randomised to a control group. Results 99 comparisons from 88 trials with 19 478 participants were available for meta-analysis. Overall, exercise reduced the rate of falls in community-dwelling older people by 21% (pooled rate ratio 0.79, 95% CI 0.73 to 0.85, p&lt;0.001, I 2 47%, 69 comparisons) with greater effects seen from exercise programmes that challenged balance and involved more than 3 hours/week of exercise. These variables explained 76% of the between-trial heterogeneity and in combination led to a 39% reduction in falls (incident rate ratio 0.61, 95% CI 0.53 to 0.72, p&lt;0.001). Exercise also had a fall prevention effect in community-dwelling people with Parkinson's disease (pooled rate ratio 0.47, 95% CI 0.30 to 0.73, p=0.001, I 2 65%, 6 comparisons) or cognitive impairment (pooled rate ratio 0.55, 95% CI 0.37 to 0.83, p=0.004, I 2 21%, 3 comparisons). There was no evidence of a fall prevention effect of exercise in residential care settings or among stroke survivors or people recently discharged from hospital. Summary/conclusions Exercise as a single intervention can prevent falls in community-dwelling older people. Exercise programmes that challenge balance and are of a higher dose have larger effects. The impact of exercise as a single intervention in clinical groups and aged care facility residents requires further investigation, but promising results are evident for people with Parkinson's disease and cognitive impairment.","author":[{"dropping-particle":"","family":"Sherrington","given":"Catherine","non-dropping-particle":"","parse-names":false,"suffix":""},{"dropping-particle":"","family":"Michaleff","given":"Zoe A.","non-dropping-particle":"","parse-names":false,"suffix":""},{"dropping-particle":"","family":"Fairhall","given":"Nicola","non-dropping-particle":"","parse-names":false,"suffix":""},{"dropping-particle":"","family":"Paul","given":"Serene S.","non-dropping-particle":"","parse-names":false,"suffix":""},{"dropping-particle":"","family":"Tiedemann","given":"Anne","non-dropping-particle":"","parse-names":false,"suffix":""},{"dropping-particle":"","family":"Whitney","given":"Julie","non-dropping-particle":"","parse-names":false,"suffix":""},{"dropping-particle":"","family":"Cumming","given":"Robert G.","non-dropping-particle":"","parse-names":false,"suffix":""},{"dropping-particle":"","family":"Herbert","given":"Robert D.","non-dropping-particle":"","parse-names":false,"suffix":""},{"dropping-particle":"","family":"Close","given":"Jacqueline C.T.","non-dropping-particle":"","parse-names":false,"suffix":""},{"dropping-particle":"","family":"Lord","given":"Stephen R.","non-dropping-particle":"","parse-names":false,"suffix":""}],"container-title":"British Journal of Sports Medicine","id":"ITEM-1","issue":"24","issued":{"date-parts":[["2017"]]},"page":"1749-1757","title":"Exercise to prevent falls in older adults: An updated systematic review and meta-analysis","type":"article-journal","volume":"51"},"uris":["http://www.mendeley.com/documents/?uuid=67c192d6-c457-4283-8334-dec67d35b766"]}],"mendeley":{"formattedCitation":"&lt;sup&gt;55&lt;/sup&gt;","plainTextFormattedCitation":"55","previouslyFormattedCitation":"&lt;sup&gt;55&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55</w:t>
      </w:r>
      <w:r w:rsidRPr="00875798">
        <w:rPr>
          <w:rFonts w:ascii="Helvetica" w:hAnsi="Helvetica" w:cs="Helvetica"/>
          <w:noProof/>
          <w:vertAlign w:val="superscript"/>
          <w:lang w:val="en-US"/>
        </w:rPr>
        <w:fldChar w:fldCharType="end"/>
      </w:r>
      <w:r w:rsidRPr="00875798">
        <w:rPr>
          <w:rFonts w:ascii="Helvetica" w:hAnsi="Helvetica" w:cs="Helvetica"/>
          <w:noProof/>
          <w:lang w:val="en-US"/>
        </w:rPr>
        <w:t xml:space="preserve">. </w:t>
      </w:r>
      <w:r w:rsidRPr="00875798">
        <w:rPr>
          <w:rFonts w:ascii="Helvetica" w:hAnsi="Helvetica" w:cs="Helvetica"/>
          <w:lang w:val="en-US"/>
        </w:rPr>
        <w:t xml:space="preserve">The training must be ongoing, as the fall risk reduction quickly diminishes if exercise stops. However, interventions that have a component that works on stamina as well as strength and balance, with education, have been shown to significantly increase habitual physical activity outside of sessions even a year after the intervention finishes and this is protective on maintaining falls risk reduction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{"citationItems":[{"id":"ITEM-1","itemData":{"DOI":"10.3310/hta18490","ISSN":"20464924","PMID":"25098959","abstract":"Background: Regular physical activity (PA) reduces the risk of falls and hip fractures, and mortality from all causes. However, PA levels are low in the older population and previous intervention studies have demonstrated only modest, short-term improvements. Objective: To evaluate the impact of two exercise promotion programmes on PA in people aged ≥65 years. Design: The ProAct65+ study was a pragmatic, three-arm parallel design, cluster randomised controlled trial of class-based exercise [Falls Management Exercise (FaME) programme], home-based exercise [Otago Exercise Programme (OEP)] and usual care among older people (aged ≥65 years) in primary care. Setting: Forty-three UK-based general practices in London and Nottingham/Derby. Participants: A total of 1256 people ≥65 years were recruited through their general practices to take part in the trial. Interventions: The FaME programme and OEP. FaME included weekly classes plus home exercises for 24 weeks and encouraged walking. OEP included home exercises supported by peer mentors (PMs) for 24 weeks, and encouraged walking. Main outcome measures: The primary outcome was the proportion that reported reaching the recommended PA target of 150 minutes of moderate to vigorous physical activity (MVPA) per week, 12 months after cessation of the intervention. Secondary outcomes included functional assessments of balance and falls risk, the incidence of falls, fear of falling, quality of life, social networks and self-efficacy. An economic evaluation including participant and NHS costs was embedded in the clinical trial. Results: In total, 20,507 patients from 43 general practices were invited to participate. Expressions of interest were received from 2752 (13%) and 1256 (6%) consented to join the trial; 387 were allocated to the FaME arm, 411 to the OEP arm and 458 to usual care. Primary outcome data were available at 12 months after the end of the intervention period for 830 (66%) of the study participants.The proportions reporting at least 150 minutes of MVPA per week rose between baseline and 12 months after the intervention from 40% to 49% in the FaME arm, from 41% to 43% in the OEP arm and from 37.5% to 38.0% in the usual-care arm. A significantly higher proportion in the FaME arm than in the usual-care arm reported at least 150 minutes of MVPA per week at 12 months after the intervention [adjusted odds ratio (AOR) 1.78, 95% confidence interval (CI) 1.11 to 2.87; p=0.02]. There was no significant difference…","author":[{"dropping-particle":"","family":"Iliffe","given":"Steve","non-dropping-particle":"","parse-names":false,"suffix":""},{"dropping-particle":"","family":"Kendrick","given":"Denise","non-dropping-particle":"","parse-names":false,"suffix":""},{"dropping-particle":"","family":"Morris","given":"Richard","non-dropping-particle":"","parse-names":false,"suffix":""},{"dropping-particle":"","family":"Masud","given":"Tahir","non-dropping-particle":"","parse-names":false,"suffix":""},{"dropping-particle":"","family":"Gage","given":"Heather","non-dropping-particle":"","parse-names":false,"suffix":""},{"dropping-particle":"","family":"Skelton","given":"Dawn","non-dropping-particle":"","parse-names":false,"suffix":""},{"dropping-particle":"","family":"Dinan","given":"Susie","non-dropping-particle":"","parse-names":false,"suffix":""},{"dropping-particle":"","family":"Bowling","given":"Ann","non-dropping-particle":"","parse-names":false,"suffix":""},{"dropping-particle":"","family":"Griffin","given":"Mark","non-dropping-particle":"","parse-names":false,"suffix":""},{"dropping-particle":"","family":"Haworth","given":"Deborah","non-dropping-particle":"","parse-names":false,"suffix":""},{"dropping-particle":"","family":"Swanwick","given":"Glen","non-dropping-particle":"","parse-names":false,"suffix":""},{"dropping-particle":"","family":"Carpenter","given":"Hannah","non-dropping-particle":"","parse-names":false,"suffix":""},{"dropping-particle":"","family":"Kumar","given":"Arun","non-dropping-particle":"","parse-names":false,"suffix":""},{"dropping-particle":"","family":"Stevens","given":"Zoe","non-dropping-particle":"","parse-names":false,"suffix":""},{"dropping-particle":"","family":"Gawler","given":"Sheena","non-dropping-particle":"","parse-names":false,"suffix":""},{"dropping-particle":"","family":"Barlow","given":"Cate","non-dropping-particle":"","parse-names":false,"suffix":""},{"dropping-particle":"","family":"Cook","given":"Juliette","non-dropping-particle":"","parse-names":false,"suffix":""},{"dropping-particle":"","family":"Belcher","given":"Carolyn","non-dropping-particle":"","parse-names":false,"suffix":""}],"container-title":"Health Technology Assessment","id":"ITEM-1","issue":"49","issued":{"date-parts":[["2014"]]},"page":"1-105","title":"Multicentre cluster randomised trial comparing a community group exercise programme and home-based exercise with usual care for people aged 65 years and over in primary care","type":"article-journal","volume":"18"},"uris":["http://www.mendeley.com/documents/?uuid=1aae9692-8a61-4ea8-be4d-e319e9021e2b"]},{"id":"ITEM-2","itemData":{"DOI":"10.1093/ageing/afaa288","ISSN":"0002-0729","abstract":"BACKGROUND: Falls incidence increases with age alongside declines in strength and balance. Clinical trials show that the Falls Management Exercise (FaME) programme improves strength and balance, which can reduce falls and improve physical functioning. OBJECTIVE: To determine if the clinical trial efficacy of FaME translates into effectiveness in non-research settings. DESIGN AND SETTING: An implementation study of FaME in 10 local authorities across the East Midlands region of England. SUBJECTS: Adults aged 65 and over enrolled on a FaME programme. METHOD: Anonymised outcome data collected by the FaME providers were compared at baseline, end of programme and 6 months follow-up using univariate and multivariate analyses. RESULTS: For 348 adults enrolled in programmes and analysed, the mean age was 76.8, 73% were female and 143 (41%) completed &amp;amp;#8805;75% of classes. Overall confidence in balance, fear of falling, functional reach and timed-up-and-go (all P &amp;lt; 0.001), and turn 180° (P = 0.008) improved significantly at programme completion versus baseline, but improvements were not maintained 6 months later. Falls risk (FRAT score) and total minutes of physical activity did not change significantly though minutes of strength and balance activity increased by 55% at programme completion and was maintained at 6 months. The falls incidence rate ratio (IRR) was non-significantly lower at programme completion (IRR 0.76, 95% Confidence Interval (CI) 0.48,1.21) and follow-up (IRR 0.82 95% CI 0.48,1.39) versus baseline. CONCLUSIONS: There is modest translation of FaME efficacy into effectiveness, but not all effects persist after completion. Strategies to aid adherence and exercise maintenance are important to maximise benefits.","author":[{"dropping-particle":"","family":"Orton","given":"Elizabeth","non-dropping-particle":"","parse-names":false,"suffix":""},{"dropping-particle":"","family":"Audsley","given":"Sarah","non-dropping-particle":"","parse-names":false,"suffix":""},{"dropping-particle":"","family":"Coupland","given":"Carol","non-dropping-particle":"","parse-names":false,"suffix":""},{"dropping-particle":"","family":"Gladman","given":"John R F","non-dropping-particle":"","parse-names":false,"suffix":""},{"dropping-particle":"","family":"Iliffe","given":"Steve","non-dropping-particle":"","parse-names":false,"suffix":""},{"dropping-particle":"","family":"Lafond","given":"Natasher","non-dropping-particle":"","parse-names":false,"suffix":""},{"dropping-particle":"","family":"Logan","given":"Philippa","non-dropping-particle":"","parse-names":false,"suffix":""},{"dropping-particle":"","family":"Masud","given":"Tahir","non-dropping-particle":"","parse-names":false,"suffix":""},{"dropping-particle":"","family":"Skelton","given":"Dawn A","non-dropping-particle":"","parse-names":false,"suffix":""},{"dropping-particle":"","family":"Timblin","given":"Clare","non-dropping-particle":"","parse-names":false,"suffix":""},{"dropping-particle":"","family":"Timmons","given":"Stephen","non-dropping-particle":"","parse-names":false,"suffix":""},{"dropping-particle":"","family":"Ward","given":"Derek","non-dropping-particle":"","parse-names":false,"suffix":""},{"dropping-particle":"","family":"Kendrick","given":"Denise","non-dropping-particle":"","parse-names":false,"suffix":""}],"container-title":"Age and Ageing","id":"ITEM-2","issue":"Ci","issued":{"date-parts":[["2021"]]},"page":"1-8","title":"‘Real world’ effectiveness of the Falls Management Exercise (FaME) programme: an implementation study","type":"article-journal"},"uris":["http://www.mendeley.com/documents/?uuid=c6fc3de4-e71b-4c17-873c-9d15cf3cb0a5"]}],"mendeley":{"formattedCitation":"&lt;sup&gt;121,122&lt;/sup&gt;","plainTextFormattedCitation":"121,122","previouslyFormattedCitation":"&lt;sup&gt;121,122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121,122</w:t>
      </w:r>
      <w:r w:rsidRPr="00875798">
        <w:rPr>
          <w:rFonts w:ascii="Helvetica" w:hAnsi="Helvetica" w:cs="Helvetica"/>
          <w:lang w:val="en-US"/>
        </w:rPr>
        <w:fldChar w:fldCharType="end"/>
      </w:r>
      <w:r w:rsidRPr="00875798">
        <w:rPr>
          <w:rFonts w:ascii="Helvetica" w:hAnsi="Helvetica" w:cs="Helvetica"/>
          <w:lang w:val="en-US"/>
        </w:rPr>
        <w:t xml:space="preserve">. </w:t>
      </w:r>
    </w:p>
    <w:p w14:paraId="70D9A96B"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Interventions that do not provide a sufficient dose have shown little or no effect on falls rates in people who are already falling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{"citationItems":[{"id":"ITEM-1","itemData":{"DOI":"10.1002/14651858.CD012424.pub2","ISSN":"1469493X","PMID":"30703272","abstract":"Background: At least one-third of community-dwelling people over 65 years of age fall each year. Exercises that target balance, gait and muscle strength have been found to prevent falls in these people. An up-to-date synthesis of the evidence is important given the major long-term consequences associated with falls and fall-related injuries Objectives: To assess the effects (benefits and harms) of exercise interventions for preventing falls in older people living in the community. Search methods: We searched CENTRAL, MEDLINE, Embase, three other databases and two trial registers up to 2 May 2018, together with reference checking and contact with study authors to identify additional studies. Selection criteria: We included randomised controlled trials (RCTs) evaluating the effects of any form of exercise as a single intervention on falls in people aged 60+ years living in the community. We excluded trials focused on particular conditions, such as stroke. Data collection and analysis: We used standard methodological procedures expected by Cochrane. Our primary outcome was rate of falls. Main results: We included 108 RCTs with 23,407 participants living in the community in 25 countries. There were nine cluster-RCTs. On average, participants were 76 years old and 77% were women. Most trials had unclear or high risk of bias for one or more items. Results from four trials focusing on people who had been recently discharged from hospital and from comparisons of different exercises are not described here. Exercise (all types) versus control Eighty-one trials (19,684 participants) compared exercise (all types) with control intervention (one not thought to reduce falls). Exercise reduces the rate of falls by 23% (rate ratio (RaR) 0.77, 95% confidence interval (CI) 0.71 to 0.83; 12,981 participants, 59 studies; high-certainty evidence). Based on an illustrative risk of 850 falls in 1000 people followed over one year (data based on control group risk data from the 59 studies), this equates to 195 (95% CI 144 to 246) fewer falls in the exercise group. Exercise also reduces the number of people experiencing one or more falls by 15% (risk ratio (RR) 0.85, 95% CI 0.81 to 0.89; 13,518 participants, 63 studies; high-certainty evidence). Based on an illustrative risk of 480 fallers in 1000 people followed over one year (data based on control group risk data from the 63 studies), this equates to 72 (95% CI 52 to 91) fewer fallers in the exercise group. Subgroup analyses sh…","author":[{"dropping-particle":"","family":"Sherrington","given":"Catherine","non-dropping-particle":"","parse-names":false,"suffix":""},{"dropping-particle":"","family":"Fairhall","given":"Nicola J.","non-dropping-particle":"","parse-names":false,"suffix":""},{"dropping-particle":"","family":"Wallbank","given":"Geraldine K.","non-dropping-particle":"","parse-names":false,"suffix":""},{"dropping-particle":"","family":"Tiedemann","given":"Anne","non-dropping-particle":"","parse-names":false,"suffix":""},{"dropping-particle":"","family":"Michaleff","given":"Zoe A.","non-dropping-particle":"","parse-names":false,"suffix":""},{"dropping-particle":"","family":"Howard","given":"Kirsten","non-dropping-particle":"","parse-names":false,"suffix":""},{"dropping-particle":"","family":"Clemson","given":"Lindy","non-dropping-particle":"","parse-names":false,"suffix":""},{"dropping-particle":"","family":"Hopewell","given":"Sally","non-dropping-particle":"","parse-names":false,"suffix":""},{"dropping-particle":"","family":"Lamb","given":"Sarah E.","non-dropping-particle":"","parse-names":false,"suffix":""}],"container-title":"Cochrane Database of Systematic Reviews","id":"ITEM-1","issue":"1","issued":{"date-parts":[["2019"]]},"title":"Exercise for preventing falls in older people living in the community","type":"article-journal","volume":"2019"},"uris":["http://www.mendeley.com/documents/?uuid=a3600dcc-a68e-42b8-94df-5e85dad039ff"]}],"mendeley":{"formattedCitation":"&lt;sup&gt;12&lt;/sup&gt;","plainTextFormattedCitation":"12","previouslyFormattedCitation":"&lt;sup&gt;12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w:t>
      </w:r>
      <w:r w:rsidRPr="00875798">
        <w:rPr>
          <w:rFonts w:ascii="Helvetica" w:hAnsi="Helvetica" w:cs="Helvetica"/>
          <w:lang w:val="en-US"/>
        </w:rPr>
        <w:fldChar w:fldCharType="end"/>
      </w:r>
      <w:r w:rsidRPr="00875798">
        <w:rPr>
          <w:rFonts w:ascii="Helvetica" w:hAnsi="Helvetica" w:cs="Helvetica"/>
          <w:lang w:val="en-US"/>
        </w:rPr>
        <w:t xml:space="preserve">. </w:t>
      </w:r>
    </w:p>
    <w:p w14:paraId="69456B60" w14:textId="77777777" w:rsidR="000F5BC4" w:rsidRPr="00875798" w:rsidRDefault="000F5BC4" w:rsidP="000F5BC4">
      <w:pPr>
        <w:pStyle w:val="Heading4"/>
        <w:spacing w:before="240" w:line="240" w:lineRule="auto"/>
        <w:rPr>
          <w:rFonts w:ascii="Helvetica" w:hAnsi="Helvetica" w:cs="Helvetica"/>
          <w:color w:val="auto"/>
        </w:rPr>
      </w:pPr>
      <w:r w:rsidRPr="00875798">
        <w:rPr>
          <w:rFonts w:ascii="Helvetica" w:eastAsia="Verdana" w:hAnsi="Helvetica" w:cs="Helvetica"/>
          <w:color w:val="auto"/>
        </w:rPr>
        <w:t>Evidence specifically concerning people with osteoporosis</w:t>
      </w:r>
    </w:p>
    <w:p w14:paraId="2735254F" w14:textId="77777777" w:rsidR="000F5BC4" w:rsidRPr="00875798" w:rsidRDefault="000F5BC4" w:rsidP="000F5BC4">
      <w:pPr>
        <w:spacing w:before="120" w:after="0" w:line="240" w:lineRule="auto"/>
        <w:rPr>
          <w:rFonts w:ascii="Helvetica" w:hAnsi="Helvetica" w:cs="Helvetica"/>
          <w:noProof/>
          <w:vertAlign w:val="superscript"/>
          <w:lang w:val="en-US"/>
        </w:rPr>
      </w:pPr>
      <w:r w:rsidRPr="00875798">
        <w:rPr>
          <w:rFonts w:ascii="Helvetica" w:hAnsi="Helvetica" w:cs="Helvetica"/>
          <w:lang w:val="en-US"/>
        </w:rPr>
        <w:t xml:space="preserve">Strength and balance exercise reduced pain and improved balance and co-ordination, without any adverse events in people with osteoporosis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{"citationItems":[{"id":"ITEM-1","itemData":{"DOI":"10.1123/japa.2016-0284","ISSN":"1063-8652","abstract":"Osteoporosis is a systemic disease characterized by the increase of bone fragility and fracture risk. Postmenopausal female osteoporotic patients were randomized into three groups: balance and coordination, strengthening, and aerobic exercise. The exercise programs were performed for 12 weeks, 1 hr each day for 3 days of the week. Patients were followed-up for 12 weeks after the initial intervention. After the exercise program, patients continued their daily life activities and were called back to the clinic for additional testing after 12 weeks. Static and dynamic balance measurements and pain and life quality assessments were performed at enrollment, and at the 12th and 24th weeks. Significant improvements in both the Timed Up and Go test and Berg Balance Scale values at the 12th week were only observed in the balance-coordination group. There were statistically significant improvements in night and daytime pain visual analog scale scores at the 12th and 24th weeks in the strengthening exercise group. N...","author":[{"dropping-particle":"","family":"Dizdar","given":"Meltem","non-dropping-particle":"","parse-names":false,"suffix":""},{"dropping-particle":"","family":"Irdesel","given":"Jale Fatma","non-dropping-particle":"","parse-names":false,"suffix":""},{"dropping-particle":"","family":"Dizdar","given":"Oguzhan Sıtkı","non-dropping-particle":"","parse-names":false,"suffix":""},{"dropping-particle":"","family":"Topsaç","given":"Mine","non-dropping-particle":"","parse-names":false,"suffix":""}],"container-title":"Journal of Aging and Physical Activity","id":"ITEM-1","issue":"1","issued":{"date-parts":[["2018","1"]]},"page":"41-51","publisher":"Human KineticsChampaign, Illinois, USA","title":"Effects of Balance-Coordination, Strengthening, and Aerobic Exercises to Prevent Falls in Postmenopausal Patients With Osteoporosis: A 6-Month Randomized Parallel Prospective Study","type":"article-journal","volume":"26"},"uris":["http://www.mendeley.com/documents/?uuid=7a9a81f3-38f1-3f17-afb7-39b4d1aa03c0","http://www.mendeley.com/documents/?uuid=27eb4ead-8883-46a8-b54e-b368a68727d9"]}],"mendeley":{"formattedCitation":"&lt;sup&gt;123&lt;/sup&gt;","plainTextFormattedCitation":"123","previouslyFormattedCitation":"&lt;sup&gt;123&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123</w:t>
      </w:r>
      <w:r w:rsidRPr="00875798">
        <w:rPr>
          <w:rFonts w:ascii="Helvetica" w:hAnsi="Helvetica" w:cs="Helvetica"/>
          <w:noProof/>
          <w:vertAlign w:val="superscript"/>
          <w:lang w:val="en-US"/>
        </w:rPr>
        <w:fldChar w:fldCharType="end"/>
      </w:r>
      <w:r w:rsidRPr="00875798">
        <w:rPr>
          <w:rFonts w:ascii="Helvetica" w:hAnsi="Helvetica" w:cs="Helvetica"/>
          <w:noProof/>
          <w:lang w:val="en-US"/>
        </w:rPr>
        <w:t xml:space="preserve">. </w:t>
      </w:r>
      <w:r w:rsidRPr="00875798">
        <w:rPr>
          <w:rFonts w:ascii="Helvetica" w:hAnsi="Helvetica" w:cs="Helvetica"/>
          <w:lang w:val="en-US"/>
        </w:rPr>
        <w:t xml:space="preserve">Women with osteoporosis who had completed balance training, found that they perceived improved empowerment and self-efficacy after participation in balance training.  They resumed activities they had stopped and became more active and independent in daily life using safety precautions and fall-prevention strategies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{"citationItems":[{"id":"ITEM-1","itemData":{"DOI":"10.3109/09638288.2015.1061610","ISSN":"0963-8288","abstract":"AbstractPurpose: To explore how older women with osteoporosis perceive fall-related concerns and balance in daily life after having participated in balance training. Methods: Explorative study. Semi-structured interviews were conducted with 19 women (66–84 years), with osteoporosis recruited from an ongoing RCT; participants were asked about their perceived fall-related concerns and balance. Interviews were taped and transcribed verbatim. Data were analyzed using inductive qualitative content analysis. Results: One underlying theme emerged: “Internalized risk perception related to experience of bodily fragility”, and three manifest categories: empowerment, safety and menace. A dynamic process between the categories was found, in which contextual and personal factors influenced perceptions of fall-related concerns and balance, i.e. winter season may lead a person who is highly empowered and/or uses active strategies into a situation of perception of menace and avoidance of activity. Conclusion: To cope wit...","author":[{"dropping-particle":"","family":"Halvarsson","given":"Alexandra","non-dropping-particle":"","parse-names":false,"suffix":""},{"dropping-particle":"","family":"Ståhle","given":"Agneta","non-dropping-particle":"","parse-names":false,"suffix":""},{"dropping-particle":"","family":"Halén","given":"Carolina","non-dropping-particle":"","parse-names":false,"suffix":""},{"dropping-particle":"","family":"Roaldsen","given":"Kirsti Skavberg","non-dropping-particle":"","parse-names":false,"suffix":""}],"container-title":"Disability and Rehabilitation","id":"ITEM-1","issue":"8","issued":{"date-parts":[["2016","4"]]},"page":"796-802","publisher":"Informa Healthcare","title":"“Better safe than sorry”: a qualitative content analysis of participant's perspectives of fall-related concerns and balance in older women with osteoporosis after balance training","type":"article-journal","volume":"38"},"uris":["http://www.mendeley.com/documents/?uuid=9c0c8f45-7ccb-348b-bd10-735a646d1ac6","http://www.mendeley.com/documents/?uuid=7f1e6b89-f5b5-440a-af5d-901ef1b45500"]}],"mendeley":{"formattedCitation":"&lt;sup&gt;124&lt;/sup&gt;","plainTextFormattedCitation":"124","previouslyFormattedCitation":"&lt;sup&gt;124&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124</w:t>
      </w:r>
      <w:r w:rsidRPr="00875798">
        <w:rPr>
          <w:rFonts w:ascii="Helvetica" w:hAnsi="Helvetica" w:cs="Helvetica"/>
          <w:noProof/>
          <w:vertAlign w:val="superscript"/>
          <w:lang w:val="en-US"/>
        </w:rPr>
        <w:fldChar w:fldCharType="end"/>
      </w:r>
      <w:r w:rsidRPr="00875798">
        <w:rPr>
          <w:rFonts w:ascii="Helvetica" w:hAnsi="Helvetica" w:cs="Helvetica"/>
          <w:lang w:val="en-US"/>
        </w:rPr>
        <w:t>.</w:t>
      </w:r>
      <w:r w:rsidRPr="00875798">
        <w:rPr>
          <w:rFonts w:ascii="Helvetica" w:hAnsi="Helvetica" w:cs="Helvetica"/>
          <w:noProof/>
          <w:vertAlign w:val="superscript"/>
          <w:lang w:val="en-US"/>
        </w:rPr>
        <w:t xml:space="preserve"> </w:t>
      </w:r>
    </w:p>
    <w:p w14:paraId="3CE4FC99"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A substantial proportion of people with osteoporosis are also at risk of falling, so integrating a falls screening programme into routine osteoporosis care is justified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{"citationItems":[{"id":"ITEM-1","itemData":{"DOI":"10.1007/s11657-017-0393-5","ISSN":"1862-3522","PMID":"29090360","abstract":"Fall prevention is an important way to prevent fractures in person with osteoporosis. We developed and implemented a fall screening program in the context of routine osteoporosis care. This program was found to be feasible and showed that a significant proportion of persons with osteoporosis are at risk of falling. PURPOSE Falls are the most common cause of fracture in persons with osteoporosis. However, osteoporosis care rarely includes assessment and prevention of falling. We thus sought to assess the feasibility of a fall screening and management program integrated into routine osteoporosis care. METHODS The program was developed and offered to patients with osteoporosis or osteopenia seen at an outpatient clinic between May 2015 and May 2016. Feasibility was measured by physical therapist time required to conduct screening and ease of integrating the screening program into the usual clinic workflow. Self-report responses and mobility testing were conducted to describe the fall and fracture risk profile of osteoporosis patients screened. Effects on fall-related care processes were assessed via chart abstraction of patient participation in fall prevention exercise. RESULTS Of the 154 clinic patients who presented for a clinic visit, 68% met screening criteria and completed in two thirds of persons. Screening was completed in a third of the time typically allotted for traditional PT evaluations and did not interfere with clinic workflow. Forty percent of those screened reported falling in the last year, and over half had two or more falls in the past year. Over half reported a balance or lower extremity impairment, and over 40% were below norms on one or more performance tests. Most patients who selected a group exercise fall prevention program completed all sessions while only a quarter completed either supervised or independent home-based programs. CONCLUSIONS Implementation of a fall risk screening program in an outpatient osteoporosis clinic appears feasible. A substantial proportion of people with osteoporosis screened positive for being at risk of falling, justifying integration of fall prevention into routine osteoporosis care.","author":[{"dropping-particle":"","family":"Ritchey","given":"Katherine","non-dropping-particle":"","parse-names":false,"suffix":""},{"dropping-particle":"","family":"Olney","given":"Amanda","non-dropping-particle":"","parse-names":false,"suffix":""},{"dropping-particle":"","family":"Shofer","given":"Jane","non-dropping-particle":"","parse-names":false,"suffix":""},{"dropping-particle":"","family":"Phelan","given":"Elizabeth A.","non-dropping-particle":"","parse-names":false,"suffix":""},{"dropping-particle":"","family":"Matsumoto","given":"Alvin M.","non-dropping-particle":"","parse-names":false,"suffix":""}],"container-title":"Archives of Osteoporosis","id":"ITEM-1","issue":"1","issued":{"date-parts":[["2017","12"]]},"page":"96","title":"Implementation of a fall screening program in a high risk of fracture population","type":"article-journal","volume":"12"},"uris":["http://www.mendeley.com/documents/?uuid=df540b1e-9227-32f6-86aa-0f18cc5aa073","http://www.mendeley.com/documents/?uuid=dc36780e-dad1-4f12-86f7-bec531ef8747"]}],"mendeley":{"formattedCitation":"&lt;sup&gt;125&lt;/sup&gt;","plainTextFormattedCitation":"125","previouslyFormattedCitation":"&lt;sup&gt;125&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125</w:t>
      </w:r>
      <w:r w:rsidRPr="00875798">
        <w:rPr>
          <w:rFonts w:ascii="Helvetica" w:hAnsi="Helvetica" w:cs="Helvetica"/>
          <w:lang w:val="en-US"/>
        </w:rPr>
        <w:fldChar w:fldCharType="end"/>
      </w:r>
      <w:r w:rsidRPr="00875798">
        <w:rPr>
          <w:rFonts w:ascii="Helvetica" w:hAnsi="Helvetica" w:cs="Helvetica"/>
          <w:lang w:val="en-US"/>
        </w:rPr>
        <w:t xml:space="preserve">. </w:t>
      </w:r>
    </w:p>
    <w:p w14:paraId="37BB5C90" w14:textId="77777777" w:rsidR="000F5BC4" w:rsidRPr="00875798" w:rsidRDefault="000F5BC4" w:rsidP="000F5BC4">
      <w:pPr>
        <w:rPr>
          <w:rFonts w:ascii="Helvetica" w:hAnsi="Helvetica" w:cs="Helvetica"/>
          <w:b/>
          <w:bCs/>
        </w:rPr>
      </w:pPr>
    </w:p>
    <w:p w14:paraId="29DAD821" w14:textId="77777777" w:rsidR="000F5BC4" w:rsidRPr="00875798" w:rsidRDefault="000F5BC4" w:rsidP="000F5BC4">
      <w:pPr>
        <w:pStyle w:val="Heading2"/>
        <w:rPr>
          <w:rFonts w:ascii="Helvetica" w:hAnsi="Helvetica" w:cs="Helvetica"/>
          <w:b/>
          <w:bCs/>
          <w:color w:val="auto"/>
        </w:rPr>
      </w:pPr>
      <w:bookmarkStart w:id="36" w:name="_Toc96616280"/>
      <w:r w:rsidRPr="00875798">
        <w:rPr>
          <w:rFonts w:ascii="Helvetica" w:hAnsi="Helvetica" w:cs="Helvetica"/>
          <w:b/>
          <w:bCs/>
          <w:color w:val="auto"/>
        </w:rPr>
        <w:t>Straight: modifying physical activity and exercise to reduce risk of vertebral fracture, improve posture and manage symptoms after vertebral fracture.</w:t>
      </w:r>
      <w:bookmarkEnd w:id="36"/>
    </w:p>
    <w:p w14:paraId="4BA23F55"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There are over 40,000 vertebral fractures in women each year in the UK, costing £134 million in 2010, and it is projected that this will increase to nearly 50,000 by 2025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{"citationItems":[{"id":"ITEM-1","itemData":{"DOI":"10.1007/s11657-013-0137-0","ISSN":"18623522","PMID":"24113838","abstract":"This report describes epidemiology, burden, and treatment of osteoporosis in each of the 27 countries of the European Union (EU27). Introduction: In 2010, 22 million women and 5.5 million men were estimated to have osteoporosis in the EU; and 3.5 million new fragility fractures were sustained, comprising 620,000 hip fractures, 520,000 vertebral fractures, 560,000 forearm fractures and 1,800,000 other fractures. The economic burden of incident and prior fragility fractures was estimated at € 37 billion. Previous and incident fractures also accounted for 1,180,000 quality-adjusted life years lost during 2010. The costs are expected to increase by 25 % in 2025. The majority of individuals who have sustained an osteoporosis-related fracture or who are at high risk of fracture are untreated and the number of patients on treatment is declining. The aim of this report was to characterize the burden of osteoporosis in each of the EU27 countries in 2010 and beyond. Methods: The data on fracture incidence and costs of fractures in the EU27 were taken from a concurrent publication in this journal (Osteoporosis in the European Union: Medical Management, Epidemiology and Economic Burden) and country specific information extracted. Results: The clinical and economic burden of osteoporotic fractures in 2010 is given for each of the 27 countries of the EU. The costs are expected to increase on average by 25 % in 2025. The majority of individuals who have sustained an osteoporosis-related fracture or who are at high risk of fracture are untreated and the number of patients on treatment is declining. Conclusions: In spite of the high cost of osteoporosis, a substantial treatment gap and projected increase of the economic burden driven by aging populations, the use of pharmacological prevention of osteoporosis has decreased in recent years, suggesting that a change in healthcare policy concerning the disease is warranted. © 2013 The Author(s).","author":[{"dropping-particle":"","family":"Svedbom","given":"A.","non-dropping-particle":"","parse-names":false,"suffix":""},{"dropping-particle":"","family":"Hernlund","given":"E.","non-dropping-particle":"","parse-names":false,"suffix":""},{"dropping-particle":"","family":"Ivergård","given":"M.","non-dropping-particle":"","parse-names":false,"suffix":""},{"dropping-particle":"","family":"Compston","given":"J.","non-dropping-particle":"","parse-names":false,"suffix":""},{"dropping-particle":"","family":"Cooper","given":"C.","non-dropping-particle":"","parse-names":false,"suffix":""},{"dropping-particle":"","family":"Stenmark","given":"J.","non-dropping-particle":"","parse-names":false,"suffix":""},{"dropping-particle":"V.","family":"McCloskey","given":"E.","non-dropping-particle":"","parse-names":false,"suffix":""},{"dropping-particle":"","family":"Jönsson","given":"B.","non-dropping-particle":"","parse-names":false,"suffix":""},{"dropping-particle":"","family":"Kanis","given":"J. A.","non-dropping-particle":"","parse-names":false,"suffix":""}],"container-title":"Archives of Osteoporosis","id":"ITEM-1","issue":"1-2","issued":{"date-parts":[["2013"]]},"title":"Osteoporosis in the European Union: A compendium of country-specific reports","type":"article-journal","volume":"8"},"uris":["http://www.mendeley.com/documents/?uuid=5f794340-bd75-46ce-88b7-925b9fdabf9c"]}],"mendeley":{"formattedCitation":"&lt;sup&gt;127&lt;/sup&gt;","plainTextFormattedCitation":"127","previouslyFormattedCitation":"&lt;sup&gt;127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127</w:t>
      </w:r>
      <w:r w:rsidRPr="00875798">
        <w:rPr>
          <w:rFonts w:ascii="Helvetica" w:hAnsi="Helvetica" w:cs="Helvetica"/>
        </w:rPr>
        <w:fldChar w:fldCharType="end"/>
      </w:r>
      <w:r w:rsidRPr="00875798">
        <w:rPr>
          <w:rFonts w:ascii="Helvetica" w:hAnsi="Helvetica" w:cs="Helvetica"/>
        </w:rPr>
        <w:t xml:space="preserve">. Vertebral fractures contribute to kyphosis and cause substantial pain and disability, substantially reducing quality of life. Conversely, kyphosis can increase risk of falls and vertebral fractures </w:t>
      </w:r>
      <w:r w:rsidRPr="00875798">
        <w:rPr>
          <w:rFonts w:ascii="Helvetica" w:hAnsi="Helvetica" w:cs="Helvetica"/>
        </w:rPr>
        <w:fldChar w:fldCharType="begin" w:fldLock="1"/>
      </w:r>
      <w:r w:rsidRPr="00875798">
        <w:rPr>
          <w:rFonts w:ascii="Helvetica" w:hAnsi="Helvetica" w:cs="Helvetica"/>
        </w:rPr>
        <w:instrText>ADDIN CSL_CITATION {"citationItems":[{"id":"ITEM-1","itemData":{"DOI":"10.1359/JBMR.051201","ISSN":"08840431","PMID":"16491290","abstract":"It is unknown whether kyphosis of the thoracic spine is an independent risk factor for future osteoporotic fractures. In 596 community-dwelling women, we found that with increasing kyphosis, there was a significant trend of increasing fracture risk that was independent of previous history of fractures or BMD. Introduction: It is unknown whether kyphosis of the thoracic spine is an independent risk factor for future osteoporotic fractures. Materials and Methods: We conducted a prospective cohort study of 596 community-dwelling women, 47-92 years of age. Between 1988 and 1991, BMD of the hip and spine and kyphosis were measured. Kyphosis was measured by counting the number of 1.7-cm blocks necessary to place under the occiput so participants could lie flat without neck hyperextension. New fractures were reported over an average follow-up of 4 years. Results: Using a cut-off of at least one block, 18% of the participants had hyperkyphotic posture (range, one to nine blocks). There were 107 women who reported at least one new fracture (hip, spine, wrist, clavicle, shoulder, arm, hand, rib, pelvis, leg, or ankle). In logistic regression analyses, older women with hyperkyphotic posture (defined as at least one block) had a 1.7-fold increased risk of having a future fracture independent of age, prior fracture, and spine or hip BMD (95% CI: 1.00-2.97; p = 0.049). There was a significant trend of increasing fracture risk with increasing number of blocks, with ORs ranging from 1.5 to 2.6 as the number of blocks increased from one to at least three blocks compared with those with zero blocks (trend p = 0.03; models adjusted for age, baseline fracture, spine or hip BMD). Stratification by baseline fracture status and controlling for other possible confounders or past year falls did not change the results. Conclusions: Whereas hyperkyphosis may often result from vertebral fractures, our study findings suggest that hyperkyphotic posture itself may be an important risk factor for future fractures, independent of low BMD or fracture history. © 2006 American Society for Bone and Mineral Research.","author":[{"dropping-particle":"","family":"Huang","given":"Mei Hua","non-dropping-particle":"","parse-names":false,"suffix":""},{"dropping-particle":"","family":"Barrett-Connor","given":"Elizabeth","non-dropping-particle":"","parse-names":false,"suffix":""},{"dropping-particle":"","family":"Greendale","given":"Gail A.","non-dropping-particle":"","parse-names":false,"suffix":""},{"dropping-particle":"","family":"Kado","given":"Deborah M.","non-dropping-particle":"","parse-names":false,"suffix":""}],"container-title":"Journal of Bone and Mineral Research","id":"ITEM-1","issue":"3","issued":{"date-parts":[["2006"]]},"page":"419-423","title":"Hyperkyphotic posture and risk of future osteoporotic fractures: The Rancho Bernardo study","type":"article-journal","volume":"21"},"uris":["http://www.mendeley.com/documents/?uuid=bd840744-1b90-40d2-849e-cfe18a2f9ead"]}],"mendeley":{"formattedCitation":"&lt;sup&gt;128&lt;/sup&gt;","plainTextFormattedCitation":"128","previouslyFormattedCitation":"&lt;sup&gt;128&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128</w:t>
      </w:r>
      <w:r w:rsidRPr="00875798">
        <w:rPr>
          <w:rFonts w:ascii="Helvetica" w:hAnsi="Helvetica" w:cs="Helvetica"/>
        </w:rPr>
        <w:fldChar w:fldCharType="end"/>
      </w:r>
      <w:r w:rsidRPr="00875798">
        <w:rPr>
          <w:rFonts w:ascii="Helvetica" w:hAnsi="Helvetica" w:cs="Helvetica"/>
        </w:rPr>
        <w:t xml:space="preserve">. Kyphosis may contribute to back pain and increase the torque applied to the anterior of the vertebral body hence increasing risk of further vertebral fractures. Furthermore, pain or fear of future fractures can limit activity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{"citationItems":[{"id":"ITEM-1","itemData":{"DOI":"10.1007/s00198-020-05398-w","ISSN":"14332965","PMID":"32338312","abstract":"The original version of this article, published on 10 January 2020, contained a mistake. An author’s name was misspelled.","author":[{"dropping-particle":"","family":"Stanghelle","given":"B.","non-dropping-particle":"","parse-names":false,"suffix":""},{"dropping-particle":"","family":"Bentzen","given":"H.","non-dropping-particle":"","parse-names":false,"suffix":""},{"dropping-particle":"","family":"Giangregorio","given":"L.","non-dropping-particle":"","parse-names":false,"suffix":""},{"dropping-particle":"","family":"Pripp","given":"A. H.","non-dropping-particle":"","parse-names":false,"suffix":""},{"dropping-particle":"","family":"Skelton","given":"D. A.","non-dropping-particle":"","parse-names":false,"suffix":""},{"dropping-particle":"","family":"Bergland","given":"A.","non-dropping-particle":"","parse-names":false,"suffix":""}],"container-title":"Osteoporosis International","id":"ITEM-1","issue":"6","issued":{"date-parts":[["2020"]]},"page":"1069-1078","publisher":"Osteoporosis International","title":"Effects of a resistance and balance exercise programme on physical fitness, health-related quality of life and fear of falling in older women with osteoporosis and vertebral fracture: a randomized controlled trial (Osteoporosis International, (2020), 31, ","type":"article-journal","volume":"31"},"uris":["http://www.mendeley.com/documents/?uuid=13eb9441-264f-4c38-8036-750721b04cbb"]},{"id":"ITEM-2","itemData":{"DOI":"10.1123/japa.2019-0485","ISSN":"1063-8652","abstract":" Fear of falling is a common issue among older adults, which decreases quality of life and leads to an avoidance of activities they are still able to do. The goal of this secondary data analysis was to explore the relationship between fear of falling and exercise self-efficacy in 141 women with at least one nontraumatic Genant Grade 2 vertebral fracture. Fear of falling, exercise self-efficacy, history of falling, the number of falls, the use of assisting devices, and pain at rest or during movement were obtained using medical history and health status questionnaires. There was a negative association between fear of falling and exercise self-efficacy (pseudo R 2 = .253; p = .004), which persisted when the analysis was adjusted for history and number of falls, use of assistive devices, and pain at rest (pseudo R 2 = .329; p &lt; .0001) or during movement (pseudo R 2 = .321; p &lt; .0001). Fear of falling may be negatively associated with exercise self-efficacy in older women with vertebral fracture. ","author":[{"dropping-particle":"","family":"Ponzano","given":"Matteo","non-dropping-particle":"","parse-names":false,"suffix":""},{"dropping-particle":"","family":"Gibbs","given":"Jenna C.","non-dropping-particle":"","parse-names":false,"suffix":""},{"dropping-particle":"","family":"Adachi","given":"Jonathan D.","non-dropping-particle":"","parse-names":false,"suffix":""},{"dropping-particle":"","family":"Ashe","given":"Maureen C.","non-dropping-particle":"","parse-names":false,"suffix":""},{"dropping-particle":"","family":"Cheung","given":"Angela M.","non-dropping-particle":"","parse-names":false,"suffix":""},{"dropping-particle":"","family":"Hill","given":"Keith D.","non-dropping-particle":"","parse-names":false,"suffix":""},{"dropping-particle":"","family":"Kendler","given":"David","non-dropping-particle":"","parse-names":false,"suffix":""},{"dropping-particle":"","family":"Khan","given":"Aliya A.","non-dropping-particle":"","parse-names":false,"suffix":""},{"dropping-particle":"","family":"McArthur","given":"Caitlin","non-dropping-particle":"","parse-names":false,"suffix":""},{"dropping-particle":"","family":"Papaioannou","given":"Alexandra","non-dropping-particle":"","parse-names":false,"suffix":""},{"dropping-particle":"","family":"Thabane","given":"Lehana","non-dropping-particle":"","parse-names":false,"suffix":""},{"dropping-particle":"","family":"Wark","given":"John D.","non-dropping-particle":"","parse-names":false,"suffix":""},{"dropping-particle":"","family":"Giangregorio","given":"Lora M.","non-dropping-particle":"","parse-names":false,"suffix":""}],"container-title":"Journal of Aging and Physical Activity","id":"ITEM-2","issued":{"date-parts":[["2020"]]},"page":"1-6","title":"Exploring Fear of Falling and Exercise Self-Efficacy in Older Women With Vertebral Fractures","type":"article-journal"},"uris":["http://www.mendeley.com/documents/?uuid=33664361-510d-4d84-8942-852a9d278e25"]}],"mendeley":{"formattedCitation":"&lt;sup&gt;129,130&lt;/sup&gt;","plainTextFormattedCitation":"129,130","previouslyFormattedCitation":"&lt;sup&gt;129,130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129,130</w:t>
      </w:r>
      <w:r w:rsidRPr="00875798">
        <w:rPr>
          <w:rFonts w:ascii="Helvetica" w:hAnsi="Helvetica" w:cs="Helvetica"/>
        </w:rPr>
        <w:fldChar w:fldCharType="end"/>
      </w:r>
      <w:r w:rsidRPr="00875798">
        <w:rPr>
          <w:rFonts w:ascii="Helvetica" w:hAnsi="Helvetica" w:cs="Helvetica"/>
        </w:rPr>
        <w:t xml:space="preserve">, which may contribute to further bone loss as well as other adverse health outcomes. </w:t>
      </w:r>
    </w:p>
    <w:p w14:paraId="2A647573" w14:textId="77777777" w:rsidR="000F5BC4" w:rsidRPr="00875798" w:rsidRDefault="000F5BC4" w:rsidP="000F5BC4">
      <w:pPr>
        <w:spacing w:before="120" w:after="0" w:line="240" w:lineRule="auto"/>
        <w:rPr>
          <w:rFonts w:ascii="Helvetica" w:eastAsiaTheme="majorBidi" w:hAnsi="Helvetica" w:cs="Helvetica"/>
          <w:lang w:val="en-US" w:eastAsia="ja-JP"/>
        </w:rPr>
      </w:pPr>
      <w:r w:rsidRPr="00875798">
        <w:rPr>
          <w:rFonts w:ascii="Helvetica" w:hAnsi="Helvetica" w:cs="Helvetica"/>
          <w:lang w:val="en-US"/>
        </w:rPr>
        <w:t xml:space="preserve">Physical activity and exercise could benefit vertebral fracture risk by improving bone strength but also by reducing kyphosis </w:t>
      </w:r>
      <w:r w:rsidRPr="00875798">
        <w:rPr>
          <w:rFonts w:ascii="Helvetica" w:hAnsi="Helvetica" w:cs="Helvetica"/>
          <w:lang w:val="en-US"/>
        </w:rPr>
        <w:fldChar w:fldCharType="begin" w:fldLock="1"/>
      </w:r>
      <w:r w:rsidRPr="00875798">
        <w:rPr>
          <w:rFonts w:ascii="Helvetica" w:hAnsi="Helvetica" w:cs="Helvetica"/>
          <w:lang w:val="en-US"/>
        </w:rPr>
        <w:instrText>ADDIN CSL_CITATION {"citationItems":[{"id":"ITEM-1","itemData":{"DOI":"10.1007/s00198-017-4109-x","ISSN":"14332965","PMID":"28689306","abstract":"Summary: A 6-month randomized controlled trial of spine-strengthening exercise and posture training reduced both radiographic and clinical measures of kyphosis. Participants receiving the intervention improved self-image and satisfaction with their appearance. Results suggest that spine-strengthening exercise and postural training may be an effective treatment option for older adults with hyperkyphosis. Introduction: The purpose of the present study is to determine in a randomized controlled trial whether spine-strengthening exercises improve Cobb angle of kyphosis in community-dwelling older adults. Methods: We recruited adults ≥60 years with kyphosis ≥40° and enrolled 99 participants (71 women, 28 men), mean age 70.6 ± 0.6 years, range 60–88, with baseline Cobb angle 57.4 ± 12.5°. The intervention included group spine-strengthening exercise and postural training, delivered by a physical therapist, 1-h, three times weekly for 6 months. Controls received four group health education meetings. The primary outcome was change in the gold standard Cobb angle of kyphosis measured from standing lateral spine radiographs. Secondary outcomes included change in kyphometer-measured kyphosis, physical function (modified Physical Performance Test, gait speed, Timed Up and Go, Timed Loaded Standing, 6-Min Walk), and health-related quality of life (HRQoL) (PROMIS global health and physical function indexes, SRS-30 self-image domain). ANCOVA was used to assess treatment effects on change from baseline to 6 months in all outcomes. Results: There was a −3.0° (95% CI −5.2, −0.8) between-group difference in change in Cobb angle, p = 0.009, favoring the intervention and approximating the magnitude of change from an incident vertebral fracture. Kyphometer-measured kyphosis (p = 0.03) and SRS-30 self-esteem (p &lt; 0.001) showed favorable between-group differences in change, with no group differences in physical function or additional HRQoL outcomes, p &gt; 0.05. Conclusions: Spine-strengthening exercise and posture training over 6 months reduced kyphosis compared to control. Our randomized controlled trial results suggest that a targeted kyphosis-specific exercise program may be an effective treatment option for older adults with hyperkyphosis. Trial registration number and name of trial register: ClinicalTrials.gov; identifier NCT01751685.","author":[{"dropping-particle":"","family":"Katzman","given":"W. B.","non-dropping-particle":"","parse-names":false,"suffix":""},{"dropping-particle":"","family":"Vittinghoff","given":"E.","non-dropping-particle":"","parse-names":false,"suffix":""},{"dropping-particle":"","family":"Lin","given":"F.","non-dropping-particle":"","parse-names":false,"suffix":""},{"dropping-particle":"","family":"Schafer","given":"A.","non-dropping-particle":"","parse-names":false,"suffix":""},{"dropping-particle":"","family":"Long","given":"R. K.","non-dropping-particle":"","parse-names":false,"suffix":""},{"dropping-particle":"","family":"Wong","given":"S.","non-dropping-particle":"","parse-names":false,"suffix":""},{"dropping-particle":"","family":"Gladin","given":"A.","non-dropping-particle":"","parse-names":false,"suffix":""},{"dropping-particle":"","family":"Fan","given":"B.","non-dropping-particle":"","parse-names":false,"suffix":""},{"dropping-particle":"","family":"Allaire","given":"B.","non-dropping-particle":"","parse-names":false,"suffix":""},{"dropping-particle":"","family":"Kado","given":"D. M.","non-dropping-particle":"","parse-names":false,"suffix":""},{"dropping-particle":"","family":"Lane","given":"N. E.","non-dropping-particle":"","parse-names":false,"suffix":""}],"container-title":"Osteoporosis International","id":"ITEM-1","issue":"10","issued":{"date-parts":[["2017"]]},"page":"2831-2841","publisher":"Osteoporosis International","title":"Targeted spine strengthening exercise and posture training program to reduce hyperkyphosis in older adults: results from the study of hyperkyphosis, exercise, and function (SHEAF) randomized controlled trial","type":"article-journal","volume":"28"},"uris":["http://www.mendeley.com/documents/?uuid=8a1a8c0b-6b99-403b-94ec-a26d816ae789"]},{"id":"ITEM-2","itemData":{"DOI":"10.1007/s00198-019-05133-0","ISSN":"14332965","PMID":"31720722","abstract":"Summary: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International","id":"ITEM-2","issue":"2","issued":{"date-parts":[["2020"]]},"page":"277-289","title":"Physiotherapy rehabilitation for osteoporotic vertebral fracture—a randomised controlled trial and economic evaluation (PROVE trial)","type":"article-journal","volume":"31"},"uris":["http://www.mendeley.com/documents/?uuid=dd24fd34-9c79-4804-ab30-9dd69685ec17"]}],"mendeley":{"formattedCitation":"&lt;sup&gt;131,132&lt;/sup&gt;","plainTextFormattedCitation":"131,132","previouslyFormattedCitation":"&lt;sup&gt;131,132&lt;/sup&gt;"},"properties":{"noteIndex":0},"schema":"https://github.com/citation-style-language/schema/raw/master/csl-citation.json"}</w:instrText>
      </w:r>
      <w:r w:rsidRPr="00875798">
        <w:rPr>
          <w:rFonts w:ascii="Helvetica" w:hAnsi="Helvetica" w:cs="Helvetica"/>
          <w:lang w:val="en-US"/>
        </w:rPr>
        <w:fldChar w:fldCharType="separate"/>
      </w:r>
      <w:r w:rsidRPr="00875798">
        <w:rPr>
          <w:rFonts w:ascii="Helvetica" w:hAnsi="Helvetica" w:cs="Helvetica"/>
          <w:noProof/>
          <w:vertAlign w:val="superscript"/>
          <w:lang w:val="en-US"/>
        </w:rPr>
        <w:t>131,132</w:t>
      </w:r>
      <w:r w:rsidRPr="00875798">
        <w:rPr>
          <w:rFonts w:ascii="Helvetica" w:hAnsi="Helvetica" w:cs="Helvetica"/>
          <w:lang w:val="en-US"/>
        </w:rPr>
        <w:fldChar w:fldCharType="end"/>
      </w:r>
      <w:r w:rsidRPr="00875798">
        <w:rPr>
          <w:rFonts w:ascii="Helvetica" w:hAnsi="Helvetica" w:cs="Helvetica"/>
          <w:lang w:val="en-US"/>
        </w:rPr>
        <w:t xml:space="preserve">. Improving back muscle strength may indirectly help reduce falls risk by reducing kyphosis, although the research evidence is limited </w:t>
      </w:r>
      <w:r w:rsidRPr="00875798">
        <w:rPr>
          <w:rFonts w:ascii="Helvetica" w:hAnsi="Helvetica" w:cs="Helvetica"/>
          <w:noProof/>
          <w:vertAlign w:val="superscript"/>
          <w:lang w:val="en-US"/>
        </w:rPr>
        <w:fldChar w:fldCharType="begin" w:fldLock="1"/>
      </w:r>
      <w:r w:rsidRPr="00875798">
        <w:rPr>
          <w:rFonts w:ascii="Helvetica" w:hAnsi="Helvetica" w:cs="Helvetica"/>
          <w:noProof/>
          <w:vertAlign w:val="superscript"/>
          <w:lang w:val="en-US"/>
        </w:rPr>
        <w:instrText>ADDIN CSL_CITATION {"citationItems":[{"id":"ITEM-1","itemData":{"DOI":"10.1016/S8756-3282(02)00739-1","ISSN":"87563282","PMID":"12052450","abstract":"The long-term protective effect of stronger back muscles on the spine was determined in 50 healthy white postmenopausal women, aged 58-75 years, 8 years after they had completed a 2 year randomized, controlled trial. Twenty-seven subjects had performed progressive, resistive back-strengthening exercises for 2 years and 23 had served as controls. Bone mineral density, spine radiographs, back extensor strength, biochemical marker values, and level of physical activity were obtained for all subjects at baseline, 2 years, and 10 years. Mean back extensor strength (BES) in the back-exercise (BE) group was 39.4 kg at baseline, 66.8 kg at 2 years (after 2 years of prescribed exercises), and 32.9 kg at 10 years (8 years after cessation of the prescribed exercises). Mean BES in the control (C) group was 36.9 kg at baseline, 49.0 kg at 2 years, and 26.9 kg at 10 years. The difference between the two groups was still statistically significant at 10 year follow-up (p = 0.001). The difference in bone mineral density, which was not significant between the two groups at baseline and 2 year follow-up, was significant at 10 year follow-up (p = 0.0004). The incidence of vertebral compression fracture was 14 fractures in 322 vertebral bodies examined (4.3%) in the C group and 6 fractures in 378 vertebral bodies examined (1.6%) in the BE group (chi-square test, p = 0.0290). The relative risk for compression fracture was 2.7 times greater in the C group than in the BE group. To our knowledge, this is the first study reported in the literature demonstrating the long-term effect of strong back muscles on the reduction of vertebral fractures in estrogen-deficient women. © 2002 by Elsevier Science Inc. All rights reserved.","author":[{"dropping-particle":"","family":"Sinaki","given":"M.","non-dropping-particle":"","parse-names":false,"suffix":""},{"dropping-particle":"","family":"Itoi","given":"E.","non-dropping-particle":"","parse-names":false,"suffix":""},{"dropping-particle":"","family":"Wahner","given":"H. W.","non-dropping-particle":"","parse-names":false,"suffix":""},{"dropping-particle":"","family":"Wollan","given":"P.","non-dropping-particle":"","parse-names":false,"suffix":""},{"dropping-particle":"","family":"Gelzcer","given":"R.","non-dropping-particle":"","parse-names":false,"suffix":""},{"dropping-particle":"","family":"Mullan","given":"B. P.","non-dropping-particle":"","parse-names":false,"suffix":""},{"dropping-particle":"","family":"Collins","given":"D. A.","non-dropping-particle":"","parse-names":false,"suffix":""},{"dropping-particle":"","family":"Hodgson","given":"S. F.","non-dropping-particle":"","parse-names":false,"suffix":""}],"container-title":"Bone","id":"ITEM-1","issue":"6","issued":{"date-parts":[["2002"]]},"page":"836-841","title":"Stronger back muscles reduce the incidence of vertebral fractures: A prospective 10 year follow-up of postmenopausal women","type":"article-journal","volume":"30"},"uris":["http://www.mendeley.com/documents/?uuid=702fb983-882f-4dbc-ac9c-c02eedab98d2"]},{"id":"ITEM-2","itemData":{"DOI":"10.1371/journal.pone.0109515","ISSN":"1932-6203","author":[{"dropping-particle":"","family":"Greig","given":"Alison M.","non-dropping-particle":"","parse-names":false,"suffix":""},{"dropping-particle":"","family":"Briggs","given":"Andrew M.","non-dropping-particle":"","parse-names":false,"suffix":""},{"dropping-particle":"","family":"Bennell","given":"Kim L.","non-dropping-particle":"","parse-names":false,"suffix":""},{"dropping-particle":"","family":"Hodges","given":"Paul W.","non-dropping-particle":"","parse-names":false,"suffix":""}],"container-title":"PLoS ONE","editor":[{"dropping-particle":"","family":"Heymann","given":"Dominique","non-dropping-particle":"","parse-names":false,"suffix":""}],"id":"ITEM-2","issue":"10","issued":{"date-parts":[["2014","10"]]},"page":"e109515","publisher":"Public Library of Science","title":"Trunk Muscle Activity Is Modified in Osteoporotic Vertebral Fracture and Thoracic Kyphosis with Potential Consequences for Vertebral Health","type":"article-journal","volume":"9"},"uris":["http://www.mendeley.com/documents/?uuid=b4501c6f-980d-4703-a232-d0b2e2688f0d","http://www.mendeley.com/documents/?uuid=553cae31-002a-31df-8b54-5258b6d24c63"]}],"mendeley":{"formattedCitation":"&lt;sup&gt;91,111&lt;/sup&gt;","plainTextFormattedCitation":"91,111","previouslyFormattedCitation":"&lt;sup&gt;91,111&lt;/sup&gt;"},"properties":{"noteIndex":0},"schema":"https://github.com/citation-style-language/schema/raw/master/csl-citation.json"}</w:instrText>
      </w:r>
      <w:r w:rsidRPr="00875798">
        <w:rPr>
          <w:rFonts w:ascii="Helvetica" w:hAnsi="Helvetica" w:cs="Helvetica"/>
          <w:noProof/>
          <w:vertAlign w:val="superscript"/>
          <w:lang w:val="en-US"/>
        </w:rPr>
        <w:fldChar w:fldCharType="separate"/>
      </w:r>
      <w:r w:rsidRPr="00875798">
        <w:rPr>
          <w:rFonts w:ascii="Helvetica" w:hAnsi="Helvetica" w:cs="Helvetica"/>
          <w:noProof/>
          <w:vertAlign w:val="superscript"/>
          <w:lang w:val="en-US"/>
        </w:rPr>
        <w:t>91,111</w:t>
      </w:r>
      <w:r w:rsidRPr="00875798">
        <w:rPr>
          <w:rFonts w:ascii="Helvetica" w:hAnsi="Helvetica" w:cs="Helvetica"/>
          <w:noProof/>
          <w:vertAlign w:val="superscript"/>
          <w:lang w:val="en-US"/>
        </w:rPr>
        <w:fldChar w:fldCharType="end"/>
      </w:r>
      <w:r w:rsidRPr="00875798">
        <w:rPr>
          <w:rFonts w:ascii="Helvetica" w:hAnsi="Helvetica" w:cs="Helvetica"/>
        </w:rPr>
        <w:t xml:space="preserve">. </w:t>
      </w:r>
      <w:r w:rsidRPr="00875798">
        <w:rPr>
          <w:rFonts w:ascii="Helvetica" w:eastAsiaTheme="majorBidi" w:hAnsi="Helvetica" w:cs="Helvetica"/>
          <w:lang w:val="en-US" w:eastAsia="ja-JP"/>
        </w:rPr>
        <w:t xml:space="preserve">Vertebral fractures can cause pain, loss of mobility and reduced quality of life and may also be related to reduced respiratory function and incontinence </w:t>
      </w:r>
      <w:r w:rsidRPr="00875798">
        <w:rPr>
          <w:rFonts w:ascii="Helvetica" w:eastAsiaTheme="majorBidi" w:hAnsi="Helvetica" w:cs="Helvetica"/>
          <w:lang w:val="en-US" w:eastAsia="ja-JP"/>
        </w:rPr>
        <w:fldChar w:fldCharType="begin" w:fldLock="1"/>
      </w:r>
      <w:r w:rsidRPr="00875798">
        <w:rPr>
          <w:rFonts w:ascii="Helvetica" w:eastAsiaTheme="majorBidi" w:hAnsi="Helvetica" w:cs="Helvetica"/>
          <w:lang w:val="en-US" w:eastAsia="ja-JP"/>
        </w:rPr>
        <w:instrText>ADDIN CSL_CITATION {"citationItems":[{"id":"ITEM-1","itemData":{"DOI":"10.1007/s00586-008-0753-3","ISSN":"1432-0932","PMID":"18751742","abstract":"The vertebral body fracture is the most frequent bone fragility fracture. In spite of this there is considerable uncertainty about the frequency, extent and severity of the acute pain and even more about the duration of pain, the magnitude of disability and how much daily life is disturbed in the post-fracture period. The aim of the present study was to follow the course of pain, disability, ADL and QoL in patients during the year after an acute low energy vertebral body fracture. The study design was a longitudinal cohort study with prospective data collection. All the patients over 40 years admitted to the emergency unit because of back pain with a radiologically acute vertebral body fracture were eligible. A total of 107 patients were followed for a year. The pain, disability (von Korff pain and disability scores), ADL (Hannover ADL score), and QoL (EQ-5D) were measured after 3 weeks, 3, 6 and 12 months. Two-thirds of the patients were women, and were similar in average age, as the men around 75 years. A total of 65.4% of the fractures were due to a level fall or a minor trauma, whereas 34.6% had no recollection of trauma or a specific event as the cause of the fracture. A total of 76.6% of the fractured patients were immediately mobilized and allowed to return home while the remaining were hospitalized. The average pain intensity score after 3 weeks was 70.9 (SD 19.3), the disability score 68.9 (SD 23.6), the ADL score 37.7 (SD 22.1) and EQ-5D score of 0.37 (SD 0.37). The largest improvements, 10-15%, occurred between the initial visit and the 3 months follow-up and were quite similar for all the measures. From 3 months, all the outcome measures leveled out or tended to deteriorate resulting in a mean pain intensity score of 60.5, disability score of 53.9, ADL score of 47.6, and EQ-5D score 0.52 after 12 months. After a whole year the fractured patients' condition was similar to the preoperative condition of patients with a herniated lumbar disc, central lumbar spinal stenosis or in patients 100% work disabled due to back or neck problems. Instead of the generally believed good prognosis for the greater majority of those fractured, the acute vertebral body fracture was the beginning of a long-lasting severe deterioration of their health.","author":[{"dropping-particle":"","family":"Suzuki","given":"Nobuyuki","non-dropping-particle":"","parse-names":false,"suffix":""},{"dropping-particle":"","family":"Ogikubo","given":"Osamu","non-dropping-particle":"","parse-names":false,"suffix":""},{"dropping-particle":"","family":"Hansson","given":"Tommy","non-dropping-particle":"","parse-names":false,"suffix":""}],"container-title":"European spine journal : official publication of the European Spine Society, the European Spinal Deformity Society, and the European Section of the Cervical Spine Research Society","id":"ITEM-1","issue":"10","issued":{"date-parts":[["2008","10"]]},"page":"1380-90","publisher":"Springer","title":"The course of the acute vertebral body fragility fracture: its effect on pain, disability and quality of life during 12 months.","type":"article-journal","volume":"17"},"uris":["http://www.mendeley.com/documents/?uuid=fc41d3a0-0fd5-4e35-b4ca-5f5f7d9b7d84"]},{"id":"ITEM-2","itemData":{"DOI":"10.1093/rheumatology/kez249","ISSN":"14620332","PMID":"31335949","abstract":"Objective: Older women are at particular risk of osteoporosis. Among women with osteoporosis, fractures of the vertebra (vertebral fracture) are common, hard to detect and associated with risk of further fracture. Identifying vertebral fracture in a timely manner allows instigation of preventive measures to reduce the risk of further fracture. Although detection of vertebral fracture requires spinal radiograph, many women do not receive referral. To begin development of a screening tool to identify women in need of referral we undertook a qualitative study to characterize women's experiences of vertebral fracture, using Eccleston's 'Ten Neglected Bodily Senses'. Methods: Four qualitative focus groups were conducted with women who had been diagnosed with vertebral fracture (n = 19, age 60-91 years). Data were audio-recorded, transcribed and analysed thematically using the 'Ten Neglected Bodily Senses'. Results: Women's experiences of vertebral fractures related to seven senses: pain, movement, fatigue, balance, pressure, appetite and breathing. Pain was the dominant sense and all participants explained how pain increased with activity, reaching a crescendo, and described strategies to minimize this disruption. Most participants had become physically shorter, making some feel 'squashed', putting pressure on other body parts. Some described appetite loss or a sense of restricted breathing. Participants experienced a sense of being 'pulled' forwards, impacting on balance and exacerbating fear of falling. Conclusion: The study found senses that have not been previously described in the experiences of women with vertebral fracture. These will be used to inform the design of a new screening tool for use in primary care.","author":[{"dropping-particle":"","family":"Drew","given":"Sarah","non-dropping-particle":"","parse-names":false,"suffix":""},{"dropping-particle":"","family":"Clark","given":"Emma","non-dropping-particle":"","parse-names":false,"suffix":""},{"dropping-particle":"","family":"Al-Sari","given":"Usama","non-dropping-particle":"","parse-names":false,"suffix":""},{"dropping-particle":"","family":"Moore","given":"Andrew","non-dropping-particle":"","parse-names":false,"suffix":""},{"dropping-particle":"","family":"Gooberman-Hill","given":"Rachael","non-dropping-particle":"","parse-names":false,"suffix":""}],"container-title":"Rheumatology (United Kingdom)","id":"ITEM-2","issue":"2","issued":{"date-parts":[["2020"]]},"page":"379-385","title":"Neglected bodily senses in women living with vertebral fracture: A focus group study","type":"article-journal","volume":"59"},"uris":["http://www.mendeley.com/documents/?uuid=3ec35d2a-4fe7-4cb6-8c1e-1ac92c39f390"]}],"mendeley":{"formattedCitation":"&lt;sup&gt;3,4&lt;/sup&gt;","plainTextFormattedCitation":"3,4","previouslyFormattedCitation":"&lt;sup&gt;3,4&lt;/sup&gt;"},"properties":{"noteIndex":0},"schema":"https://github.com/citation-style-language/schema/raw/master/csl-citation.json"}</w:instrText>
      </w:r>
      <w:r w:rsidRPr="00875798">
        <w:rPr>
          <w:rFonts w:ascii="Helvetica" w:eastAsiaTheme="majorBidi" w:hAnsi="Helvetica" w:cs="Helvetica"/>
          <w:lang w:val="en-US" w:eastAsia="ja-JP"/>
        </w:rPr>
        <w:fldChar w:fldCharType="separate"/>
      </w:r>
      <w:r w:rsidRPr="00875798">
        <w:rPr>
          <w:rFonts w:ascii="Helvetica" w:eastAsiaTheme="majorBidi" w:hAnsi="Helvetica" w:cs="Helvetica"/>
          <w:noProof/>
          <w:vertAlign w:val="superscript"/>
          <w:lang w:val="en-US" w:eastAsia="ja-JP"/>
        </w:rPr>
        <w:t>3,4</w:t>
      </w:r>
      <w:r w:rsidRPr="00875798">
        <w:rPr>
          <w:rFonts w:ascii="Helvetica" w:eastAsiaTheme="majorBidi" w:hAnsi="Helvetica" w:cs="Helvetica"/>
          <w:lang w:val="en-US" w:eastAsia="ja-JP"/>
        </w:rPr>
        <w:fldChar w:fldCharType="end"/>
      </w:r>
      <w:r w:rsidRPr="00875798">
        <w:rPr>
          <w:rFonts w:ascii="Helvetica" w:eastAsiaTheme="majorBidi" w:hAnsi="Helvetica" w:cs="Helvetica"/>
          <w:lang w:val="en-US" w:eastAsia="ja-JP"/>
        </w:rPr>
        <w:t>. Physical activity may benefit many of these outcomes in people with existing vertebral fracture.</w:t>
      </w:r>
    </w:p>
    <w:p w14:paraId="6AFA80E3" w14:textId="77777777" w:rsidR="000F5BC4" w:rsidRPr="00875798" w:rsidRDefault="000F5BC4" w:rsidP="000F5BC4">
      <w:pPr>
        <w:spacing w:before="120" w:after="0" w:line="240" w:lineRule="auto"/>
        <w:rPr>
          <w:rFonts w:ascii="Helvetica" w:hAnsi="Helvetica" w:cs="Helvetica"/>
          <w:noProof/>
          <w:vertAlign w:val="superscript"/>
          <w:lang w:val="en-US"/>
        </w:rPr>
      </w:pPr>
      <w:r w:rsidRPr="00875798">
        <w:rPr>
          <w:rFonts w:ascii="Helvetica" w:hAnsi="Helvetica" w:cs="Helvetica"/>
        </w:rPr>
        <w:t xml:space="preserve">However, people with osteoporosis are so concerned that exercise or daily activities such as bending and lifting could apply excessive vertebral loading and precipitate fracture, that they may severely curtail their activities. It is thus important to consider potential adverse effects also; both to avoid activities that may increase risk and adapt activities as necessary, but also to reassure people with osteoporosis so they can continue activities of lower risk </w:t>
      </w:r>
      <w:r w:rsidRPr="00875798">
        <w:rPr>
          <w:rFonts w:ascii="Helvetica" w:hAnsi="Helvetica" w:cs="Helvetica"/>
        </w:rPr>
        <w:fldChar w:fldCharType="begin" w:fldLock="1"/>
      </w:r>
      <w:r w:rsidRPr="00875798">
        <w:rPr>
          <w:rFonts w:ascii="Helvetica" w:hAnsi="Helvetica" w:cs="Helvetica"/>
        </w:rPr>
        <w:instrText>ADDIN CSL_CITATION {"citationItems":[{"id":"ITEM-1","itemData":{"DOI":"10.1123/japa.2019-0485","ISSN":"1063-8652","abstract":" Fear of falling is a common issue among older adults, which decreases quality of life and leads to an avoidance of activities they are still able to do. The goal of this secondary data analysis was to explore the relationship between fear of falling and exercise self-efficacy in 141 women with at least one nontraumatic Genant Grade 2 vertebral fracture. Fear of falling, exercise self-efficacy, history of falling, the number of falls, the use of assisting devices, and pain at rest or during movement were obtained using medical history and health status questionnaires. There was a negative association between fear of falling and exercise self-efficacy (pseudo R 2 = .253; p = .004), which persisted when the analysis was adjusted for history and number of falls, use of assistive devices, and pain at rest (pseudo R 2 = .329; p &lt; .0001) or during movement (pseudo R 2 = .321; p &lt; .0001). Fear of falling may be negatively associated with exercise self-efficacy in older women with vertebral fracture. ","author":[{"dropping-particle":"","family":"Ponzano","given":"Matteo","non-dropping-particle":"","parse-names":false,"suffix":""},{"dropping-particle":"","family":"Gibbs","given":"Jenna C.","non-dropping-particle":"","parse-names":false,"suffix":""},{"dropping-particle":"","family":"Adachi","given":"Jonathan D.","non-dropping-particle":"","parse-names":false,"suffix":""},{"dropping-particle":"","family":"Ashe","given":"Maureen C.","non-dropping-particle":"","parse-names":false,"suffix":""},{"dropping-particle":"","family":"Cheung","given":"Angela M.","non-dropping-particle":"","parse-names":false,"suffix":""},{"dropping-particle":"","family":"Hill","given":"Keith D.","non-dropping-particle":"","parse-names":false,"suffix":""},{"dropping-particle":"","family":"Kendler","given":"David","non-dropping-particle":"","parse-names":false,"suffix":""},{"dropping-particle":"","family":"Khan","given":"Aliya A.","non-dropping-particle":"","parse-names":false,"suffix":""},{"dropping-particle":"","family":"McArthur","given":"Caitlin","non-dropping-particle":"","parse-names":false,"suffix":""},{"dropping-particle":"","family":"Papaioannou","given":"Alexandra","non-dropping-particle":"","parse-names":false,"suffix":""},{"dropping-particle":"","family":"Thabane","given":"Lehana","non-dropping-particle":"","parse-names":false,"suffix":""},{"dropping-particle":"","family":"Wark","given":"John D.","non-dropping-particle":"","parse-names":false,"suffix":""},{"dropping-particle":"","family":"Giangregorio","given":"Lora M.","non-dropping-particle":"","parse-names":false,"suffix":""}],"container-title":"Journal of Aging and Physical Activity","id":"ITEM-1","issued":{"date-parts":[["2020"]]},"page":"1-6","title":"Exploring Fear of Falling and Exercise Self-Efficacy in Older Women With Vertebral Fractures","type":"article-journal"},"uris":["http://www.mendeley.com/documents/?uuid=33664361-510d-4d84-8942-852a9d278e25"]}],"mendeley":{"formattedCitation":"&lt;sup&gt;130&lt;/sup&gt;","plainTextFormattedCitation":"130","previouslyFormattedCitation":"&lt;sup&gt;130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130</w:t>
      </w:r>
      <w:r w:rsidRPr="00875798">
        <w:rPr>
          <w:rFonts w:ascii="Helvetica" w:hAnsi="Helvetica" w:cs="Helvetica"/>
        </w:rPr>
        <w:fldChar w:fldCharType="end"/>
      </w:r>
      <w:r w:rsidRPr="00875798">
        <w:rPr>
          <w:rFonts w:ascii="Helvetica" w:hAnsi="Helvetica" w:cs="Helvetica"/>
        </w:rPr>
        <w:t>.</w:t>
      </w:r>
      <w:r w:rsidRPr="00875798">
        <w:rPr>
          <w:rFonts w:ascii="Helvetica" w:eastAsiaTheme="majorBidi" w:hAnsi="Helvetica" w:cs="Helvetica"/>
          <w:lang w:val="en-US" w:eastAsia="ja-JP"/>
        </w:rPr>
        <w:t xml:space="preserve"> </w:t>
      </w:r>
    </w:p>
    <w:p w14:paraId="272F6294" w14:textId="77777777" w:rsidR="000F5BC4" w:rsidRPr="00875798" w:rsidRDefault="000F5BC4" w:rsidP="000F5BC4">
      <w:pPr>
        <w:pStyle w:val="Heading2"/>
        <w:spacing w:before="240" w:line="240" w:lineRule="auto"/>
        <w:rPr>
          <w:rFonts w:ascii="Helvetica" w:hAnsi="Helvetica" w:cs="Helvetica"/>
          <w:b/>
          <w:bCs/>
          <w:color w:val="auto"/>
          <w:sz w:val="24"/>
          <w:szCs w:val="24"/>
        </w:rPr>
      </w:pPr>
      <w:bookmarkStart w:id="37" w:name="_Toc96616281"/>
      <w:r w:rsidRPr="00875798">
        <w:rPr>
          <w:rFonts w:ascii="Helvetica" w:hAnsi="Helvetica" w:cs="Helvetica"/>
          <w:b/>
          <w:bCs/>
          <w:color w:val="auto"/>
          <w:sz w:val="24"/>
          <w:szCs w:val="24"/>
        </w:rPr>
        <w:t>Research evidence</w:t>
      </w:r>
      <w:bookmarkEnd w:id="37"/>
    </w:p>
    <w:p w14:paraId="5FE580A2" w14:textId="77777777" w:rsidR="000F5BC4" w:rsidRPr="00875798" w:rsidRDefault="000F5BC4" w:rsidP="000F5BC4">
      <w:pPr>
        <w:pStyle w:val="Heading3"/>
        <w:spacing w:before="240" w:line="240" w:lineRule="auto"/>
        <w:rPr>
          <w:rFonts w:ascii="Helvetica" w:hAnsi="Helvetica" w:cs="Helvetica"/>
          <w:i/>
          <w:iCs/>
          <w:color w:val="auto"/>
        </w:rPr>
      </w:pPr>
      <w:bookmarkStart w:id="38" w:name="_Toc96616282"/>
      <w:r w:rsidRPr="00875798">
        <w:rPr>
          <w:rFonts w:ascii="Helvetica" w:hAnsi="Helvetica" w:cs="Helvetica"/>
          <w:i/>
          <w:iCs/>
          <w:color w:val="auto"/>
        </w:rPr>
        <w:t>Activity modification for prevention of vertebral fracture</w:t>
      </w:r>
      <w:bookmarkEnd w:id="38"/>
    </w:p>
    <w:p w14:paraId="0284C1E3" w14:textId="77777777" w:rsidR="000F5BC4" w:rsidRPr="00875798" w:rsidRDefault="000F5BC4" w:rsidP="000F5BC4">
      <w:pPr>
        <w:spacing w:before="120" w:after="0" w:line="240" w:lineRule="auto"/>
      </w:pPr>
      <w:r w:rsidRPr="00875798">
        <w:rPr>
          <w:rFonts w:ascii="Helvetica" w:hAnsi="Helvetica" w:cs="Helvetica"/>
        </w:rPr>
        <w:t xml:space="preserve">Most vertebral fractures may occur as part of everyday living. However, the evidence in relation to </w:t>
      </w:r>
      <w:r w:rsidRPr="00875798">
        <w:rPr>
          <w:rFonts w:ascii="Helvetica" w:hAnsi="Helvetica" w:cs="Helvetica"/>
          <w:i/>
          <w:iCs/>
        </w:rPr>
        <w:t>particular</w:t>
      </w:r>
      <w:r w:rsidRPr="00875798">
        <w:rPr>
          <w:rFonts w:ascii="Helvetica" w:hAnsi="Helvetica" w:cs="Helvetica"/>
        </w:rPr>
        <w:t xml:space="preserve"> day-to-day movements, or the effectiveness of activity modification to prevent fracture, is very limited. Previous guidance has thus been based largely on expert consensus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{"citationItems":[{"id":"ITEM-1","itemData":{"DOI":"10.1007/s00198-002-1308-9","ISBN":"0937-941X (Print)","ISSN":"0937-941X","PMID":"12759719","abstract":"This guide is a summary reference on the rehabilitation principles that should be applied in the treatment and prevention of osteoporosis. As this guide addresses pri-marily rehabilitation issues required by osteoporotic fracture or low bone mass, the health professional is directed to the National Osteoporosis Foundation's companion piece, Physician's Guide to Prevention and Treatment of Osteoporosis ('Physician's Guide'), for other treatment approaches. Rehabilitation and exercise are often viewed as a means to improve function, such as activities of daily living (ADL) for patients. Psychosocial factors also impact strongly on functional ability and the general health of the osteoporotic patient. The information in this guide is based on scientific evidence from basic research, consensus from an expert panel convened by the National Osteoporosis Foun-dation (NOF), clinical studies, and randomized con-trolled clinical trials. The small number of randomized trials points to the need for more of them in the future. The majority of the studies on rehabilitation approaches and exercise recommendations related to osteoporosis are based on studies among white peri-menopausal women. Clearly, osteoporosis affects men and non-white women as well. It can also affect younger as well as older individuals with certain chronic conditions and medication use. Until we have additional data, recommendations for these other populations should be on an individual basis. The committee believes that the guidelines have universal application in terms of recommending life-long, safe activities and exercises for all people. This guide's recommendations are not intended as rigid standards of practice, but must be tailored for use by physicians in consultation with their patients. Executive Summary Osteoporosis affects more than 10 million people with an additional 34 million people at-risk with low bone mass [1]. Rehabilitation has an important role, additive to that of general medical and nutritional intervention, in the treatment of osteoporosis. Based on an analysis of current research and consensus development, experts convened by the NOF developed this guide to assist health professionals to understand the principles of re-habilitation and their applications to osteoporosis. In addition, these general principles may be applied in re-commending exercise in the prevention of osteoporosis. Summary of Major Rehabilitation Recommendations • Follow recommendations in the NOF's '…","author":[{"dropping-particle":"","family":"Bonner Jr.","given":"Francis J.","non-dropping-particle":"","parse-names":false,"suffix":""},{"dropping-particle":"","family":"Sinaki","given":"Mehrsheed","non-dropping-particle":"","parse-names":false,"suffix":""},{"dropping-particle":"","family":"Grabois","given":"Martin","non-dropping-particle":"","parse-names":false,"suffix":""},{"dropping-particle":"","family":"Shipp","given":"Kathy M.","non-dropping-particle":"","parse-names":false,"suffix":""},{"dropping-particle":"","family":"Lane","given":"Joseph M.","non-dropping-particle":"","parse-names":false,"suffix":""},{"dropping-particle":"","family":"Lindsay","given":"Robert","non-dropping-particle":"","parse-names":false,"suffix":""},{"dropping-particle":"","family":"Gold","given":"Deborah T.","non-dropping-particle":"","parse-names":false,"suffix":""},{"dropping-particle":"","family":"Cosman","given":"Felicia","non-dropping-particle":"","parse-names":false,"suffix":""},{"dropping-particle":"","family":"Bouxsein","given":"Mary L.","non-dropping-particle":"","parse-names":false,"suffix":""},{"dropping-particle":"","family":"Weinstein","given":"James N.","non-dropping-particle":"","parse-names":false,"suffix":""},{"dropping-particle":"","family":"Gallagher","given":"Rollin M.","non-dropping-particle":"","parse-names":false,"suffix":""},{"dropping-particle":"","family":"Melton III","given":"L. Joseph","non-dropping-particle":"","parse-names":false,"suffix":""},{"dropping-particle":"","family":"Salcido","given":"Richard (Sal)","non-dropping-particle":"","parse-names":false,"suffix":""},{"dropping-particle":"","family":"Gordon","given":"Stephen L.","non-dropping-particle":"","parse-names":false,"suffix":""}],"container-title":"Osteoporosis Int","id":"ITEM-1","issue":"2","issued":{"date-parts":[["2003"]]},"page":"S1-S22","title":"Health Professional's Guide to Rehabilitation of the Patient with Osteoporosis","type":"article-journal","volume":"14"},"uris":["http://www.mendeley.com/documents/?uuid=af27334e-2900-4fb4-ae78-b9ec7b5a8155","http://www.mendeley.com/documents/?uuid=68761f47-21b8-4baa-90a5-56ae3ddbdab1"]},{"id":"ITEM-2","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Exercise","id":"ITEM-2","issue":"11","issued":{"date-parts":[["2004"]]},"page":"1985-1996","title":"Physical Activity and Bone Health","type":"article-journal","volume":"36"},"uris":["http://www.mendeley.com/documents/?uuid=e93b189d-ff49-4635-9d82-5d9be2cfbb44","http://www.mendeley.com/documents/?uuid=840e4446-bcd0-4e41-9f11-68cea9d1c402"]},{"id":"ITEM-3","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Sport","id":"ITEM-3","issue":"5","issued":{"date-parts":[["2017"]]},"page":"438-445","publisher":"Sports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15,20,26,27&lt;/sup&gt;","plainTextFormattedCitation":"15,20,26,27","previouslyFormattedCitation":"&lt;sup&gt;15,20,26,27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15,20,26,27</w:t>
      </w:r>
      <w:r w:rsidRPr="00875798">
        <w:rPr>
          <w:rFonts w:ascii="Helvetica" w:hAnsi="Helvetica" w:cs="Helvetica"/>
        </w:rPr>
        <w:fldChar w:fldCharType="end"/>
      </w:r>
      <w:r w:rsidRPr="00875798">
        <w:rPr>
          <w:rFonts w:ascii="Helvetica" w:hAnsi="Helvetica" w:cs="Helvetica"/>
        </w:rPr>
        <w:t>. Recommendations have been that people with vertebral fractures or</w:t>
      </w:r>
      <w:r w:rsidRPr="00875798" w:rsidDel="00260FBB">
        <w:rPr>
          <w:rFonts w:ascii="Helvetica" w:hAnsi="Helvetica" w:cs="Helvetica"/>
        </w:rPr>
        <w:t xml:space="preserve"> osteoporosis avoid rapid, repetitive, weighted, end</w:t>
      </w:r>
      <w:r w:rsidRPr="00875798">
        <w:rPr>
          <w:rFonts w:ascii="Helvetica" w:hAnsi="Helvetica" w:cs="Helvetica"/>
        </w:rPr>
        <w:t>-of-</w:t>
      </w:r>
      <w:r w:rsidRPr="00875798" w:rsidDel="00260FBB">
        <w:rPr>
          <w:rFonts w:ascii="Helvetica" w:hAnsi="Helvetica" w:cs="Helvetica"/>
        </w:rPr>
        <w:t>range</w:t>
      </w:r>
      <w:r w:rsidRPr="00875798">
        <w:rPr>
          <w:rFonts w:ascii="Helvetica" w:hAnsi="Helvetica" w:cs="Helvetica"/>
        </w:rPr>
        <w:t xml:space="preserve">-of-motion movements, </w:t>
      </w:r>
      <w:r w:rsidRPr="00875798" w:rsidDel="00260FBB">
        <w:rPr>
          <w:rFonts w:ascii="Helvetica" w:hAnsi="Helvetica" w:cs="Helvetica"/>
        </w:rPr>
        <w:t xml:space="preserve">rotation or flexion of the spine during </w:t>
      </w:r>
      <w:r w:rsidRPr="00875798">
        <w:rPr>
          <w:rFonts w:ascii="Helvetica" w:hAnsi="Helvetica" w:cs="Helvetica"/>
        </w:rPr>
        <w:t xml:space="preserve">physical activity and exercise. This included </w:t>
      </w:r>
      <w:r w:rsidRPr="00875798" w:rsidDel="00260FBB">
        <w:rPr>
          <w:rFonts w:ascii="Helvetica" w:hAnsi="Helvetica" w:cs="Helvetica"/>
        </w:rPr>
        <w:t xml:space="preserve">lifting weights with a flexed spine, sit-ups and end of range </w:t>
      </w:r>
      <w:r w:rsidRPr="00875798">
        <w:rPr>
          <w:rFonts w:ascii="Helvetica" w:hAnsi="Helvetica" w:cs="Helvetica"/>
        </w:rPr>
        <w:t>yoga</w:t>
      </w:r>
      <w:r w:rsidRPr="00875798" w:rsidDel="00260FBB">
        <w:rPr>
          <w:rFonts w:ascii="Helvetica" w:hAnsi="Helvetica" w:cs="Helvetica"/>
        </w:rPr>
        <w:t xml:space="preserve"> and </w:t>
      </w:r>
      <w:r w:rsidRPr="00875798">
        <w:rPr>
          <w:rFonts w:ascii="Helvetica" w:hAnsi="Helvetica" w:cs="Helvetica"/>
        </w:rPr>
        <w:t>P</w:t>
      </w:r>
      <w:r w:rsidRPr="00875798" w:rsidDel="00260FBB">
        <w:rPr>
          <w:rFonts w:ascii="Helvetica" w:hAnsi="Helvetica" w:cs="Helvetica"/>
        </w:rPr>
        <w:t>ilates postures</w:t>
      </w:r>
      <w:r w:rsidRPr="00875798">
        <w:rPr>
          <w:rFonts w:ascii="Helvetica" w:hAnsi="Helvetica" w:cs="Helvetica"/>
        </w:rPr>
        <w:t xml:space="preserve">, rapid or loaded twisting without adequate control in sports such as golf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{"citationItems":[{"id":"ITEM-1","itemData":{"DOI":"10.1007/s00198-002-1308-9","ISBN":"0937-941X (Print)","ISSN":"0937-941X","PMID":"12759719","abstract":"This guide is a summary reference on the rehabilitation principles that should be applied in the treatment and prevention of osteoporosis. As this guide addresses pri-marily rehabilitation issues required by osteoporotic fracture or low bone mass, the health professional is directed to the National Osteoporosis Foundation's companion piece, Physician's Guide to Prevention and Treatment of Osteoporosis ('Physician's Guide'), for other treatment approaches. Rehabilitation and exercise are often viewed as a means to improve function, such as activities of daily living (ADL) for patients. Psychosocial factors also impact strongly on functional ability and the general health of the osteoporotic patient. The information in this guide is based on scientific evidence from basic research, consensus from an expert panel convened by the National Osteoporosis Foun-dation (NOF), clinical studies, and randomized con-trolled clinical trials. The small number of randomized trials points to the need for more of them in the future. The majority of the studies on rehabilitation approaches and exercise recommendations related to osteoporosis are based on studies among white peri-menopausal women. Clearly, osteoporosis affects men and non-white women as well. It can also affect younger as well as older individuals with certain chronic conditions and medication use. Until we have additional data, recommendations for these other populations should be on an individual basis. The committee believes that the guidelines have universal application in terms of recommending life-long, safe activities and exercises for all people. This guide's recommendations are not intended as rigid standards of practice, but must be tailored for use by physicians in consultation with their patients. Executive Summary Osteoporosis affects more than 10 million people with an additional 34 million people at-risk with low bone mass [1]. Rehabilitation has an important role, additive to that of general medical and nutritional intervention, in the treatment of osteoporosis. Based on an analysis of current research and consensus development, experts convened by the NOF developed this guide to assist health professionals to understand the principles of re-habilitation and their applications to osteoporosis. In addition, these general principles may be applied in re-commending exercise in the prevention of osteoporosis. Summary of Major Rehabilitation Recommendations • Follow recommendations in the NOF's '…","author":[{"dropping-particle":"","family":"Bonner Jr.","given":"Francis J.","non-dropping-particle":"","parse-names":false,"suffix":""},{"dropping-particle":"","family":"Sinaki","given":"Mehrsheed","non-dropping-particle":"","parse-names":false,"suffix":""},{"dropping-particle":"","family":"Grabois","given":"Martin","non-dropping-particle":"","parse-names":false,"suffix":""},{"dropping-particle":"","family":"Shipp","given":"Kathy M.","non-dropping-particle":"","parse-names":false,"suffix":""},{"dropping-particle":"","family":"Lane","given":"Joseph M.","non-dropping-particle":"","parse-names":false,"suffix":""},{"dropping-particle":"","family":"Lindsay","given":"Robert","non-dropping-particle":"","parse-names":false,"suffix":""},{"dropping-particle":"","family":"Gold","given":"Deborah T.","non-dropping-particle":"","parse-names":false,"suffix":""},{"dropping-particle":"","family":"Cosman","given":"Felicia","non-dropping-particle":"","parse-names":false,"suffix":""},{"dropping-particle":"","family":"Bouxsein","given":"Mary L.","non-dropping-particle":"","parse-names":false,"suffix":""},{"dropping-particle":"","family":"Weinstein","given":"James N.","non-dropping-particle":"","parse-names":false,"suffix":""},{"dropping-particle":"","family":"Gallagher","given":"Rollin M.","non-dropping-particle":"","parse-names":false,"suffix":""},{"dropping-particle":"","family":"Melton III","given":"L. Joseph","non-dropping-particle":"","parse-names":false,"suffix":""},{"dropping-particle":"","family":"Salcido","given":"Richard (Sal)","non-dropping-particle":"","parse-names":false,"suffix":""},{"dropping-particle":"","family":"Gordon","given":"Stephen L.","non-dropping-particle":"","parse-names":false,"suffix":""}],"container-title":"Osteoporosis Int","id":"ITEM-1","issue":"2","issued":{"date-parts":[["2003"]]},"page":"S1-S22","title":"Health Professional's Guide to Rehabilitation of the Patient with Osteoporosis","type":"article-journal","volume":"14"},"uris":["http://www.mendeley.com/documents/?uuid=af27334e-2900-4fb4-ae78-b9ec7b5a8155","http://www.mendeley.com/documents/?uuid=68761f47-21b8-4baa-90a5-56ae3ddbdab1"]},{"id":"ITEM-2","itemData":{"DOI":"10.1249/01.MSS.0000142662.21767.58","ISBN":"0000142662","ISSN":"0195-9131","PMID":"15514517","abstract":"Weight-bearing physical activity has beneficial effects on bone health across the age spectrum. Physical activities that generate relatively high-intensity loading forces, such as plyometrics, gymnastics, and high-intensity resistance training, augment bone mineral accrual in children and adolescents. Further, there is some evidence that exercise-induced gains in bone mass in children are maintained into adulthood, suggesting that physical activity habits during childhood may have long-lasting benefits on bone health. It is not yet possible to describe in detail an exercise program for children and adolescents that will optimize peak bone mass, because quantitative dose-response studies are lacking. However, evidence from multiple small randomized, controlled trials suggests that the following exercise prescription will augment bone mineral accrual in children and adolescents: Mode: impact activities, such as gymnastics, plyometrics, and jumping, and moderate intensity resistance training; participation in sports that involve running and jumping (soccer, basketball) is likely to be of benefit, but scientific evidence is lacking Intensity: high, in terms of bone-loading forces; for safety reasons, resistance training should be textless60% of 1-repetition maximum (1RM) Frequency: at least 3 dwk-1 Duration: 10-20 min (2 times per day or more may be more effective) During adulthood, the primary goal of physical activity should be to maintain bone mass. Whether adults can increase bone mineral density (BMD) through exercise training remains equivocal. When increases have been reported, it has been in response to relatively high intensity weight-bearing endurance or resistance exercise; gains in BMD do not appear to be preserved when the exercise is discontinued. Observational studies suggest that the age-related decline in BMD is attenuated, and the relative risk for fracture is reduced, in people who are physically active, even when the activity is not particularly vigorous. However, there have been no large randomized, controlled trials to confirm these observations, nor have there been adequate dose-response studies to determine the volume of physical activity required for such benefits. It is important to note that, although physical activity may counteract to some extent the aging-related decline in bone mass, there is currently no strong evidence that even vigorous physical activity attenuates the menopause-related loss of bone mineral in women. Thus, …","author":[{"dropping-particle":"","family":"Kohrt","given":"Wendy M.","non-dropping-particle":"","parse-names":false,"suffix":""},{"dropping-particle":"","family":"Bloomfield","given":"Susan A.","non-dropping-particle":"","parse-names":false,"suffix":""},{"dropping-particle":"","family":"Little","given":"Kathleen D.","non-dropping-particle":"","parse-names":false,"suffix":""},{"dropping-particle":"","family":"Nelson","given":"Miriam E.","non-dropping-particle":"","parse-names":false,"suffix":""},{"dropping-particle":"","family":"Yingling","given":"Vanessa R.","non-dropping-particle":"","parse-names":false,"suffix":""}],"container-title":"Medicine &amp; Science in Sports &amp; Exercise","id":"ITEM-2","issue":"11","issued":{"date-parts":[["2004"]]},"page":"1985-1996","title":"Physical Activity and Bone Health","type":"article-journal","volume":"36"},"uris":["http://www.mendeley.com/documents/?uuid=e93b189d-ff49-4635-9d82-5d9be2cfbb44","http://www.mendeley.com/documents/?uuid=840e4446-bcd0-4e41-9f11-68cea9d1c402"]},{"id":"ITEM-3","itemData":{"DOI":"10.1016/j.jsams.2016.10.001","ISSN":"18781861","PMID":"27840033","abstract":"Objectives Osteoporotic fractures are associated with substantial morbidity and mortality. Although exercise has long been recommended for the prevention and management of osteoporosis, existing guidelines are often non-specific and do not account for individual differences in bone health, fracture risk and functional capacity. The aim of the current position statement is to provide health practitioners with specific, evidence-based guidelines for safe and effective exercise prescription for the prevention or management of osteoporosis, accommodating a range of potential comorbidities. Design Position statement. Methods Interpretation and application of research reports describing the effects of exercise interventions for the prevention and management of low bone mass, osteoporosis and osteoporotic fracture. Results Evidence from animal and human trials indicates that bone responds positively to impact activities and high intensity progressive resistance training. Furthermore, the optimisation of muscle strength, balance and mobility minimises the risk of falls (and thereby fracture), which is particularly relevant for individuals with limited functional capacity and/or a very high risk of osteoporotic fracture. It is important that all exercise programs be accompanied by sufficient calcium and vitamin D, and address issues of comorbidity and safety. For example, loaded spine flexion is not recommended, and impact activities may require modification in the presence of osteoarthritis or frailty. Conclusions Specific guidelines for safe and effective exercise for bone health are presented. Individual exercise prescription must take into account existing bone health status, co-morbidities, and functional or clinical risk factors for falls and fracture.","author":[{"dropping-particle":"","family":"Beck","given":"Belinda R.","non-dropping-particle":"","parse-names":false,"suffix":""},{"dropping-particle":"","family":"Daly","given":"Robin M.","non-dropping-particle":"","parse-names":false,"suffix":""},{"dropping-particle":"","family":"Singh","given":"Maria A.Fiatarone","non-dropping-particle":"","parse-names":false,"suffix":""},{"dropping-particle":"","family":"Taaffe","given":"Dennis R.","non-dropping-particle":"","parse-names":false,"suffix":""}],"container-title":"Journal of Science and Medicine in Sport","id":"ITEM-3","issue":"5","issued":{"date-parts":[["2017"]]},"page":"438-445","publisher":"Sports Medicine Australia","title":"Exercise and Sports Science Australia (ESSA) position statement on exercise prescription for the prevention and management of osteoporosis","type":"article-journal","volume":"20"},"uris":["http://www.mendeley.com/documents/?uuid=07e5675f-4a1c-4b1c-a2f2-75f921261986"]},{"id":"ITEM-4","itemData":{"DOI":"10.1007/s00198-014-2881-4","ISBN":"0019801428814","ISSN":"14332965","PMID":"25510579","abstract":"Summary: An international consensus process resulted in exercise and physical activity recommendations for individuals with osteoporosis. Emphasis was placed on strength, balance, and postural alignment. Rather than providing generic restrictions, activity should be encouraged while considering impairments, fracture risk, activity history, and preference, and guidance on spine sparing techniques should be provided.\nIntroduction: The objectives of this study were to establish expert consensus on key questions posed by patients or health care providers regarding recommended assessment domains to inform exercise prescription, therapeutic goals of exercise, and physical activity and exercise recommendations for individuals with osteoporosis or osteoporotic vertebral fracture.\nMethods: The Too Fit To Fracture expert panel identified researchers and clinicians with expertise in exercise and osteoporosis and stakeholder groups. We delivered a modified online Delphi survey (two rounds) to establish consensus on assessment, exercise, and physical activities for three cases with varying risk (osteoporosis based on bone mineral density; 1 spine fracture and osteoporosis; multiple spine fractures, osteoporosis, hyperkyphosis, and pain). Duplicate content analyses of free text responses were performed.\nResults: Response rates were 52 % (39/75) and 69 % (48/70) for each round. Key consensus points are the following: (a) Current physical activity guidelines are appropriate for individuals with osteoporosis without spine fracture, but not for those with spine fracture; (b) after spine fracture, physical activity of moderate intensity is preferred to vigorous; (c) daily balance training and endurance training for spinal extensor muscles are recommended for all; (d) providing guidance on spine-sparing techniques (e.g., hip hinge) during activities of daily living or leisure, considering impairments, fracture risk, activity history, and preference, is recommended rather than providing generic restrictions (e.g., lifting &lt;10 lbs, no twisting), but for those with vertebral fracture, especially in the presence of pain, multiple fractures, or hyperkyphosis, the risks of many activities may outweigh the benefits—physical therapist consultation is recommended. Examples of spine-sparing techniques and exercise prescription elements are provided.\nConclusions: Our recommendations guide health care providers on assessment, exercise prescription, and safe movement for individuals wi…","author":[{"dropping-particle":"","family":"Giangregorio","given":"L. M.","non-dropping-particle":"","parse-names":false,"suffix":""},{"dropping-particle":"","family":"McGill","given":"S.","non-dropping-particle":"","parse-names":false,"suffix":""},{"dropping-particle":"","family":"Wark","given":"J. D.","non-dropping-particle":"","parse-names":false,"suffix":""},{"dropping-particle":"","family":"Laprade","given":"J.","non-dropping-particle":"","parse-names":false,"suffix":""},{"dropping-particle":"","family":"Heinonen","given":"A.","non-dropping-particle":"","parse-names":false,"suffix":""},{"dropping-particle":"","family":"Ashe","given":"M. C.","non-dropping-particle":"","parse-names":false,"suffix":""},{"dropping-particle":"","family":"MacIntyre","given":"N. J.","non-dropping-particle":"","parse-names":false,"suffix":""},{"dropping-particle":"","family":"Cheung","given":"A. M.","non-dropping-particle":"","parse-names":false,"suffix":""},{"dropping-particle":"","family":"Shipp","given":"K.","non-dropping-particle":"","parse-names":false,"suffix":""},{"dropping-particle":"","family":"Keller","given":"H.","non-dropping-particle":"","parse-names":false,"suffix":""},{"dropping-particle":"","family":"Jain","given":"R.","non-dropping-particle":"","parse-names":false,"suffix":""},{"dropping-particle":"","family":"Papaioannou","given":"A.","non-dropping-particle":"","parse-names":false,"suffix":""}],"container-title":"Osteoporosis International","id":"ITEM-4","issue":"3","issued":{"date-parts":[["2015"]]},"page":"891-910","title":"Too Fit To Fracture: outcomes of a Delphi consensus process on physical activity and exercise recommendations for adults with osteoporosis with or without vertebral fractures","type":"article-journal","volume":"26"},"uris":["http://www.mendeley.com/documents/?uuid=ee67507f-06d7-4952-86a8-e2fd80699c14"]}],"mendeley":{"formattedCitation":"&lt;sup&gt;15,20,26,27&lt;/sup&gt;","plainTextFormattedCitation":"15,20,26,27","previouslyFormattedCitation":"&lt;sup&gt;15,20,26,27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15,20,26,27</w:t>
      </w:r>
      <w:r w:rsidRPr="00875798">
        <w:rPr>
          <w:rFonts w:ascii="Helvetica" w:hAnsi="Helvetica" w:cs="Helvetica"/>
        </w:rPr>
        <w:fldChar w:fldCharType="end"/>
      </w:r>
      <w:r w:rsidRPr="00875798">
        <w:rPr>
          <w:rFonts w:ascii="Helvetica" w:hAnsi="Helvetica" w:cs="Helvetica"/>
        </w:rPr>
        <w:t xml:space="preserve"> </w:t>
      </w:r>
    </w:p>
    <w:p w14:paraId="3A0EDEAF" w14:textId="77777777" w:rsidR="000F5BC4" w:rsidRPr="00875798" w:rsidRDefault="000F5BC4" w:rsidP="000F5BC4">
      <w:pPr>
        <w:pStyle w:val="Heading3"/>
        <w:spacing w:before="240" w:line="240" w:lineRule="auto"/>
        <w:rPr>
          <w:rFonts w:ascii="Helvetica" w:hAnsi="Helvetica" w:cs="Helvetica"/>
          <w:i/>
          <w:iCs/>
          <w:color w:val="auto"/>
        </w:rPr>
      </w:pPr>
      <w:bookmarkStart w:id="39" w:name="_Toc96616283"/>
      <w:r w:rsidRPr="00875798">
        <w:rPr>
          <w:rFonts w:ascii="Helvetica" w:hAnsi="Helvetica" w:cs="Helvetica"/>
          <w:i/>
          <w:iCs/>
          <w:color w:val="auto"/>
        </w:rPr>
        <w:t>Kyphosis</w:t>
      </w:r>
      <w:bookmarkEnd w:id="39"/>
    </w:p>
    <w:p w14:paraId="6781A269" w14:textId="77777777" w:rsidR="000F5BC4" w:rsidRPr="00875798" w:rsidRDefault="000F5BC4" w:rsidP="000F5BC4">
      <w:pPr>
        <w:spacing w:before="120" w:after="0" w:line="240" w:lineRule="auto"/>
      </w:pPr>
      <w:r w:rsidRPr="00875798">
        <w:rPr>
          <w:rFonts w:ascii="Helvetica" w:hAnsi="Helvetica" w:cs="Helvetica"/>
        </w:rPr>
        <w:t xml:space="preserve">There is some evidence that exercise can improve hyperkyphotic posture, with 8 of 11 studies reporting some improvement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{"citationItems":[{"id":"ITEM-1","itemData":{"DOI":"10.1016/j.apmr.2013.06.022","ISSN":"00039993","abstract":"Objective: To evaluate previous research to determine if exercise can improve preexisting hyperkyphosis by decreasing the angle of thoracic kyphosis in adults aged ≥45 years. Data Sources: PubMed, Embase, and the Cumulative Index to Nursing and Allied Health Literature databases were searched for studies related to posture, exercise, and age ≥45 years. Online conference proceedings of the American Society for Bone and Mineral Research, American Physical Therapy Association, and Gerontological Society of America were also searched. Study Selection: Two independent reviewers screened the titles and abstracts and selected studies that tested the effect of exercise on measures of kyphosis, or forward head posture, in individuals with hyperkyphosis at baseline (defined as angle of kyphosis ≥40°). Reviews, letters, notes, and non-English language studies were excluded. Data Extraction: A pilot-tested abstraction form was used by each reviewer to extract data from each study regarding details of exercise intervention, participant characteristics, safety, adherence, and results. The Cochrane Collaboration's tool for assessing risk of bias was used to assess methodologic quality. Discrepancies on the abstraction forms between the 2 reviewers were resolved by a third reviewer. A formal meta-analysis was not performed. Data Synthesis: Thirteen studies were abstracted and included in the review; of these, 8 studies saw improvements in ≥1 measure of posture. The main sources of bias were related to blinding participants and incomplete outcome data. The adherence reported across studies suggests that exercise is an acceptable intervention for individuals with age-related hyperkyphosis. Conclusions: The scarcity and quality of available data did not permit a pooled estimate of the effect of exercise on hyperkyphotic posture; however, the positive effects observed in high-quality studies suggest some benefit and support the need for an adequately designed randomized controlled trial examining the effect of exercise on hyperkyphosis. © 2014 by the American Congress of Rehabilitation Medicine.","author":[{"dropping-particle":"","family":"Bansal","given":"Symron","non-dropping-particle":"","parse-names":false,"suffix":""},{"dropping-particle":"","family":"Katzman","given":"Wendy B.","non-dropping-particle":"","parse-names":false,"suffix":""},{"dropping-particle":"","family":"Giangregorio","given":"Lora M.","non-dropping-particle":"","parse-names":false,"suffix":""}],"container-title":"Archives of Physical Medicine and Rehabilitation","id":"ITEM-1","issue":"1","issued":{"date-parts":[["2014"]]},"page":"129-140","publisher":"Elsevier Ltd","title":"Exercise for improving age-related hyperkyphotic posture: A systematic review","type":"article-journal","volume":"95"},"uris":["http://www.mendeley.com/documents/?uuid=a373d908-585d-4387-adca-1a4e2e61b358"]}],"mendeley":{"formattedCitation":"&lt;sup&gt;31&lt;/sup&gt;","plainTextFormattedCitation":"31","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31</w:t>
      </w:r>
      <w:r w:rsidRPr="00875798">
        <w:rPr>
          <w:rFonts w:ascii="Helvetica" w:hAnsi="Helvetica" w:cs="Helvetica"/>
        </w:rPr>
        <w:fldChar w:fldCharType="end"/>
      </w:r>
      <w:r w:rsidRPr="00875798">
        <w:rPr>
          <w:rFonts w:ascii="Helvetica" w:hAnsi="Helvetica" w:cs="Helvetica"/>
        </w:rPr>
        <w:t xml:space="preserve">, although the studies were small and some of limited quality. The interventions that benefitted kyphosis included spinal extension exercises and yoga, delivered by a physiotherapist or trained instructor </w:t>
      </w:r>
      <w:r w:rsidRPr="00875798">
        <w:rPr>
          <w:rFonts w:ascii="Helvetica" w:hAnsi="Helvetica" w:cs="Helvetica"/>
        </w:rPr>
        <w:fldChar w:fldCharType="begin" w:fldLock="1"/>
      </w:r>
      <w:r w:rsidRPr="00875798">
        <w:rPr>
          <w:rFonts w:ascii="Helvetica" w:hAnsi="Helvetica" w:cs="Helvetica"/>
        </w:rPr>
        <w:instrText>ADDIN CSL_CITATION {"citationItems":[{"id":"ITEM-1","itemData":{"DOI":"10.1016/j.apmr.2013.06.022","ISSN":"00039993","abstract":"Objective: To evaluate previous research to determine if exercise can improve preexisting hyperkyphosis by decreasing the angle of thoracic kyphosis in adults aged ≥45 years. Data Sources: PubMed, Embase, and the Cumulative Index to Nursing and Allied Health Literature databases were searched for studies related to posture, exercise, and age ≥45 years. Online conference proceedings of the American Society for Bone and Mineral Research, American Physical Therapy Association, and Gerontological Society of America were also searched. Study Selection: Two independent reviewers screened the titles and abstracts and selected studies that tested the effect of exercise on measures of kyphosis, or forward head posture, in individuals with hyperkyphosis at baseline (defined as angle of kyphosis ≥40°). Reviews, letters, notes, and non-English language studies were excluded. Data Extraction: A pilot-tested abstraction form was used by each reviewer to extract data from each study regarding details of exercise intervention, participant characteristics, safety, adherence, and results. The Cochrane Collaboration's tool for assessing risk of bias was used to assess methodologic quality. Discrepancies on the abstraction forms between the 2 reviewers were resolved by a third reviewer. A formal meta-analysis was not performed. Data Synthesis: Thirteen studies were abstracted and included in the review; of these, 8 studies saw improvements in ≥1 measure of posture. The main sources of bias were related to blinding participants and incomplete outcome data. The adherence reported across studies suggests that exercise is an acceptable intervention for individuals with age-related hyperkyphosis. Conclusions: The scarcity and quality of available data did not permit a pooled estimate of the effect of exercise on hyperkyphotic posture; however, the positive effects observed in high-quality studies suggest some benefit and support the need for an adequately designed randomized controlled trial examining the effect of exercise on hyperkyphosis. © 2014 by the American Congress of Rehabilitation Medicine.","author":[{"dropping-particle":"","family":"Bansal","given":"Symron","non-dropping-particle":"","parse-names":false,"suffix":""},{"dropping-particle":"","family":"Katzman","given":"Wendy B.","non-dropping-particle":"","parse-names":false,"suffix":""},{"dropping-particle":"","family":"Giangregorio","given":"Lora M.","non-dropping-particle":"","parse-names":false,"suffix":""}],"container-title":"Archives of Physical Medicine and Rehabilitation","id":"ITEM-1","issue":"1","issued":{"date-parts":[["2014"]]},"page":"129-140","publisher":"Elsevier Ltd","title":"Exercise for improving age-related hyperkyphotic posture: A systematic review","type":"article-journal","volume":"95"},"uris":["http://www.mendeley.com/documents/?uuid=a373d908-585d-4387-adca-1a4e2e61b358"]}],"mendeley":{"formattedCitation":"&lt;sup&gt;31&lt;/sup&gt;","plainTextFormattedCitation":"31","previouslyFormattedCitation":"&lt;sup&gt;31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31</w:t>
      </w:r>
      <w:r w:rsidRPr="00875798">
        <w:rPr>
          <w:rFonts w:ascii="Helvetica" w:hAnsi="Helvetica" w:cs="Helvetica"/>
        </w:rPr>
        <w:fldChar w:fldCharType="end"/>
      </w:r>
      <w:r w:rsidRPr="00875798">
        <w:rPr>
          <w:rFonts w:ascii="Helvetica" w:hAnsi="Helvetica" w:cs="Helvetica"/>
        </w:rPr>
        <w:t xml:space="preserve">. Recent trials of spinal extension exercise also benefitted kyphosis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{"citationItems":[{"id":"ITEM-1","itemData":{"DOI":"10.1007/s00198-017-4109-x","ISSN":"14332965","PMID":"28689306","abstract":"Summary: A 6-month randomized controlled trial of spine-strengthening exercise and posture training reduced both radiographic and clinical measures of kyphosis. Participants receiving the intervention improved self-image and satisfaction with their appearance. Results suggest that spine-strengthening exercise and postural training may be an effective treatment option for older adults with hyperkyphosis. Introduction: The purpose of the present study is to determine in a randomized controlled trial whether spine-strengthening exercises improve Cobb angle of kyphosis in community-dwelling older adults. Methods: We recruited adults ≥60 years with kyphosis ≥40° and enrolled 99 participants (71 women, 28 men), mean age 70.6 ± 0.6 years, range 60–88, with baseline Cobb angle 57.4 ± 12.5°. The intervention included group spine-strengthening exercise and postural training, delivered by a physical therapist, 1-h, three times weekly for 6 months. Controls received four group health education meetings. The primary outcome was change in the gold standard Cobb angle of kyphosis measured from standing lateral spine radiographs. Secondary outcomes included change in kyphometer-measured kyphosis, physical function (modified Physical Performance Test, gait speed, Timed Up and Go, Timed Loaded Standing, 6-Min Walk), and health-related quality of life (HRQoL) (PROMIS global health and physical function indexes, SRS-30 self-image domain). ANCOVA was used to assess treatment effects on change from baseline to 6 months in all outcomes. Results: There was a −3.0° (95% CI −5.2, −0.8) between-group difference in change in Cobb angle, p = 0.009, favoring the intervention and approximating the magnitude of change from an incident vertebral fracture. Kyphometer-measured kyphosis (p = 0.03) and SRS-30 self-esteem (p &lt; 0.001) showed favorable between-group differences in change, with no group differences in physical function or additional HRQoL outcomes, p &gt; 0.05. Conclusions: Spine-strengthening exercise and posture training over 6 months reduced kyphosis compared to control. Our randomized controlled trial results suggest that a targeted kyphosis-specific exercise program may be an effective treatment option for older adults with hyperkyphosis. Trial registration number and name of trial register: ClinicalTrials.gov; identifier NCT01751685.","author":[{"dropping-particle":"","family":"Katzman","given":"W. B.","non-dropping-particle":"","parse-names":false,"suffix":""},{"dropping-particle":"","family":"Vittinghoff","given":"E.","non-dropping-particle":"","parse-names":false,"suffix":""},{"dropping-particle":"","family":"Lin","given":"F.","non-dropping-particle":"","parse-names":false,"suffix":""},{"dropping-particle":"","family":"Schafer","given":"A.","non-dropping-particle":"","parse-names":false,"suffix":""},{"dropping-particle":"","family":"Long","given":"R. K.","non-dropping-particle":"","parse-names":false,"suffix":""},{"dropping-particle":"","family":"Wong","given":"S.","non-dropping-particle":"","parse-names":false,"suffix":""},{"dropping-particle":"","family":"Gladin","given":"A.","non-dropping-particle":"","parse-names":false,"suffix":""},{"dropping-particle":"","family":"Fan","given":"B.","non-dropping-particle":"","parse-names":false,"suffix":""},{"dropping-particle":"","family":"Allaire","given":"B.","non-dropping-particle":"","parse-names":false,"suffix":""},{"dropping-particle":"","family":"Kado","given":"D. M.","non-dropping-particle":"","parse-names":false,"suffix":""},{"dropping-particle":"","family":"Lane","given":"N. E.","non-dropping-particle":"","parse-names":false,"suffix":""}],"container-title":"Osteoporosis International","id":"ITEM-1","issue":"10","issued":{"date-parts":[["2017"]]},"page":"2831-2841","publisher":"Osteoporosis International","title":"Targeted spine strengthening exercise and posture training program to reduce hyperkyphosis in older adults: results from the study of hyperkyphosis, exercise, and function (SHEAF) randomized controlled trial","type":"article-journal","volume":"28"},"uris":["http://www.mendeley.com/documents/?uuid=8a1a8c0b-6b99-403b-94ec-a26d816ae789"]},{"id":"ITEM-2","itemData":{"DOI":"10.3310/hta23440","ISSN":"20464924","PMID":"31456562","abstract":"Background: A total of 25,000 people in the UK have osteoporotic vertebral fracture (OVF). Evidence suggests that physiotherapy may have an important treatment role. Objective: The objective was to investigate the clinical effectiveness and cost-effectiveness of two different physiotherapy programmes for people with OVF compared with a single physiotherapy session. Design: This was a prospective, adaptive, multicentre, assessor-blinded randomised controlled trial (RCT) with nested qualitative and health economic studies. Setting: This trial was based in 21 NHS physiotherapy departments. Participants: The participants were people with symptomatic OVF. Interventions: Seven sessions of either manual outpatient physiotherapy or exercise outpatient physiotherapy compared with the best practice of a 1-hour single session of physiotherapy (SSPT). Main outcome measures: Outcomes were measured at 4 and 12 months. The primary outcomes were quality of life and muscle endurance, which were measured by the disease-specific QUALEFFO-41 (Quality of Life Questionnaire of the European Foundation for Osteoporosis - 41 items) and timed loaded standing (TLS) test, respectively. Secondary outcomes were (1) thoracic kyphosis angle, (2) balance, evaluated via the functional reach test (FRT), and (3) physical function, assessed via the Short Physical Performance Battery (SPPB), 6-minute walk test (6MWT), Physical Activity Scale for the Elderly, a health resource use and falls diary, and the EuroQol-5 Dimensions, five-level version. Results: A total of 615 participants were enrolled, with 216, 203 and 196 randomised by a computergenerated program to exercise therapy, manual therapy and a SSPT, respectively. Baseline data were available for 613 participants, 531 (86.6%) of whom were women; the mean age of these participants was 72.14 years (standard deviation 9.09 years). Primary outcome data were obtained for 69% of participants (429/615) at 12 months: 175 in the exercise therapy arm, 181 in the manual therapy arm and 173 in theSSPT arm. Interim analysis met the criteria for all arms to remain in the study. For the primary outcomes at 12 months, there were no significant benefits over SSPT of exercise [QUALEFFO-41, difference -0.23 points, 95% confidence interval (CI) -3.20 to 1.59 points; p = 1.000; and TLS test, difference 5.77 seconds, 95% CI -4.85 to 20.46 seconds; p = 0.437] or of manual therapy (QUALEFFO-41, difference 1.35 points, 95% CI -1.76 to 2.93 points; p = 0.744; …","author":[{"dropping-particle":"","family":"Barker","given":"Karen L.","non-dropping-particle":"","parse-names":false,"suffix":""},{"dropping-particle":"","family":"Newman","given":"Meredith","non-dropping-particle":"","parse-names":false,"suffix":""},{"dropping-particle":"","family":"Stallard","given":"Nigel","non-dropping-particle":"","parse-names":false,"suffix":""},{"dropping-particle":"","family":"Leal","given":"Jose","non-dropping-particle":"","parse-names":false,"suffix":""},{"dropping-particle":"","family":"Lowe","given":"Catherine Minns","non-dropping-particle":"","parse-names":false,"suffix":""},{"dropping-particle":"","family":"Javaid","given":"Muhammad K.","non-dropping-particle":"","parse-names":false,"suffix":""},{"dropping-particle":"","family":"Noufaily","given":"Angela","non-dropping-particle":"","parse-names":false,"suffix":""},{"dropping-particle":"","family":"Adhikari","given":"Anish","non-dropping-particle":"","parse-names":false,"suffix":""},{"dropping-particle":"","family":"Hughes","given":"Tamsin","non-dropping-particle":"","parse-names":false,"suffix":""},{"dropping-particle":"","family":"Smith","given":"David J.","non-dropping-particle":"","parse-names":false,"suffix":""},{"dropping-particle":"","family":"Gandhi","given":"Varsha","non-dropping-particle":"","parse-names":false,"suffix":""},{"dropping-particle":"","family":"Cooper","given":"Cyrus","non-dropping-particle":"","parse-names":false,"suffix":""},{"dropping-particle":"","family":"Lamb","given":"Sarah E.","non-dropping-particle":"","parse-names":false,"suffix":""}],"container-title":"Health Technology Assessment","id":"ITEM-2","issue":"44","issued":{"date-parts":[["2019"]]},"page":"vii-317","title":"Exercise or manual physiotherapy compared with a single session of physiotherapy for osteoporotic vertebral fracture: Three-arm PROVE RCT","type":"article-journal","volume":"23"},"uris":["http://www.mendeley.com/documents/?uuid=bdf9e6b6-3be4-4cc2-9e75-3dab59feb809"]}],"mendeley":{"formattedCitation":"&lt;sup&gt;131,133&lt;/sup&gt;","plainTextFormattedCitation":"131,133","previouslyFormattedCitation":"&lt;sup&gt;131,133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131,133</w:t>
      </w:r>
      <w:r w:rsidRPr="00875798">
        <w:rPr>
          <w:rFonts w:ascii="Helvetica" w:hAnsi="Helvetica" w:cs="Helvetica"/>
        </w:rPr>
        <w:fldChar w:fldCharType="end"/>
      </w:r>
      <w:r w:rsidRPr="00875798">
        <w:rPr>
          <w:rFonts w:ascii="Helvetica" w:hAnsi="Helvetica" w:cs="Helvetica"/>
        </w:rPr>
        <w:t xml:space="preserve">, whilst high intensity resistance and impact training in people with low BMD showed improvements to kyphosis as well as BMD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{"citationItems":[{"id":"ITEM-1","itemData":{"DOI":"10.1007/s00198-018-04829-z","ISSN":"14332965","PMID":"30612163","abstract":"Summary: Our aim was to assess risk of vertebral fracture during high-intensity resistance and impact training (HiRIT) for postmenopausal women with low bone mass. HiRIT did not induce vertebral fracture, as evidenced by a reduction in kyphosis following 8 months of training and a lack of change in vertebral morphology. Introduction: The LIFTMOR trial demonstrated a novel, HiRIT program notably improved bone mass in postmenopausal women with osteopenia and osteoporosis. While no clinical signs or symptoms of vertebral crush fracture were evident during the trial, anecdotal feedback suggests that concerns about safety of HiRIT in the osteoporosis demographic remain. The aim of the current work was to assess vertebral body morphology, Cobb angle, and clinical measures of thoracic kyphosis in participants in the LIFTMOR trial for evidence of vertebral fracture following 8 months of supervised HiRIT. Methods: Participants were randomized to either 8 months of 30-min, twice-weekly, supervised HiRIT or unsupervised, low-intensity, home-based exercise (CON). Lateral thoracolumbar DXA scans (Medix DR, Medilink, France) were performed at baseline and follow-up. Cobb angle was determined, and vertebral fracture identification was performed using the semiquantitative Genant method. Clinical kyphosis measurements were performed in relaxed standing (neutral posture) and standing tall using an inclinometer and a flexicurve. Results: The HiRIT group exhibited a reduction in inclinometer-determined standing tall thoracic kyphosis compared to CON (− 6.7 ± 8.2° vs − 1.6 ± 8.1°, p = 0.031). Both the HiRIT and CON groups exhibited within-group improvement in kyphosis in relaxed standing as measured by both inclinometer and flexicurve (p &lt; 0.05). There were no changes in vertebral fracture classification in the HiRIT group post-intervention. A single, new, wedge deformity was observed for CON. Conclusions: Supervised HiRIT was not associated with an increased risk of vertebral fracture in postmenopausal women with low bone mass. Indeed, a clinically relevant improvement in thoracic kyphosis was observed following 8 months of supervised HiRIT, further supporting its efficacy as an osteoporosis intervention for postmenopausal women with low to very low bone mass.","author":[{"dropping-particle":"","family":"Watson","given":"S. L.","non-dropping-particle":"","parse-names":false,"suffix":""},{"dropping-particle":"","family":"Weeks","given":"Benjam K.","non-dropping-particle":"","parse-names":false,"suffix":""},{"dropping-particle":"","family":"Weis","given":"Lisa J.","non-dropping-particle":"","parse-names":false,"suffix":""},{"dropping-particle":"","family":"Harding","given":"Amy T.","non-dropping-particle":"","parse-names":false,"suffix":""},{"dropping-particle":"","family":"Horan","given":"S. A.","non-dropping-particle":"","parse-names":false,"suffix":""},{"dropping-particle":"","family":"Beck","given":"B. R.","non-dropping-particle":"","parse-names":false,"suffix":""}],"container-title":"Osteoporosis International","id":"ITEM-1","issue":"5","issued":{"date-parts":[["2019"]]},"page":"957-964","publisher":"Osteoporosis International","title":"High-intensity exercise did not cause vertebral fractures and improves thoracic kyphosis in postmenopausal women with low to very low bone mass: the LIFTMOR trial","type":"article-journal","volume":"30"},"uris":["http://www.mendeley.com/documents/?uuid=c1742532-b0f2-4209-8f5e-e5ceabd47004"]},{"id":"ITEM-2","itemData":{"DOI":"10.1002/jbmr.4008","ISSN":"15234681","PMID":"32176813","abstract":"The Lifting Intervention For Training Muscle and Osteoporosis Rehabilitation for Men (LIFTMOR-M) trial examined efficacy and safety of two novel exercise programs in older men with low BMD. Men with low hip and/or LS BMD were randomized to high-intensity progressive resistance and impact training (HiRIT) or machine-based isometric axial compression (IAC) and compared to a nonrandomized matched control (CON). Outcomes included: hip and LS BMD; calcaneal ultrasound parameters; anthropometry; body composition; function (timed up-and-go [TUG], five-times sit-to-stand [FTSTS]); back extensor strength (BES); leg extensor strength (LES); compliance and adverse events. Ninety-three men (67.1 ± 7.5 years; 82.1 ± 11.6 kg; 175.2 ± 6.7 cm; FN T-score −1.6 ± 0.6) were randomized to HiRIT (n = 34) or IAC (n = 33), or allocated to CON (n = 26). HiRIT improved trochanteric BMD (2.8 ± 0.8%; −0.1 ± 0.9%, p =.024), LS BMD (4.1 ± 0.7%; 0.9 ± 0.8%, p =.003), BUA (2.2 ± 0.7%; −0.8 ± 0.9%, p =.009), stiffness index (1.6 ± 0.9%; −2.0 ± 1.1%, p =.011), lean mass (1.5 ± 0.8%; −2.4 ± 0.9%, p =.002), TUG, FTSTS, BES, and LES (p &lt;.05) compared with CON. IAC improved lean mass (0.8 ± 0.8%; −2.4 ± 0.9%, p =.013) and FTSTS (−4.5 ± 1.6%; 7.5 ± 2.0%, p &lt;.001) compared with CON. HiRIT improved LS BMD (4.1 ± 0.7%; 2.0 ± 0.7%, p =.039), stiffness index (1.6 ± 0.9%; −1.3 ± 0.9%, p =.025), and FTSTS (−10.7 ± 1.6%; −4.5 ± 1.7%, p =.010) compared with IAC. Exercise compliance was high (HiRIT 77.8 ± 16.6%; IAC 78.5 ± 14.8%, p =.872). There were five minor adverse events (HiRIT, 2; IAC, 3). HiRIT was well-tolerated and improved bone, function and fracture risk more than CON or IAC. © 2020 American Society for Bone and Mineral Research.","author":[{"dropping-particle":"","family":"Harding","given":"Amy T.","non-dropping-particle":"","parse-names":false,"suffix":""},{"dropping-particle":"","family":"Weeks","given":"Benjamin K.","non-dropping-particle":"","parse-names":false,"suffix":""},{"dropping-particle":"","family":"Lambert","given":"Conor","non-dropping-particle":"","parse-names":false,"suffix":""},{"dropping-particle":"","family":"Watson","given":"Steven L.","non-dropping-particle":"","parse-names":false,"suffix":""},{"dropping-particle":"","family":"Weis","given":"Lisa J.","non-dropping-particle":"","parse-names":false,"suffix":""},{"dropping-particle":"","family":"Beck","given":"Belinda R.","non-dropping-particle":"","parse-names":false,"suffix":""}],"container-title":"Journal of Bone and Mineral Research","id":"ITEM-2","issue":"8","issued":{"date-parts":[["2020"]]},"page":"1404-1414","title":"A Comparison of Bone-Targeted Exercise Strategies to Reduce Fracture Risk in Middle-Aged and Older Men with Osteopenia and Osteoporosis: LIFTMOR-M Semi-Randomized Controlled Trial","type":"article-journal","volume":"35"},"uris":["http://www.mendeley.com/documents/?uuid=1610ed83-7353-41ff-b63a-8625fdfc45d0"]}],"mendeley":{"formattedCitation":"&lt;sup&gt;60,85&lt;/sup&gt;","plainTextFormattedCitation":"60,85","previouslyFormattedCitation":"&lt;sup&gt;60,85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60,85</w:t>
      </w:r>
      <w:r w:rsidRPr="00875798">
        <w:rPr>
          <w:rFonts w:ascii="Helvetica" w:hAnsi="Helvetica" w:cs="Helvetica"/>
        </w:rPr>
        <w:fldChar w:fldCharType="end"/>
      </w:r>
      <w:r w:rsidRPr="00875798">
        <w:rPr>
          <w:rFonts w:ascii="Helvetica" w:hAnsi="Helvetica" w:cs="Helvetica"/>
        </w:rPr>
        <w:t>.</w:t>
      </w:r>
    </w:p>
    <w:p w14:paraId="734087E2" w14:textId="77777777" w:rsidR="000F5BC4" w:rsidRPr="00875798" w:rsidRDefault="000F5BC4" w:rsidP="000F5BC4">
      <w:pPr>
        <w:pStyle w:val="Heading3"/>
        <w:spacing w:before="240"/>
        <w:rPr>
          <w:rFonts w:ascii="Helvetica" w:hAnsi="Helvetica" w:cs="Helvetica"/>
          <w:i/>
          <w:iCs/>
          <w:color w:val="auto"/>
        </w:rPr>
      </w:pPr>
      <w:bookmarkStart w:id="40" w:name="_Toc96616284"/>
      <w:r w:rsidRPr="00875798">
        <w:rPr>
          <w:rFonts w:ascii="Helvetica" w:hAnsi="Helvetica" w:cs="Helvetica"/>
          <w:i/>
          <w:iCs/>
          <w:color w:val="auto"/>
        </w:rPr>
        <w:t>Exercise in management of vertebral fracture</w:t>
      </w:r>
      <w:bookmarkEnd w:id="40"/>
    </w:p>
    <w:p w14:paraId="0DA9DEF8"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Recent Cochrane reviews evaluated exercise interventions in people with existing vertebral fracture </w:t>
      </w:r>
      <w:r w:rsidRPr="00875798">
        <w:rPr>
          <w:rFonts w:ascii="Helvetica" w:hAnsi="Helvetica" w:cs="Helvetica"/>
        </w:rPr>
        <w:fldChar w:fldCharType="begin" w:fldLock="1"/>
      </w:r>
      <w:r w:rsidRPr="00875798">
        <w:rPr>
          <w:rFonts w:ascii="Helvetica" w:hAnsi="Helvetica" w:cs="Helvetica"/>
        </w:rPr>
        <w:instrText>ADDIN CSL_CITATION {"citationItems":[{"id":"ITEM-1","itemData":{"DOI":"10.1002/14651858.CD008618.pub2","ISSN":"1469493X","PMID":"23440829","abstract":"Background: Vertebral fractures are associated with increased morbidity (e.g., pain, reduced quality of life), and mortality. Therapeutic exercise is a non-pharmacologic conservative treatment that is often recommended for patients with vertebral fractures to reduce pain and restore functional movement. Objectives: Our objectives were to evaluate the benefits and harms of exercise interventions of four weeks or greater (alone or as part of a physical therapyintervention) versus non-exercise/non-active physicaltherapy intervention, no intervention or placeboon the incidence of future fractures and adverse events among adults with ahistory of osteoporotic vertebral fracture(s). We were also examined the effects of exercise on the following secondary outcomes: falls, pain, posture,physical function, balance,mobility, muscle function,quality of life and bone mineral densityof the lumbar spine or hip measured using dual-energy X-ray absorptiometry (DXA).We also reported exercise adherence. Search methods: We searched the following databases: The Cochrane Library ( Issue 11 of 12, November 2011), MEDLINE (2005 to 2011), EMBASE (1988 to November 23, 2011), CINAHL (Cumulative Index to Nursing and Allied Health Literature, 1982 to November 23, 2011), AMED (1985 to November 2011), and PEDro (Physiotherapy Evidence Database, www.pedro.fhs.usyd.edu.au/index.html, 1929 to November 23, 2011. Ongoing and recently completed trials were identified by searching the World Health Organization International Clinical Trials Registry Platform (to December 2009).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Selection criteria: We considered all randomized controlled trials and quasi-randomized trials comparing exercise or active physical therapy interventions with placebo/non-exercise/non-active physical therapy interventions or no intervention implemented in individuals with a history of vertebral fracture and evaluating the outcomes of interest. Data collection and analysis: Two review authors independently selected trials and extracted data using a pre-tested data abstraction form. Disagreements were resolved by consensus, or third party adjudication. The Cochrane Collaboration's tool for assessing risk of bias was used…","author":[{"dropping-particle":"","family":"Giangregorio","given":"Lora M.","non-dropping-particle":"","parse-names":false,"suffix":""},{"dropping-particle":"","family":"Macintyre","given":"Norma J.","non-dropping-particle":"","parse-names":false,"suffix":""},{"dropping-particle":"","family":"Thabane","given":"Lehana","non-dropping-particle":"","parse-names":false,"suffix":""},{"dropping-particle":"","family":"Skidmore","given":"Carly J.","non-dropping-particle":"","parse-names":false,"suffix":""},{"dropping-particle":"","family":"Papaioannou","given":"Alexandra","non-dropping-particle":"","parse-names":false,"suffix":""}],"container-title":"Cochrane Database of Systematic Reviews","id":"ITEM-1","issue":"1","issued":{"date-parts":[["2013"]]},"title":"Exercise for improving outcomes after osteoporotic vertebral fracture","type":"article-journal","volume":"2013"},"uris":["http://www.mendeley.com/documents/?uuid=f234e479-7d1d-4624-bde7-5115b9f156be"]},{"id":"ITEM-2","itemData":{"DOI":"10.1002/14651858.CD008618.pub3","ISSN":"1469493X","PMID":"31273764","abstract":"Background Vertebral fractures are associated with increased morbidity (e.g. pain, reduced quality of life) and mortality. Therapeutic exercise is a non-pharmacological conservative treatment that is often recommended for patients with vertebral fractures to reduce pain and restore functional movement. This is an update of a Cochrane Review first published in 2013. Objectives To assess the effects (benefits and harms) of exercise intervention of four weeks or greater (alone or as part of a physical therapy intervention) versus non-exercise/non-active physical therapy intervention, no intervention or placebo among adults with a history of vertebral fractures on incident fragility fractures of the hip, vertebra or other sites. Our secondary objectives were to evaluate the effects of exercise on the following outcomes: falls, pain, physical performance, health-related quality of life (disease-specific and generic), and adverse events. Search methods We searched the following databases until November 2017: the Cochrane Library (Issue 11 of 12), MEDLINE (from 2005), Embase (from 1988), CINAHL (Cumulative Index to Nursing and Allied Health Literature, from 1982), AMED (from 1985), and PEDro (Physiotherapy Evidence Database, from 1929). Ongoing/recently completed trials were identified by searching the World Health Organization International Clinical Trials Registry Platform and ClinicalTrials.gov. Conference proceedings were searched via ISI and SCOPUS, and targeted searches of proceedings of the American Congress of Rehabilitation Medicine and American Society for Bone and Mineral Research. Search terms or MeSH headings included terms such as vertebral fracture AND exercise OR physical therapy. For this update, the search results were limited from 2011 onward. Selection criteria We included all randomized controlled trials and quasi-randomized trials comparing exercise or active physical therapy interventions with placebo/non-exercise/non-active physical therapy interventions or no intervention implemented in individuals with a history of vertebral fracture. Data collection and analysis Two review authors independently selected trials and extracted data using a pre-tested data extraction form. Disagreements were resolved by consensus, or third-party adjudication. We used Cochrane’s tool for assessing risk of bias to evaluate each study. Studies were grouped according to duration of follow-up (i.e. a) 4-12 weeks; b) 16-24 weeks; c) 52 weeks); a study could be…","author":[{"dropping-particle":"","family":"Gibbs","given":"Jenna C.","non-dropping-particle":"","parse-names":false,"suffix":""},{"dropping-particle":"","family":"Macintyre","given":"Norma J.","non-dropping-particle":"","parse-names":false,"suffix":""},{"dropping-particle":"","family":"Ponzano","given":"Matteo","non-dropping-particle":"","parse-names":false,"suffix":""},{"dropping-particle":"","family":"Templeton","given":"Jeffrey Alan","non-dropping-particle":"","parse-names":false,"suffix":""},{"dropping-particle":"","family":"Thabane","given":"Lehana","non-dropping-particle":"","parse-names":false,"suffix":""},{"dropping-particle":"","family":"Papaioannou","given":"Alexandra","non-dropping-particle":"","parse-names":false,"suffix":""},{"dropping-particle":"","family":"Giangregorio","given":"Lora M.","non-dropping-particle":"","parse-names":false,"suffix":""}],"container-title":"Cochrane Database of Systematic Reviews","id":"ITEM-2","issue":"7","issued":{"date-parts":[["2019"]]},"title":"Exercise for improving outcomes after osteoporotic vertebral fracture","type":"article-journal","volume":"2019"},"uris":["http://www.mendeley.com/documents/?uuid=754032dc-d608-4fe0-905e-558c2524df03"]}],"mendeley":{"formattedCitation":"&lt;sup&gt;11,53&lt;/sup&gt;","plainTextFormattedCitation":"11,53","previouslyFormattedCitation":"&lt;sup&gt;11,53&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11,53</w:t>
      </w:r>
      <w:r w:rsidRPr="00875798">
        <w:rPr>
          <w:rFonts w:ascii="Helvetica" w:hAnsi="Helvetica" w:cs="Helvetica"/>
        </w:rPr>
        <w:fldChar w:fldCharType="end"/>
      </w:r>
      <w:r w:rsidRPr="00875798">
        <w:rPr>
          <w:rFonts w:ascii="Helvetica" w:hAnsi="Helvetica" w:cs="Helvetica"/>
        </w:rPr>
        <w:t xml:space="preserve">. In some, but not all individual trials, there were benefits to physical function, pain, and/or quality of life. Subsequent studies have also shown improvements in pain and physical function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{"citationItems":[{"id":"ITEM-1","itemData":{"DOI":"10.1007/s00198-016-3560-4","ISSN":"14332965","PMID":"26984569","abstract":"Summary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author":[{"dropping-particle":"","family":"Evstigneeva","given":"L.","non-dropping-particle":"","parse-names":false,"suffix":""},{"dropping-particle":"","family":"Lesnyak","given":"O.","non-dropping-particle":"","parse-names":false,"suffix":""},{"dropping-particle":"","family":"Bultink","given":"I. E.M.","non-dropping-particle":"","parse-names":false,"suffix":""},{"dropping-particle":"","family":"Lems","given":"W. F.","non-dropping-particle":"","parse-names":false,"suffix":""},{"dropping-particle":"","family":"Kozhemyakina","given":"E.","non-dropping-particle":"","parse-names":false,"suffix":""},{"dropping-particle":"","family":"Negodaeva","given":"E.","non-dropping-particle":"","parse-names":false,"suffix":""},{"dropping-particle":"","family":"Guselnikova","given":"G.","non-dropping-particle":"","parse-names":false,"suffix":""},{"dropping-particle":"","family":"Belkin","given":"A.","non-dropping-particle":"","parse-names":false,"suffix":""}],"container-title":"Osteoporosis International","id":"ITEM-1","issue":"8","issued":{"date-parts":[["2016"]]},"page":"2515-2524","publisher":"Osteoporosis International","title":"Effect of twelve-month physical exercise program on patients with osteoporotic vertebral fractures: A randomized, controlled trial","type":"article-journal","volume":"27"},"uris":["http://www.mendeley.com/documents/?uuid=8eb1dc01-6846-47ed-8557-637b3114bedd"]}],"mendeley":{"formattedCitation":"&lt;sup&gt;134&lt;/sup&gt;","plainTextFormattedCitation":"134","previouslyFormattedCitation":"&lt;sup&gt;134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134</w:t>
      </w:r>
      <w:r w:rsidRPr="00875798">
        <w:rPr>
          <w:rFonts w:ascii="Helvetica" w:hAnsi="Helvetica" w:cs="Helvetica"/>
        </w:rPr>
        <w:fldChar w:fldCharType="end"/>
      </w:r>
      <w:r w:rsidRPr="00875798">
        <w:rPr>
          <w:rFonts w:ascii="Helvetica" w:hAnsi="Helvetica" w:cs="Helvetica"/>
        </w:rPr>
        <w:t xml:space="preserve">. The recent UK-based PROVE trial showed that physiotherapist prescribed home exercise had some short term benefits on quality of life and back muscle endurance and kyphosis relative to provision of information only, but these were not sustained in the longer term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International","id":"ITEM-1","issue":"2","issued":{"date-parts":[["2020"]]},"page":"277-289","title":"Physiotherapy rehabilitation for osteoporotic vertebral fracture—a randomised controlled trial and economic evaluation (PROVE trial)","type":"article-journal","volume":"31"},"uris":["http://www.mendeley.com/documents/?uuid=dd24fd34-9c79-4804-ab30-9dd69685ec17"]}],"mendeley":{"formattedCitation":"&lt;sup&gt;132&lt;/sup&gt;","plainTextFormattedCitation":"132","previouslyFormattedCitation":"&lt;sup&gt;132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w:t>
      </w:r>
      <w:r w:rsidRPr="00875798">
        <w:rPr>
          <w:rFonts w:ascii="Helvetica" w:hAnsi="Helvetica" w:cs="Helvetica"/>
        </w:rPr>
        <w:fldChar w:fldCharType="end"/>
      </w:r>
      <w:r w:rsidRPr="00875798">
        <w:rPr>
          <w:rFonts w:ascii="Helvetica" w:hAnsi="Helvetica" w:cs="Helvetica"/>
        </w:rPr>
        <w:t xml:space="preserve">. </w:t>
      </w:r>
    </w:p>
    <w:p w14:paraId="48DB78E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Few studies in the Cochrane review had reported adverse events. An updated systematic review found few further adverse events reported in three subsequent trials </w:t>
      </w:r>
      <w:r w:rsidRPr="00875798">
        <w:rPr>
          <w:rFonts w:ascii="Helvetica" w:hAnsi="Helvetica" w:cs="Helvetica"/>
        </w:rPr>
        <w:fldChar w:fldCharType="begin" w:fldLock="1"/>
      </w:r>
      <w:r w:rsidRPr="00875798">
        <w:rPr>
          <w:rFonts w:ascii="Helvetica" w:hAnsi="Helvetica" w:cs="Helvetica"/>
        </w:rPr>
        <w:instrText>ADDIN CSL_CITATION {"citationItems":[{"id":"ITEM-1","itemData":{"DOI":"10.22540/jfsf-03-155","ISSN":"2459-4148","abstract":"Objectives: We conducted a systematic review to identify adverse effects of physical activity and/or exercise for adults with osteoporosis/osteopenia. We synthesised evidence from observational studies, and updated three previously published systematic reviews. Methods: We searched MEDLINE, EMBASE, CINAHL, Web of Science, grey literature and reference lists of relevant studies. Selection criteria were: (1) observational studies in patients with osteoporosis/osteopenia; and (2) in accordance with the criteria used in the previous reviews. A narrative synthesis was conducted for the observational data. Random effects meta-analysis was undertaken for the review updates. Results: For the observational synthesis 14 studies were included. The majority of studies reported no adverse events, reduced incidence/improvement, or no significant change after physical activity or exercise. Activities that involved spinal flexion (certain yoga moves and sit-ups) were associated with a greater risk of vertebral fractures but these events were rare. For the update of reviews, 57 additional studies were identified. Exercise was generally associated with a greater number of minor adverse events including mild muscle/joint pain. Serious adverse events were rare and could not be attributed to the intervention. Conclusion: Patients with osteoporosis/osteopenia can safely participate in structured exercise programmes, whether at home or in supervised facilities. Systematic review registration for observational studies: PROSPERO 2017: CRD42017070551.","author":[{"dropping-particle":"","family":"Kunutsor","given":"Setor K.","non-dropping-particle":"","parse-names":false,"suffix":""},{"dropping-particle":"","family":"Leyland","given":"Sarah","non-dropping-particle":"","parse-names":false,"suffix":""},{"dropping-particle":"","family":"Skelton","given":"Dawn A.","non-dropping-particle":"","parse-names":false,"suffix":""},{"dropping-particle":"","family":"James","given":"Laura","non-dropping-particle":"","parse-names":false,"suffix":""},{"dropping-particle":"","family":"Cox","given":"Matthew","non-dropping-particle":"","parse-names":false,"suffix":""},{"dropping-particle":"","family":"Gibbons","given":"Nicola","non-dropping-particle":"","parse-names":false,"suffix":""},{"dropping-particle":"","family":"Whitney","given":"Julie","non-dropping-particle":"","parse-names":false,"suffix":""},{"dropping-particle":"","family":"Clark","given":"Emma M.","non-dropping-particle":"","parse-names":false,"suffix":""}],"container-title":"Journal of Frailty, Sarcopenia and Falls","id":"ITEM-1","issue":"04","issued":{"date-parts":[["2018"]]},"page":"155-178","title":"Adverse events and safety issues associated with physical activity and exercise for adults with osteoporosis and osteopenia: A systematic review of observational studies and an updated review of interventional studies","type":"article-journal","volume":"03"},"uris":["http://www.mendeley.com/documents/?uuid=5b9b278a-9f28-453d-9ff0-9d64214ed583"]}],"mendeley":{"formattedCitation":"&lt;sup&gt;56&lt;/sup&gt;","plainTextFormattedCitation":"56","previouslyFormattedCitation":"&lt;sup&gt;56&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56</w:t>
      </w:r>
      <w:r w:rsidRPr="00875798">
        <w:rPr>
          <w:rFonts w:ascii="Helvetica" w:hAnsi="Helvetica" w:cs="Helvetica"/>
        </w:rPr>
        <w:fldChar w:fldCharType="end"/>
      </w:r>
      <w:r w:rsidRPr="00875798">
        <w:rPr>
          <w:rFonts w:ascii="Helvetica" w:hAnsi="Helvetica" w:cs="Helvetica"/>
        </w:rPr>
        <w:t xml:space="preserve">. In one trial that reported incident fracture, none were sustained during the exercise intervention and there were an equal number of vertebral fractures in the exercise and control group. Whilst the number of non-vertebral fractures was greater in the control group, this difference was not statistically significant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{"citationItems":[{"id":"ITEM-1","itemData":{"DOI":"10.1007/s00198-016-3560-4","ISSN":"14332965","PMID":"26984569","abstract":"Summary We performed a randomized clinical trial to evaluate the effect of a 12-month physical exercise program on quality of life, balance, and functional mobility in postmenopausal women with osteoporotic vertebral fractures. All three outcomes improved in the intervention group and were better than in the controls. Introduction Th aim of this study was to evaluate the effectiveness of a structured physical exercise intervention on quality of life, functional mobility, and balance in patients with osteoporotic vertebral fractures and back pain. Methods Seventy-eight postmenopausal women with vertebral fractures were randomized into an exercise group (n = 40) and a control group (n = 38). The mean age was 69.2± 7.7 years. All women had at least one osteoporotic vertebral fracture and suffered from chronic back pain. Patients with a history of vertebral and non-vertebral fracture within the past 6 months were excluded. The 40-min exercise program was conducted twice weekly for 1 year. Participants in the control group were instructed to continue their usual daily activities. Participants were assessed at baseline and at 12 months using the Quality of Life Questionnaire (QUALEFFO-41). Balance was measured with the Balance Master® System NeuroCom® and functional mobility was measured with the “timed up and go” test and “sit-to-stand” test. Results Total QUALEFFO-41 score after 12 months was significantly better in the exercise group (44.2 ± 7.5) compared to the control group (56.6 ± 9.4), p &lt; 0.0001. Quality of life improved in domains: “Pain”, “Physical function: Jobs around the house”, “Physical function: Mobility”, “Social function”, “General health perception” in the exercise group as compared to the control group. After 12 months, balance as assessed by “Tandem Walk and Sway” became significantly better in the exercise group as compared to the control group (p=0.02). A significant improvement in the “timed up and go” test (p=0.02) and the “sit-to-stand” test (p= 0.01) was shown in the exercise group compared to the control group. Conclusions This is the first 12 month-randomized clinical trial of exercise in osteoporotic women with a vertebral fracture that demonstrates improvement of three key outcome measures: quality of life, functional mobility, and balance.","author":[{"dropping-particle":"","family":"Evstigneeva","given":"L.","non-dropping-particle":"","parse-names":false,"suffix":""},{"dropping-particle":"","family":"Lesnyak","given":"O.","non-dropping-particle":"","parse-names":false,"suffix":""},{"dropping-particle":"","family":"Bultink","given":"I. E.M.","non-dropping-particle":"","parse-names":false,"suffix":""},{"dropping-particle":"","family":"Lems","given":"W. F.","non-dropping-particle":"","parse-names":false,"suffix":""},{"dropping-particle":"","family":"Kozhemyakina","given":"E.","non-dropping-particle":"","parse-names":false,"suffix":""},{"dropping-particle":"","family":"Negodaeva","given":"E.","non-dropping-particle":"","parse-names":false,"suffix":""},{"dropping-particle":"","family":"Guselnikova","given":"G.","non-dropping-particle":"","parse-names":false,"suffix":""},{"dropping-particle":"","family":"Belkin","given":"A.","non-dropping-particle":"","parse-names":false,"suffix":""}],"container-title":"Osteoporosis International","id":"ITEM-1","issue":"8","issued":{"date-parts":[["2016"]]},"page":"2515-2524","publisher":"Osteoporosis International","title":"Effect of twelve-month physical exercise program on patients with osteoporotic vertebral fractures: A randomized, controlled trial","type":"article-journal","volume":"27"},"uris":["http://www.mendeley.com/documents/?uuid=8eb1dc01-6846-47ed-8557-637b3114bedd"]}],"mendeley":{"formattedCitation":"&lt;sup&gt;134&lt;/sup&gt;","plainTextFormattedCitation":"134","previouslyFormattedCitation":"&lt;sup&gt;134&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134</w:t>
      </w:r>
      <w:r w:rsidRPr="00875798">
        <w:rPr>
          <w:rFonts w:ascii="Helvetica" w:hAnsi="Helvetica" w:cs="Helvetica"/>
        </w:rPr>
        <w:fldChar w:fldCharType="end"/>
      </w:r>
      <w:r w:rsidRPr="00875798">
        <w:rPr>
          <w:rFonts w:ascii="Helvetica" w:hAnsi="Helvetica" w:cs="Helvetica"/>
        </w:rPr>
        <w:t xml:space="preserve">. The PROVE trial of over 600 participants reported no directly associated adverse events with exercise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International","id":"ITEM-1","issue":"2","issued":{"date-parts":[["2020"]]},"page":"277-289","title":"Physiotherapy rehabilitation for osteoporotic vertebral fracture—a randomised controlled trial and economic evaluation (PROVE trial)","type":"article-journal","volume":"31"},"uris":["http://www.mendeley.com/documents/?uuid=dd24fd34-9c79-4804-ab30-9dd69685ec17"]}],"mendeley":{"formattedCitation":"&lt;sup&gt;132&lt;/sup&gt;","plainTextFormattedCitation":"132","previouslyFormattedCitation":"&lt;sup&gt;132&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w:t>
      </w:r>
      <w:r w:rsidRPr="00875798">
        <w:rPr>
          <w:rFonts w:ascii="Helvetica" w:hAnsi="Helvetica" w:cs="Helvetica"/>
        </w:rPr>
        <w:fldChar w:fldCharType="end"/>
      </w:r>
      <w:r w:rsidRPr="00875798">
        <w:rPr>
          <w:rFonts w:ascii="Helvetica" w:hAnsi="Helvetica" w:cs="Helvetica"/>
        </w:rPr>
        <w:t xml:space="preserve">. It should be highlighted that these interventions were usually led by trained physiotherapists although some included home exercises after checking of correct form. </w:t>
      </w:r>
    </w:p>
    <w:p w14:paraId="26BB1C14"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A consistent finding in the reported trials has been of poor adherence to the exercise interventions and it is recommended that any exercise programme needs to include strategies to enhance long-term adherence </w:t>
      </w:r>
      <w:r w:rsidRPr="00875798">
        <w:rPr>
          <w:rFonts w:ascii="Helvetica" w:hAnsi="Helvetica" w:cs="Helvetica"/>
        </w:rPr>
        <w:fldChar w:fldCharType="begin" w:fldLock="1"/>
      </w:r>
      <w:r w:rsidRPr="00875798">
        <w:rPr>
          <w:rFonts w:ascii="Helvetica" w:hAnsi="Helvetica" w:cs="Helvetica"/>
        </w:rPr>
        <w:instrText>ADDIN CSL_CITATION {"citationItems":[{"id":"ITEM-1","itemData":{"DOI":"10.1007/s00198-019-05133-0","ISSN":"14332965","PMID":"31720722","abstract":"Summary: The trial compared three physiotherapy approaches: manual or exercise therapy compared with a single session of physiotherapy education (SSPT) for people with osteoporotic vertebral fracture(s). At 1 year, there were no statistically significant differences between the groups meaning there is inadequate evidence to support manual or exercise therapy. Introduction: To evaluate the clinical and cost-effectiveness of different physiotherapy approaches for people with osteoporotic vertebral fracture(s) (OVF). Methods: &gt;Prospective, multicentre, adaptive, three-arm randomised controlled trial. Six hundred fifteen adults with back pain, osteoporosis, and at least 1 OVF participated. Interventions: 7 individual physiotherapy sessions over 12 weeks focused on either manual therapy or home exercise compared with a single session of physiotherapy education (SSPT). The co-primary outcomes were quality of life and back muscle endurance measured by the QUALEFFO-41 and timed loaded standing (TLS) test at 12 months. Results: At 12 months, there were no statistically significant differences between groups. Mean QUALEFFO-41: − 1.3 (exercise), − 0.15 (manual), and − 1.2 (SSPT), a mean difference of − 0.2 (95% CI, − 3.2 to 1.6) for exercise and 1.3 (95% CI, − 1.8 to 2.9) for manual therapy. Mean TLS: 9.8 s (exercise), 13.6 s (manual), and 4.2 s (SSPT), a mean increase of 5.8 s (95% CI, − 4.8 to 20.5) for exercise and 9.7 s (95% CI, 0.1 to 24.9) for manual therapy. Exercise provided more quality-adjusted life years than SSPT but was more expensive. At 4 months, significant changes above SSPT occurred in endurance and balance in manual therapy, and in endurance for those ≤ 70 years, in balance, mobility, and walking in exercise. Conclusions: Adherence was problematic. Benefits at 4 months did not persist and at 12 months, we found no significant differences between treatments. There is inadequate evidence a short physiotherapy intervention of either manual therapy or home exercise provides long-term benefits, but arguably short-term benefits are valuable. Trial registration: ISRCTN 49117867.","author":[{"dropping-particle":"","family":"Barker","given":"K. L.","non-dropping-particle":"","parse-names":false,"suffix":""},{"dropping-particle":"","family":"Newman","given":"M.","non-dropping-particle":"","parse-names":false,"suffix":""},{"dropping-particle":"","family":"Stallard","given":"N.","non-dropping-particle":"","parse-names":false,"suffix":""},{"dropping-particle":"","family":"Leal","given":"J.","non-dropping-particle":"","parse-names":false,"suffix":""},{"dropping-particle":"","family":"Lowe","given":"C. M.","non-dropping-particle":"","parse-names":false,"suffix":""},{"dropping-particle":"","family":"Javaid","given":"M. K.","non-dropping-particle":"","parse-names":false,"suffix":""},{"dropping-particle":"","family":"Noufaily","given":"A.","non-dropping-particle":"","parse-names":false,"suffix":""},{"dropping-particle":"","family":"Hughes","given":"T.","non-dropping-particle":"","parse-names":false,"suffix":""},{"dropping-particle":"","family":"Smith","given":"D.","non-dropping-particle":"","parse-names":false,"suffix":""},{"dropping-particle":"","family":"Gandhi","given":"V.","non-dropping-particle":"","parse-names":false,"suffix":""},{"dropping-particle":"","family":"Cooper","given":"C.","non-dropping-particle":"","parse-names":false,"suffix":""},{"dropping-particle":"","family":"Lamb","given":"S. E.","non-dropping-particle":"","parse-names":false,"suffix":""}],"container-title":"Osteoporosis International","id":"ITEM-1","issue":"2","issued":{"date-parts":[["2020"]]},"page":"277-289","title":"Physiotherapy rehabilitation for osteoporotic vertebral fracture—a randomised controlled trial and economic evaluation (PROVE trial)","type":"article-journal","volume":"31"},"uris":["http://www.mendeley.com/documents/?uuid=dd24fd34-9c79-4804-ab30-9dd69685ec17"]},{"id":"ITEM-2","itemData":{"DOI":"10.1093/ptj/pzz188","ISSN":"15386724","PMID":"31899499","abstract":"Regular exercise is advocated in osteoporosis guidelines to prevent fractures. Few studies have evaluated the effect of exercise on functional performance, posture, and other outcomes that are important to patients after vertebral fractures. Objective: This pilot study will explore the effect of home exercise versus control on functional performance, posture, and patient-reported outcome measures. Design: This study was a parallel 2-arm pilot feasibility trial with 1:1 randomization to exercise or attentional control groups. Setting: This study took place in 5 Canadian and 2 Australian academic or community hospitals/centers. Participants: This study included 141 women ≥65 years of age with radiographically confirmed vertebral fractures. Intervention: A physical therapist delivered exercise and behavioral counseling in 6 home visits over 8 months and monthly calls. Participants were to exercise ≥3 times weekly. Controls received equal attention. Measurements: Functional performance, posture, quality of life, pain, and behavior-change outcomes were assessed at baseline and after 6 (questionnaires only) and 12 months. Adherence to exercise was assessed by calendar diary. All t tests examined between-group mean differences (MD) in change from baseline in intention-to-treat and per-protocol analyses. Results: There was a small effect of exercise on 5 times sit-to-stand test versus control (MD = -1.58 [95% CI = -3.09 to -0.07], intention-to-treat; MD = -1.49 [95% CI = -3.12 to 0.16], per-protocol). There were no other major or statistically significant MDs for any other measured outcomes after follow-up. Adherence declined over time. Limitations: Treatment effects on variables may have been underestimated due to multiple comparisons and underpowered analyses. Conclusions: Our exploratory estimate of the effect of exercise on functional leg muscle strength was consistent in direction and magnitude with other trials in individuals with vertebral fractures. Declining adherence to home exercise suggests that strategies to enhance long-term adherence might be important in future confirmatory trials.","author":[{"dropping-particle":"","family":"Gibbs","given":"Jenna C.","non-dropping-particle":"","parse-names":false,"suffix":""},{"dropping-particle":"","family":"McArthur","given":"Caitlin","non-dropping-particle":"","parse-names":false,"suffix":""},{"dropping-particle":"","family":"Wark","given":"John D.","non-dropping-particle":"","parse-names":false,"suffix":""},{"dropping-particle":"","family":"Thabane","given":"Lehana","non-dropping-particle":"","parse-names":false,"suffix":""},{"dropping-particle":"","family":"Scherer","given":"Samuel C.","non-dropping-particle":"","parse-names":false,"suffix":""},{"dropping-particle":"","family":"Prasad","given":"Sadhana","non-dropping-particle":"","parse-names":false,"suffix":""},{"dropping-particle":"","family":"Papaioannou","given":"Alexandra","non-dropping-particle":"","parse-names":false,"suffix":""},{"dropping-particle":"","family":"Mittmann","given":"Nicole","non-dropping-particle":"","parse-names":false,"suffix":""},{"dropping-particle":"","family":"Laprade","given":"Judi","non-dropping-particle":"","parse-names":false,"suffix":""},{"dropping-particle":"","family":"Kim","given":"Sandra","non-dropping-particle":"","parse-names":false,"suffix":""},{"dropping-particle":"","family":"Khan","given":"Aliya","non-dropping-particle":"","parse-names":false,"suffix":""},{"dropping-particle":"","family":"Kendler","given":"David L.","non-dropping-particle":"","parse-names":false,"suffix":""},{"dropping-particle":"","family":"Hill","given":"Keith D.","non-dropping-particle":"","parse-names":false,"suffix":""},{"dropping-particle":"","family":"Cheung","given":"Angela M.","non-dropping-particle":"","parse-names":false,"suffix":""},{"dropping-particle":"","family":"Bleakney","given":"Robert","non-dropping-particle":"","parse-names":false,"suffix":""},{"dropping-particle":"","family":"Ashe","given":"Maureen C.","non-dropping-particle":"","parse-names":false,"suffix":""},{"dropping-particle":"","family":"Adachi","given":"Jonathan D.","non-dropping-particle":"","parse-names":false,"suffix":""},{"dropping-particle":"","family":"Giangregorio","given":"Lora M.","non-dropping-particle":"","parse-names":false,"suffix":""}],"container-title":"Physical Therapy","id":"ITEM-2","issue":"4","issued":{"date-parts":[["2020"]]},"page":"662-676","title":"The Effects of Home Exercise in Older Women with Vertebral Fractures: A Pilot Randomized Controlled Trial","type":"article-journal","volume":"100"},"uris":["http://www.mendeley.com/documents/?uuid=0d1b7b0b-59a4-4279-8898-0b5e29a7b3af"]}],"mendeley":{"formattedCitation":"&lt;sup&gt;132,135&lt;/sup&gt;","plainTextFormattedCitation":"132,135","previouslyFormattedCitation":"&lt;sup&gt;132,135&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132,135</w:t>
      </w:r>
      <w:r w:rsidRPr="00875798">
        <w:rPr>
          <w:rFonts w:ascii="Helvetica" w:hAnsi="Helvetica" w:cs="Helvetica"/>
        </w:rPr>
        <w:fldChar w:fldCharType="end"/>
      </w:r>
    </w:p>
    <w:p w14:paraId="7330E808" w14:textId="77777777" w:rsidR="000F5BC4" w:rsidRPr="00875798" w:rsidRDefault="000F5BC4" w:rsidP="000F5BC4">
      <w:pPr>
        <w:rPr>
          <w:rFonts w:ascii="Helvetica" w:hAnsi="Helvetica" w:cs="Helvetica"/>
          <w:b/>
          <w:bCs/>
        </w:rPr>
      </w:pPr>
      <w:r w:rsidRPr="00875798">
        <w:rPr>
          <w:rFonts w:ascii="Helvetica" w:hAnsi="Helvetica" w:cs="Helvetica"/>
          <w:b/>
          <w:bCs/>
        </w:rPr>
        <w:br w:type="page"/>
      </w:r>
    </w:p>
    <w:p w14:paraId="364260A9" w14:textId="77777777" w:rsidR="000F5BC4" w:rsidRPr="00875798" w:rsidRDefault="000F5BC4" w:rsidP="000F5BC4">
      <w:pPr>
        <w:pStyle w:val="Heading2"/>
        <w:rPr>
          <w:rFonts w:ascii="Helvetica" w:hAnsi="Helvetica" w:cs="Helvetica"/>
          <w:b/>
          <w:bCs/>
          <w:color w:val="auto"/>
        </w:rPr>
      </w:pPr>
      <w:bookmarkStart w:id="41" w:name="_Toc90635532"/>
      <w:bookmarkStart w:id="42" w:name="_Toc96616285"/>
      <w:r w:rsidRPr="00875798">
        <w:rPr>
          <w:rFonts w:ascii="Helvetica" w:hAnsi="Helvetica" w:cs="Helvetica"/>
          <w:b/>
          <w:bCs/>
          <w:color w:val="auto"/>
        </w:rPr>
        <w:t>Appendix VI: Implementation in a UK context</w:t>
      </w:r>
      <w:bookmarkEnd w:id="41"/>
      <w:bookmarkEnd w:id="42"/>
    </w:p>
    <w:p w14:paraId="2B8300A6" w14:textId="77777777" w:rsidR="000F5BC4" w:rsidRPr="00875798" w:rsidRDefault="000F5BC4" w:rsidP="000F5BC4">
      <w:pPr>
        <w:keepNext/>
        <w:keepLines/>
        <w:spacing w:before="240" w:after="0"/>
        <w:outlineLvl w:val="2"/>
        <w:rPr>
          <w:rFonts w:ascii="Helvetica" w:hAnsi="Helvetica" w:cs="Helvetica"/>
          <w:b/>
          <w:bCs/>
        </w:rPr>
      </w:pPr>
      <w:bookmarkStart w:id="43" w:name="_Toc96616286"/>
      <w:r w:rsidRPr="00875798">
        <w:rPr>
          <w:rFonts w:ascii="Helvetica" w:hAnsi="Helvetica" w:cs="Helvetica"/>
          <w:b/>
          <w:bCs/>
        </w:rPr>
        <w:t>Implementation</w:t>
      </w:r>
      <w:bookmarkEnd w:id="43"/>
    </w:p>
    <w:p w14:paraId="5BBC9E32"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This consensus statement provides clear consistent advice, which has previously been missing, for people living with osteoporosis and health professionals working with them about the evidence for, and safety of, exercise. To ensure effective implementation of the strong, steady, and straight exercise approaches, there are factors that act as both facilitators and barriers to implementation that need consideration. These include appropriate and timely identification and management of people living with osteoporosis by primary and secondary care providers; provision of exercise interventions that conform to evidence-based requirements and the complexity of providing multiple exercise programmes for different long-term conditions in the context of limited resources; and uptake and adherence to exercise interventions (short-term and long-term). Osteoporosis exercise programmes, like other falls and other exercise programmes for older people and those with long term conditions, need to be more than a prescribed set of exercises. They need to consider education and physical literacy, support and goal setting, motivation strategies, behaviour change techniques and take into consideration their needs and preferences </w:t>
      </w:r>
      <w:r w:rsidRPr="00875798">
        <w:rPr>
          <w:rFonts w:ascii="Helvetica" w:hAnsi="Helvetica" w:cs="Helvetica"/>
        </w:rPr>
        <w:fldChar w:fldCharType="begin" w:fldLock="1"/>
      </w:r>
      <w:r w:rsidRPr="00875798">
        <w:rPr>
          <w:rFonts w:ascii="Helvetica" w:hAnsi="Helvetica" w:cs="Helvetica"/>
        </w:rPr>
        <w:instrText>ADDIN CSL_CITATION {"citationItems":[{"id":"ITEM-1","itemData":{"DOI":"10.22540/jfsf-03-105","ISSN":"2459-4148","abstract":"Objectives: This review sought to investigate the question: what are the key barriers to, and enablers for, older adults undertaking muscle strengthening and balance activities, and how can these be addressed by individuals and practitioners? Methods: A search of PubMed for review-level evidence on professional and personal barriers and motivators for strength and balance activities among older people. Results: The search and expert consultation found 46 studies; after screening, twelve papers were included. Many of the barriers and motivators to strength and balance activities are familiar ones that can also apply to physical activity more generally, such as not having the time. More specific barriers to strength and balance activities for older people were perceived risk of a heart attack, stroke, or death, and fear of looking too muscular; with motivators being improved ability to complete daily activities, preventing deterioration and disability, and decreasing the risk or fear of falling. Conclusions: This review of reviews has found a small but consistent body of literature describing the motivators and barriers to older adults taking part in strength and balance activities. This may be used as the basis for planning and delivering physical activity programmes for older adults.","author":[{"dropping-particle":"","family":"Cavill","given":"Nick A.","non-dropping-particle":"","parse-names":false,"suffix":""},{"dropping-particle":"","family":"Foster","given":"Charlie E.M.","non-dropping-particle":"","parse-names":false,"suffix":""}],"container-title":"Journal of Frailty, Sarcopenia and Falls","id":"ITEM-1","issue":"02","issued":{"date-parts":[["2018"]]},"page":"105-113","title":"Enablers and barriers to older people’s participation in strength and balance activities: A review of reviews","type":"article-journal","volume":"03"},"uris":["http://www.mendeley.com/documents/?uuid=d59e37ae-949b-4713-8222-93ff811aea9c"]},{"id":"ITEM-2","itemData":{"DOI":"10.1123/japa.2018-0343","ISSN":"1543267X","PMID":"31141447","abstract":"Identifying the difference in the barriers and motivators between middle-aged and older adults could contribute toward the development of age-specific health promotion interventions. The aim of this review was to synthesize the literature on the barriers and motivators for physical activity in middle-aged (50–64 years) and older (65–70 years) adults. This review examined qualitative and quantitative studies using the theoretical domain framework as the guiding theory. The search generated 9,400 results from seven databases, and 55 articles meeting the inclusion criteria were included. The results indicate that the barriers are comparable across the two age groups, with environmental factors and resources being the most commonly identified barriers. In older adults, social influences, reinforcement, and assistance in managing change were the most identified motivators. In middle-aged adults, goal-setting, the belief that an activity will be beneficial, and social influences were identified as the most important motivators. These findings can be used by professionals to encourage engagement with and adherence to physical activity.","author":[{"dropping-particle":"","family":"Spiteri","given":"Karl","non-dropping-particle":"","parse-names":false,"suffix":""},{"dropping-particle":"","family":"Broom","given":"David","non-dropping-particle":"","parse-names":false,"suffix":""},{"dropping-particle":"","family":"Bekhet","given":"Amira Hassan","non-dropping-particle":"","parse-names":false,"suffix":""},{"dropping-particle":"","family":"Caro","given":"John Xerri","non-dropping-particle":"De","parse-names":false,"suffix":""},{"dropping-particle":"","family":"Laventure","given":"Bob","non-dropping-particle":"","parse-names":false,"suffix":""},{"dropping-particle":"","family":"Grafton","given":"Kate","non-dropping-particle":"","parse-names":false,"suffix":""}],"container-title":"Journal of Aging and Physical Activity","id":"ITEM-2","issue":"6","issued":{"date-parts":[["2019"]]},"page":"929-944","title":"Barriers and motivators of physical activity participation in middle-aged and older adults—a systematic review","type":"article-journal","volume":"27"},"uris":["http://www.mendeley.com/documents/?uuid=64f9181c-d317-4e41-a485-242c363d9b9b"]}],"mendeley":{"formattedCitation":"&lt;sup&gt;87,88&lt;/sup&gt;","plainTextFormattedCitation":"87,88","previouslyFormattedCitation":"&lt;sup&gt;96,97&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87,88</w:t>
      </w:r>
      <w:r w:rsidRPr="00875798">
        <w:rPr>
          <w:rFonts w:ascii="Helvetica" w:hAnsi="Helvetica" w:cs="Helvetica"/>
        </w:rPr>
        <w:fldChar w:fldCharType="end"/>
      </w:r>
      <w:r w:rsidRPr="00875798">
        <w:rPr>
          <w:rFonts w:ascii="Helvetica" w:hAnsi="Helvetica" w:cs="Helvetica"/>
        </w:rPr>
        <w:t xml:space="preserve">. </w:t>
      </w:r>
    </w:p>
    <w:p w14:paraId="6E0DBF59" w14:textId="77777777" w:rsidR="000F5BC4" w:rsidRPr="00875798" w:rsidRDefault="000F5BC4" w:rsidP="000F5BC4">
      <w:pPr>
        <w:spacing w:before="240" w:after="0" w:line="240" w:lineRule="auto"/>
        <w:jc w:val="both"/>
      </w:pPr>
      <w:r w:rsidRPr="00875798">
        <w:t xml:space="preserve">As barriers, these factors lead to disparity and variation of services across the UK, and, therefore, inequity of access. For example, osteoporosis management in primary care is not always a key priority.  Whilst osteoporosis indicators are included in the quality and outcomes framework this is to record information about management of patients who have sustained a fragility fracture; primary prevention is not included. Whilst primary care clinicians may offer lifestyle advice including advice on exercise and increasing physical activity, as part of their approach to treating osteoporosis </w:t>
      </w:r>
      <w:r w:rsidRPr="00875798">
        <w:fldChar w:fldCharType="begin" w:fldLock="1"/>
      </w:r>
      <w:r w:rsidRPr="00875798">
        <w:instrText>ADDIN CSL_CITATION {"citationItems":[{"id":"ITEM-1","itemData":{"abstract":"The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application of the recommendations in this guideline are not mandatory and the guideline does not override the responsibility of healthcare professionals to make decisions appropriate to the circumstances of the individual patient, in consultation with the patient and/or their carer or guardian. Local commissioners and/or providers have a responsibility to enable the guideline to be applied when individual health professionals and their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 Osteoporosis: assessing the risk of fragility fracture (CG146)","author":[{"dropping-particle":"","family":"NICE","given":"","non-dropping-particle":"","parse-names":false,"suffix":""}],"container-title":"NICE Guideline","id":"ITEM-1","issue":"August","issued":{"date-parts":[["2012"]]},"title":"Osteoporosis: assessing the risk of fragility fracture (CG146)","type":"article-journal"},"uris":["http://www.mendeley.com/documents/?uuid=3717cdc3-845c-4d70-998e-f69426c78756"]}],"mendeley":{"formattedCitation":"&lt;sup&gt;89&lt;/sup&gt;","plainTextFormattedCitation":"89","previouslyFormattedCitation":"&lt;sup&gt;98&lt;/sup&gt;"},"properties":{"noteIndex":0},"schema":"https://github.com/citation-style-language/schema/raw/master/csl-citation.json"}</w:instrText>
      </w:r>
      <w:r w:rsidRPr="00875798">
        <w:fldChar w:fldCharType="separate"/>
      </w:r>
      <w:r w:rsidRPr="00875798">
        <w:rPr>
          <w:noProof/>
          <w:vertAlign w:val="superscript"/>
        </w:rPr>
        <w:t>89</w:t>
      </w:r>
      <w:r w:rsidRPr="00875798">
        <w:fldChar w:fldCharType="end"/>
      </w:r>
      <w:r w:rsidRPr="00875798">
        <w:t xml:space="preserve">, they may not refer onto bone strengthening exercise programmes; although it is likely referrals will be made for the sub group of people with osteoporosis who are at risk of falls. Nevertheless, the link between strong, steady, and straight exercise approaches in this consensus statement provides an opportunity for improvement through integrated falls prevention and bone health exercise pathways. For example, as osteoporosis is a musculoskeletal condition there is opportunity for first contact practitioners (FCPS) funded through the primary care direct enhanced service additional role reimbursement scheme (ARRS) </w:t>
      </w:r>
      <w:r w:rsidRPr="00875798">
        <w:fldChar w:fldCharType="begin" w:fldLock="1"/>
      </w:r>
      <w:r w:rsidRPr="00875798">
        <w:instrText>ADDIN CSL_CITATION {"citationItems":[{"id":"ITEM-1","itemData":{"author":[{"dropping-particle":"","family":"NHS England","given":"","non-dropping-particle":"","parse-names":false,"suffix":""},{"dropping-particle":"","family":"NHS Improvement","given":"","non-dropping-particle":"","parse-names":false,"suffix":""}],"id":"ITEM-1","issue":"December","issued":{"date-parts":[["2019"]]},"title":"Network Contract Directed Enhanced Service: Guidance for 2019/20 in England","type":"article-journal"},"uris":["http://www.mendeley.com/documents/?uuid=c397d9bc-9574-4ca1-b067-08ab346e3df5"]}],"mendeley":{"formattedCitation":"&lt;sup&gt;90&lt;/sup&gt;","plainTextFormattedCitation":"90","previouslyFormattedCitation":"&lt;sup&gt;99&lt;/sup&gt;"},"properties":{"noteIndex":0},"schema":"https://github.com/citation-style-language/schema/raw/master/csl-citation.json"}</w:instrText>
      </w:r>
      <w:r w:rsidRPr="00875798">
        <w:fldChar w:fldCharType="separate"/>
      </w:r>
      <w:r w:rsidRPr="00875798">
        <w:rPr>
          <w:noProof/>
          <w:vertAlign w:val="superscript"/>
        </w:rPr>
        <w:t>90</w:t>
      </w:r>
      <w:r w:rsidRPr="00875798">
        <w:fldChar w:fldCharType="end"/>
      </w:r>
      <w:r w:rsidRPr="00875798">
        <w:t xml:space="preserve"> to lead on screening, assessment and management of osteoporosis, osteopenia and falls in primary care as part of an integrated care pathway. Systemic issues related to how exercise for osteoporosis is delivered could be addressed through FCP influence and leadership, with physiotherapists in such roles leading in the development and delivery of exercise programmes. This guidance will enable FCPs to replicate effective programmes in clinical practice.</w:t>
      </w:r>
    </w:p>
    <w:p w14:paraId="2072BBB6"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The most recent UK Fracture Liaison Service database (FLS-DB) annual report </w:t>
      </w:r>
      <w:r w:rsidRPr="00875798">
        <w:rPr>
          <w:rFonts w:ascii="Helvetica" w:hAnsi="Helvetica" w:cs="Helvetica"/>
        </w:rPr>
        <w:fldChar w:fldCharType="begin" w:fldLock="1"/>
      </w:r>
      <w:r w:rsidRPr="00875798">
        <w:rPr>
          <w:rFonts w:ascii="Helvetica" w:hAnsi="Helvetica" w:cs="Helvetica"/>
        </w:rPr>
        <w:instrText>ADDIN CSL_CITATION {"citationItems":[{"id":"ITEM-1","itemData":{"author":[{"dropping-particle":"","family":"Royal College of Physicians","given":"","non-dropping-particle":"","parse-names":false,"suffix":""}],"container-title":"Fracture Liaison Service Database Annual report. Beyond measurement: a focus on quality improvement.","id":"ITEM-1","issued":{"date-parts":[["2020"]]},"publisher-place":"London","title":"Fracture Liaison Service Database Annual report. Beyond measurement: a focus on quality improvement.","type":"report"},"uris":["http://www.mendeley.com/documents/?uuid=378b16ba-15fc-4cac-b43a-4f7ec74d34ad"]}],"mendeley":{"formattedCitation":"&lt;sup&gt;91&lt;/sup&gt;","plainTextFormattedCitation":"91","previouslyFormattedCitation":"&lt;sup&gt;100&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91</w:t>
      </w:r>
      <w:r w:rsidRPr="00875798">
        <w:rPr>
          <w:rFonts w:ascii="Helvetica" w:hAnsi="Helvetica" w:cs="Helvetica"/>
        </w:rPr>
        <w:fldChar w:fldCharType="end"/>
      </w:r>
      <w:r w:rsidRPr="00875798">
        <w:rPr>
          <w:rFonts w:ascii="Helvetica" w:hAnsi="Helvetica" w:cs="Helvetica"/>
        </w:rPr>
        <w:t xml:space="preserve"> showed only five percent of non-hip fracture patients over 75 from participating services had started strength and balance training within 16 weeks of their fracture in 2018; and this was no improvement on the proportion referred in 2017 (also 5%).  This is an improvement area for the FLS-DB beyond 2021 and with an increasing number of FLS-DB services being established/commissioned this should further improve screening and identification of those likely to benefit from exercise for osteoporosis; and support more education and lifestyle change, over and above what is currently being realised, particularly regarding bone strengthening exercise.</w:t>
      </w:r>
    </w:p>
    <w:p w14:paraId="6C97EAB0" w14:textId="77777777" w:rsidR="000F5BC4" w:rsidRPr="00875798" w:rsidRDefault="000F5BC4" w:rsidP="000F5BC4">
      <w:pPr>
        <w:spacing w:before="120" w:after="0" w:line="240" w:lineRule="auto"/>
        <w:rPr>
          <w:rFonts w:ascii="Helvetica" w:hAnsi="Helvetica" w:cs="Helvetica"/>
          <w:lang w:val="en-US"/>
        </w:rPr>
      </w:pPr>
      <w:r w:rsidRPr="00875798">
        <w:rPr>
          <w:rFonts w:ascii="Helvetica" w:hAnsi="Helvetica" w:cs="Helvetica"/>
          <w:lang w:val="en-US"/>
        </w:rPr>
        <w:t xml:space="preserve">The impact of COVID on exercise services and the influx of prevention and rehabilitation needs post-COVID has the potential to jeopardise the offer of exercise for conditions such as osteoporosis. Competition for resources may result in exercise interventions being deprioritised. Effective partnership working, perhaps incorporating direct messaging to people with osteoporosis, is particularly pertinent if we are to respond to the impact of COVID restrictions including interrupted or delayed access to osteoporosis services and/or reduced physical activity levels </w:t>
      </w:r>
    </w:p>
    <w:p w14:paraId="1B135D46"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 xml:space="preserve">For effective implementation of the strong, steady, and straight exercise approaches there is a need to build in infrastructure for measuring and monitoring for quality assurance and improvement - to ensure ongoing fidelity to original effective components (right populations targeted by right professionals, dose, frequency, intensity, challenge, resistance etc.); to demonstrate impact, and to justify investment in osteoporosis programmes. One possible solution to the barriers described might be a system wide infrastructure to support exercise referral, similar to the National Exercise Referral Scheme (NERS) in Wales </w:t>
      </w:r>
      <w:r w:rsidRPr="00875798">
        <w:rPr>
          <w:rFonts w:ascii="Helvetica" w:hAnsi="Helvetica" w:cs="Helvetica"/>
        </w:rPr>
        <w:fldChar w:fldCharType="begin" w:fldLock="1"/>
      </w:r>
      <w:r w:rsidRPr="00875798">
        <w:rPr>
          <w:rFonts w:ascii="Helvetica" w:hAnsi="Helvetica" w:cs="Helvetica"/>
        </w:rPr>
        <w:instrText>ADDIN CSL_CITATION {"citationItems":[{"id":"ITEM-1","itemData":{"URL":"www.wlga.wales/national-exercise-referral-scheme-ners","accessed":{"date-parts":[["2021","3","1"]]},"author":[{"dropping-particle":"","family":"The Welsh Local Government Association (WLGA).","given":"","non-dropping-particle":"","parse-names":false,"suffix":""}],"id":"ITEM-1","issued":{"date-parts":[["2015"]]},"title":"National Exercise Referral Scheme (NERS).","type":"webpage"},"uris":["http://www.mendeley.com/documents/?uuid=dce61f18-3525-4268-bf31-2abd87eb0947"]}],"mendeley":{"formattedCitation":"&lt;sup&gt;92&lt;/sup&gt;","plainTextFormattedCitation":"92","previouslyFormattedCitation":"&lt;sup&gt;101&lt;/sup&gt;"},"properties":{"noteIndex":0},"schema":"https://github.com/citation-style-language/schema/raw/master/csl-citation.json"}</w:instrText>
      </w:r>
      <w:r w:rsidRPr="00875798">
        <w:rPr>
          <w:rFonts w:ascii="Helvetica" w:hAnsi="Helvetica" w:cs="Helvetica"/>
        </w:rPr>
        <w:fldChar w:fldCharType="separate"/>
      </w:r>
      <w:r w:rsidRPr="00875798">
        <w:rPr>
          <w:rFonts w:ascii="Helvetica" w:hAnsi="Helvetica" w:cs="Helvetica"/>
          <w:noProof/>
          <w:vertAlign w:val="superscript"/>
        </w:rPr>
        <w:t>92</w:t>
      </w:r>
      <w:r w:rsidRPr="00875798">
        <w:rPr>
          <w:rFonts w:ascii="Helvetica" w:hAnsi="Helvetica" w:cs="Helvetica"/>
        </w:rPr>
        <w:fldChar w:fldCharType="end"/>
      </w:r>
      <w:r w:rsidRPr="00875798">
        <w:rPr>
          <w:rFonts w:ascii="Helvetica" w:hAnsi="Helvetica" w:cs="Helvetica"/>
        </w:rPr>
        <w:t>. This evidence-based scheme not only incorporates physical activity and behaviour change interventions, but it standardises exercise referral opportunities across all Welsh Local Authorities and Local Health Boards. The aim of the scheme is to reduce the inequalities in health by providing access to tailored and supervised physical activity whilst supporting partnership working across health and community services and between healthcare and exercise professionals. For such a scheme to work for osteoporosis, access to consistent education to train health and exercise professionals on benefits of exercise for osteoporosis and to demystify the risk of harm, especially in vertebral fracture, would be paramount.</w:t>
      </w:r>
    </w:p>
    <w:p w14:paraId="50EDF94E" w14:textId="77777777" w:rsidR="000F5BC4" w:rsidRPr="00875798" w:rsidRDefault="000F5BC4" w:rsidP="000F5BC4">
      <w:pPr>
        <w:spacing w:before="120" w:after="0" w:line="240" w:lineRule="auto"/>
        <w:rPr>
          <w:rFonts w:ascii="Helvetica" w:hAnsi="Helvetica" w:cs="Helvetica"/>
        </w:rPr>
      </w:pPr>
      <w:r w:rsidRPr="00875798">
        <w:rPr>
          <w:rFonts w:ascii="Helvetica" w:hAnsi="Helvetica" w:cs="Helvetica"/>
        </w:rPr>
        <w:t>This consensus statement has updated and consolidated previous guidance as well as placing it in a UK context. Key recommendations are that people with osteoporosis should undertake resistance and impact exercise to maximise bone strength; should take part in activities to improve strength and balance to reduce falls and undertake spinal extension exercise to improve posture, and potentially reduce pain levels caused by vertebral fractures, risk of falls and vertebral fracture. Although we recommend avoiding postures involving a high degree of spinal flexion (especially weighted) during exercise or daily life, and that people with vertebral fracture or multiple low trauma fractures should only exercise up to an impact equivalent to brisk walking, there is limited evidence of harms from exercise. People with vertebral fractures may benefit from exercise to reduce pain, improve mobility and quality of life, ideally with advice from a physiotherapist. Most importantly, inactivity should be avoided and physical activity encouraged and reassurance provided to counter the fear of moving that could detrimentally affect bone strength and health/quality of life more broadly.</w:t>
      </w:r>
    </w:p>
    <w:p w14:paraId="54820BFD" w14:textId="77777777" w:rsidR="000F5BC4" w:rsidRPr="00875798" w:rsidRDefault="000F5BC4" w:rsidP="000F5BC4">
      <w:pPr>
        <w:rPr>
          <w:rFonts w:ascii="Helvetica" w:eastAsia="Calibri" w:hAnsi="Helvetica" w:cs="Helvetica"/>
        </w:rPr>
      </w:pPr>
      <w:r w:rsidRPr="00875798">
        <w:rPr>
          <w:rFonts w:ascii="Helvetica" w:eastAsia="Calibri" w:hAnsi="Helvetica" w:cs="Helvetica"/>
        </w:rPr>
        <w:br w:type="page"/>
      </w:r>
    </w:p>
    <w:p w14:paraId="1C12BCE8" w14:textId="77777777" w:rsidR="000F5BC4" w:rsidRPr="00875798" w:rsidRDefault="000F5BC4" w:rsidP="000F5BC4">
      <w:pPr>
        <w:pStyle w:val="Heading2"/>
        <w:rPr>
          <w:rFonts w:ascii="Helvetica" w:eastAsia="Calibri" w:hAnsi="Helvetica" w:cs="Helvetica"/>
          <w:b/>
          <w:bCs/>
          <w:color w:val="auto"/>
        </w:rPr>
      </w:pPr>
      <w:bookmarkStart w:id="44" w:name="_Toc90635533"/>
      <w:bookmarkStart w:id="45" w:name="_Toc96616287"/>
      <w:r w:rsidRPr="00875798">
        <w:rPr>
          <w:rFonts w:ascii="Helvetica" w:eastAsia="Calibri" w:hAnsi="Helvetica" w:cs="Helvetica"/>
          <w:b/>
          <w:bCs/>
          <w:color w:val="auto"/>
        </w:rPr>
        <w:t>Supplementary Material References</w:t>
      </w:r>
      <w:bookmarkEnd w:id="44"/>
      <w:bookmarkEnd w:id="45"/>
    </w:p>
    <w:p w14:paraId="15E5DB8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eastAsia="Calibri" w:hAnsi="Helvetica" w:cs="Helvetica"/>
        </w:rPr>
        <w:fldChar w:fldCharType="begin" w:fldLock="1"/>
      </w:r>
      <w:r w:rsidRPr="00875798">
        <w:rPr>
          <w:rFonts w:ascii="Helvetica" w:eastAsia="Calibri" w:hAnsi="Helvetica" w:cs="Helvetica"/>
        </w:rPr>
        <w:instrText xml:space="preserve">ADDIN Mendeley Bibliography CSL_BIBLIOGRAPHY </w:instrText>
      </w:r>
      <w:r w:rsidRPr="00875798">
        <w:rPr>
          <w:rFonts w:ascii="Helvetica" w:eastAsia="Calibri" w:hAnsi="Helvetica" w:cs="Helvetica"/>
        </w:rPr>
        <w:fldChar w:fldCharType="separate"/>
      </w:r>
      <w:r w:rsidRPr="00875798">
        <w:rPr>
          <w:rFonts w:ascii="Helvetica" w:hAnsi="Helvetica" w:cs="Times New Roman"/>
          <w:noProof/>
        </w:rPr>
        <w:t xml:space="preserve">1. </w:t>
      </w:r>
      <w:r w:rsidRPr="00875798">
        <w:rPr>
          <w:rFonts w:ascii="Helvetica" w:hAnsi="Helvetica" w:cs="Times New Roman"/>
          <w:noProof/>
        </w:rPr>
        <w:tab/>
        <w:t xml:space="preserve">Gregg EW, Pereira MA, Caspersen CJ. Physical activity, falls, and fractures among older adults: a review of the epidemiologic evidence. </w:t>
      </w:r>
      <w:r w:rsidRPr="00875798">
        <w:rPr>
          <w:rFonts w:ascii="Helvetica" w:hAnsi="Helvetica" w:cs="Times New Roman"/>
          <w:i/>
          <w:iCs/>
          <w:noProof/>
        </w:rPr>
        <w:t>J Am Geriatr Soc</w:t>
      </w:r>
      <w:r w:rsidRPr="00875798">
        <w:rPr>
          <w:rFonts w:ascii="Helvetica" w:hAnsi="Helvetica" w:cs="Times New Roman"/>
          <w:noProof/>
        </w:rPr>
        <w:t>. 2000;48(8):883-893.</w:t>
      </w:r>
    </w:p>
    <w:p w14:paraId="2E22F22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 </w:t>
      </w:r>
      <w:r w:rsidRPr="00875798">
        <w:rPr>
          <w:rFonts w:ascii="Helvetica" w:hAnsi="Helvetica" w:cs="Times New Roman"/>
          <w:noProof/>
        </w:rPr>
        <w:tab/>
        <w:t xml:space="preserve">Moayyeri A. The Association Between Physical Activity and Osteoporotic Fractures: A Review of the Evidence and Implications for Future Research. </w:t>
      </w:r>
      <w:r w:rsidRPr="00875798">
        <w:rPr>
          <w:rFonts w:ascii="Helvetica" w:hAnsi="Helvetica" w:cs="Times New Roman"/>
          <w:i/>
          <w:iCs/>
          <w:noProof/>
        </w:rPr>
        <w:t>Ann Epidemiol</w:t>
      </w:r>
      <w:r w:rsidRPr="00875798">
        <w:rPr>
          <w:rFonts w:ascii="Helvetica" w:hAnsi="Helvetica" w:cs="Times New Roman"/>
          <w:noProof/>
        </w:rPr>
        <w:t>. 2008;18(11):827-835. doi:10.1016/j.annepidem.2008.08.007</w:t>
      </w:r>
    </w:p>
    <w:p w14:paraId="0DB0998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 </w:t>
      </w:r>
      <w:r w:rsidRPr="00875798">
        <w:rPr>
          <w:rFonts w:ascii="Helvetica" w:hAnsi="Helvetica" w:cs="Times New Roman"/>
          <w:noProof/>
        </w:rPr>
        <w:tab/>
        <w:t xml:space="preserve">Lai JKC, Lucas RM, Armstrong M, Banks E. Prospective observational study of physical functioning, physical activity, and time outdoors and the risk of hip fracture: A population-based cohort study of 158,057 older adults in the 45 and up study. </w:t>
      </w:r>
      <w:r w:rsidRPr="00875798">
        <w:rPr>
          <w:rFonts w:ascii="Helvetica" w:hAnsi="Helvetica" w:cs="Times New Roman"/>
          <w:i/>
          <w:iCs/>
          <w:noProof/>
        </w:rPr>
        <w:t>J Bone Miner Res</w:t>
      </w:r>
      <w:r w:rsidRPr="00875798">
        <w:rPr>
          <w:rFonts w:ascii="Helvetica" w:hAnsi="Helvetica" w:cs="Times New Roman"/>
          <w:noProof/>
        </w:rPr>
        <w:t>. 2013;28(10):2222-2231. doi:10.1002/jbmr.1963</w:t>
      </w:r>
    </w:p>
    <w:p w14:paraId="4AFEEEA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 </w:t>
      </w:r>
      <w:r w:rsidRPr="00875798">
        <w:rPr>
          <w:rFonts w:ascii="Helvetica" w:hAnsi="Helvetica" w:cs="Times New Roman"/>
          <w:noProof/>
        </w:rPr>
        <w:tab/>
        <w:t xml:space="preserve">Feskanich D, Flint AJ, Willett WC. Physical activity and inactivity and risk of hip fractures in men. </w:t>
      </w:r>
      <w:r w:rsidRPr="00875798">
        <w:rPr>
          <w:rFonts w:ascii="Helvetica" w:hAnsi="Helvetica" w:cs="Times New Roman"/>
          <w:i/>
          <w:iCs/>
          <w:noProof/>
        </w:rPr>
        <w:t>Am J Public Health</w:t>
      </w:r>
      <w:r w:rsidRPr="00875798">
        <w:rPr>
          <w:rFonts w:ascii="Helvetica" w:hAnsi="Helvetica" w:cs="Times New Roman"/>
          <w:noProof/>
        </w:rPr>
        <w:t>. 2014;104(4):75-82. doi:10.2105/AJPH.2013.301667</w:t>
      </w:r>
    </w:p>
    <w:p w14:paraId="3116DE0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 </w:t>
      </w:r>
      <w:r w:rsidRPr="00875798">
        <w:rPr>
          <w:rFonts w:ascii="Helvetica" w:hAnsi="Helvetica" w:cs="Times New Roman"/>
          <w:noProof/>
        </w:rPr>
        <w:tab/>
        <w:t xml:space="preserve">Stattin K, Michaëlsson K, Larsson SC, Wolk A, Byberg L. Leisure-time physical activity and risk of fracture: a cohort study of 66,940 men and women. </w:t>
      </w:r>
      <w:r w:rsidRPr="00875798">
        <w:rPr>
          <w:rFonts w:ascii="Helvetica" w:hAnsi="Helvetica" w:cs="Times New Roman"/>
          <w:i/>
          <w:iCs/>
          <w:noProof/>
        </w:rPr>
        <w:t>J Bone Miner Res</w:t>
      </w:r>
      <w:r w:rsidRPr="00875798">
        <w:rPr>
          <w:rFonts w:ascii="Helvetica" w:hAnsi="Helvetica" w:cs="Times New Roman"/>
          <w:noProof/>
        </w:rPr>
        <w:t>. 2017;32(8):1599-1606. doi:10.1002/jbmr.3161</w:t>
      </w:r>
    </w:p>
    <w:p w14:paraId="555180F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 </w:t>
      </w:r>
      <w:r w:rsidRPr="00875798">
        <w:rPr>
          <w:rFonts w:ascii="Helvetica" w:hAnsi="Helvetica" w:cs="Times New Roman"/>
          <w:noProof/>
        </w:rPr>
        <w:tab/>
        <w:t xml:space="preserve">Armstrong MEG, Lacombe J, Wotton CJ, et al. The Associations Between Seven Different Types of Physical Activity and the Incidence of Fracture at Seven Sites in Healthy Postmenopausal UK Women. </w:t>
      </w:r>
      <w:r w:rsidRPr="00875798">
        <w:rPr>
          <w:rFonts w:ascii="Helvetica" w:hAnsi="Helvetica" w:cs="Times New Roman"/>
          <w:i/>
          <w:iCs/>
          <w:noProof/>
        </w:rPr>
        <w:t>J Bone Miner Res</w:t>
      </w:r>
      <w:r w:rsidRPr="00875798">
        <w:rPr>
          <w:rFonts w:ascii="Helvetica" w:hAnsi="Helvetica" w:cs="Times New Roman"/>
          <w:noProof/>
        </w:rPr>
        <w:t>. 2020;35(2):277-290. doi:10.1002/jbmr.3896</w:t>
      </w:r>
    </w:p>
    <w:p w14:paraId="32CCB72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 </w:t>
      </w:r>
      <w:r w:rsidRPr="00875798">
        <w:rPr>
          <w:rFonts w:ascii="Helvetica" w:hAnsi="Helvetica" w:cs="Times New Roman"/>
          <w:noProof/>
        </w:rPr>
        <w:tab/>
        <w:t xml:space="preserve">Cummings SR, Nevitt MC, Browner WS, et al. Risk Factors for Hip Fracture in White Women. </w:t>
      </w:r>
      <w:r w:rsidRPr="00875798">
        <w:rPr>
          <w:rFonts w:ascii="Helvetica" w:hAnsi="Helvetica" w:cs="Times New Roman"/>
          <w:i/>
          <w:iCs/>
          <w:noProof/>
        </w:rPr>
        <w:t>N Engl J Med</w:t>
      </w:r>
      <w:r w:rsidRPr="00875798">
        <w:rPr>
          <w:rFonts w:ascii="Helvetica" w:hAnsi="Helvetica" w:cs="Times New Roman"/>
          <w:noProof/>
        </w:rPr>
        <w:t>. 1995;332(12):767-773. doi:10.1056/nejm199503233321202</w:t>
      </w:r>
    </w:p>
    <w:p w14:paraId="729B3AF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 </w:t>
      </w:r>
      <w:r w:rsidRPr="00875798">
        <w:rPr>
          <w:rFonts w:ascii="Helvetica" w:hAnsi="Helvetica" w:cs="Times New Roman"/>
          <w:noProof/>
        </w:rPr>
        <w:tab/>
        <w:t xml:space="preserve">Feskanich D, Willett W, Colditz G. Walking and leisure-time activity and risk of hip fracture in postmenopausal women. </w:t>
      </w:r>
      <w:r w:rsidRPr="00875798">
        <w:rPr>
          <w:rFonts w:ascii="Helvetica" w:hAnsi="Helvetica" w:cs="Times New Roman"/>
          <w:i/>
          <w:iCs/>
          <w:noProof/>
        </w:rPr>
        <w:t>J Am Med Assoc</w:t>
      </w:r>
      <w:r w:rsidRPr="00875798">
        <w:rPr>
          <w:rFonts w:ascii="Helvetica" w:hAnsi="Helvetica" w:cs="Times New Roman"/>
          <w:noProof/>
        </w:rPr>
        <w:t>. 2002;288(18):2300-2306. doi:10.1001/jama.288.18.2300</w:t>
      </w:r>
    </w:p>
    <w:p w14:paraId="48311F5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9. </w:t>
      </w:r>
      <w:r w:rsidRPr="00875798">
        <w:rPr>
          <w:rFonts w:ascii="Helvetica" w:hAnsi="Helvetica" w:cs="Times New Roman"/>
          <w:noProof/>
        </w:rPr>
        <w:tab/>
        <w:t xml:space="preserve">Rodrigues IB, Ponzano M, Butt DA, et al. The Effects of Walking or Nordic Walking in Adults 50 Years and Older at Elevated Risk of Fractures: A Systematic Review and Meta-Analysis. </w:t>
      </w:r>
      <w:r w:rsidRPr="00875798">
        <w:rPr>
          <w:rFonts w:ascii="Helvetica" w:hAnsi="Helvetica" w:cs="Times New Roman"/>
          <w:i/>
          <w:iCs/>
          <w:noProof/>
        </w:rPr>
        <w:t>J Aging Phys Act</w:t>
      </w:r>
      <w:r w:rsidRPr="00875798">
        <w:rPr>
          <w:rFonts w:ascii="Helvetica" w:hAnsi="Helvetica" w:cs="Times New Roman"/>
          <w:noProof/>
        </w:rPr>
        <w:t>. Published online 2021:1-14. doi:10.1123/japa.2020-0262</w:t>
      </w:r>
    </w:p>
    <w:p w14:paraId="1F8C4D1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10. </w:t>
      </w:r>
      <w:r w:rsidRPr="00875798">
        <w:rPr>
          <w:rFonts w:ascii="Helvetica" w:hAnsi="Helvetica" w:cs="Times New Roman"/>
          <w:noProof/>
        </w:rPr>
        <w:tab/>
        <w:t xml:space="preserve">Giangregorio LM, Papaioannou A, MacIntyre NJ, et al. Too Fit to Fracture: Exercise recommendations for individuals with osteoporosis or osteoporotic vertebral fracture. </w:t>
      </w:r>
      <w:r w:rsidRPr="00875798">
        <w:rPr>
          <w:rFonts w:ascii="Helvetica" w:hAnsi="Helvetica" w:cs="Times New Roman"/>
          <w:i/>
          <w:iCs/>
          <w:noProof/>
        </w:rPr>
        <w:t>Osteoporos Int</w:t>
      </w:r>
      <w:r w:rsidRPr="00875798">
        <w:rPr>
          <w:rFonts w:ascii="Helvetica" w:hAnsi="Helvetica" w:cs="Times New Roman"/>
          <w:noProof/>
        </w:rPr>
        <w:t>. 2014;25(3):821-835. doi:10.1007/s00198-013-2523-2</w:t>
      </w:r>
    </w:p>
    <w:p w14:paraId="6476F25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11. </w:t>
      </w:r>
      <w:r w:rsidRPr="00875798">
        <w:rPr>
          <w:rFonts w:ascii="Helvetica" w:hAnsi="Helvetica" w:cs="Times New Roman"/>
          <w:noProof/>
        </w:rPr>
        <w:tab/>
        <w:t xml:space="preserve">Lamb SE, Bruce J, Hossain A, et al. Screening and Intervention to Prevent Falls and Fractures in Older People. </w:t>
      </w:r>
      <w:r w:rsidRPr="00875798">
        <w:rPr>
          <w:rFonts w:ascii="Helvetica" w:hAnsi="Helvetica" w:cs="Times New Roman"/>
          <w:i/>
          <w:iCs/>
          <w:noProof/>
        </w:rPr>
        <w:t>N Engl J Med</w:t>
      </w:r>
      <w:r w:rsidRPr="00875798">
        <w:rPr>
          <w:rFonts w:ascii="Helvetica" w:hAnsi="Helvetica" w:cs="Times New Roman"/>
          <w:noProof/>
        </w:rPr>
        <w:t>. 2020;383(19):1848-1859. doi:10.1056/nejmoa2001500</w:t>
      </w:r>
    </w:p>
    <w:p w14:paraId="423C55F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12. </w:t>
      </w:r>
      <w:r w:rsidRPr="00875798">
        <w:rPr>
          <w:rFonts w:ascii="Helvetica" w:hAnsi="Helvetica" w:cs="Times New Roman"/>
          <w:noProof/>
        </w:rPr>
        <w:tab/>
        <w:t xml:space="preserve">Zhao R, Zhao M, Zhang L. Efficiency of Jumping Exercise in Improving Bone Mineral Density Among Premenopausal Women: A Meta-Analysis. </w:t>
      </w:r>
      <w:r w:rsidRPr="00875798">
        <w:rPr>
          <w:rFonts w:ascii="Helvetica" w:hAnsi="Helvetica" w:cs="Times New Roman"/>
          <w:i/>
          <w:iCs/>
          <w:noProof/>
        </w:rPr>
        <w:t>Sport Med</w:t>
      </w:r>
      <w:r w:rsidRPr="00875798">
        <w:rPr>
          <w:rFonts w:ascii="Helvetica" w:hAnsi="Helvetica" w:cs="Times New Roman"/>
          <w:noProof/>
        </w:rPr>
        <w:t>. 2014;44(10):1393-1402. doi:10.1007/s40279-014-0220-8</w:t>
      </w:r>
    </w:p>
    <w:p w14:paraId="1FBAB47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13. </w:t>
      </w:r>
      <w:r w:rsidRPr="00875798">
        <w:rPr>
          <w:rFonts w:ascii="Helvetica" w:hAnsi="Helvetica" w:cs="Times New Roman"/>
          <w:noProof/>
        </w:rPr>
        <w:tab/>
        <w:t xml:space="preserve">Marques EA, Mota J, Carvalho J. Exercise effects on bone mineral density in older adults: A meta-analysis of randomized controlled trials. </w:t>
      </w:r>
      <w:r w:rsidRPr="00875798">
        <w:rPr>
          <w:rFonts w:ascii="Helvetica" w:hAnsi="Helvetica" w:cs="Times New Roman"/>
          <w:i/>
          <w:iCs/>
          <w:noProof/>
        </w:rPr>
        <w:t>Age (Omaha)</w:t>
      </w:r>
      <w:r w:rsidRPr="00875798">
        <w:rPr>
          <w:rFonts w:ascii="Helvetica" w:hAnsi="Helvetica" w:cs="Times New Roman"/>
          <w:noProof/>
        </w:rPr>
        <w:t>. 2012;34(6):1493-1515. doi:10.1007/s11357-011-9311-8</w:t>
      </w:r>
    </w:p>
    <w:p w14:paraId="58A9AA2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14. </w:t>
      </w:r>
      <w:r w:rsidRPr="00875798">
        <w:rPr>
          <w:rFonts w:ascii="Helvetica" w:hAnsi="Helvetica" w:cs="Times New Roman"/>
          <w:noProof/>
        </w:rPr>
        <w:tab/>
        <w:t xml:space="preserve">Martyn-St James M, Carroll S. Meta-analysis of walking for preservation of bone mineral density in postmenopausal women. </w:t>
      </w:r>
      <w:r w:rsidRPr="00875798">
        <w:rPr>
          <w:rFonts w:ascii="Helvetica" w:hAnsi="Helvetica" w:cs="Times New Roman"/>
          <w:i/>
          <w:iCs/>
          <w:noProof/>
        </w:rPr>
        <w:t>Bone</w:t>
      </w:r>
      <w:r w:rsidRPr="00875798">
        <w:rPr>
          <w:rFonts w:ascii="Helvetica" w:hAnsi="Helvetica" w:cs="Times New Roman"/>
          <w:noProof/>
        </w:rPr>
        <w:t>. 2008;43(3):521-531. doi:10.1016/j.bone.2008.05.012</w:t>
      </w:r>
    </w:p>
    <w:p w14:paraId="7FF2204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15. </w:t>
      </w:r>
      <w:r w:rsidRPr="00875798">
        <w:rPr>
          <w:rFonts w:ascii="Helvetica" w:hAnsi="Helvetica" w:cs="Times New Roman"/>
          <w:noProof/>
        </w:rPr>
        <w:tab/>
        <w:t xml:space="preserve">Martyn St James M, Carroll S. Effects of different impact exercise modalities on bone mineral density in premenopausal women: A meta-analysis. </w:t>
      </w:r>
      <w:r w:rsidRPr="00875798">
        <w:rPr>
          <w:rFonts w:ascii="Helvetica" w:hAnsi="Helvetica" w:cs="Times New Roman"/>
          <w:i/>
          <w:iCs/>
          <w:noProof/>
        </w:rPr>
        <w:t>J Bone Miner Metab</w:t>
      </w:r>
      <w:r w:rsidRPr="00875798">
        <w:rPr>
          <w:rFonts w:ascii="Helvetica" w:hAnsi="Helvetica" w:cs="Times New Roman"/>
          <w:noProof/>
        </w:rPr>
        <w:t>. 2010;28(3):251-267. doi:10.1007/s00774-009-0139-6</w:t>
      </w:r>
    </w:p>
    <w:p w14:paraId="06CCB91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16. </w:t>
      </w:r>
      <w:r w:rsidRPr="00875798">
        <w:rPr>
          <w:rFonts w:ascii="Helvetica" w:hAnsi="Helvetica" w:cs="Times New Roman"/>
          <w:noProof/>
        </w:rPr>
        <w:tab/>
        <w:t xml:space="preserve">Martyn St James M, Carroll S. Progressive high-intensity resistance training and bone mineral density changes among premenopausal women: Evidence of discordant site-specific skeletal effects. </w:t>
      </w:r>
      <w:r w:rsidRPr="00875798">
        <w:rPr>
          <w:rFonts w:ascii="Helvetica" w:hAnsi="Helvetica" w:cs="Times New Roman"/>
          <w:i/>
          <w:iCs/>
          <w:noProof/>
        </w:rPr>
        <w:t>Sport Med</w:t>
      </w:r>
      <w:r w:rsidRPr="00875798">
        <w:rPr>
          <w:rFonts w:ascii="Helvetica" w:hAnsi="Helvetica" w:cs="Times New Roman"/>
          <w:noProof/>
        </w:rPr>
        <w:t>. 2006;36(8):683-704. doi:10.2165/00007256-200636080-00005</w:t>
      </w:r>
    </w:p>
    <w:p w14:paraId="76E50F2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17. </w:t>
      </w:r>
      <w:r w:rsidRPr="00875798">
        <w:rPr>
          <w:rFonts w:ascii="Helvetica" w:hAnsi="Helvetica" w:cs="Times New Roman"/>
          <w:noProof/>
        </w:rPr>
        <w:tab/>
        <w:t xml:space="preserve">Martyn-St. James M, Carroll S. High-intensity resistance training and postmenopausal bone loss: A meta-analysis. </w:t>
      </w:r>
      <w:r w:rsidRPr="00875798">
        <w:rPr>
          <w:rFonts w:ascii="Helvetica" w:hAnsi="Helvetica" w:cs="Times New Roman"/>
          <w:i/>
          <w:iCs/>
          <w:noProof/>
        </w:rPr>
        <w:t>Osteoporos Int</w:t>
      </w:r>
      <w:r w:rsidRPr="00875798">
        <w:rPr>
          <w:rFonts w:ascii="Helvetica" w:hAnsi="Helvetica" w:cs="Times New Roman"/>
          <w:noProof/>
        </w:rPr>
        <w:t>. 2006;17(8):1225-1240. doi:10.1007/s00198-006-0083-4</w:t>
      </w:r>
    </w:p>
    <w:p w14:paraId="4C8331A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18. </w:t>
      </w:r>
      <w:r w:rsidRPr="00875798">
        <w:rPr>
          <w:rFonts w:ascii="Helvetica" w:hAnsi="Helvetica" w:cs="Times New Roman"/>
          <w:noProof/>
        </w:rPr>
        <w:tab/>
        <w:t xml:space="preserve">Kemmler W, von Stengel S, Kohl M. Exercise frequency and bone mineral density development in exercising postmenopausal osteopenic women. Is there a critical dose of exercise for affecting bone? Results of the Erlangen Fitness and Osteoporosis Prevention Study. </w:t>
      </w:r>
      <w:r w:rsidRPr="00875798">
        <w:rPr>
          <w:rFonts w:ascii="Helvetica" w:hAnsi="Helvetica" w:cs="Times New Roman"/>
          <w:i/>
          <w:iCs/>
          <w:noProof/>
        </w:rPr>
        <w:t>Bone</w:t>
      </w:r>
      <w:r w:rsidRPr="00875798">
        <w:rPr>
          <w:rFonts w:ascii="Helvetica" w:hAnsi="Helvetica" w:cs="Times New Roman"/>
          <w:noProof/>
        </w:rPr>
        <w:t>. 2016;89:1-6. doi:10.1016/j.bone.2016.04.019</w:t>
      </w:r>
    </w:p>
    <w:p w14:paraId="6015598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19. </w:t>
      </w:r>
      <w:r w:rsidRPr="00875798">
        <w:rPr>
          <w:rFonts w:ascii="Helvetica" w:hAnsi="Helvetica" w:cs="Times New Roman"/>
          <w:noProof/>
        </w:rPr>
        <w:tab/>
        <w:t xml:space="preserve">Kelley GA, Kelley KS. Exercise and bone mineral density at the femoral neck in postmenopausal women: A meta-analysis of controlled clinical trials with individual patient data. </w:t>
      </w:r>
      <w:r w:rsidRPr="00875798">
        <w:rPr>
          <w:rFonts w:ascii="Helvetica" w:hAnsi="Helvetica" w:cs="Times New Roman"/>
          <w:i/>
          <w:iCs/>
          <w:noProof/>
        </w:rPr>
        <w:t>Am J Obstet Gynecol</w:t>
      </w:r>
      <w:r w:rsidRPr="00875798">
        <w:rPr>
          <w:rFonts w:ascii="Helvetica" w:hAnsi="Helvetica" w:cs="Times New Roman"/>
          <w:noProof/>
        </w:rPr>
        <w:t>. 2006;194(3):760-767. doi:10.1016/j.ajog.2005.09.006</w:t>
      </w:r>
    </w:p>
    <w:p w14:paraId="2E18FCF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20. </w:t>
      </w:r>
      <w:r w:rsidRPr="00875798">
        <w:rPr>
          <w:rFonts w:ascii="Helvetica" w:hAnsi="Helvetica" w:cs="Times New Roman"/>
          <w:noProof/>
        </w:rPr>
        <w:tab/>
        <w:t xml:space="preserve">Simas V, Hing W, Pope R, Climstein M. Effects of water-based exercise on bone health of middle-aged and older adults: a systematic review and meta-analysis. </w:t>
      </w:r>
      <w:r w:rsidRPr="00875798">
        <w:rPr>
          <w:rFonts w:ascii="Helvetica" w:hAnsi="Helvetica" w:cs="Times New Roman"/>
          <w:i/>
          <w:iCs/>
          <w:noProof/>
        </w:rPr>
        <w:t>Open Access J Sport Med</w:t>
      </w:r>
      <w:r w:rsidRPr="00875798">
        <w:rPr>
          <w:rFonts w:ascii="Helvetica" w:hAnsi="Helvetica" w:cs="Times New Roman"/>
          <w:noProof/>
        </w:rPr>
        <w:t>. 2017;Volume 8:39-60. doi:10.2147/oajsm.s129182</w:t>
      </w:r>
    </w:p>
    <w:p w14:paraId="0FAD76E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21. </w:t>
      </w:r>
      <w:r w:rsidRPr="00875798">
        <w:rPr>
          <w:rFonts w:ascii="Helvetica" w:hAnsi="Helvetica" w:cs="Times New Roman"/>
          <w:noProof/>
        </w:rPr>
        <w:tab/>
        <w:t xml:space="preserve">Foster C, Armstrong MEG. What types of physical activities are effective in developing muscle and bone strength and balance? </w:t>
      </w:r>
      <w:r w:rsidRPr="00875798">
        <w:rPr>
          <w:rFonts w:ascii="Helvetica" w:hAnsi="Helvetica" w:cs="Times New Roman"/>
          <w:i/>
          <w:iCs/>
          <w:noProof/>
        </w:rPr>
        <w:t>J Frailty, Sarcopenia Falls</w:t>
      </w:r>
      <w:r w:rsidRPr="00875798">
        <w:rPr>
          <w:rFonts w:ascii="Helvetica" w:hAnsi="Helvetica" w:cs="Times New Roman"/>
          <w:noProof/>
        </w:rPr>
        <w:t>. 2018;03(02):58-65. doi:10.22540/jfsf-03-058</w:t>
      </w:r>
    </w:p>
    <w:p w14:paraId="0CB780B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22. </w:t>
      </w:r>
      <w:r w:rsidRPr="00875798">
        <w:rPr>
          <w:rFonts w:ascii="Helvetica" w:hAnsi="Helvetica" w:cs="Times New Roman"/>
          <w:noProof/>
        </w:rPr>
        <w:tab/>
        <w:t xml:space="preserve">Babatunde OO, Forsyth JJ, Gidlow CJ. A meta-analysis of brief high-impact exercises for enhancing bone health in premenopausal women. </w:t>
      </w:r>
      <w:r w:rsidRPr="00875798">
        <w:rPr>
          <w:rFonts w:ascii="Helvetica" w:hAnsi="Helvetica" w:cs="Times New Roman"/>
          <w:i/>
          <w:iCs/>
          <w:noProof/>
        </w:rPr>
        <w:t>Osteoporos Int</w:t>
      </w:r>
      <w:r w:rsidRPr="00875798">
        <w:rPr>
          <w:rFonts w:ascii="Helvetica" w:hAnsi="Helvetica" w:cs="Times New Roman"/>
          <w:noProof/>
        </w:rPr>
        <w:t>. 2012;23(1):109-119. doi:10.1007/s00198-011-1801-0</w:t>
      </w:r>
    </w:p>
    <w:p w14:paraId="76D0DB0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23. </w:t>
      </w:r>
      <w:r w:rsidRPr="00875798">
        <w:rPr>
          <w:rFonts w:ascii="Helvetica" w:hAnsi="Helvetica" w:cs="Times New Roman"/>
          <w:noProof/>
        </w:rPr>
        <w:tab/>
        <w:t xml:space="preserve">Zhao R, Zhao M, Xu Z. The effects of differing resistance training modes on the preservation of bone mineral density in postmenopausal women: a meta-analysis. </w:t>
      </w:r>
      <w:r w:rsidRPr="00875798">
        <w:rPr>
          <w:rFonts w:ascii="Helvetica" w:hAnsi="Helvetica" w:cs="Times New Roman"/>
          <w:i/>
          <w:iCs/>
          <w:noProof/>
        </w:rPr>
        <w:t>Osteoporos Int</w:t>
      </w:r>
      <w:r w:rsidRPr="00875798">
        <w:rPr>
          <w:rFonts w:ascii="Helvetica" w:hAnsi="Helvetica" w:cs="Times New Roman"/>
          <w:noProof/>
        </w:rPr>
        <w:t>. 2015;26(5):1605-1618. doi:10.1007/s00198-015-3034-0</w:t>
      </w:r>
    </w:p>
    <w:p w14:paraId="45701F8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24. </w:t>
      </w:r>
      <w:r w:rsidRPr="00875798">
        <w:rPr>
          <w:rFonts w:ascii="Helvetica" w:hAnsi="Helvetica" w:cs="Times New Roman"/>
          <w:noProof/>
        </w:rPr>
        <w:tab/>
        <w:t xml:space="preserve">Bolam KA, Van Uffelen JGZ, Taaffe DR. The effect of physical exercise on bone density in middle-aged and older men: A systematic review. </w:t>
      </w:r>
      <w:r w:rsidRPr="00875798">
        <w:rPr>
          <w:rFonts w:ascii="Helvetica" w:hAnsi="Helvetica" w:cs="Times New Roman"/>
          <w:i/>
          <w:iCs/>
          <w:noProof/>
        </w:rPr>
        <w:t>Osteoporos Int</w:t>
      </w:r>
      <w:r w:rsidRPr="00875798">
        <w:rPr>
          <w:rFonts w:ascii="Helvetica" w:hAnsi="Helvetica" w:cs="Times New Roman"/>
          <w:noProof/>
        </w:rPr>
        <w:t>. 2013;24(11):2749-2762. doi:10.1007/s00198-013-2346-1</w:t>
      </w:r>
    </w:p>
    <w:p w14:paraId="7976FCB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25. </w:t>
      </w:r>
      <w:r w:rsidRPr="00875798">
        <w:rPr>
          <w:rFonts w:ascii="Helvetica" w:hAnsi="Helvetica" w:cs="Times New Roman"/>
          <w:noProof/>
        </w:rPr>
        <w:tab/>
        <w:t xml:space="preserve">Pinheiro MB, Oliveira J, Bauman A, Fairhall N, Kwok W, Sherrington C. </w:t>
      </w:r>
      <w:r w:rsidRPr="00875798">
        <w:rPr>
          <w:rFonts w:ascii="Helvetica" w:hAnsi="Helvetica" w:cs="Times New Roman"/>
          <w:i/>
          <w:iCs/>
          <w:noProof/>
        </w:rPr>
        <w:t>Evidence on Physical Activity and Osteoporosis Prevention for People Aged 65+ Years: A Systematic Review to Inform the WHO Guidelines on Physical Activity and Sedentary Behaviour</w:t>
      </w:r>
      <w:r w:rsidRPr="00875798">
        <w:rPr>
          <w:rFonts w:ascii="Helvetica" w:hAnsi="Helvetica" w:cs="Times New Roman"/>
          <w:noProof/>
        </w:rPr>
        <w:t>. Vol 17. International Journal of Behavioral Nutrition and Physical Activity; 2020. doi:10.1186/s12966-020-01040-4</w:t>
      </w:r>
    </w:p>
    <w:p w14:paraId="64CA2E4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26. </w:t>
      </w:r>
      <w:r w:rsidRPr="00875798">
        <w:rPr>
          <w:rFonts w:ascii="Helvetica" w:hAnsi="Helvetica" w:cs="Times New Roman"/>
          <w:noProof/>
        </w:rPr>
        <w:tab/>
        <w:t xml:space="preserve">Howe TE, Shea B, Dawson LJ, et al. Exercise for preventing and treating osteoporosis in postmenopausal women. </w:t>
      </w:r>
      <w:r w:rsidRPr="00875798">
        <w:rPr>
          <w:rFonts w:ascii="Helvetica" w:hAnsi="Helvetica" w:cs="Times New Roman"/>
          <w:i/>
          <w:iCs/>
          <w:noProof/>
        </w:rPr>
        <w:t>Cochrane Database Syst Rev</w:t>
      </w:r>
      <w:r w:rsidRPr="00875798">
        <w:rPr>
          <w:rFonts w:ascii="Helvetica" w:hAnsi="Helvetica" w:cs="Times New Roman"/>
          <w:noProof/>
        </w:rPr>
        <w:t>. 2011;2011(7):1-167. doi:10.1002/14651858.CD000333.pub2.</w:t>
      </w:r>
    </w:p>
    <w:p w14:paraId="3B5D66E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27. </w:t>
      </w:r>
      <w:r w:rsidRPr="00875798">
        <w:rPr>
          <w:rFonts w:ascii="Helvetica" w:hAnsi="Helvetica" w:cs="Times New Roman"/>
          <w:noProof/>
        </w:rPr>
        <w:tab/>
        <w:t xml:space="preserve">Zhao R, Zhang M, Zhang Q. The effectiveness of combined exercise interventions for preventing postmenopausal bone loss: A systematic review and meta-analysis. </w:t>
      </w:r>
      <w:r w:rsidRPr="00875798">
        <w:rPr>
          <w:rFonts w:ascii="Helvetica" w:hAnsi="Helvetica" w:cs="Times New Roman"/>
          <w:i/>
          <w:iCs/>
          <w:noProof/>
        </w:rPr>
        <w:t>J Orthop Sports Phys Ther</w:t>
      </w:r>
      <w:r w:rsidRPr="00875798">
        <w:rPr>
          <w:rFonts w:ascii="Helvetica" w:hAnsi="Helvetica" w:cs="Times New Roman"/>
          <w:noProof/>
        </w:rPr>
        <w:t>. 2017;47(4):241-251. doi:10.2519/jospt.2017.6969</w:t>
      </w:r>
    </w:p>
    <w:p w14:paraId="094280D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28. </w:t>
      </w:r>
      <w:r w:rsidRPr="00875798">
        <w:rPr>
          <w:rFonts w:ascii="Helvetica" w:hAnsi="Helvetica" w:cs="Times New Roman"/>
          <w:noProof/>
        </w:rPr>
        <w:tab/>
        <w:t xml:space="preserve">Kelley GA, Kelley KS, Kohrt WM. Erratum: Exercise and bone mineral density in premenopausal women: A meta-analysis of randomized controlled trials (International Journal of Endocrinology). </w:t>
      </w:r>
      <w:r w:rsidRPr="00875798">
        <w:rPr>
          <w:rFonts w:ascii="Helvetica" w:hAnsi="Helvetica" w:cs="Times New Roman"/>
          <w:i/>
          <w:iCs/>
          <w:noProof/>
        </w:rPr>
        <w:t>Int J Endocrinol</w:t>
      </w:r>
      <w:r w:rsidRPr="00875798">
        <w:rPr>
          <w:rFonts w:ascii="Helvetica" w:hAnsi="Helvetica" w:cs="Times New Roman"/>
          <w:noProof/>
        </w:rPr>
        <w:t>. 2013;2013. doi:10.1155/2013/583217</w:t>
      </w:r>
    </w:p>
    <w:p w14:paraId="5755A3C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29. </w:t>
      </w:r>
      <w:r w:rsidRPr="00875798">
        <w:rPr>
          <w:rFonts w:ascii="Helvetica" w:hAnsi="Helvetica" w:cs="Times New Roman"/>
          <w:noProof/>
        </w:rPr>
        <w:tab/>
        <w:t xml:space="preserve">Kelley GA, Kelley KS, Kohrt WM. Effects of ground and joint reaction force exercise on lumbar spine and femoral neck bone mineral density in postmenopausal women: A meta-analysis of randomized controlled trials. </w:t>
      </w:r>
      <w:r w:rsidRPr="00875798">
        <w:rPr>
          <w:rFonts w:ascii="Helvetica" w:hAnsi="Helvetica" w:cs="Times New Roman"/>
          <w:i/>
          <w:iCs/>
          <w:noProof/>
        </w:rPr>
        <w:t>BMC Musculoskelet Disord</w:t>
      </w:r>
      <w:r w:rsidRPr="00875798">
        <w:rPr>
          <w:rFonts w:ascii="Helvetica" w:hAnsi="Helvetica" w:cs="Times New Roman"/>
          <w:noProof/>
        </w:rPr>
        <w:t>. 2012;13. doi:10.1186/1471-2474-13-177</w:t>
      </w:r>
    </w:p>
    <w:p w14:paraId="0B78E3C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30. </w:t>
      </w:r>
      <w:r w:rsidRPr="00875798">
        <w:rPr>
          <w:rFonts w:ascii="Helvetica" w:hAnsi="Helvetica" w:cs="Times New Roman"/>
          <w:noProof/>
        </w:rPr>
        <w:tab/>
        <w:t xml:space="preserve">Gómez-Bruton A, Gónzalez-Agüero A, Gómez-Cabello A, Casajús JA, Vicente-Rodríguez G. Is Bone Tissue Really Affected by Swimming? A Systematic Review. </w:t>
      </w:r>
      <w:r w:rsidRPr="00875798">
        <w:rPr>
          <w:rFonts w:ascii="Helvetica" w:hAnsi="Helvetica" w:cs="Times New Roman"/>
          <w:i/>
          <w:iCs/>
          <w:noProof/>
        </w:rPr>
        <w:t>PLoS One</w:t>
      </w:r>
      <w:r w:rsidRPr="00875798">
        <w:rPr>
          <w:rFonts w:ascii="Helvetica" w:hAnsi="Helvetica" w:cs="Times New Roman"/>
          <w:noProof/>
        </w:rPr>
        <w:t>. 2013;8(8). doi:10.1371/journal.pone.0070119</w:t>
      </w:r>
    </w:p>
    <w:p w14:paraId="37C83FD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31. </w:t>
      </w:r>
      <w:r w:rsidRPr="00875798">
        <w:rPr>
          <w:rFonts w:ascii="Helvetica" w:hAnsi="Helvetica" w:cs="Times New Roman"/>
          <w:noProof/>
        </w:rPr>
        <w:tab/>
        <w:t xml:space="preserve">Kelley GA, Kelley KS, Kohrt WM. Exercise and bone mineral density in men: A meta-analysis of randomized controlled trials. </w:t>
      </w:r>
      <w:r w:rsidRPr="00875798">
        <w:rPr>
          <w:rFonts w:ascii="Helvetica" w:hAnsi="Helvetica" w:cs="Times New Roman"/>
          <w:i/>
          <w:iCs/>
          <w:noProof/>
        </w:rPr>
        <w:t>Bone</w:t>
      </w:r>
      <w:r w:rsidRPr="00875798">
        <w:rPr>
          <w:rFonts w:ascii="Helvetica" w:hAnsi="Helvetica" w:cs="Times New Roman"/>
          <w:noProof/>
        </w:rPr>
        <w:t>. 2013;53(1):103-111. doi:10.1016/j.bone.2012.11.031</w:t>
      </w:r>
    </w:p>
    <w:p w14:paraId="1846B59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32. </w:t>
      </w:r>
      <w:r w:rsidRPr="00875798">
        <w:rPr>
          <w:rFonts w:ascii="Helvetica" w:hAnsi="Helvetica" w:cs="Times New Roman"/>
          <w:noProof/>
        </w:rPr>
        <w:tab/>
        <w:t xml:space="preserve">Gómez-Cabello A, Ara I, González-Agüero A, Casajús JA, Vicente-Rodríguez G. Effects of training on bone mass in older adults: A systematic review. </w:t>
      </w:r>
      <w:r w:rsidRPr="00875798">
        <w:rPr>
          <w:rFonts w:ascii="Helvetica" w:hAnsi="Helvetica" w:cs="Times New Roman"/>
          <w:i/>
          <w:iCs/>
          <w:noProof/>
        </w:rPr>
        <w:t>Sport Med</w:t>
      </w:r>
      <w:r w:rsidRPr="00875798">
        <w:rPr>
          <w:rFonts w:ascii="Helvetica" w:hAnsi="Helvetica" w:cs="Times New Roman"/>
          <w:noProof/>
        </w:rPr>
        <w:t>. 2012;42(4):301-325. doi:10.2165/11597670-000000000-00000</w:t>
      </w:r>
    </w:p>
    <w:p w14:paraId="6BB10D1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33. </w:t>
      </w:r>
      <w:r w:rsidRPr="00875798">
        <w:rPr>
          <w:rFonts w:ascii="Helvetica" w:hAnsi="Helvetica" w:cs="Times New Roman"/>
          <w:noProof/>
        </w:rPr>
        <w:tab/>
        <w:t xml:space="preserve">Martyn-St James M, Carroll S. A meta-analysis of impact exercise on postmenopausal bone loss: The case for mixed loading exercise programmes. </w:t>
      </w:r>
      <w:r w:rsidRPr="00875798">
        <w:rPr>
          <w:rFonts w:ascii="Helvetica" w:hAnsi="Helvetica" w:cs="Times New Roman"/>
          <w:i/>
          <w:iCs/>
          <w:noProof/>
        </w:rPr>
        <w:t>Br J Sports Med</w:t>
      </w:r>
      <w:r w:rsidRPr="00875798">
        <w:rPr>
          <w:rFonts w:ascii="Helvetica" w:hAnsi="Helvetica" w:cs="Times New Roman"/>
          <w:noProof/>
        </w:rPr>
        <w:t>. 2009;43(12):898-908. doi:10.1136/bjsm.2008.052704</w:t>
      </w:r>
    </w:p>
    <w:p w14:paraId="024FFDC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34. </w:t>
      </w:r>
      <w:r w:rsidRPr="00875798">
        <w:rPr>
          <w:rFonts w:ascii="Helvetica" w:hAnsi="Helvetica" w:cs="Times New Roman"/>
          <w:noProof/>
        </w:rPr>
        <w:tab/>
        <w:t xml:space="preserve">Kohrt WM, Bloomfield SA, Little KD, Nelson ME, Yingling VR. Physical Activity and Bone Health. </w:t>
      </w:r>
      <w:r w:rsidRPr="00875798">
        <w:rPr>
          <w:rFonts w:ascii="Helvetica" w:hAnsi="Helvetica" w:cs="Times New Roman"/>
          <w:i/>
          <w:iCs/>
          <w:noProof/>
        </w:rPr>
        <w:t>Med Sci Sport Exerc</w:t>
      </w:r>
      <w:r w:rsidRPr="00875798">
        <w:rPr>
          <w:rFonts w:ascii="Helvetica" w:hAnsi="Helvetica" w:cs="Times New Roman"/>
          <w:noProof/>
        </w:rPr>
        <w:t>. 2004;36(11):1985-1996. doi:10.1249/01.MSS.0000142662.21767.58</w:t>
      </w:r>
    </w:p>
    <w:p w14:paraId="51C78DA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35. </w:t>
      </w:r>
      <w:r w:rsidRPr="00875798">
        <w:rPr>
          <w:rFonts w:ascii="Helvetica" w:hAnsi="Helvetica" w:cs="Times New Roman"/>
          <w:noProof/>
        </w:rPr>
        <w:tab/>
        <w:t xml:space="preserve">Beck BR, Daly RM, Singh MAF, Taaffe DR. Exercise and Sports Science Australia (ESSA) position statement on exercise prescription for the prevention and management of osteoporosis. </w:t>
      </w:r>
      <w:r w:rsidRPr="00875798">
        <w:rPr>
          <w:rFonts w:ascii="Helvetica" w:hAnsi="Helvetica" w:cs="Times New Roman"/>
          <w:i/>
          <w:iCs/>
          <w:noProof/>
        </w:rPr>
        <w:t>J Sci Med Sport</w:t>
      </w:r>
      <w:r w:rsidRPr="00875798">
        <w:rPr>
          <w:rFonts w:ascii="Helvetica" w:hAnsi="Helvetica" w:cs="Times New Roman"/>
          <w:noProof/>
        </w:rPr>
        <w:t>. 2017;20(5):438-445. doi:10.1016/j.jsams.2016.10.001</w:t>
      </w:r>
    </w:p>
    <w:p w14:paraId="6F9197F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36. </w:t>
      </w:r>
      <w:r w:rsidRPr="00875798">
        <w:rPr>
          <w:rFonts w:ascii="Helvetica" w:hAnsi="Helvetica" w:cs="Times New Roman"/>
          <w:noProof/>
        </w:rPr>
        <w:tab/>
        <w:t xml:space="preserve">Giangregorio LM, McGill S, Wark JD, et al. Too Fit To Fracture: outcomes of a Delphi consensus process on physical activity and exercise recommendations for adults with osteoporosis with or without vertebral fractures. </w:t>
      </w:r>
      <w:r w:rsidRPr="00875798">
        <w:rPr>
          <w:rFonts w:ascii="Helvetica" w:hAnsi="Helvetica" w:cs="Times New Roman"/>
          <w:i/>
          <w:iCs/>
          <w:noProof/>
        </w:rPr>
        <w:t>Osteoporos Int</w:t>
      </w:r>
      <w:r w:rsidRPr="00875798">
        <w:rPr>
          <w:rFonts w:ascii="Helvetica" w:hAnsi="Helvetica" w:cs="Times New Roman"/>
          <w:noProof/>
        </w:rPr>
        <w:t>. 2015;26(3):891-910. doi:10.1007/s00198-014-2881-4</w:t>
      </w:r>
    </w:p>
    <w:p w14:paraId="3F7F788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37. </w:t>
      </w:r>
      <w:r w:rsidRPr="00875798">
        <w:rPr>
          <w:rFonts w:ascii="Helvetica" w:hAnsi="Helvetica" w:cs="Times New Roman"/>
          <w:noProof/>
        </w:rPr>
        <w:tab/>
        <w:t xml:space="preserve">Hart NH, Nimphius S, Rantalainen T, Ireland A, Siafarikas A, Newton RU. Mechanical basis of bone strength: Influence of bone material, bone structure and muscle action. </w:t>
      </w:r>
      <w:r w:rsidRPr="00875798">
        <w:rPr>
          <w:rFonts w:ascii="Helvetica" w:hAnsi="Helvetica" w:cs="Times New Roman"/>
          <w:i/>
          <w:iCs/>
          <w:noProof/>
        </w:rPr>
        <w:t>J Musculoskelet Neuronal Interact</w:t>
      </w:r>
      <w:r w:rsidRPr="00875798">
        <w:rPr>
          <w:rFonts w:ascii="Helvetica" w:hAnsi="Helvetica" w:cs="Times New Roman"/>
          <w:noProof/>
        </w:rPr>
        <w:t>. 2017;17(3):114-139.</w:t>
      </w:r>
    </w:p>
    <w:p w14:paraId="183ED94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38. </w:t>
      </w:r>
      <w:r w:rsidRPr="00875798">
        <w:rPr>
          <w:rFonts w:ascii="Helvetica" w:hAnsi="Helvetica" w:cs="Times New Roman"/>
          <w:noProof/>
        </w:rPr>
        <w:tab/>
        <w:t xml:space="preserve">Harding AT, Beck B. Exercise, Osteoporosis, and Bone Geometry. </w:t>
      </w:r>
      <w:r w:rsidRPr="00875798">
        <w:rPr>
          <w:rFonts w:ascii="Helvetica" w:hAnsi="Helvetica" w:cs="Times New Roman"/>
          <w:i/>
          <w:iCs/>
          <w:noProof/>
        </w:rPr>
        <w:t>Sports</w:t>
      </w:r>
      <w:r w:rsidRPr="00875798">
        <w:rPr>
          <w:rFonts w:ascii="Helvetica" w:hAnsi="Helvetica" w:cs="Times New Roman"/>
          <w:noProof/>
        </w:rPr>
        <w:t>. 2017;5(2):29. doi:10.3390/sports5020029</w:t>
      </w:r>
    </w:p>
    <w:p w14:paraId="3E2298FD"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39. </w:t>
      </w:r>
      <w:r w:rsidRPr="00875798">
        <w:rPr>
          <w:rFonts w:ascii="Helvetica" w:hAnsi="Helvetica" w:cs="Times New Roman"/>
          <w:noProof/>
        </w:rPr>
        <w:tab/>
        <w:t xml:space="preserve">Frost HM. Bone’s mechnostat: a 2003 update. </w:t>
      </w:r>
      <w:r w:rsidRPr="00875798">
        <w:rPr>
          <w:rFonts w:ascii="Helvetica" w:hAnsi="Helvetica" w:cs="Times New Roman"/>
          <w:i/>
          <w:iCs/>
          <w:noProof/>
        </w:rPr>
        <w:t>Anat Rec Part A</w:t>
      </w:r>
      <w:r w:rsidRPr="00875798">
        <w:rPr>
          <w:rFonts w:ascii="Helvetica" w:hAnsi="Helvetica" w:cs="Times New Roman"/>
          <w:noProof/>
        </w:rPr>
        <w:t>. 2003;275A:1081-1101.</w:t>
      </w:r>
    </w:p>
    <w:p w14:paraId="5054091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40. </w:t>
      </w:r>
      <w:r w:rsidRPr="00875798">
        <w:rPr>
          <w:rFonts w:ascii="Helvetica" w:hAnsi="Helvetica" w:cs="Times New Roman"/>
          <w:noProof/>
        </w:rPr>
        <w:tab/>
        <w:t xml:space="preserve">Ehrlich PJ, Lanyon LE. Mechanical strain and bone cell function: A review. </w:t>
      </w:r>
      <w:r w:rsidRPr="00875798">
        <w:rPr>
          <w:rFonts w:ascii="Helvetica" w:hAnsi="Helvetica" w:cs="Times New Roman"/>
          <w:i/>
          <w:iCs/>
          <w:noProof/>
        </w:rPr>
        <w:t>Osteoporos Int</w:t>
      </w:r>
      <w:r w:rsidRPr="00875798">
        <w:rPr>
          <w:rFonts w:ascii="Helvetica" w:hAnsi="Helvetica" w:cs="Times New Roman"/>
          <w:noProof/>
        </w:rPr>
        <w:t>. 2002;13(9):688-700. doi:10.1007/s001980200095</w:t>
      </w:r>
    </w:p>
    <w:p w14:paraId="42ED6F6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41. </w:t>
      </w:r>
      <w:r w:rsidRPr="00875798">
        <w:rPr>
          <w:rFonts w:ascii="Helvetica" w:hAnsi="Helvetica" w:cs="Times New Roman"/>
          <w:noProof/>
        </w:rPr>
        <w:tab/>
        <w:t xml:space="preserve">Hert J, Lisková M, Landa J. Reaction of bone to mechanical stimuli. 1. Continuous and intermittent loading of tibia in rabbit. </w:t>
      </w:r>
      <w:r w:rsidRPr="00875798">
        <w:rPr>
          <w:rFonts w:ascii="Helvetica" w:hAnsi="Helvetica" w:cs="Times New Roman"/>
          <w:i/>
          <w:iCs/>
          <w:noProof/>
        </w:rPr>
        <w:t>Folia Morphol (Warsz)</w:t>
      </w:r>
      <w:r w:rsidRPr="00875798">
        <w:rPr>
          <w:rFonts w:ascii="Helvetica" w:hAnsi="Helvetica" w:cs="Times New Roman"/>
          <w:noProof/>
        </w:rPr>
        <w:t>. 1971;19(3):290—300. http://europepmc.org/abstract/MED/5142775</w:t>
      </w:r>
    </w:p>
    <w:p w14:paraId="29D7972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42. </w:t>
      </w:r>
      <w:r w:rsidRPr="00875798">
        <w:rPr>
          <w:rFonts w:ascii="Helvetica" w:hAnsi="Helvetica" w:cs="Times New Roman"/>
          <w:noProof/>
        </w:rPr>
        <w:tab/>
        <w:t xml:space="preserve">Zhang Y, Chai Y, Pan X, Shen H, Wei X, Xie Y. Tai chi for treating osteopenia and primary osteoporosis: A meta-analysis and trial sequential analysis. </w:t>
      </w:r>
      <w:r w:rsidRPr="00875798">
        <w:rPr>
          <w:rFonts w:ascii="Helvetica" w:hAnsi="Helvetica" w:cs="Times New Roman"/>
          <w:i/>
          <w:iCs/>
          <w:noProof/>
        </w:rPr>
        <w:t>Clin Interv Aging</w:t>
      </w:r>
      <w:r w:rsidRPr="00875798">
        <w:rPr>
          <w:rFonts w:ascii="Helvetica" w:hAnsi="Helvetica" w:cs="Times New Roman"/>
          <w:noProof/>
        </w:rPr>
        <w:t>. 2019;14:91-104. doi:10.2147/CIA.S187588</w:t>
      </w:r>
    </w:p>
    <w:p w14:paraId="4ECEEA7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43. </w:t>
      </w:r>
      <w:r w:rsidRPr="00875798">
        <w:rPr>
          <w:rFonts w:ascii="Helvetica" w:hAnsi="Helvetica" w:cs="Times New Roman"/>
          <w:noProof/>
        </w:rPr>
        <w:tab/>
        <w:t>Zou L, Wang C, Chen K, et al. The effect of Taichi practice on attenuating bone mineral density loss: A systematic review and meta</w:t>
      </w:r>
      <w:r w:rsidRPr="00875798">
        <w:rPr>
          <w:rFonts w:ascii="Cambria Math" w:hAnsi="Cambria Math" w:cs="Cambria Math"/>
          <w:noProof/>
        </w:rPr>
        <w:t>‐</w:t>
      </w:r>
      <w:r w:rsidRPr="00875798">
        <w:rPr>
          <w:rFonts w:ascii="Helvetica" w:hAnsi="Helvetica" w:cs="Times New Roman"/>
          <w:noProof/>
        </w:rPr>
        <w:t xml:space="preserve">analysis of randomized controlled trials. </w:t>
      </w:r>
      <w:r w:rsidRPr="00875798">
        <w:rPr>
          <w:rFonts w:ascii="Helvetica" w:hAnsi="Helvetica" w:cs="Times New Roman"/>
          <w:i/>
          <w:iCs/>
          <w:noProof/>
        </w:rPr>
        <w:t>Int J Environ Res Public Health</w:t>
      </w:r>
      <w:r w:rsidRPr="00875798">
        <w:rPr>
          <w:rFonts w:ascii="Helvetica" w:hAnsi="Helvetica" w:cs="Times New Roman"/>
          <w:noProof/>
        </w:rPr>
        <w:t>. 2017;14(9). doi:10.3390/ijerph14091000</w:t>
      </w:r>
    </w:p>
    <w:p w14:paraId="7304D62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44. </w:t>
      </w:r>
      <w:r w:rsidRPr="00875798">
        <w:rPr>
          <w:rFonts w:ascii="Helvetica" w:hAnsi="Helvetica" w:cs="Times New Roman"/>
          <w:noProof/>
        </w:rPr>
        <w:tab/>
        <w:t xml:space="preserve">Angin E, Erden Z, Can F. The effects of clinical pilates exercises on bone mineral density, physical performance and quality of life of women with postmenopausal osteoporosis. </w:t>
      </w:r>
      <w:r w:rsidRPr="00875798">
        <w:rPr>
          <w:rFonts w:ascii="Helvetica" w:hAnsi="Helvetica" w:cs="Times New Roman"/>
          <w:i/>
          <w:iCs/>
          <w:noProof/>
        </w:rPr>
        <w:t>J Back Musculoskelet Rehabil</w:t>
      </w:r>
      <w:r w:rsidRPr="00875798">
        <w:rPr>
          <w:rFonts w:ascii="Helvetica" w:hAnsi="Helvetica" w:cs="Times New Roman"/>
          <w:noProof/>
        </w:rPr>
        <w:t>. 2015;28(4):849-858. doi:10.3233/BMR-150604</w:t>
      </w:r>
    </w:p>
    <w:p w14:paraId="1B978B1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45. </w:t>
      </w:r>
      <w:r w:rsidRPr="00875798">
        <w:rPr>
          <w:rFonts w:ascii="Helvetica" w:hAnsi="Helvetica" w:cs="Times New Roman"/>
          <w:noProof/>
        </w:rPr>
        <w:tab/>
        <w:t xml:space="preserve">Sun Z, Chen H, Berger MR, Zhang L, Guo H, Huang Y. Effects of tai chi exercise on bone health in perimenopausal and postmenopausal women: a systematic review and meta-analysis. </w:t>
      </w:r>
      <w:r w:rsidRPr="00875798">
        <w:rPr>
          <w:rFonts w:ascii="Helvetica" w:hAnsi="Helvetica" w:cs="Times New Roman"/>
          <w:i/>
          <w:iCs/>
          <w:noProof/>
        </w:rPr>
        <w:t>Osteoporos Int</w:t>
      </w:r>
      <w:r w:rsidRPr="00875798">
        <w:rPr>
          <w:rFonts w:ascii="Helvetica" w:hAnsi="Helvetica" w:cs="Times New Roman"/>
          <w:noProof/>
        </w:rPr>
        <w:t>. 2016;27(10):2901-2911. doi:10.1007/s00198-016-3626-3</w:t>
      </w:r>
    </w:p>
    <w:p w14:paraId="1FC0397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46. </w:t>
      </w:r>
      <w:r w:rsidRPr="00875798">
        <w:rPr>
          <w:rFonts w:ascii="Helvetica" w:hAnsi="Helvetica" w:cs="Times New Roman"/>
          <w:noProof/>
        </w:rPr>
        <w:tab/>
        <w:t xml:space="preserve">Kim SJ, Bemben MG, Knehans AW, Bemben DA. Effects of an 8-month ashtanga-based yoga intervention on bone metabolism in middle-aged premenopausal women: A randomized controlled study. </w:t>
      </w:r>
      <w:r w:rsidRPr="00875798">
        <w:rPr>
          <w:rFonts w:ascii="Helvetica" w:hAnsi="Helvetica" w:cs="Times New Roman"/>
          <w:i/>
          <w:iCs/>
          <w:noProof/>
        </w:rPr>
        <w:t>J Sport Sci Med</w:t>
      </w:r>
      <w:r w:rsidRPr="00875798">
        <w:rPr>
          <w:rFonts w:ascii="Helvetica" w:hAnsi="Helvetica" w:cs="Times New Roman"/>
          <w:noProof/>
        </w:rPr>
        <w:t>. 2015;14(4):756-768.</w:t>
      </w:r>
    </w:p>
    <w:p w14:paraId="2C6A507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47. </w:t>
      </w:r>
      <w:r w:rsidRPr="00875798">
        <w:rPr>
          <w:rFonts w:ascii="Helvetica" w:hAnsi="Helvetica" w:cs="Times New Roman"/>
          <w:noProof/>
        </w:rPr>
        <w:tab/>
        <w:t xml:space="preserve">Allison SJ, Folland JP, Rennie WJ, Summers GD, Brooke-Wavell K. High impact exercise increased femoral neck bone mineral density in older men: A randomised unilateral intervention. </w:t>
      </w:r>
      <w:r w:rsidRPr="00875798">
        <w:rPr>
          <w:rFonts w:ascii="Helvetica" w:hAnsi="Helvetica" w:cs="Times New Roman"/>
          <w:i/>
          <w:iCs/>
          <w:noProof/>
        </w:rPr>
        <w:t>Bone</w:t>
      </w:r>
      <w:r w:rsidRPr="00875798">
        <w:rPr>
          <w:rFonts w:ascii="Helvetica" w:hAnsi="Helvetica" w:cs="Times New Roman"/>
          <w:noProof/>
        </w:rPr>
        <w:t>. 2013;53(2):321-328. doi:10.1016/j.bone.2012.12.045</w:t>
      </w:r>
    </w:p>
    <w:p w14:paraId="059DE03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48. </w:t>
      </w:r>
      <w:r w:rsidRPr="00875798">
        <w:rPr>
          <w:rFonts w:ascii="Helvetica" w:hAnsi="Helvetica" w:cs="Times New Roman"/>
          <w:noProof/>
        </w:rPr>
        <w:tab/>
        <w:t xml:space="preserve">Palombaro KM. Effects of walking-only interventions on bone mineral density at various skeletal sites: a meta-analysis. </w:t>
      </w:r>
      <w:r w:rsidRPr="00875798">
        <w:rPr>
          <w:rFonts w:ascii="Helvetica" w:hAnsi="Helvetica" w:cs="Times New Roman"/>
          <w:i/>
          <w:iCs/>
          <w:noProof/>
        </w:rPr>
        <w:t>J Geriatr Phys Ther</w:t>
      </w:r>
      <w:r w:rsidRPr="00875798">
        <w:rPr>
          <w:rFonts w:ascii="Helvetica" w:hAnsi="Helvetica" w:cs="Times New Roman"/>
          <w:noProof/>
        </w:rPr>
        <w:t>. 2005;28(3):102-107. doi:10.1519/00139143-200512000-00006</w:t>
      </w:r>
    </w:p>
    <w:p w14:paraId="14AE6E0D"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49. </w:t>
      </w:r>
      <w:r w:rsidRPr="00875798">
        <w:rPr>
          <w:rFonts w:ascii="Helvetica" w:hAnsi="Helvetica" w:cs="Times New Roman"/>
          <w:noProof/>
        </w:rPr>
        <w:tab/>
        <w:t xml:space="preserve">Ma D, Wu L, He Z. Effects of walking on the preservation of bone mineral density in perimenopausal and postmenopausal women: a systematic review and meta-analysis. </w:t>
      </w:r>
      <w:r w:rsidRPr="00875798">
        <w:rPr>
          <w:rFonts w:ascii="Helvetica" w:hAnsi="Helvetica" w:cs="Times New Roman"/>
          <w:i/>
          <w:iCs/>
          <w:noProof/>
        </w:rPr>
        <w:t>Menopause</w:t>
      </w:r>
      <w:r w:rsidRPr="00875798">
        <w:rPr>
          <w:rFonts w:ascii="Helvetica" w:hAnsi="Helvetica" w:cs="Times New Roman"/>
          <w:noProof/>
        </w:rPr>
        <w:t>. 2013;20(11):1216-1226.</w:t>
      </w:r>
    </w:p>
    <w:p w14:paraId="02C0AFA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50. </w:t>
      </w:r>
      <w:r w:rsidRPr="00875798">
        <w:rPr>
          <w:rFonts w:ascii="Helvetica" w:hAnsi="Helvetica" w:cs="Times New Roman"/>
          <w:noProof/>
        </w:rPr>
        <w:tab/>
        <w:t xml:space="preserve">Pellikaan P, Giarmatzis G, Vander Sloten J, Verschueren S, Jonkers I. Ranking of osteogenic potential of physical exercises in postmenopausal women based on femoral neck strains. </w:t>
      </w:r>
      <w:r w:rsidRPr="00875798">
        <w:rPr>
          <w:rFonts w:ascii="Helvetica" w:hAnsi="Helvetica" w:cs="Times New Roman"/>
          <w:i/>
          <w:iCs/>
          <w:noProof/>
        </w:rPr>
        <w:t>PLoS One</w:t>
      </w:r>
      <w:r w:rsidRPr="00875798">
        <w:rPr>
          <w:rFonts w:ascii="Helvetica" w:hAnsi="Helvetica" w:cs="Times New Roman"/>
          <w:noProof/>
        </w:rPr>
        <w:t>. 2018;13(4):1-18. doi:10.1371/journal.pone.0195463</w:t>
      </w:r>
    </w:p>
    <w:p w14:paraId="3520809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51. </w:t>
      </w:r>
      <w:r w:rsidRPr="00875798">
        <w:rPr>
          <w:rFonts w:ascii="Helvetica" w:hAnsi="Helvetica" w:cs="Times New Roman"/>
          <w:noProof/>
        </w:rPr>
        <w:tab/>
        <w:t xml:space="preserve">Ebrahim S, Thompson PW, Baskaran V, Evans K. Randomized placebo-controlled trial of brisk walking in the prevention of postmenopausal osteoporosis. </w:t>
      </w:r>
      <w:r w:rsidRPr="00875798">
        <w:rPr>
          <w:rFonts w:ascii="Helvetica" w:hAnsi="Helvetica" w:cs="Times New Roman"/>
          <w:i/>
          <w:iCs/>
          <w:noProof/>
        </w:rPr>
        <w:t>Age Ageing</w:t>
      </w:r>
      <w:r w:rsidRPr="00875798">
        <w:rPr>
          <w:rFonts w:ascii="Helvetica" w:hAnsi="Helvetica" w:cs="Times New Roman"/>
          <w:noProof/>
        </w:rPr>
        <w:t>. 1997;26(4):253-260.</w:t>
      </w:r>
    </w:p>
    <w:p w14:paraId="3AF1637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52. </w:t>
      </w:r>
      <w:r w:rsidRPr="00875798">
        <w:rPr>
          <w:rFonts w:ascii="Helvetica" w:hAnsi="Helvetica" w:cs="Times New Roman"/>
          <w:noProof/>
        </w:rPr>
        <w:tab/>
        <w:t>Department of Health and Social Care. UK Chief Medical Officers’ Physical Activity Guidelines. Published 2019. Accessed September 18, 2019. https://assets.publishing.service.gov.uk/government/uploads/system/uploads/attachment_data/file/832868/ukchief-medical-officers-physical-activity-guidelines.pdf</w:t>
      </w:r>
    </w:p>
    <w:p w14:paraId="5982AC5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53. </w:t>
      </w:r>
      <w:r w:rsidRPr="00875798">
        <w:rPr>
          <w:rFonts w:ascii="Helvetica" w:hAnsi="Helvetica" w:cs="Times New Roman"/>
          <w:noProof/>
        </w:rPr>
        <w:tab/>
        <w:t xml:space="preserve">Nelson ME, Rejeski WJ, Blair SN, et al. Physical activity and public health in older adults: Recommendation from the American College of Sports Medicine and the American Heart Association. </w:t>
      </w:r>
      <w:r w:rsidRPr="00875798">
        <w:rPr>
          <w:rFonts w:ascii="Helvetica" w:hAnsi="Helvetica" w:cs="Times New Roman"/>
          <w:i/>
          <w:iCs/>
          <w:noProof/>
        </w:rPr>
        <w:t>Med Sci Sports Exerc</w:t>
      </w:r>
      <w:r w:rsidRPr="00875798">
        <w:rPr>
          <w:rFonts w:ascii="Helvetica" w:hAnsi="Helvetica" w:cs="Times New Roman"/>
          <w:noProof/>
        </w:rPr>
        <w:t>. 2007;39(8):1435-1445. doi:10.1249/mss.0b013e3180616aa2</w:t>
      </w:r>
    </w:p>
    <w:p w14:paraId="05198D9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54. </w:t>
      </w:r>
      <w:r w:rsidRPr="00875798">
        <w:rPr>
          <w:rFonts w:ascii="Helvetica" w:hAnsi="Helvetica" w:cs="Times New Roman"/>
          <w:noProof/>
        </w:rPr>
        <w:tab/>
        <w:t xml:space="preserve">Abrahin O, Rodrigues RP, Marçal AC, Alves EAC, Figueiredo RC, de Sousa EC. Swimming and cycling do not cause positive effects on bone mineral density: A systematic review. </w:t>
      </w:r>
      <w:r w:rsidRPr="00875798">
        <w:rPr>
          <w:rFonts w:ascii="Helvetica" w:hAnsi="Helvetica" w:cs="Times New Roman"/>
          <w:i/>
          <w:iCs/>
          <w:noProof/>
        </w:rPr>
        <w:t>Rev Bras Reumatol</w:t>
      </w:r>
      <w:r w:rsidRPr="00875798">
        <w:rPr>
          <w:rFonts w:ascii="Helvetica" w:hAnsi="Helvetica" w:cs="Times New Roman"/>
          <w:noProof/>
        </w:rPr>
        <w:t>. 2016;56(4):345-351. doi:10.1016/j.rbre.2016.02.013</w:t>
      </w:r>
    </w:p>
    <w:p w14:paraId="4058F454"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55. </w:t>
      </w:r>
      <w:r w:rsidRPr="00875798">
        <w:rPr>
          <w:rFonts w:ascii="Helvetica" w:hAnsi="Helvetica" w:cs="Times New Roman"/>
          <w:noProof/>
        </w:rPr>
        <w:tab/>
        <w:t xml:space="preserve">Johansson J, Nordström A, Nordström P. Objectively measured physical activity is associated with parameters of bone in 70-year-old men and women. </w:t>
      </w:r>
      <w:r w:rsidRPr="00875798">
        <w:rPr>
          <w:rFonts w:ascii="Helvetica" w:hAnsi="Helvetica" w:cs="Times New Roman"/>
          <w:i/>
          <w:iCs/>
          <w:noProof/>
        </w:rPr>
        <w:t>Bone</w:t>
      </w:r>
      <w:r w:rsidRPr="00875798">
        <w:rPr>
          <w:rFonts w:ascii="Helvetica" w:hAnsi="Helvetica" w:cs="Times New Roman"/>
          <w:noProof/>
        </w:rPr>
        <w:t>. 2015;81:72-79. doi:10.1016/j.bone.2015.07.001</w:t>
      </w:r>
    </w:p>
    <w:p w14:paraId="2FA20FA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56. </w:t>
      </w:r>
      <w:r w:rsidRPr="00875798">
        <w:rPr>
          <w:rFonts w:ascii="Helvetica" w:hAnsi="Helvetica" w:cs="Times New Roman"/>
          <w:noProof/>
        </w:rPr>
        <w:tab/>
        <w:t xml:space="preserve">Hannam K, Deere KC, Hartley A, et al. Habitual levels of higher, but not medium or low, impact physical activity are positively related to lower limb bone strength in older women: findings from a population-based study using accelerometers to classify impact magnitude. </w:t>
      </w:r>
      <w:r w:rsidRPr="00875798">
        <w:rPr>
          <w:rFonts w:ascii="Helvetica" w:hAnsi="Helvetica" w:cs="Times New Roman"/>
          <w:i/>
          <w:iCs/>
          <w:noProof/>
        </w:rPr>
        <w:t>Osteoporos Int</w:t>
      </w:r>
      <w:r w:rsidRPr="00875798">
        <w:rPr>
          <w:rFonts w:ascii="Helvetica" w:hAnsi="Helvetica" w:cs="Times New Roman"/>
          <w:noProof/>
        </w:rPr>
        <w:t>. 2017;28(10):2813-2822. doi:10.1007/s00198-016-3863-5</w:t>
      </w:r>
    </w:p>
    <w:p w14:paraId="773EA0E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57. </w:t>
      </w:r>
      <w:r w:rsidRPr="00875798">
        <w:rPr>
          <w:rFonts w:ascii="Helvetica" w:hAnsi="Helvetica" w:cs="Times New Roman"/>
          <w:noProof/>
        </w:rPr>
        <w:tab/>
        <w:t xml:space="preserve">Stiles VH, Metcalf BS, Knapp KM, Rowlands A V. A small amount of precisely measured high-intensity habitual physical activity predicts bone health in pre- and post-menopausal women in UK Biobank. </w:t>
      </w:r>
      <w:r w:rsidRPr="00875798">
        <w:rPr>
          <w:rFonts w:ascii="Helvetica" w:hAnsi="Helvetica" w:cs="Times New Roman"/>
          <w:i/>
          <w:iCs/>
          <w:noProof/>
        </w:rPr>
        <w:t>Int J Epidemiol</w:t>
      </w:r>
      <w:r w:rsidRPr="00875798">
        <w:rPr>
          <w:rFonts w:ascii="Helvetica" w:hAnsi="Helvetica" w:cs="Times New Roman"/>
          <w:noProof/>
        </w:rPr>
        <w:t>. 2017;46(6):1847-1856. doi:10.1093/ije/dyx080</w:t>
      </w:r>
    </w:p>
    <w:p w14:paraId="38AEA83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58. </w:t>
      </w:r>
      <w:r w:rsidRPr="00875798">
        <w:rPr>
          <w:rFonts w:ascii="Helvetica" w:hAnsi="Helvetica" w:cs="Times New Roman"/>
          <w:noProof/>
        </w:rPr>
        <w:tab/>
        <w:t xml:space="preserve">Watson SL, Weeks BK, Weis LJ, Harding AT, Horan SA, Beck BR. High-Intensity Resistance and Impact Training Improves Bone Mineral Density and Physical Function in Postmenopausal Women With Osteopenia and Osteoporosis: The LIFTMOR Randomized Controlled Trial. </w:t>
      </w:r>
      <w:r w:rsidRPr="00875798">
        <w:rPr>
          <w:rFonts w:ascii="Helvetica" w:hAnsi="Helvetica" w:cs="Times New Roman"/>
          <w:i/>
          <w:iCs/>
          <w:noProof/>
        </w:rPr>
        <w:t>J Bone Miner Res</w:t>
      </w:r>
      <w:r w:rsidRPr="00875798">
        <w:rPr>
          <w:rFonts w:ascii="Helvetica" w:hAnsi="Helvetica" w:cs="Times New Roman"/>
          <w:noProof/>
        </w:rPr>
        <w:t>. 2018;33(2):211-220. doi:10.1002/jbmr.3284</w:t>
      </w:r>
    </w:p>
    <w:p w14:paraId="1F77FCC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59. </w:t>
      </w:r>
      <w:r w:rsidRPr="00875798">
        <w:rPr>
          <w:rFonts w:ascii="Helvetica" w:hAnsi="Helvetica" w:cs="Times New Roman"/>
          <w:noProof/>
        </w:rPr>
        <w:tab/>
        <w:t xml:space="preserve">Harding AT, Weeks BK, Lambert C, Watson SL, Weis LJ, Beck BR. A Comparison of Bone-Targeted Exercise Strategies to Reduce Fracture Risk in Middle-Aged and Older Men with Osteopenia and Osteoporosis: LIFTMOR-M Semi-Randomized Controlled Trial. </w:t>
      </w:r>
      <w:r w:rsidRPr="00875798">
        <w:rPr>
          <w:rFonts w:ascii="Helvetica" w:hAnsi="Helvetica" w:cs="Times New Roman"/>
          <w:i/>
          <w:iCs/>
          <w:noProof/>
        </w:rPr>
        <w:t>J Bone Miner Res</w:t>
      </w:r>
      <w:r w:rsidRPr="00875798">
        <w:rPr>
          <w:rFonts w:ascii="Helvetica" w:hAnsi="Helvetica" w:cs="Times New Roman"/>
          <w:noProof/>
        </w:rPr>
        <w:t>. 2020;35(8):1404-1414. doi:10.1002/jbmr.4008</w:t>
      </w:r>
    </w:p>
    <w:p w14:paraId="5928497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60. </w:t>
      </w:r>
      <w:r w:rsidRPr="00875798">
        <w:rPr>
          <w:rFonts w:ascii="Helvetica" w:hAnsi="Helvetica" w:cs="Times New Roman"/>
          <w:noProof/>
        </w:rPr>
        <w:tab/>
        <w:t xml:space="preserve">Chastin SFM, Mandrichenko O, Helbostadt JL, Skelton DA. Associations between objectively-measured sedentary behaviour and physical activity with bone mineral density in adults and older adults, the NHANES study. </w:t>
      </w:r>
      <w:r w:rsidRPr="00875798">
        <w:rPr>
          <w:rFonts w:ascii="Helvetica" w:hAnsi="Helvetica" w:cs="Times New Roman"/>
          <w:i/>
          <w:iCs/>
          <w:noProof/>
        </w:rPr>
        <w:t>Bone</w:t>
      </w:r>
      <w:r w:rsidRPr="00875798">
        <w:rPr>
          <w:rFonts w:ascii="Helvetica" w:hAnsi="Helvetica" w:cs="Times New Roman"/>
          <w:noProof/>
        </w:rPr>
        <w:t>. 2014;64:254-262. doi:10.1016/j.bone.2014.04.009</w:t>
      </w:r>
    </w:p>
    <w:p w14:paraId="7997FDE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61. </w:t>
      </w:r>
      <w:r w:rsidRPr="00875798">
        <w:rPr>
          <w:rFonts w:ascii="Helvetica" w:hAnsi="Helvetica" w:cs="Times New Roman"/>
          <w:noProof/>
        </w:rPr>
        <w:tab/>
        <w:t xml:space="preserve">Marks R, Allegrante JP, Ronald MacKenzie C, Lane JM. Hip fractures among the elderly: causes, consequences and control. </w:t>
      </w:r>
      <w:r w:rsidRPr="00875798">
        <w:rPr>
          <w:rFonts w:ascii="Helvetica" w:hAnsi="Helvetica" w:cs="Times New Roman"/>
          <w:i/>
          <w:iCs/>
          <w:noProof/>
        </w:rPr>
        <w:t>Ageing Res Rev</w:t>
      </w:r>
      <w:r w:rsidRPr="00875798">
        <w:rPr>
          <w:rFonts w:ascii="Helvetica" w:hAnsi="Helvetica" w:cs="Times New Roman"/>
          <w:noProof/>
        </w:rPr>
        <w:t>. 2003;2(1):57-93. doi:10.1016/S1568-1637(02)00045-4</w:t>
      </w:r>
    </w:p>
    <w:p w14:paraId="56F54BCE"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62. </w:t>
      </w:r>
      <w:r w:rsidRPr="00875798">
        <w:rPr>
          <w:rFonts w:ascii="Helvetica" w:hAnsi="Helvetica" w:cs="Times New Roman"/>
          <w:noProof/>
        </w:rPr>
        <w:tab/>
        <w:t>Mcmichan L, Dick M, Skelton DA, et al. Sedentary behaviour and bone health in older adults : a systematic review. Published online 2021.</w:t>
      </w:r>
    </w:p>
    <w:p w14:paraId="1B6A0E7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63. </w:t>
      </w:r>
      <w:r w:rsidRPr="00875798">
        <w:rPr>
          <w:rFonts w:ascii="Helvetica" w:hAnsi="Helvetica" w:cs="Times New Roman"/>
          <w:noProof/>
        </w:rPr>
        <w:tab/>
        <w:t>Grady CL, Muirhead F, Skelton DA, Mavroeidi A. Exploring osteoporosis sufferers knowledge on sedentary behaviour in the management of their disease. 2020;(December).</w:t>
      </w:r>
    </w:p>
    <w:p w14:paraId="4EB95234"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64. </w:t>
      </w:r>
      <w:r w:rsidRPr="00875798">
        <w:rPr>
          <w:rFonts w:ascii="Helvetica" w:hAnsi="Helvetica" w:cs="Times New Roman"/>
          <w:noProof/>
        </w:rPr>
        <w:tab/>
        <w:t xml:space="preserve">Turner CH, Robling AG. Exercises for improving bone strength. </w:t>
      </w:r>
      <w:r w:rsidRPr="00875798">
        <w:rPr>
          <w:rFonts w:ascii="Helvetica" w:hAnsi="Helvetica" w:cs="Times New Roman"/>
          <w:i/>
          <w:iCs/>
          <w:noProof/>
        </w:rPr>
        <w:t>Br J Sports Med</w:t>
      </w:r>
      <w:r w:rsidRPr="00875798">
        <w:rPr>
          <w:rFonts w:ascii="Helvetica" w:hAnsi="Helvetica" w:cs="Times New Roman"/>
          <w:noProof/>
        </w:rPr>
        <w:t>. 2005;39(4):188-189. doi:10.1136/bjsm.2004.016923</w:t>
      </w:r>
    </w:p>
    <w:p w14:paraId="36937B7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65. </w:t>
      </w:r>
      <w:r w:rsidRPr="00875798">
        <w:rPr>
          <w:rFonts w:ascii="Helvetica" w:hAnsi="Helvetica" w:cs="Times New Roman"/>
          <w:noProof/>
        </w:rPr>
        <w:tab/>
        <w:t xml:space="preserve">Burr DB, Robling AG, Turner CH. Effects of biomechanical stress on bones in animals. </w:t>
      </w:r>
      <w:r w:rsidRPr="00875798">
        <w:rPr>
          <w:rFonts w:ascii="Helvetica" w:hAnsi="Helvetica" w:cs="Times New Roman"/>
          <w:i/>
          <w:iCs/>
          <w:noProof/>
        </w:rPr>
        <w:t>Bone</w:t>
      </w:r>
      <w:r w:rsidRPr="00875798">
        <w:rPr>
          <w:rFonts w:ascii="Helvetica" w:hAnsi="Helvetica" w:cs="Times New Roman"/>
          <w:noProof/>
        </w:rPr>
        <w:t>. 2002;30(5):781-786. doi:10.1016/S8756-3282(02)00707-X</w:t>
      </w:r>
    </w:p>
    <w:p w14:paraId="52F4779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66. </w:t>
      </w:r>
      <w:r w:rsidRPr="00875798">
        <w:rPr>
          <w:rFonts w:ascii="Helvetica" w:hAnsi="Helvetica" w:cs="Times New Roman"/>
          <w:noProof/>
        </w:rPr>
        <w:tab/>
        <w:t xml:space="preserve">Neville CE, Murray LJ, Boreham CAG, et al. Relationship between physical activity and bone mineral status in young adults: The Northern Ireland young hearts project. In: </w:t>
      </w:r>
      <w:r w:rsidRPr="00875798">
        <w:rPr>
          <w:rFonts w:ascii="Helvetica" w:hAnsi="Helvetica" w:cs="Times New Roman"/>
          <w:i/>
          <w:iCs/>
          <w:noProof/>
        </w:rPr>
        <w:t>Bone</w:t>
      </w:r>
      <w:r w:rsidRPr="00875798">
        <w:rPr>
          <w:rFonts w:ascii="Helvetica" w:hAnsi="Helvetica" w:cs="Times New Roman"/>
          <w:noProof/>
        </w:rPr>
        <w:t>. Vol 30. ; 2002:792-798. doi:10.1016/S8756-3282(02)00711-1</w:t>
      </w:r>
    </w:p>
    <w:p w14:paraId="079DDE1D"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67. </w:t>
      </w:r>
      <w:r w:rsidRPr="00875798">
        <w:rPr>
          <w:rFonts w:ascii="Helvetica" w:hAnsi="Helvetica" w:cs="Times New Roman"/>
          <w:noProof/>
        </w:rPr>
        <w:tab/>
        <w:t xml:space="preserve">Mori T, Ishii S, Greendale GA, et al. Physical activity as determinant of femoral neck strength relative to load in adult women: Findings from the hip strength across the menopause transition study. </w:t>
      </w:r>
      <w:r w:rsidRPr="00875798">
        <w:rPr>
          <w:rFonts w:ascii="Helvetica" w:hAnsi="Helvetica" w:cs="Times New Roman"/>
          <w:i/>
          <w:iCs/>
          <w:noProof/>
        </w:rPr>
        <w:t>Osteoporos Int</w:t>
      </w:r>
      <w:r w:rsidRPr="00875798">
        <w:rPr>
          <w:rFonts w:ascii="Helvetica" w:hAnsi="Helvetica" w:cs="Times New Roman"/>
          <w:noProof/>
        </w:rPr>
        <w:t>. 2014;25(1):265-272. doi:10.1007/s00198-013-2429-z</w:t>
      </w:r>
    </w:p>
    <w:p w14:paraId="4E5EBFB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68. </w:t>
      </w:r>
      <w:r w:rsidRPr="00875798">
        <w:rPr>
          <w:rFonts w:ascii="Helvetica" w:hAnsi="Helvetica" w:cs="Times New Roman"/>
          <w:noProof/>
        </w:rPr>
        <w:tab/>
        <w:t xml:space="preserve">Kemmler W, von Stengel S. Dose-response effect of exercise frequency on bone mineral density in post-menopausal, osteopenic women. </w:t>
      </w:r>
      <w:r w:rsidRPr="00875798">
        <w:rPr>
          <w:rFonts w:ascii="Helvetica" w:hAnsi="Helvetica" w:cs="Times New Roman"/>
          <w:i/>
          <w:iCs/>
          <w:noProof/>
        </w:rPr>
        <w:t>Scand J Med Sci Sport</w:t>
      </w:r>
      <w:r w:rsidRPr="00875798">
        <w:rPr>
          <w:rFonts w:ascii="Helvetica" w:hAnsi="Helvetica" w:cs="Times New Roman"/>
          <w:noProof/>
        </w:rPr>
        <w:t>. 2014;24(3):526-534. doi:10.1111/sms.12024</w:t>
      </w:r>
    </w:p>
    <w:p w14:paraId="23EDF71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69. </w:t>
      </w:r>
      <w:r w:rsidRPr="00875798">
        <w:rPr>
          <w:rFonts w:ascii="Helvetica" w:hAnsi="Helvetica" w:cs="Times New Roman"/>
          <w:noProof/>
        </w:rPr>
        <w:tab/>
        <w:t xml:space="preserve">Bailey CA, Brooke-Wavell K. Optimum frequency of exercise for bone health: Randomised controlled trial of a high-impact unilateral intervention. </w:t>
      </w:r>
      <w:r w:rsidRPr="00875798">
        <w:rPr>
          <w:rFonts w:ascii="Helvetica" w:hAnsi="Helvetica" w:cs="Times New Roman"/>
          <w:i/>
          <w:iCs/>
          <w:noProof/>
        </w:rPr>
        <w:t>Bone</w:t>
      </w:r>
      <w:r w:rsidRPr="00875798">
        <w:rPr>
          <w:rFonts w:ascii="Helvetica" w:hAnsi="Helvetica" w:cs="Times New Roman"/>
          <w:noProof/>
        </w:rPr>
        <w:t>. 2010;46(4):1043-1049. doi:10.1016/j.bone.2009.12.001</w:t>
      </w:r>
    </w:p>
    <w:p w14:paraId="7B2D3A3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70. </w:t>
      </w:r>
      <w:r w:rsidRPr="00875798">
        <w:rPr>
          <w:rFonts w:ascii="Helvetica" w:hAnsi="Helvetica" w:cs="Times New Roman"/>
          <w:noProof/>
        </w:rPr>
        <w:tab/>
        <w:t xml:space="preserve">Allison SJ, Poole KES, Treece GM, et al. The influence of high-impact exercise on cortical and trabecular bone mineral content and 3D distribution across the proximal femur in older men: A randomized controlled unilateral intervention. </w:t>
      </w:r>
      <w:r w:rsidRPr="00875798">
        <w:rPr>
          <w:rFonts w:ascii="Helvetica" w:hAnsi="Helvetica" w:cs="Times New Roman"/>
          <w:i/>
          <w:iCs/>
          <w:noProof/>
        </w:rPr>
        <w:t>J Bone Miner Res</w:t>
      </w:r>
      <w:r w:rsidRPr="00875798">
        <w:rPr>
          <w:rFonts w:ascii="Helvetica" w:hAnsi="Helvetica" w:cs="Times New Roman"/>
          <w:noProof/>
        </w:rPr>
        <w:t>. 2015;30(9):1709-1716. doi:10.1002/jbmr.2499</w:t>
      </w:r>
    </w:p>
    <w:p w14:paraId="111F62C5"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71. </w:t>
      </w:r>
      <w:r w:rsidRPr="00875798">
        <w:rPr>
          <w:rFonts w:ascii="Helvetica" w:hAnsi="Helvetica" w:cs="Times New Roman"/>
          <w:noProof/>
        </w:rPr>
        <w:tab/>
        <w:t xml:space="preserve">Sinaki M, Itoi E, Wahner HW, et al. Stronger back muscles reduce the incidence of vertebral fractures: A prospective 10 year follow-up of postmenopausal women. </w:t>
      </w:r>
      <w:r w:rsidRPr="00875798">
        <w:rPr>
          <w:rFonts w:ascii="Helvetica" w:hAnsi="Helvetica" w:cs="Times New Roman"/>
          <w:i/>
          <w:iCs/>
          <w:noProof/>
        </w:rPr>
        <w:t>Bone</w:t>
      </w:r>
      <w:r w:rsidRPr="00875798">
        <w:rPr>
          <w:rFonts w:ascii="Helvetica" w:hAnsi="Helvetica" w:cs="Times New Roman"/>
          <w:noProof/>
        </w:rPr>
        <w:t>. 2002;30(6):836-841. doi:10.1016/S8756-3282(02)00739-1</w:t>
      </w:r>
    </w:p>
    <w:p w14:paraId="7C1CCCBF"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72. </w:t>
      </w:r>
      <w:r w:rsidRPr="00875798">
        <w:rPr>
          <w:rFonts w:ascii="Helvetica" w:hAnsi="Helvetica" w:cs="Times New Roman"/>
          <w:noProof/>
        </w:rPr>
        <w:tab/>
        <w:t xml:space="preserve">Babatunde OO, Bourton AL, Karen H, Paskins Z, Forsyth JJ. Exercise Interventions for Preventing and Treating Low Bone Mass in the Forearm: A Systematic Review and Meta-analysis. </w:t>
      </w:r>
      <w:r w:rsidRPr="00875798">
        <w:rPr>
          <w:rFonts w:ascii="Helvetica" w:hAnsi="Helvetica" w:cs="Times New Roman"/>
          <w:i/>
          <w:iCs/>
          <w:noProof/>
        </w:rPr>
        <w:t>Arch Phys Med Rehabil</w:t>
      </w:r>
      <w:r w:rsidRPr="00875798">
        <w:rPr>
          <w:rFonts w:ascii="Helvetica" w:hAnsi="Helvetica" w:cs="Times New Roman"/>
          <w:noProof/>
        </w:rPr>
        <w:t>. 2020;101(3):487-511.</w:t>
      </w:r>
    </w:p>
    <w:p w14:paraId="77E7A98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73. </w:t>
      </w:r>
      <w:r w:rsidRPr="00875798">
        <w:rPr>
          <w:rFonts w:ascii="Helvetica" w:hAnsi="Helvetica" w:cs="Times New Roman"/>
          <w:noProof/>
        </w:rPr>
        <w:tab/>
        <w:t xml:space="preserve">Guadalupe-Grau A, Fuentes T, Guerra B, Calbet JAL. Exercise and bone mass in adults. </w:t>
      </w:r>
      <w:r w:rsidRPr="00875798">
        <w:rPr>
          <w:rFonts w:ascii="Helvetica" w:hAnsi="Helvetica" w:cs="Times New Roman"/>
          <w:i/>
          <w:iCs/>
          <w:noProof/>
        </w:rPr>
        <w:t>Sport Med</w:t>
      </w:r>
      <w:r w:rsidRPr="00875798">
        <w:rPr>
          <w:rFonts w:ascii="Helvetica" w:hAnsi="Helvetica" w:cs="Times New Roman"/>
          <w:noProof/>
        </w:rPr>
        <w:t>. 2009;39(6):439-468. doi:10.2165/00007256-200939060-00002</w:t>
      </w:r>
    </w:p>
    <w:p w14:paraId="0D5FA0D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74. </w:t>
      </w:r>
      <w:r w:rsidRPr="00875798">
        <w:rPr>
          <w:rFonts w:ascii="Helvetica" w:hAnsi="Helvetica" w:cs="Times New Roman"/>
          <w:noProof/>
        </w:rPr>
        <w:tab/>
        <w:t xml:space="preserve">Warden SJ, Wright CS, Fuchs RK. Bone Microarchitecture and Strength Adaptation to Physical Activity: A Within-Subject Controlled HRpQCT Study. </w:t>
      </w:r>
      <w:r w:rsidRPr="00875798">
        <w:rPr>
          <w:rFonts w:ascii="Helvetica" w:hAnsi="Helvetica" w:cs="Times New Roman"/>
          <w:i/>
          <w:iCs/>
          <w:noProof/>
        </w:rPr>
        <w:t>Med Sci Sports Exerc</w:t>
      </w:r>
      <w:r w:rsidRPr="00875798">
        <w:rPr>
          <w:rFonts w:ascii="Helvetica" w:hAnsi="Helvetica" w:cs="Times New Roman"/>
          <w:noProof/>
        </w:rPr>
        <w:t>. 2021;53(6):1179-1187. doi:10.1249/MSS.0000000000002571</w:t>
      </w:r>
    </w:p>
    <w:p w14:paraId="28AA619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75. </w:t>
      </w:r>
      <w:r w:rsidRPr="00875798">
        <w:rPr>
          <w:rFonts w:ascii="Helvetica" w:hAnsi="Helvetica" w:cs="Times New Roman"/>
          <w:noProof/>
        </w:rPr>
        <w:tab/>
        <w:t xml:space="preserve">De Souza MJ, Nattiv A, Joy E, et al. 2014 Female Athlete Triad Coalition Consensus Statement on Treatment and Return to Play of the Female Athlete Triad: 1st International conference held in San Francisco, California, May 2012 and 2nd International conference held in Indianapolis, Indiana, M. </w:t>
      </w:r>
      <w:r w:rsidRPr="00875798">
        <w:rPr>
          <w:rFonts w:ascii="Helvetica" w:hAnsi="Helvetica" w:cs="Times New Roman"/>
          <w:i/>
          <w:iCs/>
          <w:noProof/>
        </w:rPr>
        <w:t>Br J Sports Med</w:t>
      </w:r>
      <w:r w:rsidRPr="00875798">
        <w:rPr>
          <w:rFonts w:ascii="Helvetica" w:hAnsi="Helvetica" w:cs="Times New Roman"/>
          <w:noProof/>
        </w:rPr>
        <w:t>. 2014;48(4):289. doi:10.1136/bjsports-2013-093218</w:t>
      </w:r>
    </w:p>
    <w:p w14:paraId="2B6F1056"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76. </w:t>
      </w:r>
      <w:r w:rsidRPr="00875798">
        <w:rPr>
          <w:rFonts w:ascii="Helvetica" w:hAnsi="Helvetica" w:cs="Times New Roman"/>
          <w:noProof/>
        </w:rPr>
        <w:tab/>
        <w:t xml:space="preserve">Cook BJ, Wonderlich SA, Mitchell JE, Thompson R, Sherman R, McCallum K. Exercise in Eating Disorders Treatment: Systematic Review and Proposal of Guidelines. </w:t>
      </w:r>
      <w:r w:rsidRPr="00875798">
        <w:rPr>
          <w:rFonts w:ascii="Helvetica" w:hAnsi="Helvetica" w:cs="Times New Roman"/>
          <w:i/>
          <w:iCs/>
          <w:noProof/>
        </w:rPr>
        <w:t>Med Sci Sports Exerc</w:t>
      </w:r>
      <w:r w:rsidRPr="00875798">
        <w:rPr>
          <w:rFonts w:ascii="Helvetica" w:hAnsi="Helvetica" w:cs="Times New Roman"/>
          <w:noProof/>
        </w:rPr>
        <w:t>. 2016;48(7):1408-1414. doi:10.1249/MSS.0000000000000912</w:t>
      </w:r>
    </w:p>
    <w:p w14:paraId="5ED28058"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77. </w:t>
      </w:r>
      <w:r w:rsidRPr="00875798">
        <w:rPr>
          <w:rFonts w:ascii="Helvetica" w:hAnsi="Helvetica" w:cs="Times New Roman"/>
          <w:noProof/>
        </w:rPr>
        <w:tab/>
        <w:t xml:space="preserve">Fenichel RM, Warren MP. Anorexia, bulimia, and the athletic triad: Evaluation and management. </w:t>
      </w:r>
      <w:r w:rsidRPr="00875798">
        <w:rPr>
          <w:rFonts w:ascii="Helvetica" w:hAnsi="Helvetica" w:cs="Times New Roman"/>
          <w:i/>
          <w:iCs/>
          <w:noProof/>
        </w:rPr>
        <w:t>Curr Osteoporos Rep</w:t>
      </w:r>
      <w:r w:rsidRPr="00875798">
        <w:rPr>
          <w:rFonts w:ascii="Helvetica" w:hAnsi="Helvetica" w:cs="Times New Roman"/>
          <w:noProof/>
        </w:rPr>
        <w:t>. 2007;5(4):160-164. doi:10.1007/s11914-007-0011-3</w:t>
      </w:r>
    </w:p>
    <w:p w14:paraId="4C92864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78. </w:t>
      </w:r>
      <w:r w:rsidRPr="00875798">
        <w:rPr>
          <w:rFonts w:ascii="Helvetica" w:hAnsi="Helvetica" w:cs="Times New Roman"/>
          <w:noProof/>
        </w:rPr>
        <w:tab/>
        <w:t xml:space="preserve">De Souza MJ, Koltun KJ, Williams NI. The Role of Energy Availability in Reproductive Function in the Female Athlete Triad and Extension of its Effects to Men: An Initial Working Model of a Similar Syndrome in Male Athletes. </w:t>
      </w:r>
      <w:r w:rsidRPr="00875798">
        <w:rPr>
          <w:rFonts w:ascii="Helvetica" w:hAnsi="Helvetica" w:cs="Times New Roman"/>
          <w:i/>
          <w:iCs/>
          <w:noProof/>
        </w:rPr>
        <w:t>Sport Med</w:t>
      </w:r>
      <w:r w:rsidRPr="00875798">
        <w:rPr>
          <w:rFonts w:ascii="Helvetica" w:hAnsi="Helvetica" w:cs="Times New Roman"/>
          <w:noProof/>
        </w:rPr>
        <w:t>. 2019;49(0123456789):125-137. doi:10.1007/s40279-019-01217-3</w:t>
      </w:r>
    </w:p>
    <w:p w14:paraId="2C3681F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79. </w:t>
      </w:r>
      <w:r w:rsidRPr="00875798">
        <w:rPr>
          <w:rFonts w:ascii="Helvetica" w:hAnsi="Helvetica" w:cs="Times New Roman"/>
          <w:noProof/>
        </w:rPr>
        <w:tab/>
        <w:t xml:space="preserve">Gandham A, Mesinovic J, Jansons P, et al. Falls, fractures, and areal bone mineral density in older adults with sarcopenic obesity: A systematic review and meta-analysis. </w:t>
      </w:r>
      <w:r w:rsidRPr="00875798">
        <w:rPr>
          <w:rFonts w:ascii="Helvetica" w:hAnsi="Helvetica" w:cs="Times New Roman"/>
          <w:i/>
          <w:iCs/>
          <w:noProof/>
        </w:rPr>
        <w:t>Obes Rev</w:t>
      </w:r>
      <w:r w:rsidRPr="00875798">
        <w:rPr>
          <w:rFonts w:ascii="Helvetica" w:hAnsi="Helvetica" w:cs="Times New Roman"/>
          <w:noProof/>
        </w:rPr>
        <w:t>. 2021;(November 2020). doi:10.1111/obr.13187</w:t>
      </w:r>
    </w:p>
    <w:p w14:paraId="4224228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80. </w:t>
      </w:r>
      <w:r w:rsidRPr="00875798">
        <w:rPr>
          <w:rFonts w:ascii="Helvetica" w:hAnsi="Helvetica" w:cs="Times New Roman"/>
          <w:noProof/>
        </w:rPr>
        <w:tab/>
        <w:t xml:space="preserve">Multanen J, Rantalainen T, Kautiainen H, et al. Effect of progressive high-impact exercise on femoral neck structural strength in postmenopausal women with mild knee osteoarthritis: a 12-month RCT. </w:t>
      </w:r>
      <w:r w:rsidRPr="00875798">
        <w:rPr>
          <w:rFonts w:ascii="Helvetica" w:hAnsi="Helvetica" w:cs="Times New Roman"/>
          <w:i/>
          <w:iCs/>
          <w:noProof/>
        </w:rPr>
        <w:t>Osteoporos Int</w:t>
      </w:r>
      <w:r w:rsidRPr="00875798">
        <w:rPr>
          <w:rFonts w:ascii="Helvetica" w:hAnsi="Helvetica" w:cs="Times New Roman"/>
          <w:noProof/>
        </w:rPr>
        <w:t>. 2017;28(4):1323-1333. doi:10.1007/s00198-016-3875-1</w:t>
      </w:r>
    </w:p>
    <w:p w14:paraId="7F4DEB1C"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81. </w:t>
      </w:r>
      <w:r w:rsidRPr="00875798">
        <w:rPr>
          <w:rFonts w:ascii="Helvetica" w:hAnsi="Helvetica" w:cs="Times New Roman"/>
          <w:noProof/>
        </w:rPr>
        <w:tab/>
        <w:t xml:space="preserve">Lopez P, Pinto RS, Radaelli R, et al. Benefits of resistance training in physically frail elderly: a systematic review. </w:t>
      </w:r>
      <w:r w:rsidRPr="00875798">
        <w:rPr>
          <w:rFonts w:ascii="Helvetica" w:hAnsi="Helvetica" w:cs="Times New Roman"/>
          <w:i/>
          <w:iCs/>
          <w:noProof/>
        </w:rPr>
        <w:t>Aging Clin Exp Res</w:t>
      </w:r>
      <w:r w:rsidRPr="00875798">
        <w:rPr>
          <w:rFonts w:ascii="Helvetica" w:hAnsi="Helvetica" w:cs="Times New Roman"/>
          <w:noProof/>
        </w:rPr>
        <w:t>. 2018;30(8):889-899. doi:10.1007/s40520-017-0863-z</w:t>
      </w:r>
    </w:p>
    <w:p w14:paraId="6B418F59"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82. </w:t>
      </w:r>
      <w:r w:rsidRPr="00875798">
        <w:rPr>
          <w:rFonts w:ascii="Helvetica" w:hAnsi="Helvetica" w:cs="Times New Roman"/>
          <w:noProof/>
        </w:rPr>
        <w:tab/>
        <w:t xml:space="preserve">Hartley A, Gregson CL, Hannam K, et al. Sarcopenia Is Negatively Related to High Gravitational Impacts Achieved From Day-to-day Physical Activity. Newman A, ed. </w:t>
      </w:r>
      <w:r w:rsidRPr="00875798">
        <w:rPr>
          <w:rFonts w:ascii="Helvetica" w:hAnsi="Helvetica" w:cs="Times New Roman"/>
          <w:i/>
          <w:iCs/>
          <w:noProof/>
        </w:rPr>
        <w:t>Journals Gerontol Ser A</w:t>
      </w:r>
      <w:r w:rsidRPr="00875798">
        <w:rPr>
          <w:rFonts w:ascii="Helvetica" w:hAnsi="Helvetica" w:cs="Times New Roman"/>
          <w:noProof/>
        </w:rPr>
        <w:t>. 2017;73(5):652-659. doi:10.1093/gerona/glx223</w:t>
      </w:r>
    </w:p>
    <w:p w14:paraId="4D25450A"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83. </w:t>
      </w:r>
      <w:r w:rsidRPr="00875798">
        <w:rPr>
          <w:rFonts w:ascii="Helvetica" w:hAnsi="Helvetica" w:cs="Times New Roman"/>
          <w:noProof/>
        </w:rPr>
        <w:tab/>
        <w:t xml:space="preserve">Atlihan R, Kirk B, Duque G. Non-Pharmacological Interventions in Osteosarcopenia: A Systematic Review. </w:t>
      </w:r>
      <w:r w:rsidRPr="00875798">
        <w:rPr>
          <w:rFonts w:ascii="Helvetica" w:hAnsi="Helvetica" w:cs="Times New Roman"/>
          <w:i/>
          <w:iCs/>
          <w:noProof/>
        </w:rPr>
        <w:t>J Nutr Heal Aging</w:t>
      </w:r>
      <w:r w:rsidRPr="00875798">
        <w:rPr>
          <w:rFonts w:ascii="Helvetica" w:hAnsi="Helvetica" w:cs="Times New Roman"/>
          <w:noProof/>
        </w:rPr>
        <w:t>. 2021;25(1):25-32. doi:10.1007/s12603-020-1537-7</w:t>
      </w:r>
    </w:p>
    <w:p w14:paraId="29D66647"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84. </w:t>
      </w:r>
      <w:r w:rsidRPr="00875798">
        <w:rPr>
          <w:rFonts w:ascii="Helvetica" w:hAnsi="Helvetica" w:cs="Times New Roman"/>
          <w:noProof/>
        </w:rPr>
        <w:tab/>
        <w:t xml:space="preserve">Garber CE, Blissmer B, Deschenes MR, et al. Quantity and quality of exercise for developing and maintaining cardiorespiratory, musculoskeletal, and neuromotor fitness in apparently healthy adults: Guidance for prescribing exercise. </w:t>
      </w:r>
      <w:r w:rsidRPr="00875798">
        <w:rPr>
          <w:rFonts w:ascii="Helvetica" w:hAnsi="Helvetica" w:cs="Times New Roman"/>
          <w:i/>
          <w:iCs/>
          <w:noProof/>
        </w:rPr>
        <w:t>Med Sci Sports Exerc</w:t>
      </w:r>
      <w:r w:rsidRPr="00875798">
        <w:rPr>
          <w:rFonts w:ascii="Helvetica" w:hAnsi="Helvetica" w:cs="Times New Roman"/>
          <w:noProof/>
        </w:rPr>
        <w:t>. 2011;43(7):1334-1359. doi:10.1249/MSS.0b013e318213fefb</w:t>
      </w:r>
    </w:p>
    <w:p w14:paraId="211E7CE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85. </w:t>
      </w:r>
      <w:r w:rsidRPr="00875798">
        <w:rPr>
          <w:rFonts w:ascii="Helvetica" w:hAnsi="Helvetica" w:cs="Times New Roman"/>
          <w:noProof/>
        </w:rPr>
        <w:tab/>
        <w:t xml:space="preserve">Skelton DA, Mavroeidi A. How do muscle and bone strengthening and balance activities (MBSBA) vary across the life course, and are there particular ages where MBSBA are most important? </w:t>
      </w:r>
      <w:r w:rsidRPr="00875798">
        <w:rPr>
          <w:rFonts w:ascii="Helvetica" w:hAnsi="Helvetica" w:cs="Times New Roman"/>
          <w:i/>
          <w:iCs/>
          <w:noProof/>
        </w:rPr>
        <w:t>J Frailty, Sarcopenia Falls</w:t>
      </w:r>
      <w:r w:rsidRPr="00875798">
        <w:rPr>
          <w:rFonts w:ascii="Helvetica" w:hAnsi="Helvetica" w:cs="Times New Roman"/>
          <w:noProof/>
        </w:rPr>
        <w:t>. 2018;03(02):74-84. doi:10.22540/jfsf-03-074</w:t>
      </w:r>
    </w:p>
    <w:p w14:paraId="29A9510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86. </w:t>
      </w:r>
      <w:r w:rsidRPr="00875798">
        <w:rPr>
          <w:rFonts w:ascii="Helvetica" w:hAnsi="Helvetica" w:cs="Times New Roman"/>
          <w:noProof/>
        </w:rPr>
        <w:tab/>
        <w:t xml:space="preserve">Kunutsor SK, Leyland S, Skelton DA, et al. Adverse events and safety issues associated with physical activity and exercise for adults with osteoporosis and osteopenia: A systematic review of observational studies and an updated review of interventional studies. </w:t>
      </w:r>
      <w:r w:rsidRPr="00875798">
        <w:rPr>
          <w:rFonts w:ascii="Helvetica" w:hAnsi="Helvetica" w:cs="Times New Roman"/>
          <w:i/>
          <w:iCs/>
          <w:noProof/>
        </w:rPr>
        <w:t>J Frailty, Sarcopenia Falls</w:t>
      </w:r>
      <w:r w:rsidRPr="00875798">
        <w:rPr>
          <w:rFonts w:ascii="Helvetica" w:hAnsi="Helvetica" w:cs="Times New Roman"/>
          <w:noProof/>
        </w:rPr>
        <w:t>. 2018;03(04):155-178. doi:10.22540/jfsf-03-155</w:t>
      </w:r>
    </w:p>
    <w:p w14:paraId="5F954C9B"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87. </w:t>
      </w:r>
      <w:r w:rsidRPr="00875798">
        <w:rPr>
          <w:rFonts w:ascii="Helvetica" w:hAnsi="Helvetica" w:cs="Times New Roman"/>
          <w:noProof/>
        </w:rPr>
        <w:tab/>
        <w:t xml:space="preserve">Cavill NA, Foster CEM. Enablers and barriers to older people’s participation in strength and balance activities: A review of reviews. </w:t>
      </w:r>
      <w:r w:rsidRPr="00875798">
        <w:rPr>
          <w:rFonts w:ascii="Helvetica" w:hAnsi="Helvetica" w:cs="Times New Roman"/>
          <w:i/>
          <w:iCs/>
          <w:noProof/>
        </w:rPr>
        <w:t>J Frailty, Sarcopenia Falls</w:t>
      </w:r>
      <w:r w:rsidRPr="00875798">
        <w:rPr>
          <w:rFonts w:ascii="Helvetica" w:hAnsi="Helvetica" w:cs="Times New Roman"/>
          <w:noProof/>
        </w:rPr>
        <w:t>. 2018;03(02):105-113. doi:10.22540/jfsf-03-105</w:t>
      </w:r>
    </w:p>
    <w:p w14:paraId="7DA8CDD1"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88. </w:t>
      </w:r>
      <w:r w:rsidRPr="00875798">
        <w:rPr>
          <w:rFonts w:ascii="Helvetica" w:hAnsi="Helvetica" w:cs="Times New Roman"/>
          <w:noProof/>
        </w:rPr>
        <w:tab/>
        <w:t xml:space="preserve">Spiteri K, Broom D, Bekhet AH, De Caro JX, Laventure B, Grafton K. Barriers and motivators of physical activity participation in middle-aged and older adults—a systematic review. </w:t>
      </w:r>
      <w:r w:rsidRPr="00875798">
        <w:rPr>
          <w:rFonts w:ascii="Helvetica" w:hAnsi="Helvetica" w:cs="Times New Roman"/>
          <w:i/>
          <w:iCs/>
          <w:noProof/>
        </w:rPr>
        <w:t>J Aging Phys Act</w:t>
      </w:r>
      <w:r w:rsidRPr="00875798">
        <w:rPr>
          <w:rFonts w:ascii="Helvetica" w:hAnsi="Helvetica" w:cs="Times New Roman"/>
          <w:noProof/>
        </w:rPr>
        <w:t>. 2019;27(6):929-944. doi:10.1123/japa.2018-0343</w:t>
      </w:r>
    </w:p>
    <w:p w14:paraId="4FECC043"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89. </w:t>
      </w:r>
      <w:r w:rsidRPr="00875798">
        <w:rPr>
          <w:rFonts w:ascii="Helvetica" w:hAnsi="Helvetica" w:cs="Times New Roman"/>
          <w:noProof/>
        </w:rPr>
        <w:tab/>
        <w:t xml:space="preserve">NICE. Osteoporosis: assessing the risk of fragility fracture (CG146). </w:t>
      </w:r>
      <w:r w:rsidRPr="00875798">
        <w:rPr>
          <w:rFonts w:ascii="Helvetica" w:hAnsi="Helvetica" w:cs="Times New Roman"/>
          <w:i/>
          <w:iCs/>
          <w:noProof/>
        </w:rPr>
        <w:t>NICE Guidel</w:t>
      </w:r>
      <w:r w:rsidRPr="00875798">
        <w:rPr>
          <w:rFonts w:ascii="Helvetica" w:hAnsi="Helvetica" w:cs="Times New Roman"/>
          <w:noProof/>
        </w:rPr>
        <w:t>. 2012;(August).</w:t>
      </w:r>
    </w:p>
    <w:p w14:paraId="4898B59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90. </w:t>
      </w:r>
      <w:r w:rsidRPr="00875798">
        <w:rPr>
          <w:rFonts w:ascii="Helvetica" w:hAnsi="Helvetica" w:cs="Times New Roman"/>
          <w:noProof/>
        </w:rPr>
        <w:tab/>
        <w:t>NHS England, NHS Improvement. Network Contract Directed Enhanced Service: Guidance for 2019/20 in England. 2019;(December). https://www.england.nhs.uk/wp-content/uploads/2019/12/network-contract-des-guidance-v3-updated.pdf</w:t>
      </w:r>
    </w:p>
    <w:p w14:paraId="257A2C62"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cs="Times New Roman"/>
          <w:noProof/>
        </w:rPr>
      </w:pPr>
      <w:r w:rsidRPr="00875798">
        <w:rPr>
          <w:rFonts w:ascii="Helvetica" w:hAnsi="Helvetica" w:cs="Times New Roman"/>
          <w:noProof/>
        </w:rPr>
        <w:t xml:space="preserve">91. </w:t>
      </w:r>
      <w:r w:rsidRPr="00875798">
        <w:rPr>
          <w:rFonts w:ascii="Helvetica" w:hAnsi="Helvetica" w:cs="Times New Roman"/>
          <w:noProof/>
        </w:rPr>
        <w:tab/>
        <w:t xml:space="preserve">Royal College of Physicians. </w:t>
      </w:r>
      <w:r w:rsidRPr="00875798">
        <w:rPr>
          <w:rFonts w:ascii="Helvetica" w:hAnsi="Helvetica" w:cs="Times New Roman"/>
          <w:i/>
          <w:iCs/>
          <w:noProof/>
        </w:rPr>
        <w:t>Fracture Liaison Service Database Annual Report. Beyond Measurement: A Focus on Quality Improvement.</w:t>
      </w:r>
      <w:r w:rsidRPr="00875798">
        <w:rPr>
          <w:rFonts w:ascii="Helvetica" w:hAnsi="Helvetica" w:cs="Times New Roman"/>
          <w:noProof/>
        </w:rPr>
        <w:t>; 2020. https://www.rcplondon.ac.uk/file/16941/download</w:t>
      </w:r>
    </w:p>
    <w:p w14:paraId="5B0561A0" w14:textId="77777777" w:rsidR="000F5BC4" w:rsidRPr="00875798" w:rsidRDefault="000F5BC4" w:rsidP="000F5BC4">
      <w:pPr>
        <w:widowControl w:val="0"/>
        <w:autoSpaceDE w:val="0"/>
        <w:autoSpaceDN w:val="0"/>
        <w:adjustRightInd w:val="0"/>
        <w:spacing w:before="120" w:after="0" w:line="240" w:lineRule="auto"/>
        <w:ind w:left="640" w:hanging="640"/>
        <w:rPr>
          <w:rFonts w:ascii="Helvetica" w:hAnsi="Helvetica"/>
          <w:noProof/>
        </w:rPr>
      </w:pPr>
      <w:r w:rsidRPr="00875798">
        <w:rPr>
          <w:rFonts w:ascii="Helvetica" w:hAnsi="Helvetica" w:cs="Times New Roman"/>
          <w:noProof/>
        </w:rPr>
        <w:t xml:space="preserve">92. </w:t>
      </w:r>
      <w:r w:rsidRPr="00875798">
        <w:rPr>
          <w:rFonts w:ascii="Helvetica" w:hAnsi="Helvetica" w:cs="Times New Roman"/>
          <w:noProof/>
        </w:rPr>
        <w:tab/>
        <w:t>The Welsh Local Government Association (WLGA). National Exercise Referral Scheme (NERS). Published 2015. Accessed March 1, 2021. www.wlga.wales/national-exercise-referral-scheme-ners</w:t>
      </w:r>
    </w:p>
    <w:p w14:paraId="787F0F8A" w14:textId="77777777" w:rsidR="000F5BC4" w:rsidRPr="00875798" w:rsidRDefault="000F5BC4" w:rsidP="000F5BC4">
      <w:pPr>
        <w:spacing w:before="120" w:after="0" w:line="240" w:lineRule="auto"/>
        <w:rPr>
          <w:rFonts w:ascii="Helvetica" w:eastAsia="Calibri" w:hAnsi="Helvetica" w:cs="Helvetica"/>
        </w:rPr>
      </w:pPr>
      <w:r w:rsidRPr="00875798">
        <w:rPr>
          <w:rFonts w:ascii="Helvetica" w:eastAsia="Calibri" w:hAnsi="Helvetica" w:cs="Helvetica"/>
        </w:rPr>
        <w:fldChar w:fldCharType="end"/>
      </w:r>
    </w:p>
    <w:p w14:paraId="3D8407DC" w14:textId="77777777" w:rsidR="000F5BC4" w:rsidRPr="00875798" w:rsidRDefault="000F5BC4" w:rsidP="000F5BC4">
      <w:pPr>
        <w:rPr>
          <w:rFonts w:ascii="Helvetica" w:hAnsi="Helvetica" w:cs="Helvetica"/>
        </w:rPr>
      </w:pPr>
    </w:p>
    <w:p w14:paraId="0D2E5DF7" w14:textId="77777777" w:rsidR="000F5BC4" w:rsidRPr="00875798" w:rsidRDefault="000F5BC4" w:rsidP="000F5BC4">
      <w:pPr>
        <w:spacing w:before="120" w:after="0" w:line="240" w:lineRule="auto"/>
        <w:rPr>
          <w:rFonts w:ascii="Helvetica" w:hAnsi="Helvetica" w:cs="Helvetica"/>
        </w:rPr>
      </w:pPr>
    </w:p>
    <w:p w14:paraId="6EA277E9" w14:textId="77777777" w:rsidR="005468BF" w:rsidRPr="005468BF" w:rsidRDefault="005468BF" w:rsidP="005468BF"/>
    <w:sectPr w:rsidR="005468BF" w:rsidRPr="005468BF" w:rsidSect="000F5BC4">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D00F" w14:textId="77777777" w:rsidR="007E0B70" w:rsidRDefault="007E0B70" w:rsidP="002B25AC">
      <w:pPr>
        <w:spacing w:after="0" w:line="240" w:lineRule="auto"/>
      </w:pPr>
      <w:r>
        <w:separator/>
      </w:r>
    </w:p>
  </w:endnote>
  <w:endnote w:type="continuationSeparator" w:id="0">
    <w:p w14:paraId="61EADDB4" w14:textId="77777777" w:rsidR="007E0B70" w:rsidRDefault="007E0B70" w:rsidP="002B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HGMinchoB">
    <w:altName w:val="Yu Goth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21338"/>
      <w:docPartObj>
        <w:docPartGallery w:val="Page Numbers (Bottom of Page)"/>
        <w:docPartUnique/>
      </w:docPartObj>
    </w:sdtPr>
    <w:sdtEndPr>
      <w:rPr>
        <w:noProof/>
      </w:rPr>
    </w:sdtEndPr>
    <w:sdtContent>
      <w:p w14:paraId="63C12BC9" w14:textId="657166C8" w:rsidR="00C32A72" w:rsidRDefault="00C32A72">
        <w:pPr>
          <w:pStyle w:val="Footer"/>
          <w:jc w:val="center"/>
        </w:pPr>
        <w:r>
          <w:fldChar w:fldCharType="begin"/>
        </w:r>
        <w:r>
          <w:instrText xml:space="preserve"> PAGE   \* MERGEFORMAT </w:instrText>
        </w:r>
        <w:r>
          <w:fldChar w:fldCharType="separate"/>
        </w:r>
        <w:r w:rsidR="00956728">
          <w:rPr>
            <w:noProof/>
          </w:rPr>
          <w:t>1</w:t>
        </w:r>
        <w:r>
          <w:rPr>
            <w:noProof/>
          </w:rPr>
          <w:fldChar w:fldCharType="end"/>
        </w:r>
      </w:p>
    </w:sdtContent>
  </w:sdt>
  <w:p w14:paraId="75AF8C8E" w14:textId="11E044EE" w:rsidR="000E30A1" w:rsidRDefault="000E30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18084"/>
      <w:docPartObj>
        <w:docPartGallery w:val="Page Numbers (Bottom of Page)"/>
        <w:docPartUnique/>
      </w:docPartObj>
    </w:sdtPr>
    <w:sdtEndPr>
      <w:rPr>
        <w:noProof/>
      </w:rPr>
    </w:sdtEndPr>
    <w:sdtContent>
      <w:p w14:paraId="19809839" w14:textId="0F163DD6" w:rsidR="00C32A72" w:rsidRDefault="00E73394">
        <w:pPr>
          <w:pStyle w:val="Footer"/>
          <w:jc w:val="center"/>
        </w:pPr>
        <w:r>
          <w:t>S</w:t>
        </w:r>
        <w:r w:rsidR="00C32A72">
          <w:fldChar w:fldCharType="begin"/>
        </w:r>
        <w:r w:rsidR="00C32A72">
          <w:instrText xml:space="preserve"> PAGE   \* MERGEFORMAT </w:instrText>
        </w:r>
        <w:r w:rsidR="00C32A72">
          <w:fldChar w:fldCharType="separate"/>
        </w:r>
        <w:r w:rsidR="00956728">
          <w:rPr>
            <w:noProof/>
          </w:rPr>
          <w:t>25</w:t>
        </w:r>
        <w:r w:rsidR="00C32A72">
          <w:rPr>
            <w:noProof/>
          </w:rPr>
          <w:fldChar w:fldCharType="end"/>
        </w:r>
      </w:p>
    </w:sdtContent>
  </w:sdt>
  <w:p w14:paraId="755C93A0" w14:textId="77777777" w:rsidR="000E30A1" w:rsidRDefault="000E30A1">
    <w:pPr>
      <w:pStyle w:val="Footer"/>
    </w:pPr>
  </w:p>
  <w:p w14:paraId="7B9867EB" w14:textId="77777777" w:rsidR="002E47C0" w:rsidRDefault="009567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9397" w14:textId="77777777" w:rsidR="007E0B70" w:rsidRDefault="007E0B70" w:rsidP="002B25AC">
      <w:pPr>
        <w:spacing w:after="0" w:line="240" w:lineRule="auto"/>
      </w:pPr>
      <w:r>
        <w:separator/>
      </w:r>
    </w:p>
  </w:footnote>
  <w:footnote w:type="continuationSeparator" w:id="0">
    <w:p w14:paraId="3DCCA33B" w14:textId="77777777" w:rsidR="007E0B70" w:rsidRDefault="007E0B70" w:rsidP="002B2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5DE55E"/>
    <w:multiLevelType w:val="hybridMultilevel"/>
    <w:tmpl w:val="94BD2C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B6646"/>
    <w:multiLevelType w:val="hybridMultilevel"/>
    <w:tmpl w:val="9E7A373C"/>
    <w:lvl w:ilvl="0" w:tplc="CDB40E7A">
      <w:start w:val="1"/>
      <w:numFmt w:val="bullet"/>
      <w:lvlText w:val=""/>
      <w:lvlJc w:val="left"/>
      <w:pPr>
        <w:ind w:left="720" w:hanging="360"/>
      </w:pPr>
      <w:rPr>
        <w:rFonts w:ascii="Symbol" w:hAnsi="Symbol" w:hint="default"/>
      </w:rPr>
    </w:lvl>
    <w:lvl w:ilvl="1" w:tplc="7CAEB06C">
      <w:start w:val="86"/>
      <w:numFmt w:val="bullet"/>
      <w:lvlText w:val="•"/>
      <w:lvlJc w:val="left"/>
      <w:pPr>
        <w:ind w:left="1440" w:hanging="360"/>
      </w:pPr>
      <w:rPr>
        <w:rFonts w:ascii="Verdana" w:eastAsiaTheme="minorHAns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30C3"/>
    <w:multiLevelType w:val="hybridMultilevel"/>
    <w:tmpl w:val="D56C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3F20"/>
    <w:multiLevelType w:val="hybridMultilevel"/>
    <w:tmpl w:val="CE645A10"/>
    <w:lvl w:ilvl="0" w:tplc="0EB4560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52D4A"/>
    <w:multiLevelType w:val="hybridMultilevel"/>
    <w:tmpl w:val="41B08D78"/>
    <w:lvl w:ilvl="0" w:tplc="DB863DD0">
      <w:start w:val="1"/>
      <w:numFmt w:val="decimal"/>
      <w:lvlText w:val="%1."/>
      <w:lvlJc w:val="left"/>
      <w:pPr>
        <w:ind w:left="105" w:hanging="219"/>
      </w:pPr>
      <w:rPr>
        <w:rFonts w:ascii="Arial" w:eastAsia="Arial" w:hAnsi="Arial" w:cs="Arial" w:hint="default"/>
        <w:b w:val="0"/>
        <w:bCs w:val="0"/>
        <w:i w:val="0"/>
        <w:iCs w:val="0"/>
        <w:spacing w:val="0"/>
        <w:w w:val="102"/>
        <w:sz w:val="20"/>
        <w:szCs w:val="20"/>
      </w:rPr>
    </w:lvl>
    <w:lvl w:ilvl="1" w:tplc="A0C642F6">
      <w:numFmt w:val="bullet"/>
      <w:lvlText w:val="•"/>
      <w:lvlJc w:val="left"/>
      <w:pPr>
        <w:ind w:left="1106" w:hanging="219"/>
      </w:pPr>
      <w:rPr>
        <w:rFonts w:hint="default"/>
      </w:rPr>
    </w:lvl>
    <w:lvl w:ilvl="2" w:tplc="60BC9822">
      <w:numFmt w:val="bullet"/>
      <w:lvlText w:val="•"/>
      <w:lvlJc w:val="left"/>
      <w:pPr>
        <w:ind w:left="2112" w:hanging="219"/>
      </w:pPr>
      <w:rPr>
        <w:rFonts w:hint="default"/>
      </w:rPr>
    </w:lvl>
    <w:lvl w:ilvl="3" w:tplc="E8580B22">
      <w:numFmt w:val="bullet"/>
      <w:lvlText w:val="•"/>
      <w:lvlJc w:val="left"/>
      <w:pPr>
        <w:ind w:left="3118" w:hanging="219"/>
      </w:pPr>
      <w:rPr>
        <w:rFonts w:hint="default"/>
      </w:rPr>
    </w:lvl>
    <w:lvl w:ilvl="4" w:tplc="8AAC5C58">
      <w:numFmt w:val="bullet"/>
      <w:lvlText w:val="•"/>
      <w:lvlJc w:val="left"/>
      <w:pPr>
        <w:ind w:left="4124" w:hanging="219"/>
      </w:pPr>
      <w:rPr>
        <w:rFonts w:hint="default"/>
      </w:rPr>
    </w:lvl>
    <w:lvl w:ilvl="5" w:tplc="114E2C2A">
      <w:numFmt w:val="bullet"/>
      <w:lvlText w:val="•"/>
      <w:lvlJc w:val="left"/>
      <w:pPr>
        <w:ind w:left="5130" w:hanging="219"/>
      </w:pPr>
      <w:rPr>
        <w:rFonts w:hint="default"/>
      </w:rPr>
    </w:lvl>
    <w:lvl w:ilvl="6" w:tplc="D1C65A2A">
      <w:numFmt w:val="bullet"/>
      <w:lvlText w:val="•"/>
      <w:lvlJc w:val="left"/>
      <w:pPr>
        <w:ind w:left="6136" w:hanging="219"/>
      </w:pPr>
      <w:rPr>
        <w:rFonts w:hint="default"/>
      </w:rPr>
    </w:lvl>
    <w:lvl w:ilvl="7" w:tplc="88048AA0">
      <w:numFmt w:val="bullet"/>
      <w:lvlText w:val="•"/>
      <w:lvlJc w:val="left"/>
      <w:pPr>
        <w:ind w:left="7142" w:hanging="219"/>
      </w:pPr>
      <w:rPr>
        <w:rFonts w:hint="default"/>
      </w:rPr>
    </w:lvl>
    <w:lvl w:ilvl="8" w:tplc="80EECE2E">
      <w:numFmt w:val="bullet"/>
      <w:lvlText w:val="•"/>
      <w:lvlJc w:val="left"/>
      <w:pPr>
        <w:ind w:left="8148" w:hanging="219"/>
      </w:pPr>
      <w:rPr>
        <w:rFonts w:hint="default"/>
      </w:rPr>
    </w:lvl>
  </w:abstractNum>
  <w:abstractNum w:abstractNumId="5" w15:restartNumberingAfterBreak="0">
    <w:nsid w:val="1656285E"/>
    <w:multiLevelType w:val="hybridMultilevel"/>
    <w:tmpl w:val="AE20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F6F22"/>
    <w:multiLevelType w:val="multilevel"/>
    <w:tmpl w:val="69380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55C61"/>
    <w:multiLevelType w:val="hybridMultilevel"/>
    <w:tmpl w:val="714C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A0832"/>
    <w:multiLevelType w:val="hybridMultilevel"/>
    <w:tmpl w:val="1BC480EA"/>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45C3D"/>
    <w:multiLevelType w:val="hybridMultilevel"/>
    <w:tmpl w:val="D3223986"/>
    <w:lvl w:ilvl="0" w:tplc="0EB4560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82FD1"/>
    <w:multiLevelType w:val="hybridMultilevel"/>
    <w:tmpl w:val="4FDAD0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0368C8"/>
    <w:multiLevelType w:val="hybridMultilevel"/>
    <w:tmpl w:val="23DAE7BC"/>
    <w:lvl w:ilvl="0" w:tplc="C66A57CA">
      <w:numFmt w:val="bullet"/>
      <w:lvlText w:val="•"/>
      <w:lvlJc w:val="left"/>
      <w:pPr>
        <w:ind w:left="426" w:hanging="171"/>
      </w:pPr>
      <w:rPr>
        <w:rFonts w:hint="default"/>
        <w:b/>
        <w:bCs/>
        <w:w w:val="108"/>
      </w:rPr>
    </w:lvl>
    <w:lvl w:ilvl="1" w:tplc="4F70FF98">
      <w:numFmt w:val="bullet"/>
      <w:lvlText w:val="•"/>
      <w:lvlJc w:val="left"/>
      <w:pPr>
        <w:ind w:left="552" w:hanging="171"/>
      </w:pPr>
      <w:rPr>
        <w:rFonts w:ascii="Arial" w:eastAsia="Arial" w:hAnsi="Arial" w:cs="Arial" w:hint="default"/>
        <w:b/>
        <w:bCs/>
        <w:color w:val="F15A22"/>
        <w:w w:val="108"/>
        <w:sz w:val="22"/>
        <w:szCs w:val="22"/>
      </w:rPr>
    </w:lvl>
    <w:lvl w:ilvl="2" w:tplc="11FE7C74">
      <w:numFmt w:val="bullet"/>
      <w:lvlText w:val="•"/>
      <w:lvlJc w:val="left"/>
      <w:pPr>
        <w:ind w:left="171" w:hanging="171"/>
      </w:pPr>
      <w:rPr>
        <w:rFonts w:ascii="Arial" w:eastAsia="Arial" w:hAnsi="Arial" w:cs="Arial" w:hint="default"/>
        <w:b/>
        <w:bCs/>
        <w:color w:val="F15A22"/>
        <w:w w:val="108"/>
        <w:sz w:val="22"/>
        <w:szCs w:val="22"/>
      </w:rPr>
    </w:lvl>
    <w:lvl w:ilvl="3" w:tplc="F4EC933A">
      <w:numFmt w:val="bullet"/>
      <w:lvlText w:val="•"/>
      <w:lvlJc w:val="left"/>
      <w:pPr>
        <w:ind w:left="624" w:hanging="171"/>
      </w:pPr>
      <w:rPr>
        <w:rFonts w:hint="default"/>
      </w:rPr>
    </w:lvl>
    <w:lvl w:ilvl="4" w:tplc="8DB61464">
      <w:numFmt w:val="bullet"/>
      <w:lvlText w:val="•"/>
      <w:lvlJc w:val="left"/>
      <w:pPr>
        <w:ind w:left="529" w:hanging="171"/>
      </w:pPr>
      <w:rPr>
        <w:rFonts w:hint="default"/>
      </w:rPr>
    </w:lvl>
    <w:lvl w:ilvl="5" w:tplc="85EC367C">
      <w:numFmt w:val="bullet"/>
      <w:lvlText w:val="•"/>
      <w:lvlJc w:val="left"/>
      <w:pPr>
        <w:ind w:left="434" w:hanging="171"/>
      </w:pPr>
      <w:rPr>
        <w:rFonts w:hint="default"/>
      </w:rPr>
    </w:lvl>
    <w:lvl w:ilvl="6" w:tplc="BFA2262A">
      <w:numFmt w:val="bullet"/>
      <w:lvlText w:val="•"/>
      <w:lvlJc w:val="left"/>
      <w:pPr>
        <w:ind w:left="339" w:hanging="171"/>
      </w:pPr>
      <w:rPr>
        <w:rFonts w:hint="default"/>
      </w:rPr>
    </w:lvl>
    <w:lvl w:ilvl="7" w:tplc="9D3EC08A">
      <w:numFmt w:val="bullet"/>
      <w:lvlText w:val="•"/>
      <w:lvlJc w:val="left"/>
      <w:pPr>
        <w:ind w:left="244" w:hanging="171"/>
      </w:pPr>
      <w:rPr>
        <w:rFonts w:hint="default"/>
      </w:rPr>
    </w:lvl>
    <w:lvl w:ilvl="8" w:tplc="11F406D0">
      <w:numFmt w:val="bullet"/>
      <w:lvlText w:val="•"/>
      <w:lvlJc w:val="left"/>
      <w:pPr>
        <w:ind w:left="149" w:hanging="171"/>
      </w:pPr>
      <w:rPr>
        <w:rFonts w:hint="default"/>
      </w:rPr>
    </w:lvl>
  </w:abstractNum>
  <w:abstractNum w:abstractNumId="12" w15:restartNumberingAfterBreak="0">
    <w:nsid w:val="390C5233"/>
    <w:multiLevelType w:val="hybridMultilevel"/>
    <w:tmpl w:val="7D023A8C"/>
    <w:lvl w:ilvl="0" w:tplc="7B889660">
      <w:start w:val="1"/>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749BF"/>
    <w:multiLevelType w:val="hybridMultilevel"/>
    <w:tmpl w:val="C7C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C2833"/>
    <w:multiLevelType w:val="hybridMultilevel"/>
    <w:tmpl w:val="B05C4A84"/>
    <w:lvl w:ilvl="0" w:tplc="5E3229A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97F5E"/>
    <w:multiLevelType w:val="hybridMultilevel"/>
    <w:tmpl w:val="F5986E52"/>
    <w:lvl w:ilvl="0" w:tplc="0EB4560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03826"/>
    <w:multiLevelType w:val="hybridMultilevel"/>
    <w:tmpl w:val="2C369E5C"/>
    <w:lvl w:ilvl="0" w:tplc="31DE6834">
      <w:start w:val="1"/>
      <w:numFmt w:val="decimal"/>
      <w:lvlText w:val="%1."/>
      <w:lvlJc w:val="left"/>
      <w:pPr>
        <w:tabs>
          <w:tab w:val="num" w:pos="360"/>
        </w:tabs>
        <w:ind w:left="360"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944AE4"/>
    <w:multiLevelType w:val="hybridMultilevel"/>
    <w:tmpl w:val="B2A0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859A8"/>
    <w:multiLevelType w:val="hybridMultilevel"/>
    <w:tmpl w:val="DDFE039A"/>
    <w:lvl w:ilvl="0" w:tplc="0EB4560A">
      <w:start w:val="1"/>
      <w:numFmt w:val="bullet"/>
      <w:lvlText w:val=""/>
      <w:lvlJc w:val="left"/>
      <w:pPr>
        <w:ind w:left="742" w:hanging="360"/>
      </w:pPr>
      <w:rPr>
        <w:rFonts w:ascii="Symbol" w:hAnsi="Symbol" w:hint="default"/>
        <w:sz w:val="2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56AF49F7"/>
    <w:multiLevelType w:val="hybridMultilevel"/>
    <w:tmpl w:val="A0347C86"/>
    <w:lvl w:ilvl="0" w:tplc="CDB40E7A">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20" w15:restartNumberingAfterBreak="0">
    <w:nsid w:val="5DBC4D68"/>
    <w:multiLevelType w:val="hybridMultilevel"/>
    <w:tmpl w:val="BC0A6118"/>
    <w:lvl w:ilvl="0" w:tplc="B32A0088">
      <w:start w:val="1"/>
      <w:numFmt w:val="bullet"/>
      <w:lvlText w:val=""/>
      <w:lvlJc w:val="left"/>
      <w:pPr>
        <w:ind w:left="360" w:hanging="360"/>
      </w:pPr>
      <w:rPr>
        <w:rFonts w:ascii="Wingdings" w:hAnsi="Wingdings" w:hint="default"/>
        <w:color w:val="984806"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56DC"/>
    <w:multiLevelType w:val="hybridMultilevel"/>
    <w:tmpl w:val="CD32B48A"/>
    <w:lvl w:ilvl="0" w:tplc="0EB4560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15FE2"/>
    <w:multiLevelType w:val="hybridMultilevel"/>
    <w:tmpl w:val="351E3794"/>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158C6"/>
    <w:multiLevelType w:val="hybridMultilevel"/>
    <w:tmpl w:val="3E3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611B7"/>
    <w:multiLevelType w:val="hybridMultilevel"/>
    <w:tmpl w:val="83D03248"/>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7308F"/>
    <w:multiLevelType w:val="hybridMultilevel"/>
    <w:tmpl w:val="130ACCE4"/>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326A1"/>
    <w:multiLevelType w:val="hybridMultilevel"/>
    <w:tmpl w:val="41B08D78"/>
    <w:lvl w:ilvl="0" w:tplc="FFFFFFFF">
      <w:start w:val="1"/>
      <w:numFmt w:val="decimal"/>
      <w:lvlText w:val="%1."/>
      <w:lvlJc w:val="left"/>
      <w:pPr>
        <w:ind w:left="105" w:hanging="219"/>
      </w:pPr>
      <w:rPr>
        <w:rFonts w:ascii="Arial" w:eastAsia="Arial" w:hAnsi="Arial" w:cs="Arial" w:hint="default"/>
        <w:b w:val="0"/>
        <w:bCs w:val="0"/>
        <w:i w:val="0"/>
        <w:iCs w:val="0"/>
        <w:spacing w:val="0"/>
        <w:w w:val="102"/>
        <w:sz w:val="20"/>
        <w:szCs w:val="20"/>
      </w:rPr>
    </w:lvl>
    <w:lvl w:ilvl="1" w:tplc="FFFFFFFF">
      <w:numFmt w:val="bullet"/>
      <w:lvlText w:val="•"/>
      <w:lvlJc w:val="left"/>
      <w:pPr>
        <w:ind w:left="1106" w:hanging="219"/>
      </w:pPr>
      <w:rPr>
        <w:rFonts w:hint="default"/>
      </w:rPr>
    </w:lvl>
    <w:lvl w:ilvl="2" w:tplc="FFFFFFFF">
      <w:numFmt w:val="bullet"/>
      <w:lvlText w:val="•"/>
      <w:lvlJc w:val="left"/>
      <w:pPr>
        <w:ind w:left="2112" w:hanging="219"/>
      </w:pPr>
      <w:rPr>
        <w:rFonts w:hint="default"/>
      </w:rPr>
    </w:lvl>
    <w:lvl w:ilvl="3" w:tplc="FFFFFFFF">
      <w:numFmt w:val="bullet"/>
      <w:lvlText w:val="•"/>
      <w:lvlJc w:val="left"/>
      <w:pPr>
        <w:ind w:left="3118" w:hanging="219"/>
      </w:pPr>
      <w:rPr>
        <w:rFonts w:hint="default"/>
      </w:rPr>
    </w:lvl>
    <w:lvl w:ilvl="4" w:tplc="FFFFFFFF">
      <w:numFmt w:val="bullet"/>
      <w:lvlText w:val="•"/>
      <w:lvlJc w:val="left"/>
      <w:pPr>
        <w:ind w:left="4124" w:hanging="219"/>
      </w:pPr>
      <w:rPr>
        <w:rFonts w:hint="default"/>
      </w:rPr>
    </w:lvl>
    <w:lvl w:ilvl="5" w:tplc="FFFFFFFF">
      <w:numFmt w:val="bullet"/>
      <w:lvlText w:val="•"/>
      <w:lvlJc w:val="left"/>
      <w:pPr>
        <w:ind w:left="5130" w:hanging="219"/>
      </w:pPr>
      <w:rPr>
        <w:rFonts w:hint="default"/>
      </w:rPr>
    </w:lvl>
    <w:lvl w:ilvl="6" w:tplc="FFFFFFFF">
      <w:numFmt w:val="bullet"/>
      <w:lvlText w:val="•"/>
      <w:lvlJc w:val="left"/>
      <w:pPr>
        <w:ind w:left="6136" w:hanging="219"/>
      </w:pPr>
      <w:rPr>
        <w:rFonts w:hint="default"/>
      </w:rPr>
    </w:lvl>
    <w:lvl w:ilvl="7" w:tplc="FFFFFFFF">
      <w:numFmt w:val="bullet"/>
      <w:lvlText w:val="•"/>
      <w:lvlJc w:val="left"/>
      <w:pPr>
        <w:ind w:left="7142" w:hanging="219"/>
      </w:pPr>
      <w:rPr>
        <w:rFonts w:hint="default"/>
      </w:rPr>
    </w:lvl>
    <w:lvl w:ilvl="8" w:tplc="FFFFFFFF">
      <w:numFmt w:val="bullet"/>
      <w:lvlText w:val="•"/>
      <w:lvlJc w:val="left"/>
      <w:pPr>
        <w:ind w:left="8148" w:hanging="219"/>
      </w:pPr>
      <w:rPr>
        <w:rFonts w:hint="default"/>
      </w:rPr>
    </w:lvl>
  </w:abstractNum>
  <w:abstractNum w:abstractNumId="27" w15:restartNumberingAfterBreak="0">
    <w:nsid w:val="691C12FD"/>
    <w:multiLevelType w:val="hybridMultilevel"/>
    <w:tmpl w:val="5EA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6576A"/>
    <w:multiLevelType w:val="hybridMultilevel"/>
    <w:tmpl w:val="44942E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70A0C49"/>
    <w:multiLevelType w:val="hybridMultilevel"/>
    <w:tmpl w:val="ED624922"/>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17DD8"/>
    <w:multiLevelType w:val="hybridMultilevel"/>
    <w:tmpl w:val="29DC3D4E"/>
    <w:lvl w:ilvl="0" w:tplc="CDB40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A1ED2"/>
    <w:multiLevelType w:val="hybridMultilevel"/>
    <w:tmpl w:val="31BC6082"/>
    <w:lvl w:ilvl="0" w:tplc="7B88966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21"/>
  </w:num>
  <w:num w:numId="4">
    <w:abstractNumId w:val="3"/>
  </w:num>
  <w:num w:numId="5">
    <w:abstractNumId w:val="9"/>
  </w:num>
  <w:num w:numId="6">
    <w:abstractNumId w:val="18"/>
  </w:num>
  <w:num w:numId="7">
    <w:abstractNumId w:val="28"/>
  </w:num>
  <w:num w:numId="8">
    <w:abstractNumId w:val="20"/>
  </w:num>
  <w:num w:numId="9">
    <w:abstractNumId w:val="15"/>
  </w:num>
  <w:num w:numId="10">
    <w:abstractNumId w:val="13"/>
  </w:num>
  <w:num w:numId="11">
    <w:abstractNumId w:val="14"/>
  </w:num>
  <w:num w:numId="12">
    <w:abstractNumId w:val="12"/>
  </w:num>
  <w:num w:numId="13">
    <w:abstractNumId w:val="5"/>
  </w:num>
  <w:num w:numId="14">
    <w:abstractNumId w:val="11"/>
  </w:num>
  <w:num w:numId="15">
    <w:abstractNumId w:val="16"/>
  </w:num>
  <w:num w:numId="16">
    <w:abstractNumId w:val="6"/>
  </w:num>
  <w:num w:numId="17">
    <w:abstractNumId w:val="7"/>
  </w:num>
  <w:num w:numId="18">
    <w:abstractNumId w:val="4"/>
  </w:num>
  <w:num w:numId="19">
    <w:abstractNumId w:val="26"/>
  </w:num>
  <w:num w:numId="20">
    <w:abstractNumId w:val="25"/>
  </w:num>
  <w:num w:numId="21">
    <w:abstractNumId w:val="8"/>
  </w:num>
  <w:num w:numId="22">
    <w:abstractNumId w:val="24"/>
  </w:num>
  <w:num w:numId="23">
    <w:abstractNumId w:val="30"/>
  </w:num>
  <w:num w:numId="24">
    <w:abstractNumId w:val="19"/>
  </w:num>
  <w:num w:numId="25">
    <w:abstractNumId w:val="22"/>
  </w:num>
  <w:num w:numId="26">
    <w:abstractNumId w:val="0"/>
  </w:num>
  <w:num w:numId="27">
    <w:abstractNumId w:val="1"/>
  </w:num>
  <w:num w:numId="28">
    <w:abstractNumId w:val="29"/>
  </w:num>
  <w:num w:numId="29">
    <w:abstractNumId w:val="10"/>
  </w:num>
  <w:num w:numId="30">
    <w:abstractNumId w:val="27"/>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D1"/>
    <w:rsid w:val="00002439"/>
    <w:rsid w:val="00002E84"/>
    <w:rsid w:val="0000557A"/>
    <w:rsid w:val="000063D9"/>
    <w:rsid w:val="00007877"/>
    <w:rsid w:val="000079AE"/>
    <w:rsid w:val="000102E8"/>
    <w:rsid w:val="00012998"/>
    <w:rsid w:val="00012D4C"/>
    <w:rsid w:val="00015140"/>
    <w:rsid w:val="000159DC"/>
    <w:rsid w:val="0001653F"/>
    <w:rsid w:val="00017F50"/>
    <w:rsid w:val="00020BC0"/>
    <w:rsid w:val="00020DB0"/>
    <w:rsid w:val="0002157B"/>
    <w:rsid w:val="0002183A"/>
    <w:rsid w:val="00022FA8"/>
    <w:rsid w:val="00026593"/>
    <w:rsid w:val="00027860"/>
    <w:rsid w:val="00027DA4"/>
    <w:rsid w:val="0003114C"/>
    <w:rsid w:val="00031A2B"/>
    <w:rsid w:val="0003342A"/>
    <w:rsid w:val="000344FB"/>
    <w:rsid w:val="00034652"/>
    <w:rsid w:val="00034AD6"/>
    <w:rsid w:val="00040E10"/>
    <w:rsid w:val="00040F6D"/>
    <w:rsid w:val="00047282"/>
    <w:rsid w:val="00047AC9"/>
    <w:rsid w:val="00050ACB"/>
    <w:rsid w:val="00051792"/>
    <w:rsid w:val="00052B30"/>
    <w:rsid w:val="00053F93"/>
    <w:rsid w:val="0005443B"/>
    <w:rsid w:val="00054B35"/>
    <w:rsid w:val="00054E20"/>
    <w:rsid w:val="00055F4D"/>
    <w:rsid w:val="00056853"/>
    <w:rsid w:val="000570C3"/>
    <w:rsid w:val="000573E7"/>
    <w:rsid w:val="00060D81"/>
    <w:rsid w:val="00065364"/>
    <w:rsid w:val="000657BD"/>
    <w:rsid w:val="00070B13"/>
    <w:rsid w:val="000710B2"/>
    <w:rsid w:val="0007157F"/>
    <w:rsid w:val="00072081"/>
    <w:rsid w:val="00072432"/>
    <w:rsid w:val="000729A4"/>
    <w:rsid w:val="0007355D"/>
    <w:rsid w:val="000737EA"/>
    <w:rsid w:val="00073A46"/>
    <w:rsid w:val="00074AEF"/>
    <w:rsid w:val="000763B4"/>
    <w:rsid w:val="00076740"/>
    <w:rsid w:val="00077B6B"/>
    <w:rsid w:val="00080BFD"/>
    <w:rsid w:val="000816A5"/>
    <w:rsid w:val="00084D77"/>
    <w:rsid w:val="00086304"/>
    <w:rsid w:val="000866CC"/>
    <w:rsid w:val="00087937"/>
    <w:rsid w:val="00087D13"/>
    <w:rsid w:val="000919CB"/>
    <w:rsid w:val="000919E4"/>
    <w:rsid w:val="00092324"/>
    <w:rsid w:val="00092DBE"/>
    <w:rsid w:val="00094A51"/>
    <w:rsid w:val="0009512B"/>
    <w:rsid w:val="000978D9"/>
    <w:rsid w:val="00097A85"/>
    <w:rsid w:val="000A1664"/>
    <w:rsid w:val="000A2CD7"/>
    <w:rsid w:val="000A4CDC"/>
    <w:rsid w:val="000A579D"/>
    <w:rsid w:val="000A5CB4"/>
    <w:rsid w:val="000A69E0"/>
    <w:rsid w:val="000A7D57"/>
    <w:rsid w:val="000A7EAD"/>
    <w:rsid w:val="000B00CE"/>
    <w:rsid w:val="000B0346"/>
    <w:rsid w:val="000B0844"/>
    <w:rsid w:val="000B1371"/>
    <w:rsid w:val="000B16D4"/>
    <w:rsid w:val="000B300A"/>
    <w:rsid w:val="000B3443"/>
    <w:rsid w:val="000B62AA"/>
    <w:rsid w:val="000B6521"/>
    <w:rsid w:val="000B6CBE"/>
    <w:rsid w:val="000B7EA5"/>
    <w:rsid w:val="000C00EF"/>
    <w:rsid w:val="000C46DD"/>
    <w:rsid w:val="000C49C2"/>
    <w:rsid w:val="000C4C85"/>
    <w:rsid w:val="000C5CAD"/>
    <w:rsid w:val="000C7721"/>
    <w:rsid w:val="000D1BCC"/>
    <w:rsid w:val="000D24B9"/>
    <w:rsid w:val="000D24DC"/>
    <w:rsid w:val="000D25FA"/>
    <w:rsid w:val="000D30AA"/>
    <w:rsid w:val="000D3C8A"/>
    <w:rsid w:val="000D67B1"/>
    <w:rsid w:val="000D6A48"/>
    <w:rsid w:val="000D7282"/>
    <w:rsid w:val="000E1506"/>
    <w:rsid w:val="000E168E"/>
    <w:rsid w:val="000E30A1"/>
    <w:rsid w:val="000E48E9"/>
    <w:rsid w:val="000E6734"/>
    <w:rsid w:val="000E7971"/>
    <w:rsid w:val="000F03C4"/>
    <w:rsid w:val="000F0C5A"/>
    <w:rsid w:val="000F1249"/>
    <w:rsid w:val="000F329D"/>
    <w:rsid w:val="000F3D67"/>
    <w:rsid w:val="000F4E03"/>
    <w:rsid w:val="000F533E"/>
    <w:rsid w:val="000F5BC4"/>
    <w:rsid w:val="000F6008"/>
    <w:rsid w:val="000F60B8"/>
    <w:rsid w:val="000F72BD"/>
    <w:rsid w:val="001018BE"/>
    <w:rsid w:val="001023D3"/>
    <w:rsid w:val="00103274"/>
    <w:rsid w:val="00105D5D"/>
    <w:rsid w:val="001060D1"/>
    <w:rsid w:val="00106774"/>
    <w:rsid w:val="001076F6"/>
    <w:rsid w:val="00107C35"/>
    <w:rsid w:val="0011070F"/>
    <w:rsid w:val="001114AD"/>
    <w:rsid w:val="00111872"/>
    <w:rsid w:val="00111BAA"/>
    <w:rsid w:val="00111F3A"/>
    <w:rsid w:val="00113B03"/>
    <w:rsid w:val="00114E04"/>
    <w:rsid w:val="001160F9"/>
    <w:rsid w:val="001178B1"/>
    <w:rsid w:val="00122CDA"/>
    <w:rsid w:val="00123291"/>
    <w:rsid w:val="00123F66"/>
    <w:rsid w:val="0012733F"/>
    <w:rsid w:val="00130337"/>
    <w:rsid w:val="0013100C"/>
    <w:rsid w:val="00131431"/>
    <w:rsid w:val="0013420B"/>
    <w:rsid w:val="0013561F"/>
    <w:rsid w:val="001367C0"/>
    <w:rsid w:val="00136FD1"/>
    <w:rsid w:val="00142651"/>
    <w:rsid w:val="00144068"/>
    <w:rsid w:val="001444D7"/>
    <w:rsid w:val="00144B7A"/>
    <w:rsid w:val="0014616F"/>
    <w:rsid w:val="00146FD9"/>
    <w:rsid w:val="00147EDE"/>
    <w:rsid w:val="00150BFA"/>
    <w:rsid w:val="0015361C"/>
    <w:rsid w:val="00153F65"/>
    <w:rsid w:val="00153FFB"/>
    <w:rsid w:val="00154AA4"/>
    <w:rsid w:val="00155CA7"/>
    <w:rsid w:val="001563C8"/>
    <w:rsid w:val="00156F33"/>
    <w:rsid w:val="00161C60"/>
    <w:rsid w:val="00161C84"/>
    <w:rsid w:val="0016236E"/>
    <w:rsid w:val="00162892"/>
    <w:rsid w:val="00163226"/>
    <w:rsid w:val="001634F8"/>
    <w:rsid w:val="001642EE"/>
    <w:rsid w:val="001664EB"/>
    <w:rsid w:val="0016718F"/>
    <w:rsid w:val="00167927"/>
    <w:rsid w:val="001711EB"/>
    <w:rsid w:val="00172275"/>
    <w:rsid w:val="001753AF"/>
    <w:rsid w:val="001755B5"/>
    <w:rsid w:val="00176C4E"/>
    <w:rsid w:val="00177260"/>
    <w:rsid w:val="0018194E"/>
    <w:rsid w:val="00183686"/>
    <w:rsid w:val="001848AF"/>
    <w:rsid w:val="0018680F"/>
    <w:rsid w:val="00186B51"/>
    <w:rsid w:val="00187102"/>
    <w:rsid w:val="00187391"/>
    <w:rsid w:val="001911F4"/>
    <w:rsid w:val="001919A2"/>
    <w:rsid w:val="00195F17"/>
    <w:rsid w:val="00196CF3"/>
    <w:rsid w:val="001A0A83"/>
    <w:rsid w:val="001A13C3"/>
    <w:rsid w:val="001A36B0"/>
    <w:rsid w:val="001A51CB"/>
    <w:rsid w:val="001A7DF3"/>
    <w:rsid w:val="001B0714"/>
    <w:rsid w:val="001B2804"/>
    <w:rsid w:val="001B39A6"/>
    <w:rsid w:val="001B3C34"/>
    <w:rsid w:val="001B5724"/>
    <w:rsid w:val="001C2D8A"/>
    <w:rsid w:val="001C4654"/>
    <w:rsid w:val="001C5004"/>
    <w:rsid w:val="001C5769"/>
    <w:rsid w:val="001C656C"/>
    <w:rsid w:val="001C7314"/>
    <w:rsid w:val="001D1285"/>
    <w:rsid w:val="001D2760"/>
    <w:rsid w:val="001D4432"/>
    <w:rsid w:val="001D5689"/>
    <w:rsid w:val="001D5F62"/>
    <w:rsid w:val="001D6E69"/>
    <w:rsid w:val="001E0045"/>
    <w:rsid w:val="001E23FB"/>
    <w:rsid w:val="001E2C0E"/>
    <w:rsid w:val="001E2E25"/>
    <w:rsid w:val="001E3803"/>
    <w:rsid w:val="001E3A4A"/>
    <w:rsid w:val="001E45EE"/>
    <w:rsid w:val="001E481D"/>
    <w:rsid w:val="001E5205"/>
    <w:rsid w:val="001E5945"/>
    <w:rsid w:val="001F02F6"/>
    <w:rsid w:val="001F06F0"/>
    <w:rsid w:val="001F0751"/>
    <w:rsid w:val="001F08F8"/>
    <w:rsid w:val="001F4461"/>
    <w:rsid w:val="001F70A7"/>
    <w:rsid w:val="00202674"/>
    <w:rsid w:val="00204188"/>
    <w:rsid w:val="00204A51"/>
    <w:rsid w:val="002051D6"/>
    <w:rsid w:val="00205762"/>
    <w:rsid w:val="00205B44"/>
    <w:rsid w:val="00211270"/>
    <w:rsid w:val="002112EE"/>
    <w:rsid w:val="00211538"/>
    <w:rsid w:val="00213018"/>
    <w:rsid w:val="002131DE"/>
    <w:rsid w:val="00213287"/>
    <w:rsid w:val="00217FD6"/>
    <w:rsid w:val="00223C10"/>
    <w:rsid w:val="00223C9C"/>
    <w:rsid w:val="00223D9D"/>
    <w:rsid w:val="00225EF9"/>
    <w:rsid w:val="00231DF6"/>
    <w:rsid w:val="00232D7B"/>
    <w:rsid w:val="002330E9"/>
    <w:rsid w:val="00233DDB"/>
    <w:rsid w:val="00234246"/>
    <w:rsid w:val="002356EF"/>
    <w:rsid w:val="002368C0"/>
    <w:rsid w:val="002369B5"/>
    <w:rsid w:val="00237831"/>
    <w:rsid w:val="00241BE7"/>
    <w:rsid w:val="00243990"/>
    <w:rsid w:val="002447FB"/>
    <w:rsid w:val="00244877"/>
    <w:rsid w:val="00246E08"/>
    <w:rsid w:val="00251DE8"/>
    <w:rsid w:val="00252DAE"/>
    <w:rsid w:val="00253C63"/>
    <w:rsid w:val="002541AE"/>
    <w:rsid w:val="00256196"/>
    <w:rsid w:val="00256819"/>
    <w:rsid w:val="0026173A"/>
    <w:rsid w:val="0026313D"/>
    <w:rsid w:val="0026321E"/>
    <w:rsid w:val="00264652"/>
    <w:rsid w:val="002657B8"/>
    <w:rsid w:val="00266199"/>
    <w:rsid w:val="0026777F"/>
    <w:rsid w:val="00267C9C"/>
    <w:rsid w:val="00271AF8"/>
    <w:rsid w:val="002728AD"/>
    <w:rsid w:val="00272D8F"/>
    <w:rsid w:val="00274461"/>
    <w:rsid w:val="00277E9D"/>
    <w:rsid w:val="002800D0"/>
    <w:rsid w:val="002819FB"/>
    <w:rsid w:val="00283D2F"/>
    <w:rsid w:val="00283F95"/>
    <w:rsid w:val="00285C37"/>
    <w:rsid w:val="002868CF"/>
    <w:rsid w:val="00286B1A"/>
    <w:rsid w:val="0029071E"/>
    <w:rsid w:val="00290F5E"/>
    <w:rsid w:val="002912C7"/>
    <w:rsid w:val="0029197D"/>
    <w:rsid w:val="002946D2"/>
    <w:rsid w:val="002959A8"/>
    <w:rsid w:val="00296B9B"/>
    <w:rsid w:val="002A5771"/>
    <w:rsid w:val="002A78A6"/>
    <w:rsid w:val="002B082C"/>
    <w:rsid w:val="002B25AC"/>
    <w:rsid w:val="002B263F"/>
    <w:rsid w:val="002B487E"/>
    <w:rsid w:val="002B5CFC"/>
    <w:rsid w:val="002B7E82"/>
    <w:rsid w:val="002C0348"/>
    <w:rsid w:val="002C04D0"/>
    <w:rsid w:val="002C48BA"/>
    <w:rsid w:val="002C496B"/>
    <w:rsid w:val="002C4C8C"/>
    <w:rsid w:val="002C55B2"/>
    <w:rsid w:val="002C55DB"/>
    <w:rsid w:val="002C706E"/>
    <w:rsid w:val="002C70D8"/>
    <w:rsid w:val="002D0503"/>
    <w:rsid w:val="002D18A2"/>
    <w:rsid w:val="002D2A7D"/>
    <w:rsid w:val="002D6A4E"/>
    <w:rsid w:val="002D7F5A"/>
    <w:rsid w:val="002E1123"/>
    <w:rsid w:val="002E1D0C"/>
    <w:rsid w:val="002E1D73"/>
    <w:rsid w:val="002E2F00"/>
    <w:rsid w:val="002E3792"/>
    <w:rsid w:val="002E43FF"/>
    <w:rsid w:val="002E48B2"/>
    <w:rsid w:val="002E5C3E"/>
    <w:rsid w:val="002E7AE2"/>
    <w:rsid w:val="002F1089"/>
    <w:rsid w:val="002F11F2"/>
    <w:rsid w:val="002F5D3C"/>
    <w:rsid w:val="002F65D9"/>
    <w:rsid w:val="002F6DA5"/>
    <w:rsid w:val="002F737A"/>
    <w:rsid w:val="0030085C"/>
    <w:rsid w:val="003008B2"/>
    <w:rsid w:val="0030177D"/>
    <w:rsid w:val="00301E9F"/>
    <w:rsid w:val="00302A8C"/>
    <w:rsid w:val="003045D4"/>
    <w:rsid w:val="00304B6A"/>
    <w:rsid w:val="003072FA"/>
    <w:rsid w:val="00310357"/>
    <w:rsid w:val="00311CE3"/>
    <w:rsid w:val="00312DCE"/>
    <w:rsid w:val="003138AB"/>
    <w:rsid w:val="003138B4"/>
    <w:rsid w:val="0031443C"/>
    <w:rsid w:val="0031625F"/>
    <w:rsid w:val="00317C58"/>
    <w:rsid w:val="003217AA"/>
    <w:rsid w:val="00323186"/>
    <w:rsid w:val="00323B52"/>
    <w:rsid w:val="00323FC4"/>
    <w:rsid w:val="0032466E"/>
    <w:rsid w:val="00327115"/>
    <w:rsid w:val="0033030E"/>
    <w:rsid w:val="00333D87"/>
    <w:rsid w:val="003341F9"/>
    <w:rsid w:val="00334521"/>
    <w:rsid w:val="00334CBA"/>
    <w:rsid w:val="00334D9A"/>
    <w:rsid w:val="003354E2"/>
    <w:rsid w:val="0033582E"/>
    <w:rsid w:val="00335AAD"/>
    <w:rsid w:val="003369C0"/>
    <w:rsid w:val="00340AFE"/>
    <w:rsid w:val="00342C81"/>
    <w:rsid w:val="00350EE4"/>
    <w:rsid w:val="0035337D"/>
    <w:rsid w:val="00354C28"/>
    <w:rsid w:val="0035503A"/>
    <w:rsid w:val="003557D3"/>
    <w:rsid w:val="00355B2B"/>
    <w:rsid w:val="00356279"/>
    <w:rsid w:val="0036094A"/>
    <w:rsid w:val="00361C51"/>
    <w:rsid w:val="00362519"/>
    <w:rsid w:val="00362901"/>
    <w:rsid w:val="0036494E"/>
    <w:rsid w:val="003649F8"/>
    <w:rsid w:val="00367B42"/>
    <w:rsid w:val="00370098"/>
    <w:rsid w:val="003716C1"/>
    <w:rsid w:val="00372201"/>
    <w:rsid w:val="00373AB3"/>
    <w:rsid w:val="00373F2D"/>
    <w:rsid w:val="00373FEE"/>
    <w:rsid w:val="003746E7"/>
    <w:rsid w:val="0037729F"/>
    <w:rsid w:val="003775E5"/>
    <w:rsid w:val="0038190E"/>
    <w:rsid w:val="0038300C"/>
    <w:rsid w:val="003832C7"/>
    <w:rsid w:val="00383B17"/>
    <w:rsid w:val="003853E4"/>
    <w:rsid w:val="00385D6F"/>
    <w:rsid w:val="003869EE"/>
    <w:rsid w:val="00387CE4"/>
    <w:rsid w:val="003901BA"/>
    <w:rsid w:val="00393058"/>
    <w:rsid w:val="003967F9"/>
    <w:rsid w:val="00396C9F"/>
    <w:rsid w:val="003970FF"/>
    <w:rsid w:val="003A2917"/>
    <w:rsid w:val="003A349F"/>
    <w:rsid w:val="003A3676"/>
    <w:rsid w:val="003A3C15"/>
    <w:rsid w:val="003A3E6F"/>
    <w:rsid w:val="003A5A1A"/>
    <w:rsid w:val="003A6264"/>
    <w:rsid w:val="003A686C"/>
    <w:rsid w:val="003B1260"/>
    <w:rsid w:val="003B1603"/>
    <w:rsid w:val="003B36E8"/>
    <w:rsid w:val="003B4329"/>
    <w:rsid w:val="003B442C"/>
    <w:rsid w:val="003B53E4"/>
    <w:rsid w:val="003B60D5"/>
    <w:rsid w:val="003B63CC"/>
    <w:rsid w:val="003B707E"/>
    <w:rsid w:val="003C0443"/>
    <w:rsid w:val="003C0CFB"/>
    <w:rsid w:val="003C49EE"/>
    <w:rsid w:val="003C5B77"/>
    <w:rsid w:val="003C74E4"/>
    <w:rsid w:val="003D0DCD"/>
    <w:rsid w:val="003D3172"/>
    <w:rsid w:val="003D3D8E"/>
    <w:rsid w:val="003D3E2F"/>
    <w:rsid w:val="003D3F14"/>
    <w:rsid w:val="003D4E20"/>
    <w:rsid w:val="003D74CD"/>
    <w:rsid w:val="003E0725"/>
    <w:rsid w:val="003E0821"/>
    <w:rsid w:val="003E1CEB"/>
    <w:rsid w:val="003E30C2"/>
    <w:rsid w:val="003E31CA"/>
    <w:rsid w:val="003E428F"/>
    <w:rsid w:val="003E5CAD"/>
    <w:rsid w:val="003E750D"/>
    <w:rsid w:val="003F0200"/>
    <w:rsid w:val="003F07DD"/>
    <w:rsid w:val="003F0ED6"/>
    <w:rsid w:val="003F0F8A"/>
    <w:rsid w:val="003F15C8"/>
    <w:rsid w:val="003F2BA4"/>
    <w:rsid w:val="003F37B3"/>
    <w:rsid w:val="003F3B30"/>
    <w:rsid w:val="003F3D6D"/>
    <w:rsid w:val="003F47E8"/>
    <w:rsid w:val="003F4A3D"/>
    <w:rsid w:val="003F4A8F"/>
    <w:rsid w:val="003F5E12"/>
    <w:rsid w:val="003F601D"/>
    <w:rsid w:val="003F6388"/>
    <w:rsid w:val="003F7908"/>
    <w:rsid w:val="003F7954"/>
    <w:rsid w:val="004007A9"/>
    <w:rsid w:val="00401131"/>
    <w:rsid w:val="00407F50"/>
    <w:rsid w:val="004108DD"/>
    <w:rsid w:val="00411B8D"/>
    <w:rsid w:val="00412117"/>
    <w:rsid w:val="00412F44"/>
    <w:rsid w:val="00414321"/>
    <w:rsid w:val="004148A8"/>
    <w:rsid w:val="0041591B"/>
    <w:rsid w:val="00416FDD"/>
    <w:rsid w:val="004175FA"/>
    <w:rsid w:val="00417680"/>
    <w:rsid w:val="00417B64"/>
    <w:rsid w:val="00417D0F"/>
    <w:rsid w:val="00417FEC"/>
    <w:rsid w:val="00421A32"/>
    <w:rsid w:val="00421A87"/>
    <w:rsid w:val="00421AD2"/>
    <w:rsid w:val="00424823"/>
    <w:rsid w:val="00431618"/>
    <w:rsid w:val="004348EE"/>
    <w:rsid w:val="00435B5D"/>
    <w:rsid w:val="00435FE4"/>
    <w:rsid w:val="00436190"/>
    <w:rsid w:val="004419D0"/>
    <w:rsid w:val="00441F0E"/>
    <w:rsid w:val="0044223D"/>
    <w:rsid w:val="004535BB"/>
    <w:rsid w:val="00454520"/>
    <w:rsid w:val="00456429"/>
    <w:rsid w:val="004566BD"/>
    <w:rsid w:val="004574BB"/>
    <w:rsid w:val="00457D97"/>
    <w:rsid w:val="0046019D"/>
    <w:rsid w:val="00462FDE"/>
    <w:rsid w:val="00464810"/>
    <w:rsid w:val="00465294"/>
    <w:rsid w:val="0046551F"/>
    <w:rsid w:val="004657BD"/>
    <w:rsid w:val="00471CF9"/>
    <w:rsid w:val="00471E7F"/>
    <w:rsid w:val="0047236E"/>
    <w:rsid w:val="00473149"/>
    <w:rsid w:val="004743C9"/>
    <w:rsid w:val="00474727"/>
    <w:rsid w:val="00474BCE"/>
    <w:rsid w:val="004750E1"/>
    <w:rsid w:val="0047649F"/>
    <w:rsid w:val="004778FB"/>
    <w:rsid w:val="004823CB"/>
    <w:rsid w:val="004832FA"/>
    <w:rsid w:val="00483441"/>
    <w:rsid w:val="00484039"/>
    <w:rsid w:val="00487612"/>
    <w:rsid w:val="004929FB"/>
    <w:rsid w:val="004934A7"/>
    <w:rsid w:val="0049404D"/>
    <w:rsid w:val="004940EF"/>
    <w:rsid w:val="00494B21"/>
    <w:rsid w:val="00494BFD"/>
    <w:rsid w:val="0049649E"/>
    <w:rsid w:val="004A176D"/>
    <w:rsid w:val="004A62BA"/>
    <w:rsid w:val="004A6319"/>
    <w:rsid w:val="004B030A"/>
    <w:rsid w:val="004B14D8"/>
    <w:rsid w:val="004B1A47"/>
    <w:rsid w:val="004B2587"/>
    <w:rsid w:val="004B3A88"/>
    <w:rsid w:val="004B41E6"/>
    <w:rsid w:val="004B4C89"/>
    <w:rsid w:val="004B4D2C"/>
    <w:rsid w:val="004B699B"/>
    <w:rsid w:val="004C09A0"/>
    <w:rsid w:val="004C0B19"/>
    <w:rsid w:val="004C16C2"/>
    <w:rsid w:val="004C36B0"/>
    <w:rsid w:val="004C3B1E"/>
    <w:rsid w:val="004C4A24"/>
    <w:rsid w:val="004C4D1E"/>
    <w:rsid w:val="004C5D7C"/>
    <w:rsid w:val="004C7343"/>
    <w:rsid w:val="004D0615"/>
    <w:rsid w:val="004D1316"/>
    <w:rsid w:val="004D2CAE"/>
    <w:rsid w:val="004D4A3C"/>
    <w:rsid w:val="004D761B"/>
    <w:rsid w:val="004D7CB2"/>
    <w:rsid w:val="004E0114"/>
    <w:rsid w:val="004E0FB6"/>
    <w:rsid w:val="004E18D5"/>
    <w:rsid w:val="004E1D74"/>
    <w:rsid w:val="004E3D7B"/>
    <w:rsid w:val="004E4824"/>
    <w:rsid w:val="004E4871"/>
    <w:rsid w:val="004E5967"/>
    <w:rsid w:val="004E5EC5"/>
    <w:rsid w:val="004F1809"/>
    <w:rsid w:val="004F1DE4"/>
    <w:rsid w:val="004F20B9"/>
    <w:rsid w:val="004F2108"/>
    <w:rsid w:val="004F2C57"/>
    <w:rsid w:val="004F36DF"/>
    <w:rsid w:val="004F493F"/>
    <w:rsid w:val="004F4BC1"/>
    <w:rsid w:val="004F54B3"/>
    <w:rsid w:val="004F68A1"/>
    <w:rsid w:val="004F7649"/>
    <w:rsid w:val="004F7CE2"/>
    <w:rsid w:val="005009CF"/>
    <w:rsid w:val="00501ADB"/>
    <w:rsid w:val="005061D6"/>
    <w:rsid w:val="00506C5E"/>
    <w:rsid w:val="00507889"/>
    <w:rsid w:val="005103E5"/>
    <w:rsid w:val="00510A91"/>
    <w:rsid w:val="00512E7C"/>
    <w:rsid w:val="00513A45"/>
    <w:rsid w:val="0051555E"/>
    <w:rsid w:val="00516D4E"/>
    <w:rsid w:val="0051710C"/>
    <w:rsid w:val="00517207"/>
    <w:rsid w:val="005204EA"/>
    <w:rsid w:val="00520856"/>
    <w:rsid w:val="0052091E"/>
    <w:rsid w:val="00520B3F"/>
    <w:rsid w:val="00523351"/>
    <w:rsid w:val="00523D0B"/>
    <w:rsid w:val="00523F82"/>
    <w:rsid w:val="00524319"/>
    <w:rsid w:val="005249CE"/>
    <w:rsid w:val="00524D16"/>
    <w:rsid w:val="0052607A"/>
    <w:rsid w:val="00526170"/>
    <w:rsid w:val="00530393"/>
    <w:rsid w:val="005304D2"/>
    <w:rsid w:val="0053278E"/>
    <w:rsid w:val="005349DD"/>
    <w:rsid w:val="00534A6D"/>
    <w:rsid w:val="005371CF"/>
    <w:rsid w:val="00537C1B"/>
    <w:rsid w:val="005432F7"/>
    <w:rsid w:val="00543C15"/>
    <w:rsid w:val="00543DAB"/>
    <w:rsid w:val="005441CD"/>
    <w:rsid w:val="00544A23"/>
    <w:rsid w:val="005455BA"/>
    <w:rsid w:val="005468BF"/>
    <w:rsid w:val="00550EF2"/>
    <w:rsid w:val="00551F52"/>
    <w:rsid w:val="005522C5"/>
    <w:rsid w:val="0055429E"/>
    <w:rsid w:val="0055501E"/>
    <w:rsid w:val="00555E67"/>
    <w:rsid w:val="00556390"/>
    <w:rsid w:val="00556454"/>
    <w:rsid w:val="005568F3"/>
    <w:rsid w:val="005570B1"/>
    <w:rsid w:val="005571DC"/>
    <w:rsid w:val="005606A8"/>
    <w:rsid w:val="00561263"/>
    <w:rsid w:val="00563A74"/>
    <w:rsid w:val="00563FB2"/>
    <w:rsid w:val="00566B61"/>
    <w:rsid w:val="00571412"/>
    <w:rsid w:val="005727A7"/>
    <w:rsid w:val="00574188"/>
    <w:rsid w:val="00574418"/>
    <w:rsid w:val="00575824"/>
    <w:rsid w:val="00580767"/>
    <w:rsid w:val="005818FC"/>
    <w:rsid w:val="00582823"/>
    <w:rsid w:val="00584AD0"/>
    <w:rsid w:val="00584FDE"/>
    <w:rsid w:val="00585AD0"/>
    <w:rsid w:val="00585B8B"/>
    <w:rsid w:val="0059200A"/>
    <w:rsid w:val="0059297D"/>
    <w:rsid w:val="00594072"/>
    <w:rsid w:val="00594AD8"/>
    <w:rsid w:val="00594DFB"/>
    <w:rsid w:val="00595224"/>
    <w:rsid w:val="005959DF"/>
    <w:rsid w:val="005A1617"/>
    <w:rsid w:val="005A1C9C"/>
    <w:rsid w:val="005A24DB"/>
    <w:rsid w:val="005A3933"/>
    <w:rsid w:val="005A3AF6"/>
    <w:rsid w:val="005A4893"/>
    <w:rsid w:val="005A4DEA"/>
    <w:rsid w:val="005A59B8"/>
    <w:rsid w:val="005A6612"/>
    <w:rsid w:val="005B0DB2"/>
    <w:rsid w:val="005B1B39"/>
    <w:rsid w:val="005B3553"/>
    <w:rsid w:val="005B443C"/>
    <w:rsid w:val="005B639D"/>
    <w:rsid w:val="005B76DF"/>
    <w:rsid w:val="005C1582"/>
    <w:rsid w:val="005C2967"/>
    <w:rsid w:val="005C3C23"/>
    <w:rsid w:val="005C43CC"/>
    <w:rsid w:val="005C56A0"/>
    <w:rsid w:val="005C570A"/>
    <w:rsid w:val="005C759F"/>
    <w:rsid w:val="005D0479"/>
    <w:rsid w:val="005D1838"/>
    <w:rsid w:val="005D2209"/>
    <w:rsid w:val="005D3E44"/>
    <w:rsid w:val="005D7674"/>
    <w:rsid w:val="005E02CE"/>
    <w:rsid w:val="005E0B1D"/>
    <w:rsid w:val="005E4CEF"/>
    <w:rsid w:val="005E5D7E"/>
    <w:rsid w:val="005E634D"/>
    <w:rsid w:val="005E68DA"/>
    <w:rsid w:val="005E6EBD"/>
    <w:rsid w:val="005E70DB"/>
    <w:rsid w:val="005E767E"/>
    <w:rsid w:val="005E7FDC"/>
    <w:rsid w:val="005F0032"/>
    <w:rsid w:val="005F084B"/>
    <w:rsid w:val="005F230C"/>
    <w:rsid w:val="005F2ED8"/>
    <w:rsid w:val="005F416F"/>
    <w:rsid w:val="005F4800"/>
    <w:rsid w:val="005F4E03"/>
    <w:rsid w:val="005F7F06"/>
    <w:rsid w:val="0060266F"/>
    <w:rsid w:val="00603326"/>
    <w:rsid w:val="00603F3E"/>
    <w:rsid w:val="0060702E"/>
    <w:rsid w:val="00612675"/>
    <w:rsid w:val="00612A28"/>
    <w:rsid w:val="00612AD2"/>
    <w:rsid w:val="0061579D"/>
    <w:rsid w:val="006158FC"/>
    <w:rsid w:val="00616399"/>
    <w:rsid w:val="006168D9"/>
    <w:rsid w:val="00616D9B"/>
    <w:rsid w:val="00616EA6"/>
    <w:rsid w:val="00620D12"/>
    <w:rsid w:val="00624A5A"/>
    <w:rsid w:val="006250FC"/>
    <w:rsid w:val="00626857"/>
    <w:rsid w:val="00626AB2"/>
    <w:rsid w:val="00626E57"/>
    <w:rsid w:val="00630693"/>
    <w:rsid w:val="006309B8"/>
    <w:rsid w:val="00631974"/>
    <w:rsid w:val="00631CEE"/>
    <w:rsid w:val="00631DDD"/>
    <w:rsid w:val="006329ED"/>
    <w:rsid w:val="0063459C"/>
    <w:rsid w:val="00635E95"/>
    <w:rsid w:val="006377D0"/>
    <w:rsid w:val="006421F0"/>
    <w:rsid w:val="00642CF1"/>
    <w:rsid w:val="006431A2"/>
    <w:rsid w:val="00645980"/>
    <w:rsid w:val="00645D32"/>
    <w:rsid w:val="006464BB"/>
    <w:rsid w:val="00646A57"/>
    <w:rsid w:val="00646E5E"/>
    <w:rsid w:val="00647504"/>
    <w:rsid w:val="00652D26"/>
    <w:rsid w:val="00653BD1"/>
    <w:rsid w:val="006550C2"/>
    <w:rsid w:val="006552B1"/>
    <w:rsid w:val="0065530A"/>
    <w:rsid w:val="00661AC8"/>
    <w:rsid w:val="006621CB"/>
    <w:rsid w:val="00662246"/>
    <w:rsid w:val="0066424B"/>
    <w:rsid w:val="00664938"/>
    <w:rsid w:val="00664AAB"/>
    <w:rsid w:val="00664BE7"/>
    <w:rsid w:val="00665316"/>
    <w:rsid w:val="0066607A"/>
    <w:rsid w:val="00667941"/>
    <w:rsid w:val="00667D92"/>
    <w:rsid w:val="00670174"/>
    <w:rsid w:val="00670CA3"/>
    <w:rsid w:val="00670CE6"/>
    <w:rsid w:val="00672A02"/>
    <w:rsid w:val="006733CA"/>
    <w:rsid w:val="006760D6"/>
    <w:rsid w:val="006761DD"/>
    <w:rsid w:val="006768AB"/>
    <w:rsid w:val="006828D8"/>
    <w:rsid w:val="00683883"/>
    <w:rsid w:val="006846F6"/>
    <w:rsid w:val="0068505E"/>
    <w:rsid w:val="006853E8"/>
    <w:rsid w:val="00685CFE"/>
    <w:rsid w:val="00687577"/>
    <w:rsid w:val="00692062"/>
    <w:rsid w:val="00692A9D"/>
    <w:rsid w:val="00692DEF"/>
    <w:rsid w:val="00694CB1"/>
    <w:rsid w:val="0069508C"/>
    <w:rsid w:val="0069533C"/>
    <w:rsid w:val="006953C7"/>
    <w:rsid w:val="00695C2A"/>
    <w:rsid w:val="0069641C"/>
    <w:rsid w:val="00696702"/>
    <w:rsid w:val="006969D7"/>
    <w:rsid w:val="00697BAB"/>
    <w:rsid w:val="006A0649"/>
    <w:rsid w:val="006A15A9"/>
    <w:rsid w:val="006A1876"/>
    <w:rsid w:val="006A217E"/>
    <w:rsid w:val="006A2A96"/>
    <w:rsid w:val="006A3211"/>
    <w:rsid w:val="006A3F46"/>
    <w:rsid w:val="006A4EDE"/>
    <w:rsid w:val="006A775F"/>
    <w:rsid w:val="006B2D24"/>
    <w:rsid w:val="006B2FD3"/>
    <w:rsid w:val="006B474A"/>
    <w:rsid w:val="006B5E75"/>
    <w:rsid w:val="006B6447"/>
    <w:rsid w:val="006B6563"/>
    <w:rsid w:val="006B66CB"/>
    <w:rsid w:val="006B75AC"/>
    <w:rsid w:val="006B7DF1"/>
    <w:rsid w:val="006C0F1C"/>
    <w:rsid w:val="006C11AC"/>
    <w:rsid w:val="006C2512"/>
    <w:rsid w:val="006C386E"/>
    <w:rsid w:val="006C3AC5"/>
    <w:rsid w:val="006C4267"/>
    <w:rsid w:val="006C4536"/>
    <w:rsid w:val="006C5C7A"/>
    <w:rsid w:val="006D0538"/>
    <w:rsid w:val="006D075E"/>
    <w:rsid w:val="006D113F"/>
    <w:rsid w:val="006D20B0"/>
    <w:rsid w:val="006D25E3"/>
    <w:rsid w:val="006D3D3F"/>
    <w:rsid w:val="006D70DD"/>
    <w:rsid w:val="006D79BF"/>
    <w:rsid w:val="006D7C96"/>
    <w:rsid w:val="006E1B82"/>
    <w:rsid w:val="006E1E85"/>
    <w:rsid w:val="006E399C"/>
    <w:rsid w:val="006E72CA"/>
    <w:rsid w:val="006E79DE"/>
    <w:rsid w:val="006F17B6"/>
    <w:rsid w:val="006F18FB"/>
    <w:rsid w:val="006F1CEF"/>
    <w:rsid w:val="006F6072"/>
    <w:rsid w:val="006F641B"/>
    <w:rsid w:val="006F67B8"/>
    <w:rsid w:val="006F6C92"/>
    <w:rsid w:val="00700AD4"/>
    <w:rsid w:val="00701B9B"/>
    <w:rsid w:val="00705932"/>
    <w:rsid w:val="007064CB"/>
    <w:rsid w:val="0070686A"/>
    <w:rsid w:val="00706A50"/>
    <w:rsid w:val="007111DB"/>
    <w:rsid w:val="0071124F"/>
    <w:rsid w:val="00711E8B"/>
    <w:rsid w:val="0071283E"/>
    <w:rsid w:val="00713F79"/>
    <w:rsid w:val="007148E5"/>
    <w:rsid w:val="00715039"/>
    <w:rsid w:val="0071549C"/>
    <w:rsid w:val="00716E15"/>
    <w:rsid w:val="00721358"/>
    <w:rsid w:val="007216A4"/>
    <w:rsid w:val="00721BF9"/>
    <w:rsid w:val="00721F7D"/>
    <w:rsid w:val="00722A92"/>
    <w:rsid w:val="007258B8"/>
    <w:rsid w:val="00725FC8"/>
    <w:rsid w:val="00726920"/>
    <w:rsid w:val="00727803"/>
    <w:rsid w:val="00727FFC"/>
    <w:rsid w:val="0073109C"/>
    <w:rsid w:val="007322A3"/>
    <w:rsid w:val="0073316D"/>
    <w:rsid w:val="007333A4"/>
    <w:rsid w:val="00734043"/>
    <w:rsid w:val="0073429D"/>
    <w:rsid w:val="007370BC"/>
    <w:rsid w:val="00737342"/>
    <w:rsid w:val="00737B81"/>
    <w:rsid w:val="00741EE4"/>
    <w:rsid w:val="007430B3"/>
    <w:rsid w:val="007433AA"/>
    <w:rsid w:val="00743A7C"/>
    <w:rsid w:val="00745353"/>
    <w:rsid w:val="00745C57"/>
    <w:rsid w:val="00745FE0"/>
    <w:rsid w:val="00746252"/>
    <w:rsid w:val="007510C5"/>
    <w:rsid w:val="007540E3"/>
    <w:rsid w:val="007543EE"/>
    <w:rsid w:val="007604CF"/>
    <w:rsid w:val="00761C0C"/>
    <w:rsid w:val="00761E0F"/>
    <w:rsid w:val="00764674"/>
    <w:rsid w:val="00764AAF"/>
    <w:rsid w:val="00765D6C"/>
    <w:rsid w:val="0076779E"/>
    <w:rsid w:val="00767F5F"/>
    <w:rsid w:val="007703AA"/>
    <w:rsid w:val="007711E2"/>
    <w:rsid w:val="00772A8F"/>
    <w:rsid w:val="007734E8"/>
    <w:rsid w:val="00773522"/>
    <w:rsid w:val="0077383C"/>
    <w:rsid w:val="00774075"/>
    <w:rsid w:val="00776766"/>
    <w:rsid w:val="00777B89"/>
    <w:rsid w:val="00780134"/>
    <w:rsid w:val="00780A5A"/>
    <w:rsid w:val="007812F3"/>
    <w:rsid w:val="00782FF4"/>
    <w:rsid w:val="00783373"/>
    <w:rsid w:val="00783DF3"/>
    <w:rsid w:val="00784525"/>
    <w:rsid w:val="0078496B"/>
    <w:rsid w:val="00786865"/>
    <w:rsid w:val="00787A85"/>
    <w:rsid w:val="00790B61"/>
    <w:rsid w:val="007912B2"/>
    <w:rsid w:val="00791859"/>
    <w:rsid w:val="007928D6"/>
    <w:rsid w:val="00796200"/>
    <w:rsid w:val="007A2E2E"/>
    <w:rsid w:val="007A3246"/>
    <w:rsid w:val="007A51A8"/>
    <w:rsid w:val="007A5846"/>
    <w:rsid w:val="007A66F4"/>
    <w:rsid w:val="007A697D"/>
    <w:rsid w:val="007A6DFD"/>
    <w:rsid w:val="007A7045"/>
    <w:rsid w:val="007A71C6"/>
    <w:rsid w:val="007B1358"/>
    <w:rsid w:val="007B19A1"/>
    <w:rsid w:val="007B1BB1"/>
    <w:rsid w:val="007B459F"/>
    <w:rsid w:val="007B5064"/>
    <w:rsid w:val="007B519E"/>
    <w:rsid w:val="007B617E"/>
    <w:rsid w:val="007C0044"/>
    <w:rsid w:val="007C0362"/>
    <w:rsid w:val="007C2AB3"/>
    <w:rsid w:val="007C4FE4"/>
    <w:rsid w:val="007C58DD"/>
    <w:rsid w:val="007C60CB"/>
    <w:rsid w:val="007C6719"/>
    <w:rsid w:val="007C6ED5"/>
    <w:rsid w:val="007D33C9"/>
    <w:rsid w:val="007D36CA"/>
    <w:rsid w:val="007D375D"/>
    <w:rsid w:val="007D6663"/>
    <w:rsid w:val="007E03FA"/>
    <w:rsid w:val="007E0B70"/>
    <w:rsid w:val="007E0E33"/>
    <w:rsid w:val="007E0E46"/>
    <w:rsid w:val="007E13E9"/>
    <w:rsid w:val="007E47AE"/>
    <w:rsid w:val="007E4963"/>
    <w:rsid w:val="007E4F04"/>
    <w:rsid w:val="007E5E2F"/>
    <w:rsid w:val="007E5EA9"/>
    <w:rsid w:val="007E650B"/>
    <w:rsid w:val="007F333B"/>
    <w:rsid w:val="007F3EE9"/>
    <w:rsid w:val="007F59A7"/>
    <w:rsid w:val="007F5E3B"/>
    <w:rsid w:val="007F7CD8"/>
    <w:rsid w:val="00800D6D"/>
    <w:rsid w:val="00801C29"/>
    <w:rsid w:val="00802240"/>
    <w:rsid w:val="008034A6"/>
    <w:rsid w:val="008039DF"/>
    <w:rsid w:val="008051AE"/>
    <w:rsid w:val="00805C12"/>
    <w:rsid w:val="00806667"/>
    <w:rsid w:val="0081043A"/>
    <w:rsid w:val="00812990"/>
    <w:rsid w:val="00812F7E"/>
    <w:rsid w:val="00813114"/>
    <w:rsid w:val="008156C2"/>
    <w:rsid w:val="00815A56"/>
    <w:rsid w:val="00817616"/>
    <w:rsid w:val="0082021E"/>
    <w:rsid w:val="00822184"/>
    <w:rsid w:val="008225C0"/>
    <w:rsid w:val="008229E0"/>
    <w:rsid w:val="00823264"/>
    <w:rsid w:val="0082434E"/>
    <w:rsid w:val="0082503E"/>
    <w:rsid w:val="008253FF"/>
    <w:rsid w:val="0082550E"/>
    <w:rsid w:val="00825627"/>
    <w:rsid w:val="00825A31"/>
    <w:rsid w:val="008260A9"/>
    <w:rsid w:val="00831222"/>
    <w:rsid w:val="008318F7"/>
    <w:rsid w:val="00831A29"/>
    <w:rsid w:val="008337C3"/>
    <w:rsid w:val="00834DBB"/>
    <w:rsid w:val="00834FAB"/>
    <w:rsid w:val="00835BAC"/>
    <w:rsid w:val="00836043"/>
    <w:rsid w:val="00840A55"/>
    <w:rsid w:val="00840D9E"/>
    <w:rsid w:val="00842AFE"/>
    <w:rsid w:val="0084316D"/>
    <w:rsid w:val="008431FF"/>
    <w:rsid w:val="00844273"/>
    <w:rsid w:val="00844FF6"/>
    <w:rsid w:val="00845536"/>
    <w:rsid w:val="00850C51"/>
    <w:rsid w:val="00850E01"/>
    <w:rsid w:val="00850EC1"/>
    <w:rsid w:val="00851A03"/>
    <w:rsid w:val="008526FF"/>
    <w:rsid w:val="008528D2"/>
    <w:rsid w:val="0085400C"/>
    <w:rsid w:val="0085412D"/>
    <w:rsid w:val="008543B6"/>
    <w:rsid w:val="00857C85"/>
    <w:rsid w:val="008637CF"/>
    <w:rsid w:val="00864BB9"/>
    <w:rsid w:val="00865F1B"/>
    <w:rsid w:val="008664B8"/>
    <w:rsid w:val="00870D30"/>
    <w:rsid w:val="008759B6"/>
    <w:rsid w:val="00876740"/>
    <w:rsid w:val="00881B68"/>
    <w:rsid w:val="00883C92"/>
    <w:rsid w:val="00885027"/>
    <w:rsid w:val="008853DD"/>
    <w:rsid w:val="00885617"/>
    <w:rsid w:val="00886D68"/>
    <w:rsid w:val="00887182"/>
    <w:rsid w:val="0089059F"/>
    <w:rsid w:val="00890F88"/>
    <w:rsid w:val="00894B8C"/>
    <w:rsid w:val="00895C58"/>
    <w:rsid w:val="008961A1"/>
    <w:rsid w:val="00897E3B"/>
    <w:rsid w:val="008A01F7"/>
    <w:rsid w:val="008A281B"/>
    <w:rsid w:val="008A29C3"/>
    <w:rsid w:val="008A3A6F"/>
    <w:rsid w:val="008A5DF3"/>
    <w:rsid w:val="008A7655"/>
    <w:rsid w:val="008A7D25"/>
    <w:rsid w:val="008B04B2"/>
    <w:rsid w:val="008B0CDA"/>
    <w:rsid w:val="008B16B6"/>
    <w:rsid w:val="008B2F07"/>
    <w:rsid w:val="008B5A04"/>
    <w:rsid w:val="008B6B06"/>
    <w:rsid w:val="008B6B17"/>
    <w:rsid w:val="008B6F5D"/>
    <w:rsid w:val="008B71D8"/>
    <w:rsid w:val="008B7E28"/>
    <w:rsid w:val="008C0F05"/>
    <w:rsid w:val="008C20FF"/>
    <w:rsid w:val="008C2F4D"/>
    <w:rsid w:val="008C3C6B"/>
    <w:rsid w:val="008C553F"/>
    <w:rsid w:val="008C5DFE"/>
    <w:rsid w:val="008D06AC"/>
    <w:rsid w:val="008D07A6"/>
    <w:rsid w:val="008D17D2"/>
    <w:rsid w:val="008D2F46"/>
    <w:rsid w:val="008D32D1"/>
    <w:rsid w:val="008D5497"/>
    <w:rsid w:val="008D5A13"/>
    <w:rsid w:val="008D6D9E"/>
    <w:rsid w:val="008D70AA"/>
    <w:rsid w:val="008D7857"/>
    <w:rsid w:val="008D7B9B"/>
    <w:rsid w:val="008E16AB"/>
    <w:rsid w:val="008E2974"/>
    <w:rsid w:val="008E2A5F"/>
    <w:rsid w:val="008E2E88"/>
    <w:rsid w:val="008E59DD"/>
    <w:rsid w:val="008E714B"/>
    <w:rsid w:val="008F1897"/>
    <w:rsid w:val="008F3331"/>
    <w:rsid w:val="008F3F31"/>
    <w:rsid w:val="009030C4"/>
    <w:rsid w:val="0090388B"/>
    <w:rsid w:val="009055BE"/>
    <w:rsid w:val="00905C04"/>
    <w:rsid w:val="00906C76"/>
    <w:rsid w:val="00912D9A"/>
    <w:rsid w:val="0091606F"/>
    <w:rsid w:val="00917A8D"/>
    <w:rsid w:val="00920879"/>
    <w:rsid w:val="00920E9C"/>
    <w:rsid w:val="009248CF"/>
    <w:rsid w:val="00924BC8"/>
    <w:rsid w:val="00925D7F"/>
    <w:rsid w:val="0092738B"/>
    <w:rsid w:val="00930833"/>
    <w:rsid w:val="00931677"/>
    <w:rsid w:val="00931FFC"/>
    <w:rsid w:val="0093239A"/>
    <w:rsid w:val="00932877"/>
    <w:rsid w:val="009347FB"/>
    <w:rsid w:val="00937E0E"/>
    <w:rsid w:val="00940375"/>
    <w:rsid w:val="009414DF"/>
    <w:rsid w:val="00943064"/>
    <w:rsid w:val="00943542"/>
    <w:rsid w:val="00944AFF"/>
    <w:rsid w:val="00944CBE"/>
    <w:rsid w:val="00944DBB"/>
    <w:rsid w:val="00945261"/>
    <w:rsid w:val="0095055A"/>
    <w:rsid w:val="00950C2E"/>
    <w:rsid w:val="00950D07"/>
    <w:rsid w:val="009513EB"/>
    <w:rsid w:val="00951A35"/>
    <w:rsid w:val="00952386"/>
    <w:rsid w:val="00954E62"/>
    <w:rsid w:val="00956334"/>
    <w:rsid w:val="00956713"/>
    <w:rsid w:val="00956728"/>
    <w:rsid w:val="00956926"/>
    <w:rsid w:val="00956DAC"/>
    <w:rsid w:val="00961316"/>
    <w:rsid w:val="00963149"/>
    <w:rsid w:val="0096350F"/>
    <w:rsid w:val="00964339"/>
    <w:rsid w:val="00964816"/>
    <w:rsid w:val="00965F07"/>
    <w:rsid w:val="009670D3"/>
    <w:rsid w:val="009677F5"/>
    <w:rsid w:val="009712EB"/>
    <w:rsid w:val="0097139A"/>
    <w:rsid w:val="00971927"/>
    <w:rsid w:val="009723B6"/>
    <w:rsid w:val="00973E7E"/>
    <w:rsid w:val="009757BB"/>
    <w:rsid w:val="00976DB6"/>
    <w:rsid w:val="009771DD"/>
    <w:rsid w:val="00981EDA"/>
    <w:rsid w:val="00983BF7"/>
    <w:rsid w:val="00983FD3"/>
    <w:rsid w:val="00985ECF"/>
    <w:rsid w:val="009863A4"/>
    <w:rsid w:val="0098747C"/>
    <w:rsid w:val="00987EB5"/>
    <w:rsid w:val="0099067A"/>
    <w:rsid w:val="009918DE"/>
    <w:rsid w:val="009931F7"/>
    <w:rsid w:val="009937D5"/>
    <w:rsid w:val="009940B1"/>
    <w:rsid w:val="00996203"/>
    <w:rsid w:val="0099628B"/>
    <w:rsid w:val="00997E84"/>
    <w:rsid w:val="009A049F"/>
    <w:rsid w:val="009A0786"/>
    <w:rsid w:val="009A0F56"/>
    <w:rsid w:val="009A0FC5"/>
    <w:rsid w:val="009A4176"/>
    <w:rsid w:val="009A42F5"/>
    <w:rsid w:val="009A446D"/>
    <w:rsid w:val="009A459F"/>
    <w:rsid w:val="009A52A4"/>
    <w:rsid w:val="009A7144"/>
    <w:rsid w:val="009B35AB"/>
    <w:rsid w:val="009B75FA"/>
    <w:rsid w:val="009B7E13"/>
    <w:rsid w:val="009C0ABF"/>
    <w:rsid w:val="009C16AE"/>
    <w:rsid w:val="009C7F9F"/>
    <w:rsid w:val="009D1D63"/>
    <w:rsid w:val="009D1E7A"/>
    <w:rsid w:val="009D24AE"/>
    <w:rsid w:val="009D5905"/>
    <w:rsid w:val="009E0025"/>
    <w:rsid w:val="009E1639"/>
    <w:rsid w:val="009E3DF0"/>
    <w:rsid w:val="009E4F38"/>
    <w:rsid w:val="009E548B"/>
    <w:rsid w:val="009E7BE7"/>
    <w:rsid w:val="009E7DB6"/>
    <w:rsid w:val="009ED6F6"/>
    <w:rsid w:val="009F084E"/>
    <w:rsid w:val="009F163A"/>
    <w:rsid w:val="009F2CF7"/>
    <w:rsid w:val="009F38EF"/>
    <w:rsid w:val="009F4816"/>
    <w:rsid w:val="009F58AA"/>
    <w:rsid w:val="009F6569"/>
    <w:rsid w:val="009F7EDA"/>
    <w:rsid w:val="00A01B20"/>
    <w:rsid w:val="00A025C5"/>
    <w:rsid w:val="00A06BD3"/>
    <w:rsid w:val="00A07CFF"/>
    <w:rsid w:val="00A102A1"/>
    <w:rsid w:val="00A10C55"/>
    <w:rsid w:val="00A10D9A"/>
    <w:rsid w:val="00A11643"/>
    <w:rsid w:val="00A119D1"/>
    <w:rsid w:val="00A121FE"/>
    <w:rsid w:val="00A12A7D"/>
    <w:rsid w:val="00A12AE0"/>
    <w:rsid w:val="00A12C5F"/>
    <w:rsid w:val="00A133B2"/>
    <w:rsid w:val="00A1366C"/>
    <w:rsid w:val="00A14321"/>
    <w:rsid w:val="00A14D53"/>
    <w:rsid w:val="00A14E46"/>
    <w:rsid w:val="00A1746C"/>
    <w:rsid w:val="00A21BDD"/>
    <w:rsid w:val="00A21EAD"/>
    <w:rsid w:val="00A24AA9"/>
    <w:rsid w:val="00A24CDE"/>
    <w:rsid w:val="00A25D7D"/>
    <w:rsid w:val="00A2621C"/>
    <w:rsid w:val="00A26463"/>
    <w:rsid w:val="00A26825"/>
    <w:rsid w:val="00A26D09"/>
    <w:rsid w:val="00A300B9"/>
    <w:rsid w:val="00A30548"/>
    <w:rsid w:val="00A310A5"/>
    <w:rsid w:val="00A31B23"/>
    <w:rsid w:val="00A326F8"/>
    <w:rsid w:val="00A32867"/>
    <w:rsid w:val="00A329E6"/>
    <w:rsid w:val="00A3522E"/>
    <w:rsid w:val="00A408B9"/>
    <w:rsid w:val="00A4274C"/>
    <w:rsid w:val="00A42A6B"/>
    <w:rsid w:val="00A45BDF"/>
    <w:rsid w:val="00A462B8"/>
    <w:rsid w:val="00A46F09"/>
    <w:rsid w:val="00A4776A"/>
    <w:rsid w:val="00A5788A"/>
    <w:rsid w:val="00A63871"/>
    <w:rsid w:val="00A652B7"/>
    <w:rsid w:val="00A65356"/>
    <w:rsid w:val="00A66042"/>
    <w:rsid w:val="00A670BC"/>
    <w:rsid w:val="00A679E8"/>
    <w:rsid w:val="00A67D27"/>
    <w:rsid w:val="00A70483"/>
    <w:rsid w:val="00A7398E"/>
    <w:rsid w:val="00A740C6"/>
    <w:rsid w:val="00A74595"/>
    <w:rsid w:val="00A74A23"/>
    <w:rsid w:val="00A76AE3"/>
    <w:rsid w:val="00A81DBD"/>
    <w:rsid w:val="00A81DC5"/>
    <w:rsid w:val="00A83401"/>
    <w:rsid w:val="00A85594"/>
    <w:rsid w:val="00A8617A"/>
    <w:rsid w:val="00A8792C"/>
    <w:rsid w:val="00A9235F"/>
    <w:rsid w:val="00A92E64"/>
    <w:rsid w:val="00A92F86"/>
    <w:rsid w:val="00A969A1"/>
    <w:rsid w:val="00AA096E"/>
    <w:rsid w:val="00AA0F15"/>
    <w:rsid w:val="00AA2B46"/>
    <w:rsid w:val="00AA3A79"/>
    <w:rsid w:val="00AA6073"/>
    <w:rsid w:val="00AA7044"/>
    <w:rsid w:val="00AB0FA3"/>
    <w:rsid w:val="00AB17B1"/>
    <w:rsid w:val="00AB1F28"/>
    <w:rsid w:val="00AB3E54"/>
    <w:rsid w:val="00AB505B"/>
    <w:rsid w:val="00AB5572"/>
    <w:rsid w:val="00AB5659"/>
    <w:rsid w:val="00AB6140"/>
    <w:rsid w:val="00AB700E"/>
    <w:rsid w:val="00AB7FDE"/>
    <w:rsid w:val="00AC2B9C"/>
    <w:rsid w:val="00AC2BE6"/>
    <w:rsid w:val="00AC41E4"/>
    <w:rsid w:val="00AC570C"/>
    <w:rsid w:val="00AD0C67"/>
    <w:rsid w:val="00AD1045"/>
    <w:rsid w:val="00AD1254"/>
    <w:rsid w:val="00AD126D"/>
    <w:rsid w:val="00AD12E0"/>
    <w:rsid w:val="00AD1B07"/>
    <w:rsid w:val="00AD1F25"/>
    <w:rsid w:val="00AD2C75"/>
    <w:rsid w:val="00AD55C1"/>
    <w:rsid w:val="00AD5843"/>
    <w:rsid w:val="00AD7396"/>
    <w:rsid w:val="00AD7C35"/>
    <w:rsid w:val="00AE0AC3"/>
    <w:rsid w:val="00AE1318"/>
    <w:rsid w:val="00AE16EF"/>
    <w:rsid w:val="00AE24EC"/>
    <w:rsid w:val="00AE3BF7"/>
    <w:rsid w:val="00AE5D54"/>
    <w:rsid w:val="00AE768C"/>
    <w:rsid w:val="00AF38C3"/>
    <w:rsid w:val="00AF3AD9"/>
    <w:rsid w:val="00AF3CAB"/>
    <w:rsid w:val="00AF4601"/>
    <w:rsid w:val="00AF4C39"/>
    <w:rsid w:val="00AF4D1F"/>
    <w:rsid w:val="00AF6223"/>
    <w:rsid w:val="00AF7C5D"/>
    <w:rsid w:val="00B006FB"/>
    <w:rsid w:val="00B00E7E"/>
    <w:rsid w:val="00B02351"/>
    <w:rsid w:val="00B02BAF"/>
    <w:rsid w:val="00B03800"/>
    <w:rsid w:val="00B0489D"/>
    <w:rsid w:val="00B05EC9"/>
    <w:rsid w:val="00B05F54"/>
    <w:rsid w:val="00B0739E"/>
    <w:rsid w:val="00B100C0"/>
    <w:rsid w:val="00B12973"/>
    <w:rsid w:val="00B13468"/>
    <w:rsid w:val="00B13958"/>
    <w:rsid w:val="00B139C7"/>
    <w:rsid w:val="00B14777"/>
    <w:rsid w:val="00B1569D"/>
    <w:rsid w:val="00B15BBE"/>
    <w:rsid w:val="00B16DF2"/>
    <w:rsid w:val="00B17B22"/>
    <w:rsid w:val="00B17CC2"/>
    <w:rsid w:val="00B23651"/>
    <w:rsid w:val="00B24856"/>
    <w:rsid w:val="00B24ADB"/>
    <w:rsid w:val="00B24ED4"/>
    <w:rsid w:val="00B27576"/>
    <w:rsid w:val="00B3239C"/>
    <w:rsid w:val="00B3240D"/>
    <w:rsid w:val="00B33EAD"/>
    <w:rsid w:val="00B34D6E"/>
    <w:rsid w:val="00B36F1C"/>
    <w:rsid w:val="00B370A9"/>
    <w:rsid w:val="00B3742C"/>
    <w:rsid w:val="00B37A31"/>
    <w:rsid w:val="00B406E9"/>
    <w:rsid w:val="00B41DFC"/>
    <w:rsid w:val="00B42151"/>
    <w:rsid w:val="00B45EC9"/>
    <w:rsid w:val="00B50D76"/>
    <w:rsid w:val="00B525CC"/>
    <w:rsid w:val="00B535AC"/>
    <w:rsid w:val="00B55FDF"/>
    <w:rsid w:val="00B56FE8"/>
    <w:rsid w:val="00B60DCA"/>
    <w:rsid w:val="00B670CF"/>
    <w:rsid w:val="00B7161C"/>
    <w:rsid w:val="00B71821"/>
    <w:rsid w:val="00B71FA0"/>
    <w:rsid w:val="00B734B3"/>
    <w:rsid w:val="00B747D9"/>
    <w:rsid w:val="00B7489D"/>
    <w:rsid w:val="00B757AB"/>
    <w:rsid w:val="00B75AF6"/>
    <w:rsid w:val="00B762ED"/>
    <w:rsid w:val="00B762EF"/>
    <w:rsid w:val="00B776F8"/>
    <w:rsid w:val="00B818F7"/>
    <w:rsid w:val="00B829C9"/>
    <w:rsid w:val="00B82A37"/>
    <w:rsid w:val="00B833B0"/>
    <w:rsid w:val="00B841B1"/>
    <w:rsid w:val="00B84402"/>
    <w:rsid w:val="00B854FA"/>
    <w:rsid w:val="00B85D1A"/>
    <w:rsid w:val="00B86196"/>
    <w:rsid w:val="00B8714D"/>
    <w:rsid w:val="00B90C7A"/>
    <w:rsid w:val="00B91B0A"/>
    <w:rsid w:val="00B92119"/>
    <w:rsid w:val="00B9335F"/>
    <w:rsid w:val="00B95ABD"/>
    <w:rsid w:val="00B9658F"/>
    <w:rsid w:val="00BA1E5A"/>
    <w:rsid w:val="00BA2FAC"/>
    <w:rsid w:val="00BA3FBE"/>
    <w:rsid w:val="00BA4B75"/>
    <w:rsid w:val="00BA6BEF"/>
    <w:rsid w:val="00BB0A91"/>
    <w:rsid w:val="00BB15AF"/>
    <w:rsid w:val="00BB1F95"/>
    <w:rsid w:val="00BB1FC9"/>
    <w:rsid w:val="00BB2501"/>
    <w:rsid w:val="00BB2935"/>
    <w:rsid w:val="00BB32D9"/>
    <w:rsid w:val="00BB6803"/>
    <w:rsid w:val="00BC12B6"/>
    <w:rsid w:val="00BC3C8B"/>
    <w:rsid w:val="00BC4AC1"/>
    <w:rsid w:val="00BC5713"/>
    <w:rsid w:val="00BC664E"/>
    <w:rsid w:val="00BC7C2F"/>
    <w:rsid w:val="00BD0CAB"/>
    <w:rsid w:val="00BD5F44"/>
    <w:rsid w:val="00BD600C"/>
    <w:rsid w:val="00BD65DD"/>
    <w:rsid w:val="00BD7B4B"/>
    <w:rsid w:val="00BE060A"/>
    <w:rsid w:val="00BE11C7"/>
    <w:rsid w:val="00BE2945"/>
    <w:rsid w:val="00BE2A2E"/>
    <w:rsid w:val="00BE2EF6"/>
    <w:rsid w:val="00BE3934"/>
    <w:rsid w:val="00BE3B65"/>
    <w:rsid w:val="00BE49E9"/>
    <w:rsid w:val="00BE5163"/>
    <w:rsid w:val="00BE597F"/>
    <w:rsid w:val="00BE6452"/>
    <w:rsid w:val="00BF0D3C"/>
    <w:rsid w:val="00BF3A13"/>
    <w:rsid w:val="00BF48A1"/>
    <w:rsid w:val="00BF4F82"/>
    <w:rsid w:val="00BF6B87"/>
    <w:rsid w:val="00C042E7"/>
    <w:rsid w:val="00C052D1"/>
    <w:rsid w:val="00C078B6"/>
    <w:rsid w:val="00C10D8D"/>
    <w:rsid w:val="00C116D1"/>
    <w:rsid w:val="00C134F7"/>
    <w:rsid w:val="00C1489C"/>
    <w:rsid w:val="00C15516"/>
    <w:rsid w:val="00C176C1"/>
    <w:rsid w:val="00C20339"/>
    <w:rsid w:val="00C20B1F"/>
    <w:rsid w:val="00C21823"/>
    <w:rsid w:val="00C23B15"/>
    <w:rsid w:val="00C25CA4"/>
    <w:rsid w:val="00C265B0"/>
    <w:rsid w:val="00C2739F"/>
    <w:rsid w:val="00C27938"/>
    <w:rsid w:val="00C27DAE"/>
    <w:rsid w:val="00C31F09"/>
    <w:rsid w:val="00C32853"/>
    <w:rsid w:val="00C32A72"/>
    <w:rsid w:val="00C32FF6"/>
    <w:rsid w:val="00C3314E"/>
    <w:rsid w:val="00C335E7"/>
    <w:rsid w:val="00C36387"/>
    <w:rsid w:val="00C3657A"/>
    <w:rsid w:val="00C400EC"/>
    <w:rsid w:val="00C4013D"/>
    <w:rsid w:val="00C41DAC"/>
    <w:rsid w:val="00C42129"/>
    <w:rsid w:val="00C448E8"/>
    <w:rsid w:val="00C45DD2"/>
    <w:rsid w:val="00C465B8"/>
    <w:rsid w:val="00C46C1D"/>
    <w:rsid w:val="00C50B8B"/>
    <w:rsid w:val="00C5165E"/>
    <w:rsid w:val="00C52075"/>
    <w:rsid w:val="00C520C3"/>
    <w:rsid w:val="00C532FA"/>
    <w:rsid w:val="00C608E5"/>
    <w:rsid w:val="00C613B6"/>
    <w:rsid w:val="00C617CF"/>
    <w:rsid w:val="00C61AF2"/>
    <w:rsid w:val="00C62AA3"/>
    <w:rsid w:val="00C66013"/>
    <w:rsid w:val="00C70A8A"/>
    <w:rsid w:val="00C73AA4"/>
    <w:rsid w:val="00C7679B"/>
    <w:rsid w:val="00C76811"/>
    <w:rsid w:val="00C77D9A"/>
    <w:rsid w:val="00C80638"/>
    <w:rsid w:val="00C826C6"/>
    <w:rsid w:val="00C851C8"/>
    <w:rsid w:val="00C85944"/>
    <w:rsid w:val="00C860B1"/>
    <w:rsid w:val="00C86DB9"/>
    <w:rsid w:val="00C90EF0"/>
    <w:rsid w:val="00C90F68"/>
    <w:rsid w:val="00C91651"/>
    <w:rsid w:val="00C91917"/>
    <w:rsid w:val="00C9308C"/>
    <w:rsid w:val="00C944B5"/>
    <w:rsid w:val="00C94BD9"/>
    <w:rsid w:val="00C95608"/>
    <w:rsid w:val="00C96D03"/>
    <w:rsid w:val="00CA000A"/>
    <w:rsid w:val="00CA05C7"/>
    <w:rsid w:val="00CA0809"/>
    <w:rsid w:val="00CA12BA"/>
    <w:rsid w:val="00CA1962"/>
    <w:rsid w:val="00CA1CF2"/>
    <w:rsid w:val="00CA2389"/>
    <w:rsid w:val="00CB05B5"/>
    <w:rsid w:val="00CB05C8"/>
    <w:rsid w:val="00CB0AA3"/>
    <w:rsid w:val="00CB16C1"/>
    <w:rsid w:val="00CB1A12"/>
    <w:rsid w:val="00CB2FAC"/>
    <w:rsid w:val="00CB342E"/>
    <w:rsid w:val="00CB3DB6"/>
    <w:rsid w:val="00CB3F18"/>
    <w:rsid w:val="00CB608E"/>
    <w:rsid w:val="00CB613A"/>
    <w:rsid w:val="00CB6174"/>
    <w:rsid w:val="00CB7243"/>
    <w:rsid w:val="00CC2475"/>
    <w:rsid w:val="00CC3A4C"/>
    <w:rsid w:val="00CC3B25"/>
    <w:rsid w:val="00CC5014"/>
    <w:rsid w:val="00CC63D8"/>
    <w:rsid w:val="00CC6AC9"/>
    <w:rsid w:val="00CD01B3"/>
    <w:rsid w:val="00CD2AD8"/>
    <w:rsid w:val="00CD728D"/>
    <w:rsid w:val="00CE0A30"/>
    <w:rsid w:val="00CE15E9"/>
    <w:rsid w:val="00CE1EAC"/>
    <w:rsid w:val="00CE1EEA"/>
    <w:rsid w:val="00CE2863"/>
    <w:rsid w:val="00CE296E"/>
    <w:rsid w:val="00CE48C3"/>
    <w:rsid w:val="00CF177D"/>
    <w:rsid w:val="00CF1A3D"/>
    <w:rsid w:val="00CF2E9E"/>
    <w:rsid w:val="00CF3F90"/>
    <w:rsid w:val="00CF50AC"/>
    <w:rsid w:val="00CF5116"/>
    <w:rsid w:val="00CF546E"/>
    <w:rsid w:val="00CF5EA5"/>
    <w:rsid w:val="00CF6BB3"/>
    <w:rsid w:val="00CF6F36"/>
    <w:rsid w:val="00CF7361"/>
    <w:rsid w:val="00D0004B"/>
    <w:rsid w:val="00D00482"/>
    <w:rsid w:val="00D04632"/>
    <w:rsid w:val="00D04813"/>
    <w:rsid w:val="00D113DE"/>
    <w:rsid w:val="00D125DF"/>
    <w:rsid w:val="00D1511B"/>
    <w:rsid w:val="00D15A06"/>
    <w:rsid w:val="00D16A42"/>
    <w:rsid w:val="00D213E2"/>
    <w:rsid w:val="00D22106"/>
    <w:rsid w:val="00D22947"/>
    <w:rsid w:val="00D23107"/>
    <w:rsid w:val="00D235D5"/>
    <w:rsid w:val="00D23913"/>
    <w:rsid w:val="00D242FD"/>
    <w:rsid w:val="00D24FA0"/>
    <w:rsid w:val="00D25CEA"/>
    <w:rsid w:val="00D27F8F"/>
    <w:rsid w:val="00D30CDC"/>
    <w:rsid w:val="00D33C5A"/>
    <w:rsid w:val="00D35698"/>
    <w:rsid w:val="00D35D7E"/>
    <w:rsid w:val="00D35E24"/>
    <w:rsid w:val="00D36C01"/>
    <w:rsid w:val="00D36E05"/>
    <w:rsid w:val="00D400F1"/>
    <w:rsid w:val="00D40B6B"/>
    <w:rsid w:val="00D42F39"/>
    <w:rsid w:val="00D435D5"/>
    <w:rsid w:val="00D435F0"/>
    <w:rsid w:val="00D44BB4"/>
    <w:rsid w:val="00D44D70"/>
    <w:rsid w:val="00D452D1"/>
    <w:rsid w:val="00D47D70"/>
    <w:rsid w:val="00D513B9"/>
    <w:rsid w:val="00D52E66"/>
    <w:rsid w:val="00D55304"/>
    <w:rsid w:val="00D55F50"/>
    <w:rsid w:val="00D6131B"/>
    <w:rsid w:val="00D631BD"/>
    <w:rsid w:val="00D70FC0"/>
    <w:rsid w:val="00D7275D"/>
    <w:rsid w:val="00D72C59"/>
    <w:rsid w:val="00D73242"/>
    <w:rsid w:val="00D76361"/>
    <w:rsid w:val="00D771E5"/>
    <w:rsid w:val="00D77366"/>
    <w:rsid w:val="00D81728"/>
    <w:rsid w:val="00D82C23"/>
    <w:rsid w:val="00D836FF"/>
    <w:rsid w:val="00D8414E"/>
    <w:rsid w:val="00D850A6"/>
    <w:rsid w:val="00D853AB"/>
    <w:rsid w:val="00D8596B"/>
    <w:rsid w:val="00D861E7"/>
    <w:rsid w:val="00D86E78"/>
    <w:rsid w:val="00D87367"/>
    <w:rsid w:val="00D906AD"/>
    <w:rsid w:val="00D922D1"/>
    <w:rsid w:val="00D97624"/>
    <w:rsid w:val="00DA0150"/>
    <w:rsid w:val="00DA0197"/>
    <w:rsid w:val="00DA0E0D"/>
    <w:rsid w:val="00DA0EAF"/>
    <w:rsid w:val="00DA2075"/>
    <w:rsid w:val="00DA2095"/>
    <w:rsid w:val="00DB0A15"/>
    <w:rsid w:val="00DB1841"/>
    <w:rsid w:val="00DB2412"/>
    <w:rsid w:val="00DB2A81"/>
    <w:rsid w:val="00DB55D8"/>
    <w:rsid w:val="00DB6F5A"/>
    <w:rsid w:val="00DB73AD"/>
    <w:rsid w:val="00DB7FB0"/>
    <w:rsid w:val="00DC1122"/>
    <w:rsid w:val="00DC244D"/>
    <w:rsid w:val="00DC2A29"/>
    <w:rsid w:val="00DC2D99"/>
    <w:rsid w:val="00DC3E6B"/>
    <w:rsid w:val="00DC6531"/>
    <w:rsid w:val="00DC6739"/>
    <w:rsid w:val="00DC6906"/>
    <w:rsid w:val="00DC771B"/>
    <w:rsid w:val="00DC7B53"/>
    <w:rsid w:val="00DD03A4"/>
    <w:rsid w:val="00DD0E62"/>
    <w:rsid w:val="00DD22D2"/>
    <w:rsid w:val="00DD3B74"/>
    <w:rsid w:val="00DD4D02"/>
    <w:rsid w:val="00DD5437"/>
    <w:rsid w:val="00DD670A"/>
    <w:rsid w:val="00DD68FC"/>
    <w:rsid w:val="00DE2003"/>
    <w:rsid w:val="00DE38EC"/>
    <w:rsid w:val="00DE3C6F"/>
    <w:rsid w:val="00DE3D40"/>
    <w:rsid w:val="00DE6808"/>
    <w:rsid w:val="00DF0043"/>
    <w:rsid w:val="00DF0AA0"/>
    <w:rsid w:val="00DF0AFA"/>
    <w:rsid w:val="00DF2321"/>
    <w:rsid w:val="00DF30C7"/>
    <w:rsid w:val="00DF3DF3"/>
    <w:rsid w:val="00DF41D0"/>
    <w:rsid w:val="00DF44C9"/>
    <w:rsid w:val="00DF4B9D"/>
    <w:rsid w:val="00DF51E8"/>
    <w:rsid w:val="00DF553A"/>
    <w:rsid w:val="00DF59B7"/>
    <w:rsid w:val="00DF667A"/>
    <w:rsid w:val="00E0046B"/>
    <w:rsid w:val="00E0239F"/>
    <w:rsid w:val="00E0262B"/>
    <w:rsid w:val="00E02712"/>
    <w:rsid w:val="00E03591"/>
    <w:rsid w:val="00E037B3"/>
    <w:rsid w:val="00E05277"/>
    <w:rsid w:val="00E0678C"/>
    <w:rsid w:val="00E07743"/>
    <w:rsid w:val="00E1172A"/>
    <w:rsid w:val="00E11DAC"/>
    <w:rsid w:val="00E12194"/>
    <w:rsid w:val="00E12572"/>
    <w:rsid w:val="00E12724"/>
    <w:rsid w:val="00E142DB"/>
    <w:rsid w:val="00E2130F"/>
    <w:rsid w:val="00E22B84"/>
    <w:rsid w:val="00E231F0"/>
    <w:rsid w:val="00E24A49"/>
    <w:rsid w:val="00E25F95"/>
    <w:rsid w:val="00E31769"/>
    <w:rsid w:val="00E31929"/>
    <w:rsid w:val="00E34552"/>
    <w:rsid w:val="00E34BC9"/>
    <w:rsid w:val="00E36185"/>
    <w:rsid w:val="00E401D6"/>
    <w:rsid w:val="00E40A8C"/>
    <w:rsid w:val="00E42FC1"/>
    <w:rsid w:val="00E437DD"/>
    <w:rsid w:val="00E43DAE"/>
    <w:rsid w:val="00E44427"/>
    <w:rsid w:val="00E44673"/>
    <w:rsid w:val="00E458CB"/>
    <w:rsid w:val="00E47D18"/>
    <w:rsid w:val="00E51802"/>
    <w:rsid w:val="00E51D3E"/>
    <w:rsid w:val="00E54D22"/>
    <w:rsid w:val="00E54D3F"/>
    <w:rsid w:val="00E54F86"/>
    <w:rsid w:val="00E5529E"/>
    <w:rsid w:val="00E55889"/>
    <w:rsid w:val="00E56548"/>
    <w:rsid w:val="00E57E27"/>
    <w:rsid w:val="00E61AFC"/>
    <w:rsid w:val="00E62FE8"/>
    <w:rsid w:val="00E636A2"/>
    <w:rsid w:val="00E64C36"/>
    <w:rsid w:val="00E64F7A"/>
    <w:rsid w:val="00E671B6"/>
    <w:rsid w:val="00E716D4"/>
    <w:rsid w:val="00E71C25"/>
    <w:rsid w:val="00E73394"/>
    <w:rsid w:val="00E763A9"/>
    <w:rsid w:val="00E809D4"/>
    <w:rsid w:val="00E81099"/>
    <w:rsid w:val="00E8243A"/>
    <w:rsid w:val="00E83116"/>
    <w:rsid w:val="00E83BB2"/>
    <w:rsid w:val="00E83EC4"/>
    <w:rsid w:val="00E84563"/>
    <w:rsid w:val="00E86396"/>
    <w:rsid w:val="00E87602"/>
    <w:rsid w:val="00E878FA"/>
    <w:rsid w:val="00E87B81"/>
    <w:rsid w:val="00E90B3A"/>
    <w:rsid w:val="00E90CAA"/>
    <w:rsid w:val="00E90D7B"/>
    <w:rsid w:val="00E91E2A"/>
    <w:rsid w:val="00E93539"/>
    <w:rsid w:val="00E942F1"/>
    <w:rsid w:val="00E9457D"/>
    <w:rsid w:val="00E948CB"/>
    <w:rsid w:val="00E9584A"/>
    <w:rsid w:val="00E96B27"/>
    <w:rsid w:val="00EA0F31"/>
    <w:rsid w:val="00EA17D6"/>
    <w:rsid w:val="00EA2E9B"/>
    <w:rsid w:val="00EA4365"/>
    <w:rsid w:val="00EA4657"/>
    <w:rsid w:val="00EA51D8"/>
    <w:rsid w:val="00EA528B"/>
    <w:rsid w:val="00EA5F30"/>
    <w:rsid w:val="00EB1679"/>
    <w:rsid w:val="00EB2279"/>
    <w:rsid w:val="00EB2B8A"/>
    <w:rsid w:val="00EB37BF"/>
    <w:rsid w:val="00EB3C6D"/>
    <w:rsid w:val="00EB4945"/>
    <w:rsid w:val="00EB578F"/>
    <w:rsid w:val="00EB6D19"/>
    <w:rsid w:val="00EB7687"/>
    <w:rsid w:val="00EC0417"/>
    <w:rsid w:val="00EC1C3C"/>
    <w:rsid w:val="00EC2526"/>
    <w:rsid w:val="00EC3C73"/>
    <w:rsid w:val="00EC5F3C"/>
    <w:rsid w:val="00ED08B7"/>
    <w:rsid w:val="00ED0F14"/>
    <w:rsid w:val="00ED1265"/>
    <w:rsid w:val="00ED255D"/>
    <w:rsid w:val="00ED4988"/>
    <w:rsid w:val="00ED5FD2"/>
    <w:rsid w:val="00ED73A3"/>
    <w:rsid w:val="00ED7E76"/>
    <w:rsid w:val="00EE11C0"/>
    <w:rsid w:val="00EE1370"/>
    <w:rsid w:val="00EE1DDE"/>
    <w:rsid w:val="00EE444D"/>
    <w:rsid w:val="00EE54DC"/>
    <w:rsid w:val="00EE6EB4"/>
    <w:rsid w:val="00EE7654"/>
    <w:rsid w:val="00EE7CFB"/>
    <w:rsid w:val="00EF09FB"/>
    <w:rsid w:val="00EF35DD"/>
    <w:rsid w:val="00EF4423"/>
    <w:rsid w:val="00EF5BE4"/>
    <w:rsid w:val="00EF65D6"/>
    <w:rsid w:val="00F00C6F"/>
    <w:rsid w:val="00F02433"/>
    <w:rsid w:val="00F04A42"/>
    <w:rsid w:val="00F04CA7"/>
    <w:rsid w:val="00F10087"/>
    <w:rsid w:val="00F1099F"/>
    <w:rsid w:val="00F10A01"/>
    <w:rsid w:val="00F11769"/>
    <w:rsid w:val="00F150C4"/>
    <w:rsid w:val="00F16537"/>
    <w:rsid w:val="00F21495"/>
    <w:rsid w:val="00F24527"/>
    <w:rsid w:val="00F2464C"/>
    <w:rsid w:val="00F2676A"/>
    <w:rsid w:val="00F26A55"/>
    <w:rsid w:val="00F26FAD"/>
    <w:rsid w:val="00F27621"/>
    <w:rsid w:val="00F32977"/>
    <w:rsid w:val="00F336EE"/>
    <w:rsid w:val="00F34D47"/>
    <w:rsid w:val="00F355CD"/>
    <w:rsid w:val="00F37977"/>
    <w:rsid w:val="00F44547"/>
    <w:rsid w:val="00F45800"/>
    <w:rsid w:val="00F45D16"/>
    <w:rsid w:val="00F51918"/>
    <w:rsid w:val="00F54D36"/>
    <w:rsid w:val="00F56DD3"/>
    <w:rsid w:val="00F60083"/>
    <w:rsid w:val="00F61AC4"/>
    <w:rsid w:val="00F63FAF"/>
    <w:rsid w:val="00F6448A"/>
    <w:rsid w:val="00F650F1"/>
    <w:rsid w:val="00F66AD5"/>
    <w:rsid w:val="00F673E3"/>
    <w:rsid w:val="00F702E5"/>
    <w:rsid w:val="00F70416"/>
    <w:rsid w:val="00F725C5"/>
    <w:rsid w:val="00F748E9"/>
    <w:rsid w:val="00F769D6"/>
    <w:rsid w:val="00F80A5C"/>
    <w:rsid w:val="00F815BC"/>
    <w:rsid w:val="00F82E2E"/>
    <w:rsid w:val="00F84AC2"/>
    <w:rsid w:val="00F8689E"/>
    <w:rsid w:val="00F86E3D"/>
    <w:rsid w:val="00F8778D"/>
    <w:rsid w:val="00F9019B"/>
    <w:rsid w:val="00F90ADC"/>
    <w:rsid w:val="00F90CF8"/>
    <w:rsid w:val="00F90D3D"/>
    <w:rsid w:val="00F94193"/>
    <w:rsid w:val="00F961FA"/>
    <w:rsid w:val="00FA18BE"/>
    <w:rsid w:val="00FA2900"/>
    <w:rsid w:val="00FA2A78"/>
    <w:rsid w:val="00FA33B4"/>
    <w:rsid w:val="00FA35A1"/>
    <w:rsid w:val="00FA3E43"/>
    <w:rsid w:val="00FA449C"/>
    <w:rsid w:val="00FA7B4B"/>
    <w:rsid w:val="00FA7E58"/>
    <w:rsid w:val="00FB1F3C"/>
    <w:rsid w:val="00FB240F"/>
    <w:rsid w:val="00FB2D16"/>
    <w:rsid w:val="00FB3A3B"/>
    <w:rsid w:val="00FB67FD"/>
    <w:rsid w:val="00FB6B63"/>
    <w:rsid w:val="00FC13AD"/>
    <w:rsid w:val="00FC448C"/>
    <w:rsid w:val="00FC53CD"/>
    <w:rsid w:val="00FD00CA"/>
    <w:rsid w:val="00FD042E"/>
    <w:rsid w:val="00FD1422"/>
    <w:rsid w:val="00FD23E0"/>
    <w:rsid w:val="00FD4278"/>
    <w:rsid w:val="00FD579B"/>
    <w:rsid w:val="00FD5D15"/>
    <w:rsid w:val="00FD5DA6"/>
    <w:rsid w:val="00FD6188"/>
    <w:rsid w:val="00FD6319"/>
    <w:rsid w:val="00FD7646"/>
    <w:rsid w:val="00FE055D"/>
    <w:rsid w:val="00FE2377"/>
    <w:rsid w:val="00FE5317"/>
    <w:rsid w:val="00FE5C11"/>
    <w:rsid w:val="00FE5D2B"/>
    <w:rsid w:val="00FF53E2"/>
    <w:rsid w:val="00FF7ACC"/>
    <w:rsid w:val="00FF7AFD"/>
    <w:rsid w:val="0934DD70"/>
    <w:rsid w:val="0DABEB17"/>
    <w:rsid w:val="12198334"/>
    <w:rsid w:val="14BBBDB8"/>
    <w:rsid w:val="1CE13087"/>
    <w:rsid w:val="20651E46"/>
    <w:rsid w:val="274B7A13"/>
    <w:rsid w:val="2A5649B8"/>
    <w:rsid w:val="2C13F84F"/>
    <w:rsid w:val="3449B569"/>
    <w:rsid w:val="3547B734"/>
    <w:rsid w:val="35CCF4E5"/>
    <w:rsid w:val="38E4F1CD"/>
    <w:rsid w:val="39DA892C"/>
    <w:rsid w:val="3ACB234B"/>
    <w:rsid w:val="3F11D6CC"/>
    <w:rsid w:val="4373F833"/>
    <w:rsid w:val="4B34C0EC"/>
    <w:rsid w:val="4D5EA278"/>
    <w:rsid w:val="4FC98A77"/>
    <w:rsid w:val="5766D5D0"/>
    <w:rsid w:val="5C8FAF6B"/>
    <w:rsid w:val="69DA3D2F"/>
    <w:rsid w:val="6BBC6FDD"/>
    <w:rsid w:val="6D1F731D"/>
    <w:rsid w:val="6DA67047"/>
    <w:rsid w:val="6EC79FFD"/>
    <w:rsid w:val="736EB5AE"/>
    <w:rsid w:val="7423DAA6"/>
    <w:rsid w:val="788ADCED"/>
    <w:rsid w:val="7BC8F0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A78D"/>
  <w15:docId w15:val="{08FD5442-2960-4E44-A463-41D3DE11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uiPriority w:val="9"/>
    <w:qFormat/>
    <w:rsid w:val="002B25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17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176D"/>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A17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6493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1C2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00C6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906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AC"/>
    <w:rPr>
      <w:rFonts w:ascii="Segoe UI" w:hAnsi="Segoe UI" w:cs="Segoe UI"/>
      <w:sz w:val="18"/>
      <w:szCs w:val="18"/>
    </w:rPr>
  </w:style>
  <w:style w:type="character" w:customStyle="1" w:styleId="Heading1Char">
    <w:name w:val="Heading 1 Char"/>
    <w:basedOn w:val="DefaultParagraphFont"/>
    <w:link w:val="Heading1"/>
    <w:uiPriority w:val="9"/>
    <w:rsid w:val="002B25AC"/>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2B25AC"/>
    <w:pPr>
      <w:spacing w:line="240" w:lineRule="auto"/>
      <w:ind w:left="357"/>
    </w:pPr>
    <w:rPr>
      <w:rFonts w:ascii="Verdana" w:hAnsi="Verdana" w:cstheme="majorBidi"/>
      <w:i/>
      <w:iCs/>
      <w:color w:val="4F81BD" w:themeColor="accent1"/>
      <w:sz w:val="22"/>
      <w:szCs w:val="18"/>
      <w:lang w:val="en-US" w:eastAsia="ja-JP"/>
    </w:rPr>
  </w:style>
  <w:style w:type="character" w:styleId="CommentReference">
    <w:name w:val="annotation reference"/>
    <w:basedOn w:val="DefaultParagraphFont"/>
    <w:uiPriority w:val="99"/>
    <w:semiHidden/>
    <w:unhideWhenUsed/>
    <w:rsid w:val="002B25AC"/>
    <w:rPr>
      <w:sz w:val="22"/>
      <w:szCs w:val="16"/>
    </w:rPr>
  </w:style>
  <w:style w:type="paragraph" w:styleId="CommentText">
    <w:name w:val="annotation text"/>
    <w:basedOn w:val="Normal"/>
    <w:link w:val="CommentTextChar"/>
    <w:uiPriority w:val="99"/>
    <w:unhideWhenUsed/>
    <w:rsid w:val="002B25AC"/>
    <w:pPr>
      <w:spacing w:after="120" w:line="240" w:lineRule="auto"/>
      <w:ind w:left="357"/>
    </w:pPr>
    <w:rPr>
      <w:rFonts w:ascii="Verdana" w:hAnsi="Verdana" w:cstheme="majorBidi"/>
      <w:color w:val="4F81BD" w:themeColor="accent1"/>
      <w:sz w:val="22"/>
      <w:szCs w:val="20"/>
      <w:lang w:val="en-US" w:eastAsia="ja-JP"/>
    </w:rPr>
  </w:style>
  <w:style w:type="character" w:customStyle="1" w:styleId="CommentTextChar">
    <w:name w:val="Comment Text Char"/>
    <w:basedOn w:val="DefaultParagraphFont"/>
    <w:link w:val="CommentText"/>
    <w:uiPriority w:val="99"/>
    <w:rsid w:val="002B25AC"/>
    <w:rPr>
      <w:rFonts w:ascii="Verdana" w:hAnsi="Verdana" w:cstheme="majorBidi"/>
      <w:color w:val="4F81BD" w:themeColor="accent1"/>
      <w:szCs w:val="20"/>
      <w:lang w:val="en-US" w:eastAsia="ja-JP"/>
    </w:rPr>
  </w:style>
  <w:style w:type="paragraph" w:styleId="FootnoteText">
    <w:name w:val="footnote text"/>
    <w:basedOn w:val="Normal"/>
    <w:link w:val="FootnoteTextChar"/>
    <w:uiPriority w:val="99"/>
    <w:unhideWhenUsed/>
    <w:rsid w:val="002B25AC"/>
    <w:pPr>
      <w:spacing w:after="0" w:line="240" w:lineRule="auto"/>
      <w:ind w:left="357"/>
    </w:pPr>
    <w:rPr>
      <w:rFonts w:ascii="Verdana" w:hAnsi="Verdana" w:cstheme="majorBidi"/>
      <w:color w:val="4F81BD" w:themeColor="accent1"/>
      <w:sz w:val="16"/>
      <w:szCs w:val="20"/>
      <w:lang w:val="en-US" w:eastAsia="ja-JP"/>
    </w:rPr>
  </w:style>
  <w:style w:type="character" w:customStyle="1" w:styleId="FootnoteTextChar">
    <w:name w:val="Footnote Text Char"/>
    <w:basedOn w:val="DefaultParagraphFont"/>
    <w:link w:val="FootnoteText"/>
    <w:uiPriority w:val="99"/>
    <w:rsid w:val="002B25AC"/>
    <w:rPr>
      <w:rFonts w:ascii="Verdana" w:hAnsi="Verdana" w:cstheme="majorBidi"/>
      <w:color w:val="4F81BD" w:themeColor="accent1"/>
      <w:sz w:val="16"/>
      <w:szCs w:val="20"/>
      <w:lang w:val="en-US" w:eastAsia="ja-JP"/>
    </w:rPr>
  </w:style>
  <w:style w:type="paragraph" w:styleId="ListParagraph">
    <w:name w:val="List Paragraph"/>
    <w:basedOn w:val="Normal"/>
    <w:uiPriority w:val="1"/>
    <w:qFormat/>
    <w:rsid w:val="002B25AC"/>
    <w:pPr>
      <w:spacing w:after="160" w:line="259" w:lineRule="auto"/>
      <w:ind w:left="720"/>
      <w:contextualSpacing/>
    </w:pPr>
    <w:rPr>
      <w:rFonts w:ascii="Verdana" w:hAnsi="Verdana" w:cstheme="minorBidi"/>
      <w:color w:val="4F81BD" w:themeColor="accent1"/>
      <w:sz w:val="22"/>
      <w:szCs w:val="22"/>
    </w:rPr>
  </w:style>
  <w:style w:type="character" w:styleId="FootnoteReference">
    <w:name w:val="footnote reference"/>
    <w:basedOn w:val="DefaultParagraphFont"/>
    <w:uiPriority w:val="99"/>
    <w:unhideWhenUsed/>
    <w:rsid w:val="002B25AC"/>
    <w:rPr>
      <w:vertAlign w:val="superscript"/>
    </w:rPr>
  </w:style>
  <w:style w:type="character" w:customStyle="1" w:styleId="Heading2Char">
    <w:name w:val="Heading 2 Char"/>
    <w:basedOn w:val="DefaultParagraphFont"/>
    <w:link w:val="Heading2"/>
    <w:uiPriority w:val="9"/>
    <w:rsid w:val="004A17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A17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A176D"/>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59"/>
    <w:rsid w:val="004A176D"/>
    <w:pPr>
      <w:spacing w:after="0" w:line="240" w:lineRule="auto"/>
      <w:ind w:left="357"/>
    </w:pPr>
    <w:rPr>
      <w:rFonts w:ascii="Verdana" w:hAnsi="Verdana" w:cstheme="majorBidi"/>
      <w:color w:val="4F81BD" w:themeColor="accent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40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A83401"/>
    <w:rPr>
      <w:b/>
      <w:bCs/>
    </w:rPr>
  </w:style>
  <w:style w:type="character" w:styleId="Hyperlink">
    <w:name w:val="Hyperlink"/>
    <w:basedOn w:val="DefaultParagraphFont"/>
    <w:uiPriority w:val="99"/>
    <w:unhideWhenUsed/>
    <w:rsid w:val="00A83401"/>
    <w:rPr>
      <w:color w:val="0000FF"/>
      <w:u w:val="single"/>
    </w:rPr>
  </w:style>
  <w:style w:type="paragraph" w:styleId="CommentSubject">
    <w:name w:val="annotation subject"/>
    <w:basedOn w:val="CommentText"/>
    <w:next w:val="CommentText"/>
    <w:link w:val="CommentSubjectChar"/>
    <w:uiPriority w:val="99"/>
    <w:semiHidden/>
    <w:unhideWhenUsed/>
    <w:rsid w:val="004F7649"/>
    <w:pPr>
      <w:spacing w:after="200"/>
      <w:ind w:left="0"/>
    </w:pPr>
    <w:rPr>
      <w:rFonts w:ascii="Arial" w:hAnsi="Arial" w:cs="Arial"/>
      <w:b/>
      <w:bCs/>
      <w:color w:val="auto"/>
      <w:sz w:val="20"/>
      <w:lang w:val="en-GB" w:eastAsia="en-US"/>
    </w:rPr>
  </w:style>
  <w:style w:type="character" w:customStyle="1" w:styleId="CommentSubjectChar">
    <w:name w:val="Comment Subject Char"/>
    <w:basedOn w:val="CommentTextChar"/>
    <w:link w:val="CommentSubject"/>
    <w:uiPriority w:val="99"/>
    <w:semiHidden/>
    <w:rsid w:val="004F7649"/>
    <w:rPr>
      <w:rFonts w:ascii="Arial" w:hAnsi="Arial" w:cs="Arial"/>
      <w:b/>
      <w:bCs/>
      <w:color w:val="4F81BD" w:themeColor="accent1"/>
      <w:sz w:val="20"/>
      <w:szCs w:val="20"/>
      <w:lang w:val="en-US" w:eastAsia="ja-JP"/>
    </w:rPr>
  </w:style>
  <w:style w:type="character" w:customStyle="1" w:styleId="UnresolvedMention1">
    <w:name w:val="Unresolved Mention1"/>
    <w:basedOn w:val="DefaultParagraphFont"/>
    <w:uiPriority w:val="99"/>
    <w:semiHidden/>
    <w:unhideWhenUsed/>
    <w:rsid w:val="00A969A1"/>
    <w:rPr>
      <w:color w:val="605E5C"/>
      <w:shd w:val="clear" w:color="auto" w:fill="E1DFDD"/>
    </w:rPr>
  </w:style>
  <w:style w:type="character" w:customStyle="1" w:styleId="Heading8Char">
    <w:name w:val="Heading 8 Char"/>
    <w:basedOn w:val="DefaultParagraphFont"/>
    <w:link w:val="Heading8"/>
    <w:uiPriority w:val="9"/>
    <w:rsid w:val="0099067A"/>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99067A"/>
    <w:pPr>
      <w:widowControl w:val="0"/>
      <w:autoSpaceDE w:val="0"/>
      <w:autoSpaceDN w:val="0"/>
      <w:spacing w:after="0" w:line="240" w:lineRule="auto"/>
    </w:pPr>
    <w:rPr>
      <w:rFonts w:eastAsia="Arial"/>
      <w:sz w:val="22"/>
      <w:szCs w:val="22"/>
      <w:lang w:val="en-US"/>
    </w:rPr>
  </w:style>
  <w:style w:type="character" w:customStyle="1" w:styleId="BodyTextChar">
    <w:name w:val="Body Text Char"/>
    <w:basedOn w:val="DefaultParagraphFont"/>
    <w:link w:val="BodyText"/>
    <w:uiPriority w:val="1"/>
    <w:rsid w:val="0099067A"/>
    <w:rPr>
      <w:rFonts w:ascii="Arial" w:eastAsia="Arial" w:hAnsi="Arial" w:cs="Arial"/>
      <w:lang w:val="en-US"/>
    </w:rPr>
  </w:style>
  <w:style w:type="paragraph" w:styleId="Revision">
    <w:name w:val="Revision"/>
    <w:hidden/>
    <w:uiPriority w:val="99"/>
    <w:semiHidden/>
    <w:rsid w:val="00BA1E5A"/>
    <w:pPr>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rsid w:val="00664938"/>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uiPriority w:val="9"/>
    <w:rsid w:val="00F00C6F"/>
    <w:rPr>
      <w:rFonts w:asciiTheme="majorHAnsi" w:eastAsiaTheme="majorEastAsia" w:hAnsiTheme="majorHAnsi" w:cstheme="majorBidi"/>
      <w:i/>
      <w:iCs/>
      <w:color w:val="243F60" w:themeColor="accent1" w:themeShade="7F"/>
      <w:sz w:val="24"/>
      <w:szCs w:val="24"/>
    </w:rPr>
  </w:style>
  <w:style w:type="character" w:styleId="Emphasis">
    <w:name w:val="Emphasis"/>
    <w:basedOn w:val="DefaultParagraphFont"/>
    <w:uiPriority w:val="20"/>
    <w:qFormat/>
    <w:rsid w:val="00B50D76"/>
    <w:rPr>
      <w:i/>
      <w:iCs/>
    </w:rPr>
  </w:style>
  <w:style w:type="character" w:customStyle="1" w:styleId="Heading6Char">
    <w:name w:val="Heading 6 Char"/>
    <w:basedOn w:val="DefaultParagraphFont"/>
    <w:link w:val="Heading6"/>
    <w:uiPriority w:val="9"/>
    <w:semiHidden/>
    <w:rsid w:val="00E71C2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6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0F"/>
    <w:rPr>
      <w:rFonts w:ascii="Arial" w:hAnsi="Arial" w:cs="Arial"/>
      <w:sz w:val="24"/>
      <w:szCs w:val="24"/>
    </w:rPr>
  </w:style>
  <w:style w:type="paragraph" w:styleId="Footer">
    <w:name w:val="footer"/>
    <w:basedOn w:val="Normal"/>
    <w:link w:val="FooterChar"/>
    <w:uiPriority w:val="99"/>
    <w:unhideWhenUsed/>
    <w:rsid w:val="00963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0F"/>
    <w:rPr>
      <w:rFonts w:ascii="Arial" w:hAnsi="Arial" w:cs="Arial"/>
      <w:sz w:val="24"/>
      <w:szCs w:val="24"/>
    </w:rPr>
  </w:style>
  <w:style w:type="character" w:customStyle="1" w:styleId="UnresolvedMention">
    <w:name w:val="Unresolved Mention"/>
    <w:basedOn w:val="DefaultParagraphFont"/>
    <w:uiPriority w:val="99"/>
    <w:semiHidden/>
    <w:unhideWhenUsed/>
    <w:rsid w:val="00DC2A29"/>
    <w:rPr>
      <w:color w:val="605E5C"/>
      <w:shd w:val="clear" w:color="auto" w:fill="E1DFDD"/>
    </w:rPr>
  </w:style>
  <w:style w:type="character" w:styleId="FollowedHyperlink">
    <w:name w:val="FollowedHyperlink"/>
    <w:basedOn w:val="DefaultParagraphFont"/>
    <w:uiPriority w:val="99"/>
    <w:semiHidden/>
    <w:unhideWhenUsed/>
    <w:rsid w:val="001A51CB"/>
    <w:rPr>
      <w:color w:val="800080" w:themeColor="followedHyperlink"/>
      <w:u w:val="single"/>
    </w:rPr>
  </w:style>
  <w:style w:type="character" w:customStyle="1" w:styleId="normaltextrun">
    <w:name w:val="normaltextrun"/>
    <w:basedOn w:val="DefaultParagraphFont"/>
    <w:rsid w:val="00F45D16"/>
  </w:style>
  <w:style w:type="character" w:customStyle="1" w:styleId="bumpedfont15">
    <w:name w:val="bumpedfont15"/>
    <w:basedOn w:val="DefaultParagraphFont"/>
    <w:rsid w:val="00B86196"/>
  </w:style>
  <w:style w:type="paragraph" w:styleId="PlainText">
    <w:name w:val="Plain Text"/>
    <w:basedOn w:val="Normal"/>
    <w:link w:val="PlainTextChar"/>
    <w:uiPriority w:val="99"/>
    <w:semiHidden/>
    <w:unhideWhenUsed/>
    <w:rsid w:val="00864BB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64BB9"/>
    <w:rPr>
      <w:rFonts w:ascii="Calibri" w:hAnsi="Calibri"/>
      <w:szCs w:val="21"/>
    </w:rPr>
  </w:style>
  <w:style w:type="paragraph" w:styleId="TOCHeading">
    <w:name w:val="TOC Heading"/>
    <w:basedOn w:val="Heading1"/>
    <w:next w:val="Normal"/>
    <w:uiPriority w:val="39"/>
    <w:unhideWhenUsed/>
    <w:qFormat/>
    <w:rsid w:val="000F5BC4"/>
    <w:pPr>
      <w:spacing w:line="259" w:lineRule="auto"/>
      <w:outlineLvl w:val="9"/>
    </w:pPr>
    <w:rPr>
      <w:lang w:val="en-US"/>
    </w:rPr>
  </w:style>
  <w:style w:type="paragraph" w:styleId="TOC1">
    <w:name w:val="toc 1"/>
    <w:basedOn w:val="Normal"/>
    <w:next w:val="Normal"/>
    <w:autoRedefine/>
    <w:uiPriority w:val="39"/>
    <w:unhideWhenUsed/>
    <w:rsid w:val="000F5BC4"/>
    <w:pPr>
      <w:tabs>
        <w:tab w:val="right" w:leader="dot" w:pos="9016"/>
      </w:tabs>
      <w:spacing w:before="240" w:after="0" w:line="240" w:lineRule="auto"/>
    </w:pPr>
  </w:style>
  <w:style w:type="paragraph" w:styleId="TOC2">
    <w:name w:val="toc 2"/>
    <w:basedOn w:val="Normal"/>
    <w:next w:val="Normal"/>
    <w:autoRedefine/>
    <w:uiPriority w:val="39"/>
    <w:unhideWhenUsed/>
    <w:rsid w:val="000F5BC4"/>
    <w:pPr>
      <w:spacing w:after="100"/>
      <w:ind w:left="240"/>
    </w:pPr>
  </w:style>
  <w:style w:type="paragraph" w:styleId="TOC3">
    <w:name w:val="toc 3"/>
    <w:basedOn w:val="Normal"/>
    <w:next w:val="Normal"/>
    <w:autoRedefine/>
    <w:uiPriority w:val="39"/>
    <w:unhideWhenUsed/>
    <w:rsid w:val="000F5BC4"/>
    <w:pPr>
      <w:tabs>
        <w:tab w:val="right" w:leader="dot" w:pos="9016"/>
      </w:tabs>
      <w:spacing w:after="100"/>
      <w:ind w:left="480"/>
    </w:pPr>
  </w:style>
  <w:style w:type="paragraph" w:customStyle="1" w:styleId="Default">
    <w:name w:val="Default"/>
    <w:rsid w:val="000F5B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67735">
      <w:bodyDiv w:val="1"/>
      <w:marLeft w:val="0"/>
      <w:marRight w:val="0"/>
      <w:marTop w:val="0"/>
      <w:marBottom w:val="0"/>
      <w:divBdr>
        <w:top w:val="none" w:sz="0" w:space="0" w:color="auto"/>
        <w:left w:val="none" w:sz="0" w:space="0" w:color="auto"/>
        <w:bottom w:val="none" w:sz="0" w:space="0" w:color="auto"/>
        <w:right w:val="none" w:sz="0" w:space="0" w:color="auto"/>
      </w:divBdr>
    </w:div>
    <w:div w:id="1265528342">
      <w:bodyDiv w:val="1"/>
      <w:marLeft w:val="0"/>
      <w:marRight w:val="0"/>
      <w:marTop w:val="0"/>
      <w:marBottom w:val="0"/>
      <w:divBdr>
        <w:top w:val="none" w:sz="0" w:space="0" w:color="auto"/>
        <w:left w:val="none" w:sz="0" w:space="0" w:color="auto"/>
        <w:bottom w:val="none" w:sz="0" w:space="0" w:color="auto"/>
        <w:right w:val="none" w:sz="0" w:space="0" w:color="auto"/>
      </w:divBdr>
      <w:divsChild>
        <w:div w:id="676999774">
          <w:marLeft w:val="0"/>
          <w:marRight w:val="0"/>
          <w:marTop w:val="180"/>
          <w:marBottom w:val="0"/>
          <w:divBdr>
            <w:top w:val="none" w:sz="0" w:space="0" w:color="auto"/>
            <w:left w:val="none" w:sz="0" w:space="0" w:color="auto"/>
            <w:bottom w:val="none" w:sz="0" w:space="0" w:color="auto"/>
            <w:right w:val="none" w:sz="0" w:space="0" w:color="auto"/>
          </w:divBdr>
          <w:divsChild>
            <w:div w:id="1533222872">
              <w:marLeft w:val="0"/>
              <w:marRight w:val="0"/>
              <w:marTop w:val="0"/>
              <w:marBottom w:val="0"/>
              <w:divBdr>
                <w:top w:val="none" w:sz="0" w:space="0" w:color="auto"/>
                <w:left w:val="none" w:sz="0" w:space="0" w:color="auto"/>
                <w:bottom w:val="none" w:sz="0" w:space="0" w:color="auto"/>
                <w:right w:val="none" w:sz="0" w:space="0" w:color="auto"/>
              </w:divBdr>
              <w:divsChild>
                <w:div w:id="1548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6601">
      <w:bodyDiv w:val="1"/>
      <w:marLeft w:val="0"/>
      <w:marRight w:val="0"/>
      <w:marTop w:val="0"/>
      <w:marBottom w:val="0"/>
      <w:divBdr>
        <w:top w:val="none" w:sz="0" w:space="0" w:color="auto"/>
        <w:left w:val="none" w:sz="0" w:space="0" w:color="auto"/>
        <w:bottom w:val="none" w:sz="0" w:space="0" w:color="auto"/>
        <w:right w:val="none" w:sz="0" w:space="0" w:color="auto"/>
      </w:divBdr>
      <w:divsChild>
        <w:div w:id="984357838">
          <w:marLeft w:val="0"/>
          <w:marRight w:val="0"/>
          <w:marTop w:val="0"/>
          <w:marBottom w:val="0"/>
          <w:divBdr>
            <w:top w:val="none" w:sz="0" w:space="0" w:color="auto"/>
            <w:left w:val="none" w:sz="0" w:space="0" w:color="auto"/>
            <w:bottom w:val="none" w:sz="0" w:space="0" w:color="auto"/>
            <w:right w:val="none" w:sz="0" w:space="0" w:color="auto"/>
          </w:divBdr>
        </w:div>
      </w:divsChild>
    </w:div>
    <w:div w:id="1355500750">
      <w:bodyDiv w:val="1"/>
      <w:marLeft w:val="0"/>
      <w:marRight w:val="0"/>
      <w:marTop w:val="0"/>
      <w:marBottom w:val="0"/>
      <w:divBdr>
        <w:top w:val="none" w:sz="0" w:space="0" w:color="auto"/>
        <w:left w:val="none" w:sz="0" w:space="0" w:color="auto"/>
        <w:bottom w:val="none" w:sz="0" w:space="0" w:color="auto"/>
        <w:right w:val="none" w:sz="0" w:space="0" w:color="auto"/>
      </w:divBdr>
    </w:div>
    <w:div w:id="1607272547">
      <w:bodyDiv w:val="1"/>
      <w:marLeft w:val="0"/>
      <w:marRight w:val="0"/>
      <w:marTop w:val="0"/>
      <w:marBottom w:val="0"/>
      <w:divBdr>
        <w:top w:val="none" w:sz="0" w:space="0" w:color="auto"/>
        <w:left w:val="none" w:sz="0" w:space="0" w:color="auto"/>
        <w:bottom w:val="none" w:sz="0" w:space="0" w:color="auto"/>
        <w:right w:val="none" w:sz="0" w:space="0" w:color="auto"/>
      </w:divBdr>
    </w:div>
    <w:div w:id="1640575920">
      <w:bodyDiv w:val="1"/>
      <w:marLeft w:val="0"/>
      <w:marRight w:val="0"/>
      <w:marTop w:val="0"/>
      <w:marBottom w:val="0"/>
      <w:divBdr>
        <w:top w:val="none" w:sz="0" w:space="0" w:color="auto"/>
        <w:left w:val="none" w:sz="0" w:space="0" w:color="auto"/>
        <w:bottom w:val="none" w:sz="0" w:space="0" w:color="auto"/>
        <w:right w:val="none" w:sz="0" w:space="0" w:color="auto"/>
      </w:divBdr>
    </w:div>
    <w:div w:id="1990088146">
      <w:bodyDiv w:val="1"/>
      <w:marLeft w:val="0"/>
      <w:marRight w:val="0"/>
      <w:marTop w:val="0"/>
      <w:marBottom w:val="0"/>
      <w:divBdr>
        <w:top w:val="none" w:sz="0" w:space="0" w:color="auto"/>
        <w:left w:val="none" w:sz="0" w:space="0" w:color="auto"/>
        <w:bottom w:val="none" w:sz="0" w:space="0" w:color="auto"/>
        <w:right w:val="none" w:sz="0" w:space="0" w:color="auto"/>
      </w:divBdr>
    </w:div>
    <w:div w:id="2031181372">
      <w:bodyDiv w:val="1"/>
      <w:marLeft w:val="0"/>
      <w:marRight w:val="0"/>
      <w:marTop w:val="0"/>
      <w:marBottom w:val="0"/>
      <w:divBdr>
        <w:top w:val="none" w:sz="0" w:space="0" w:color="auto"/>
        <w:left w:val="none" w:sz="0" w:space="0" w:color="auto"/>
        <w:bottom w:val="none" w:sz="0" w:space="0" w:color="auto"/>
        <w:right w:val="none" w:sz="0" w:space="0" w:color="auto"/>
      </w:divBdr>
    </w:div>
    <w:div w:id="21074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leyland@no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f.brooke-wavell@lboro.ac.uk" TargetMode="External"/><Relationship Id="rId5" Type="http://schemas.openxmlformats.org/officeDocument/2006/relationships/numbering" Target="numbering.xml"/><Relationship Id="rId15" Type="http://schemas.openxmlformats.org/officeDocument/2006/relationships/hyperlink" Target="mailto:nurses@no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236ECBC41854ABB845304D04F2CF1" ma:contentTypeVersion="13" ma:contentTypeDescription="Create a new document." ma:contentTypeScope="" ma:versionID="0155d096b21e153772743fb3b0e1c5ca">
  <xsd:schema xmlns:xsd="http://www.w3.org/2001/XMLSchema" xmlns:xs="http://www.w3.org/2001/XMLSchema" xmlns:p="http://schemas.microsoft.com/office/2006/metadata/properties" xmlns:ns3="91fe1db8-5361-4492-8cbc-b9d99f0e6cd1" xmlns:ns4="1951f8f8-604c-4802-8505-b6448c55cbda" targetNamespace="http://schemas.microsoft.com/office/2006/metadata/properties" ma:root="true" ma:fieldsID="44e435788a7fd445dc35578193f8ad8c" ns3:_="" ns4:_="">
    <xsd:import namespace="91fe1db8-5361-4492-8cbc-b9d99f0e6cd1"/>
    <xsd:import namespace="1951f8f8-604c-4802-8505-b6448c55cb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e1db8-5361-4492-8cbc-b9d99f0e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1f8f8-604c-4802-8505-b6448c55c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F6BB3C-1186-47DB-9B8D-4BCE0B49DED1}">
  <ds:schemaRefs>
    <ds:schemaRef ds:uri="http://schemas.microsoft.com/sharepoint/v3/contenttype/forms"/>
  </ds:schemaRefs>
</ds:datastoreItem>
</file>

<file path=customXml/itemProps2.xml><?xml version="1.0" encoding="utf-8"?>
<ds:datastoreItem xmlns:ds="http://schemas.openxmlformats.org/officeDocument/2006/customXml" ds:itemID="{A01E8E78-7809-41B7-A35B-FC7339461B25}">
  <ds:schemaRef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1951f8f8-604c-4802-8505-b6448c55cbda"/>
    <ds:schemaRef ds:uri="91fe1db8-5361-4492-8cbc-b9d99f0e6cd1"/>
    <ds:schemaRef ds:uri="http://purl.org/dc/dcmitype/"/>
  </ds:schemaRefs>
</ds:datastoreItem>
</file>

<file path=customXml/itemProps3.xml><?xml version="1.0" encoding="utf-8"?>
<ds:datastoreItem xmlns:ds="http://schemas.openxmlformats.org/officeDocument/2006/customXml" ds:itemID="{B2550AAA-D2B1-4298-97AD-08F5CB42D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e1db8-5361-4492-8cbc-b9d99f0e6cd1"/>
    <ds:schemaRef ds:uri="1951f8f8-604c-4802-8505-b6448c55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8433F-AA8E-4063-B20E-F63DFA16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190017</Words>
  <Characters>1083097</Characters>
  <Application>Microsoft Office Word</Application>
  <DocSecurity>4</DocSecurity>
  <Lines>9025</Lines>
  <Paragraphs>2541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Brooke-Wavell</dc:creator>
  <cp:lastModifiedBy>Karen Drake</cp:lastModifiedBy>
  <cp:revision>2</cp:revision>
  <cp:lastPrinted>2022-02-28T08:35:00Z</cp:lastPrinted>
  <dcterms:created xsi:type="dcterms:W3CDTF">2022-04-06T14:07:00Z</dcterms:created>
  <dcterms:modified xsi:type="dcterms:W3CDTF">2022-04-06T14:07:00Z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ced8dad8-51de-3785-8cfd-3c962699fd01</vt:lpwstr>
  </property>
  <property fmtid="{D5CDD505-2E9C-101B-9397-08002B2CF9AE}" pid="24" name="Mendeley Citation Style_1">
    <vt:lpwstr>http://www.zotero.org/styles/american-medical-association</vt:lpwstr>
  </property>
  <property fmtid="{D5CDD505-2E9C-101B-9397-08002B2CF9AE}" pid="25" name="ContentTypeId">
    <vt:lpwstr>0x0101001A6236ECBC41854ABB845304D04F2CF1</vt:lpwstr>
  </property>
</Properties>
</file>