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F965" w14:textId="77777777" w:rsidR="008F5B30" w:rsidRPr="00463181" w:rsidRDefault="008F5B30" w:rsidP="005E2D9F">
      <w:pPr>
        <w:pStyle w:val="MDPI11articletype"/>
        <w:rPr>
          <w:lang w:val="en-GB"/>
        </w:rPr>
      </w:pPr>
      <w:r w:rsidRPr="00463181">
        <w:rPr>
          <w:lang w:val="en-GB"/>
        </w:rPr>
        <w:t>Article</w:t>
      </w:r>
    </w:p>
    <w:p w14:paraId="0E8A5C8E" w14:textId="73F52869" w:rsidR="008F5B30" w:rsidRPr="00463181" w:rsidRDefault="008F5B30" w:rsidP="00207884">
      <w:pPr>
        <w:pStyle w:val="MDPI12title"/>
        <w:rPr>
          <w:lang w:val="en-GB"/>
        </w:rPr>
      </w:pPr>
      <w:r w:rsidRPr="00463181">
        <w:rPr>
          <w:lang w:val="en-GB"/>
        </w:rPr>
        <w:t xml:space="preserve">Factors </w:t>
      </w:r>
      <w:r w:rsidR="005E2D9F" w:rsidRPr="00463181">
        <w:rPr>
          <w:lang w:val="en-GB"/>
        </w:rPr>
        <w:t xml:space="preserve">Influencing Length </w:t>
      </w:r>
      <w:r w:rsidRPr="00463181">
        <w:rPr>
          <w:lang w:val="en-GB"/>
        </w:rPr>
        <w:t xml:space="preserve">of </w:t>
      </w:r>
      <w:r w:rsidR="005E2D9F" w:rsidRPr="00463181">
        <w:rPr>
          <w:lang w:val="en-GB"/>
        </w:rPr>
        <w:t xml:space="preserve">Stay </w:t>
      </w:r>
      <w:r w:rsidRPr="00463181">
        <w:rPr>
          <w:lang w:val="en-GB"/>
        </w:rPr>
        <w:t xml:space="preserve">and </w:t>
      </w:r>
      <w:r w:rsidR="005E2D9F" w:rsidRPr="00463181">
        <w:rPr>
          <w:lang w:val="en-GB"/>
        </w:rPr>
        <w:t xml:space="preserve">Discharge Destination </w:t>
      </w:r>
      <w:r w:rsidRPr="00463181">
        <w:rPr>
          <w:lang w:val="en-GB"/>
        </w:rPr>
        <w:t xml:space="preserve">of </w:t>
      </w:r>
      <w:r w:rsidR="00312A6A" w:rsidRPr="00463181">
        <w:rPr>
          <w:lang w:val="en-GB"/>
        </w:rPr>
        <w:t xml:space="preserve">Patients with </w:t>
      </w:r>
      <w:r w:rsidR="005E2D9F" w:rsidRPr="00463181">
        <w:rPr>
          <w:lang w:val="en-GB"/>
        </w:rPr>
        <w:t xml:space="preserve">Hip Fracture Rehabilitating </w:t>
      </w:r>
      <w:r w:rsidRPr="00463181">
        <w:rPr>
          <w:lang w:val="en-GB"/>
        </w:rPr>
        <w:t xml:space="preserve">in a </w:t>
      </w:r>
      <w:r w:rsidR="005E2D9F" w:rsidRPr="00463181">
        <w:rPr>
          <w:lang w:val="en-GB"/>
        </w:rPr>
        <w:t>Private Care Setting</w:t>
      </w:r>
    </w:p>
    <w:p w14:paraId="10070FB0" w14:textId="77777777" w:rsidR="00D10736" w:rsidRPr="00463181" w:rsidRDefault="008F5B30" w:rsidP="00C93376">
      <w:pPr>
        <w:pStyle w:val="MDPI13authornames"/>
        <w:rPr>
          <w:lang w:val="en-GB"/>
        </w:rPr>
      </w:pPr>
      <w:r w:rsidRPr="00596A74">
        <w:rPr>
          <w:lang w:val="en-GB"/>
        </w:rPr>
        <w:t xml:space="preserve">Zoe </w:t>
      </w:r>
      <w:r w:rsidRPr="00463181">
        <w:rPr>
          <w:lang w:val="en-GB"/>
        </w:rPr>
        <w:t>Thornburgh and Dinesh Samuel</w:t>
      </w:r>
      <w:r w:rsidR="00121BCB" w:rsidRPr="00463181">
        <w:rPr>
          <w:lang w:val="en-GB"/>
        </w:rPr>
        <w:t xml:space="preserve"> *</w:t>
      </w:r>
    </w:p>
    <w:tbl>
      <w:tblPr>
        <w:tblStyle w:val="MDPITable"/>
        <w:tblpPr w:leftFromText="198" w:rightFromText="198" w:vertAnchor="page" w:horzAnchor="margin" w:tblpY="9715"/>
        <w:tblW w:w="2409" w:type="dxa"/>
        <w:tblLayout w:type="fixed"/>
        <w:tblLook w:val="04A0" w:firstRow="1" w:lastRow="0" w:firstColumn="1" w:lastColumn="0" w:noHBand="0" w:noVBand="1"/>
      </w:tblPr>
      <w:tblGrid>
        <w:gridCol w:w="2409"/>
      </w:tblGrid>
      <w:tr w:rsidR="00D10736" w:rsidRPr="00463181" w14:paraId="72B1DF31" w14:textId="77777777" w:rsidTr="002D500C">
        <w:trPr>
          <w:cantSplit/>
        </w:trPr>
        <w:tc>
          <w:tcPr>
            <w:tcW w:w="2409" w:type="dxa"/>
          </w:tcPr>
          <w:p w14:paraId="21930680" w14:textId="5AE3751D" w:rsidR="00D10736" w:rsidRPr="00463181" w:rsidRDefault="00D10736" w:rsidP="002D500C">
            <w:pPr>
              <w:pStyle w:val="MDPI61Citation"/>
              <w:rPr>
                <w:lang w:val="en-GB"/>
              </w:rPr>
            </w:pPr>
            <w:r w:rsidRPr="00463181">
              <w:rPr>
                <w:b/>
                <w:lang w:val="en-GB"/>
              </w:rPr>
              <w:t>Citation:</w:t>
            </w:r>
            <w:r w:rsidRPr="00463181">
              <w:rPr>
                <w:lang w:val="en-GB"/>
              </w:rPr>
              <w:t xml:space="preserve"> Thornburgh, Z.; Samuel, D. Factors Influencing Length of Stay and Discharge Destination of </w:t>
            </w:r>
            <w:r w:rsidR="00E82B5D">
              <w:rPr>
                <w:lang w:val="en-GB"/>
              </w:rPr>
              <w:t xml:space="preserve">patients with </w:t>
            </w:r>
            <w:r w:rsidRPr="00463181">
              <w:rPr>
                <w:lang w:val="en-GB"/>
              </w:rPr>
              <w:t xml:space="preserve">Hip </w:t>
            </w:r>
            <w:r w:rsidR="00596A74" w:rsidRPr="00463181">
              <w:rPr>
                <w:lang w:val="en-GB"/>
              </w:rPr>
              <w:t>Fracture Rehabilitating</w:t>
            </w:r>
            <w:r w:rsidRPr="00463181">
              <w:rPr>
                <w:lang w:val="en-GB"/>
              </w:rPr>
              <w:t xml:space="preserve"> in a Private Care Setting. </w:t>
            </w:r>
            <w:r w:rsidRPr="00463181">
              <w:rPr>
                <w:i/>
                <w:lang w:val="en-GB"/>
              </w:rPr>
              <w:t xml:space="preserve">Geriatrics </w:t>
            </w:r>
            <w:r w:rsidRPr="00463181">
              <w:rPr>
                <w:b/>
                <w:lang w:val="en-GB"/>
              </w:rPr>
              <w:t>2022</w:t>
            </w:r>
            <w:r w:rsidRPr="00463181">
              <w:rPr>
                <w:lang w:val="en-GB"/>
              </w:rPr>
              <w:t xml:space="preserve">, </w:t>
            </w:r>
            <w:r w:rsidRPr="00463181">
              <w:rPr>
                <w:i/>
                <w:lang w:val="en-GB"/>
              </w:rPr>
              <w:t>7</w:t>
            </w:r>
            <w:r w:rsidRPr="00463181">
              <w:rPr>
                <w:lang w:val="en-GB"/>
              </w:rPr>
              <w:t xml:space="preserve">, x. </w:t>
            </w:r>
            <w:r w:rsidRPr="00463181">
              <w:rPr>
                <w:lang w:val="en-GB"/>
              </w:rPr>
              <w:t>https://doi.org/10.3390/xxxxx</w:t>
            </w:r>
          </w:p>
          <w:p w14:paraId="5BDF51EE" w14:textId="50094F7F" w:rsidR="00D10736" w:rsidRPr="00463181" w:rsidRDefault="00D10736" w:rsidP="002D500C">
            <w:pPr>
              <w:pStyle w:val="MDPI15academiceditor"/>
              <w:spacing w:before="120" w:after="120"/>
              <w:rPr>
                <w:lang w:val="en-GB"/>
              </w:rPr>
            </w:pPr>
            <w:r w:rsidRPr="00463181">
              <w:rPr>
                <w:lang w:val="en-GB"/>
              </w:rPr>
              <w:t>Academic Edito</w:t>
            </w:r>
            <w:r w:rsidR="002D500C" w:rsidRPr="00463181">
              <w:rPr>
                <w:lang w:val="en-GB"/>
              </w:rPr>
              <w:t>r</w:t>
            </w:r>
            <w:r w:rsidR="004D49AE" w:rsidRPr="00463181">
              <w:rPr>
                <w:lang w:val="en-GB"/>
              </w:rPr>
              <w:t>(s)</w:t>
            </w:r>
            <w:r w:rsidRPr="00463181">
              <w:rPr>
                <w:lang w:val="en-GB"/>
              </w:rPr>
              <w:t>:</w:t>
            </w:r>
            <w:r w:rsidR="004D49AE" w:rsidRPr="00463181">
              <w:rPr>
                <w:lang w:val="en-GB"/>
              </w:rPr>
              <w:t xml:space="preserve"> </w:t>
            </w:r>
          </w:p>
          <w:p w14:paraId="122B3D1B" w14:textId="294DF29C" w:rsidR="00D10736" w:rsidRPr="00463181" w:rsidRDefault="00D10736" w:rsidP="002D500C">
            <w:pPr>
              <w:pStyle w:val="MDPI14history"/>
              <w:rPr>
                <w:lang w:val="en-GB"/>
              </w:rPr>
            </w:pPr>
            <w:r w:rsidRPr="00463181">
              <w:rPr>
                <w:lang w:val="en-GB"/>
              </w:rPr>
              <w:t>Received: 7 December 2021</w:t>
            </w:r>
          </w:p>
          <w:p w14:paraId="1DC85E1C" w14:textId="77777777" w:rsidR="00D10736" w:rsidRPr="00463181" w:rsidRDefault="00D10736" w:rsidP="002D500C">
            <w:pPr>
              <w:pStyle w:val="MDPI14history"/>
              <w:rPr>
                <w:lang w:val="en-GB"/>
              </w:rPr>
            </w:pPr>
            <w:r w:rsidRPr="00463181">
              <w:rPr>
                <w:lang w:val="en-GB"/>
              </w:rPr>
              <w:t>Accepted: date</w:t>
            </w:r>
          </w:p>
          <w:p w14:paraId="670C8DCC" w14:textId="77777777" w:rsidR="00D10736" w:rsidRPr="00463181" w:rsidRDefault="00D10736" w:rsidP="002D500C">
            <w:pPr>
              <w:pStyle w:val="MDPI14history"/>
              <w:spacing w:after="120"/>
              <w:rPr>
                <w:lang w:val="en-GB"/>
              </w:rPr>
            </w:pPr>
            <w:r w:rsidRPr="00463181">
              <w:rPr>
                <w:lang w:val="en-GB"/>
              </w:rPr>
              <w:t>Published: date</w:t>
            </w:r>
          </w:p>
          <w:p w14:paraId="157F50D6" w14:textId="77777777" w:rsidR="00D10736" w:rsidRPr="00463181" w:rsidRDefault="00D10736" w:rsidP="002D500C">
            <w:pPr>
              <w:pStyle w:val="MDPI63Notes"/>
              <w:spacing w:after="0"/>
              <w:jc w:val="both"/>
              <w:rPr>
                <w:lang w:val="en-GB"/>
              </w:rPr>
            </w:pPr>
            <w:r w:rsidRPr="00463181">
              <w:rPr>
                <w:b/>
                <w:lang w:val="en-GB"/>
              </w:rPr>
              <w:t>Publisher’s Note:</w:t>
            </w:r>
            <w:r w:rsidRPr="00463181">
              <w:rPr>
                <w:lang w:val="en-GB"/>
              </w:rPr>
              <w:t xml:space="preserve"> MDPI stays neutral with regard to jurisdictional claims in published maps and institutional affiliations.</w:t>
            </w:r>
          </w:p>
          <w:p w14:paraId="37351A5A" w14:textId="77777777" w:rsidR="00D10736" w:rsidRPr="00463181" w:rsidRDefault="00D10736" w:rsidP="002D500C">
            <w:pPr>
              <w:pStyle w:val="MDPI63Notes"/>
              <w:spacing w:before="120" w:after="0"/>
              <w:jc w:val="both"/>
              <w:rPr>
                <w:lang w:val="en-GB"/>
              </w:rPr>
            </w:pPr>
            <w:r w:rsidRPr="00463181">
              <w:rPr>
                <w:noProof/>
                <w:snapToGrid/>
                <w:lang w:val="en-GB"/>
              </w:rPr>
              <w:drawing>
                <wp:inline distT="0" distB="0" distL="0" distR="0" wp14:anchorId="73A74487" wp14:editId="013A2D29">
                  <wp:extent cx="694800" cy="248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437ECE01" w14:textId="0B40CF52" w:rsidR="00D10736" w:rsidRPr="00463181" w:rsidRDefault="00D10736" w:rsidP="002D500C">
            <w:pPr>
              <w:pStyle w:val="MDPI63Notes"/>
              <w:spacing w:before="60" w:after="0"/>
              <w:jc w:val="both"/>
              <w:rPr>
                <w:lang w:val="en-GB"/>
              </w:rPr>
            </w:pPr>
            <w:r w:rsidRPr="00463181">
              <w:rPr>
                <w:b/>
                <w:lang w:val="en-GB"/>
              </w:rPr>
              <w:t>Copyright:</w:t>
            </w:r>
            <w:r w:rsidRPr="00463181">
              <w:rPr>
                <w:lang w:val="en-GB"/>
              </w:rPr>
              <w:t xml:space="preserve"> © 2022 by the authors. Submitted for possible open access publication under the terms and conditions of the Creative Commons Attribution (CC BY) license (https://creativecommons.org/licenses/by/4.0/).</w:t>
            </w:r>
          </w:p>
        </w:tc>
      </w:tr>
    </w:tbl>
    <w:p w14:paraId="6CAC5793" w14:textId="23AA3DC5" w:rsidR="008F5B30" w:rsidRPr="00463181" w:rsidRDefault="008F5B30" w:rsidP="00D37A5B">
      <w:pPr>
        <w:pStyle w:val="MDPI16affiliation"/>
        <w:ind w:left="2608" w:firstLine="0"/>
        <w:rPr>
          <w:lang w:val="en-GB"/>
        </w:rPr>
      </w:pPr>
      <w:r w:rsidRPr="00463181">
        <w:rPr>
          <w:lang w:val="en-GB"/>
        </w:rPr>
        <w:t>Faculty of Environmental and Life Sciences, University of Southampton, Highfield, Southampton,</w:t>
      </w:r>
      <w:r w:rsidR="00EC66B9" w:rsidRPr="00463181">
        <w:rPr>
          <w:lang w:val="en-GB"/>
        </w:rPr>
        <w:t xml:space="preserve"> SO17 1BJ, </w:t>
      </w:r>
      <w:proofErr w:type="gramStart"/>
      <w:r w:rsidR="00EC66B9" w:rsidRPr="00463181">
        <w:rPr>
          <w:lang w:val="en-GB"/>
        </w:rPr>
        <w:t>UK</w:t>
      </w:r>
      <w:r w:rsidR="00FB50DA">
        <w:rPr>
          <w:lang w:val="en-GB"/>
        </w:rPr>
        <w:t>;</w:t>
      </w:r>
      <w:proofErr w:type="gramEnd"/>
      <w:r w:rsidR="00FB50DA">
        <w:rPr>
          <w:lang w:val="en-GB"/>
        </w:rPr>
        <w:t xml:space="preserve"> </w:t>
      </w:r>
    </w:p>
    <w:p w14:paraId="2AA8A41B" w14:textId="566106A6" w:rsidR="008F5B30" w:rsidRPr="00463181" w:rsidRDefault="0082135D" w:rsidP="0082135D">
      <w:pPr>
        <w:pStyle w:val="MDPI16affiliation"/>
        <w:rPr>
          <w:sz w:val="20"/>
          <w:szCs w:val="20"/>
          <w:lang w:val="en-GB"/>
        </w:rPr>
      </w:pPr>
      <w:r w:rsidRPr="00463181">
        <w:rPr>
          <w:b/>
          <w:lang w:val="en-GB"/>
        </w:rPr>
        <w:t>*</w:t>
      </w:r>
      <w:r w:rsidRPr="00463181">
        <w:rPr>
          <w:lang w:val="en-GB"/>
        </w:rPr>
        <w:tab/>
        <w:t xml:space="preserve">Correspondence: </w:t>
      </w:r>
      <w:r w:rsidR="008F5B30" w:rsidRPr="00463181">
        <w:rPr>
          <w:lang w:val="en-GB"/>
        </w:rPr>
        <w:t>ds7@soton.ac.uk</w:t>
      </w:r>
    </w:p>
    <w:p w14:paraId="4A70CD42" w14:textId="47047320" w:rsidR="008F5B30" w:rsidRPr="00463181" w:rsidRDefault="008F5B30" w:rsidP="005B6E3C">
      <w:pPr>
        <w:pStyle w:val="MDPI17abstract"/>
        <w:rPr>
          <w:b/>
          <w:lang w:val="en-GB"/>
        </w:rPr>
      </w:pPr>
      <w:r w:rsidRPr="00463181">
        <w:rPr>
          <w:b/>
          <w:lang w:val="en-GB"/>
        </w:rPr>
        <w:t>Abstract</w:t>
      </w:r>
      <w:r w:rsidR="005B6E3C" w:rsidRPr="00463181">
        <w:rPr>
          <w:rFonts w:eastAsia="SimSun" w:cs="SimSun"/>
          <w:b/>
          <w:lang w:val="en-GB"/>
        </w:rPr>
        <w:t>:</w:t>
      </w:r>
      <w:r w:rsidR="005B6E3C" w:rsidRPr="00463181">
        <w:rPr>
          <w:rFonts w:eastAsia="SimSun" w:cs="SimSun"/>
          <w:bCs/>
          <w:lang w:val="en-GB"/>
        </w:rPr>
        <w:t xml:space="preserve"> </w:t>
      </w:r>
      <w:r w:rsidRPr="00596A74">
        <w:rPr>
          <w:b/>
          <w:bCs/>
          <w:lang w:val="en-GB"/>
        </w:rPr>
        <w:t>Background</w:t>
      </w:r>
      <w:r w:rsidR="00644EDC" w:rsidRPr="00463181">
        <w:rPr>
          <w:b/>
          <w:bCs/>
          <w:lang w:val="en-GB"/>
        </w:rPr>
        <w:t>:</w:t>
      </w:r>
      <w:r w:rsidRPr="00463181">
        <w:rPr>
          <w:lang w:val="en-GB"/>
        </w:rPr>
        <w:t xml:space="preserve"> Rehabilitation after </w:t>
      </w:r>
      <w:r w:rsidR="00463181">
        <w:rPr>
          <w:lang w:val="en-GB"/>
        </w:rPr>
        <w:t xml:space="preserve">a </w:t>
      </w:r>
      <w:r w:rsidRPr="00463181">
        <w:rPr>
          <w:lang w:val="en-GB"/>
        </w:rPr>
        <w:t>hip fracture has long-term importance, prompting some patients to utilise private services.</w:t>
      </w:r>
      <w:r w:rsidR="008A5ECF" w:rsidRPr="00463181">
        <w:rPr>
          <w:lang w:val="en-GB"/>
        </w:rPr>
        <w:t xml:space="preserve"> </w:t>
      </w:r>
      <w:r w:rsidRPr="00463181">
        <w:rPr>
          <w:lang w:val="en-GB"/>
        </w:rPr>
        <w:t xml:space="preserve">Insufficient data regarding private rehabilitation in the UK </w:t>
      </w:r>
      <w:r w:rsidR="003E1B1F">
        <w:rPr>
          <w:lang w:val="en-GB"/>
        </w:rPr>
        <w:t xml:space="preserve">can </w:t>
      </w:r>
      <w:r w:rsidRPr="00463181">
        <w:rPr>
          <w:lang w:val="en-GB"/>
        </w:rPr>
        <w:t xml:space="preserve">cause ambiguity and potential problems for all involved. </w:t>
      </w:r>
      <w:r w:rsidRPr="00463181">
        <w:rPr>
          <w:b/>
          <w:bCs/>
          <w:lang w:val="en-GB"/>
        </w:rPr>
        <w:t>Aim</w:t>
      </w:r>
      <w:r w:rsidR="00644EDC" w:rsidRPr="00463181">
        <w:rPr>
          <w:b/>
          <w:bCs/>
          <w:lang w:val="en-GB"/>
        </w:rPr>
        <w:t>:</w:t>
      </w:r>
      <w:r w:rsidRPr="00463181">
        <w:rPr>
          <w:lang w:val="en-GB"/>
        </w:rPr>
        <w:t xml:space="preserve"> The present study</w:t>
      </w:r>
      <w:r w:rsidR="00463181">
        <w:rPr>
          <w:lang w:val="en-GB"/>
        </w:rPr>
        <w:t>,</w:t>
      </w:r>
      <w:r w:rsidRPr="00463181">
        <w:rPr>
          <w:lang w:val="en-GB"/>
        </w:rPr>
        <w:t xml:space="preserve"> involving </w:t>
      </w:r>
      <w:r w:rsidR="00312A6A" w:rsidRPr="00463181">
        <w:rPr>
          <w:lang w:val="en-GB"/>
        </w:rPr>
        <w:t>patients with hip</w:t>
      </w:r>
      <w:r w:rsidRPr="00463181">
        <w:rPr>
          <w:lang w:val="en-GB"/>
        </w:rPr>
        <w:t xml:space="preserve"> fracture</w:t>
      </w:r>
      <w:r w:rsidR="00463181">
        <w:rPr>
          <w:lang w:val="en-GB"/>
        </w:rPr>
        <w:t>s</w:t>
      </w:r>
      <w:r w:rsidRPr="00463181">
        <w:rPr>
          <w:lang w:val="en-GB"/>
        </w:rPr>
        <w:t xml:space="preserve"> </w:t>
      </w:r>
      <w:r w:rsidR="00312A6A" w:rsidRPr="00463181">
        <w:rPr>
          <w:lang w:val="en-GB"/>
        </w:rPr>
        <w:t>rehabilitating in</w:t>
      </w:r>
      <w:r w:rsidRPr="00463181">
        <w:rPr>
          <w:lang w:val="en-GB"/>
        </w:rPr>
        <w:t xml:space="preserve"> a private UK care setting</w:t>
      </w:r>
      <w:r w:rsidR="00463181">
        <w:rPr>
          <w:lang w:val="en-GB"/>
        </w:rPr>
        <w:t>,</w:t>
      </w:r>
      <w:r w:rsidRPr="00463181">
        <w:rPr>
          <w:lang w:val="en-GB"/>
        </w:rPr>
        <w:t xml:space="preserve"> examined relationships between </w:t>
      </w:r>
      <w:r w:rsidR="00463181" w:rsidRPr="00463181">
        <w:rPr>
          <w:lang w:val="en-GB"/>
        </w:rPr>
        <w:t>l</w:t>
      </w:r>
      <w:r w:rsidRPr="00463181">
        <w:rPr>
          <w:lang w:val="en-GB"/>
        </w:rPr>
        <w:t xml:space="preserve">ength of stay </w:t>
      </w:r>
      <w:r w:rsidR="00631ED4" w:rsidRPr="00463181">
        <w:rPr>
          <w:lang w:val="en-GB"/>
        </w:rPr>
        <w:t>(</w:t>
      </w:r>
      <w:proofErr w:type="spellStart"/>
      <w:r w:rsidRPr="00463181">
        <w:rPr>
          <w:lang w:val="en-GB"/>
        </w:rPr>
        <w:t>LoS</w:t>
      </w:r>
      <w:proofErr w:type="spellEnd"/>
      <w:r w:rsidR="00631ED4" w:rsidRPr="00463181">
        <w:rPr>
          <w:lang w:val="en-GB"/>
        </w:rPr>
        <w:t>)</w:t>
      </w:r>
      <w:r w:rsidRPr="00463181">
        <w:rPr>
          <w:lang w:val="en-GB"/>
        </w:rPr>
        <w:t xml:space="preserve">, </w:t>
      </w:r>
      <w:r w:rsidR="00463181" w:rsidRPr="00463181">
        <w:rPr>
          <w:lang w:val="en-GB"/>
        </w:rPr>
        <w:t>d</w:t>
      </w:r>
      <w:r w:rsidRPr="00463181">
        <w:rPr>
          <w:lang w:val="en-GB"/>
        </w:rPr>
        <w:t xml:space="preserve">ischarge destination </w:t>
      </w:r>
      <w:r w:rsidR="00631ED4" w:rsidRPr="00463181">
        <w:rPr>
          <w:lang w:val="en-GB"/>
        </w:rPr>
        <w:t>(</w:t>
      </w:r>
      <w:r w:rsidRPr="00463181">
        <w:rPr>
          <w:lang w:val="en-GB"/>
        </w:rPr>
        <w:t>DD</w:t>
      </w:r>
      <w:r w:rsidR="00631ED4" w:rsidRPr="00463181">
        <w:rPr>
          <w:lang w:val="en-GB"/>
        </w:rPr>
        <w:t>)</w:t>
      </w:r>
      <w:r w:rsidRPr="00463181">
        <w:rPr>
          <w:lang w:val="en-GB"/>
        </w:rPr>
        <w:t xml:space="preserve"> and 12 predictor variables. </w:t>
      </w:r>
      <w:r w:rsidRPr="00463181">
        <w:rPr>
          <w:b/>
          <w:bCs/>
          <w:lang w:val="en-GB"/>
        </w:rPr>
        <w:t>Methods</w:t>
      </w:r>
      <w:r w:rsidR="00644EDC" w:rsidRPr="00463181">
        <w:rPr>
          <w:b/>
          <w:bCs/>
          <w:lang w:val="en-GB"/>
        </w:rPr>
        <w:t>:</w:t>
      </w:r>
      <w:r w:rsidRPr="00463181">
        <w:rPr>
          <w:lang w:val="en-GB"/>
        </w:rPr>
        <w:t xml:space="preserve"> </w:t>
      </w:r>
      <w:r w:rsidR="003E1B1F">
        <w:rPr>
          <w:lang w:val="en-GB"/>
        </w:rPr>
        <w:t xml:space="preserve">The </w:t>
      </w:r>
      <w:r w:rsidR="003E1B1F" w:rsidRPr="00463181">
        <w:rPr>
          <w:lang w:val="en-GB"/>
        </w:rPr>
        <w:t>v</w:t>
      </w:r>
      <w:r w:rsidRPr="00463181">
        <w:rPr>
          <w:lang w:val="en-GB"/>
        </w:rPr>
        <w:t xml:space="preserve">ariables included </w:t>
      </w:r>
      <w:r w:rsidR="003E1B1F">
        <w:rPr>
          <w:lang w:val="en-GB"/>
        </w:rPr>
        <w:t xml:space="preserve">the </w:t>
      </w:r>
      <w:r w:rsidRPr="00463181">
        <w:rPr>
          <w:lang w:val="en-GB"/>
        </w:rPr>
        <w:t xml:space="preserve">retrospective measurement of </w:t>
      </w:r>
      <w:r w:rsidR="00463181">
        <w:rPr>
          <w:lang w:val="en-GB"/>
        </w:rPr>
        <w:t xml:space="preserve">the </w:t>
      </w:r>
      <w:r w:rsidRPr="00463181">
        <w:rPr>
          <w:lang w:val="en-GB"/>
        </w:rPr>
        <w:t xml:space="preserve">Functional Independence Measure. The variables were informed by a literature review and </w:t>
      </w:r>
      <w:r w:rsidR="00463181" w:rsidRPr="00463181">
        <w:rPr>
          <w:lang w:val="en-GB"/>
        </w:rPr>
        <w:t>p</w:t>
      </w:r>
      <w:r w:rsidRPr="00463181">
        <w:rPr>
          <w:lang w:val="en-GB"/>
        </w:rPr>
        <w:t xml:space="preserve">atient and </w:t>
      </w:r>
      <w:r w:rsidR="00463181" w:rsidRPr="00463181">
        <w:rPr>
          <w:lang w:val="en-GB"/>
        </w:rPr>
        <w:t>p</w:t>
      </w:r>
      <w:r w:rsidRPr="00463181">
        <w:rPr>
          <w:lang w:val="en-GB"/>
        </w:rPr>
        <w:t xml:space="preserve">ublic </w:t>
      </w:r>
      <w:r w:rsidR="00463181" w:rsidRPr="00463181">
        <w:rPr>
          <w:lang w:val="en-GB"/>
        </w:rPr>
        <w:t>i</w:t>
      </w:r>
      <w:r w:rsidRPr="00463181">
        <w:rPr>
          <w:lang w:val="en-GB"/>
        </w:rPr>
        <w:t>nvolvement.</w:t>
      </w:r>
      <w:r w:rsidR="008A5ECF" w:rsidRPr="00463181">
        <w:rPr>
          <w:lang w:val="en-GB"/>
        </w:rPr>
        <w:t xml:space="preserve"> </w:t>
      </w:r>
      <w:r w:rsidRPr="00463181">
        <w:rPr>
          <w:lang w:val="en-GB"/>
        </w:rPr>
        <w:t xml:space="preserve">Retrospective data from </w:t>
      </w:r>
      <w:r w:rsidR="003E1B1F">
        <w:rPr>
          <w:lang w:val="en-GB"/>
        </w:rPr>
        <w:t xml:space="preserve">the </w:t>
      </w:r>
      <w:r w:rsidRPr="00463181">
        <w:rPr>
          <w:lang w:val="en-GB"/>
        </w:rPr>
        <w:t xml:space="preserve">records of </w:t>
      </w:r>
      <w:r w:rsidR="00312A6A" w:rsidRPr="00463181">
        <w:rPr>
          <w:lang w:val="en-GB"/>
        </w:rPr>
        <w:t xml:space="preserve">patients with </w:t>
      </w:r>
      <w:r w:rsidRPr="00463181">
        <w:rPr>
          <w:lang w:val="en-GB"/>
        </w:rPr>
        <w:t>hip fracture</w:t>
      </w:r>
      <w:r w:rsidR="00463181">
        <w:rPr>
          <w:lang w:val="en-GB"/>
        </w:rPr>
        <w:t>s</w:t>
      </w:r>
      <w:r w:rsidRPr="00463181">
        <w:rPr>
          <w:lang w:val="en-GB"/>
        </w:rPr>
        <w:t xml:space="preserve"> were utilised. Data were analysed using Spearman’s rho, </w:t>
      </w:r>
      <w:r w:rsidR="00463181" w:rsidRPr="00463181">
        <w:rPr>
          <w:lang w:val="en-GB"/>
        </w:rPr>
        <w:t>Mann–Whitney</w:t>
      </w:r>
      <w:r w:rsidRPr="00463181">
        <w:rPr>
          <w:lang w:val="en-GB"/>
        </w:rPr>
        <w:t xml:space="preserve"> U, </w:t>
      </w:r>
      <w:r w:rsidR="00463181" w:rsidRPr="00463181">
        <w:rPr>
          <w:lang w:val="en-GB"/>
        </w:rPr>
        <w:t>Kruskal–Wallis</w:t>
      </w:r>
      <w:r w:rsidRPr="00463181">
        <w:rPr>
          <w:lang w:val="en-GB"/>
        </w:rPr>
        <w:t xml:space="preserve"> H and chi-squared tests as appropriate.</w:t>
      </w:r>
      <w:r w:rsidR="008A5ECF" w:rsidRPr="00463181">
        <w:rPr>
          <w:lang w:val="en-GB"/>
        </w:rPr>
        <w:t xml:space="preserve"> </w:t>
      </w:r>
      <w:r w:rsidRPr="00463181">
        <w:rPr>
          <w:lang w:val="en-GB"/>
        </w:rPr>
        <w:t xml:space="preserve">Odds ratios, distribution quartiles and survivor analysis were also utilised. </w:t>
      </w:r>
      <w:r w:rsidRPr="00463181">
        <w:rPr>
          <w:b/>
          <w:bCs/>
          <w:lang w:val="en-GB"/>
        </w:rPr>
        <w:t>Results</w:t>
      </w:r>
      <w:r w:rsidR="00D2627B" w:rsidRPr="00463181">
        <w:rPr>
          <w:b/>
          <w:bCs/>
          <w:lang w:val="en-GB"/>
        </w:rPr>
        <w:t>:</w:t>
      </w:r>
      <w:r w:rsidRPr="00463181">
        <w:rPr>
          <w:lang w:val="en-GB"/>
        </w:rPr>
        <w:t xml:space="preserve"> </w:t>
      </w:r>
      <w:r w:rsidR="00463181">
        <w:rPr>
          <w:lang w:val="en-GB"/>
        </w:rPr>
        <w:t xml:space="preserve">The </w:t>
      </w:r>
      <w:r w:rsidR="00463181" w:rsidRPr="00463181">
        <w:rPr>
          <w:lang w:val="en-GB"/>
        </w:rPr>
        <w:t>m</w:t>
      </w:r>
      <w:r w:rsidRPr="00463181">
        <w:rPr>
          <w:lang w:val="en-GB"/>
        </w:rPr>
        <w:t xml:space="preserve">edian </w:t>
      </w:r>
      <w:r w:rsidR="00463181" w:rsidRPr="00463181">
        <w:rPr>
          <w:lang w:val="en-GB"/>
        </w:rPr>
        <w:t>l</w:t>
      </w:r>
      <w:r w:rsidRPr="00463181">
        <w:rPr>
          <w:lang w:val="en-GB"/>
        </w:rPr>
        <w:t xml:space="preserve">ength of stay </w:t>
      </w:r>
      <w:r w:rsidR="00631ED4" w:rsidRPr="00463181">
        <w:rPr>
          <w:lang w:val="en-GB"/>
        </w:rPr>
        <w:t>(</w:t>
      </w:r>
      <w:proofErr w:type="spellStart"/>
      <w:r w:rsidRPr="00463181">
        <w:rPr>
          <w:lang w:val="en-GB"/>
        </w:rPr>
        <w:t>LoS</w:t>
      </w:r>
      <w:proofErr w:type="spellEnd"/>
      <w:r w:rsidR="00631ED4" w:rsidRPr="00463181">
        <w:rPr>
          <w:lang w:val="en-GB"/>
        </w:rPr>
        <w:t>)</w:t>
      </w:r>
      <w:r w:rsidRPr="00463181">
        <w:rPr>
          <w:lang w:val="en-GB"/>
        </w:rPr>
        <w:t xml:space="preserve"> was 20.5 days</w:t>
      </w:r>
      <w:r w:rsidR="00463181">
        <w:rPr>
          <w:lang w:val="en-GB"/>
        </w:rPr>
        <w:t>:</w:t>
      </w:r>
      <w:r w:rsidR="008A5ECF" w:rsidRPr="00463181">
        <w:rPr>
          <w:lang w:val="en-GB"/>
        </w:rPr>
        <w:t xml:space="preserve"> </w:t>
      </w:r>
      <w:r w:rsidRPr="00463181">
        <w:rPr>
          <w:lang w:val="en-GB"/>
        </w:rPr>
        <w:t>82% returned home, 6.5% died and 11.5% remained as long-</w:t>
      </w:r>
      <w:r w:rsidR="00C82DFA" w:rsidRPr="00463181">
        <w:rPr>
          <w:lang w:val="en-GB"/>
        </w:rPr>
        <w:t>term</w:t>
      </w:r>
      <w:r w:rsidRPr="00463181">
        <w:rPr>
          <w:lang w:val="en-GB"/>
        </w:rPr>
        <w:t xml:space="preserve"> residents.</w:t>
      </w:r>
      <w:r w:rsidR="008A5ECF" w:rsidRPr="00463181">
        <w:rPr>
          <w:lang w:val="en-GB"/>
        </w:rPr>
        <w:t xml:space="preserve"> </w:t>
      </w:r>
      <w:r w:rsidRPr="00463181">
        <w:rPr>
          <w:lang w:val="en-GB"/>
        </w:rPr>
        <w:t xml:space="preserve">Significant relationships existed between </w:t>
      </w:r>
      <w:proofErr w:type="spellStart"/>
      <w:r w:rsidRPr="00463181">
        <w:rPr>
          <w:lang w:val="en-GB"/>
        </w:rPr>
        <w:t>LoS</w:t>
      </w:r>
      <w:proofErr w:type="spellEnd"/>
      <w:r w:rsidRPr="00463181">
        <w:rPr>
          <w:lang w:val="en-GB"/>
        </w:rPr>
        <w:t xml:space="preserve"> and age </w:t>
      </w:r>
      <w:r w:rsidR="00631ED4" w:rsidRPr="00463181">
        <w:rPr>
          <w:lang w:val="en-GB"/>
        </w:rPr>
        <w:t>(</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04</w:t>
      </w:r>
      <w:r w:rsidR="00631ED4" w:rsidRPr="00463181">
        <w:rPr>
          <w:lang w:val="en-GB"/>
        </w:rPr>
        <w:t>)</w:t>
      </w:r>
      <w:r w:rsidRPr="00463181">
        <w:rPr>
          <w:lang w:val="en-GB"/>
        </w:rPr>
        <w:t xml:space="preserve">, comorbidities </w:t>
      </w:r>
      <w:r w:rsidR="00631ED4" w:rsidRPr="00463181">
        <w:rPr>
          <w:lang w:val="en-GB"/>
        </w:rPr>
        <w:t>(</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01</w:t>
      </w:r>
      <w:r w:rsidR="00631ED4" w:rsidRPr="00463181">
        <w:rPr>
          <w:lang w:val="en-GB"/>
        </w:rPr>
        <w:t>)</w:t>
      </w:r>
      <w:r w:rsidRPr="00463181">
        <w:rPr>
          <w:lang w:val="en-GB"/>
        </w:rPr>
        <w:t xml:space="preserve"> and </w:t>
      </w:r>
      <w:proofErr w:type="spellStart"/>
      <w:r w:rsidRPr="00463181">
        <w:rPr>
          <w:lang w:val="en-GB"/>
        </w:rPr>
        <w:t>FIM</w:t>
      </w:r>
      <w:r w:rsidRPr="00463181">
        <w:rPr>
          <w:vertAlign w:val="subscript"/>
          <w:lang w:val="en-GB"/>
        </w:rPr>
        <w:t>admission</w:t>
      </w:r>
      <w:proofErr w:type="spellEnd"/>
      <w:r w:rsidRPr="00463181">
        <w:rPr>
          <w:lang w:val="en-GB"/>
        </w:rPr>
        <w:t xml:space="preserve"> </w:t>
      </w:r>
      <w:r w:rsidR="00631ED4" w:rsidRPr="00463181">
        <w:rPr>
          <w:lang w:val="en-GB"/>
        </w:rPr>
        <w:t>(</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01</w:t>
      </w:r>
      <w:r w:rsidR="00631ED4" w:rsidRPr="00463181">
        <w:rPr>
          <w:lang w:val="en-GB"/>
        </w:rPr>
        <w:t>)</w:t>
      </w:r>
      <w:r w:rsidRPr="00463181">
        <w:rPr>
          <w:lang w:val="en-GB"/>
        </w:rPr>
        <w:t>.</w:t>
      </w:r>
      <w:r w:rsidR="008A5ECF" w:rsidRPr="00463181">
        <w:rPr>
          <w:lang w:val="en-GB"/>
        </w:rPr>
        <w:t xml:space="preserve"> </w:t>
      </w:r>
      <w:r w:rsidRPr="00463181">
        <w:rPr>
          <w:lang w:val="en-GB"/>
        </w:rPr>
        <w:t xml:space="preserve">DD was associated with age </w:t>
      </w:r>
      <w:r w:rsidR="00631ED4" w:rsidRPr="00463181">
        <w:rPr>
          <w:lang w:val="en-GB"/>
        </w:rPr>
        <w:t>(</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07</w:t>
      </w:r>
      <w:r w:rsidR="00631ED4" w:rsidRPr="00463181">
        <w:rPr>
          <w:lang w:val="en-GB"/>
        </w:rPr>
        <w:t>)</w:t>
      </w:r>
      <w:r w:rsidRPr="00463181">
        <w:rPr>
          <w:lang w:val="en-GB"/>
        </w:rPr>
        <w:t xml:space="preserve">, delirium </w:t>
      </w:r>
      <w:r w:rsidR="00631ED4" w:rsidRPr="00463181">
        <w:rPr>
          <w:lang w:val="en-GB"/>
        </w:rPr>
        <w:t>(</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18</w:t>
      </w:r>
      <w:r w:rsidR="00631ED4" w:rsidRPr="00463181">
        <w:rPr>
          <w:lang w:val="en-GB"/>
        </w:rPr>
        <w:t>)</w:t>
      </w:r>
      <w:r w:rsidRPr="00463181">
        <w:rPr>
          <w:lang w:val="en-GB"/>
        </w:rPr>
        <w:t xml:space="preserve">, comorbidities </w:t>
      </w:r>
      <w:r w:rsidR="00631ED4" w:rsidRPr="00463181">
        <w:rPr>
          <w:lang w:val="en-GB"/>
        </w:rPr>
        <w:t>(</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01</w:t>
      </w:r>
      <w:r w:rsidR="00631ED4" w:rsidRPr="00463181">
        <w:rPr>
          <w:lang w:val="en-GB"/>
        </w:rPr>
        <w:t>)</w:t>
      </w:r>
      <w:r w:rsidRPr="00463181">
        <w:rPr>
          <w:lang w:val="en-GB"/>
        </w:rPr>
        <w:t xml:space="preserve"> and both </w:t>
      </w:r>
      <w:proofErr w:type="spellStart"/>
      <w:r w:rsidRPr="00463181">
        <w:rPr>
          <w:lang w:val="en-GB"/>
        </w:rPr>
        <w:t>FIM</w:t>
      </w:r>
      <w:r w:rsidRPr="00463181">
        <w:rPr>
          <w:vertAlign w:val="subscript"/>
          <w:lang w:val="en-GB"/>
        </w:rPr>
        <w:t>pre</w:t>
      </w:r>
      <w:proofErr w:type="spellEnd"/>
      <w:r w:rsidRPr="00463181">
        <w:rPr>
          <w:vertAlign w:val="subscript"/>
          <w:lang w:val="en-GB"/>
        </w:rPr>
        <w:t>-fracture</w:t>
      </w:r>
      <w:r w:rsidR="00EF6E46" w:rsidRPr="00463181">
        <w:rPr>
          <w:lang w:val="en-GB"/>
        </w:rPr>
        <w:t xml:space="preserve"> </w:t>
      </w:r>
      <w:r w:rsidRPr="00463181">
        <w:rPr>
          <w:lang w:val="en-GB"/>
        </w:rPr>
        <w:t xml:space="preserve">and </w:t>
      </w:r>
      <w:proofErr w:type="spellStart"/>
      <w:r w:rsidRPr="00463181">
        <w:rPr>
          <w:lang w:val="en-GB"/>
        </w:rPr>
        <w:t>FIM</w:t>
      </w:r>
      <w:r w:rsidRPr="00463181">
        <w:rPr>
          <w:vertAlign w:val="subscript"/>
          <w:lang w:val="en-GB"/>
        </w:rPr>
        <w:t>admission</w:t>
      </w:r>
      <w:proofErr w:type="spellEnd"/>
      <w:r w:rsidRPr="00463181">
        <w:rPr>
          <w:lang w:val="en-GB"/>
        </w:rPr>
        <w:t xml:space="preserve"> </w:t>
      </w:r>
      <w:r w:rsidR="00631ED4" w:rsidRPr="00463181">
        <w:rPr>
          <w:lang w:val="en-GB"/>
        </w:rPr>
        <w:t>(</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00</w:t>
      </w:r>
      <w:r w:rsidR="00631ED4" w:rsidRPr="00463181">
        <w:rPr>
          <w:lang w:val="en-GB"/>
        </w:rPr>
        <w:t>)</w:t>
      </w:r>
      <w:r w:rsidRPr="00463181">
        <w:rPr>
          <w:lang w:val="en-GB"/>
        </w:rPr>
        <w:t>.</w:t>
      </w:r>
      <w:r w:rsidR="008A5ECF" w:rsidRPr="00463181">
        <w:rPr>
          <w:lang w:val="en-GB"/>
        </w:rPr>
        <w:t xml:space="preserve"> </w:t>
      </w:r>
      <w:r w:rsidRPr="00463181">
        <w:rPr>
          <w:b/>
          <w:bCs/>
          <w:lang w:val="en-GB"/>
        </w:rPr>
        <w:t>Conclusion</w:t>
      </w:r>
      <w:r w:rsidR="00D37A5B" w:rsidRPr="00463181">
        <w:rPr>
          <w:b/>
          <w:bCs/>
          <w:lang w:val="en-GB"/>
        </w:rPr>
        <w:t>s</w:t>
      </w:r>
      <w:r w:rsidR="007F3BD4" w:rsidRPr="00463181">
        <w:rPr>
          <w:b/>
          <w:bCs/>
          <w:lang w:val="en-GB"/>
        </w:rPr>
        <w:t>:</w:t>
      </w:r>
      <w:r w:rsidR="007F3BD4" w:rsidRPr="00463181">
        <w:rPr>
          <w:lang w:val="en-GB"/>
        </w:rPr>
        <w:t xml:space="preserve"> </w:t>
      </w:r>
      <w:r w:rsidRPr="00463181">
        <w:rPr>
          <w:lang w:val="en-GB"/>
        </w:rPr>
        <w:t>Factors associated with length of stay were identified, but further research incorporating multiple sites is required for greater predictor precision.</w:t>
      </w:r>
      <w:r w:rsidR="008A5ECF" w:rsidRPr="00463181">
        <w:rPr>
          <w:lang w:val="en-GB"/>
        </w:rPr>
        <w:t xml:space="preserve"> </w:t>
      </w:r>
      <w:r w:rsidRPr="00463181">
        <w:rPr>
          <w:lang w:val="en-GB"/>
        </w:rPr>
        <w:t>Discharge destination was evident by 90 days, facilitating long-term planning.</w:t>
      </w:r>
    </w:p>
    <w:p w14:paraId="647F2E92" w14:textId="59C39EF1" w:rsidR="008F5B30" w:rsidRPr="00463181" w:rsidRDefault="005B6E3C" w:rsidP="005B6E3C">
      <w:pPr>
        <w:pStyle w:val="MDPI18keywords"/>
        <w:rPr>
          <w:b/>
          <w:lang w:val="en-GB"/>
        </w:rPr>
      </w:pPr>
      <w:r w:rsidRPr="00463181">
        <w:rPr>
          <w:b/>
          <w:lang w:val="en-GB"/>
        </w:rPr>
        <w:t>Keywords:</w:t>
      </w:r>
      <w:r w:rsidR="008F5B30" w:rsidRPr="00463181">
        <w:rPr>
          <w:b/>
          <w:lang w:val="en-GB"/>
        </w:rPr>
        <w:t xml:space="preserve"> </w:t>
      </w:r>
      <w:r w:rsidR="00EE73E3" w:rsidRPr="00463181">
        <w:rPr>
          <w:bCs/>
          <w:lang w:val="en-GB"/>
        </w:rPr>
        <w:t>hip</w:t>
      </w:r>
      <w:r w:rsidR="00EE73E3" w:rsidRPr="00463181">
        <w:rPr>
          <w:b/>
          <w:lang w:val="en-GB"/>
        </w:rPr>
        <w:t xml:space="preserve"> </w:t>
      </w:r>
      <w:r w:rsidR="008F5B30" w:rsidRPr="00463181">
        <w:rPr>
          <w:lang w:val="en-GB"/>
        </w:rPr>
        <w:t xml:space="preserve">fracture; </w:t>
      </w:r>
      <w:r w:rsidR="00EE73E3" w:rsidRPr="00463181">
        <w:rPr>
          <w:lang w:val="en-GB"/>
        </w:rPr>
        <w:t>length of stay; rehab</w:t>
      </w:r>
      <w:r w:rsidR="008F5B30" w:rsidRPr="00463181">
        <w:rPr>
          <w:lang w:val="en-GB"/>
        </w:rPr>
        <w:t xml:space="preserve">ilitation; </w:t>
      </w:r>
      <w:r w:rsidR="00EE73E3" w:rsidRPr="00463181">
        <w:rPr>
          <w:lang w:val="en-GB"/>
        </w:rPr>
        <w:t>discharge</w:t>
      </w:r>
      <w:r w:rsidR="008F5B30" w:rsidRPr="00463181">
        <w:rPr>
          <w:lang w:val="en-GB"/>
        </w:rPr>
        <w:t xml:space="preserve">; </w:t>
      </w:r>
      <w:r w:rsidR="00EE73E3" w:rsidRPr="00463181">
        <w:rPr>
          <w:lang w:val="en-GB"/>
        </w:rPr>
        <w:t>delirium</w:t>
      </w:r>
    </w:p>
    <w:p w14:paraId="7E2A8FD2" w14:textId="77777777" w:rsidR="008F5B30" w:rsidRPr="00463181" w:rsidRDefault="008F5B30" w:rsidP="005B6E3C">
      <w:pPr>
        <w:pStyle w:val="MDPI19line"/>
        <w:pBdr>
          <w:bottom w:val="single" w:sz="4" w:space="1" w:color="000000"/>
        </w:pBdr>
        <w:rPr>
          <w:lang w:val="en-GB"/>
        </w:rPr>
      </w:pPr>
    </w:p>
    <w:p w14:paraId="41DC6400" w14:textId="34A6678E" w:rsidR="008F5B30" w:rsidRPr="00463181" w:rsidRDefault="00D10736" w:rsidP="00D10736">
      <w:pPr>
        <w:pStyle w:val="MDPI21heading1"/>
        <w:rPr>
          <w:lang w:val="en-GB"/>
        </w:rPr>
      </w:pPr>
      <w:r w:rsidRPr="00463181">
        <w:rPr>
          <w:lang w:val="en-GB"/>
        </w:rPr>
        <w:t xml:space="preserve">1. </w:t>
      </w:r>
      <w:r w:rsidR="008F5B30" w:rsidRPr="00463181">
        <w:rPr>
          <w:lang w:val="en-GB"/>
        </w:rPr>
        <w:t>Introduction</w:t>
      </w:r>
    </w:p>
    <w:p w14:paraId="3EF51F74" w14:textId="5064C1F2" w:rsidR="008F5B30" w:rsidRPr="00463181" w:rsidRDefault="008F5B30" w:rsidP="00D10736">
      <w:pPr>
        <w:pStyle w:val="MDPI31text"/>
        <w:rPr>
          <w:lang w:val="en-GB"/>
        </w:rPr>
      </w:pPr>
      <w:r w:rsidRPr="00463181">
        <w:rPr>
          <w:lang w:val="en-GB"/>
        </w:rPr>
        <w:t>Hip fracture is the most common serious injury in older people [1], creating long-lasting issues for patients and health services alike. Full recovery is uncommon</w:t>
      </w:r>
      <w:r w:rsidR="00463181">
        <w:rPr>
          <w:lang w:val="en-GB"/>
        </w:rPr>
        <w:t>,</w:t>
      </w:r>
      <w:r w:rsidRPr="00463181">
        <w:rPr>
          <w:lang w:val="en-GB"/>
        </w:rPr>
        <w:t xml:space="preserve"> and physical function often significantly and permanently declines [2,3]. In 2017, only 67.5% of </w:t>
      </w:r>
      <w:r w:rsidR="00312A6A" w:rsidRPr="00463181">
        <w:rPr>
          <w:lang w:val="en-GB"/>
        </w:rPr>
        <w:t xml:space="preserve">patients with </w:t>
      </w:r>
      <w:r w:rsidR="00463181">
        <w:rPr>
          <w:lang w:val="en-GB"/>
        </w:rPr>
        <w:t xml:space="preserve">a </w:t>
      </w:r>
      <w:r w:rsidRPr="00463181">
        <w:rPr>
          <w:lang w:val="en-GB"/>
        </w:rPr>
        <w:t>hip fracture returned to their original residence four months post-injury, and 9% were still immobile [4]. Recovery and independence improve with rehabilitation [5]</w:t>
      </w:r>
      <w:r w:rsidR="003B7D24">
        <w:rPr>
          <w:lang w:val="en-GB"/>
        </w:rPr>
        <w:t>,</w:t>
      </w:r>
      <w:r w:rsidRPr="00463181">
        <w:rPr>
          <w:lang w:val="en-GB"/>
        </w:rPr>
        <w:t xml:space="preserve"> which should start </w:t>
      </w:r>
      <w:r w:rsidR="003B7D24">
        <w:rPr>
          <w:lang w:val="en-GB"/>
        </w:rPr>
        <w:t xml:space="preserve">on the </w:t>
      </w:r>
      <w:r w:rsidRPr="00463181">
        <w:rPr>
          <w:lang w:val="en-GB"/>
        </w:rPr>
        <w:t xml:space="preserve">first day post-surgery [6]. Without this, patients are slower to discharge [7], less likely to walk independently or live at home after one year [8] and have </w:t>
      </w:r>
      <w:r w:rsidR="003B7D24">
        <w:rPr>
          <w:lang w:val="en-GB"/>
        </w:rPr>
        <w:t xml:space="preserve">a </w:t>
      </w:r>
      <w:r w:rsidRPr="00463181">
        <w:rPr>
          <w:lang w:val="en-GB"/>
        </w:rPr>
        <w:t xml:space="preserve">greater risk of psychological issues [9] and mortality </w:t>
      </w:r>
      <w:r w:rsidR="008A5ECF" w:rsidRPr="00463181">
        <w:rPr>
          <w:lang w:val="en-GB"/>
        </w:rPr>
        <w:t>[10–12</w:t>
      </w:r>
      <w:r w:rsidRPr="00463181">
        <w:rPr>
          <w:lang w:val="en-GB"/>
        </w:rPr>
        <w:t>].</w:t>
      </w:r>
    </w:p>
    <w:p w14:paraId="5CC47B9B" w14:textId="10C1747C" w:rsidR="008F5B30" w:rsidRPr="00463181" w:rsidRDefault="008F5B30" w:rsidP="00D10736">
      <w:pPr>
        <w:pStyle w:val="MDPI31text"/>
        <w:rPr>
          <w:lang w:val="en-GB"/>
        </w:rPr>
      </w:pPr>
      <w:r w:rsidRPr="00463181">
        <w:rPr>
          <w:lang w:val="en-GB"/>
        </w:rPr>
        <w:t>Within the UK, approximately 95%</w:t>
      </w:r>
      <w:r w:rsidR="003B7D24">
        <w:rPr>
          <w:lang w:val="en-GB"/>
        </w:rPr>
        <w:t xml:space="preserve"> of</w:t>
      </w:r>
      <w:r w:rsidRPr="00463181">
        <w:rPr>
          <w:lang w:val="en-GB"/>
        </w:rPr>
        <w:t xml:space="preserve"> hip fractures present to the National Health Service </w:t>
      </w:r>
      <w:r w:rsidR="00631ED4" w:rsidRPr="00463181">
        <w:rPr>
          <w:lang w:val="en-GB"/>
        </w:rPr>
        <w:t>(</w:t>
      </w:r>
      <w:r w:rsidRPr="00463181">
        <w:rPr>
          <w:lang w:val="en-GB"/>
        </w:rPr>
        <w:t>NHS</w:t>
      </w:r>
      <w:r w:rsidR="00631ED4" w:rsidRPr="00463181">
        <w:rPr>
          <w:lang w:val="en-GB"/>
        </w:rPr>
        <w:t>)</w:t>
      </w:r>
      <w:r w:rsidRPr="00463181">
        <w:rPr>
          <w:lang w:val="en-GB"/>
        </w:rPr>
        <w:t xml:space="preserve"> [13], </w:t>
      </w:r>
      <w:r w:rsidR="003B7D24">
        <w:rPr>
          <w:lang w:val="en-GB"/>
        </w:rPr>
        <w:t xml:space="preserve">with </w:t>
      </w:r>
      <w:r w:rsidRPr="00463181">
        <w:rPr>
          <w:lang w:val="en-GB"/>
        </w:rPr>
        <w:t>most remaining there for the full treatment process. Optimally, rehabilitation should continue beyond the acute inpatient stage [14].</w:t>
      </w:r>
      <w:r w:rsidR="008A5ECF" w:rsidRPr="00463181">
        <w:rPr>
          <w:lang w:val="en-GB"/>
        </w:rPr>
        <w:t xml:space="preserve"> </w:t>
      </w:r>
      <w:r w:rsidR="003B7D24">
        <w:rPr>
          <w:lang w:val="en-GB"/>
        </w:rPr>
        <w:t xml:space="preserve">A </w:t>
      </w:r>
      <w:r w:rsidR="003B7D24" w:rsidRPr="00463181">
        <w:rPr>
          <w:lang w:val="en-GB"/>
        </w:rPr>
        <w:t>l</w:t>
      </w:r>
      <w:r w:rsidRPr="00463181">
        <w:rPr>
          <w:lang w:val="en-GB"/>
        </w:rPr>
        <w:t xml:space="preserve">imited </w:t>
      </w:r>
      <w:r w:rsidR="003B7D24">
        <w:rPr>
          <w:lang w:val="en-GB"/>
        </w:rPr>
        <w:t xml:space="preserve">number of </w:t>
      </w:r>
      <w:r w:rsidRPr="00463181">
        <w:rPr>
          <w:lang w:val="en-GB"/>
        </w:rPr>
        <w:t xml:space="preserve">inpatient beds and long community delays [4] result in rehabilitation </w:t>
      </w:r>
      <w:r w:rsidR="003B7D24">
        <w:rPr>
          <w:lang w:val="en-GB"/>
        </w:rPr>
        <w:t xml:space="preserve">being </w:t>
      </w:r>
      <w:r w:rsidRPr="00463181">
        <w:rPr>
          <w:lang w:val="en-GB"/>
        </w:rPr>
        <w:t>based on availability rather than patient requirements [15]. Recogni</w:t>
      </w:r>
      <w:r w:rsidR="00C82DFA" w:rsidRPr="00463181">
        <w:rPr>
          <w:lang w:val="en-GB"/>
        </w:rPr>
        <w:t>s</w:t>
      </w:r>
      <w:r w:rsidRPr="00463181">
        <w:rPr>
          <w:lang w:val="en-GB"/>
        </w:rPr>
        <w:t>ing the importance of prompt, continuous and accessible treatment [16,17]</w:t>
      </w:r>
      <w:r w:rsidR="003B7D24">
        <w:rPr>
          <w:lang w:val="en-GB"/>
        </w:rPr>
        <w:t>,</w:t>
      </w:r>
      <w:r w:rsidRPr="00463181">
        <w:rPr>
          <w:lang w:val="en-GB"/>
        </w:rPr>
        <w:t xml:space="preserve"> some patients take charge and choose private rehabilitation services [17].</w:t>
      </w:r>
    </w:p>
    <w:p w14:paraId="78C6DAAC" w14:textId="689E7510" w:rsidR="008F5B30" w:rsidRPr="00463181" w:rsidRDefault="008F5B30" w:rsidP="00D10736">
      <w:pPr>
        <w:pStyle w:val="MDPI31text"/>
        <w:rPr>
          <w:highlight w:val="yellow"/>
          <w:lang w:val="en-GB"/>
        </w:rPr>
      </w:pPr>
      <w:r w:rsidRPr="00463181">
        <w:rPr>
          <w:lang w:val="en-GB"/>
        </w:rPr>
        <w:t>There is a wealth of hip fracture rehabilitation research and the factors influencing it. Two studies even include private hospitals [18,19]</w:t>
      </w:r>
      <w:r w:rsidR="003B7D24">
        <w:rPr>
          <w:lang w:val="en-GB"/>
        </w:rPr>
        <w:t>,</w:t>
      </w:r>
      <w:r w:rsidRPr="00463181">
        <w:rPr>
          <w:lang w:val="en-GB"/>
        </w:rPr>
        <w:t xml:space="preserve"> but much of it is based on other </w:t>
      </w:r>
      <w:r w:rsidRPr="00463181">
        <w:rPr>
          <w:lang w:val="en-GB"/>
        </w:rPr>
        <w:lastRenderedPageBreak/>
        <w:t xml:space="preserve">countries </w:t>
      </w:r>
      <w:r w:rsidR="008A5ECF" w:rsidRPr="00463181">
        <w:rPr>
          <w:lang w:val="en-GB"/>
        </w:rPr>
        <w:t>[20,21</w:t>
      </w:r>
      <w:r w:rsidRPr="00463181">
        <w:rPr>
          <w:lang w:val="en-GB"/>
        </w:rPr>
        <w:t>]</w:t>
      </w:r>
      <w:r w:rsidR="003B7D24">
        <w:rPr>
          <w:lang w:val="en-GB"/>
        </w:rPr>
        <w:t>,</w:t>
      </w:r>
      <w:r w:rsidRPr="00463181">
        <w:rPr>
          <w:lang w:val="en-GB"/>
        </w:rPr>
        <w:t xml:space="preserve"> </w:t>
      </w:r>
      <w:r w:rsidR="003B7D24">
        <w:rPr>
          <w:lang w:val="en-GB"/>
        </w:rPr>
        <w:t>which</w:t>
      </w:r>
      <w:r w:rsidR="003B7D24" w:rsidRPr="00463181">
        <w:rPr>
          <w:lang w:val="en-GB"/>
        </w:rPr>
        <w:t xml:space="preserve"> </w:t>
      </w:r>
      <w:r w:rsidR="003B7D24">
        <w:rPr>
          <w:lang w:val="en-GB"/>
        </w:rPr>
        <w:t xml:space="preserve">are </w:t>
      </w:r>
      <w:r w:rsidRPr="00463181">
        <w:rPr>
          <w:lang w:val="en-GB"/>
        </w:rPr>
        <w:t>difficult to compare with UK services.</w:t>
      </w:r>
      <w:r w:rsidR="008A5ECF" w:rsidRPr="00463181">
        <w:rPr>
          <w:lang w:val="en-GB"/>
        </w:rPr>
        <w:t xml:space="preserve"> </w:t>
      </w:r>
      <w:r w:rsidRPr="00463181">
        <w:rPr>
          <w:lang w:val="en-GB"/>
        </w:rPr>
        <w:t xml:space="preserve">Research carried out in the UK tends to prioritise early recovery and is </w:t>
      </w:r>
      <w:r w:rsidR="00312A6A" w:rsidRPr="00463181">
        <w:rPr>
          <w:lang w:val="en-GB"/>
        </w:rPr>
        <w:t>entirely</w:t>
      </w:r>
      <w:r w:rsidRPr="00463181">
        <w:rPr>
          <w:lang w:val="en-GB"/>
        </w:rPr>
        <w:t xml:space="preserve"> NHS-based</w:t>
      </w:r>
      <w:r w:rsidR="003B7D24">
        <w:rPr>
          <w:lang w:val="en-GB"/>
        </w:rPr>
        <w:t>,</w:t>
      </w:r>
      <w:r w:rsidRPr="00463181">
        <w:rPr>
          <w:lang w:val="en-GB"/>
        </w:rPr>
        <w:t xml:space="preserve"> causing some potential problems:</w:t>
      </w:r>
    </w:p>
    <w:p w14:paraId="7FBFF1DD" w14:textId="587BC155" w:rsidR="008F5B30" w:rsidRPr="00463181" w:rsidRDefault="003B7D24" w:rsidP="002F4F55">
      <w:pPr>
        <w:pStyle w:val="MDPI31text"/>
        <w:numPr>
          <w:ilvl w:val="0"/>
          <w:numId w:val="32"/>
        </w:numPr>
        <w:spacing w:before="60"/>
        <w:ind w:left="3033" w:hanging="425"/>
        <w:rPr>
          <w:lang w:val="en-GB"/>
        </w:rPr>
      </w:pPr>
      <w:r>
        <w:rPr>
          <w:lang w:val="en-GB"/>
        </w:rPr>
        <w:t xml:space="preserve">The </w:t>
      </w:r>
      <w:r w:rsidRPr="00463181">
        <w:rPr>
          <w:lang w:val="en-GB"/>
        </w:rPr>
        <w:t>e</w:t>
      </w:r>
      <w:r w:rsidR="008F5B30" w:rsidRPr="00463181">
        <w:rPr>
          <w:lang w:val="en-GB"/>
        </w:rPr>
        <w:t xml:space="preserve">valuation of UK hip fracture treatment is based on incomplete data. In 2015, only 57.3% </w:t>
      </w:r>
      <w:r w:rsidR="00312A6A" w:rsidRPr="00463181">
        <w:rPr>
          <w:lang w:val="en-GB"/>
        </w:rPr>
        <w:t xml:space="preserve">patients with </w:t>
      </w:r>
      <w:r w:rsidR="008F5B30" w:rsidRPr="00463181">
        <w:rPr>
          <w:lang w:val="en-GB"/>
        </w:rPr>
        <w:t>hip fracture</w:t>
      </w:r>
      <w:r>
        <w:rPr>
          <w:lang w:val="en-GB"/>
        </w:rPr>
        <w:t>s</w:t>
      </w:r>
      <w:r w:rsidR="008F5B30" w:rsidRPr="00463181">
        <w:rPr>
          <w:lang w:val="en-GB"/>
        </w:rPr>
        <w:t xml:space="preserve"> had a rehabilitation record [15].</w:t>
      </w:r>
      <w:r w:rsidR="008A5ECF" w:rsidRPr="00463181">
        <w:rPr>
          <w:lang w:val="en-GB"/>
        </w:rPr>
        <w:t xml:space="preserve"> </w:t>
      </w:r>
      <w:r w:rsidR="008F5B30" w:rsidRPr="00463181">
        <w:rPr>
          <w:lang w:val="en-GB"/>
        </w:rPr>
        <w:t>Patient characteristics</w:t>
      </w:r>
      <w:r>
        <w:rPr>
          <w:lang w:val="en-GB"/>
        </w:rPr>
        <w:t>,</w:t>
      </w:r>
      <w:r w:rsidR="008F5B30" w:rsidRPr="00463181">
        <w:rPr>
          <w:lang w:val="en-GB"/>
        </w:rPr>
        <w:t xml:space="preserve"> including socioeconomic status</w:t>
      </w:r>
      <w:r>
        <w:rPr>
          <w:lang w:val="en-GB"/>
        </w:rPr>
        <w:t>,</w:t>
      </w:r>
      <w:r w:rsidR="008F5B30" w:rsidRPr="00463181">
        <w:rPr>
          <w:lang w:val="en-GB"/>
        </w:rPr>
        <w:t xml:space="preserve"> are associated with </w:t>
      </w:r>
      <w:r>
        <w:rPr>
          <w:lang w:val="en-GB"/>
        </w:rPr>
        <w:t xml:space="preserve">an </w:t>
      </w:r>
      <w:r w:rsidR="008F5B30" w:rsidRPr="00463181">
        <w:rPr>
          <w:lang w:val="en-GB"/>
        </w:rPr>
        <w:t>increased risk of hip fracture and might impact access to private rehabilitation [20]. Patients who utilise private rehabilitation are recorded as being discharged into care, disregarding whether they later return home [15].</w:t>
      </w:r>
      <w:r w:rsidR="008A5ECF" w:rsidRPr="00463181">
        <w:rPr>
          <w:lang w:val="en-GB"/>
        </w:rPr>
        <w:t xml:space="preserve"> </w:t>
      </w:r>
      <w:r w:rsidR="008F5B30" w:rsidRPr="00463181">
        <w:rPr>
          <w:lang w:val="en-GB"/>
        </w:rPr>
        <w:t xml:space="preserve">These data are used by NHS commissioning groups to determine </w:t>
      </w:r>
      <w:r>
        <w:rPr>
          <w:lang w:val="en-GB"/>
        </w:rPr>
        <w:t xml:space="preserve">the </w:t>
      </w:r>
      <w:r w:rsidR="008F5B30" w:rsidRPr="00463181">
        <w:rPr>
          <w:lang w:val="en-GB"/>
        </w:rPr>
        <w:t xml:space="preserve">clinical/cost effectiveness of treatment, </w:t>
      </w:r>
      <w:r>
        <w:rPr>
          <w:lang w:val="en-GB"/>
        </w:rPr>
        <w:t>while</w:t>
      </w:r>
      <w:r w:rsidRPr="00463181">
        <w:rPr>
          <w:lang w:val="en-GB"/>
        </w:rPr>
        <w:t xml:space="preserve"> </w:t>
      </w:r>
      <w:r w:rsidR="008F5B30" w:rsidRPr="00463181">
        <w:rPr>
          <w:lang w:val="en-GB"/>
        </w:rPr>
        <w:t xml:space="preserve">the National Hip Fracture Database </w:t>
      </w:r>
      <w:r>
        <w:rPr>
          <w:lang w:val="en-GB"/>
        </w:rPr>
        <w:t xml:space="preserve">also perform </w:t>
      </w:r>
      <w:r w:rsidR="008F5B30" w:rsidRPr="00463181">
        <w:rPr>
          <w:lang w:val="en-GB"/>
        </w:rPr>
        <w:t>audit</w:t>
      </w:r>
      <w:r>
        <w:rPr>
          <w:lang w:val="en-GB"/>
        </w:rPr>
        <w:t>s</w:t>
      </w:r>
      <w:r w:rsidR="008F5B30" w:rsidRPr="00463181">
        <w:rPr>
          <w:lang w:val="en-GB"/>
        </w:rPr>
        <w:t xml:space="preserve"> for service development recommendations. Incomplete data may camouflage inefficiency, resulting in poor quality treatment and impaired policy/management decisions.</w:t>
      </w:r>
    </w:p>
    <w:p w14:paraId="01AEB562" w14:textId="1EB4BA2A" w:rsidR="008F5B30" w:rsidRPr="00463181" w:rsidRDefault="008F5B30" w:rsidP="002F4F55">
      <w:pPr>
        <w:pStyle w:val="MDPI31text"/>
        <w:numPr>
          <w:ilvl w:val="0"/>
          <w:numId w:val="32"/>
        </w:numPr>
        <w:ind w:left="3033" w:hanging="425"/>
        <w:rPr>
          <w:lang w:val="en-GB"/>
        </w:rPr>
      </w:pPr>
      <w:r w:rsidRPr="00463181">
        <w:rPr>
          <w:lang w:val="en-GB"/>
        </w:rPr>
        <w:t xml:space="preserve">Anecdotal evidence indicates that private rehabilitation processes are obscured, private facilities may fail to appreciate the services required and new clients remain ignorant of likely progress and costings, </w:t>
      </w:r>
      <w:r w:rsidR="003B7D24">
        <w:rPr>
          <w:lang w:val="en-GB"/>
        </w:rPr>
        <w:t>while</w:t>
      </w:r>
      <w:r w:rsidR="003B7D24" w:rsidRPr="00463181">
        <w:rPr>
          <w:lang w:val="en-GB"/>
        </w:rPr>
        <w:t xml:space="preserve"> </w:t>
      </w:r>
      <w:r w:rsidRPr="00463181">
        <w:rPr>
          <w:lang w:val="en-GB"/>
        </w:rPr>
        <w:t>staff and family struggle to set realistic goals and/or meet discharge needs.</w:t>
      </w:r>
    </w:p>
    <w:p w14:paraId="26711B16" w14:textId="1656A065" w:rsidR="008F5B30" w:rsidRPr="00463181" w:rsidRDefault="003B7D24" w:rsidP="002F4F55">
      <w:pPr>
        <w:pStyle w:val="MDPI31text"/>
        <w:numPr>
          <w:ilvl w:val="0"/>
          <w:numId w:val="32"/>
        </w:numPr>
        <w:spacing w:after="60"/>
        <w:ind w:left="3033" w:hanging="425"/>
        <w:rPr>
          <w:lang w:val="en-GB"/>
        </w:rPr>
      </w:pPr>
      <w:r>
        <w:rPr>
          <w:lang w:val="en-GB"/>
        </w:rPr>
        <w:t xml:space="preserve">The </w:t>
      </w:r>
      <w:r w:rsidRPr="00463181">
        <w:rPr>
          <w:lang w:val="en-GB"/>
        </w:rPr>
        <w:t>u</w:t>
      </w:r>
      <w:r w:rsidR="008F5B30" w:rsidRPr="00463181">
        <w:rPr>
          <w:lang w:val="en-GB"/>
        </w:rPr>
        <w:t>nderstanding of patient perspective</w:t>
      </w:r>
      <w:r>
        <w:rPr>
          <w:lang w:val="en-GB"/>
        </w:rPr>
        <w:t>s</w:t>
      </w:r>
      <w:r w:rsidR="008F5B30" w:rsidRPr="00463181">
        <w:rPr>
          <w:lang w:val="en-GB"/>
        </w:rPr>
        <w:t xml:space="preserve"> remains limited [16]. Anecdotal evidence shows </w:t>
      </w:r>
      <w:r>
        <w:rPr>
          <w:lang w:val="en-GB"/>
        </w:rPr>
        <w:t xml:space="preserve">that </w:t>
      </w:r>
      <w:r w:rsidR="00312A6A" w:rsidRPr="00463181">
        <w:rPr>
          <w:lang w:val="en-GB"/>
        </w:rPr>
        <w:t xml:space="preserve">patients with </w:t>
      </w:r>
      <w:r w:rsidR="008F5B30" w:rsidRPr="00463181">
        <w:rPr>
          <w:lang w:val="en-GB"/>
        </w:rPr>
        <w:t>hip fracture</w:t>
      </w:r>
      <w:r>
        <w:rPr>
          <w:lang w:val="en-GB"/>
        </w:rPr>
        <w:t>s</w:t>
      </w:r>
      <w:r w:rsidR="008F5B30" w:rsidRPr="00463181">
        <w:rPr>
          <w:lang w:val="en-GB"/>
        </w:rPr>
        <w:t xml:space="preserve"> often expect </w:t>
      </w:r>
      <w:r>
        <w:rPr>
          <w:lang w:val="en-GB"/>
        </w:rPr>
        <w:t xml:space="preserve">a </w:t>
      </w:r>
      <w:r w:rsidR="008F5B30" w:rsidRPr="00463181">
        <w:rPr>
          <w:lang w:val="en-GB"/>
        </w:rPr>
        <w:t>similar recovery</w:t>
      </w:r>
      <w:r>
        <w:rPr>
          <w:lang w:val="en-GB"/>
        </w:rPr>
        <w:t xml:space="preserve"> experience</w:t>
      </w:r>
      <w:r w:rsidR="008F5B30" w:rsidRPr="00463181">
        <w:rPr>
          <w:lang w:val="en-GB"/>
        </w:rPr>
        <w:t xml:space="preserve"> to </w:t>
      </w:r>
      <w:r w:rsidR="00F31701" w:rsidRPr="00463181">
        <w:rPr>
          <w:lang w:val="en-GB"/>
        </w:rPr>
        <w:t xml:space="preserve">patients with </w:t>
      </w:r>
      <w:r w:rsidR="008F5B30" w:rsidRPr="00463181">
        <w:rPr>
          <w:lang w:val="en-GB"/>
        </w:rPr>
        <w:t>hip replacement</w:t>
      </w:r>
      <w:r>
        <w:rPr>
          <w:lang w:val="en-GB"/>
        </w:rPr>
        <w:t>s</w:t>
      </w:r>
      <w:r w:rsidR="008F5B30" w:rsidRPr="00463181">
        <w:rPr>
          <w:lang w:val="en-GB"/>
        </w:rPr>
        <w:t xml:space="preserve"> and are disappointed when theirs is longer and less restorative. Private patients’ chosen lengths of stay may reflect desirable treatment times; possibly, NHS rehabilitation is too short for full treatment benefit, causing greater long-term healthcare use [18].</w:t>
      </w:r>
    </w:p>
    <w:p w14:paraId="5C28F475" w14:textId="300BF061" w:rsidR="008F5B30" w:rsidRPr="00463181" w:rsidRDefault="008F5B30" w:rsidP="002347D9">
      <w:pPr>
        <w:pStyle w:val="MDPI31text"/>
        <w:rPr>
          <w:lang w:val="en-GB"/>
        </w:rPr>
      </w:pPr>
      <w:r w:rsidRPr="00463181">
        <w:rPr>
          <w:lang w:val="en-GB"/>
        </w:rPr>
        <w:t xml:space="preserve">The present study examined factors affecting </w:t>
      </w:r>
      <w:r w:rsidR="003B7D24">
        <w:rPr>
          <w:lang w:val="en-GB"/>
        </w:rPr>
        <w:t xml:space="preserve">the </w:t>
      </w:r>
      <w:r w:rsidR="003B7D24" w:rsidRPr="00463181">
        <w:rPr>
          <w:lang w:val="en-GB"/>
        </w:rPr>
        <w:t>l</w:t>
      </w:r>
      <w:r w:rsidRPr="00463181">
        <w:rPr>
          <w:lang w:val="en-GB"/>
        </w:rPr>
        <w:t xml:space="preserve">ength of stay </w:t>
      </w:r>
      <w:r w:rsidR="00631ED4" w:rsidRPr="00463181">
        <w:rPr>
          <w:lang w:val="en-GB"/>
        </w:rPr>
        <w:t>(</w:t>
      </w:r>
      <w:proofErr w:type="spellStart"/>
      <w:r w:rsidRPr="00463181">
        <w:rPr>
          <w:lang w:val="en-GB"/>
        </w:rPr>
        <w:t>LoS</w:t>
      </w:r>
      <w:proofErr w:type="spellEnd"/>
      <w:r w:rsidR="00631ED4" w:rsidRPr="00463181">
        <w:rPr>
          <w:lang w:val="en-GB"/>
        </w:rPr>
        <w:t>)</w:t>
      </w:r>
      <w:r w:rsidRPr="00463181">
        <w:rPr>
          <w:lang w:val="en-GB"/>
        </w:rPr>
        <w:t xml:space="preserve"> and </w:t>
      </w:r>
      <w:r w:rsidR="003B7D24" w:rsidRPr="00463181">
        <w:rPr>
          <w:lang w:val="en-GB"/>
        </w:rPr>
        <w:t>d</w:t>
      </w:r>
      <w:r w:rsidRPr="00463181">
        <w:rPr>
          <w:lang w:val="en-GB"/>
        </w:rPr>
        <w:t xml:space="preserve">ischarge destination </w:t>
      </w:r>
      <w:r w:rsidR="00631ED4" w:rsidRPr="00463181">
        <w:rPr>
          <w:lang w:val="en-GB"/>
        </w:rPr>
        <w:t>(</w:t>
      </w:r>
      <w:r w:rsidRPr="00463181">
        <w:rPr>
          <w:lang w:val="en-GB"/>
        </w:rPr>
        <w:t>DD</w:t>
      </w:r>
      <w:r w:rsidR="00631ED4" w:rsidRPr="00463181">
        <w:rPr>
          <w:lang w:val="en-GB"/>
        </w:rPr>
        <w:t>)</w:t>
      </w:r>
      <w:r w:rsidRPr="00463181">
        <w:rPr>
          <w:lang w:val="en-GB"/>
        </w:rPr>
        <w:t xml:space="preserve"> of </w:t>
      </w:r>
      <w:r w:rsidR="00F31701" w:rsidRPr="00463181">
        <w:rPr>
          <w:lang w:val="en-GB"/>
        </w:rPr>
        <w:t xml:space="preserve">patients with </w:t>
      </w:r>
      <w:r w:rsidRPr="00463181">
        <w:rPr>
          <w:lang w:val="en-GB"/>
        </w:rPr>
        <w:t>hip fracture</w:t>
      </w:r>
      <w:r w:rsidR="003B7D24">
        <w:rPr>
          <w:lang w:val="en-GB"/>
        </w:rPr>
        <w:t>s</w:t>
      </w:r>
      <w:r w:rsidRPr="00463181">
        <w:rPr>
          <w:lang w:val="en-GB"/>
        </w:rPr>
        <w:t xml:space="preserve"> in a private rehabilitation setting. The purpose </w:t>
      </w:r>
      <w:r w:rsidR="003B7D24">
        <w:rPr>
          <w:lang w:val="en-GB"/>
        </w:rPr>
        <w:t>was</w:t>
      </w:r>
      <w:r w:rsidR="003B7D24" w:rsidRPr="00463181">
        <w:rPr>
          <w:lang w:val="en-GB"/>
        </w:rPr>
        <w:t xml:space="preserve"> </w:t>
      </w:r>
      <w:r w:rsidRPr="00463181">
        <w:rPr>
          <w:lang w:val="en-GB"/>
        </w:rPr>
        <w:t xml:space="preserve">to increase the evidence base of their treatment and </w:t>
      </w:r>
      <w:r w:rsidR="003B7D24">
        <w:rPr>
          <w:lang w:val="en-GB"/>
        </w:rPr>
        <w:t xml:space="preserve">facilitate </w:t>
      </w:r>
      <w:r w:rsidRPr="00463181">
        <w:rPr>
          <w:lang w:val="en-GB"/>
        </w:rPr>
        <w:t xml:space="preserve">discharge planning and discuss the possible impact of private rehabilitation data on NHS figures. </w:t>
      </w:r>
      <w:proofErr w:type="spellStart"/>
      <w:r w:rsidRPr="00463181">
        <w:rPr>
          <w:lang w:val="en-GB"/>
        </w:rPr>
        <w:t>LoS</w:t>
      </w:r>
      <w:proofErr w:type="spellEnd"/>
      <w:r w:rsidRPr="00463181">
        <w:rPr>
          <w:lang w:val="en-GB"/>
        </w:rPr>
        <w:t xml:space="preserve"> is a common outcome measure within healthcare research. For the UK Department of Health, it represents local health service efficiency </w:t>
      </w:r>
      <w:r w:rsidR="008A5ECF" w:rsidRPr="00463181">
        <w:rPr>
          <w:lang w:val="en-GB"/>
        </w:rPr>
        <w:t>[1,2</w:t>
      </w:r>
      <w:r w:rsidR="002D45DF" w:rsidRPr="00463181">
        <w:rPr>
          <w:lang w:val="en-GB"/>
        </w:rPr>
        <w:t>2</w:t>
      </w:r>
      <w:r w:rsidRPr="00463181">
        <w:rPr>
          <w:lang w:val="en-GB"/>
        </w:rPr>
        <w:t>], with definable conditions</w:t>
      </w:r>
      <w:r w:rsidR="003B7D24">
        <w:rPr>
          <w:lang w:val="en-GB"/>
        </w:rPr>
        <w:t>,</w:t>
      </w:r>
      <w:r w:rsidRPr="00463181">
        <w:rPr>
          <w:lang w:val="en-GB"/>
        </w:rPr>
        <w:t xml:space="preserve"> such as hip fracture</w:t>
      </w:r>
      <w:r w:rsidR="003B7D24">
        <w:rPr>
          <w:lang w:val="en-GB"/>
        </w:rPr>
        <w:t>s,</w:t>
      </w:r>
      <w:r w:rsidRPr="00463181">
        <w:rPr>
          <w:lang w:val="en-GB"/>
        </w:rPr>
        <w:t xml:space="preserve"> used as </w:t>
      </w:r>
      <w:proofErr w:type="spellStart"/>
      <w:r w:rsidRPr="00463181">
        <w:rPr>
          <w:lang w:val="en-GB"/>
        </w:rPr>
        <w:t>LoS</w:t>
      </w:r>
      <w:proofErr w:type="spellEnd"/>
      <w:r w:rsidRPr="00463181">
        <w:rPr>
          <w:lang w:val="en-GB"/>
        </w:rPr>
        <w:t xml:space="preserve"> markers for inter-hospital comparisons [1]. Recent awareness that reducing </w:t>
      </w:r>
      <w:proofErr w:type="spellStart"/>
      <w:r w:rsidRPr="00463181">
        <w:rPr>
          <w:lang w:val="en-GB"/>
        </w:rPr>
        <w:t>LoS</w:t>
      </w:r>
      <w:proofErr w:type="spellEnd"/>
      <w:r w:rsidRPr="00463181">
        <w:rPr>
          <w:lang w:val="en-GB"/>
        </w:rPr>
        <w:t xml:space="preserve"> is not always better for quality of care and long-term cost effectiveness [2</w:t>
      </w:r>
      <w:r w:rsidR="002D45DF" w:rsidRPr="00463181">
        <w:rPr>
          <w:lang w:val="en-GB"/>
        </w:rPr>
        <w:t>3</w:t>
      </w:r>
      <w:r w:rsidRPr="00463181">
        <w:rPr>
          <w:lang w:val="en-GB"/>
        </w:rPr>
        <w:t>] has deprioriti</w:t>
      </w:r>
      <w:r w:rsidR="007D6902" w:rsidRPr="00463181">
        <w:rPr>
          <w:lang w:val="en-GB"/>
        </w:rPr>
        <w:t>s</w:t>
      </w:r>
      <w:r w:rsidRPr="00463181">
        <w:rPr>
          <w:lang w:val="en-GB"/>
        </w:rPr>
        <w:t xml:space="preserve">ed it in national policies but, within rehabilitation, optimal </w:t>
      </w:r>
      <w:proofErr w:type="spellStart"/>
      <w:r w:rsidRPr="00463181">
        <w:rPr>
          <w:lang w:val="en-GB"/>
        </w:rPr>
        <w:t>LoS</w:t>
      </w:r>
      <w:proofErr w:type="spellEnd"/>
      <w:r w:rsidRPr="00463181">
        <w:rPr>
          <w:lang w:val="en-GB"/>
        </w:rPr>
        <w:t xml:space="preserve"> remains a primary focus.</w:t>
      </w:r>
      <w:r w:rsidR="008A5ECF" w:rsidRPr="00463181">
        <w:rPr>
          <w:lang w:val="en-GB"/>
        </w:rPr>
        <w:t xml:space="preserve"> </w:t>
      </w:r>
      <w:r w:rsidRPr="00463181">
        <w:rPr>
          <w:lang w:val="en-GB"/>
        </w:rPr>
        <w:t xml:space="preserve">This study </w:t>
      </w:r>
      <w:r w:rsidR="003B7D24">
        <w:rPr>
          <w:lang w:val="en-GB"/>
        </w:rPr>
        <w:t>used</w:t>
      </w:r>
      <w:r w:rsidR="003B7D24" w:rsidRPr="00463181">
        <w:rPr>
          <w:lang w:val="en-GB"/>
        </w:rPr>
        <w:t xml:space="preserve"> </w:t>
      </w:r>
      <w:r w:rsidRPr="00463181">
        <w:rPr>
          <w:lang w:val="en-GB"/>
        </w:rPr>
        <w:t xml:space="preserve">a single site to test </w:t>
      </w:r>
      <w:r w:rsidR="003B7D24">
        <w:rPr>
          <w:lang w:val="en-GB"/>
        </w:rPr>
        <w:t xml:space="preserve">the </w:t>
      </w:r>
      <w:r w:rsidRPr="00463181">
        <w:rPr>
          <w:lang w:val="en-GB"/>
        </w:rPr>
        <w:t xml:space="preserve">suitability of </w:t>
      </w:r>
      <w:r w:rsidR="003B7D24">
        <w:rPr>
          <w:lang w:val="en-GB"/>
        </w:rPr>
        <w:t xml:space="preserve">the </w:t>
      </w:r>
      <w:r w:rsidRPr="00463181">
        <w:rPr>
          <w:lang w:val="en-GB"/>
        </w:rPr>
        <w:t>independent variables, measurement options and data collection methods, whilst reducing the effect of extraneous variables related to individual facility characteristics</w:t>
      </w:r>
      <w:r w:rsidR="003B7D24">
        <w:rPr>
          <w:lang w:val="en-GB"/>
        </w:rPr>
        <w:t>,</w:t>
      </w:r>
      <w:r w:rsidRPr="00463181">
        <w:rPr>
          <w:lang w:val="en-GB"/>
        </w:rPr>
        <w:t xml:space="preserve"> such as care culture [2</w:t>
      </w:r>
      <w:r w:rsidR="002D45DF" w:rsidRPr="00463181">
        <w:rPr>
          <w:lang w:val="en-GB"/>
        </w:rPr>
        <w:t>4</w:t>
      </w:r>
      <w:r w:rsidRPr="00463181">
        <w:rPr>
          <w:lang w:val="en-GB"/>
        </w:rPr>
        <w:t>].</w:t>
      </w:r>
    </w:p>
    <w:p w14:paraId="2A3718B4" w14:textId="781D6ADD" w:rsidR="008F5B30" w:rsidRPr="00463181" w:rsidRDefault="00C50C77" w:rsidP="00C50C77">
      <w:pPr>
        <w:pStyle w:val="MDPI21heading1"/>
        <w:rPr>
          <w:lang w:val="en-GB"/>
        </w:rPr>
      </w:pPr>
      <w:r w:rsidRPr="00463181">
        <w:rPr>
          <w:lang w:val="en-GB"/>
        </w:rPr>
        <w:t xml:space="preserve">2. </w:t>
      </w:r>
      <w:r w:rsidR="008F5B30" w:rsidRPr="00463181">
        <w:rPr>
          <w:lang w:val="en-GB"/>
        </w:rPr>
        <w:t>Methods</w:t>
      </w:r>
    </w:p>
    <w:p w14:paraId="1EBB6FF5" w14:textId="7FCA3E5D" w:rsidR="008F5B30" w:rsidRPr="00463181" w:rsidRDefault="008F5B30" w:rsidP="00C50C77">
      <w:pPr>
        <w:pStyle w:val="MDPI31text"/>
        <w:rPr>
          <w:lang w:val="en-GB"/>
        </w:rPr>
      </w:pPr>
      <w:r w:rsidRPr="00463181">
        <w:rPr>
          <w:lang w:val="en-GB"/>
        </w:rPr>
        <w:t xml:space="preserve">This was a correlational study incorporating archival data, collected retrospectively from </w:t>
      </w:r>
      <w:r w:rsidR="00011E4C">
        <w:rPr>
          <w:lang w:val="en-GB"/>
        </w:rPr>
        <w:t xml:space="preserve">the </w:t>
      </w:r>
      <w:r w:rsidRPr="00463181">
        <w:rPr>
          <w:lang w:val="en-GB"/>
        </w:rPr>
        <w:t>medical, nursing and physiotherapy records of 56 patients</w:t>
      </w:r>
      <w:r w:rsidR="00E82B5D" w:rsidRPr="00E82B5D">
        <w:rPr>
          <w:lang w:val="en-GB"/>
        </w:rPr>
        <w:t xml:space="preserve"> </w:t>
      </w:r>
      <w:r w:rsidR="00E82B5D">
        <w:rPr>
          <w:lang w:val="en-GB"/>
        </w:rPr>
        <w:t xml:space="preserve">with </w:t>
      </w:r>
      <w:r w:rsidR="00E82B5D" w:rsidRPr="00463181">
        <w:rPr>
          <w:lang w:val="en-GB"/>
        </w:rPr>
        <w:t>hip fracture</w:t>
      </w:r>
      <w:r w:rsidRPr="00463181">
        <w:rPr>
          <w:lang w:val="en-GB"/>
        </w:rPr>
        <w:t xml:space="preserve">. The study setting was a private elderly care facility </w:t>
      </w:r>
      <w:r w:rsidR="00631ED4" w:rsidRPr="00463181">
        <w:rPr>
          <w:lang w:val="en-GB"/>
        </w:rPr>
        <w:t>(</w:t>
      </w:r>
      <w:r w:rsidRPr="00463181">
        <w:rPr>
          <w:lang w:val="en-GB"/>
        </w:rPr>
        <w:t>Hospital X</w:t>
      </w:r>
      <w:r w:rsidR="00631ED4" w:rsidRPr="00463181">
        <w:rPr>
          <w:lang w:val="en-GB"/>
        </w:rPr>
        <w:t>)</w:t>
      </w:r>
      <w:r w:rsidRPr="00463181">
        <w:rPr>
          <w:lang w:val="en-GB"/>
        </w:rPr>
        <w:t xml:space="preserve"> in Oxford, UK. At the time, it had 40 single bedrooms, </w:t>
      </w:r>
      <w:r w:rsidR="00011E4C">
        <w:rPr>
          <w:lang w:val="en-GB"/>
        </w:rPr>
        <w:t xml:space="preserve">with </w:t>
      </w:r>
      <w:r w:rsidRPr="00463181">
        <w:rPr>
          <w:lang w:val="en-GB"/>
        </w:rPr>
        <w:t>approximately 12 for short-stay residents receiving respite, rehabilitation or palliative care. Unusually for a care setting, it had an in-house physiotherapy department.</w:t>
      </w:r>
    </w:p>
    <w:p w14:paraId="17C2D72F" w14:textId="4857684D" w:rsidR="008F5B30" w:rsidRPr="00463181" w:rsidRDefault="00C50C77" w:rsidP="00C50C77">
      <w:pPr>
        <w:pStyle w:val="MDPI22heading2"/>
        <w:spacing w:before="240"/>
        <w:rPr>
          <w:lang w:val="en-GB"/>
        </w:rPr>
      </w:pPr>
      <w:r w:rsidRPr="00463181">
        <w:rPr>
          <w:lang w:val="en-GB"/>
        </w:rPr>
        <w:t xml:space="preserve">2.1. </w:t>
      </w:r>
      <w:r w:rsidR="00A26FFB" w:rsidRPr="00463181">
        <w:rPr>
          <w:lang w:val="en-GB"/>
        </w:rPr>
        <w:t xml:space="preserve">Study </w:t>
      </w:r>
      <w:r w:rsidR="00AE18C1" w:rsidRPr="00463181">
        <w:rPr>
          <w:lang w:val="en-GB"/>
        </w:rPr>
        <w:t>Sample</w:t>
      </w:r>
      <w:r w:rsidR="008F5B30" w:rsidRPr="00463181">
        <w:rPr>
          <w:lang w:val="en-GB"/>
        </w:rPr>
        <w:t xml:space="preserve"> </w:t>
      </w:r>
    </w:p>
    <w:p w14:paraId="28C5DD00" w14:textId="0CC77DA2" w:rsidR="008F5B30" w:rsidRPr="00463181" w:rsidRDefault="00011E4C" w:rsidP="00FB0AD1">
      <w:pPr>
        <w:pStyle w:val="MDPI31text"/>
        <w:rPr>
          <w:lang w:val="en-GB"/>
        </w:rPr>
      </w:pPr>
      <w:r>
        <w:rPr>
          <w:lang w:val="en-GB"/>
        </w:rPr>
        <w:t xml:space="preserve">The </w:t>
      </w:r>
      <w:r w:rsidRPr="00463181">
        <w:rPr>
          <w:lang w:val="en-GB"/>
        </w:rPr>
        <w:t>r</w:t>
      </w:r>
      <w:r w:rsidR="008F5B30" w:rsidRPr="00463181">
        <w:rPr>
          <w:lang w:val="en-GB"/>
        </w:rPr>
        <w:t xml:space="preserve">ecords of </w:t>
      </w:r>
      <w:r w:rsidR="00F31701" w:rsidRPr="00463181">
        <w:rPr>
          <w:lang w:val="en-GB"/>
        </w:rPr>
        <w:t xml:space="preserve">patients with </w:t>
      </w:r>
      <w:r w:rsidR="00A3696D" w:rsidRPr="00463181">
        <w:rPr>
          <w:lang w:val="en-GB"/>
        </w:rPr>
        <w:t xml:space="preserve">hip fracture </w:t>
      </w:r>
      <w:r w:rsidR="008F5B30" w:rsidRPr="00463181">
        <w:rPr>
          <w:lang w:val="en-GB"/>
        </w:rPr>
        <w:t>admitted between January 2012</w:t>
      </w:r>
      <w:r w:rsidR="00C50C77" w:rsidRPr="00463181">
        <w:rPr>
          <w:lang w:val="en-GB"/>
        </w:rPr>
        <w:t xml:space="preserve"> and </w:t>
      </w:r>
      <w:r w:rsidR="008F5B30" w:rsidRPr="00463181">
        <w:rPr>
          <w:lang w:val="en-GB"/>
        </w:rPr>
        <w:t>March 2019 were identified using the physiotherapy department’s admissions file</w:t>
      </w:r>
      <w:r>
        <w:rPr>
          <w:lang w:val="en-GB"/>
        </w:rPr>
        <w:t>s</w:t>
      </w:r>
      <w:r w:rsidR="008F5B30" w:rsidRPr="00463181">
        <w:rPr>
          <w:lang w:val="en-GB"/>
        </w:rPr>
        <w:t xml:space="preserve">. Data were collected from 56 patient records; all </w:t>
      </w:r>
      <w:r w:rsidR="00F31701" w:rsidRPr="00463181">
        <w:rPr>
          <w:lang w:val="en-GB"/>
        </w:rPr>
        <w:t xml:space="preserve">records of patients with </w:t>
      </w:r>
      <w:r w:rsidR="008F5B30" w:rsidRPr="00463181">
        <w:rPr>
          <w:lang w:val="en-GB"/>
        </w:rPr>
        <w:t>hip fracture</w:t>
      </w:r>
      <w:r>
        <w:rPr>
          <w:lang w:val="en-GB"/>
        </w:rPr>
        <w:t>s</w:t>
      </w:r>
      <w:r w:rsidR="008F5B30" w:rsidRPr="00463181">
        <w:rPr>
          <w:lang w:val="en-GB"/>
        </w:rPr>
        <w:t xml:space="preserve"> from this period were eligible.</w:t>
      </w:r>
    </w:p>
    <w:p w14:paraId="4CA37C8D" w14:textId="046EDDC7" w:rsidR="008F5B30" w:rsidRPr="00463181" w:rsidRDefault="008F5B30" w:rsidP="00FB0AD1">
      <w:pPr>
        <w:pStyle w:val="MDPI31text"/>
        <w:rPr>
          <w:lang w:val="en-GB"/>
        </w:rPr>
      </w:pPr>
      <w:r w:rsidRPr="00463181">
        <w:rPr>
          <w:lang w:val="en-GB"/>
        </w:rPr>
        <w:t xml:space="preserve">Ethical approval was </w:t>
      </w:r>
      <w:r w:rsidR="00011E4C">
        <w:rPr>
          <w:lang w:val="en-GB"/>
        </w:rPr>
        <w:t>obtained</w:t>
      </w:r>
      <w:r w:rsidR="00011E4C" w:rsidRPr="00463181">
        <w:rPr>
          <w:lang w:val="en-GB"/>
        </w:rPr>
        <w:t xml:space="preserve"> </w:t>
      </w:r>
      <w:r w:rsidRPr="00463181">
        <w:rPr>
          <w:lang w:val="en-GB"/>
        </w:rPr>
        <w:t>from the University of Southampton. Access to the records was granted by the Hospital’s Data Officer.</w:t>
      </w:r>
    </w:p>
    <w:p w14:paraId="2972E95D" w14:textId="77777777" w:rsidR="008836A4" w:rsidRDefault="008836A4" w:rsidP="00FB0AD1">
      <w:pPr>
        <w:pStyle w:val="MDPI22heading2"/>
        <w:spacing w:before="240"/>
        <w:rPr>
          <w:lang w:val="en-GB"/>
        </w:rPr>
      </w:pPr>
    </w:p>
    <w:p w14:paraId="36EE0CAF" w14:textId="6213B77C" w:rsidR="008F5B30" w:rsidRPr="00463181" w:rsidRDefault="00FB0AD1" w:rsidP="00FB0AD1">
      <w:pPr>
        <w:pStyle w:val="MDPI22heading2"/>
        <w:spacing w:before="240"/>
        <w:rPr>
          <w:lang w:val="en-GB"/>
        </w:rPr>
      </w:pPr>
      <w:r w:rsidRPr="00463181">
        <w:rPr>
          <w:lang w:val="en-GB"/>
        </w:rPr>
        <w:lastRenderedPageBreak/>
        <w:t xml:space="preserve">2.2. </w:t>
      </w:r>
      <w:r w:rsidR="008F5B30" w:rsidRPr="00463181">
        <w:rPr>
          <w:lang w:val="en-GB"/>
        </w:rPr>
        <w:t>Variables</w:t>
      </w:r>
    </w:p>
    <w:p w14:paraId="656958C8" w14:textId="02BCC81F" w:rsidR="008F5B30" w:rsidRPr="00463181" w:rsidRDefault="008F5B30" w:rsidP="00FB0AD1">
      <w:pPr>
        <w:pStyle w:val="MDPI23heading3"/>
        <w:rPr>
          <w:lang w:val="en-GB"/>
        </w:rPr>
      </w:pPr>
      <w:r w:rsidRPr="00463181">
        <w:rPr>
          <w:lang w:val="en-GB"/>
        </w:rPr>
        <w:t xml:space="preserve">Study </w:t>
      </w:r>
      <w:r w:rsidR="000946F0" w:rsidRPr="00463181">
        <w:rPr>
          <w:lang w:val="en-GB"/>
        </w:rPr>
        <w:t>Outcomes</w:t>
      </w:r>
    </w:p>
    <w:p w14:paraId="157FEE3D" w14:textId="2C3ED2BE" w:rsidR="008F5B30" w:rsidRPr="00463181" w:rsidRDefault="008F5B30" w:rsidP="00FB0AD1">
      <w:pPr>
        <w:pStyle w:val="MDPI31text"/>
        <w:rPr>
          <w:lang w:val="en-GB"/>
        </w:rPr>
      </w:pPr>
      <w:r w:rsidRPr="00463181">
        <w:rPr>
          <w:lang w:val="en-GB"/>
        </w:rPr>
        <w:t xml:space="preserve">Length of stay </w:t>
      </w:r>
      <w:r w:rsidR="00631ED4" w:rsidRPr="00463181">
        <w:rPr>
          <w:lang w:val="en-GB"/>
        </w:rPr>
        <w:t>(</w:t>
      </w:r>
      <w:proofErr w:type="spellStart"/>
      <w:r w:rsidRPr="00463181">
        <w:rPr>
          <w:lang w:val="en-GB"/>
        </w:rPr>
        <w:t>LoS</w:t>
      </w:r>
      <w:proofErr w:type="spellEnd"/>
      <w:r w:rsidR="00631ED4" w:rsidRPr="00463181">
        <w:rPr>
          <w:lang w:val="en-GB"/>
        </w:rPr>
        <w:t>)</w:t>
      </w:r>
      <w:r w:rsidR="00EE643E" w:rsidRPr="00463181">
        <w:rPr>
          <w:lang w:val="en-GB"/>
        </w:rPr>
        <w:t xml:space="preserve"> was</w:t>
      </w:r>
      <w:r w:rsidRPr="00463181">
        <w:rPr>
          <w:lang w:val="en-GB"/>
        </w:rPr>
        <w:t xml:space="preserve"> measured in calendar days. </w:t>
      </w:r>
      <w:r w:rsidR="00011E4C">
        <w:rPr>
          <w:lang w:val="en-GB"/>
        </w:rPr>
        <w:t xml:space="preserve">The </w:t>
      </w:r>
      <w:proofErr w:type="spellStart"/>
      <w:r w:rsidRPr="00463181">
        <w:rPr>
          <w:lang w:val="en-GB"/>
        </w:rPr>
        <w:t>LoS</w:t>
      </w:r>
      <w:proofErr w:type="spellEnd"/>
      <w:r w:rsidRPr="00463181">
        <w:rPr>
          <w:lang w:val="en-GB"/>
        </w:rPr>
        <w:t xml:space="preserve"> of long-stay patients was set at 120 days to reflect recommended follow-up time by NHS Trusts, believing this to be the usual recovery time</w:t>
      </w:r>
      <w:r w:rsidR="00FD5C07" w:rsidRPr="00463181">
        <w:rPr>
          <w:lang w:val="en-GB"/>
        </w:rPr>
        <w:t xml:space="preserve"> and the point at which most patients may have moved on to their long</w:t>
      </w:r>
      <w:r w:rsidR="00A74E8F" w:rsidRPr="00463181">
        <w:rPr>
          <w:lang w:val="en-GB"/>
        </w:rPr>
        <w:t>-</w:t>
      </w:r>
      <w:r w:rsidR="00FD5C07" w:rsidRPr="00463181">
        <w:rPr>
          <w:lang w:val="en-GB"/>
        </w:rPr>
        <w:t>term place of residence</w:t>
      </w:r>
      <w:r w:rsidRPr="00463181">
        <w:rPr>
          <w:lang w:val="en-GB"/>
        </w:rPr>
        <w:t xml:space="preserve"> [15]. Patients who died within this time, whilst resident, were recorded as long-</w:t>
      </w:r>
      <w:r w:rsidR="00AD2EE3" w:rsidRPr="00463181">
        <w:rPr>
          <w:lang w:val="en-GB"/>
        </w:rPr>
        <w:t>term care</w:t>
      </w:r>
      <w:r w:rsidR="00011E4C">
        <w:rPr>
          <w:lang w:val="en-GB"/>
        </w:rPr>
        <w:t>,</w:t>
      </w:r>
      <w:r w:rsidR="006D44E8" w:rsidRPr="00463181">
        <w:rPr>
          <w:lang w:val="en-GB"/>
        </w:rPr>
        <w:t xml:space="preserve"> </w:t>
      </w:r>
      <w:r w:rsidRPr="00463181">
        <w:rPr>
          <w:lang w:val="en-GB"/>
        </w:rPr>
        <w:t xml:space="preserve">but with </w:t>
      </w:r>
      <w:proofErr w:type="spellStart"/>
      <w:r w:rsidRPr="00463181">
        <w:rPr>
          <w:lang w:val="en-GB"/>
        </w:rPr>
        <w:t>LoS</w:t>
      </w:r>
      <w:proofErr w:type="spellEnd"/>
      <w:r w:rsidRPr="00463181">
        <w:rPr>
          <w:lang w:val="en-GB"/>
        </w:rPr>
        <w:t xml:space="preserve"> equal to residency.</w:t>
      </w:r>
    </w:p>
    <w:p w14:paraId="79DF71DF" w14:textId="77777777" w:rsidR="004C6E09" w:rsidRPr="00463181" w:rsidRDefault="004C6E09" w:rsidP="00FB0AD1">
      <w:pPr>
        <w:pStyle w:val="MDPI31text"/>
        <w:rPr>
          <w:lang w:val="en-GB"/>
        </w:rPr>
      </w:pPr>
    </w:p>
    <w:p w14:paraId="53F81BD8" w14:textId="6765F80F" w:rsidR="004C6E09" w:rsidRPr="00463181" w:rsidRDefault="004C6E09" w:rsidP="00FB0AD1">
      <w:pPr>
        <w:pStyle w:val="MDPI31text"/>
        <w:rPr>
          <w:lang w:val="en-GB"/>
        </w:rPr>
      </w:pPr>
      <w:r w:rsidRPr="00463181">
        <w:rPr>
          <w:lang w:val="en-GB"/>
        </w:rPr>
        <w:t>Discharge destination (DD)</w:t>
      </w:r>
      <w:r w:rsidR="00BB1A6C" w:rsidRPr="00463181">
        <w:rPr>
          <w:lang w:val="en-GB"/>
        </w:rPr>
        <w:t xml:space="preserve"> was categori</w:t>
      </w:r>
      <w:r w:rsidR="007D6902" w:rsidRPr="00463181">
        <w:rPr>
          <w:lang w:val="en-GB"/>
        </w:rPr>
        <w:t>s</w:t>
      </w:r>
      <w:r w:rsidR="00BB1A6C" w:rsidRPr="00463181">
        <w:rPr>
          <w:lang w:val="en-GB"/>
        </w:rPr>
        <w:t>ed as</w:t>
      </w:r>
      <w:r w:rsidR="006D44E8" w:rsidRPr="00463181">
        <w:rPr>
          <w:lang w:val="en-GB"/>
        </w:rPr>
        <w:t xml:space="preserve"> </w:t>
      </w:r>
      <w:r w:rsidRPr="00463181">
        <w:rPr>
          <w:lang w:val="en-GB"/>
        </w:rPr>
        <w:t>either home or long-</w:t>
      </w:r>
      <w:r w:rsidR="00715BCA" w:rsidRPr="00463181">
        <w:rPr>
          <w:lang w:val="en-GB"/>
        </w:rPr>
        <w:t>term</w:t>
      </w:r>
      <w:r w:rsidRPr="00463181">
        <w:rPr>
          <w:lang w:val="en-GB"/>
        </w:rPr>
        <w:t xml:space="preserve"> care.</w:t>
      </w:r>
    </w:p>
    <w:p w14:paraId="67E35E1E" w14:textId="33D368B9" w:rsidR="008F5B30" w:rsidRPr="00463181" w:rsidRDefault="00FB0AD1" w:rsidP="00FB0AD1">
      <w:pPr>
        <w:pStyle w:val="MDPI22heading2"/>
        <w:spacing w:before="240"/>
        <w:rPr>
          <w:lang w:val="en-GB"/>
        </w:rPr>
      </w:pPr>
      <w:r w:rsidRPr="00463181">
        <w:rPr>
          <w:lang w:val="en-GB"/>
        </w:rPr>
        <w:t xml:space="preserve">2.3. </w:t>
      </w:r>
      <w:r w:rsidR="008F5B30" w:rsidRPr="00463181">
        <w:rPr>
          <w:lang w:val="en-GB"/>
        </w:rPr>
        <w:t xml:space="preserve">Independent </w:t>
      </w:r>
      <w:r w:rsidRPr="00463181">
        <w:rPr>
          <w:lang w:val="en-GB"/>
        </w:rPr>
        <w:t>Variables</w:t>
      </w:r>
    </w:p>
    <w:p w14:paraId="189E9B70" w14:textId="51AF5AF1" w:rsidR="008F5B30" w:rsidRPr="00463181" w:rsidRDefault="008F5B30" w:rsidP="00FB0AD1">
      <w:pPr>
        <w:pStyle w:val="MDPI31text"/>
        <w:rPr>
          <w:lang w:val="en-GB"/>
        </w:rPr>
      </w:pPr>
      <w:r w:rsidRPr="00463181">
        <w:rPr>
          <w:lang w:val="en-GB"/>
        </w:rPr>
        <w:t xml:space="preserve">To address the study objectives, data on 12 demographic, medical and physical variables were collected from each set of records. These variables were from a selection thought to be potentially influential to </w:t>
      </w:r>
      <w:proofErr w:type="spellStart"/>
      <w:r w:rsidRPr="00463181">
        <w:rPr>
          <w:lang w:val="en-GB"/>
        </w:rPr>
        <w:t>LoS</w:t>
      </w:r>
      <w:proofErr w:type="spellEnd"/>
      <w:r w:rsidRPr="00463181">
        <w:rPr>
          <w:lang w:val="en-GB"/>
        </w:rPr>
        <w:t xml:space="preserve"> and/or DD, informed by a literature review and a </w:t>
      </w:r>
      <w:r w:rsidR="00011E4C" w:rsidRPr="00463181">
        <w:rPr>
          <w:lang w:val="en-GB"/>
        </w:rPr>
        <w:t>p</w:t>
      </w:r>
      <w:r w:rsidRPr="00463181">
        <w:rPr>
          <w:lang w:val="en-GB"/>
        </w:rPr>
        <w:t xml:space="preserve">atient and </w:t>
      </w:r>
      <w:r w:rsidR="00011E4C" w:rsidRPr="00463181">
        <w:rPr>
          <w:lang w:val="en-GB"/>
        </w:rPr>
        <w:t>p</w:t>
      </w:r>
      <w:r w:rsidRPr="00463181">
        <w:rPr>
          <w:lang w:val="en-GB"/>
        </w:rPr>
        <w:t xml:space="preserve">ublic </w:t>
      </w:r>
      <w:r w:rsidR="00011E4C" w:rsidRPr="00463181">
        <w:rPr>
          <w:lang w:val="en-GB"/>
        </w:rPr>
        <w:t>i</w:t>
      </w:r>
      <w:r w:rsidRPr="00463181">
        <w:rPr>
          <w:lang w:val="en-GB"/>
        </w:rPr>
        <w:t xml:space="preserve">nvolvement </w:t>
      </w:r>
      <w:r w:rsidR="00631ED4" w:rsidRPr="00463181">
        <w:rPr>
          <w:lang w:val="en-GB"/>
        </w:rPr>
        <w:t>(</w:t>
      </w:r>
      <w:r w:rsidRPr="00463181">
        <w:rPr>
          <w:lang w:val="en-GB"/>
        </w:rPr>
        <w:t>PPI</w:t>
      </w:r>
      <w:r w:rsidR="00631ED4" w:rsidRPr="00463181">
        <w:rPr>
          <w:lang w:val="en-GB"/>
        </w:rPr>
        <w:t>)</w:t>
      </w:r>
      <w:r w:rsidRPr="00463181">
        <w:rPr>
          <w:lang w:val="en-GB"/>
        </w:rPr>
        <w:t xml:space="preserve"> group discussion. Quantity was thought </w:t>
      </w:r>
      <w:r w:rsidR="00011E4C">
        <w:rPr>
          <w:lang w:val="en-GB"/>
        </w:rPr>
        <w:t xml:space="preserve">to be </w:t>
      </w:r>
      <w:r w:rsidRPr="00463181">
        <w:rPr>
          <w:lang w:val="en-GB"/>
        </w:rPr>
        <w:t xml:space="preserve">more relevant than focusing on a few key variables. Variables were selected </w:t>
      </w:r>
      <w:r w:rsidR="00011E4C">
        <w:rPr>
          <w:lang w:val="en-GB"/>
        </w:rPr>
        <w:t>on the basis of</w:t>
      </w:r>
      <w:r w:rsidRPr="00463181">
        <w:rPr>
          <w:lang w:val="en-GB"/>
        </w:rPr>
        <w:t xml:space="preserve"> data availability and attempts were made to represent each of </w:t>
      </w:r>
      <w:r w:rsidR="00011E4C">
        <w:rPr>
          <w:lang w:val="en-GB"/>
        </w:rPr>
        <w:t xml:space="preserve">the </w:t>
      </w:r>
      <w:r w:rsidRPr="00463181">
        <w:rPr>
          <w:lang w:val="en-GB"/>
        </w:rPr>
        <w:t xml:space="preserve">4 variable types thought </w:t>
      </w:r>
      <w:r w:rsidR="00011E4C">
        <w:rPr>
          <w:lang w:val="en-GB"/>
        </w:rPr>
        <w:t xml:space="preserve">to be </w:t>
      </w:r>
      <w:r w:rsidRPr="00463181">
        <w:rPr>
          <w:lang w:val="en-GB"/>
        </w:rPr>
        <w:t xml:space="preserve">important for </w:t>
      </w:r>
      <w:proofErr w:type="spellStart"/>
      <w:r w:rsidRPr="00463181">
        <w:rPr>
          <w:lang w:val="en-GB"/>
        </w:rPr>
        <w:t>LoS</w:t>
      </w:r>
      <w:proofErr w:type="spellEnd"/>
      <w:r w:rsidRPr="00463181">
        <w:rPr>
          <w:lang w:val="en-GB"/>
        </w:rPr>
        <w:t xml:space="preserve"> prediction tools [2</w:t>
      </w:r>
      <w:r w:rsidR="002D45DF" w:rsidRPr="00463181">
        <w:rPr>
          <w:lang w:val="en-GB"/>
        </w:rPr>
        <w:t>2</w:t>
      </w:r>
      <w:r w:rsidRPr="00463181">
        <w:rPr>
          <w:lang w:val="en-GB"/>
        </w:rPr>
        <w:t xml:space="preserve">]. The following data were recorded: age, gender, number of chronic comorbidities, delirium, type of fracture treatment, days between fracture </w:t>
      </w:r>
      <w:r w:rsidR="00011E4C">
        <w:rPr>
          <w:lang w:val="en-GB"/>
        </w:rPr>
        <w:t>and</w:t>
      </w:r>
      <w:r w:rsidRPr="00463181">
        <w:rPr>
          <w:lang w:val="en-GB"/>
        </w:rPr>
        <w:t xml:space="preserve"> surgery </w:t>
      </w:r>
      <w:r w:rsidR="00631ED4" w:rsidRPr="00463181">
        <w:rPr>
          <w:lang w:val="en-GB"/>
        </w:rPr>
        <w:t>(</w:t>
      </w:r>
      <w:r w:rsidRPr="00463181">
        <w:rPr>
          <w:lang w:val="en-GB"/>
        </w:rPr>
        <w:t>latency</w:t>
      </w:r>
      <w:r w:rsidR="00631ED4" w:rsidRPr="00463181">
        <w:rPr>
          <w:lang w:val="en-GB"/>
        </w:rPr>
        <w:t>)</w:t>
      </w:r>
      <w:r w:rsidRPr="00463181">
        <w:rPr>
          <w:lang w:val="en-GB"/>
        </w:rPr>
        <w:t xml:space="preserve">, days between fracture and admission to </w:t>
      </w:r>
      <w:r w:rsidR="00011E4C" w:rsidRPr="00463181">
        <w:rPr>
          <w:lang w:val="en-GB"/>
        </w:rPr>
        <w:t>h</w:t>
      </w:r>
      <w:r w:rsidRPr="00463181">
        <w:rPr>
          <w:lang w:val="en-GB"/>
        </w:rPr>
        <w:t xml:space="preserve">ospital </w:t>
      </w:r>
      <w:r w:rsidR="00631ED4" w:rsidRPr="00463181">
        <w:rPr>
          <w:lang w:val="en-GB"/>
        </w:rPr>
        <w:t>(</w:t>
      </w:r>
      <w:r w:rsidRPr="00463181">
        <w:rPr>
          <w:lang w:val="en-GB"/>
        </w:rPr>
        <w:t xml:space="preserve">acute </w:t>
      </w:r>
      <w:proofErr w:type="spellStart"/>
      <w:r w:rsidRPr="00463181">
        <w:rPr>
          <w:lang w:val="en-GB"/>
        </w:rPr>
        <w:t>LoS</w:t>
      </w:r>
      <w:proofErr w:type="spellEnd"/>
      <w:r w:rsidR="00631ED4" w:rsidRPr="00463181">
        <w:rPr>
          <w:lang w:val="en-GB"/>
        </w:rPr>
        <w:t>)</w:t>
      </w:r>
      <w:r w:rsidRPr="00463181">
        <w:rPr>
          <w:lang w:val="en-GB"/>
        </w:rPr>
        <w:t xml:space="preserve">, </w:t>
      </w:r>
      <w:r w:rsidR="00011E4C">
        <w:rPr>
          <w:lang w:val="en-GB"/>
        </w:rPr>
        <w:t xml:space="preserve">a </w:t>
      </w:r>
      <w:r w:rsidRPr="00463181">
        <w:rPr>
          <w:lang w:val="en-GB"/>
        </w:rPr>
        <w:t xml:space="preserve">Functional Independence Measure pre-fracture </w:t>
      </w:r>
      <w:r w:rsidR="00631ED4" w:rsidRPr="00463181">
        <w:rPr>
          <w:lang w:val="en-GB"/>
        </w:rPr>
        <w:t>(</w:t>
      </w:r>
      <w:proofErr w:type="spellStart"/>
      <w:r w:rsidRPr="00463181">
        <w:rPr>
          <w:lang w:val="en-GB"/>
        </w:rPr>
        <w:t>FIM</w:t>
      </w:r>
      <w:r w:rsidRPr="00463181">
        <w:rPr>
          <w:vertAlign w:val="subscript"/>
          <w:lang w:val="en-GB"/>
        </w:rPr>
        <w:t>pre</w:t>
      </w:r>
      <w:proofErr w:type="spellEnd"/>
      <w:r w:rsidRPr="00463181">
        <w:rPr>
          <w:vertAlign w:val="subscript"/>
          <w:lang w:val="en-GB"/>
        </w:rPr>
        <w:t>-fracture</w:t>
      </w:r>
      <w:r w:rsidR="00631ED4" w:rsidRPr="00463181">
        <w:rPr>
          <w:lang w:val="en-GB"/>
        </w:rPr>
        <w:t>)</w:t>
      </w:r>
      <w:r w:rsidRPr="00463181">
        <w:rPr>
          <w:lang w:val="en-GB"/>
        </w:rPr>
        <w:t xml:space="preserve"> and on admission </w:t>
      </w:r>
      <w:r w:rsidR="00631ED4" w:rsidRPr="00463181">
        <w:rPr>
          <w:lang w:val="en-GB"/>
        </w:rPr>
        <w:t>(</w:t>
      </w:r>
      <w:proofErr w:type="spellStart"/>
      <w:r w:rsidRPr="00463181">
        <w:rPr>
          <w:lang w:val="en-GB"/>
        </w:rPr>
        <w:t>FIM</w:t>
      </w:r>
      <w:r w:rsidRPr="00463181">
        <w:rPr>
          <w:vertAlign w:val="subscript"/>
          <w:lang w:val="en-GB"/>
        </w:rPr>
        <w:t>admission</w:t>
      </w:r>
      <w:proofErr w:type="spellEnd"/>
      <w:r w:rsidR="00631ED4" w:rsidRPr="00463181">
        <w:rPr>
          <w:lang w:val="en-GB"/>
        </w:rPr>
        <w:t>)</w:t>
      </w:r>
      <w:r w:rsidRPr="00463181">
        <w:rPr>
          <w:lang w:val="en-GB"/>
        </w:rPr>
        <w:t xml:space="preserve">, home support, stairs at home and number of physiotherapy sessions per week. The Functional Independence Measure </w:t>
      </w:r>
      <w:r w:rsidR="00631ED4" w:rsidRPr="00463181">
        <w:rPr>
          <w:lang w:val="en-GB"/>
        </w:rPr>
        <w:t>(</w:t>
      </w:r>
      <w:r w:rsidRPr="00463181">
        <w:rPr>
          <w:lang w:val="en-GB"/>
        </w:rPr>
        <w:t>FIM</w:t>
      </w:r>
      <w:r w:rsidR="00631ED4" w:rsidRPr="00463181">
        <w:rPr>
          <w:lang w:val="en-GB"/>
        </w:rPr>
        <w:t>)</w:t>
      </w:r>
      <w:r w:rsidRPr="00463181">
        <w:rPr>
          <w:lang w:val="en-GB"/>
        </w:rPr>
        <w:t xml:space="preserve"> is a physical ability measure, found to be valid and reliable in many conditions and settings, including </w:t>
      </w:r>
      <w:r w:rsidR="00F31701" w:rsidRPr="00463181">
        <w:rPr>
          <w:lang w:val="en-GB"/>
        </w:rPr>
        <w:t xml:space="preserve">patients with </w:t>
      </w:r>
      <w:r w:rsidRPr="00463181">
        <w:rPr>
          <w:lang w:val="en-GB"/>
        </w:rPr>
        <w:t xml:space="preserve">hip fracture in inpatient rehabilitation </w:t>
      </w:r>
      <w:r w:rsidR="008A5ECF" w:rsidRPr="00463181">
        <w:rPr>
          <w:lang w:val="en-GB"/>
        </w:rPr>
        <w:t>[25–27</w:t>
      </w:r>
      <w:r w:rsidRPr="00463181">
        <w:rPr>
          <w:lang w:val="en-GB"/>
        </w:rPr>
        <w:t>]. In th</w:t>
      </w:r>
      <w:r w:rsidR="00AA711E" w:rsidRPr="00463181">
        <w:rPr>
          <w:lang w:val="en-GB"/>
        </w:rPr>
        <w:t>e present</w:t>
      </w:r>
      <w:r w:rsidRPr="00463181">
        <w:rPr>
          <w:lang w:val="en-GB"/>
        </w:rPr>
        <w:t xml:space="preserve"> study, only the motor component was used</w:t>
      </w:r>
      <w:r w:rsidR="00011E4C">
        <w:rPr>
          <w:lang w:val="en-GB"/>
        </w:rPr>
        <w:t>,</w:t>
      </w:r>
      <w:r w:rsidRPr="00463181">
        <w:rPr>
          <w:lang w:val="en-GB"/>
        </w:rPr>
        <w:t xml:space="preserve"> as cognitive data were unavailable.</w:t>
      </w:r>
    </w:p>
    <w:p w14:paraId="17BDD8CE" w14:textId="4E43966C" w:rsidR="008F5B30" w:rsidRPr="00463181" w:rsidRDefault="004E0855" w:rsidP="004E0855">
      <w:pPr>
        <w:pStyle w:val="MDPI22heading2"/>
        <w:spacing w:before="240"/>
        <w:rPr>
          <w:lang w:val="en-GB"/>
        </w:rPr>
      </w:pPr>
      <w:r w:rsidRPr="00463181">
        <w:rPr>
          <w:lang w:val="en-GB"/>
        </w:rPr>
        <w:t xml:space="preserve">2.4. </w:t>
      </w:r>
      <w:r w:rsidR="008F5B30" w:rsidRPr="00463181">
        <w:rPr>
          <w:lang w:val="en-GB"/>
        </w:rPr>
        <w:t xml:space="preserve">Bias and </w:t>
      </w:r>
      <w:r w:rsidRPr="00463181">
        <w:rPr>
          <w:lang w:val="en-GB"/>
        </w:rPr>
        <w:t>Reliability</w:t>
      </w:r>
    </w:p>
    <w:p w14:paraId="69330464" w14:textId="4F40AA84" w:rsidR="008F5B30" w:rsidRPr="00463181" w:rsidRDefault="008F5B30" w:rsidP="002376B0">
      <w:pPr>
        <w:pStyle w:val="MDPI31text"/>
        <w:rPr>
          <w:lang w:val="en-GB"/>
        </w:rPr>
      </w:pPr>
      <w:r w:rsidRPr="00463181">
        <w:rPr>
          <w:lang w:val="en-GB"/>
        </w:rPr>
        <w:t>Various methods were employed to reduce bias and confirm reliability. The researcher could</w:t>
      </w:r>
      <w:r w:rsidR="00463181" w:rsidRPr="00463181">
        <w:rPr>
          <w:lang w:val="en-GB"/>
        </w:rPr>
        <w:t xml:space="preserve"> not</w:t>
      </w:r>
      <w:r w:rsidRPr="00463181">
        <w:rPr>
          <w:lang w:val="en-GB"/>
        </w:rPr>
        <w:t xml:space="preserve"> be blinded to outcome so, to mitigate this, </w:t>
      </w:r>
      <w:proofErr w:type="spellStart"/>
      <w:r w:rsidRPr="00463181">
        <w:rPr>
          <w:lang w:val="en-GB"/>
        </w:rPr>
        <w:t>LoS</w:t>
      </w:r>
      <w:proofErr w:type="spellEnd"/>
      <w:r w:rsidRPr="00463181">
        <w:rPr>
          <w:lang w:val="en-GB"/>
        </w:rPr>
        <w:t xml:space="preserve"> and DD were </w:t>
      </w:r>
      <w:r w:rsidR="00011E4C">
        <w:rPr>
          <w:lang w:val="en-GB"/>
        </w:rPr>
        <w:t xml:space="preserve">the </w:t>
      </w:r>
      <w:r w:rsidRPr="00463181">
        <w:rPr>
          <w:lang w:val="en-GB"/>
        </w:rPr>
        <w:t xml:space="preserve">last items collected from </w:t>
      </w:r>
      <w:r w:rsidR="00011E4C">
        <w:rPr>
          <w:lang w:val="en-GB"/>
        </w:rPr>
        <w:t xml:space="preserve">the </w:t>
      </w:r>
      <w:r w:rsidRPr="00463181">
        <w:rPr>
          <w:lang w:val="en-GB"/>
        </w:rPr>
        <w:t xml:space="preserve">archival data. Confounders were inevitable, particularly as data were collected from a </w:t>
      </w:r>
      <w:r w:rsidR="006D44E8" w:rsidRPr="00463181">
        <w:rPr>
          <w:lang w:val="en-GB"/>
        </w:rPr>
        <w:t>6.5-year</w:t>
      </w:r>
      <w:r w:rsidRPr="00463181">
        <w:rPr>
          <w:lang w:val="en-GB"/>
        </w:rPr>
        <w:t xml:space="preserve"> period and surgery/acute care was at a range of hospitals. Their influence was partially offset by including several variables.</w:t>
      </w:r>
    </w:p>
    <w:p w14:paraId="653C5AF3" w14:textId="4DC0A6F1" w:rsidR="008F5B30" w:rsidRPr="00463181" w:rsidRDefault="00011E4C" w:rsidP="002376B0">
      <w:pPr>
        <w:pStyle w:val="MDPI31text"/>
        <w:rPr>
          <w:lang w:val="en-GB"/>
        </w:rPr>
      </w:pPr>
      <w:r>
        <w:rPr>
          <w:lang w:val="en-GB"/>
        </w:rPr>
        <w:t xml:space="preserve">The </w:t>
      </w:r>
      <w:r w:rsidR="008F5B30" w:rsidRPr="00463181">
        <w:rPr>
          <w:lang w:val="en-GB"/>
        </w:rPr>
        <w:t xml:space="preserve">Functional Independence Measure </w:t>
      </w:r>
      <w:r w:rsidR="00631ED4" w:rsidRPr="00463181">
        <w:rPr>
          <w:lang w:val="en-GB"/>
        </w:rPr>
        <w:t>(</w:t>
      </w:r>
      <w:r w:rsidR="008F5B30" w:rsidRPr="00463181">
        <w:rPr>
          <w:lang w:val="en-GB"/>
        </w:rPr>
        <w:t>FIM</w:t>
      </w:r>
      <w:r w:rsidR="00631ED4" w:rsidRPr="00463181">
        <w:rPr>
          <w:lang w:val="en-GB"/>
        </w:rPr>
        <w:t>)</w:t>
      </w:r>
      <w:r w:rsidR="008F5B30" w:rsidRPr="00463181">
        <w:rPr>
          <w:lang w:val="en-GB"/>
        </w:rPr>
        <w:t xml:space="preserve"> was scored retrospectively, as it was not currently included in the initial assessment at the hospital. Self-reporting is thought </w:t>
      </w:r>
      <w:r>
        <w:rPr>
          <w:lang w:val="en-GB"/>
        </w:rPr>
        <w:t xml:space="preserve">to be </w:t>
      </w:r>
      <w:r w:rsidR="008F5B30" w:rsidRPr="00463181">
        <w:rPr>
          <w:lang w:val="en-GB"/>
        </w:rPr>
        <w:t xml:space="preserve">valid for populations without cognitive/communication deficits [28], particularly for motor score, but retrospective scoring appears </w:t>
      </w:r>
      <w:r>
        <w:rPr>
          <w:lang w:val="en-GB"/>
        </w:rPr>
        <w:t xml:space="preserve">to be </w:t>
      </w:r>
      <w:r w:rsidR="008F5B30" w:rsidRPr="00463181">
        <w:rPr>
          <w:lang w:val="en-GB"/>
        </w:rPr>
        <w:t xml:space="preserve">previously unvalidated. Therefore, inter-rater and </w:t>
      </w:r>
      <w:r w:rsidR="00463181" w:rsidRPr="00463181">
        <w:rPr>
          <w:lang w:val="en-GB"/>
        </w:rPr>
        <w:t>test–retest</w:t>
      </w:r>
      <w:r w:rsidR="008F5B30" w:rsidRPr="00463181">
        <w:rPr>
          <w:lang w:val="en-GB"/>
        </w:rPr>
        <w:t xml:space="preserve"> reliability tests using intraclass correlation coefficient</w:t>
      </w:r>
      <w:r>
        <w:rPr>
          <w:lang w:val="en-GB"/>
        </w:rPr>
        <w:t>s</w:t>
      </w:r>
      <w:r w:rsidR="008F5B30" w:rsidRPr="00463181">
        <w:rPr>
          <w:lang w:val="en-GB"/>
        </w:rPr>
        <w:t xml:space="preserve"> </w:t>
      </w:r>
      <w:r w:rsidR="00631ED4" w:rsidRPr="00463181">
        <w:rPr>
          <w:lang w:val="en-GB"/>
        </w:rPr>
        <w:t>(</w:t>
      </w:r>
      <w:r w:rsidR="008F5B30" w:rsidRPr="00463181">
        <w:rPr>
          <w:lang w:val="en-GB"/>
        </w:rPr>
        <w:t>ICC</w:t>
      </w:r>
      <w:r w:rsidR="00631ED4" w:rsidRPr="00463181">
        <w:rPr>
          <w:lang w:val="en-GB"/>
        </w:rPr>
        <w:t>)</w:t>
      </w:r>
      <w:r w:rsidR="008F5B30" w:rsidRPr="00463181">
        <w:rPr>
          <w:lang w:val="en-GB"/>
        </w:rPr>
        <w:t xml:space="preserve"> were carried out, each using 6 patient records. As FIM’s 13 variables were individually correlated, a minimum sample size of 3 was required [29]. The records were chosen randomly, taking the first 6 from an Excel </w:t>
      </w:r>
      <w:proofErr w:type="gramStart"/>
      <w:r w:rsidR="008F5B30" w:rsidRPr="00463181">
        <w:rPr>
          <w:lang w:val="en-GB"/>
        </w:rPr>
        <w:t>Rand</w:t>
      </w:r>
      <w:r w:rsidR="00631ED4" w:rsidRPr="00463181">
        <w:rPr>
          <w:lang w:val="en-GB"/>
        </w:rPr>
        <w:t>(</w:t>
      </w:r>
      <w:proofErr w:type="gramEnd"/>
      <w:r w:rsidR="00631ED4" w:rsidRPr="00463181">
        <w:rPr>
          <w:lang w:val="en-GB"/>
        </w:rPr>
        <w:t>)</w:t>
      </w:r>
      <w:r>
        <w:rPr>
          <w:lang w:val="en-GB"/>
        </w:rPr>
        <w:t>-</w:t>
      </w:r>
      <w:r w:rsidR="008F5B30" w:rsidRPr="00463181">
        <w:rPr>
          <w:lang w:val="en-GB"/>
        </w:rPr>
        <w:t xml:space="preserve">shuffled dataset. Inter-rater agreement was assessed between FIM scores of </w:t>
      </w:r>
      <w:r w:rsidR="006D44E8" w:rsidRPr="00463181">
        <w:rPr>
          <w:lang w:val="en-GB"/>
        </w:rPr>
        <w:t xml:space="preserve">the </w:t>
      </w:r>
      <w:r w:rsidR="008F5B30" w:rsidRPr="00463181">
        <w:rPr>
          <w:lang w:val="en-GB"/>
        </w:rPr>
        <w:t xml:space="preserve">researcher and 2 physiotherapy colleagues; the </w:t>
      </w:r>
      <w:r w:rsidR="00463181" w:rsidRPr="00463181">
        <w:rPr>
          <w:lang w:val="en-GB"/>
        </w:rPr>
        <w:t>test–retest</w:t>
      </w:r>
      <w:r w:rsidR="008F5B30" w:rsidRPr="00463181">
        <w:rPr>
          <w:lang w:val="en-GB"/>
        </w:rPr>
        <w:t xml:space="preserve"> scoring was performed by the researcher at a 3-month interval. An ICC &gt;</w:t>
      </w:r>
      <w:r w:rsidR="00DF5F38" w:rsidRPr="00463181">
        <w:rPr>
          <w:lang w:val="en-GB"/>
        </w:rPr>
        <w:t xml:space="preserve"> </w:t>
      </w:r>
      <w:r w:rsidR="008F5B30" w:rsidRPr="00463181">
        <w:rPr>
          <w:lang w:val="en-GB"/>
        </w:rPr>
        <w:t xml:space="preserve">0.8 indicating a very good agreement level [30] was required, </w:t>
      </w:r>
      <w:r>
        <w:rPr>
          <w:lang w:val="en-GB"/>
        </w:rPr>
        <w:t xml:space="preserve">and this was </w:t>
      </w:r>
      <w:r w:rsidR="008F5B30" w:rsidRPr="00463181">
        <w:rPr>
          <w:lang w:val="en-GB"/>
        </w:rPr>
        <w:t>chosen to reflect assumed ease of retrospective FIM scoring.</w:t>
      </w:r>
    </w:p>
    <w:p w14:paraId="728373DB" w14:textId="77A09ED4" w:rsidR="008F5B30" w:rsidRPr="00463181" w:rsidRDefault="00927047" w:rsidP="00927047">
      <w:pPr>
        <w:pStyle w:val="MDPI22heading2"/>
        <w:spacing w:before="240"/>
        <w:rPr>
          <w:lang w:val="en-GB"/>
        </w:rPr>
      </w:pPr>
      <w:r w:rsidRPr="00463181">
        <w:rPr>
          <w:lang w:val="en-GB"/>
        </w:rPr>
        <w:t xml:space="preserve">2.5. </w:t>
      </w:r>
      <w:r w:rsidR="008F5B30" w:rsidRPr="00463181">
        <w:rPr>
          <w:lang w:val="en-GB"/>
        </w:rPr>
        <w:t>Statistical Methods</w:t>
      </w:r>
    </w:p>
    <w:p w14:paraId="38009B76" w14:textId="5C2B6F77" w:rsidR="008F5B30" w:rsidRPr="00463181" w:rsidRDefault="008F5B30" w:rsidP="008807F8">
      <w:pPr>
        <w:pStyle w:val="MDPI31text"/>
        <w:rPr>
          <w:lang w:val="en-GB"/>
        </w:rPr>
      </w:pPr>
      <w:r w:rsidRPr="00463181">
        <w:rPr>
          <w:lang w:val="en-GB"/>
        </w:rPr>
        <w:t xml:space="preserve">SPSS Version 25.0 </w:t>
      </w:r>
      <w:r w:rsidR="00631ED4" w:rsidRPr="00463181">
        <w:rPr>
          <w:lang w:val="en-GB"/>
        </w:rPr>
        <w:t>(</w:t>
      </w:r>
      <w:r w:rsidRPr="00463181">
        <w:rPr>
          <w:lang w:val="en-GB"/>
        </w:rPr>
        <w:t xml:space="preserve">IBM, </w:t>
      </w:r>
      <w:r w:rsidR="0045047F" w:rsidRPr="00463181">
        <w:rPr>
          <w:lang w:val="en-GB"/>
        </w:rPr>
        <w:t xml:space="preserve">Armonk, NY, </w:t>
      </w:r>
      <w:r w:rsidRPr="00463181">
        <w:rPr>
          <w:lang w:val="en-GB"/>
        </w:rPr>
        <w:t>USA</w:t>
      </w:r>
      <w:r w:rsidR="00631ED4" w:rsidRPr="00463181">
        <w:rPr>
          <w:lang w:val="en-GB"/>
        </w:rPr>
        <w:t>)</w:t>
      </w:r>
      <w:r w:rsidRPr="00463181">
        <w:rPr>
          <w:lang w:val="en-GB"/>
        </w:rPr>
        <w:t xml:space="preserve"> was used for data analysis. Histograms </w:t>
      </w:r>
      <w:r w:rsidRPr="00463181">
        <w:rPr>
          <w:lang w:val="en-GB"/>
        </w:rPr>
        <w:t xml:space="preserve">and </w:t>
      </w:r>
      <w:r w:rsidR="00463181" w:rsidRPr="00463181">
        <w:rPr>
          <w:lang w:val="en-GB"/>
        </w:rPr>
        <w:t>Shapiro–Wilk</w:t>
      </w:r>
      <w:r w:rsidRPr="00463181">
        <w:rPr>
          <w:lang w:val="en-GB"/>
        </w:rPr>
        <w:t xml:space="preserve"> tests showed </w:t>
      </w:r>
      <w:r w:rsidR="00011E4C">
        <w:rPr>
          <w:lang w:val="en-GB"/>
        </w:rPr>
        <w:t xml:space="preserve">that </w:t>
      </w:r>
      <w:r w:rsidRPr="00463181">
        <w:rPr>
          <w:lang w:val="en-GB"/>
        </w:rPr>
        <w:t>data were not normally distributed and</w:t>
      </w:r>
      <w:r w:rsidR="00011E4C">
        <w:rPr>
          <w:lang w:val="en-GB"/>
        </w:rPr>
        <w:t>,</w:t>
      </w:r>
      <w:r w:rsidRPr="00463181">
        <w:rPr>
          <w:lang w:val="en-GB"/>
        </w:rPr>
        <w:t xml:space="preserve"> hence</w:t>
      </w:r>
      <w:r w:rsidR="00011E4C">
        <w:rPr>
          <w:lang w:val="en-GB"/>
        </w:rPr>
        <w:t>,</w:t>
      </w:r>
      <w:r w:rsidRPr="00463181">
        <w:rPr>
          <w:lang w:val="en-GB"/>
        </w:rPr>
        <w:t xml:space="preserve"> median, ranges and non-parametric tests were utilised. Relationships were examined using Spearman’s rho, </w:t>
      </w:r>
      <w:r w:rsidR="00463181" w:rsidRPr="00463181">
        <w:rPr>
          <w:lang w:val="en-GB"/>
        </w:rPr>
        <w:t>Mann–Whitney</w:t>
      </w:r>
      <w:r w:rsidRPr="00463181">
        <w:rPr>
          <w:lang w:val="en-GB"/>
        </w:rPr>
        <w:t xml:space="preserve"> U, </w:t>
      </w:r>
      <w:r w:rsidR="00463181" w:rsidRPr="00463181">
        <w:rPr>
          <w:lang w:val="en-GB"/>
        </w:rPr>
        <w:t>Kruskal</w:t>
      </w:r>
      <w:r w:rsidR="00463181" w:rsidRPr="00463181">
        <w:rPr>
          <w:lang w:val="en-GB"/>
        </w:rPr>
        <w:t>–Wallis</w:t>
      </w:r>
      <w:r w:rsidRPr="00463181">
        <w:rPr>
          <w:lang w:val="en-GB"/>
        </w:rPr>
        <w:t xml:space="preserve"> H and chi-squared tests, as appropriate for the data types. Using </w:t>
      </w:r>
      <w:r w:rsidR="00463181" w:rsidRPr="00463181">
        <w:rPr>
          <w:lang w:val="en-GB"/>
        </w:rPr>
        <w:t>Mann–Whitney</w:t>
      </w:r>
      <w:r w:rsidRPr="00463181">
        <w:rPr>
          <w:lang w:val="en-GB"/>
        </w:rPr>
        <w:t xml:space="preserve"> U to test a categorical outcome variable </w:t>
      </w:r>
      <w:r w:rsidR="00631ED4" w:rsidRPr="00463181">
        <w:rPr>
          <w:lang w:val="en-GB"/>
        </w:rPr>
        <w:t>(</w:t>
      </w:r>
      <w:r w:rsidRPr="00463181">
        <w:rPr>
          <w:lang w:val="en-GB"/>
        </w:rPr>
        <w:t>DD</w:t>
      </w:r>
      <w:r w:rsidR="00631ED4" w:rsidRPr="00463181">
        <w:rPr>
          <w:lang w:val="en-GB"/>
        </w:rPr>
        <w:t>)</w:t>
      </w:r>
      <w:r w:rsidRPr="00463181">
        <w:rPr>
          <w:lang w:val="en-GB"/>
        </w:rPr>
        <w:t xml:space="preserve"> </w:t>
      </w:r>
      <w:r w:rsidRPr="00463181">
        <w:rPr>
          <w:lang w:val="en-GB"/>
        </w:rPr>
        <w:lastRenderedPageBreak/>
        <w:t xml:space="preserve">against a continuous predictor variable </w:t>
      </w:r>
      <w:r w:rsidR="00631ED4" w:rsidRPr="00463181">
        <w:rPr>
          <w:lang w:val="en-GB"/>
        </w:rPr>
        <w:t>(</w:t>
      </w:r>
      <w:r w:rsidRPr="00463181">
        <w:rPr>
          <w:lang w:val="en-GB"/>
        </w:rPr>
        <w:t>e.g., age</w:t>
      </w:r>
      <w:r w:rsidR="00631ED4" w:rsidRPr="00463181">
        <w:rPr>
          <w:lang w:val="en-GB"/>
        </w:rPr>
        <w:t>)</w:t>
      </w:r>
      <w:r w:rsidRPr="00463181">
        <w:rPr>
          <w:lang w:val="en-GB"/>
        </w:rPr>
        <w:t xml:space="preserve"> reverses the norm but effectively showed predictor differences across the 2 DD groups.</w:t>
      </w:r>
    </w:p>
    <w:p w14:paraId="0A58BDEF" w14:textId="5982325D" w:rsidR="008F5B30" w:rsidRPr="00463181" w:rsidRDefault="008F5B30" w:rsidP="008807F8">
      <w:pPr>
        <w:pStyle w:val="MDPI31text"/>
        <w:rPr>
          <w:lang w:val="en-GB"/>
        </w:rPr>
      </w:pPr>
      <w:r w:rsidRPr="00463181">
        <w:rPr>
          <w:lang w:val="en-GB"/>
        </w:rPr>
        <w:t xml:space="preserve">Further detail was gained using odds ratios, distribution quartiles and </w:t>
      </w:r>
      <w:r w:rsidR="00463181" w:rsidRPr="00463181">
        <w:rPr>
          <w:lang w:val="en-GB"/>
        </w:rPr>
        <w:t>Kaplan–Meier</w:t>
      </w:r>
      <w:r w:rsidRPr="00463181">
        <w:rPr>
          <w:lang w:val="en-GB"/>
        </w:rPr>
        <w:t xml:space="preserve"> survivor analysis. </w:t>
      </w:r>
      <w:r w:rsidR="00463181" w:rsidRPr="00463181">
        <w:rPr>
          <w:lang w:val="en-GB"/>
        </w:rPr>
        <w:t>Kaplan–Meier</w:t>
      </w:r>
      <w:r w:rsidRPr="00463181">
        <w:rPr>
          <w:lang w:val="en-GB"/>
        </w:rPr>
        <w:t xml:space="preserve"> curves indicated </w:t>
      </w:r>
      <w:r w:rsidR="00D76A11">
        <w:rPr>
          <w:lang w:val="en-GB"/>
        </w:rPr>
        <w:t xml:space="preserve">the </w:t>
      </w:r>
      <w:r w:rsidRPr="00463181">
        <w:rPr>
          <w:lang w:val="en-GB"/>
        </w:rPr>
        <w:t xml:space="preserve">probability of not returning home, depending on </w:t>
      </w:r>
      <w:r w:rsidR="00D76A11">
        <w:rPr>
          <w:lang w:val="en-GB"/>
        </w:rPr>
        <w:t xml:space="preserve">the </w:t>
      </w:r>
      <w:r w:rsidRPr="00463181">
        <w:rPr>
          <w:lang w:val="en-GB"/>
        </w:rPr>
        <w:t xml:space="preserve">predictor variable. Variables were divided using descriptive categories </w:t>
      </w:r>
      <w:r w:rsidR="00631ED4" w:rsidRPr="00463181">
        <w:rPr>
          <w:lang w:val="en-GB"/>
        </w:rPr>
        <w:t>(</w:t>
      </w:r>
      <w:r w:rsidRPr="00463181">
        <w:rPr>
          <w:lang w:val="en-GB"/>
        </w:rPr>
        <w:t>FIM scores/</w:t>
      </w:r>
      <w:r w:rsidR="00D76A11" w:rsidRPr="00463181">
        <w:rPr>
          <w:lang w:val="en-GB"/>
        </w:rPr>
        <w:t>f</w:t>
      </w:r>
      <w:r w:rsidRPr="00463181">
        <w:rPr>
          <w:lang w:val="en-GB"/>
        </w:rPr>
        <w:t>racture treatment</w:t>
      </w:r>
      <w:r w:rsidR="00631ED4" w:rsidRPr="00463181">
        <w:rPr>
          <w:lang w:val="en-GB"/>
        </w:rPr>
        <w:t>)</w:t>
      </w:r>
      <w:r w:rsidRPr="00463181">
        <w:rPr>
          <w:lang w:val="en-GB"/>
        </w:rPr>
        <w:t xml:space="preserve"> or equal</w:t>
      </w:r>
      <w:r w:rsidR="00D76A11">
        <w:rPr>
          <w:lang w:val="en-GB"/>
        </w:rPr>
        <w:t>-</w:t>
      </w:r>
      <w:r w:rsidRPr="00463181">
        <w:rPr>
          <w:lang w:val="en-GB"/>
        </w:rPr>
        <w:t>width groups. Differences between curves, due to being non-parallel and/or crossing, were tested using a Tyrone</w:t>
      </w:r>
      <w:r w:rsidR="00D76A11">
        <w:rPr>
          <w:lang w:val="en-GB"/>
        </w:rPr>
        <w:t>–</w:t>
      </w:r>
      <w:r w:rsidRPr="00463181">
        <w:rPr>
          <w:lang w:val="en-GB"/>
        </w:rPr>
        <w:t>Ware test and</w:t>
      </w:r>
      <w:r w:rsidR="00D76A11">
        <w:rPr>
          <w:lang w:val="en-GB"/>
        </w:rPr>
        <w:t>,</w:t>
      </w:r>
      <w:r w:rsidRPr="00463181">
        <w:rPr>
          <w:lang w:val="en-GB"/>
        </w:rPr>
        <w:t xml:space="preserve"> if significant </w:t>
      </w:r>
      <w:r w:rsidR="00631ED4" w:rsidRPr="00463181">
        <w:rPr>
          <w:lang w:val="en-GB"/>
        </w:rPr>
        <w:t>(</w:t>
      </w:r>
      <w:r w:rsidRPr="00463181">
        <w:rPr>
          <w:lang w:val="en-GB"/>
        </w:rPr>
        <w:t xml:space="preserve">accepted at </w:t>
      </w:r>
      <w:r w:rsidR="007D0074" w:rsidRPr="00463181">
        <w:rPr>
          <w:i/>
          <w:lang w:val="en-GB"/>
        </w:rPr>
        <w:t xml:space="preserve">p = </w:t>
      </w:r>
      <w:r w:rsidR="007D0074" w:rsidRPr="00463181">
        <w:rPr>
          <w:lang w:val="en-GB"/>
        </w:rPr>
        <w:t>0</w:t>
      </w:r>
      <w:r w:rsidRPr="00463181">
        <w:rPr>
          <w:lang w:val="en-GB"/>
        </w:rPr>
        <w:t>.05</w:t>
      </w:r>
      <w:r w:rsidR="007D0074" w:rsidRPr="00463181">
        <w:rPr>
          <w:lang w:val="en-GB"/>
        </w:rPr>
        <w:t xml:space="preserve"> </w:t>
      </w:r>
      <w:r w:rsidRPr="00463181">
        <w:rPr>
          <w:lang w:val="en-GB"/>
        </w:rPr>
        <w:t>÷</w:t>
      </w:r>
      <w:r w:rsidR="007D0074" w:rsidRPr="00463181">
        <w:rPr>
          <w:lang w:val="en-GB"/>
        </w:rPr>
        <w:t xml:space="preserve"> </w:t>
      </w:r>
      <w:r w:rsidRPr="00463181">
        <w:rPr>
          <w:lang w:val="en-GB"/>
        </w:rPr>
        <w:t>number of factors</w:t>
      </w:r>
      <w:r w:rsidR="00631ED4" w:rsidRPr="00463181">
        <w:rPr>
          <w:lang w:val="en-GB"/>
        </w:rPr>
        <w:t>)</w:t>
      </w:r>
      <w:r w:rsidRPr="00463181">
        <w:rPr>
          <w:lang w:val="en-GB"/>
        </w:rPr>
        <w:t xml:space="preserve">, underwent </w:t>
      </w:r>
      <w:r w:rsidR="0076256A" w:rsidRPr="00463181">
        <w:rPr>
          <w:lang w:val="en-GB"/>
        </w:rPr>
        <w:t xml:space="preserve">pairwise </w:t>
      </w:r>
      <w:r w:rsidRPr="00463181">
        <w:rPr>
          <w:lang w:val="en-GB"/>
        </w:rPr>
        <w:t>log</w:t>
      </w:r>
      <w:r w:rsidR="0076256A" w:rsidRPr="00463181">
        <w:rPr>
          <w:lang w:val="en-GB"/>
        </w:rPr>
        <w:t>-</w:t>
      </w:r>
      <w:r w:rsidRPr="00463181">
        <w:rPr>
          <w:lang w:val="en-GB"/>
        </w:rPr>
        <w:t>rank comparisons.</w:t>
      </w:r>
    </w:p>
    <w:p w14:paraId="097B38EB" w14:textId="21FDC82C" w:rsidR="008F5B30" w:rsidRPr="00463181" w:rsidRDefault="008807F8" w:rsidP="008807F8">
      <w:pPr>
        <w:pStyle w:val="MDPI21heading1"/>
        <w:rPr>
          <w:lang w:val="en-GB"/>
        </w:rPr>
      </w:pPr>
      <w:r w:rsidRPr="00463181">
        <w:rPr>
          <w:lang w:val="en-GB"/>
        </w:rPr>
        <w:t xml:space="preserve">3. </w:t>
      </w:r>
      <w:r w:rsidR="008F5B30" w:rsidRPr="00463181">
        <w:rPr>
          <w:lang w:val="en-GB"/>
        </w:rPr>
        <w:t>Results</w:t>
      </w:r>
    </w:p>
    <w:p w14:paraId="57434099" w14:textId="25BE2015" w:rsidR="008F5B30" w:rsidRPr="00463181" w:rsidRDefault="008807F8" w:rsidP="008807F8">
      <w:pPr>
        <w:pStyle w:val="MDPI22heading2"/>
        <w:rPr>
          <w:lang w:val="en-GB"/>
        </w:rPr>
      </w:pPr>
      <w:r w:rsidRPr="00463181">
        <w:rPr>
          <w:lang w:val="en-GB"/>
        </w:rPr>
        <w:t xml:space="preserve">3.1. </w:t>
      </w:r>
      <w:r w:rsidR="008F5B30" w:rsidRPr="00463181">
        <w:rPr>
          <w:lang w:val="en-GB"/>
        </w:rPr>
        <w:t xml:space="preserve">Sample </w:t>
      </w:r>
      <w:r w:rsidRPr="00463181">
        <w:rPr>
          <w:lang w:val="en-GB"/>
        </w:rPr>
        <w:t>Characteristics</w:t>
      </w:r>
    </w:p>
    <w:p w14:paraId="4A121462" w14:textId="72D3102B" w:rsidR="008F5B30" w:rsidRPr="00463181" w:rsidRDefault="008F5B30" w:rsidP="004A6E5B">
      <w:pPr>
        <w:pStyle w:val="MDPI31text"/>
        <w:rPr>
          <w:lang w:val="en-GB"/>
        </w:rPr>
      </w:pPr>
      <w:r w:rsidRPr="00463181">
        <w:rPr>
          <w:lang w:val="en-GB"/>
        </w:rPr>
        <w:t xml:space="preserve">Table 1 outlines </w:t>
      </w:r>
      <w:r w:rsidR="00D76A11">
        <w:rPr>
          <w:lang w:val="en-GB"/>
        </w:rPr>
        <w:t xml:space="preserve">the </w:t>
      </w:r>
      <w:r w:rsidRPr="00463181">
        <w:rPr>
          <w:lang w:val="en-GB"/>
        </w:rPr>
        <w:t xml:space="preserve">sample characteristics, including median and ranges. Of particular relevance was that 82% returned home, </w:t>
      </w:r>
      <w:r w:rsidR="00D76A11">
        <w:rPr>
          <w:lang w:val="en-GB"/>
        </w:rPr>
        <w:t xml:space="preserve">following an </w:t>
      </w:r>
      <w:r w:rsidRPr="00463181">
        <w:rPr>
          <w:lang w:val="en-GB"/>
        </w:rPr>
        <w:t xml:space="preserve">average </w:t>
      </w:r>
      <w:proofErr w:type="spellStart"/>
      <w:r w:rsidRPr="00463181">
        <w:rPr>
          <w:lang w:val="en-GB"/>
        </w:rPr>
        <w:t>LoS</w:t>
      </w:r>
      <w:proofErr w:type="spellEnd"/>
      <w:r w:rsidRPr="00463181">
        <w:rPr>
          <w:lang w:val="en-GB"/>
        </w:rPr>
        <w:t xml:space="preserve"> </w:t>
      </w:r>
      <w:r w:rsidR="00D76A11">
        <w:rPr>
          <w:lang w:val="en-GB"/>
        </w:rPr>
        <w:t xml:space="preserve">of </w:t>
      </w:r>
      <w:r w:rsidRPr="00463181">
        <w:rPr>
          <w:lang w:val="en-GB"/>
        </w:rPr>
        <w:t xml:space="preserve">20.5 days. Of the 28% </w:t>
      </w:r>
      <w:r w:rsidR="00D76A11">
        <w:rPr>
          <w:lang w:val="en-GB"/>
        </w:rPr>
        <w:t xml:space="preserve">of </w:t>
      </w:r>
      <w:r w:rsidRPr="00463181">
        <w:rPr>
          <w:lang w:val="en-GB"/>
        </w:rPr>
        <w:t xml:space="preserve">men and 14% </w:t>
      </w:r>
      <w:r w:rsidR="00D76A11">
        <w:rPr>
          <w:lang w:val="en-GB"/>
        </w:rPr>
        <w:t xml:space="preserve">of </w:t>
      </w:r>
      <w:r w:rsidRPr="00463181">
        <w:rPr>
          <w:lang w:val="en-GB"/>
        </w:rPr>
        <w:t>women who did</w:t>
      </w:r>
      <w:r w:rsidR="00463181" w:rsidRPr="00463181">
        <w:rPr>
          <w:lang w:val="en-GB"/>
        </w:rPr>
        <w:t xml:space="preserve"> not</w:t>
      </w:r>
      <w:r w:rsidRPr="00463181">
        <w:rPr>
          <w:lang w:val="en-GB"/>
        </w:rPr>
        <w:t xml:space="preserve"> return home, 33% </w:t>
      </w:r>
      <w:r w:rsidR="00631ED4" w:rsidRPr="00463181">
        <w:rPr>
          <w:lang w:val="en-GB"/>
        </w:rPr>
        <w:t>(</w:t>
      </w:r>
      <w:r w:rsidRPr="00463181">
        <w:rPr>
          <w:lang w:val="en-GB"/>
        </w:rPr>
        <w:t xml:space="preserve">6.5% of </w:t>
      </w:r>
      <w:r w:rsidR="00D76A11">
        <w:rPr>
          <w:lang w:val="en-GB"/>
        </w:rPr>
        <w:t xml:space="preserve">the </w:t>
      </w:r>
      <w:r w:rsidRPr="00463181">
        <w:rPr>
          <w:lang w:val="en-GB"/>
        </w:rPr>
        <w:t>total</w:t>
      </w:r>
      <w:r w:rsidR="00631ED4" w:rsidRPr="00463181">
        <w:rPr>
          <w:lang w:val="en-GB"/>
        </w:rPr>
        <w:t>)</w:t>
      </w:r>
      <w:r w:rsidRPr="00463181">
        <w:rPr>
          <w:lang w:val="en-GB"/>
        </w:rPr>
        <w:t xml:space="preserve"> died within the first 2 months and the rest remained as long-term residents.</w:t>
      </w:r>
    </w:p>
    <w:p w14:paraId="32A4D589" w14:textId="730C2EF5" w:rsidR="008F5B30" w:rsidRPr="00463181" w:rsidRDefault="004D729D" w:rsidP="004D729D">
      <w:pPr>
        <w:pStyle w:val="MDPI41tablecaption"/>
        <w:rPr>
          <w:lang w:val="en-GB"/>
        </w:rPr>
      </w:pPr>
      <w:r w:rsidRPr="00463181">
        <w:rPr>
          <w:b/>
          <w:lang w:val="en-GB"/>
        </w:rPr>
        <w:t xml:space="preserve">Table 1. </w:t>
      </w:r>
      <w:r w:rsidR="008F5B30" w:rsidRPr="00463181">
        <w:rPr>
          <w:lang w:val="en-GB"/>
        </w:rPr>
        <w:t>Characteristics of study sample.</w:t>
      </w:r>
    </w:p>
    <w:tbl>
      <w:tblPr>
        <w:tblW w:w="8165" w:type="dxa"/>
        <w:tblInd w:w="2608" w:type="dxa"/>
        <w:tblBorders>
          <w:top w:val="single" w:sz="4" w:space="0" w:color="000000"/>
          <w:left w:val="nil"/>
          <w:bottom w:val="single" w:sz="4" w:space="0" w:color="000000"/>
          <w:right w:val="nil"/>
          <w:insideH w:val="nil"/>
          <w:insideV w:val="nil"/>
        </w:tblBorders>
        <w:tblLayout w:type="fixed"/>
        <w:tblCellMar>
          <w:left w:w="0" w:type="dxa"/>
          <w:right w:w="0" w:type="dxa"/>
        </w:tblCellMar>
        <w:tblLook w:val="0600" w:firstRow="0" w:lastRow="0" w:firstColumn="0" w:lastColumn="0" w:noHBand="1" w:noVBand="1"/>
      </w:tblPr>
      <w:tblGrid>
        <w:gridCol w:w="3346"/>
        <w:gridCol w:w="1134"/>
        <w:gridCol w:w="1413"/>
        <w:gridCol w:w="2272"/>
      </w:tblGrid>
      <w:tr w:rsidR="00056784" w:rsidRPr="00463181" w14:paraId="1405C668" w14:textId="77777777" w:rsidTr="00A52E83">
        <w:tc>
          <w:tcPr>
            <w:tcW w:w="3346" w:type="dxa"/>
            <w:tcBorders>
              <w:top w:val="single" w:sz="8" w:space="0" w:color="auto"/>
              <w:left w:val="nil"/>
              <w:bottom w:val="single" w:sz="4" w:space="0" w:color="000000"/>
              <w:right w:val="nil"/>
            </w:tcBorders>
            <w:shd w:val="clear" w:color="auto" w:fill="auto"/>
            <w:vAlign w:val="center"/>
          </w:tcPr>
          <w:p w14:paraId="78A0ABC1" w14:textId="77777777" w:rsidR="008F5B30" w:rsidRPr="00463181" w:rsidRDefault="008F5B30" w:rsidP="004D729D">
            <w:pPr>
              <w:autoSpaceDE w:val="0"/>
              <w:autoSpaceDN w:val="0"/>
              <w:adjustRightInd w:val="0"/>
              <w:snapToGrid w:val="0"/>
              <w:spacing w:line="240" w:lineRule="auto"/>
              <w:jc w:val="center"/>
              <w:rPr>
                <w:b/>
                <w:color w:val="auto"/>
                <w:lang w:val="en-GB"/>
              </w:rPr>
            </w:pPr>
            <w:r w:rsidRPr="00463181">
              <w:rPr>
                <w:b/>
                <w:color w:val="auto"/>
                <w:lang w:val="en-GB"/>
              </w:rPr>
              <w:t>Variable</w:t>
            </w:r>
          </w:p>
        </w:tc>
        <w:tc>
          <w:tcPr>
            <w:tcW w:w="1134" w:type="dxa"/>
            <w:tcBorders>
              <w:top w:val="single" w:sz="8" w:space="0" w:color="auto"/>
              <w:left w:val="nil"/>
              <w:bottom w:val="single" w:sz="4" w:space="0" w:color="000000"/>
              <w:right w:val="nil"/>
            </w:tcBorders>
            <w:shd w:val="clear" w:color="auto" w:fill="auto"/>
            <w:vAlign w:val="center"/>
          </w:tcPr>
          <w:p w14:paraId="46E9F3CA" w14:textId="39B6FCD2" w:rsidR="008F5B30" w:rsidRPr="00463181" w:rsidRDefault="008F5B30" w:rsidP="004D729D">
            <w:pPr>
              <w:autoSpaceDE w:val="0"/>
              <w:autoSpaceDN w:val="0"/>
              <w:adjustRightInd w:val="0"/>
              <w:snapToGrid w:val="0"/>
              <w:spacing w:line="240" w:lineRule="auto"/>
              <w:jc w:val="center"/>
              <w:rPr>
                <w:b/>
                <w:color w:val="auto"/>
                <w:lang w:val="en-GB"/>
              </w:rPr>
            </w:pPr>
            <w:r w:rsidRPr="00463181">
              <w:rPr>
                <w:b/>
                <w:color w:val="auto"/>
                <w:lang w:val="en-GB"/>
              </w:rPr>
              <w:t>All</w:t>
            </w:r>
          </w:p>
        </w:tc>
        <w:tc>
          <w:tcPr>
            <w:tcW w:w="1413" w:type="dxa"/>
            <w:tcBorders>
              <w:top w:val="single" w:sz="8" w:space="0" w:color="auto"/>
              <w:left w:val="nil"/>
              <w:bottom w:val="single" w:sz="4" w:space="0" w:color="000000"/>
              <w:right w:val="nil"/>
            </w:tcBorders>
            <w:shd w:val="clear" w:color="auto" w:fill="auto"/>
            <w:vAlign w:val="center"/>
          </w:tcPr>
          <w:p w14:paraId="183A5CC9" w14:textId="1D82B06D" w:rsidR="008F5B30" w:rsidRPr="00463181" w:rsidRDefault="008F5B30" w:rsidP="004D729D">
            <w:pPr>
              <w:autoSpaceDE w:val="0"/>
              <w:autoSpaceDN w:val="0"/>
              <w:adjustRightInd w:val="0"/>
              <w:snapToGrid w:val="0"/>
              <w:spacing w:line="240" w:lineRule="auto"/>
              <w:jc w:val="center"/>
              <w:rPr>
                <w:b/>
                <w:color w:val="auto"/>
                <w:lang w:val="en-GB"/>
              </w:rPr>
            </w:pPr>
            <w:r w:rsidRPr="00463181">
              <w:rPr>
                <w:b/>
                <w:color w:val="auto"/>
                <w:lang w:val="en-GB"/>
              </w:rPr>
              <w:t xml:space="preserve">Home </w:t>
            </w:r>
            <w:r w:rsidR="00631ED4" w:rsidRPr="00463181">
              <w:rPr>
                <w:b/>
                <w:color w:val="auto"/>
                <w:lang w:val="en-GB"/>
              </w:rPr>
              <w:t>(</w:t>
            </w:r>
            <w:r w:rsidRPr="00463181">
              <w:rPr>
                <w:b/>
                <w:color w:val="auto"/>
                <w:lang w:val="en-GB"/>
              </w:rPr>
              <w:t>D</w:t>
            </w:r>
            <w:r w:rsidR="007D0074" w:rsidRPr="00463181">
              <w:rPr>
                <w:b/>
                <w:color w:val="auto"/>
                <w:lang w:val="en-GB"/>
              </w:rPr>
              <w:t>D = 1</w:t>
            </w:r>
            <w:r w:rsidR="00631ED4" w:rsidRPr="00463181">
              <w:rPr>
                <w:b/>
                <w:color w:val="auto"/>
                <w:lang w:val="en-GB"/>
              </w:rPr>
              <w:t>)</w:t>
            </w:r>
          </w:p>
        </w:tc>
        <w:tc>
          <w:tcPr>
            <w:tcW w:w="2272" w:type="dxa"/>
            <w:tcBorders>
              <w:top w:val="single" w:sz="8" w:space="0" w:color="auto"/>
              <w:left w:val="nil"/>
              <w:bottom w:val="single" w:sz="4" w:space="0" w:color="000000"/>
              <w:right w:val="nil"/>
            </w:tcBorders>
            <w:shd w:val="clear" w:color="auto" w:fill="auto"/>
            <w:vAlign w:val="center"/>
          </w:tcPr>
          <w:p w14:paraId="12063AAD" w14:textId="7DA54907" w:rsidR="008F5B30" w:rsidRPr="00463181" w:rsidRDefault="008F5B30" w:rsidP="004D729D">
            <w:pPr>
              <w:autoSpaceDE w:val="0"/>
              <w:autoSpaceDN w:val="0"/>
              <w:adjustRightInd w:val="0"/>
              <w:snapToGrid w:val="0"/>
              <w:spacing w:line="240" w:lineRule="auto"/>
              <w:jc w:val="center"/>
              <w:rPr>
                <w:b/>
                <w:color w:val="auto"/>
                <w:lang w:val="en-GB"/>
              </w:rPr>
            </w:pPr>
            <w:r w:rsidRPr="00463181">
              <w:rPr>
                <w:b/>
                <w:color w:val="auto"/>
                <w:lang w:val="en-GB"/>
              </w:rPr>
              <w:t>Long-</w:t>
            </w:r>
            <w:r w:rsidR="009F1373" w:rsidRPr="00463181">
              <w:rPr>
                <w:b/>
                <w:color w:val="auto"/>
                <w:lang w:val="en-GB"/>
              </w:rPr>
              <w:t>term care</w:t>
            </w:r>
            <w:r w:rsidRPr="00463181">
              <w:rPr>
                <w:b/>
                <w:color w:val="auto"/>
                <w:lang w:val="en-GB"/>
              </w:rPr>
              <w:t xml:space="preserve"> </w:t>
            </w:r>
            <w:r w:rsidR="00631ED4" w:rsidRPr="00463181">
              <w:rPr>
                <w:b/>
                <w:color w:val="auto"/>
                <w:lang w:val="en-GB"/>
              </w:rPr>
              <w:t>(</w:t>
            </w:r>
            <w:r w:rsidRPr="00463181">
              <w:rPr>
                <w:b/>
                <w:color w:val="auto"/>
                <w:lang w:val="en-GB"/>
              </w:rPr>
              <w:t>D</w:t>
            </w:r>
            <w:r w:rsidR="007D0074" w:rsidRPr="00463181">
              <w:rPr>
                <w:b/>
                <w:color w:val="auto"/>
                <w:lang w:val="en-GB"/>
              </w:rPr>
              <w:t>D = 2</w:t>
            </w:r>
            <w:r w:rsidR="00631ED4" w:rsidRPr="00463181">
              <w:rPr>
                <w:b/>
                <w:color w:val="auto"/>
                <w:lang w:val="en-GB"/>
              </w:rPr>
              <w:t>)</w:t>
            </w:r>
          </w:p>
        </w:tc>
      </w:tr>
      <w:tr w:rsidR="00056784" w:rsidRPr="00463181" w14:paraId="280F0AD9" w14:textId="77777777" w:rsidTr="00A52E83">
        <w:tc>
          <w:tcPr>
            <w:tcW w:w="3346" w:type="dxa"/>
            <w:tcBorders>
              <w:top w:val="single" w:sz="4" w:space="0" w:color="000000"/>
              <w:left w:val="nil"/>
              <w:bottom w:val="single" w:sz="4" w:space="0" w:color="000000"/>
              <w:right w:val="nil"/>
            </w:tcBorders>
            <w:shd w:val="clear" w:color="auto" w:fill="auto"/>
            <w:vAlign w:val="center"/>
          </w:tcPr>
          <w:p w14:paraId="3C99492A" w14:textId="24A8E4F5"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Age, median </w:t>
            </w:r>
            <w:r w:rsidR="00631ED4" w:rsidRPr="00463181">
              <w:rPr>
                <w:color w:val="auto"/>
                <w:lang w:val="en-GB"/>
              </w:rPr>
              <w:t>(</w:t>
            </w:r>
            <w:r w:rsidRPr="00463181">
              <w:rPr>
                <w:color w:val="auto"/>
                <w:lang w:val="en-GB"/>
              </w:rPr>
              <w:t>IQR</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5F98B1BD" w14:textId="68DD24EA"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87.0</w:t>
            </w:r>
          </w:p>
        </w:tc>
        <w:tc>
          <w:tcPr>
            <w:tcW w:w="1413" w:type="dxa"/>
            <w:tcBorders>
              <w:top w:val="single" w:sz="4" w:space="0" w:color="000000"/>
              <w:left w:val="nil"/>
              <w:bottom w:val="single" w:sz="4" w:space="0" w:color="000000"/>
              <w:right w:val="nil"/>
            </w:tcBorders>
            <w:shd w:val="clear" w:color="auto" w:fill="auto"/>
            <w:vAlign w:val="center"/>
          </w:tcPr>
          <w:p w14:paraId="7FE7858F" w14:textId="2225A8F2"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86.0 </w:t>
            </w:r>
            <w:r w:rsidR="00631ED4" w:rsidRPr="00463181">
              <w:rPr>
                <w:color w:val="auto"/>
                <w:lang w:val="en-GB"/>
              </w:rPr>
              <w:t>(</w:t>
            </w:r>
            <w:r w:rsidRPr="00463181">
              <w:rPr>
                <w:color w:val="auto"/>
                <w:lang w:val="en-GB"/>
              </w:rPr>
              <w:t>8</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6FFBC059" w14:textId="36B83644"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92.5 </w:t>
            </w:r>
            <w:r w:rsidR="00631ED4" w:rsidRPr="00463181">
              <w:rPr>
                <w:color w:val="auto"/>
                <w:lang w:val="en-GB"/>
              </w:rPr>
              <w:t>(</w:t>
            </w:r>
            <w:r w:rsidRPr="00463181">
              <w:rPr>
                <w:color w:val="auto"/>
                <w:lang w:val="en-GB"/>
              </w:rPr>
              <w:t>5.3</w:t>
            </w:r>
            <w:r w:rsidR="00631ED4" w:rsidRPr="00463181">
              <w:rPr>
                <w:color w:val="auto"/>
                <w:lang w:val="en-GB"/>
              </w:rPr>
              <w:t>)</w:t>
            </w:r>
          </w:p>
        </w:tc>
      </w:tr>
      <w:tr w:rsidR="00056784" w:rsidRPr="00463181" w14:paraId="0A4E7FCE" w14:textId="77777777" w:rsidTr="00A52E83">
        <w:tc>
          <w:tcPr>
            <w:tcW w:w="3346" w:type="dxa"/>
            <w:tcBorders>
              <w:top w:val="single" w:sz="4" w:space="0" w:color="000000"/>
              <w:left w:val="nil"/>
              <w:bottom w:val="single" w:sz="4" w:space="0" w:color="000000"/>
              <w:right w:val="nil"/>
            </w:tcBorders>
            <w:shd w:val="clear" w:color="auto" w:fill="auto"/>
            <w:vAlign w:val="center"/>
          </w:tcPr>
          <w:p w14:paraId="641FEBB0" w14:textId="7E644CA4"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Gender, </w:t>
            </w:r>
            <w:r w:rsidR="007D0074" w:rsidRPr="00463181">
              <w:rPr>
                <w:i/>
                <w:color w:val="auto"/>
                <w:lang w:val="en-GB"/>
              </w:rPr>
              <w:t xml:space="preserve">n </w:t>
            </w:r>
            <w:r w:rsidR="007D0074" w:rsidRPr="00463181">
              <w:rPr>
                <w:color w:val="auto"/>
                <w:lang w:val="en-GB"/>
              </w:rPr>
              <w:t>=</w:t>
            </w:r>
            <w:r w:rsidR="007D0074" w:rsidRPr="00463181">
              <w:rPr>
                <w:i/>
                <w:color w:val="auto"/>
                <w:lang w:val="en-GB"/>
              </w:rPr>
              <w:t xml:space="preserve"> </w:t>
            </w:r>
            <w:r w:rsidR="007D0074" w:rsidRPr="00463181">
              <w:rPr>
                <w:color w:val="auto"/>
                <w:lang w:val="en-GB"/>
              </w:rPr>
              <w:t>m</w:t>
            </w:r>
            <w:r w:rsidRPr="00463181">
              <w:rPr>
                <w:color w:val="auto"/>
                <w:lang w:val="en-GB"/>
              </w:rPr>
              <w:t xml:space="preserve">ale </w:t>
            </w:r>
            <w:r w:rsidR="00631ED4" w:rsidRPr="00463181">
              <w:rPr>
                <w:color w:val="auto"/>
                <w:lang w:val="en-GB"/>
              </w:rPr>
              <w:t>(</w:t>
            </w:r>
            <w:r w:rsidRPr="00463181">
              <w:rPr>
                <w:color w:val="auto"/>
                <w:lang w:val="en-GB"/>
              </w:rPr>
              <w:t>%</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37A1BC5E" w14:textId="087BC346"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18 </w:t>
            </w:r>
            <w:r w:rsidR="00631ED4" w:rsidRPr="00463181">
              <w:rPr>
                <w:color w:val="auto"/>
                <w:lang w:val="en-GB"/>
              </w:rPr>
              <w:t>(</w:t>
            </w:r>
            <w:r w:rsidRPr="00463181">
              <w:rPr>
                <w:color w:val="auto"/>
                <w:lang w:val="en-GB"/>
              </w:rPr>
              <w:t>29.5</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52C43E89" w14:textId="19CF09F5"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12 </w:t>
            </w:r>
            <w:r w:rsidR="00631ED4" w:rsidRPr="00463181">
              <w:rPr>
                <w:color w:val="auto"/>
                <w:lang w:val="en-GB"/>
              </w:rPr>
              <w:t>(</w:t>
            </w:r>
            <w:r w:rsidRPr="00463181">
              <w:rPr>
                <w:color w:val="auto"/>
                <w:lang w:val="en-GB"/>
              </w:rPr>
              <w:t>66.7</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4D9FE62F" w14:textId="023141DC"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6 </w:t>
            </w:r>
            <w:r w:rsidR="00631ED4" w:rsidRPr="00463181">
              <w:rPr>
                <w:color w:val="auto"/>
                <w:lang w:val="en-GB"/>
              </w:rPr>
              <w:t>(</w:t>
            </w:r>
            <w:r w:rsidRPr="00463181">
              <w:rPr>
                <w:color w:val="auto"/>
                <w:lang w:val="en-GB"/>
              </w:rPr>
              <w:t>50</w:t>
            </w:r>
            <w:r w:rsidR="00631ED4" w:rsidRPr="00463181">
              <w:rPr>
                <w:color w:val="auto"/>
                <w:lang w:val="en-GB"/>
              </w:rPr>
              <w:t>)</w:t>
            </w:r>
          </w:p>
        </w:tc>
      </w:tr>
      <w:tr w:rsidR="00056784" w:rsidRPr="00463181" w14:paraId="2FD8EFC2" w14:textId="77777777" w:rsidTr="00A52E83">
        <w:tc>
          <w:tcPr>
            <w:tcW w:w="3346" w:type="dxa"/>
            <w:tcBorders>
              <w:top w:val="single" w:sz="4" w:space="0" w:color="000000"/>
              <w:left w:val="nil"/>
              <w:bottom w:val="single" w:sz="4" w:space="0" w:color="000000"/>
              <w:right w:val="nil"/>
            </w:tcBorders>
            <w:shd w:val="clear" w:color="auto" w:fill="auto"/>
            <w:vAlign w:val="center"/>
          </w:tcPr>
          <w:p w14:paraId="0089B671" w14:textId="3C0DD91C"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Comorbidities, median </w:t>
            </w:r>
            <w:r w:rsidR="00631ED4" w:rsidRPr="00463181">
              <w:rPr>
                <w:color w:val="auto"/>
                <w:lang w:val="en-GB"/>
              </w:rPr>
              <w:t>(</w:t>
            </w:r>
            <w:r w:rsidRPr="00463181">
              <w:rPr>
                <w:color w:val="auto"/>
                <w:lang w:val="en-GB"/>
              </w:rPr>
              <w:t>IQR</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3E28ADCB" w14:textId="5124B68B"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4.0</w:t>
            </w:r>
          </w:p>
        </w:tc>
        <w:tc>
          <w:tcPr>
            <w:tcW w:w="1413" w:type="dxa"/>
            <w:tcBorders>
              <w:top w:val="single" w:sz="4" w:space="0" w:color="000000"/>
              <w:left w:val="nil"/>
              <w:bottom w:val="single" w:sz="4" w:space="0" w:color="000000"/>
              <w:right w:val="nil"/>
            </w:tcBorders>
            <w:shd w:val="clear" w:color="auto" w:fill="auto"/>
            <w:vAlign w:val="center"/>
          </w:tcPr>
          <w:p w14:paraId="39A02D0C" w14:textId="36BDCD27"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3.0 </w:t>
            </w:r>
            <w:r w:rsidR="00631ED4" w:rsidRPr="00463181">
              <w:rPr>
                <w:color w:val="auto"/>
                <w:lang w:val="en-GB"/>
              </w:rPr>
              <w:t>(</w:t>
            </w:r>
            <w:r w:rsidRPr="00463181">
              <w:rPr>
                <w:color w:val="auto"/>
                <w:lang w:val="en-GB"/>
              </w:rPr>
              <w:t>2.25</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50ED04AB" w14:textId="7332E2BC"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5.5 </w:t>
            </w:r>
            <w:r w:rsidR="00631ED4" w:rsidRPr="00463181">
              <w:rPr>
                <w:color w:val="auto"/>
                <w:lang w:val="en-GB"/>
              </w:rPr>
              <w:t>(</w:t>
            </w:r>
            <w:r w:rsidRPr="00463181">
              <w:rPr>
                <w:color w:val="auto"/>
                <w:lang w:val="en-GB"/>
              </w:rPr>
              <w:t>3</w:t>
            </w:r>
            <w:r w:rsidR="00631ED4" w:rsidRPr="00463181">
              <w:rPr>
                <w:color w:val="auto"/>
                <w:lang w:val="en-GB"/>
              </w:rPr>
              <w:t>)</w:t>
            </w:r>
          </w:p>
        </w:tc>
      </w:tr>
      <w:tr w:rsidR="00056784" w:rsidRPr="00463181" w14:paraId="74BB2F80" w14:textId="77777777" w:rsidTr="00A52E83">
        <w:tc>
          <w:tcPr>
            <w:tcW w:w="3346" w:type="dxa"/>
            <w:tcBorders>
              <w:top w:val="single" w:sz="4" w:space="0" w:color="000000"/>
              <w:left w:val="nil"/>
              <w:bottom w:val="single" w:sz="4" w:space="0" w:color="000000"/>
              <w:right w:val="nil"/>
            </w:tcBorders>
            <w:shd w:val="clear" w:color="auto" w:fill="auto"/>
            <w:vAlign w:val="center"/>
          </w:tcPr>
          <w:p w14:paraId="3072C4F0" w14:textId="4E53C735"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Del</w:t>
            </w:r>
            <w:r w:rsidR="00AD2EE3" w:rsidRPr="00463181">
              <w:rPr>
                <w:color w:val="auto"/>
                <w:lang w:val="en-GB"/>
              </w:rPr>
              <w:t>i</w:t>
            </w:r>
            <w:r w:rsidRPr="00463181">
              <w:rPr>
                <w:color w:val="auto"/>
                <w:lang w:val="en-GB"/>
              </w:rPr>
              <w:t xml:space="preserve">rium, </w:t>
            </w:r>
            <w:r w:rsidR="007D0074" w:rsidRPr="00463181">
              <w:rPr>
                <w:i/>
                <w:color w:val="auto"/>
                <w:lang w:val="en-GB"/>
              </w:rPr>
              <w:t xml:space="preserve">n </w:t>
            </w:r>
            <w:r w:rsidR="007D0074" w:rsidRPr="00463181">
              <w:rPr>
                <w:color w:val="auto"/>
                <w:lang w:val="en-GB"/>
              </w:rPr>
              <w:t>=</w:t>
            </w:r>
            <w:r w:rsidR="007D0074" w:rsidRPr="00463181">
              <w:rPr>
                <w:i/>
                <w:color w:val="auto"/>
                <w:lang w:val="en-GB"/>
              </w:rPr>
              <w:t xml:space="preserve"> </w:t>
            </w:r>
            <w:r w:rsidR="007D0074" w:rsidRPr="00463181">
              <w:rPr>
                <w:color w:val="auto"/>
                <w:lang w:val="en-GB"/>
              </w:rPr>
              <w:t>Y</w:t>
            </w:r>
            <w:r w:rsidRPr="00463181">
              <w:rPr>
                <w:color w:val="auto"/>
                <w:lang w:val="en-GB"/>
              </w:rPr>
              <w:t xml:space="preserve">es </w:t>
            </w:r>
            <w:r w:rsidR="00631ED4" w:rsidRPr="00463181">
              <w:rPr>
                <w:color w:val="auto"/>
                <w:lang w:val="en-GB"/>
              </w:rPr>
              <w:t>(</w:t>
            </w:r>
            <w:r w:rsidRPr="00463181">
              <w:rPr>
                <w:color w:val="auto"/>
                <w:lang w:val="en-GB"/>
              </w:rPr>
              <w:t>%</w:t>
            </w:r>
            <w:r w:rsidR="00631ED4" w:rsidRPr="00463181">
              <w:rPr>
                <w:color w:val="auto"/>
                <w:lang w:val="en-GB"/>
              </w:rPr>
              <w:t>)</w:t>
            </w:r>
            <w:r w:rsidRPr="00463181">
              <w:rPr>
                <w:color w:val="auto"/>
                <w:lang w:val="en-GB"/>
              </w:rPr>
              <w:t xml:space="preserve"> </w:t>
            </w:r>
          </w:p>
        </w:tc>
        <w:tc>
          <w:tcPr>
            <w:tcW w:w="1134" w:type="dxa"/>
            <w:tcBorders>
              <w:top w:val="single" w:sz="4" w:space="0" w:color="000000"/>
              <w:left w:val="nil"/>
              <w:bottom w:val="single" w:sz="4" w:space="0" w:color="000000"/>
              <w:right w:val="nil"/>
            </w:tcBorders>
            <w:shd w:val="clear" w:color="auto" w:fill="auto"/>
            <w:vAlign w:val="center"/>
          </w:tcPr>
          <w:p w14:paraId="3DF9EE66" w14:textId="0E9A5111"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11 </w:t>
            </w:r>
            <w:r w:rsidR="00631ED4" w:rsidRPr="00463181">
              <w:rPr>
                <w:color w:val="auto"/>
                <w:lang w:val="en-GB"/>
              </w:rPr>
              <w:t>(</w:t>
            </w:r>
            <w:r w:rsidRPr="00463181">
              <w:rPr>
                <w:color w:val="auto"/>
                <w:lang w:val="en-GB"/>
              </w:rPr>
              <w:t>18</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383B9646" w14:textId="2A742025"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6</w:t>
            </w:r>
          </w:p>
        </w:tc>
        <w:tc>
          <w:tcPr>
            <w:tcW w:w="2272" w:type="dxa"/>
            <w:tcBorders>
              <w:top w:val="single" w:sz="4" w:space="0" w:color="000000"/>
              <w:left w:val="nil"/>
              <w:bottom w:val="single" w:sz="4" w:space="0" w:color="000000"/>
              <w:right w:val="nil"/>
            </w:tcBorders>
            <w:shd w:val="clear" w:color="auto" w:fill="auto"/>
            <w:vAlign w:val="center"/>
          </w:tcPr>
          <w:p w14:paraId="6100BF63" w14:textId="183279D8"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5</w:t>
            </w:r>
          </w:p>
        </w:tc>
      </w:tr>
      <w:tr w:rsidR="00056784" w:rsidRPr="00463181" w14:paraId="3AAA0F16" w14:textId="77777777" w:rsidTr="00A52E83">
        <w:tc>
          <w:tcPr>
            <w:tcW w:w="3346" w:type="dxa"/>
            <w:tcBorders>
              <w:top w:val="single" w:sz="4" w:space="0" w:color="000000"/>
              <w:left w:val="nil"/>
              <w:bottom w:val="single" w:sz="4" w:space="0" w:color="000000"/>
              <w:right w:val="nil"/>
            </w:tcBorders>
            <w:shd w:val="clear" w:color="auto" w:fill="auto"/>
            <w:vAlign w:val="center"/>
          </w:tcPr>
          <w:p w14:paraId="4C1A28FA" w14:textId="7A4ED252"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Fracture treatment, </w:t>
            </w:r>
            <w:r w:rsidR="00631ED4" w:rsidRPr="00463181">
              <w:rPr>
                <w:i/>
                <w:color w:val="auto"/>
                <w:lang w:val="en-GB"/>
              </w:rPr>
              <w:t>n</w:t>
            </w:r>
            <w:r w:rsidRPr="00463181">
              <w:rPr>
                <w:color w:val="auto"/>
                <w:lang w:val="en-GB"/>
              </w:rPr>
              <w:t xml:space="preserve"> </w:t>
            </w:r>
            <w:r w:rsidR="00631ED4" w:rsidRPr="00463181">
              <w:rPr>
                <w:color w:val="auto"/>
                <w:lang w:val="en-GB"/>
              </w:rPr>
              <w:t>(</w:t>
            </w:r>
            <w:r w:rsidRPr="00463181">
              <w:rPr>
                <w:color w:val="auto"/>
                <w:lang w:val="en-GB"/>
              </w:rPr>
              <w:t>%</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22A2D2D1" w14:textId="77777777" w:rsidR="008F5B30" w:rsidRPr="00463181" w:rsidRDefault="008F5B30" w:rsidP="004D729D">
            <w:pPr>
              <w:autoSpaceDE w:val="0"/>
              <w:autoSpaceDN w:val="0"/>
              <w:adjustRightInd w:val="0"/>
              <w:snapToGrid w:val="0"/>
              <w:spacing w:line="240" w:lineRule="auto"/>
              <w:jc w:val="center"/>
              <w:rPr>
                <w:color w:val="auto"/>
                <w:lang w:val="en-GB"/>
              </w:rPr>
            </w:pPr>
          </w:p>
        </w:tc>
        <w:tc>
          <w:tcPr>
            <w:tcW w:w="1413" w:type="dxa"/>
            <w:tcBorders>
              <w:top w:val="single" w:sz="4" w:space="0" w:color="000000"/>
              <w:left w:val="nil"/>
              <w:bottom w:val="single" w:sz="4" w:space="0" w:color="000000"/>
              <w:right w:val="nil"/>
            </w:tcBorders>
            <w:shd w:val="clear" w:color="auto" w:fill="auto"/>
            <w:vAlign w:val="center"/>
          </w:tcPr>
          <w:p w14:paraId="5B7E6727" w14:textId="77777777" w:rsidR="008F5B30" w:rsidRPr="00463181" w:rsidRDefault="008F5B30" w:rsidP="004D729D">
            <w:pPr>
              <w:autoSpaceDE w:val="0"/>
              <w:autoSpaceDN w:val="0"/>
              <w:adjustRightInd w:val="0"/>
              <w:snapToGrid w:val="0"/>
              <w:spacing w:line="240" w:lineRule="auto"/>
              <w:jc w:val="center"/>
              <w:rPr>
                <w:color w:val="auto"/>
                <w:lang w:val="en-GB"/>
              </w:rPr>
            </w:pPr>
          </w:p>
        </w:tc>
        <w:tc>
          <w:tcPr>
            <w:tcW w:w="2272" w:type="dxa"/>
            <w:tcBorders>
              <w:top w:val="single" w:sz="4" w:space="0" w:color="000000"/>
              <w:left w:val="nil"/>
              <w:bottom w:val="single" w:sz="4" w:space="0" w:color="000000"/>
              <w:right w:val="nil"/>
            </w:tcBorders>
            <w:shd w:val="clear" w:color="auto" w:fill="auto"/>
            <w:vAlign w:val="center"/>
          </w:tcPr>
          <w:p w14:paraId="1B482B19" w14:textId="77777777" w:rsidR="008F5B30" w:rsidRPr="00463181" w:rsidRDefault="008F5B30" w:rsidP="004D729D">
            <w:pPr>
              <w:autoSpaceDE w:val="0"/>
              <w:autoSpaceDN w:val="0"/>
              <w:adjustRightInd w:val="0"/>
              <w:snapToGrid w:val="0"/>
              <w:spacing w:line="240" w:lineRule="auto"/>
              <w:jc w:val="center"/>
              <w:rPr>
                <w:color w:val="auto"/>
                <w:lang w:val="en-GB"/>
              </w:rPr>
            </w:pPr>
          </w:p>
        </w:tc>
      </w:tr>
      <w:tr w:rsidR="00056784" w:rsidRPr="00463181" w14:paraId="7AB69A7A" w14:textId="77777777" w:rsidTr="00A52E83">
        <w:tc>
          <w:tcPr>
            <w:tcW w:w="3346" w:type="dxa"/>
            <w:tcBorders>
              <w:top w:val="single" w:sz="4" w:space="0" w:color="000000"/>
              <w:left w:val="nil"/>
              <w:bottom w:val="single" w:sz="4" w:space="0" w:color="000000"/>
              <w:right w:val="nil"/>
            </w:tcBorders>
            <w:shd w:val="clear" w:color="auto" w:fill="auto"/>
            <w:vAlign w:val="center"/>
          </w:tcPr>
          <w:p w14:paraId="291190E4" w14:textId="3CE79B1C"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Fixation</w:t>
            </w:r>
          </w:p>
        </w:tc>
        <w:tc>
          <w:tcPr>
            <w:tcW w:w="1134" w:type="dxa"/>
            <w:tcBorders>
              <w:top w:val="single" w:sz="4" w:space="0" w:color="000000"/>
              <w:left w:val="nil"/>
              <w:bottom w:val="single" w:sz="4" w:space="0" w:color="000000"/>
              <w:right w:val="nil"/>
            </w:tcBorders>
            <w:shd w:val="clear" w:color="auto" w:fill="auto"/>
            <w:vAlign w:val="center"/>
          </w:tcPr>
          <w:p w14:paraId="21F042C3" w14:textId="71BA2E97"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12 </w:t>
            </w:r>
            <w:r w:rsidR="00631ED4" w:rsidRPr="00463181">
              <w:rPr>
                <w:color w:val="auto"/>
                <w:lang w:val="en-GB"/>
              </w:rPr>
              <w:t>(</w:t>
            </w:r>
            <w:r w:rsidRPr="00463181">
              <w:rPr>
                <w:color w:val="auto"/>
                <w:lang w:val="en-GB"/>
              </w:rPr>
              <w:t>19.7</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193DF4B4" w14:textId="4401F027"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10 </w:t>
            </w:r>
            <w:r w:rsidR="00631ED4" w:rsidRPr="00463181">
              <w:rPr>
                <w:color w:val="auto"/>
                <w:lang w:val="en-GB"/>
              </w:rPr>
              <w:t>(</w:t>
            </w:r>
            <w:r w:rsidRPr="00463181">
              <w:rPr>
                <w:color w:val="auto"/>
                <w:lang w:val="en-GB"/>
              </w:rPr>
              <w:t>20.4</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78E16A44" w14:textId="0AEE4DFF"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 </w:t>
            </w:r>
            <w:r w:rsidR="00631ED4" w:rsidRPr="00463181">
              <w:rPr>
                <w:color w:val="auto"/>
                <w:lang w:val="en-GB"/>
              </w:rPr>
              <w:t>(</w:t>
            </w:r>
            <w:r w:rsidRPr="00463181">
              <w:rPr>
                <w:color w:val="auto"/>
                <w:lang w:val="en-GB"/>
              </w:rPr>
              <w:t>16.7</w:t>
            </w:r>
            <w:r w:rsidR="00631ED4" w:rsidRPr="00463181">
              <w:rPr>
                <w:color w:val="auto"/>
                <w:lang w:val="en-GB"/>
              </w:rPr>
              <w:t>)</w:t>
            </w:r>
          </w:p>
        </w:tc>
      </w:tr>
      <w:tr w:rsidR="00056784" w:rsidRPr="00463181" w14:paraId="7D45E9DB" w14:textId="77777777" w:rsidTr="00A52E83">
        <w:tc>
          <w:tcPr>
            <w:tcW w:w="3346" w:type="dxa"/>
            <w:tcBorders>
              <w:top w:val="single" w:sz="4" w:space="0" w:color="000000"/>
              <w:left w:val="nil"/>
              <w:bottom w:val="single" w:sz="4" w:space="0" w:color="000000"/>
              <w:right w:val="nil"/>
            </w:tcBorders>
            <w:shd w:val="clear" w:color="auto" w:fill="auto"/>
            <w:vAlign w:val="center"/>
          </w:tcPr>
          <w:p w14:paraId="4A512A30" w14:textId="1C365CD0"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Mobile fixation</w:t>
            </w:r>
          </w:p>
        </w:tc>
        <w:tc>
          <w:tcPr>
            <w:tcW w:w="1134" w:type="dxa"/>
            <w:tcBorders>
              <w:top w:val="single" w:sz="4" w:space="0" w:color="000000"/>
              <w:left w:val="nil"/>
              <w:bottom w:val="single" w:sz="4" w:space="0" w:color="000000"/>
              <w:right w:val="nil"/>
            </w:tcBorders>
            <w:shd w:val="clear" w:color="auto" w:fill="auto"/>
            <w:vAlign w:val="center"/>
          </w:tcPr>
          <w:p w14:paraId="26CC549F" w14:textId="7F4413D7"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20 </w:t>
            </w:r>
            <w:r w:rsidR="00631ED4" w:rsidRPr="00463181">
              <w:rPr>
                <w:color w:val="auto"/>
                <w:lang w:val="en-GB"/>
              </w:rPr>
              <w:t>(</w:t>
            </w:r>
            <w:r w:rsidRPr="00463181">
              <w:rPr>
                <w:color w:val="auto"/>
                <w:lang w:val="en-GB"/>
              </w:rPr>
              <w:t>32.8</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07D721CB" w14:textId="1966D14D"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16 </w:t>
            </w:r>
            <w:r w:rsidR="00631ED4" w:rsidRPr="00463181">
              <w:rPr>
                <w:color w:val="auto"/>
                <w:lang w:val="en-GB"/>
              </w:rPr>
              <w:t>(</w:t>
            </w:r>
            <w:r w:rsidRPr="00463181">
              <w:rPr>
                <w:color w:val="auto"/>
                <w:lang w:val="en-GB"/>
              </w:rPr>
              <w:t>32.7</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63382DE7" w14:textId="385AB569"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4 </w:t>
            </w:r>
            <w:r w:rsidR="00631ED4" w:rsidRPr="00463181">
              <w:rPr>
                <w:color w:val="auto"/>
                <w:lang w:val="en-GB"/>
              </w:rPr>
              <w:t>(</w:t>
            </w:r>
            <w:r w:rsidRPr="00463181">
              <w:rPr>
                <w:color w:val="auto"/>
                <w:lang w:val="en-GB"/>
              </w:rPr>
              <w:t>33.3</w:t>
            </w:r>
            <w:r w:rsidR="00631ED4" w:rsidRPr="00463181">
              <w:rPr>
                <w:color w:val="auto"/>
                <w:lang w:val="en-GB"/>
              </w:rPr>
              <w:t>)</w:t>
            </w:r>
          </w:p>
        </w:tc>
      </w:tr>
      <w:tr w:rsidR="00056784" w:rsidRPr="00463181" w14:paraId="718CF85B" w14:textId="77777777" w:rsidTr="00A52E83">
        <w:tc>
          <w:tcPr>
            <w:tcW w:w="3346" w:type="dxa"/>
            <w:tcBorders>
              <w:top w:val="single" w:sz="4" w:space="0" w:color="000000"/>
              <w:left w:val="nil"/>
              <w:bottom w:val="single" w:sz="4" w:space="0" w:color="000000"/>
              <w:right w:val="nil"/>
            </w:tcBorders>
            <w:shd w:val="clear" w:color="auto" w:fill="auto"/>
            <w:vAlign w:val="center"/>
          </w:tcPr>
          <w:p w14:paraId="7E2968D2" w14:textId="6C9350A8"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Arthroplasty</w:t>
            </w:r>
          </w:p>
        </w:tc>
        <w:tc>
          <w:tcPr>
            <w:tcW w:w="1134" w:type="dxa"/>
            <w:tcBorders>
              <w:top w:val="single" w:sz="4" w:space="0" w:color="000000"/>
              <w:left w:val="nil"/>
              <w:bottom w:val="single" w:sz="4" w:space="0" w:color="000000"/>
              <w:right w:val="nil"/>
            </w:tcBorders>
            <w:shd w:val="clear" w:color="auto" w:fill="auto"/>
            <w:vAlign w:val="center"/>
          </w:tcPr>
          <w:p w14:paraId="15A740A5" w14:textId="6215F425"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27 </w:t>
            </w:r>
            <w:r w:rsidR="00631ED4" w:rsidRPr="00463181">
              <w:rPr>
                <w:color w:val="auto"/>
                <w:lang w:val="en-GB"/>
              </w:rPr>
              <w:t>(</w:t>
            </w:r>
            <w:r w:rsidRPr="00463181">
              <w:rPr>
                <w:color w:val="auto"/>
                <w:lang w:val="en-GB"/>
              </w:rPr>
              <w:t>44.3</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4C67B343" w14:textId="1878353E"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22 </w:t>
            </w:r>
            <w:r w:rsidR="00631ED4" w:rsidRPr="00463181">
              <w:rPr>
                <w:color w:val="auto"/>
                <w:lang w:val="en-GB"/>
              </w:rPr>
              <w:t>(</w:t>
            </w:r>
            <w:r w:rsidRPr="00463181">
              <w:rPr>
                <w:color w:val="auto"/>
                <w:lang w:val="en-GB"/>
              </w:rPr>
              <w:t>44.9</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4154E975" w14:textId="6D6AE186"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5 </w:t>
            </w:r>
            <w:r w:rsidR="00631ED4" w:rsidRPr="00463181">
              <w:rPr>
                <w:color w:val="auto"/>
                <w:lang w:val="en-GB"/>
              </w:rPr>
              <w:t>(</w:t>
            </w:r>
            <w:r w:rsidRPr="00463181">
              <w:rPr>
                <w:color w:val="auto"/>
                <w:lang w:val="en-GB"/>
              </w:rPr>
              <w:t>41.7</w:t>
            </w:r>
            <w:r w:rsidR="00631ED4" w:rsidRPr="00463181">
              <w:rPr>
                <w:color w:val="auto"/>
                <w:lang w:val="en-GB"/>
              </w:rPr>
              <w:t>)</w:t>
            </w:r>
          </w:p>
        </w:tc>
      </w:tr>
      <w:tr w:rsidR="00056784" w:rsidRPr="00463181" w14:paraId="5AD4BC97" w14:textId="77777777" w:rsidTr="00A52E83">
        <w:tc>
          <w:tcPr>
            <w:tcW w:w="3346" w:type="dxa"/>
            <w:tcBorders>
              <w:top w:val="single" w:sz="4" w:space="0" w:color="000000"/>
              <w:left w:val="nil"/>
              <w:bottom w:val="single" w:sz="4" w:space="0" w:color="000000"/>
              <w:right w:val="nil"/>
            </w:tcBorders>
            <w:shd w:val="clear" w:color="auto" w:fill="auto"/>
            <w:vAlign w:val="center"/>
          </w:tcPr>
          <w:p w14:paraId="4820A681" w14:textId="6A8A269A"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Conservative</w:t>
            </w:r>
          </w:p>
        </w:tc>
        <w:tc>
          <w:tcPr>
            <w:tcW w:w="1134" w:type="dxa"/>
            <w:tcBorders>
              <w:top w:val="single" w:sz="4" w:space="0" w:color="000000"/>
              <w:left w:val="nil"/>
              <w:bottom w:val="single" w:sz="4" w:space="0" w:color="000000"/>
              <w:right w:val="nil"/>
            </w:tcBorders>
            <w:shd w:val="clear" w:color="auto" w:fill="auto"/>
            <w:vAlign w:val="center"/>
          </w:tcPr>
          <w:p w14:paraId="27A08EFD" w14:textId="16EECC07"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 </w:t>
            </w:r>
            <w:r w:rsidR="00631ED4" w:rsidRPr="00463181">
              <w:rPr>
                <w:color w:val="auto"/>
                <w:lang w:val="en-GB"/>
              </w:rPr>
              <w:t>(</w:t>
            </w:r>
            <w:r w:rsidRPr="00463181">
              <w:rPr>
                <w:color w:val="auto"/>
                <w:lang w:val="en-GB"/>
              </w:rPr>
              <w:t>3.3</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559A3782" w14:textId="569F3CD3"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 </w:t>
            </w:r>
            <w:r w:rsidR="00631ED4" w:rsidRPr="00463181">
              <w:rPr>
                <w:color w:val="auto"/>
                <w:lang w:val="en-GB"/>
              </w:rPr>
              <w:t>(</w:t>
            </w:r>
            <w:r w:rsidRPr="00463181">
              <w:rPr>
                <w:color w:val="auto"/>
                <w:lang w:val="en-GB"/>
              </w:rPr>
              <w:t>2.0</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18504787" w14:textId="75C04D85"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 </w:t>
            </w:r>
            <w:r w:rsidR="00631ED4" w:rsidRPr="00463181">
              <w:rPr>
                <w:color w:val="auto"/>
                <w:lang w:val="en-GB"/>
              </w:rPr>
              <w:t>(</w:t>
            </w:r>
            <w:r w:rsidRPr="00463181">
              <w:rPr>
                <w:color w:val="auto"/>
                <w:lang w:val="en-GB"/>
              </w:rPr>
              <w:t>8.3</w:t>
            </w:r>
            <w:r w:rsidR="00631ED4" w:rsidRPr="00463181">
              <w:rPr>
                <w:color w:val="auto"/>
                <w:lang w:val="en-GB"/>
              </w:rPr>
              <w:t>)</w:t>
            </w:r>
          </w:p>
        </w:tc>
      </w:tr>
      <w:tr w:rsidR="00056784" w:rsidRPr="00463181" w14:paraId="2250184D" w14:textId="77777777" w:rsidTr="00A52E83">
        <w:tc>
          <w:tcPr>
            <w:tcW w:w="3346" w:type="dxa"/>
            <w:tcBorders>
              <w:top w:val="single" w:sz="4" w:space="0" w:color="000000"/>
              <w:left w:val="nil"/>
              <w:bottom w:val="single" w:sz="4" w:space="0" w:color="000000"/>
              <w:right w:val="nil"/>
            </w:tcBorders>
            <w:shd w:val="clear" w:color="auto" w:fill="auto"/>
            <w:vAlign w:val="center"/>
          </w:tcPr>
          <w:p w14:paraId="2E53CFB0" w14:textId="3D6B1A6D"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Latency, median </w:t>
            </w:r>
            <w:r w:rsidR="00631ED4" w:rsidRPr="00463181">
              <w:rPr>
                <w:color w:val="auto"/>
                <w:lang w:val="en-GB"/>
              </w:rPr>
              <w:t>(</w:t>
            </w:r>
            <w:r w:rsidRPr="00463181">
              <w:rPr>
                <w:color w:val="auto"/>
                <w:lang w:val="en-GB"/>
              </w:rPr>
              <w:t>IQR</w:t>
            </w:r>
            <w:r w:rsidR="00631ED4" w:rsidRPr="00463181">
              <w:rPr>
                <w:color w:val="auto"/>
                <w:lang w:val="en-GB"/>
              </w:rPr>
              <w:t>)</w:t>
            </w:r>
            <w:r w:rsidR="00071B09" w:rsidRPr="00463181">
              <w:rPr>
                <w:color w:val="auto"/>
                <w:lang w:val="en-GB"/>
              </w:rPr>
              <w:t xml:space="preserve"> </w:t>
            </w:r>
            <w:r w:rsidRPr="00463181">
              <w:rPr>
                <w:color w:val="auto"/>
                <w:lang w:val="en-GB"/>
              </w:rPr>
              <w:br/>
            </w:r>
            <w:r w:rsidR="00631ED4" w:rsidRPr="00463181">
              <w:rPr>
                <w:color w:val="auto"/>
                <w:lang w:val="en-GB"/>
              </w:rPr>
              <w:t>(</w:t>
            </w:r>
            <w:r w:rsidRPr="00463181">
              <w:rPr>
                <w:color w:val="auto"/>
                <w:lang w:val="en-GB"/>
              </w:rPr>
              <w:t>days fracture to treatment</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60535CD1" w14:textId="693AFC52"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1.0 </w:t>
            </w:r>
            <w:r w:rsidR="00631ED4" w:rsidRPr="00463181">
              <w:rPr>
                <w:color w:val="auto"/>
                <w:lang w:val="en-GB"/>
              </w:rPr>
              <w:t>(</w:t>
            </w:r>
            <w:r w:rsidRPr="00463181">
              <w:rPr>
                <w:color w:val="auto"/>
                <w:lang w:val="en-GB"/>
              </w:rPr>
              <w:t>1.0</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791C9B82" w14:textId="35ED586C"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1.0 </w:t>
            </w:r>
            <w:r w:rsidR="00631ED4" w:rsidRPr="00463181">
              <w:rPr>
                <w:color w:val="auto"/>
                <w:lang w:val="en-GB"/>
              </w:rPr>
              <w:t>(</w:t>
            </w:r>
            <w:r w:rsidRPr="00463181">
              <w:rPr>
                <w:color w:val="auto"/>
                <w:lang w:val="en-GB"/>
              </w:rPr>
              <w:t>1.0</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5986C568" w14:textId="1E2B148E"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2.0 </w:t>
            </w:r>
            <w:r w:rsidR="00631ED4" w:rsidRPr="00463181">
              <w:rPr>
                <w:color w:val="auto"/>
                <w:lang w:val="en-GB"/>
              </w:rPr>
              <w:t>(</w:t>
            </w:r>
            <w:r w:rsidRPr="00463181">
              <w:rPr>
                <w:color w:val="auto"/>
                <w:lang w:val="en-GB"/>
              </w:rPr>
              <w:t>7.0</w:t>
            </w:r>
            <w:r w:rsidR="00631ED4" w:rsidRPr="00463181">
              <w:rPr>
                <w:color w:val="auto"/>
                <w:lang w:val="en-GB"/>
              </w:rPr>
              <w:t>)</w:t>
            </w:r>
          </w:p>
        </w:tc>
      </w:tr>
      <w:tr w:rsidR="00056784" w:rsidRPr="00463181" w14:paraId="79744C87" w14:textId="77777777" w:rsidTr="00A52E83">
        <w:tc>
          <w:tcPr>
            <w:tcW w:w="3346" w:type="dxa"/>
            <w:tcBorders>
              <w:top w:val="single" w:sz="4" w:space="0" w:color="000000"/>
              <w:left w:val="nil"/>
              <w:bottom w:val="single" w:sz="4" w:space="0" w:color="000000"/>
              <w:right w:val="nil"/>
            </w:tcBorders>
            <w:shd w:val="clear" w:color="auto" w:fill="auto"/>
            <w:vAlign w:val="center"/>
          </w:tcPr>
          <w:p w14:paraId="75C0FC90" w14:textId="75E57EAA"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LoS</w:t>
            </w:r>
            <w:r w:rsidRPr="00463181">
              <w:rPr>
                <w:color w:val="auto"/>
                <w:szCs w:val="14"/>
                <w:vertAlign w:val="subscript"/>
                <w:lang w:val="en-GB"/>
              </w:rPr>
              <w:t>acute</w:t>
            </w:r>
            <w:r w:rsidRPr="00463181">
              <w:rPr>
                <w:color w:val="auto"/>
                <w:lang w:val="en-GB"/>
              </w:rPr>
              <w:t xml:space="preserve">, median </w:t>
            </w:r>
            <w:r w:rsidR="00631ED4" w:rsidRPr="00463181">
              <w:rPr>
                <w:color w:val="auto"/>
                <w:lang w:val="en-GB"/>
              </w:rPr>
              <w:t>(</w:t>
            </w:r>
            <w:r w:rsidRPr="00463181">
              <w:rPr>
                <w:color w:val="auto"/>
                <w:lang w:val="en-GB"/>
              </w:rPr>
              <w:t>IQR</w:t>
            </w:r>
            <w:r w:rsidR="00631ED4" w:rsidRPr="00463181">
              <w:rPr>
                <w:color w:val="auto"/>
                <w:lang w:val="en-GB"/>
              </w:rPr>
              <w:t>)</w:t>
            </w:r>
            <w:r w:rsidRPr="00463181">
              <w:rPr>
                <w:color w:val="auto"/>
                <w:lang w:val="en-GB"/>
              </w:rPr>
              <w:t xml:space="preserve"> </w:t>
            </w:r>
          </w:p>
        </w:tc>
        <w:tc>
          <w:tcPr>
            <w:tcW w:w="1134" w:type="dxa"/>
            <w:tcBorders>
              <w:top w:val="single" w:sz="4" w:space="0" w:color="000000"/>
              <w:left w:val="nil"/>
              <w:bottom w:val="single" w:sz="4" w:space="0" w:color="000000"/>
              <w:right w:val="nil"/>
            </w:tcBorders>
            <w:shd w:val="clear" w:color="auto" w:fill="auto"/>
            <w:vAlign w:val="center"/>
          </w:tcPr>
          <w:p w14:paraId="07A6222B" w14:textId="5CF97644"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15.0 </w:t>
            </w:r>
            <w:r w:rsidR="00631ED4" w:rsidRPr="00463181">
              <w:rPr>
                <w:color w:val="auto"/>
                <w:lang w:val="en-GB"/>
              </w:rPr>
              <w:t>(</w:t>
            </w:r>
            <w:r w:rsidRPr="00463181">
              <w:rPr>
                <w:color w:val="auto"/>
                <w:lang w:val="en-GB"/>
              </w:rPr>
              <w:t>10.5</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0B7976DC" w14:textId="6D66050B"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15.0 </w:t>
            </w:r>
            <w:r w:rsidR="00631ED4" w:rsidRPr="00463181">
              <w:rPr>
                <w:color w:val="auto"/>
                <w:lang w:val="en-GB"/>
              </w:rPr>
              <w:t>(</w:t>
            </w:r>
            <w:r w:rsidRPr="00463181">
              <w:rPr>
                <w:color w:val="auto"/>
                <w:lang w:val="en-GB"/>
              </w:rPr>
              <w:t>9.5</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4DD181FB" w14:textId="2C0D881A"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19.5 </w:t>
            </w:r>
            <w:r w:rsidR="00631ED4" w:rsidRPr="00463181">
              <w:rPr>
                <w:color w:val="auto"/>
                <w:lang w:val="en-GB"/>
              </w:rPr>
              <w:t>(</w:t>
            </w:r>
            <w:r w:rsidRPr="00463181">
              <w:rPr>
                <w:color w:val="auto"/>
                <w:lang w:val="en-GB"/>
              </w:rPr>
              <w:t>25.5</w:t>
            </w:r>
            <w:r w:rsidR="00631ED4" w:rsidRPr="00463181">
              <w:rPr>
                <w:color w:val="auto"/>
                <w:lang w:val="en-GB"/>
              </w:rPr>
              <w:t>)</w:t>
            </w:r>
          </w:p>
        </w:tc>
      </w:tr>
      <w:tr w:rsidR="00056784" w:rsidRPr="00463181" w14:paraId="0AC30E37" w14:textId="77777777" w:rsidTr="00A52E83">
        <w:tc>
          <w:tcPr>
            <w:tcW w:w="3346" w:type="dxa"/>
            <w:tcBorders>
              <w:top w:val="single" w:sz="4" w:space="0" w:color="000000"/>
              <w:left w:val="nil"/>
              <w:bottom w:val="single" w:sz="4" w:space="0" w:color="000000"/>
              <w:right w:val="nil"/>
            </w:tcBorders>
            <w:shd w:val="clear" w:color="auto" w:fill="auto"/>
            <w:vAlign w:val="center"/>
          </w:tcPr>
          <w:p w14:paraId="7DA8C8C8" w14:textId="50E1AF73"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FIM</w:t>
            </w:r>
            <w:r w:rsidRPr="00463181">
              <w:rPr>
                <w:color w:val="auto"/>
                <w:szCs w:val="14"/>
                <w:vertAlign w:val="subscript"/>
                <w:lang w:val="en-GB"/>
              </w:rPr>
              <w:t>pre-fracture</w:t>
            </w:r>
            <w:r w:rsidRPr="00463181">
              <w:rPr>
                <w:color w:val="auto"/>
                <w:lang w:val="en-GB"/>
              </w:rPr>
              <w:t xml:space="preserve">, median </w:t>
            </w:r>
            <w:r w:rsidR="00631ED4" w:rsidRPr="00463181">
              <w:rPr>
                <w:color w:val="auto"/>
                <w:lang w:val="en-GB"/>
              </w:rPr>
              <w:t>(</w:t>
            </w:r>
            <w:r w:rsidRPr="00463181">
              <w:rPr>
                <w:color w:val="auto"/>
                <w:lang w:val="en-GB"/>
              </w:rPr>
              <w:t>IQR</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4F2B96AB" w14:textId="3E18EAEE"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88.0 </w:t>
            </w:r>
            <w:r w:rsidR="00631ED4" w:rsidRPr="00463181">
              <w:rPr>
                <w:color w:val="auto"/>
                <w:lang w:val="en-GB"/>
              </w:rPr>
              <w:t>(</w:t>
            </w:r>
            <w:r w:rsidRPr="00463181">
              <w:rPr>
                <w:color w:val="auto"/>
                <w:lang w:val="en-GB"/>
              </w:rPr>
              <w:t>7.0</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563FFB42" w14:textId="7DDC60B7"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89.0 </w:t>
            </w:r>
            <w:r w:rsidR="00631ED4" w:rsidRPr="00463181">
              <w:rPr>
                <w:color w:val="auto"/>
                <w:lang w:val="en-GB"/>
              </w:rPr>
              <w:t>(</w:t>
            </w:r>
            <w:r w:rsidRPr="00463181">
              <w:rPr>
                <w:color w:val="auto"/>
                <w:lang w:val="en-GB"/>
              </w:rPr>
              <w:t>5.0</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6F96E459" w14:textId="5FDFE97F"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81.0 </w:t>
            </w:r>
            <w:r w:rsidR="00631ED4" w:rsidRPr="00463181">
              <w:rPr>
                <w:color w:val="auto"/>
                <w:lang w:val="en-GB"/>
              </w:rPr>
              <w:t>(</w:t>
            </w:r>
            <w:r w:rsidRPr="00463181">
              <w:rPr>
                <w:color w:val="auto"/>
                <w:lang w:val="en-GB"/>
              </w:rPr>
              <w:t>22.0</w:t>
            </w:r>
            <w:r w:rsidR="00631ED4" w:rsidRPr="00463181">
              <w:rPr>
                <w:color w:val="auto"/>
                <w:lang w:val="en-GB"/>
              </w:rPr>
              <w:t>)</w:t>
            </w:r>
          </w:p>
        </w:tc>
      </w:tr>
      <w:tr w:rsidR="00056784" w:rsidRPr="00463181" w14:paraId="7909DE70" w14:textId="77777777" w:rsidTr="00A52E83">
        <w:tc>
          <w:tcPr>
            <w:tcW w:w="3346" w:type="dxa"/>
            <w:tcBorders>
              <w:top w:val="single" w:sz="4" w:space="0" w:color="000000"/>
              <w:left w:val="nil"/>
              <w:bottom w:val="single" w:sz="4" w:space="0" w:color="000000"/>
              <w:right w:val="nil"/>
            </w:tcBorders>
            <w:shd w:val="clear" w:color="auto" w:fill="auto"/>
            <w:vAlign w:val="center"/>
          </w:tcPr>
          <w:p w14:paraId="78050C66" w14:textId="7D149F2C"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FIM</w:t>
            </w:r>
            <w:r w:rsidRPr="00463181">
              <w:rPr>
                <w:color w:val="auto"/>
                <w:szCs w:val="14"/>
                <w:vertAlign w:val="subscript"/>
                <w:lang w:val="en-GB"/>
              </w:rPr>
              <w:t>admission</w:t>
            </w:r>
            <w:r w:rsidRPr="00463181">
              <w:rPr>
                <w:color w:val="auto"/>
                <w:lang w:val="en-GB"/>
              </w:rPr>
              <w:t xml:space="preserve">, median </w:t>
            </w:r>
            <w:r w:rsidR="00631ED4" w:rsidRPr="00463181">
              <w:rPr>
                <w:color w:val="auto"/>
                <w:lang w:val="en-GB"/>
              </w:rPr>
              <w:t>(</w:t>
            </w:r>
            <w:r w:rsidRPr="00463181">
              <w:rPr>
                <w:color w:val="auto"/>
                <w:lang w:val="en-GB"/>
              </w:rPr>
              <w:t>IQR</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74B99CA3" w14:textId="035063FF"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61.0 </w:t>
            </w:r>
            <w:r w:rsidR="00631ED4" w:rsidRPr="00463181">
              <w:rPr>
                <w:color w:val="auto"/>
                <w:lang w:val="en-GB"/>
              </w:rPr>
              <w:t>(</w:t>
            </w:r>
            <w:r w:rsidRPr="00463181">
              <w:rPr>
                <w:color w:val="auto"/>
                <w:lang w:val="en-GB"/>
              </w:rPr>
              <w:t>24.0</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0FBB1586" w14:textId="0A775813"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62.0 </w:t>
            </w:r>
            <w:r w:rsidR="00631ED4" w:rsidRPr="00463181">
              <w:rPr>
                <w:color w:val="auto"/>
                <w:lang w:val="en-GB"/>
              </w:rPr>
              <w:t>(</w:t>
            </w:r>
            <w:r w:rsidRPr="00463181">
              <w:rPr>
                <w:color w:val="auto"/>
                <w:lang w:val="en-GB"/>
              </w:rPr>
              <w:t>9.5</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17357658" w14:textId="557AB789"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46.0 </w:t>
            </w:r>
            <w:r w:rsidR="00631ED4" w:rsidRPr="00463181">
              <w:rPr>
                <w:color w:val="auto"/>
                <w:lang w:val="en-GB"/>
              </w:rPr>
              <w:t>(</w:t>
            </w:r>
            <w:r w:rsidRPr="00463181">
              <w:rPr>
                <w:color w:val="auto"/>
                <w:lang w:val="en-GB"/>
              </w:rPr>
              <w:t>21.75</w:t>
            </w:r>
            <w:r w:rsidR="00631ED4" w:rsidRPr="00463181">
              <w:rPr>
                <w:color w:val="auto"/>
                <w:lang w:val="en-GB"/>
              </w:rPr>
              <w:t>)</w:t>
            </w:r>
          </w:p>
        </w:tc>
      </w:tr>
      <w:tr w:rsidR="00056784" w:rsidRPr="00463181" w14:paraId="78D33889" w14:textId="77777777" w:rsidTr="00A52E83">
        <w:tc>
          <w:tcPr>
            <w:tcW w:w="3346" w:type="dxa"/>
            <w:tcBorders>
              <w:top w:val="single" w:sz="4" w:space="0" w:color="000000"/>
              <w:left w:val="nil"/>
              <w:bottom w:val="single" w:sz="4" w:space="0" w:color="000000"/>
              <w:right w:val="nil"/>
            </w:tcBorders>
            <w:shd w:val="clear" w:color="auto" w:fill="auto"/>
            <w:vAlign w:val="center"/>
          </w:tcPr>
          <w:p w14:paraId="0AA7720A" w14:textId="1B2B575E"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FIM</w:t>
            </w:r>
            <w:r w:rsidRPr="00463181">
              <w:rPr>
                <w:color w:val="auto"/>
                <w:szCs w:val="14"/>
                <w:vertAlign w:val="subscript"/>
                <w:lang w:val="en-GB"/>
              </w:rPr>
              <w:t>%change</w:t>
            </w:r>
            <w:r w:rsidRPr="00463181">
              <w:rPr>
                <w:color w:val="auto"/>
                <w:lang w:val="en-GB"/>
              </w:rPr>
              <w:t xml:space="preserve">, median </w:t>
            </w:r>
            <w:r w:rsidR="00631ED4" w:rsidRPr="00463181">
              <w:rPr>
                <w:color w:val="auto"/>
                <w:lang w:val="en-GB"/>
              </w:rPr>
              <w:t>(</w:t>
            </w:r>
            <w:r w:rsidRPr="00463181">
              <w:rPr>
                <w:color w:val="auto"/>
                <w:lang w:val="en-GB"/>
              </w:rPr>
              <w:t>IQR</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54CEAD24" w14:textId="1F7FC25E"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29.7 </w:t>
            </w:r>
            <w:r w:rsidR="00631ED4" w:rsidRPr="00463181">
              <w:rPr>
                <w:color w:val="auto"/>
                <w:lang w:val="en-GB"/>
              </w:rPr>
              <w:t>(</w:t>
            </w:r>
            <w:r w:rsidRPr="00463181">
              <w:rPr>
                <w:color w:val="auto"/>
                <w:lang w:val="en-GB"/>
              </w:rPr>
              <w:t>11.7</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17D5312C" w14:textId="1F7A93AA"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29.7 </w:t>
            </w:r>
            <w:r w:rsidR="00631ED4" w:rsidRPr="00463181">
              <w:rPr>
                <w:color w:val="auto"/>
                <w:lang w:val="en-GB"/>
              </w:rPr>
              <w:t>(</w:t>
            </w:r>
            <w:r w:rsidRPr="00463181">
              <w:rPr>
                <w:color w:val="auto"/>
                <w:lang w:val="en-GB"/>
              </w:rPr>
              <w:t>11.1</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68CC1875" w14:textId="6C034BAA"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32.0 </w:t>
            </w:r>
            <w:r w:rsidR="00631ED4" w:rsidRPr="00463181">
              <w:rPr>
                <w:color w:val="auto"/>
                <w:lang w:val="en-GB"/>
              </w:rPr>
              <w:t>(</w:t>
            </w:r>
            <w:r w:rsidRPr="00463181">
              <w:rPr>
                <w:color w:val="auto"/>
                <w:lang w:val="en-GB"/>
              </w:rPr>
              <w:t>30.1</w:t>
            </w:r>
            <w:r w:rsidR="00631ED4" w:rsidRPr="00463181">
              <w:rPr>
                <w:color w:val="auto"/>
                <w:lang w:val="en-GB"/>
              </w:rPr>
              <w:t>)</w:t>
            </w:r>
          </w:p>
        </w:tc>
      </w:tr>
      <w:tr w:rsidR="00056784" w:rsidRPr="00463181" w14:paraId="7C3B9BF8" w14:textId="77777777" w:rsidTr="00A52E83">
        <w:tc>
          <w:tcPr>
            <w:tcW w:w="3346" w:type="dxa"/>
            <w:tcBorders>
              <w:top w:val="single" w:sz="4" w:space="0" w:color="000000"/>
              <w:left w:val="nil"/>
              <w:bottom w:val="single" w:sz="4" w:space="0" w:color="000000"/>
              <w:right w:val="nil"/>
            </w:tcBorders>
            <w:shd w:val="clear" w:color="auto" w:fill="auto"/>
            <w:vAlign w:val="center"/>
          </w:tcPr>
          <w:p w14:paraId="5A2CDF85" w14:textId="68C378B4"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Home support, </w:t>
            </w:r>
            <w:r w:rsidR="00631ED4" w:rsidRPr="00463181">
              <w:rPr>
                <w:i/>
                <w:color w:val="auto"/>
                <w:lang w:val="en-GB"/>
              </w:rPr>
              <w:t>n</w:t>
            </w:r>
            <w:r w:rsidRPr="00463181">
              <w:rPr>
                <w:color w:val="auto"/>
                <w:lang w:val="en-GB"/>
              </w:rPr>
              <w:t xml:space="preserve"> </w:t>
            </w:r>
            <w:r w:rsidR="00631ED4" w:rsidRPr="00463181">
              <w:rPr>
                <w:color w:val="auto"/>
                <w:lang w:val="en-GB"/>
              </w:rPr>
              <w:t>(</w:t>
            </w:r>
            <w:r w:rsidRPr="00463181">
              <w:rPr>
                <w:color w:val="auto"/>
                <w:lang w:val="en-GB"/>
              </w:rPr>
              <w:t>%</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0687E5FC" w14:textId="77777777" w:rsidR="008F5B30" w:rsidRPr="00463181" w:rsidRDefault="008F5B30" w:rsidP="004D729D">
            <w:pPr>
              <w:autoSpaceDE w:val="0"/>
              <w:autoSpaceDN w:val="0"/>
              <w:adjustRightInd w:val="0"/>
              <w:snapToGrid w:val="0"/>
              <w:spacing w:line="240" w:lineRule="auto"/>
              <w:jc w:val="center"/>
              <w:rPr>
                <w:color w:val="auto"/>
                <w:lang w:val="en-GB"/>
              </w:rPr>
            </w:pPr>
          </w:p>
        </w:tc>
        <w:tc>
          <w:tcPr>
            <w:tcW w:w="1413" w:type="dxa"/>
            <w:tcBorders>
              <w:top w:val="single" w:sz="4" w:space="0" w:color="000000"/>
              <w:left w:val="nil"/>
              <w:bottom w:val="single" w:sz="4" w:space="0" w:color="000000"/>
              <w:right w:val="nil"/>
            </w:tcBorders>
            <w:shd w:val="clear" w:color="auto" w:fill="auto"/>
            <w:vAlign w:val="center"/>
          </w:tcPr>
          <w:p w14:paraId="268EA0E8" w14:textId="77777777" w:rsidR="008F5B30" w:rsidRPr="00463181" w:rsidRDefault="008F5B30" w:rsidP="004D729D">
            <w:pPr>
              <w:autoSpaceDE w:val="0"/>
              <w:autoSpaceDN w:val="0"/>
              <w:adjustRightInd w:val="0"/>
              <w:snapToGrid w:val="0"/>
              <w:spacing w:line="240" w:lineRule="auto"/>
              <w:jc w:val="center"/>
              <w:rPr>
                <w:color w:val="auto"/>
                <w:lang w:val="en-GB"/>
              </w:rPr>
            </w:pPr>
          </w:p>
        </w:tc>
        <w:tc>
          <w:tcPr>
            <w:tcW w:w="2272" w:type="dxa"/>
            <w:tcBorders>
              <w:top w:val="single" w:sz="4" w:space="0" w:color="000000"/>
              <w:left w:val="nil"/>
              <w:bottom w:val="single" w:sz="4" w:space="0" w:color="000000"/>
              <w:right w:val="nil"/>
            </w:tcBorders>
            <w:shd w:val="clear" w:color="auto" w:fill="auto"/>
            <w:vAlign w:val="center"/>
          </w:tcPr>
          <w:p w14:paraId="48BFAC23" w14:textId="77777777" w:rsidR="008F5B30" w:rsidRPr="00463181" w:rsidRDefault="008F5B30" w:rsidP="004D729D">
            <w:pPr>
              <w:autoSpaceDE w:val="0"/>
              <w:autoSpaceDN w:val="0"/>
              <w:adjustRightInd w:val="0"/>
              <w:snapToGrid w:val="0"/>
              <w:spacing w:line="240" w:lineRule="auto"/>
              <w:jc w:val="center"/>
              <w:rPr>
                <w:color w:val="auto"/>
                <w:lang w:val="en-GB"/>
              </w:rPr>
            </w:pPr>
          </w:p>
        </w:tc>
      </w:tr>
      <w:tr w:rsidR="00056784" w:rsidRPr="00463181" w14:paraId="2AF8F468" w14:textId="77777777" w:rsidTr="00A52E83">
        <w:tc>
          <w:tcPr>
            <w:tcW w:w="3346" w:type="dxa"/>
            <w:tcBorders>
              <w:top w:val="single" w:sz="4" w:space="0" w:color="000000"/>
              <w:left w:val="nil"/>
              <w:bottom w:val="single" w:sz="4" w:space="0" w:color="000000"/>
              <w:right w:val="nil"/>
            </w:tcBorders>
            <w:shd w:val="clear" w:color="auto" w:fill="auto"/>
            <w:vAlign w:val="center"/>
          </w:tcPr>
          <w:p w14:paraId="15DB7075" w14:textId="2DFA7D24"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Live-in</w:t>
            </w:r>
          </w:p>
        </w:tc>
        <w:tc>
          <w:tcPr>
            <w:tcW w:w="1134" w:type="dxa"/>
            <w:tcBorders>
              <w:top w:val="single" w:sz="4" w:space="0" w:color="000000"/>
              <w:left w:val="nil"/>
              <w:bottom w:val="single" w:sz="4" w:space="0" w:color="000000"/>
              <w:right w:val="nil"/>
            </w:tcBorders>
            <w:shd w:val="clear" w:color="auto" w:fill="auto"/>
            <w:vAlign w:val="center"/>
          </w:tcPr>
          <w:p w14:paraId="1E75F99E" w14:textId="141C5F46"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23 </w:t>
            </w:r>
            <w:r w:rsidR="00631ED4" w:rsidRPr="00463181">
              <w:rPr>
                <w:color w:val="auto"/>
                <w:lang w:val="en-GB"/>
              </w:rPr>
              <w:t>(</w:t>
            </w:r>
            <w:r w:rsidRPr="00463181">
              <w:rPr>
                <w:color w:val="auto"/>
                <w:lang w:val="en-GB"/>
              </w:rPr>
              <w:t>37.7</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2EF5F652" w14:textId="5478DE8D"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18 </w:t>
            </w:r>
            <w:r w:rsidR="00631ED4" w:rsidRPr="00463181">
              <w:rPr>
                <w:color w:val="auto"/>
                <w:lang w:val="en-GB"/>
              </w:rPr>
              <w:t>(</w:t>
            </w:r>
            <w:r w:rsidRPr="00463181">
              <w:rPr>
                <w:color w:val="auto"/>
                <w:lang w:val="en-GB"/>
              </w:rPr>
              <w:t>36.7</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2CF76C0D" w14:textId="6031A7E8"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5 </w:t>
            </w:r>
            <w:r w:rsidR="00631ED4" w:rsidRPr="00463181">
              <w:rPr>
                <w:color w:val="auto"/>
                <w:lang w:val="en-GB"/>
              </w:rPr>
              <w:t>(</w:t>
            </w:r>
            <w:r w:rsidRPr="00463181">
              <w:rPr>
                <w:color w:val="auto"/>
                <w:lang w:val="en-GB"/>
              </w:rPr>
              <w:t>41.7</w:t>
            </w:r>
            <w:r w:rsidR="00631ED4" w:rsidRPr="00463181">
              <w:rPr>
                <w:color w:val="auto"/>
                <w:lang w:val="en-GB"/>
              </w:rPr>
              <w:t>)</w:t>
            </w:r>
          </w:p>
        </w:tc>
      </w:tr>
      <w:tr w:rsidR="00056784" w:rsidRPr="00463181" w14:paraId="569E547C" w14:textId="77777777" w:rsidTr="00A52E83">
        <w:tc>
          <w:tcPr>
            <w:tcW w:w="3346" w:type="dxa"/>
            <w:tcBorders>
              <w:top w:val="single" w:sz="4" w:space="0" w:color="000000"/>
              <w:left w:val="nil"/>
              <w:bottom w:val="single" w:sz="4" w:space="0" w:color="000000"/>
              <w:right w:val="nil"/>
            </w:tcBorders>
            <w:shd w:val="clear" w:color="auto" w:fill="auto"/>
            <w:vAlign w:val="center"/>
          </w:tcPr>
          <w:p w14:paraId="2BC510C6" w14:textId="7D9F8931"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Visiting</w:t>
            </w:r>
          </w:p>
        </w:tc>
        <w:tc>
          <w:tcPr>
            <w:tcW w:w="1134" w:type="dxa"/>
            <w:tcBorders>
              <w:top w:val="single" w:sz="4" w:space="0" w:color="000000"/>
              <w:left w:val="nil"/>
              <w:bottom w:val="single" w:sz="4" w:space="0" w:color="000000"/>
              <w:right w:val="nil"/>
            </w:tcBorders>
            <w:shd w:val="clear" w:color="auto" w:fill="auto"/>
            <w:vAlign w:val="center"/>
          </w:tcPr>
          <w:p w14:paraId="42215159" w14:textId="2D32E232"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28 </w:t>
            </w:r>
            <w:r w:rsidR="00631ED4" w:rsidRPr="00463181">
              <w:rPr>
                <w:color w:val="auto"/>
                <w:lang w:val="en-GB"/>
              </w:rPr>
              <w:t>(</w:t>
            </w:r>
            <w:r w:rsidRPr="00463181">
              <w:rPr>
                <w:color w:val="auto"/>
                <w:lang w:val="en-GB"/>
              </w:rPr>
              <w:t>45.9</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133A9FDF" w14:textId="3BFE9E37"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23 </w:t>
            </w:r>
            <w:r w:rsidR="00631ED4" w:rsidRPr="00463181">
              <w:rPr>
                <w:color w:val="auto"/>
                <w:lang w:val="en-GB"/>
              </w:rPr>
              <w:t>(</w:t>
            </w:r>
            <w:r w:rsidRPr="00463181">
              <w:rPr>
                <w:color w:val="auto"/>
                <w:lang w:val="en-GB"/>
              </w:rPr>
              <w:t>46.9</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4B13EE00" w14:textId="367C78C3"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5 </w:t>
            </w:r>
            <w:r w:rsidR="00631ED4" w:rsidRPr="00463181">
              <w:rPr>
                <w:color w:val="auto"/>
                <w:lang w:val="en-GB"/>
              </w:rPr>
              <w:t>(</w:t>
            </w:r>
            <w:r w:rsidRPr="00463181">
              <w:rPr>
                <w:color w:val="auto"/>
                <w:lang w:val="en-GB"/>
              </w:rPr>
              <w:t>41.7</w:t>
            </w:r>
            <w:r w:rsidR="00631ED4" w:rsidRPr="00463181">
              <w:rPr>
                <w:color w:val="auto"/>
                <w:lang w:val="en-GB"/>
              </w:rPr>
              <w:t>)</w:t>
            </w:r>
          </w:p>
        </w:tc>
      </w:tr>
      <w:tr w:rsidR="00056784" w:rsidRPr="00463181" w14:paraId="3473F73F" w14:textId="77777777" w:rsidTr="00A52E83">
        <w:tc>
          <w:tcPr>
            <w:tcW w:w="3346" w:type="dxa"/>
            <w:tcBorders>
              <w:top w:val="single" w:sz="4" w:space="0" w:color="000000"/>
              <w:left w:val="nil"/>
              <w:bottom w:val="single" w:sz="4" w:space="0" w:color="000000"/>
              <w:right w:val="nil"/>
            </w:tcBorders>
            <w:shd w:val="clear" w:color="auto" w:fill="auto"/>
            <w:vAlign w:val="center"/>
          </w:tcPr>
          <w:p w14:paraId="131BF4C3" w14:textId="6C5F2910"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Alone</w:t>
            </w:r>
          </w:p>
        </w:tc>
        <w:tc>
          <w:tcPr>
            <w:tcW w:w="1134" w:type="dxa"/>
            <w:tcBorders>
              <w:top w:val="single" w:sz="4" w:space="0" w:color="000000"/>
              <w:left w:val="nil"/>
              <w:bottom w:val="single" w:sz="4" w:space="0" w:color="000000"/>
              <w:right w:val="nil"/>
            </w:tcBorders>
            <w:shd w:val="clear" w:color="auto" w:fill="auto"/>
            <w:vAlign w:val="center"/>
          </w:tcPr>
          <w:p w14:paraId="32899CE8" w14:textId="2E7DDA77"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9 </w:t>
            </w:r>
            <w:r w:rsidR="00631ED4" w:rsidRPr="00463181">
              <w:rPr>
                <w:color w:val="auto"/>
                <w:lang w:val="en-GB"/>
              </w:rPr>
              <w:t>(</w:t>
            </w:r>
            <w:r w:rsidRPr="00463181">
              <w:rPr>
                <w:color w:val="auto"/>
                <w:lang w:val="en-GB"/>
              </w:rPr>
              <w:t>14.8</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64552F5E" w14:textId="32087966"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8 </w:t>
            </w:r>
            <w:r w:rsidR="00631ED4" w:rsidRPr="00463181">
              <w:rPr>
                <w:color w:val="auto"/>
                <w:lang w:val="en-GB"/>
              </w:rPr>
              <w:t>(</w:t>
            </w:r>
            <w:r w:rsidRPr="00463181">
              <w:rPr>
                <w:color w:val="auto"/>
                <w:lang w:val="en-GB"/>
              </w:rPr>
              <w:t>16.3</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3307271B" w14:textId="333C9713"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 </w:t>
            </w:r>
            <w:r w:rsidR="00631ED4" w:rsidRPr="00463181">
              <w:rPr>
                <w:color w:val="auto"/>
                <w:lang w:val="en-GB"/>
              </w:rPr>
              <w:t>(</w:t>
            </w:r>
            <w:r w:rsidRPr="00463181">
              <w:rPr>
                <w:color w:val="auto"/>
                <w:lang w:val="en-GB"/>
              </w:rPr>
              <w:t>8.3</w:t>
            </w:r>
            <w:r w:rsidR="00631ED4" w:rsidRPr="00463181">
              <w:rPr>
                <w:color w:val="auto"/>
                <w:lang w:val="en-GB"/>
              </w:rPr>
              <w:t>)</w:t>
            </w:r>
          </w:p>
        </w:tc>
      </w:tr>
      <w:tr w:rsidR="00056784" w:rsidRPr="00463181" w14:paraId="4072AD67" w14:textId="77777777" w:rsidTr="00A52E83">
        <w:tc>
          <w:tcPr>
            <w:tcW w:w="3346" w:type="dxa"/>
            <w:tcBorders>
              <w:top w:val="single" w:sz="4" w:space="0" w:color="000000"/>
              <w:left w:val="nil"/>
              <w:bottom w:val="single" w:sz="4" w:space="0" w:color="000000"/>
              <w:right w:val="nil"/>
            </w:tcBorders>
            <w:shd w:val="clear" w:color="auto" w:fill="auto"/>
            <w:vAlign w:val="center"/>
          </w:tcPr>
          <w:p w14:paraId="5FE10DD1" w14:textId="19B74C37"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Dependent spouse</w:t>
            </w:r>
          </w:p>
        </w:tc>
        <w:tc>
          <w:tcPr>
            <w:tcW w:w="1134" w:type="dxa"/>
            <w:tcBorders>
              <w:top w:val="single" w:sz="4" w:space="0" w:color="000000"/>
              <w:left w:val="nil"/>
              <w:bottom w:val="single" w:sz="4" w:space="0" w:color="000000"/>
              <w:right w:val="nil"/>
            </w:tcBorders>
            <w:shd w:val="clear" w:color="auto" w:fill="auto"/>
            <w:vAlign w:val="center"/>
          </w:tcPr>
          <w:p w14:paraId="57DBF446" w14:textId="1DA06CE2"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 </w:t>
            </w:r>
            <w:r w:rsidR="00631ED4" w:rsidRPr="00463181">
              <w:rPr>
                <w:color w:val="auto"/>
                <w:lang w:val="en-GB"/>
              </w:rPr>
              <w:t>(</w:t>
            </w:r>
            <w:r w:rsidRPr="00463181">
              <w:rPr>
                <w:color w:val="auto"/>
                <w:lang w:val="en-GB"/>
              </w:rPr>
              <w:t>1.6</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2C370A1B" w14:textId="0A261A98"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0 </w:t>
            </w:r>
            <w:r w:rsidR="00631ED4" w:rsidRPr="00463181">
              <w:rPr>
                <w:color w:val="auto"/>
                <w:lang w:val="en-GB"/>
              </w:rPr>
              <w:t>(</w:t>
            </w:r>
            <w:r w:rsidRPr="00463181">
              <w:rPr>
                <w:color w:val="auto"/>
                <w:lang w:val="en-GB"/>
              </w:rPr>
              <w:t>0.0</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568B7E21" w14:textId="24C4F6CB"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 </w:t>
            </w:r>
            <w:r w:rsidR="00631ED4" w:rsidRPr="00463181">
              <w:rPr>
                <w:color w:val="auto"/>
                <w:lang w:val="en-GB"/>
              </w:rPr>
              <w:t>(</w:t>
            </w:r>
            <w:r w:rsidRPr="00463181">
              <w:rPr>
                <w:color w:val="auto"/>
                <w:lang w:val="en-GB"/>
              </w:rPr>
              <w:t>8.3</w:t>
            </w:r>
            <w:r w:rsidR="00631ED4" w:rsidRPr="00463181">
              <w:rPr>
                <w:color w:val="auto"/>
                <w:lang w:val="en-GB"/>
              </w:rPr>
              <w:t>)</w:t>
            </w:r>
          </w:p>
        </w:tc>
      </w:tr>
      <w:tr w:rsidR="00056784" w:rsidRPr="00463181" w14:paraId="2F9CD3EB" w14:textId="77777777" w:rsidTr="00A52E83">
        <w:tc>
          <w:tcPr>
            <w:tcW w:w="3346" w:type="dxa"/>
            <w:tcBorders>
              <w:top w:val="single" w:sz="4" w:space="0" w:color="000000"/>
              <w:left w:val="nil"/>
              <w:bottom w:val="single" w:sz="4" w:space="0" w:color="000000"/>
              <w:right w:val="nil"/>
            </w:tcBorders>
            <w:shd w:val="clear" w:color="auto" w:fill="auto"/>
            <w:vAlign w:val="center"/>
          </w:tcPr>
          <w:p w14:paraId="0A731419" w14:textId="27F3A822"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Stairs, </w:t>
            </w:r>
            <w:r w:rsidR="007D0074" w:rsidRPr="00463181">
              <w:rPr>
                <w:i/>
                <w:color w:val="auto"/>
                <w:lang w:val="en-GB"/>
              </w:rPr>
              <w:t xml:space="preserve">n </w:t>
            </w:r>
            <w:r w:rsidR="007D0074" w:rsidRPr="00463181">
              <w:rPr>
                <w:color w:val="auto"/>
                <w:lang w:val="en-GB"/>
              </w:rPr>
              <w:t>=</w:t>
            </w:r>
            <w:r w:rsidR="007D0074" w:rsidRPr="00463181">
              <w:rPr>
                <w:i/>
                <w:color w:val="auto"/>
                <w:lang w:val="en-GB"/>
              </w:rPr>
              <w:t xml:space="preserve"> </w:t>
            </w:r>
            <w:r w:rsidR="007D0074" w:rsidRPr="00463181">
              <w:rPr>
                <w:color w:val="auto"/>
                <w:lang w:val="en-GB"/>
              </w:rPr>
              <w:t>Y</w:t>
            </w:r>
            <w:r w:rsidRPr="00463181">
              <w:rPr>
                <w:color w:val="auto"/>
                <w:lang w:val="en-GB"/>
              </w:rPr>
              <w:t xml:space="preserve">es </w:t>
            </w:r>
            <w:r w:rsidR="00631ED4" w:rsidRPr="00463181">
              <w:rPr>
                <w:color w:val="auto"/>
                <w:lang w:val="en-GB"/>
              </w:rPr>
              <w:t>(</w:t>
            </w:r>
            <w:r w:rsidRPr="00463181">
              <w:rPr>
                <w:color w:val="auto"/>
                <w:lang w:val="en-GB"/>
              </w:rPr>
              <w:t>%</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7BD6C816" w14:textId="6FFED0E2"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36 </w:t>
            </w:r>
            <w:r w:rsidR="00631ED4" w:rsidRPr="00463181">
              <w:rPr>
                <w:color w:val="auto"/>
                <w:lang w:val="en-GB"/>
              </w:rPr>
              <w:t>(</w:t>
            </w:r>
            <w:r w:rsidRPr="00463181">
              <w:rPr>
                <w:color w:val="auto"/>
                <w:lang w:val="en-GB"/>
              </w:rPr>
              <w:t>59.0</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79C6FF5B" w14:textId="72D6F934"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29 </w:t>
            </w:r>
            <w:r w:rsidR="00631ED4" w:rsidRPr="00463181">
              <w:rPr>
                <w:color w:val="auto"/>
                <w:lang w:val="en-GB"/>
              </w:rPr>
              <w:t>(</w:t>
            </w:r>
            <w:r w:rsidRPr="00463181">
              <w:rPr>
                <w:color w:val="auto"/>
                <w:lang w:val="en-GB"/>
              </w:rPr>
              <w:t>59.2</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623F4091" w14:textId="5525C35F"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7 </w:t>
            </w:r>
            <w:r w:rsidR="00631ED4" w:rsidRPr="00463181">
              <w:rPr>
                <w:color w:val="auto"/>
                <w:lang w:val="en-GB"/>
              </w:rPr>
              <w:t>(</w:t>
            </w:r>
            <w:r w:rsidRPr="00463181">
              <w:rPr>
                <w:color w:val="auto"/>
                <w:lang w:val="en-GB"/>
              </w:rPr>
              <w:t>58.3</w:t>
            </w:r>
            <w:r w:rsidR="00631ED4" w:rsidRPr="00463181">
              <w:rPr>
                <w:color w:val="auto"/>
                <w:lang w:val="en-GB"/>
              </w:rPr>
              <w:t>)</w:t>
            </w:r>
          </w:p>
        </w:tc>
      </w:tr>
      <w:tr w:rsidR="00056784" w:rsidRPr="00463181" w14:paraId="50238BF5" w14:textId="77777777" w:rsidTr="00A52E83">
        <w:tc>
          <w:tcPr>
            <w:tcW w:w="3346" w:type="dxa"/>
            <w:tcBorders>
              <w:top w:val="single" w:sz="4" w:space="0" w:color="000000"/>
              <w:left w:val="nil"/>
              <w:bottom w:val="single" w:sz="4" w:space="0" w:color="000000"/>
              <w:right w:val="nil"/>
            </w:tcBorders>
            <w:shd w:val="clear" w:color="auto" w:fill="auto"/>
            <w:vAlign w:val="center"/>
          </w:tcPr>
          <w:p w14:paraId="2E7A9EA9" w14:textId="4985E523"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Physio sessions/wk, median </w:t>
            </w:r>
            <w:r w:rsidR="00631ED4" w:rsidRPr="00463181">
              <w:rPr>
                <w:color w:val="auto"/>
                <w:lang w:val="en-GB"/>
              </w:rPr>
              <w:t>(</w:t>
            </w:r>
            <w:r w:rsidRPr="00463181">
              <w:rPr>
                <w:color w:val="auto"/>
                <w:lang w:val="en-GB"/>
              </w:rPr>
              <w:t>IQR</w:t>
            </w:r>
            <w:r w:rsidR="00631ED4" w:rsidRPr="00463181">
              <w:rPr>
                <w:color w:val="auto"/>
                <w:lang w:val="en-GB"/>
              </w:rPr>
              <w:t>)</w:t>
            </w:r>
          </w:p>
        </w:tc>
        <w:tc>
          <w:tcPr>
            <w:tcW w:w="1134" w:type="dxa"/>
            <w:tcBorders>
              <w:top w:val="single" w:sz="4" w:space="0" w:color="000000"/>
              <w:left w:val="nil"/>
              <w:bottom w:val="single" w:sz="4" w:space="0" w:color="000000"/>
              <w:right w:val="nil"/>
            </w:tcBorders>
            <w:shd w:val="clear" w:color="auto" w:fill="auto"/>
            <w:vAlign w:val="center"/>
          </w:tcPr>
          <w:p w14:paraId="31258D64" w14:textId="10217E81"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5 </w:t>
            </w:r>
            <w:r w:rsidR="00631ED4" w:rsidRPr="00463181">
              <w:rPr>
                <w:color w:val="auto"/>
                <w:lang w:val="en-GB"/>
              </w:rPr>
              <w:t>(</w:t>
            </w:r>
            <w:r w:rsidRPr="00463181">
              <w:rPr>
                <w:color w:val="auto"/>
                <w:lang w:val="en-GB"/>
              </w:rPr>
              <w:t>2.0</w:t>
            </w:r>
            <w:r w:rsidR="00631ED4" w:rsidRPr="00463181">
              <w:rPr>
                <w:color w:val="auto"/>
                <w:lang w:val="en-GB"/>
              </w:rPr>
              <w:t>)</w:t>
            </w:r>
          </w:p>
        </w:tc>
        <w:tc>
          <w:tcPr>
            <w:tcW w:w="1413" w:type="dxa"/>
            <w:tcBorders>
              <w:top w:val="single" w:sz="4" w:space="0" w:color="000000"/>
              <w:left w:val="nil"/>
              <w:bottom w:val="single" w:sz="4" w:space="0" w:color="000000"/>
              <w:right w:val="nil"/>
            </w:tcBorders>
            <w:shd w:val="clear" w:color="auto" w:fill="auto"/>
            <w:vAlign w:val="center"/>
          </w:tcPr>
          <w:p w14:paraId="08AE008F" w14:textId="3C2344BD"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5 </w:t>
            </w:r>
            <w:r w:rsidR="00631ED4" w:rsidRPr="00463181">
              <w:rPr>
                <w:color w:val="auto"/>
                <w:lang w:val="en-GB"/>
              </w:rPr>
              <w:t>(</w:t>
            </w:r>
            <w:r w:rsidRPr="00463181">
              <w:rPr>
                <w:color w:val="auto"/>
                <w:lang w:val="en-GB"/>
              </w:rPr>
              <w:t>2.0</w:t>
            </w:r>
            <w:r w:rsidR="00631ED4" w:rsidRPr="00463181">
              <w:rPr>
                <w:color w:val="auto"/>
                <w:lang w:val="en-GB"/>
              </w:rPr>
              <w:t>)</w:t>
            </w:r>
          </w:p>
        </w:tc>
        <w:tc>
          <w:tcPr>
            <w:tcW w:w="2272" w:type="dxa"/>
            <w:tcBorders>
              <w:top w:val="single" w:sz="4" w:space="0" w:color="000000"/>
              <w:left w:val="nil"/>
              <w:bottom w:val="single" w:sz="4" w:space="0" w:color="000000"/>
              <w:right w:val="nil"/>
            </w:tcBorders>
            <w:shd w:val="clear" w:color="auto" w:fill="auto"/>
            <w:vAlign w:val="center"/>
          </w:tcPr>
          <w:p w14:paraId="16582F84" w14:textId="3B7A1288"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5 </w:t>
            </w:r>
            <w:r w:rsidR="00631ED4" w:rsidRPr="00463181">
              <w:rPr>
                <w:color w:val="auto"/>
                <w:lang w:val="en-GB"/>
              </w:rPr>
              <w:t>(</w:t>
            </w:r>
            <w:r w:rsidRPr="00463181">
              <w:rPr>
                <w:color w:val="auto"/>
                <w:lang w:val="en-GB"/>
              </w:rPr>
              <w:t>1.75</w:t>
            </w:r>
            <w:r w:rsidR="00631ED4" w:rsidRPr="00463181">
              <w:rPr>
                <w:color w:val="auto"/>
                <w:lang w:val="en-GB"/>
              </w:rPr>
              <w:t>)</w:t>
            </w:r>
          </w:p>
        </w:tc>
      </w:tr>
      <w:tr w:rsidR="00056784" w:rsidRPr="00463181" w14:paraId="1274F8EE" w14:textId="77777777" w:rsidTr="00A52E83">
        <w:tc>
          <w:tcPr>
            <w:tcW w:w="3346" w:type="dxa"/>
            <w:tcBorders>
              <w:top w:val="single" w:sz="4" w:space="0" w:color="000000"/>
              <w:left w:val="nil"/>
              <w:bottom w:val="single" w:sz="8" w:space="0" w:color="auto"/>
              <w:right w:val="nil"/>
            </w:tcBorders>
            <w:shd w:val="clear" w:color="auto" w:fill="auto"/>
            <w:vAlign w:val="center"/>
          </w:tcPr>
          <w:p w14:paraId="7EBD07E6" w14:textId="30B43FD0"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Length of stay </w:t>
            </w:r>
            <w:r w:rsidR="00631ED4" w:rsidRPr="00463181">
              <w:rPr>
                <w:color w:val="auto"/>
                <w:lang w:val="en-GB"/>
              </w:rPr>
              <w:t>(</w:t>
            </w:r>
            <w:r w:rsidRPr="00463181">
              <w:rPr>
                <w:color w:val="auto"/>
                <w:lang w:val="en-GB"/>
              </w:rPr>
              <w:t>LoS</w:t>
            </w:r>
            <w:r w:rsidR="00631ED4" w:rsidRPr="00463181">
              <w:rPr>
                <w:color w:val="auto"/>
                <w:lang w:val="en-GB"/>
              </w:rPr>
              <w:t>)</w:t>
            </w:r>
            <w:r w:rsidRPr="00463181">
              <w:rPr>
                <w:color w:val="auto"/>
                <w:lang w:val="en-GB"/>
              </w:rPr>
              <w:t xml:space="preserve">, median </w:t>
            </w:r>
            <w:r w:rsidR="00631ED4" w:rsidRPr="00463181">
              <w:rPr>
                <w:color w:val="auto"/>
                <w:lang w:val="en-GB"/>
              </w:rPr>
              <w:t>(</w:t>
            </w:r>
            <w:r w:rsidRPr="00463181">
              <w:rPr>
                <w:color w:val="auto"/>
                <w:lang w:val="en-GB"/>
              </w:rPr>
              <w:t>IQR</w:t>
            </w:r>
            <w:r w:rsidR="00631ED4" w:rsidRPr="00463181">
              <w:rPr>
                <w:color w:val="auto"/>
                <w:lang w:val="en-GB"/>
              </w:rPr>
              <w:t>)</w:t>
            </w:r>
          </w:p>
        </w:tc>
        <w:tc>
          <w:tcPr>
            <w:tcW w:w="1134" w:type="dxa"/>
            <w:tcBorders>
              <w:top w:val="single" w:sz="4" w:space="0" w:color="000000"/>
              <w:left w:val="nil"/>
              <w:bottom w:val="single" w:sz="8" w:space="0" w:color="auto"/>
              <w:right w:val="nil"/>
            </w:tcBorders>
            <w:shd w:val="clear" w:color="auto" w:fill="auto"/>
            <w:vAlign w:val="center"/>
          </w:tcPr>
          <w:p w14:paraId="34E4F0DA" w14:textId="06DE103C"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22.0 </w:t>
            </w:r>
            <w:r w:rsidR="00631ED4" w:rsidRPr="00463181">
              <w:rPr>
                <w:color w:val="auto"/>
                <w:lang w:val="en-GB"/>
              </w:rPr>
              <w:t>(</w:t>
            </w:r>
            <w:r w:rsidRPr="00463181">
              <w:rPr>
                <w:color w:val="auto"/>
                <w:lang w:val="en-GB"/>
              </w:rPr>
              <w:t>27.5</w:t>
            </w:r>
            <w:r w:rsidR="00631ED4" w:rsidRPr="00463181">
              <w:rPr>
                <w:color w:val="auto"/>
                <w:lang w:val="en-GB"/>
              </w:rPr>
              <w:t>)</w:t>
            </w:r>
          </w:p>
        </w:tc>
        <w:tc>
          <w:tcPr>
            <w:tcW w:w="1413" w:type="dxa"/>
            <w:tcBorders>
              <w:top w:val="single" w:sz="4" w:space="0" w:color="000000"/>
              <w:left w:val="nil"/>
              <w:bottom w:val="single" w:sz="8" w:space="0" w:color="auto"/>
              <w:right w:val="nil"/>
            </w:tcBorders>
            <w:shd w:val="clear" w:color="auto" w:fill="auto"/>
            <w:vAlign w:val="center"/>
          </w:tcPr>
          <w:p w14:paraId="4DF89D0F" w14:textId="3010E273"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20.0 </w:t>
            </w:r>
            <w:r w:rsidR="00631ED4" w:rsidRPr="00463181">
              <w:rPr>
                <w:color w:val="auto"/>
                <w:lang w:val="en-GB"/>
              </w:rPr>
              <w:t>(</w:t>
            </w:r>
            <w:r w:rsidRPr="00463181">
              <w:rPr>
                <w:color w:val="auto"/>
                <w:lang w:val="en-GB"/>
              </w:rPr>
              <w:t>12.5</w:t>
            </w:r>
            <w:r w:rsidR="00631ED4" w:rsidRPr="00463181">
              <w:rPr>
                <w:color w:val="auto"/>
                <w:lang w:val="en-GB"/>
              </w:rPr>
              <w:t>)</w:t>
            </w:r>
          </w:p>
        </w:tc>
        <w:tc>
          <w:tcPr>
            <w:tcW w:w="2272" w:type="dxa"/>
            <w:tcBorders>
              <w:top w:val="single" w:sz="4" w:space="0" w:color="000000"/>
              <w:left w:val="nil"/>
              <w:bottom w:val="single" w:sz="8" w:space="0" w:color="auto"/>
              <w:right w:val="nil"/>
            </w:tcBorders>
            <w:shd w:val="clear" w:color="auto" w:fill="auto"/>
            <w:vAlign w:val="center"/>
          </w:tcPr>
          <w:p w14:paraId="55AE1553" w14:textId="12CC1CD0" w:rsidR="008F5B30" w:rsidRPr="00463181" w:rsidRDefault="008F5B30" w:rsidP="004D729D">
            <w:pPr>
              <w:autoSpaceDE w:val="0"/>
              <w:autoSpaceDN w:val="0"/>
              <w:adjustRightInd w:val="0"/>
              <w:snapToGrid w:val="0"/>
              <w:spacing w:line="240" w:lineRule="auto"/>
              <w:jc w:val="center"/>
              <w:rPr>
                <w:color w:val="auto"/>
                <w:lang w:val="en-GB"/>
              </w:rPr>
            </w:pPr>
            <w:r w:rsidRPr="00463181">
              <w:rPr>
                <w:color w:val="auto"/>
                <w:lang w:val="en-GB"/>
              </w:rPr>
              <w:t xml:space="preserve">182.0 </w:t>
            </w:r>
            <w:r w:rsidR="00631ED4" w:rsidRPr="00463181">
              <w:rPr>
                <w:color w:val="auto"/>
                <w:lang w:val="en-GB"/>
              </w:rPr>
              <w:t>(</w:t>
            </w:r>
            <w:r w:rsidRPr="00463181">
              <w:rPr>
                <w:color w:val="auto"/>
                <w:lang w:val="en-GB"/>
              </w:rPr>
              <w:t>136.75</w:t>
            </w:r>
            <w:r w:rsidR="00631ED4" w:rsidRPr="00463181">
              <w:rPr>
                <w:color w:val="auto"/>
                <w:lang w:val="en-GB"/>
              </w:rPr>
              <w:t>)</w:t>
            </w:r>
          </w:p>
        </w:tc>
      </w:tr>
    </w:tbl>
    <w:p w14:paraId="0DC983F8" w14:textId="26204187" w:rsidR="00DF54A5" w:rsidRPr="00463181" w:rsidRDefault="008F5B30" w:rsidP="00DF54A5">
      <w:pPr>
        <w:pStyle w:val="MDPI31text"/>
        <w:spacing w:before="240"/>
        <w:rPr>
          <w:lang w:val="en-GB"/>
        </w:rPr>
      </w:pPr>
      <w:r w:rsidRPr="00463181">
        <w:rPr>
          <w:lang w:val="en-GB"/>
        </w:rPr>
        <w:t xml:space="preserve">Excellent agreement levels </w:t>
      </w:r>
      <w:r w:rsidR="00631ED4" w:rsidRPr="00463181">
        <w:rPr>
          <w:lang w:val="en-GB"/>
        </w:rPr>
        <w:t>(</w:t>
      </w:r>
      <w:r w:rsidRPr="00463181">
        <w:rPr>
          <w:lang w:val="en-GB"/>
        </w:rPr>
        <w:t>IC</w:t>
      </w:r>
      <w:r w:rsidR="007D0074" w:rsidRPr="00463181">
        <w:rPr>
          <w:lang w:val="en-GB"/>
        </w:rPr>
        <w:t>C &gt; 0</w:t>
      </w:r>
      <w:r w:rsidRPr="00463181">
        <w:rPr>
          <w:lang w:val="en-GB"/>
        </w:rPr>
        <w:t>.9</w:t>
      </w:r>
      <w:r w:rsidR="00631ED4" w:rsidRPr="00463181">
        <w:rPr>
          <w:lang w:val="en-GB"/>
        </w:rPr>
        <w:t>)</w:t>
      </w:r>
      <w:r w:rsidRPr="00463181">
        <w:rPr>
          <w:lang w:val="en-GB"/>
        </w:rPr>
        <w:t xml:space="preserve"> and small confidence intervals were achieved between FIM scores in all cases except one, IC</w:t>
      </w:r>
      <w:r w:rsidR="007D0074" w:rsidRPr="00463181">
        <w:rPr>
          <w:lang w:val="en-GB"/>
        </w:rPr>
        <w:t>C =</w:t>
      </w:r>
      <w:r w:rsidR="00527710" w:rsidRPr="00463181">
        <w:rPr>
          <w:lang w:val="en-GB"/>
        </w:rPr>
        <w:t xml:space="preserve"> 0.7</w:t>
      </w:r>
      <w:r w:rsidRPr="00463181">
        <w:rPr>
          <w:lang w:val="en-GB"/>
        </w:rPr>
        <w:t xml:space="preserve">26 </w:t>
      </w:r>
      <w:r w:rsidR="00631ED4" w:rsidRPr="00463181">
        <w:rPr>
          <w:lang w:val="en-GB"/>
        </w:rPr>
        <w:t>(</w:t>
      </w:r>
      <w:r w:rsidRPr="00463181">
        <w:rPr>
          <w:lang w:val="en-GB"/>
        </w:rPr>
        <w:t>95% CI,</w:t>
      </w:r>
      <w:r w:rsidR="00527710" w:rsidRPr="00463181">
        <w:rPr>
          <w:lang w:val="en-GB"/>
        </w:rPr>
        <w:t xml:space="preserve"> 0.4</w:t>
      </w:r>
      <w:r w:rsidRPr="00463181">
        <w:rPr>
          <w:lang w:val="en-GB"/>
        </w:rPr>
        <w:t>81</w:t>
      </w:r>
      <w:r w:rsidR="008E389E" w:rsidRPr="00463181">
        <w:rPr>
          <w:lang w:val="en-GB"/>
        </w:rPr>
        <w:t>–0</w:t>
      </w:r>
      <w:r w:rsidRPr="00463181">
        <w:rPr>
          <w:lang w:val="en-GB"/>
        </w:rPr>
        <w:t>.866</w:t>
      </w:r>
      <w:r w:rsidR="00631ED4" w:rsidRPr="00463181">
        <w:rPr>
          <w:lang w:val="en-GB"/>
        </w:rPr>
        <w:t>)</w:t>
      </w:r>
      <w:r w:rsidRPr="00463181">
        <w:rPr>
          <w:lang w:val="en-GB"/>
        </w:rPr>
        <w:t xml:space="preserve">, when an electronic records system failure meant less information was available for the second </w:t>
      </w:r>
      <w:r w:rsidR="00463181" w:rsidRPr="00463181">
        <w:rPr>
          <w:lang w:val="en-GB"/>
        </w:rPr>
        <w:t>test–retest</w:t>
      </w:r>
      <w:r w:rsidRPr="00463181">
        <w:rPr>
          <w:lang w:val="en-GB"/>
        </w:rPr>
        <w:t xml:space="preserve"> scoring.</w:t>
      </w:r>
    </w:p>
    <w:p w14:paraId="78F8AB90" w14:textId="77777777" w:rsidR="00DF54A5" w:rsidRPr="00463181" w:rsidRDefault="00DF54A5">
      <w:pPr>
        <w:spacing w:line="240" w:lineRule="auto"/>
        <w:jc w:val="left"/>
        <w:rPr>
          <w:rFonts w:eastAsia="Times New Roman"/>
          <w:noProof w:val="0"/>
          <w:snapToGrid w:val="0"/>
          <w:szCs w:val="22"/>
          <w:lang w:val="en-GB" w:eastAsia="de-DE" w:bidi="en-US"/>
        </w:rPr>
      </w:pPr>
      <w:r w:rsidRPr="00463181">
        <w:rPr>
          <w:lang w:val="en-GB"/>
        </w:rPr>
        <w:br w:type="page"/>
      </w:r>
    </w:p>
    <w:p w14:paraId="06D88848" w14:textId="579F7624" w:rsidR="008F5B30" w:rsidRPr="00463181" w:rsidRDefault="00DF54A5" w:rsidP="00DF54A5">
      <w:pPr>
        <w:pStyle w:val="MDPI22heading2"/>
        <w:spacing w:before="240"/>
        <w:rPr>
          <w:lang w:val="en-GB"/>
        </w:rPr>
      </w:pPr>
      <w:r w:rsidRPr="00463181">
        <w:rPr>
          <w:lang w:val="en-GB"/>
        </w:rPr>
        <w:lastRenderedPageBreak/>
        <w:t xml:space="preserve">3.2. </w:t>
      </w:r>
      <w:r w:rsidR="008F5B30" w:rsidRPr="00463181">
        <w:rPr>
          <w:lang w:val="en-GB"/>
        </w:rPr>
        <w:t xml:space="preserve">Factors </w:t>
      </w:r>
      <w:r w:rsidRPr="00463181">
        <w:rPr>
          <w:lang w:val="en-GB"/>
        </w:rPr>
        <w:t xml:space="preserve">Affecting Length </w:t>
      </w:r>
      <w:r w:rsidR="008F5B30" w:rsidRPr="00463181">
        <w:rPr>
          <w:lang w:val="en-GB"/>
        </w:rPr>
        <w:t xml:space="preserve">of </w:t>
      </w:r>
      <w:r w:rsidRPr="00463181">
        <w:rPr>
          <w:lang w:val="en-GB"/>
        </w:rPr>
        <w:t xml:space="preserve">Stay </w:t>
      </w:r>
      <w:r w:rsidR="00631ED4" w:rsidRPr="00463181">
        <w:rPr>
          <w:lang w:val="en-GB"/>
        </w:rPr>
        <w:t>(</w:t>
      </w:r>
      <w:r w:rsidR="008F5B30" w:rsidRPr="00463181">
        <w:rPr>
          <w:lang w:val="en-GB"/>
        </w:rPr>
        <w:t>LoS</w:t>
      </w:r>
      <w:r w:rsidR="00631ED4" w:rsidRPr="00463181">
        <w:rPr>
          <w:lang w:val="en-GB"/>
        </w:rPr>
        <w:t>)</w:t>
      </w:r>
    </w:p>
    <w:p w14:paraId="3BF0D4B3" w14:textId="78D547DA" w:rsidR="008F5B30" w:rsidRPr="00463181" w:rsidRDefault="008F5B30" w:rsidP="008F5B30">
      <w:pPr>
        <w:pStyle w:val="MDPI31text"/>
        <w:rPr>
          <w:color w:val="auto"/>
          <w:lang w:val="en-GB"/>
        </w:rPr>
      </w:pPr>
      <w:r w:rsidRPr="00463181">
        <w:rPr>
          <w:color w:val="auto"/>
          <w:lang w:val="en-GB"/>
        </w:rPr>
        <w:t xml:space="preserve">Significant, positive </w:t>
      </w:r>
      <w:r w:rsidR="00D76A11">
        <w:rPr>
          <w:color w:val="auto"/>
          <w:lang w:val="en-GB"/>
        </w:rPr>
        <w:t xml:space="preserve">and </w:t>
      </w:r>
      <w:r w:rsidRPr="00463181">
        <w:rPr>
          <w:color w:val="auto"/>
          <w:lang w:val="en-GB"/>
        </w:rPr>
        <w:t xml:space="preserve">moderate correlations existed between </w:t>
      </w:r>
      <w:proofErr w:type="spellStart"/>
      <w:r w:rsidRPr="00463181">
        <w:rPr>
          <w:color w:val="auto"/>
          <w:lang w:val="en-GB"/>
        </w:rPr>
        <w:t>LoS</w:t>
      </w:r>
      <w:proofErr w:type="spellEnd"/>
      <w:r w:rsidRPr="00463181">
        <w:rPr>
          <w:color w:val="auto"/>
          <w:lang w:val="en-GB"/>
        </w:rPr>
        <w:t xml:space="preserve"> and age </w:t>
      </w:r>
      <w:r w:rsidR="00E46120">
        <w:rPr>
          <w:color w:val="auto"/>
          <w:lang w:val="en-GB"/>
        </w:rPr>
        <w:t>(</w:t>
      </w:r>
      <w:proofErr w:type="spellStart"/>
      <w:proofErr w:type="gramStart"/>
      <w:r w:rsidRPr="00463181">
        <w:rPr>
          <w:color w:val="auto"/>
          <w:lang w:val="en-GB"/>
        </w:rPr>
        <w:t>r</w:t>
      </w:r>
      <w:r w:rsidRPr="00463181">
        <w:rPr>
          <w:color w:val="auto"/>
          <w:vertAlign w:val="subscript"/>
          <w:lang w:val="en-GB"/>
        </w:rPr>
        <w:t>s</w:t>
      </w:r>
      <w:proofErr w:type="spellEnd"/>
      <w:r w:rsidR="00631ED4" w:rsidRPr="00463181">
        <w:rPr>
          <w:color w:val="auto"/>
          <w:lang w:val="en-GB"/>
        </w:rPr>
        <w:t>(</w:t>
      </w:r>
      <w:proofErr w:type="gramEnd"/>
      <w:r w:rsidRPr="00463181">
        <w:rPr>
          <w:color w:val="auto"/>
          <w:lang w:val="en-GB"/>
        </w:rPr>
        <w:t>61</w:t>
      </w:r>
      <w:r w:rsidR="007D0074" w:rsidRPr="00463181">
        <w:rPr>
          <w:color w:val="auto"/>
          <w:lang w:val="en-GB"/>
        </w:rPr>
        <w:t>) =</w:t>
      </w:r>
      <w:r w:rsidR="00527710" w:rsidRPr="00463181">
        <w:rPr>
          <w:color w:val="auto"/>
          <w:lang w:val="en-GB"/>
        </w:rPr>
        <w:t xml:space="preserve"> 0.3</w:t>
      </w:r>
      <w:r w:rsidRPr="00463181">
        <w:rPr>
          <w:color w:val="auto"/>
          <w:lang w:val="en-GB"/>
        </w:rPr>
        <w:t xml:space="preserve">65, </w:t>
      </w:r>
      <w:r w:rsidR="007D0074" w:rsidRPr="00463181">
        <w:rPr>
          <w:i/>
          <w:color w:val="auto"/>
          <w:lang w:val="en-GB"/>
        </w:rPr>
        <w:t xml:space="preserve">p </w:t>
      </w:r>
      <w:r w:rsidR="007D0074" w:rsidRPr="00463181">
        <w:rPr>
          <w:color w:val="auto"/>
          <w:lang w:val="en-GB"/>
        </w:rPr>
        <w:t>=</w:t>
      </w:r>
      <w:r w:rsidR="00527710" w:rsidRPr="00463181">
        <w:rPr>
          <w:color w:val="auto"/>
          <w:lang w:val="en-GB"/>
        </w:rPr>
        <w:t xml:space="preserve"> 0.0</w:t>
      </w:r>
      <w:r w:rsidRPr="00463181">
        <w:rPr>
          <w:color w:val="auto"/>
          <w:lang w:val="en-GB"/>
        </w:rPr>
        <w:t>04</w:t>
      </w:r>
      <w:r w:rsidR="00E46120">
        <w:rPr>
          <w:color w:val="auto"/>
          <w:lang w:val="en-GB"/>
        </w:rPr>
        <w:t>)</w:t>
      </w:r>
      <w:r w:rsidRPr="00463181">
        <w:rPr>
          <w:color w:val="auto"/>
          <w:lang w:val="en-GB"/>
        </w:rPr>
        <w:t xml:space="preserve"> and comorbidities </w:t>
      </w:r>
      <w:r w:rsidR="00E46120">
        <w:rPr>
          <w:color w:val="auto"/>
          <w:lang w:val="en-GB"/>
        </w:rPr>
        <w:t>(</w:t>
      </w:r>
      <w:proofErr w:type="spellStart"/>
      <w:r w:rsidRPr="00463181">
        <w:rPr>
          <w:color w:val="auto"/>
          <w:lang w:val="en-GB"/>
        </w:rPr>
        <w:t>r</w:t>
      </w:r>
      <w:r w:rsidRPr="00463181">
        <w:rPr>
          <w:color w:val="auto"/>
          <w:vertAlign w:val="subscript"/>
          <w:lang w:val="en-GB"/>
        </w:rPr>
        <w:t>s</w:t>
      </w:r>
      <w:proofErr w:type="spellEnd"/>
      <w:r w:rsidR="00631ED4" w:rsidRPr="00463181">
        <w:rPr>
          <w:color w:val="auto"/>
          <w:lang w:val="en-GB"/>
        </w:rPr>
        <w:t>(</w:t>
      </w:r>
      <w:r w:rsidRPr="00463181">
        <w:rPr>
          <w:color w:val="auto"/>
          <w:lang w:val="en-GB"/>
        </w:rPr>
        <w:t>61</w:t>
      </w:r>
      <w:r w:rsidR="007D0074" w:rsidRPr="00463181">
        <w:rPr>
          <w:color w:val="auto"/>
          <w:lang w:val="en-GB"/>
        </w:rPr>
        <w:t>) =</w:t>
      </w:r>
      <w:r w:rsidR="00527710" w:rsidRPr="00463181">
        <w:rPr>
          <w:color w:val="auto"/>
          <w:lang w:val="en-GB"/>
        </w:rPr>
        <w:t xml:space="preserve"> 0.3</w:t>
      </w:r>
      <w:r w:rsidRPr="00463181">
        <w:rPr>
          <w:color w:val="auto"/>
          <w:lang w:val="en-GB"/>
        </w:rPr>
        <w:t xml:space="preserve">32, </w:t>
      </w:r>
      <w:r w:rsidR="007D0074" w:rsidRPr="00463181">
        <w:rPr>
          <w:i/>
          <w:color w:val="auto"/>
          <w:lang w:val="en-GB"/>
        </w:rPr>
        <w:t xml:space="preserve">p </w:t>
      </w:r>
      <w:r w:rsidR="007D0074" w:rsidRPr="00463181">
        <w:rPr>
          <w:color w:val="auto"/>
          <w:lang w:val="en-GB"/>
        </w:rPr>
        <w:t>=</w:t>
      </w:r>
      <w:r w:rsidR="00527710" w:rsidRPr="00463181">
        <w:rPr>
          <w:color w:val="auto"/>
          <w:lang w:val="en-GB"/>
        </w:rPr>
        <w:t xml:space="preserve"> 0.0</w:t>
      </w:r>
      <w:r w:rsidRPr="00463181">
        <w:rPr>
          <w:color w:val="auto"/>
          <w:lang w:val="en-GB"/>
        </w:rPr>
        <w:t>09</w:t>
      </w:r>
      <w:r w:rsidR="00E46120">
        <w:rPr>
          <w:color w:val="auto"/>
          <w:lang w:val="en-GB"/>
        </w:rPr>
        <w:t>)</w:t>
      </w:r>
      <w:r w:rsidRPr="00463181">
        <w:rPr>
          <w:color w:val="auto"/>
          <w:lang w:val="en-GB"/>
        </w:rPr>
        <w:t xml:space="preserve">, whilst </w:t>
      </w:r>
      <w:proofErr w:type="spellStart"/>
      <w:r w:rsidRPr="00463181">
        <w:rPr>
          <w:color w:val="auto"/>
          <w:lang w:val="en-GB"/>
        </w:rPr>
        <w:t>LoS</w:t>
      </w:r>
      <w:proofErr w:type="spellEnd"/>
      <w:r w:rsidRPr="00463181">
        <w:rPr>
          <w:color w:val="auto"/>
          <w:lang w:val="en-GB"/>
        </w:rPr>
        <w:t xml:space="preserve"> had significant negative relationships with </w:t>
      </w:r>
      <w:proofErr w:type="spellStart"/>
      <w:r w:rsidRPr="00463181">
        <w:rPr>
          <w:color w:val="auto"/>
          <w:lang w:val="en-GB"/>
        </w:rPr>
        <w:t>FIM</w:t>
      </w:r>
      <w:r w:rsidRPr="00463181">
        <w:rPr>
          <w:color w:val="auto"/>
          <w:vertAlign w:val="subscript"/>
          <w:lang w:val="en-GB"/>
        </w:rPr>
        <w:t>admission</w:t>
      </w:r>
      <w:proofErr w:type="spellEnd"/>
      <w:r w:rsidRPr="00463181">
        <w:rPr>
          <w:color w:val="auto"/>
          <w:lang w:val="en-GB"/>
        </w:rPr>
        <w:t xml:space="preserve"> </w:t>
      </w:r>
      <w:r w:rsidR="00E46120">
        <w:rPr>
          <w:color w:val="auto"/>
          <w:lang w:val="en-GB"/>
        </w:rPr>
        <w:t>(</w:t>
      </w:r>
      <w:proofErr w:type="spellStart"/>
      <w:r w:rsidRPr="00463181">
        <w:rPr>
          <w:color w:val="auto"/>
          <w:lang w:val="en-GB"/>
        </w:rPr>
        <w:t>r</w:t>
      </w:r>
      <w:r w:rsidRPr="00463181">
        <w:rPr>
          <w:color w:val="auto"/>
          <w:vertAlign w:val="subscript"/>
          <w:lang w:val="en-GB"/>
        </w:rPr>
        <w:t>s</w:t>
      </w:r>
      <w:proofErr w:type="spellEnd"/>
      <w:r w:rsidR="00631ED4" w:rsidRPr="00463181">
        <w:rPr>
          <w:color w:val="auto"/>
          <w:lang w:val="en-GB"/>
        </w:rPr>
        <w:t>(</w:t>
      </w:r>
      <w:r w:rsidRPr="00463181">
        <w:rPr>
          <w:color w:val="auto"/>
          <w:lang w:val="en-GB"/>
        </w:rPr>
        <w:t>61</w:t>
      </w:r>
      <w:r w:rsidR="007D0074" w:rsidRPr="00463181">
        <w:rPr>
          <w:color w:val="auto"/>
          <w:lang w:val="en-GB"/>
        </w:rPr>
        <w:t xml:space="preserve">) = </w:t>
      </w:r>
      <w:r w:rsidR="008E389E" w:rsidRPr="00463181">
        <w:rPr>
          <w:color w:val="auto"/>
          <w:lang w:val="en-GB"/>
        </w:rPr>
        <w:t>−0.</w:t>
      </w:r>
      <w:r w:rsidRPr="00463181">
        <w:rPr>
          <w:color w:val="auto"/>
          <w:lang w:val="en-GB"/>
        </w:rPr>
        <w:t xml:space="preserve">414, </w:t>
      </w:r>
      <w:r w:rsidR="007D0074" w:rsidRPr="00463181">
        <w:rPr>
          <w:i/>
          <w:color w:val="auto"/>
          <w:lang w:val="en-GB"/>
        </w:rPr>
        <w:t xml:space="preserve">p </w:t>
      </w:r>
      <w:r w:rsidR="007D0074" w:rsidRPr="00463181">
        <w:rPr>
          <w:color w:val="auto"/>
          <w:lang w:val="en-GB"/>
        </w:rPr>
        <w:t>=</w:t>
      </w:r>
      <w:r w:rsidR="00527710" w:rsidRPr="00463181">
        <w:rPr>
          <w:color w:val="auto"/>
          <w:lang w:val="en-GB"/>
        </w:rPr>
        <w:t xml:space="preserve"> 0.0</w:t>
      </w:r>
      <w:r w:rsidRPr="00463181">
        <w:rPr>
          <w:color w:val="auto"/>
          <w:lang w:val="en-GB"/>
        </w:rPr>
        <w:t>01</w:t>
      </w:r>
      <w:r w:rsidR="00E46120">
        <w:rPr>
          <w:color w:val="auto"/>
          <w:lang w:val="en-GB"/>
        </w:rPr>
        <w:t>)</w:t>
      </w:r>
      <w:r w:rsidRPr="00463181">
        <w:rPr>
          <w:color w:val="auto"/>
          <w:lang w:val="en-GB"/>
        </w:rPr>
        <w:t xml:space="preserve"> and </w:t>
      </w:r>
      <w:proofErr w:type="spellStart"/>
      <w:r w:rsidRPr="00463181">
        <w:rPr>
          <w:color w:val="auto"/>
          <w:lang w:val="en-GB"/>
        </w:rPr>
        <w:t>FIM</w:t>
      </w:r>
      <w:r w:rsidRPr="00463181">
        <w:rPr>
          <w:color w:val="auto"/>
          <w:vertAlign w:val="subscript"/>
          <w:lang w:val="en-GB"/>
        </w:rPr>
        <w:t>%change</w:t>
      </w:r>
      <w:proofErr w:type="spellEnd"/>
      <w:r w:rsidRPr="00463181">
        <w:rPr>
          <w:color w:val="auto"/>
          <w:lang w:val="en-GB"/>
        </w:rPr>
        <w:t xml:space="preserve"> </w:t>
      </w:r>
      <w:r w:rsidR="00E46120">
        <w:rPr>
          <w:color w:val="auto"/>
          <w:lang w:val="en-GB"/>
        </w:rPr>
        <w:t>(</w:t>
      </w:r>
      <w:proofErr w:type="spellStart"/>
      <w:r w:rsidRPr="00463181">
        <w:rPr>
          <w:color w:val="auto"/>
          <w:lang w:val="en-GB"/>
        </w:rPr>
        <w:t>r</w:t>
      </w:r>
      <w:r w:rsidRPr="00463181">
        <w:rPr>
          <w:color w:val="auto"/>
          <w:vertAlign w:val="subscript"/>
          <w:lang w:val="en-GB"/>
        </w:rPr>
        <w:t>s</w:t>
      </w:r>
      <w:proofErr w:type="spellEnd"/>
      <w:r w:rsidR="00631ED4" w:rsidRPr="00463181">
        <w:rPr>
          <w:color w:val="auto"/>
          <w:lang w:val="en-GB"/>
        </w:rPr>
        <w:t>(</w:t>
      </w:r>
      <w:r w:rsidRPr="00463181">
        <w:rPr>
          <w:color w:val="auto"/>
          <w:lang w:val="en-GB"/>
        </w:rPr>
        <w:t>61</w:t>
      </w:r>
      <w:r w:rsidR="007D0074" w:rsidRPr="00463181">
        <w:rPr>
          <w:color w:val="auto"/>
          <w:lang w:val="en-GB"/>
        </w:rPr>
        <w:t xml:space="preserve">) = </w:t>
      </w:r>
      <w:r w:rsidR="008E389E" w:rsidRPr="00463181">
        <w:rPr>
          <w:color w:val="auto"/>
          <w:lang w:val="en-GB"/>
        </w:rPr>
        <w:t>−0.</w:t>
      </w:r>
      <w:r w:rsidRPr="00463181">
        <w:rPr>
          <w:color w:val="auto"/>
          <w:lang w:val="en-GB"/>
        </w:rPr>
        <w:t xml:space="preserve">299, </w:t>
      </w:r>
      <w:r w:rsidR="007D0074" w:rsidRPr="00463181">
        <w:rPr>
          <w:i/>
          <w:color w:val="auto"/>
          <w:lang w:val="en-GB"/>
        </w:rPr>
        <w:t xml:space="preserve">p </w:t>
      </w:r>
      <w:r w:rsidR="007D0074" w:rsidRPr="00463181">
        <w:rPr>
          <w:color w:val="auto"/>
          <w:lang w:val="en-GB"/>
        </w:rPr>
        <w:t>=</w:t>
      </w:r>
      <w:r w:rsidR="00527710" w:rsidRPr="00463181">
        <w:rPr>
          <w:color w:val="auto"/>
          <w:lang w:val="en-GB"/>
        </w:rPr>
        <w:t xml:space="preserve"> 0.0</w:t>
      </w:r>
      <w:r w:rsidRPr="00463181">
        <w:rPr>
          <w:color w:val="auto"/>
          <w:lang w:val="en-GB"/>
        </w:rPr>
        <w:t>19</w:t>
      </w:r>
      <w:r w:rsidR="00E46120">
        <w:rPr>
          <w:color w:val="auto"/>
          <w:lang w:val="en-GB"/>
        </w:rPr>
        <w:t>)</w:t>
      </w:r>
      <w:r w:rsidRPr="00463181">
        <w:rPr>
          <w:color w:val="auto"/>
          <w:lang w:val="en-GB"/>
        </w:rPr>
        <w:t xml:space="preserve">. Surprisingly, no correlation was found with acute </w:t>
      </w:r>
      <w:proofErr w:type="spellStart"/>
      <w:r w:rsidRPr="00463181">
        <w:rPr>
          <w:color w:val="auto"/>
          <w:lang w:val="en-GB"/>
        </w:rPr>
        <w:t>LoS</w:t>
      </w:r>
      <w:proofErr w:type="spellEnd"/>
      <w:r w:rsidRPr="00463181">
        <w:rPr>
          <w:color w:val="auto"/>
          <w:lang w:val="en-GB"/>
        </w:rPr>
        <w:t xml:space="preserve"> </w:t>
      </w:r>
      <w:r w:rsidR="00E46120">
        <w:rPr>
          <w:color w:val="auto"/>
          <w:lang w:val="en-GB"/>
        </w:rPr>
        <w:t>(</w:t>
      </w:r>
      <w:proofErr w:type="spellStart"/>
      <w:r w:rsidRPr="00463181">
        <w:rPr>
          <w:color w:val="auto"/>
          <w:lang w:val="en-GB"/>
        </w:rPr>
        <w:t>r</w:t>
      </w:r>
      <w:r w:rsidRPr="00463181">
        <w:rPr>
          <w:color w:val="auto"/>
          <w:vertAlign w:val="subscript"/>
          <w:lang w:val="en-GB"/>
        </w:rPr>
        <w:t>s</w:t>
      </w:r>
      <w:proofErr w:type="spellEnd"/>
      <w:r w:rsidR="00EF6E46" w:rsidRPr="00463181">
        <w:rPr>
          <w:color w:val="auto"/>
          <w:lang w:val="en-GB"/>
        </w:rPr>
        <w:t xml:space="preserve"> </w:t>
      </w:r>
      <w:r w:rsidR="00631ED4" w:rsidRPr="00463181">
        <w:rPr>
          <w:color w:val="auto"/>
          <w:lang w:val="en-GB"/>
        </w:rPr>
        <w:t>(</w:t>
      </w:r>
      <w:r w:rsidRPr="00463181">
        <w:rPr>
          <w:color w:val="auto"/>
          <w:lang w:val="en-GB"/>
        </w:rPr>
        <w:t>61</w:t>
      </w:r>
      <w:r w:rsidR="007D0074" w:rsidRPr="00463181">
        <w:rPr>
          <w:color w:val="auto"/>
          <w:lang w:val="en-GB"/>
        </w:rPr>
        <w:t>) =</w:t>
      </w:r>
      <w:r w:rsidR="00527710" w:rsidRPr="00463181">
        <w:rPr>
          <w:color w:val="auto"/>
          <w:lang w:val="en-GB"/>
        </w:rPr>
        <w:t xml:space="preserve"> 0.2</w:t>
      </w:r>
      <w:r w:rsidRPr="00463181">
        <w:rPr>
          <w:color w:val="auto"/>
          <w:lang w:val="en-GB"/>
        </w:rPr>
        <w:t xml:space="preserve">20, </w:t>
      </w:r>
      <w:r w:rsidR="007D0074" w:rsidRPr="00463181">
        <w:rPr>
          <w:i/>
          <w:color w:val="auto"/>
          <w:lang w:val="en-GB"/>
        </w:rPr>
        <w:t xml:space="preserve">p </w:t>
      </w:r>
      <w:r w:rsidR="007D0074" w:rsidRPr="00463181">
        <w:rPr>
          <w:color w:val="auto"/>
          <w:lang w:val="en-GB"/>
        </w:rPr>
        <w:t>=</w:t>
      </w:r>
      <w:r w:rsidR="00527710" w:rsidRPr="00463181">
        <w:rPr>
          <w:color w:val="auto"/>
          <w:lang w:val="en-GB"/>
        </w:rPr>
        <w:t xml:space="preserve"> 0.0</w:t>
      </w:r>
      <w:r w:rsidRPr="00463181">
        <w:rPr>
          <w:color w:val="auto"/>
          <w:lang w:val="en-GB"/>
        </w:rPr>
        <w:t>88</w:t>
      </w:r>
      <w:r w:rsidR="00E46120">
        <w:rPr>
          <w:color w:val="auto"/>
          <w:lang w:val="en-GB"/>
        </w:rPr>
        <w:t>)</w:t>
      </w:r>
      <w:r w:rsidRPr="00463181">
        <w:rPr>
          <w:color w:val="auto"/>
          <w:lang w:val="en-GB"/>
        </w:rPr>
        <w:t xml:space="preserve"> nor support at home </w:t>
      </w:r>
      <w:r w:rsidR="00E46120">
        <w:rPr>
          <w:color w:val="auto"/>
          <w:lang w:val="en-GB"/>
        </w:rPr>
        <w:t>(</w:t>
      </w:r>
      <w:r w:rsidR="007D0074" w:rsidRPr="00463181">
        <w:rPr>
          <w:i/>
          <w:color w:val="auto"/>
          <w:lang w:val="en-GB"/>
        </w:rPr>
        <w:t xml:space="preserve">p </w:t>
      </w:r>
      <w:r w:rsidR="007D0074" w:rsidRPr="00463181">
        <w:rPr>
          <w:color w:val="auto"/>
          <w:lang w:val="en-GB"/>
        </w:rPr>
        <w:t>=</w:t>
      </w:r>
      <w:r w:rsidR="00527710" w:rsidRPr="00463181">
        <w:rPr>
          <w:color w:val="auto"/>
          <w:lang w:val="en-GB"/>
        </w:rPr>
        <w:t xml:space="preserve"> 0.4</w:t>
      </w:r>
      <w:r w:rsidRPr="00463181">
        <w:rPr>
          <w:color w:val="auto"/>
          <w:lang w:val="en-GB"/>
        </w:rPr>
        <w:t>40</w:t>
      </w:r>
      <w:r w:rsidR="00E46120">
        <w:rPr>
          <w:color w:val="auto"/>
          <w:lang w:val="en-GB"/>
        </w:rPr>
        <w:t>)</w:t>
      </w:r>
      <w:r w:rsidR="004432AD" w:rsidRPr="00463181">
        <w:rPr>
          <w:color w:val="auto"/>
          <w:lang w:val="en-GB"/>
        </w:rPr>
        <w:t xml:space="preserve"> (Table 2)</w:t>
      </w:r>
      <w:r w:rsidRPr="00463181">
        <w:rPr>
          <w:color w:val="auto"/>
          <w:lang w:val="en-GB"/>
        </w:rPr>
        <w:t>.</w:t>
      </w:r>
    </w:p>
    <w:p w14:paraId="211CA6C1" w14:textId="5670E792" w:rsidR="008F5B30" w:rsidRPr="00463181" w:rsidRDefault="0002340C" w:rsidP="0002340C">
      <w:pPr>
        <w:pStyle w:val="MDPI41tablecaption"/>
        <w:rPr>
          <w:lang w:val="en-GB"/>
        </w:rPr>
      </w:pPr>
      <w:r w:rsidRPr="00463181">
        <w:rPr>
          <w:b/>
          <w:lang w:val="en-GB"/>
        </w:rPr>
        <w:t xml:space="preserve">Table 2. </w:t>
      </w:r>
      <w:r w:rsidR="008F5B30" w:rsidRPr="00463181">
        <w:rPr>
          <w:bCs/>
          <w:lang w:val="en-GB"/>
        </w:rPr>
        <w:t>Factors associated with length</w:t>
      </w:r>
      <w:r w:rsidR="008F5B30" w:rsidRPr="00463181">
        <w:rPr>
          <w:lang w:val="en-GB"/>
        </w:rPr>
        <w:t xml:space="preserve"> of stay and discharge destination</w:t>
      </w:r>
      <w:r w:rsidRPr="00463181">
        <w:rPr>
          <w:lang w:val="en-GB"/>
        </w:rPr>
        <w:t>.</w:t>
      </w:r>
    </w:p>
    <w:tbl>
      <w:tblPr>
        <w:tblW w:w="7857" w:type="dxa"/>
        <w:tblInd w:w="2608" w:type="dxa"/>
        <w:tblBorders>
          <w:top w:val="single" w:sz="4" w:space="0" w:color="000000"/>
          <w:left w:val="nil"/>
          <w:bottom w:val="single" w:sz="4" w:space="0" w:color="000000"/>
          <w:right w:val="nil"/>
          <w:insideH w:val="nil"/>
          <w:insideV w:val="nil"/>
        </w:tblBorders>
        <w:tblLayout w:type="fixed"/>
        <w:tblCellMar>
          <w:left w:w="0" w:type="dxa"/>
          <w:right w:w="0" w:type="dxa"/>
        </w:tblCellMar>
        <w:tblLook w:val="0600" w:firstRow="0" w:lastRow="0" w:firstColumn="0" w:lastColumn="0" w:noHBand="1" w:noVBand="1"/>
      </w:tblPr>
      <w:tblGrid>
        <w:gridCol w:w="1645"/>
        <w:gridCol w:w="2551"/>
        <w:gridCol w:w="1697"/>
        <w:gridCol w:w="1964"/>
      </w:tblGrid>
      <w:tr w:rsidR="00056784" w:rsidRPr="00463181" w14:paraId="0FD87321" w14:textId="77777777" w:rsidTr="005D2CF3">
        <w:tc>
          <w:tcPr>
            <w:tcW w:w="1645" w:type="dxa"/>
            <w:vMerge w:val="restart"/>
            <w:tcBorders>
              <w:top w:val="single" w:sz="8" w:space="0" w:color="auto"/>
              <w:left w:val="nil"/>
              <w:bottom w:val="single" w:sz="4" w:space="0" w:color="000000"/>
              <w:right w:val="nil"/>
            </w:tcBorders>
            <w:shd w:val="clear" w:color="auto" w:fill="auto"/>
            <w:vAlign w:val="center"/>
          </w:tcPr>
          <w:p w14:paraId="6335F7C7" w14:textId="044B05EB" w:rsidR="008F5B30" w:rsidRPr="00463181" w:rsidRDefault="008F5B30" w:rsidP="00FB321B">
            <w:pPr>
              <w:autoSpaceDE w:val="0"/>
              <w:autoSpaceDN w:val="0"/>
              <w:adjustRightInd w:val="0"/>
              <w:snapToGrid w:val="0"/>
              <w:spacing w:line="240" w:lineRule="auto"/>
              <w:jc w:val="center"/>
              <w:rPr>
                <w:b/>
                <w:color w:val="auto"/>
                <w:sz w:val="18"/>
                <w:lang w:val="en-GB"/>
              </w:rPr>
            </w:pPr>
            <w:r w:rsidRPr="00463181">
              <w:rPr>
                <w:b/>
                <w:color w:val="auto"/>
                <w:sz w:val="18"/>
                <w:lang w:val="en-GB"/>
              </w:rPr>
              <w:t>Independent Variable</w:t>
            </w:r>
          </w:p>
        </w:tc>
        <w:tc>
          <w:tcPr>
            <w:tcW w:w="2551" w:type="dxa"/>
            <w:vMerge w:val="restart"/>
            <w:tcBorders>
              <w:top w:val="single" w:sz="8" w:space="0" w:color="auto"/>
              <w:left w:val="nil"/>
              <w:bottom w:val="nil"/>
              <w:right w:val="nil"/>
            </w:tcBorders>
            <w:shd w:val="clear" w:color="auto" w:fill="auto"/>
            <w:vAlign w:val="center"/>
          </w:tcPr>
          <w:p w14:paraId="286F79F1" w14:textId="4D2EC48A"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b/>
                <w:color w:val="auto"/>
                <w:sz w:val="18"/>
                <w:lang w:val="en-GB"/>
              </w:rPr>
              <w:t>Tests</w:t>
            </w:r>
          </w:p>
        </w:tc>
        <w:tc>
          <w:tcPr>
            <w:tcW w:w="3661" w:type="dxa"/>
            <w:gridSpan w:val="2"/>
            <w:tcBorders>
              <w:top w:val="single" w:sz="8" w:space="0" w:color="auto"/>
              <w:left w:val="nil"/>
              <w:bottom w:val="nil"/>
              <w:right w:val="nil"/>
            </w:tcBorders>
            <w:shd w:val="clear" w:color="auto" w:fill="auto"/>
            <w:vAlign w:val="center"/>
          </w:tcPr>
          <w:p w14:paraId="57A5D490" w14:textId="1636B681"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b/>
                <w:color w:val="auto"/>
                <w:sz w:val="18"/>
                <w:lang w:val="en-GB"/>
              </w:rPr>
              <w:t>Outcome</w:t>
            </w:r>
          </w:p>
        </w:tc>
      </w:tr>
      <w:tr w:rsidR="00056784" w:rsidRPr="00463181" w14:paraId="03D280AE" w14:textId="77777777" w:rsidTr="005D2CF3">
        <w:tc>
          <w:tcPr>
            <w:tcW w:w="1645" w:type="dxa"/>
            <w:vMerge/>
            <w:tcBorders>
              <w:top w:val="single" w:sz="4" w:space="0" w:color="000000"/>
              <w:left w:val="nil"/>
              <w:bottom w:val="single" w:sz="4" w:space="0" w:color="000000"/>
              <w:right w:val="nil"/>
            </w:tcBorders>
            <w:shd w:val="clear" w:color="auto" w:fill="auto"/>
            <w:vAlign w:val="center"/>
          </w:tcPr>
          <w:p w14:paraId="7DC57228" w14:textId="77777777" w:rsidR="008F5B30" w:rsidRPr="00463181" w:rsidRDefault="008F5B30" w:rsidP="00FB321B">
            <w:pPr>
              <w:pBdr>
                <w:top w:val="nil"/>
                <w:left w:val="nil"/>
                <w:bottom w:val="nil"/>
                <w:right w:val="nil"/>
                <w:between w:val="nil"/>
              </w:pBdr>
              <w:autoSpaceDE w:val="0"/>
              <w:autoSpaceDN w:val="0"/>
              <w:adjustRightInd w:val="0"/>
              <w:snapToGrid w:val="0"/>
              <w:spacing w:line="240" w:lineRule="auto"/>
              <w:jc w:val="center"/>
              <w:rPr>
                <w:b/>
                <w:color w:val="auto"/>
                <w:sz w:val="18"/>
                <w:lang w:val="en-GB"/>
              </w:rPr>
            </w:pPr>
          </w:p>
        </w:tc>
        <w:tc>
          <w:tcPr>
            <w:tcW w:w="2551" w:type="dxa"/>
            <w:vMerge/>
            <w:tcBorders>
              <w:top w:val="single" w:sz="4" w:space="0" w:color="000000"/>
              <w:left w:val="nil"/>
              <w:bottom w:val="nil"/>
              <w:right w:val="nil"/>
            </w:tcBorders>
            <w:shd w:val="clear" w:color="auto" w:fill="auto"/>
            <w:vAlign w:val="center"/>
          </w:tcPr>
          <w:p w14:paraId="1AB95913" w14:textId="77777777" w:rsidR="008F5B30" w:rsidRPr="00463181" w:rsidRDefault="008F5B30" w:rsidP="00FB321B">
            <w:pPr>
              <w:pBdr>
                <w:top w:val="nil"/>
                <w:left w:val="nil"/>
                <w:bottom w:val="nil"/>
                <w:right w:val="nil"/>
                <w:between w:val="nil"/>
              </w:pBdr>
              <w:autoSpaceDE w:val="0"/>
              <w:autoSpaceDN w:val="0"/>
              <w:adjustRightInd w:val="0"/>
              <w:snapToGrid w:val="0"/>
              <w:spacing w:line="240" w:lineRule="auto"/>
              <w:jc w:val="center"/>
              <w:rPr>
                <w:color w:val="auto"/>
                <w:sz w:val="18"/>
                <w:lang w:val="en-GB"/>
              </w:rPr>
            </w:pPr>
          </w:p>
        </w:tc>
        <w:tc>
          <w:tcPr>
            <w:tcW w:w="1697" w:type="dxa"/>
            <w:tcBorders>
              <w:top w:val="nil"/>
              <w:left w:val="nil"/>
              <w:bottom w:val="single" w:sz="4" w:space="0" w:color="000000"/>
              <w:right w:val="nil"/>
            </w:tcBorders>
            <w:shd w:val="clear" w:color="auto" w:fill="auto"/>
            <w:vAlign w:val="center"/>
          </w:tcPr>
          <w:p w14:paraId="539B0126" w14:textId="4C043A92"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b/>
                <w:color w:val="auto"/>
                <w:sz w:val="18"/>
                <w:lang w:val="en-GB"/>
              </w:rPr>
              <w:t>LoS</w:t>
            </w:r>
          </w:p>
        </w:tc>
        <w:tc>
          <w:tcPr>
            <w:tcW w:w="1964" w:type="dxa"/>
            <w:tcBorders>
              <w:top w:val="nil"/>
              <w:left w:val="nil"/>
              <w:bottom w:val="single" w:sz="4" w:space="0" w:color="000000"/>
              <w:right w:val="nil"/>
            </w:tcBorders>
            <w:shd w:val="clear" w:color="auto" w:fill="auto"/>
            <w:vAlign w:val="center"/>
          </w:tcPr>
          <w:p w14:paraId="7C87E113" w14:textId="5947C65C"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b/>
                <w:color w:val="auto"/>
                <w:sz w:val="18"/>
                <w:lang w:val="en-GB"/>
              </w:rPr>
              <w:t>DD</w:t>
            </w:r>
          </w:p>
        </w:tc>
      </w:tr>
      <w:tr w:rsidR="00056784" w:rsidRPr="00463181" w14:paraId="1348D821" w14:textId="77777777" w:rsidTr="005D2CF3">
        <w:tc>
          <w:tcPr>
            <w:tcW w:w="1645" w:type="dxa"/>
            <w:tcBorders>
              <w:top w:val="single" w:sz="4" w:space="0" w:color="000000"/>
              <w:left w:val="nil"/>
              <w:bottom w:val="nil"/>
              <w:right w:val="nil"/>
            </w:tcBorders>
            <w:shd w:val="clear" w:color="auto" w:fill="auto"/>
            <w:vAlign w:val="center"/>
          </w:tcPr>
          <w:p w14:paraId="3D9F408B" w14:textId="07868917" w:rsidR="008F5B30" w:rsidRPr="00463181" w:rsidRDefault="008F5B30" w:rsidP="00FB321B">
            <w:pPr>
              <w:autoSpaceDE w:val="0"/>
              <w:autoSpaceDN w:val="0"/>
              <w:adjustRightInd w:val="0"/>
              <w:snapToGrid w:val="0"/>
              <w:spacing w:line="240" w:lineRule="auto"/>
              <w:jc w:val="center"/>
              <w:rPr>
                <w:bCs/>
                <w:color w:val="auto"/>
                <w:sz w:val="18"/>
                <w:lang w:val="en-GB"/>
              </w:rPr>
            </w:pPr>
            <w:r w:rsidRPr="00463181">
              <w:rPr>
                <w:bCs/>
                <w:color w:val="auto"/>
                <w:sz w:val="18"/>
                <w:lang w:val="en-GB"/>
              </w:rPr>
              <w:t>Age</w:t>
            </w:r>
          </w:p>
        </w:tc>
        <w:tc>
          <w:tcPr>
            <w:tcW w:w="2551" w:type="dxa"/>
            <w:tcBorders>
              <w:top w:val="single" w:sz="4" w:space="0" w:color="000000"/>
              <w:left w:val="nil"/>
              <w:right w:val="nil"/>
            </w:tcBorders>
            <w:shd w:val="clear" w:color="auto" w:fill="auto"/>
            <w:vAlign w:val="center"/>
          </w:tcPr>
          <w:p w14:paraId="217BEA37" w14:textId="65F0F8A3"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Spearman</w:t>
            </w:r>
            <w:r w:rsidR="00D76A11">
              <w:rPr>
                <w:color w:val="auto"/>
                <w:sz w:val="18"/>
                <w:lang w:val="en-GB"/>
              </w:rPr>
              <w:t>’</w:t>
            </w:r>
            <w:r w:rsidRPr="00463181">
              <w:rPr>
                <w:color w:val="auto"/>
                <w:sz w:val="18"/>
                <w:lang w:val="en-GB"/>
              </w:rPr>
              <w:t xml:space="preserve">s r/Mann-W U </w:t>
            </w:r>
          </w:p>
        </w:tc>
        <w:tc>
          <w:tcPr>
            <w:tcW w:w="1697" w:type="dxa"/>
            <w:tcBorders>
              <w:top w:val="single" w:sz="4" w:space="0" w:color="000000"/>
              <w:left w:val="nil"/>
              <w:right w:val="nil"/>
            </w:tcBorders>
            <w:shd w:val="clear" w:color="auto" w:fill="auto"/>
            <w:vAlign w:val="center"/>
          </w:tcPr>
          <w:p w14:paraId="29D51207" w14:textId="28AD451A"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cc</w:t>
            </w:r>
            <w:r w:rsidR="00527710" w:rsidRPr="00463181">
              <w:rPr>
                <w:color w:val="auto"/>
                <w:sz w:val="18"/>
                <w:lang w:val="en-GB"/>
              </w:rPr>
              <w:t xml:space="preserve"> 0.3</w:t>
            </w:r>
            <w:r w:rsidRPr="00463181">
              <w:rPr>
                <w:color w:val="auto"/>
                <w:sz w:val="18"/>
                <w:lang w:val="en-GB"/>
              </w:rPr>
              <w:t xml:space="preserve">65, </w:t>
            </w:r>
            <w:r w:rsidR="007D0074" w:rsidRPr="00463181">
              <w:rPr>
                <w:i/>
                <w:color w:val="auto"/>
                <w:sz w:val="18"/>
                <w:lang w:val="en-GB"/>
              </w:rPr>
              <w:t xml:space="preserve">p </w:t>
            </w:r>
            <w:r w:rsidR="007D0074" w:rsidRPr="00463181">
              <w:rPr>
                <w:color w:val="auto"/>
                <w:sz w:val="18"/>
                <w:lang w:val="en-GB"/>
              </w:rPr>
              <w:t>=</w:t>
            </w:r>
            <w:r w:rsidR="00527710" w:rsidRPr="00463181">
              <w:rPr>
                <w:color w:val="auto"/>
                <w:sz w:val="18"/>
                <w:lang w:val="en-GB"/>
              </w:rPr>
              <w:t xml:space="preserve"> 0.0</w:t>
            </w:r>
            <w:r w:rsidRPr="00463181">
              <w:rPr>
                <w:color w:val="auto"/>
                <w:sz w:val="18"/>
                <w:lang w:val="en-GB"/>
              </w:rPr>
              <w:t>04</w:t>
            </w:r>
            <w:r w:rsidR="00E00E6A" w:rsidRPr="00463181">
              <w:rPr>
                <w:color w:val="auto"/>
                <w:sz w:val="18"/>
                <w:lang w:val="en-GB"/>
              </w:rPr>
              <w:t xml:space="preserve"> </w:t>
            </w:r>
            <w:r w:rsidRPr="00463181">
              <w:rPr>
                <w:color w:val="auto"/>
                <w:sz w:val="18"/>
                <w:lang w:val="en-GB"/>
              </w:rPr>
              <w:t>**</w:t>
            </w:r>
          </w:p>
        </w:tc>
        <w:tc>
          <w:tcPr>
            <w:tcW w:w="1964" w:type="dxa"/>
            <w:tcBorders>
              <w:top w:val="single" w:sz="4" w:space="0" w:color="000000"/>
              <w:left w:val="nil"/>
              <w:right w:val="nil"/>
            </w:tcBorders>
            <w:shd w:val="clear" w:color="auto" w:fill="auto"/>
            <w:vAlign w:val="center"/>
          </w:tcPr>
          <w:p w14:paraId="6E216C69" w14:textId="65D535B0"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1</w:t>
            </w:r>
            <w:r w:rsidR="008F5B30" w:rsidRPr="00463181">
              <w:rPr>
                <w:color w:val="auto"/>
                <w:sz w:val="18"/>
                <w:lang w:val="en-GB"/>
              </w:rPr>
              <w:t xml:space="preserve">46.500, </w:t>
            </w:r>
            <w:r w:rsidRPr="00463181">
              <w:rPr>
                <w:i/>
                <w:color w:val="auto"/>
                <w:sz w:val="18"/>
                <w:lang w:val="en-GB"/>
              </w:rPr>
              <w:t xml:space="preserve">p </w:t>
            </w:r>
            <w:r w:rsidRPr="00463181">
              <w:rPr>
                <w:color w:val="auto"/>
                <w:sz w:val="18"/>
                <w:lang w:val="en-GB"/>
              </w:rPr>
              <w:t>=</w:t>
            </w:r>
            <w:r w:rsidR="00527710" w:rsidRPr="00463181">
              <w:rPr>
                <w:color w:val="auto"/>
                <w:sz w:val="18"/>
                <w:lang w:val="en-GB"/>
              </w:rPr>
              <w:t xml:space="preserve"> 0.0</w:t>
            </w:r>
            <w:r w:rsidR="008F5B30" w:rsidRPr="00463181">
              <w:rPr>
                <w:color w:val="auto"/>
                <w:sz w:val="18"/>
                <w:lang w:val="en-GB"/>
              </w:rPr>
              <w:t>07</w:t>
            </w:r>
            <w:r w:rsidR="00FF4BC4" w:rsidRPr="00463181">
              <w:rPr>
                <w:color w:val="auto"/>
                <w:sz w:val="18"/>
                <w:lang w:val="en-GB"/>
              </w:rPr>
              <w:t xml:space="preserve"> </w:t>
            </w:r>
            <w:r w:rsidR="008F5B30" w:rsidRPr="00463181">
              <w:rPr>
                <w:color w:val="auto"/>
                <w:sz w:val="18"/>
                <w:lang w:val="en-GB"/>
              </w:rPr>
              <w:t>**</w:t>
            </w:r>
          </w:p>
        </w:tc>
      </w:tr>
      <w:tr w:rsidR="00056784" w:rsidRPr="00463181" w14:paraId="1EA5B127" w14:textId="77777777" w:rsidTr="005D2CF3">
        <w:tc>
          <w:tcPr>
            <w:tcW w:w="1645" w:type="dxa"/>
            <w:tcBorders>
              <w:top w:val="nil"/>
              <w:left w:val="nil"/>
              <w:right w:val="nil"/>
            </w:tcBorders>
            <w:shd w:val="clear" w:color="auto" w:fill="auto"/>
            <w:vAlign w:val="center"/>
          </w:tcPr>
          <w:p w14:paraId="6C9837B0" w14:textId="4B57E849"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Gender</w:t>
            </w:r>
          </w:p>
        </w:tc>
        <w:tc>
          <w:tcPr>
            <w:tcW w:w="2551" w:type="dxa"/>
            <w:tcBorders>
              <w:left w:val="nil"/>
              <w:right w:val="nil"/>
            </w:tcBorders>
            <w:shd w:val="clear" w:color="auto" w:fill="auto"/>
            <w:vAlign w:val="center"/>
          </w:tcPr>
          <w:p w14:paraId="269D42A4" w14:textId="0FAFFBE9"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Mann</w:t>
            </w:r>
            <w:r w:rsidR="00D76A11">
              <w:rPr>
                <w:color w:val="auto"/>
                <w:sz w:val="18"/>
                <w:lang w:val="en-GB"/>
              </w:rPr>
              <w:t>–</w:t>
            </w:r>
            <w:r w:rsidRPr="00463181">
              <w:rPr>
                <w:color w:val="auto"/>
                <w:sz w:val="18"/>
                <w:lang w:val="en-GB"/>
              </w:rPr>
              <w:t>W U/Chi</w:t>
            </w:r>
            <w:r w:rsidRPr="00463181">
              <w:rPr>
                <w:color w:val="auto"/>
                <w:sz w:val="18"/>
                <w:szCs w:val="14"/>
                <w:vertAlign w:val="superscript"/>
                <w:lang w:val="en-GB"/>
              </w:rPr>
              <w:t>2</w:t>
            </w:r>
            <w:r w:rsidR="00EF6E46" w:rsidRPr="00463181">
              <w:rPr>
                <w:color w:val="auto"/>
                <w:sz w:val="18"/>
                <w:szCs w:val="14"/>
                <w:lang w:val="en-GB"/>
              </w:rPr>
              <w:t xml:space="preserve"> </w:t>
            </w:r>
            <w:r w:rsidR="00631ED4" w:rsidRPr="00463181">
              <w:rPr>
                <w:color w:val="auto"/>
                <w:sz w:val="18"/>
                <w:lang w:val="en-GB"/>
              </w:rPr>
              <w:t>(</w:t>
            </w:r>
            <w:r w:rsidR="006050C4" w:rsidRPr="00463181">
              <w:rPr>
                <w:color w:val="auto"/>
                <w:sz w:val="18"/>
                <w:lang w:val="en-GB"/>
              </w:rPr>
              <w:t>2 × 2</w:t>
            </w:r>
            <w:r w:rsidR="00631ED4" w:rsidRPr="00463181">
              <w:rPr>
                <w:color w:val="auto"/>
                <w:sz w:val="18"/>
                <w:lang w:val="en-GB"/>
              </w:rPr>
              <w:t>)</w:t>
            </w:r>
          </w:p>
        </w:tc>
        <w:tc>
          <w:tcPr>
            <w:tcW w:w="1697" w:type="dxa"/>
            <w:tcBorders>
              <w:left w:val="nil"/>
              <w:right w:val="nil"/>
            </w:tcBorders>
            <w:shd w:val="clear" w:color="auto" w:fill="auto"/>
            <w:vAlign w:val="center"/>
          </w:tcPr>
          <w:p w14:paraId="7A125009" w14:textId="19340FFF"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2</w:t>
            </w:r>
            <w:r w:rsidR="008F5B30" w:rsidRPr="00463181">
              <w:rPr>
                <w:color w:val="auto"/>
                <w:sz w:val="18"/>
                <w:lang w:val="en-GB"/>
              </w:rPr>
              <w:t xml:space="preserve">98.00, </w:t>
            </w:r>
            <w:r w:rsidRPr="00463181">
              <w:rPr>
                <w:i/>
                <w:color w:val="auto"/>
                <w:sz w:val="18"/>
                <w:lang w:val="en-GB"/>
              </w:rPr>
              <w:t xml:space="preserve">p </w:t>
            </w:r>
            <w:r w:rsidRPr="00463181">
              <w:rPr>
                <w:color w:val="auto"/>
                <w:sz w:val="18"/>
                <w:lang w:val="en-GB"/>
              </w:rPr>
              <w:t>=</w:t>
            </w:r>
            <w:r w:rsidR="00527710" w:rsidRPr="00463181">
              <w:rPr>
                <w:color w:val="auto"/>
                <w:sz w:val="18"/>
                <w:lang w:val="en-GB"/>
              </w:rPr>
              <w:t xml:space="preserve"> 0.1</w:t>
            </w:r>
            <w:r w:rsidR="008F5B30" w:rsidRPr="00463181">
              <w:rPr>
                <w:color w:val="auto"/>
                <w:sz w:val="18"/>
                <w:lang w:val="en-GB"/>
              </w:rPr>
              <w:t>58</w:t>
            </w:r>
          </w:p>
        </w:tc>
        <w:tc>
          <w:tcPr>
            <w:tcW w:w="1964" w:type="dxa"/>
            <w:tcBorders>
              <w:left w:val="nil"/>
              <w:right w:val="nil"/>
            </w:tcBorders>
            <w:shd w:val="clear" w:color="auto" w:fill="auto"/>
            <w:vAlign w:val="center"/>
          </w:tcPr>
          <w:p w14:paraId="2B956DE5" w14:textId="0B242ED4"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w:t>
            </w:r>
            <w:r w:rsidR="007D0074" w:rsidRPr="00463181">
              <w:rPr>
                <w:color w:val="auto"/>
                <w:sz w:val="18"/>
                <w:szCs w:val="14"/>
                <w:vertAlign w:val="superscript"/>
                <w:lang w:val="en-GB"/>
              </w:rPr>
              <w:t>2</w:t>
            </w:r>
            <w:r w:rsidR="00EF6E46" w:rsidRPr="00463181">
              <w:rPr>
                <w:color w:val="auto"/>
                <w:sz w:val="18"/>
                <w:szCs w:val="14"/>
                <w:lang w:val="en-GB"/>
              </w:rPr>
              <w:t xml:space="preserve"> </w:t>
            </w:r>
            <w:r w:rsidR="007D0074" w:rsidRPr="00463181">
              <w:rPr>
                <w:color w:val="auto"/>
                <w:sz w:val="18"/>
                <w:lang w:val="en-GB"/>
              </w:rPr>
              <w:t>=</w:t>
            </w:r>
            <w:r w:rsidR="00EF6E46" w:rsidRPr="00463181">
              <w:rPr>
                <w:color w:val="auto"/>
                <w:sz w:val="18"/>
                <w:szCs w:val="14"/>
                <w:lang w:val="en-GB"/>
              </w:rPr>
              <w:t xml:space="preserve"> </w:t>
            </w:r>
            <w:r w:rsidR="007D0074" w:rsidRPr="00463181">
              <w:rPr>
                <w:color w:val="auto"/>
                <w:sz w:val="18"/>
                <w:lang w:val="en-GB"/>
              </w:rPr>
              <w:t>3</w:t>
            </w:r>
            <w:r w:rsidRPr="00463181">
              <w:rPr>
                <w:color w:val="auto"/>
                <w:sz w:val="18"/>
                <w:lang w:val="en-GB"/>
              </w:rPr>
              <w:t xml:space="preserve">.016, </w:t>
            </w:r>
            <w:r w:rsidR="007D0074" w:rsidRPr="00463181">
              <w:rPr>
                <w:i/>
                <w:color w:val="auto"/>
                <w:sz w:val="18"/>
                <w:lang w:val="en-GB"/>
              </w:rPr>
              <w:t xml:space="preserve">p </w:t>
            </w:r>
            <w:r w:rsidR="007D0074" w:rsidRPr="00463181">
              <w:rPr>
                <w:color w:val="auto"/>
                <w:sz w:val="18"/>
                <w:lang w:val="en-GB"/>
              </w:rPr>
              <w:t>=</w:t>
            </w:r>
            <w:r w:rsidR="00527710" w:rsidRPr="00463181">
              <w:rPr>
                <w:color w:val="auto"/>
                <w:sz w:val="18"/>
                <w:lang w:val="en-GB"/>
              </w:rPr>
              <w:t xml:space="preserve"> 0.0</w:t>
            </w:r>
            <w:r w:rsidRPr="00463181">
              <w:rPr>
                <w:color w:val="auto"/>
                <w:sz w:val="18"/>
                <w:lang w:val="en-GB"/>
              </w:rPr>
              <w:t>82</w:t>
            </w:r>
          </w:p>
        </w:tc>
      </w:tr>
      <w:tr w:rsidR="00056784" w:rsidRPr="00463181" w14:paraId="798E73FC" w14:textId="77777777" w:rsidTr="005D2CF3">
        <w:tc>
          <w:tcPr>
            <w:tcW w:w="1645" w:type="dxa"/>
            <w:tcBorders>
              <w:left w:val="nil"/>
              <w:right w:val="nil"/>
            </w:tcBorders>
            <w:shd w:val="clear" w:color="auto" w:fill="auto"/>
            <w:vAlign w:val="center"/>
          </w:tcPr>
          <w:p w14:paraId="5589D92B" w14:textId="7727C25A"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Co-morbidities</w:t>
            </w:r>
          </w:p>
        </w:tc>
        <w:tc>
          <w:tcPr>
            <w:tcW w:w="2551" w:type="dxa"/>
            <w:tcBorders>
              <w:left w:val="nil"/>
              <w:right w:val="nil"/>
            </w:tcBorders>
            <w:shd w:val="clear" w:color="auto" w:fill="auto"/>
            <w:vAlign w:val="center"/>
          </w:tcPr>
          <w:p w14:paraId="245D22B6" w14:textId="0DDA209F"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Mann</w:t>
            </w:r>
            <w:r w:rsidR="00D76A11">
              <w:rPr>
                <w:color w:val="auto"/>
                <w:sz w:val="18"/>
                <w:lang w:val="en-GB"/>
              </w:rPr>
              <w:t>–</w:t>
            </w:r>
            <w:r w:rsidRPr="00463181">
              <w:rPr>
                <w:color w:val="auto"/>
                <w:sz w:val="18"/>
                <w:lang w:val="en-GB"/>
              </w:rPr>
              <w:t>W U/Chi</w:t>
            </w:r>
            <w:r w:rsidRPr="00463181">
              <w:rPr>
                <w:color w:val="auto"/>
                <w:sz w:val="18"/>
                <w:szCs w:val="14"/>
                <w:vertAlign w:val="superscript"/>
                <w:lang w:val="en-GB"/>
              </w:rPr>
              <w:t>2</w:t>
            </w:r>
            <w:r w:rsidR="00EF6E46" w:rsidRPr="00463181">
              <w:rPr>
                <w:color w:val="auto"/>
                <w:sz w:val="18"/>
                <w:szCs w:val="14"/>
                <w:lang w:val="en-GB"/>
              </w:rPr>
              <w:t xml:space="preserve"> </w:t>
            </w:r>
            <w:r w:rsidR="00631ED4" w:rsidRPr="00463181">
              <w:rPr>
                <w:color w:val="auto"/>
                <w:sz w:val="18"/>
                <w:lang w:val="en-GB"/>
              </w:rPr>
              <w:t>(</w:t>
            </w:r>
            <w:r w:rsidR="006050C4" w:rsidRPr="00463181">
              <w:rPr>
                <w:color w:val="auto"/>
                <w:sz w:val="18"/>
                <w:lang w:val="en-GB"/>
              </w:rPr>
              <w:t>2 × 2</w:t>
            </w:r>
            <w:r w:rsidR="00631ED4" w:rsidRPr="00463181">
              <w:rPr>
                <w:color w:val="auto"/>
                <w:sz w:val="18"/>
                <w:lang w:val="en-GB"/>
              </w:rPr>
              <w:t>)</w:t>
            </w:r>
          </w:p>
        </w:tc>
        <w:tc>
          <w:tcPr>
            <w:tcW w:w="1697" w:type="dxa"/>
            <w:tcBorders>
              <w:left w:val="nil"/>
              <w:right w:val="nil"/>
            </w:tcBorders>
            <w:shd w:val="clear" w:color="auto" w:fill="auto"/>
            <w:vAlign w:val="center"/>
          </w:tcPr>
          <w:p w14:paraId="24095CA9" w14:textId="2ABB59A1" w:rsidR="008F5B30" w:rsidRPr="00463181" w:rsidRDefault="00E00E6A" w:rsidP="00FB321B">
            <w:pPr>
              <w:autoSpaceDE w:val="0"/>
              <w:autoSpaceDN w:val="0"/>
              <w:adjustRightInd w:val="0"/>
              <w:snapToGrid w:val="0"/>
              <w:spacing w:line="240" w:lineRule="auto"/>
              <w:jc w:val="center"/>
              <w:rPr>
                <w:color w:val="auto"/>
                <w:sz w:val="18"/>
                <w:lang w:val="en-GB"/>
              </w:rPr>
            </w:pPr>
            <w:r w:rsidRPr="00463181">
              <w:rPr>
                <w:color w:val="auto"/>
                <w:sz w:val="18"/>
                <w:lang w:val="en-GB"/>
              </w:rPr>
              <w:t>cc 0</w:t>
            </w:r>
            <w:r w:rsidR="008F5B30" w:rsidRPr="00463181">
              <w:rPr>
                <w:color w:val="auto"/>
                <w:sz w:val="18"/>
                <w:lang w:val="en-GB"/>
              </w:rPr>
              <w:t xml:space="preserve">.332, </w:t>
            </w:r>
            <w:r w:rsidR="007D0074" w:rsidRPr="00463181">
              <w:rPr>
                <w:i/>
                <w:color w:val="auto"/>
                <w:sz w:val="18"/>
                <w:lang w:val="en-GB"/>
              </w:rPr>
              <w:t xml:space="preserve">p </w:t>
            </w:r>
            <w:r w:rsidR="007D0074" w:rsidRPr="00463181">
              <w:rPr>
                <w:color w:val="auto"/>
                <w:sz w:val="18"/>
                <w:lang w:val="en-GB"/>
              </w:rPr>
              <w:t>=</w:t>
            </w:r>
            <w:r w:rsidR="00527710" w:rsidRPr="00463181">
              <w:rPr>
                <w:color w:val="auto"/>
                <w:sz w:val="18"/>
                <w:lang w:val="en-GB"/>
              </w:rPr>
              <w:t xml:space="preserve"> 0.0</w:t>
            </w:r>
            <w:r w:rsidR="008F5B30" w:rsidRPr="00463181">
              <w:rPr>
                <w:color w:val="auto"/>
                <w:sz w:val="18"/>
                <w:lang w:val="en-GB"/>
              </w:rPr>
              <w:t>09</w:t>
            </w:r>
            <w:r w:rsidRPr="00463181">
              <w:rPr>
                <w:color w:val="auto"/>
                <w:sz w:val="18"/>
                <w:lang w:val="en-GB"/>
              </w:rPr>
              <w:t xml:space="preserve"> </w:t>
            </w:r>
            <w:r w:rsidR="008F5B30" w:rsidRPr="00463181">
              <w:rPr>
                <w:color w:val="auto"/>
                <w:sz w:val="18"/>
                <w:lang w:val="en-GB"/>
              </w:rPr>
              <w:t>**</w:t>
            </w:r>
          </w:p>
        </w:tc>
        <w:tc>
          <w:tcPr>
            <w:tcW w:w="1964" w:type="dxa"/>
            <w:tcBorders>
              <w:left w:val="nil"/>
              <w:right w:val="nil"/>
            </w:tcBorders>
            <w:shd w:val="clear" w:color="auto" w:fill="auto"/>
            <w:vAlign w:val="center"/>
          </w:tcPr>
          <w:p w14:paraId="1634903F" w14:textId="3F799141"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w:t>
            </w:r>
            <w:r w:rsidR="007D0074" w:rsidRPr="00463181">
              <w:rPr>
                <w:color w:val="auto"/>
                <w:sz w:val="18"/>
                <w:szCs w:val="14"/>
                <w:vertAlign w:val="superscript"/>
                <w:lang w:val="en-GB"/>
              </w:rPr>
              <w:t>2</w:t>
            </w:r>
            <w:r w:rsidR="00EF6E46" w:rsidRPr="00463181">
              <w:rPr>
                <w:color w:val="auto"/>
                <w:sz w:val="18"/>
                <w:szCs w:val="14"/>
                <w:lang w:val="en-GB"/>
              </w:rPr>
              <w:t xml:space="preserve"> </w:t>
            </w:r>
            <w:r w:rsidR="007D0074" w:rsidRPr="00463181">
              <w:rPr>
                <w:color w:val="auto"/>
                <w:sz w:val="18"/>
                <w:lang w:val="en-GB"/>
              </w:rPr>
              <w:t>=</w:t>
            </w:r>
            <w:r w:rsidR="00EF6E46" w:rsidRPr="00463181">
              <w:rPr>
                <w:color w:val="auto"/>
                <w:sz w:val="18"/>
                <w:szCs w:val="14"/>
                <w:lang w:val="en-GB"/>
              </w:rPr>
              <w:t xml:space="preserve"> </w:t>
            </w:r>
            <w:r w:rsidR="007D0074" w:rsidRPr="00463181">
              <w:rPr>
                <w:color w:val="auto"/>
                <w:sz w:val="18"/>
                <w:lang w:val="en-GB"/>
              </w:rPr>
              <w:t>1</w:t>
            </w:r>
            <w:r w:rsidRPr="00463181">
              <w:rPr>
                <w:color w:val="auto"/>
                <w:sz w:val="18"/>
                <w:lang w:val="en-GB"/>
              </w:rPr>
              <w:t xml:space="preserve">1.680, </w:t>
            </w:r>
            <w:r w:rsidR="007D0074" w:rsidRPr="00463181">
              <w:rPr>
                <w:i/>
                <w:color w:val="auto"/>
                <w:sz w:val="18"/>
                <w:lang w:val="en-GB"/>
              </w:rPr>
              <w:t xml:space="preserve">p </w:t>
            </w:r>
            <w:r w:rsidR="007D0074" w:rsidRPr="00463181">
              <w:rPr>
                <w:color w:val="auto"/>
                <w:sz w:val="18"/>
                <w:lang w:val="en-GB"/>
              </w:rPr>
              <w:t>=</w:t>
            </w:r>
            <w:r w:rsidR="00527710" w:rsidRPr="00463181">
              <w:rPr>
                <w:color w:val="auto"/>
                <w:sz w:val="18"/>
                <w:lang w:val="en-GB"/>
              </w:rPr>
              <w:t xml:space="preserve"> 0.0</w:t>
            </w:r>
            <w:r w:rsidRPr="00463181">
              <w:rPr>
                <w:color w:val="auto"/>
                <w:sz w:val="18"/>
                <w:lang w:val="en-GB"/>
              </w:rPr>
              <w:t>20</w:t>
            </w:r>
            <w:r w:rsidR="00FF4BC4" w:rsidRPr="00463181">
              <w:rPr>
                <w:color w:val="auto"/>
                <w:sz w:val="18"/>
                <w:lang w:val="en-GB"/>
              </w:rPr>
              <w:t xml:space="preserve"> </w:t>
            </w:r>
            <w:r w:rsidRPr="00463181">
              <w:rPr>
                <w:color w:val="auto"/>
                <w:sz w:val="18"/>
                <w:lang w:val="en-GB"/>
              </w:rPr>
              <w:t>*</w:t>
            </w:r>
          </w:p>
        </w:tc>
      </w:tr>
      <w:tr w:rsidR="00056784" w:rsidRPr="00463181" w14:paraId="5134FCC6" w14:textId="77777777" w:rsidTr="005D2CF3">
        <w:tc>
          <w:tcPr>
            <w:tcW w:w="1645" w:type="dxa"/>
            <w:tcBorders>
              <w:left w:val="nil"/>
              <w:right w:val="nil"/>
            </w:tcBorders>
            <w:shd w:val="clear" w:color="auto" w:fill="auto"/>
            <w:vAlign w:val="center"/>
          </w:tcPr>
          <w:p w14:paraId="6904861A" w14:textId="06772073"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Delirium</w:t>
            </w:r>
          </w:p>
        </w:tc>
        <w:tc>
          <w:tcPr>
            <w:tcW w:w="2551" w:type="dxa"/>
            <w:tcBorders>
              <w:left w:val="nil"/>
              <w:right w:val="nil"/>
            </w:tcBorders>
            <w:shd w:val="clear" w:color="auto" w:fill="auto"/>
            <w:vAlign w:val="center"/>
          </w:tcPr>
          <w:p w14:paraId="6D998183" w14:textId="04222166"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Mann</w:t>
            </w:r>
            <w:r w:rsidR="00D76A11">
              <w:rPr>
                <w:color w:val="auto"/>
                <w:sz w:val="18"/>
                <w:lang w:val="en-GB"/>
              </w:rPr>
              <w:t>–</w:t>
            </w:r>
            <w:r w:rsidRPr="00463181">
              <w:rPr>
                <w:color w:val="auto"/>
                <w:sz w:val="18"/>
                <w:lang w:val="en-GB"/>
              </w:rPr>
              <w:t>W U/Chi</w:t>
            </w:r>
            <w:r w:rsidRPr="00463181">
              <w:rPr>
                <w:color w:val="auto"/>
                <w:sz w:val="18"/>
                <w:szCs w:val="14"/>
                <w:vertAlign w:val="superscript"/>
                <w:lang w:val="en-GB"/>
              </w:rPr>
              <w:t>2</w:t>
            </w:r>
            <w:r w:rsidR="00EF6E46" w:rsidRPr="00463181">
              <w:rPr>
                <w:color w:val="auto"/>
                <w:sz w:val="18"/>
                <w:szCs w:val="14"/>
                <w:lang w:val="en-GB"/>
              </w:rPr>
              <w:t xml:space="preserve"> </w:t>
            </w:r>
            <w:r w:rsidR="00631ED4" w:rsidRPr="00463181">
              <w:rPr>
                <w:color w:val="auto"/>
                <w:sz w:val="18"/>
                <w:lang w:val="en-GB"/>
              </w:rPr>
              <w:t>(</w:t>
            </w:r>
            <w:r w:rsidR="006050C4" w:rsidRPr="00463181">
              <w:rPr>
                <w:color w:val="auto"/>
                <w:sz w:val="18"/>
                <w:lang w:val="en-GB"/>
              </w:rPr>
              <w:t>2 × 2</w:t>
            </w:r>
            <w:r w:rsidR="00631ED4" w:rsidRPr="00463181">
              <w:rPr>
                <w:color w:val="auto"/>
                <w:sz w:val="18"/>
                <w:lang w:val="en-GB"/>
              </w:rPr>
              <w:t>)</w:t>
            </w:r>
          </w:p>
        </w:tc>
        <w:tc>
          <w:tcPr>
            <w:tcW w:w="1697" w:type="dxa"/>
            <w:tcBorders>
              <w:left w:val="nil"/>
              <w:right w:val="nil"/>
            </w:tcBorders>
            <w:shd w:val="clear" w:color="auto" w:fill="auto"/>
            <w:vAlign w:val="center"/>
          </w:tcPr>
          <w:p w14:paraId="350A7846" w14:textId="77E66BCF"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1</w:t>
            </w:r>
            <w:r w:rsidR="008F5B30" w:rsidRPr="00463181">
              <w:rPr>
                <w:color w:val="auto"/>
                <w:sz w:val="18"/>
                <w:lang w:val="en-GB"/>
              </w:rPr>
              <w:t xml:space="preserve">97.00, </w:t>
            </w:r>
            <w:r w:rsidR="00631ED4" w:rsidRPr="00463181">
              <w:rPr>
                <w:i/>
                <w:color w:val="auto"/>
                <w:sz w:val="18"/>
                <w:lang w:val="en-GB"/>
              </w:rPr>
              <w:t>p</w:t>
            </w:r>
            <w:r w:rsidR="008F5B30" w:rsidRPr="00463181">
              <w:rPr>
                <w:color w:val="auto"/>
                <w:sz w:val="18"/>
                <w:lang w:val="en-GB"/>
              </w:rPr>
              <w:t xml:space="preserve"> =</w:t>
            </w:r>
            <w:r w:rsidR="00527710" w:rsidRPr="00463181">
              <w:rPr>
                <w:color w:val="auto"/>
                <w:sz w:val="18"/>
                <w:lang w:val="en-GB"/>
              </w:rPr>
              <w:t xml:space="preserve"> 0.1</w:t>
            </w:r>
            <w:r w:rsidR="008F5B30" w:rsidRPr="00463181">
              <w:rPr>
                <w:color w:val="auto"/>
                <w:sz w:val="18"/>
                <w:lang w:val="en-GB"/>
              </w:rPr>
              <w:t>43</w:t>
            </w:r>
          </w:p>
        </w:tc>
        <w:tc>
          <w:tcPr>
            <w:tcW w:w="1964" w:type="dxa"/>
            <w:tcBorders>
              <w:left w:val="nil"/>
              <w:right w:val="nil"/>
            </w:tcBorders>
            <w:shd w:val="clear" w:color="auto" w:fill="auto"/>
            <w:vAlign w:val="center"/>
          </w:tcPr>
          <w:p w14:paraId="6DB4EEAB" w14:textId="5EEB1651"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w:t>
            </w:r>
            <w:r w:rsidR="007D0074" w:rsidRPr="00463181">
              <w:rPr>
                <w:color w:val="auto"/>
                <w:sz w:val="18"/>
                <w:szCs w:val="14"/>
                <w:vertAlign w:val="superscript"/>
                <w:lang w:val="en-GB"/>
              </w:rPr>
              <w:t>2</w:t>
            </w:r>
            <w:r w:rsidR="00EF6E46" w:rsidRPr="00463181">
              <w:rPr>
                <w:color w:val="auto"/>
                <w:sz w:val="18"/>
                <w:szCs w:val="14"/>
                <w:lang w:val="en-GB"/>
              </w:rPr>
              <w:t xml:space="preserve"> </w:t>
            </w:r>
            <w:r w:rsidR="007D0074" w:rsidRPr="00463181">
              <w:rPr>
                <w:color w:val="auto"/>
                <w:sz w:val="18"/>
                <w:lang w:val="en-GB"/>
              </w:rPr>
              <w:t>=</w:t>
            </w:r>
            <w:r w:rsidR="00EF6E46" w:rsidRPr="00463181">
              <w:rPr>
                <w:color w:val="auto"/>
                <w:sz w:val="18"/>
                <w:szCs w:val="14"/>
                <w:lang w:val="en-GB"/>
              </w:rPr>
              <w:t xml:space="preserve"> </w:t>
            </w:r>
            <w:r w:rsidR="007D0074" w:rsidRPr="00463181">
              <w:rPr>
                <w:color w:val="auto"/>
                <w:sz w:val="18"/>
                <w:lang w:val="en-GB"/>
              </w:rPr>
              <w:t>5</w:t>
            </w:r>
            <w:r w:rsidRPr="00463181">
              <w:rPr>
                <w:color w:val="auto"/>
                <w:sz w:val="18"/>
                <w:lang w:val="en-GB"/>
              </w:rPr>
              <w:t xml:space="preserve">.645, </w:t>
            </w:r>
            <w:r w:rsidR="007D0074" w:rsidRPr="00463181">
              <w:rPr>
                <w:i/>
                <w:color w:val="auto"/>
                <w:sz w:val="18"/>
                <w:lang w:val="en-GB"/>
              </w:rPr>
              <w:t xml:space="preserve">p </w:t>
            </w:r>
            <w:r w:rsidR="007D0074" w:rsidRPr="00463181">
              <w:rPr>
                <w:color w:val="auto"/>
                <w:sz w:val="18"/>
                <w:lang w:val="en-GB"/>
              </w:rPr>
              <w:t>=</w:t>
            </w:r>
            <w:r w:rsidR="00527710" w:rsidRPr="00463181">
              <w:rPr>
                <w:color w:val="auto"/>
                <w:sz w:val="18"/>
                <w:lang w:val="en-GB"/>
              </w:rPr>
              <w:t xml:space="preserve"> 0.0</w:t>
            </w:r>
            <w:r w:rsidRPr="00463181">
              <w:rPr>
                <w:color w:val="auto"/>
                <w:sz w:val="18"/>
                <w:lang w:val="en-GB"/>
              </w:rPr>
              <w:t>18</w:t>
            </w:r>
            <w:r w:rsidR="00FF4BC4" w:rsidRPr="00463181">
              <w:rPr>
                <w:color w:val="auto"/>
                <w:sz w:val="18"/>
                <w:lang w:val="en-GB"/>
              </w:rPr>
              <w:t xml:space="preserve"> </w:t>
            </w:r>
            <w:r w:rsidRPr="00463181">
              <w:rPr>
                <w:color w:val="auto"/>
                <w:sz w:val="18"/>
                <w:lang w:val="en-GB"/>
              </w:rPr>
              <w:t>*</w:t>
            </w:r>
          </w:p>
        </w:tc>
      </w:tr>
      <w:tr w:rsidR="00056784" w:rsidRPr="00463181" w14:paraId="40E7F745" w14:textId="77777777" w:rsidTr="005D2CF3">
        <w:tc>
          <w:tcPr>
            <w:tcW w:w="1645" w:type="dxa"/>
            <w:tcBorders>
              <w:left w:val="nil"/>
              <w:right w:val="nil"/>
            </w:tcBorders>
            <w:shd w:val="clear" w:color="auto" w:fill="auto"/>
            <w:vAlign w:val="center"/>
          </w:tcPr>
          <w:p w14:paraId="78D20C12" w14:textId="319190AA"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Fracture treatment</w:t>
            </w:r>
          </w:p>
        </w:tc>
        <w:tc>
          <w:tcPr>
            <w:tcW w:w="2551" w:type="dxa"/>
            <w:tcBorders>
              <w:left w:val="nil"/>
              <w:right w:val="nil"/>
            </w:tcBorders>
            <w:shd w:val="clear" w:color="auto" w:fill="auto"/>
            <w:vAlign w:val="center"/>
          </w:tcPr>
          <w:p w14:paraId="2D260E12" w14:textId="29AC214C" w:rsidR="008F5B30" w:rsidRPr="00463181" w:rsidRDefault="00463181" w:rsidP="00FB321B">
            <w:pPr>
              <w:autoSpaceDE w:val="0"/>
              <w:autoSpaceDN w:val="0"/>
              <w:adjustRightInd w:val="0"/>
              <w:snapToGrid w:val="0"/>
              <w:spacing w:line="240" w:lineRule="auto"/>
              <w:jc w:val="center"/>
              <w:rPr>
                <w:color w:val="auto"/>
                <w:sz w:val="18"/>
                <w:lang w:val="en-GB"/>
              </w:rPr>
            </w:pPr>
            <w:r w:rsidRPr="00463181">
              <w:rPr>
                <w:color w:val="auto"/>
                <w:sz w:val="18"/>
                <w:lang w:val="en-GB"/>
              </w:rPr>
              <w:t>Kruskal–Wallis</w:t>
            </w:r>
            <w:r w:rsidR="008F5B30" w:rsidRPr="00463181">
              <w:rPr>
                <w:color w:val="auto"/>
                <w:sz w:val="18"/>
                <w:lang w:val="en-GB"/>
              </w:rPr>
              <w:t xml:space="preserve"> H/Chi</w:t>
            </w:r>
            <w:r w:rsidR="008F5B30" w:rsidRPr="00463181">
              <w:rPr>
                <w:color w:val="auto"/>
                <w:sz w:val="18"/>
                <w:szCs w:val="14"/>
                <w:vertAlign w:val="superscript"/>
                <w:lang w:val="en-GB"/>
              </w:rPr>
              <w:t>2</w:t>
            </w:r>
            <w:r w:rsidR="00EF6E46" w:rsidRPr="00463181">
              <w:rPr>
                <w:color w:val="auto"/>
                <w:sz w:val="18"/>
                <w:szCs w:val="14"/>
                <w:lang w:val="en-GB"/>
              </w:rPr>
              <w:t xml:space="preserve"> </w:t>
            </w:r>
            <w:r w:rsidR="00631ED4" w:rsidRPr="00463181">
              <w:rPr>
                <w:color w:val="auto"/>
                <w:sz w:val="18"/>
                <w:lang w:val="en-GB"/>
              </w:rPr>
              <w:t>(</w:t>
            </w:r>
            <w:r w:rsidR="006050C4" w:rsidRPr="00463181">
              <w:rPr>
                <w:color w:val="auto"/>
                <w:sz w:val="18"/>
                <w:lang w:val="en-GB"/>
              </w:rPr>
              <w:t>r × c</w:t>
            </w:r>
            <w:r w:rsidR="00631ED4" w:rsidRPr="00463181">
              <w:rPr>
                <w:color w:val="auto"/>
                <w:sz w:val="18"/>
                <w:lang w:val="en-GB"/>
              </w:rPr>
              <w:t>)</w:t>
            </w:r>
          </w:p>
        </w:tc>
        <w:tc>
          <w:tcPr>
            <w:tcW w:w="1697" w:type="dxa"/>
            <w:tcBorders>
              <w:left w:val="nil"/>
              <w:right w:val="nil"/>
            </w:tcBorders>
            <w:shd w:val="clear" w:color="auto" w:fill="auto"/>
            <w:vAlign w:val="center"/>
          </w:tcPr>
          <w:p w14:paraId="27F68203" w14:textId="66609482" w:rsidR="008F5B30" w:rsidRPr="00463181" w:rsidRDefault="00E76425" w:rsidP="00FB321B">
            <w:pPr>
              <w:autoSpaceDE w:val="0"/>
              <w:autoSpaceDN w:val="0"/>
              <w:adjustRightInd w:val="0"/>
              <w:snapToGrid w:val="0"/>
              <w:spacing w:line="240" w:lineRule="auto"/>
              <w:jc w:val="center"/>
              <w:rPr>
                <w:color w:val="auto"/>
                <w:sz w:val="18"/>
                <w:lang w:val="en-GB"/>
              </w:rPr>
            </w:pPr>
            <w:r w:rsidRPr="00463181">
              <w:rPr>
                <w:i/>
                <w:color w:val="auto"/>
                <w:sz w:val="18"/>
                <w:lang w:val="en-GB"/>
              </w:rPr>
              <w:t xml:space="preserve">p </w:t>
            </w:r>
            <w:r w:rsidR="008F5B30" w:rsidRPr="00463181">
              <w:rPr>
                <w:color w:val="auto"/>
                <w:sz w:val="18"/>
                <w:lang w:val="en-GB"/>
              </w:rPr>
              <w:t>=</w:t>
            </w:r>
            <w:r w:rsidR="00527710" w:rsidRPr="00463181">
              <w:rPr>
                <w:color w:val="auto"/>
                <w:sz w:val="18"/>
                <w:lang w:val="en-GB"/>
              </w:rPr>
              <w:t xml:space="preserve"> 0.2</w:t>
            </w:r>
            <w:r w:rsidR="008F5B30" w:rsidRPr="00463181">
              <w:rPr>
                <w:color w:val="auto"/>
                <w:sz w:val="18"/>
                <w:lang w:val="en-GB"/>
              </w:rPr>
              <w:t>51</w:t>
            </w:r>
          </w:p>
        </w:tc>
        <w:tc>
          <w:tcPr>
            <w:tcW w:w="1964" w:type="dxa"/>
            <w:tcBorders>
              <w:left w:val="nil"/>
              <w:right w:val="nil"/>
            </w:tcBorders>
            <w:shd w:val="clear" w:color="auto" w:fill="auto"/>
            <w:vAlign w:val="center"/>
          </w:tcPr>
          <w:p w14:paraId="36E66CC8" w14:textId="09033208"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w:t>
            </w:r>
            <w:r w:rsidR="007D0074" w:rsidRPr="00463181">
              <w:rPr>
                <w:color w:val="auto"/>
                <w:sz w:val="18"/>
                <w:szCs w:val="14"/>
                <w:vertAlign w:val="superscript"/>
                <w:lang w:val="en-GB"/>
              </w:rPr>
              <w:t>2</w:t>
            </w:r>
            <w:r w:rsidR="00EF6E46" w:rsidRPr="00463181">
              <w:rPr>
                <w:color w:val="auto"/>
                <w:sz w:val="18"/>
                <w:szCs w:val="14"/>
                <w:lang w:val="en-GB"/>
              </w:rPr>
              <w:t xml:space="preserve"> </w:t>
            </w:r>
            <w:r w:rsidR="007D0074" w:rsidRPr="00463181">
              <w:rPr>
                <w:color w:val="auto"/>
                <w:sz w:val="18"/>
                <w:lang w:val="en-GB"/>
              </w:rPr>
              <w:t>=</w:t>
            </w:r>
            <w:r w:rsidR="00EF6E46" w:rsidRPr="00463181">
              <w:rPr>
                <w:color w:val="auto"/>
                <w:sz w:val="18"/>
                <w:szCs w:val="14"/>
                <w:lang w:val="en-GB"/>
              </w:rPr>
              <w:t xml:space="preserve"> </w:t>
            </w:r>
            <w:r w:rsidR="007D0074" w:rsidRPr="00463181">
              <w:rPr>
                <w:color w:val="auto"/>
                <w:sz w:val="18"/>
                <w:lang w:val="en-GB"/>
              </w:rPr>
              <w:t>1</w:t>
            </w:r>
            <w:r w:rsidRPr="00463181">
              <w:rPr>
                <w:color w:val="auto"/>
                <w:sz w:val="18"/>
                <w:lang w:val="en-GB"/>
              </w:rPr>
              <w:t xml:space="preserve">.257, </w:t>
            </w:r>
            <w:r w:rsidR="007D0074" w:rsidRPr="00463181">
              <w:rPr>
                <w:i/>
                <w:color w:val="auto"/>
                <w:sz w:val="18"/>
                <w:lang w:val="en-GB"/>
              </w:rPr>
              <w:t xml:space="preserve">p </w:t>
            </w:r>
            <w:r w:rsidR="007D0074" w:rsidRPr="00463181">
              <w:rPr>
                <w:color w:val="auto"/>
                <w:sz w:val="18"/>
                <w:lang w:val="en-GB"/>
              </w:rPr>
              <w:t>=</w:t>
            </w:r>
            <w:r w:rsidR="00527710" w:rsidRPr="00463181">
              <w:rPr>
                <w:color w:val="auto"/>
                <w:sz w:val="18"/>
                <w:lang w:val="en-GB"/>
              </w:rPr>
              <w:t xml:space="preserve"> 0.7</w:t>
            </w:r>
            <w:r w:rsidRPr="00463181">
              <w:rPr>
                <w:color w:val="auto"/>
                <w:sz w:val="18"/>
                <w:lang w:val="en-GB"/>
              </w:rPr>
              <w:t>39</w:t>
            </w:r>
          </w:p>
        </w:tc>
      </w:tr>
      <w:tr w:rsidR="00056784" w:rsidRPr="00463181" w14:paraId="4C539F95" w14:textId="77777777" w:rsidTr="005D2CF3">
        <w:tc>
          <w:tcPr>
            <w:tcW w:w="1645" w:type="dxa"/>
            <w:tcBorders>
              <w:left w:val="nil"/>
              <w:right w:val="nil"/>
            </w:tcBorders>
            <w:shd w:val="clear" w:color="auto" w:fill="auto"/>
            <w:vAlign w:val="center"/>
          </w:tcPr>
          <w:p w14:paraId="1E05D7E7" w14:textId="23248CC8"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Latency</w:t>
            </w:r>
          </w:p>
        </w:tc>
        <w:tc>
          <w:tcPr>
            <w:tcW w:w="2551" w:type="dxa"/>
            <w:tcBorders>
              <w:left w:val="nil"/>
              <w:right w:val="nil"/>
            </w:tcBorders>
            <w:shd w:val="clear" w:color="auto" w:fill="auto"/>
            <w:vAlign w:val="center"/>
          </w:tcPr>
          <w:p w14:paraId="6138777B" w14:textId="4B8637FA"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Spearman</w:t>
            </w:r>
            <w:r w:rsidR="00D76A11">
              <w:rPr>
                <w:color w:val="auto"/>
                <w:sz w:val="18"/>
                <w:lang w:val="en-GB"/>
              </w:rPr>
              <w:t>’</w:t>
            </w:r>
            <w:r w:rsidRPr="00463181">
              <w:rPr>
                <w:color w:val="auto"/>
                <w:sz w:val="18"/>
                <w:lang w:val="en-GB"/>
              </w:rPr>
              <w:t>s r/Mann</w:t>
            </w:r>
            <w:r w:rsidR="00D76A11">
              <w:rPr>
                <w:color w:val="auto"/>
                <w:sz w:val="18"/>
                <w:lang w:val="en-GB"/>
              </w:rPr>
              <w:t>–</w:t>
            </w:r>
            <w:r w:rsidRPr="00463181">
              <w:rPr>
                <w:color w:val="auto"/>
                <w:sz w:val="18"/>
                <w:lang w:val="en-GB"/>
              </w:rPr>
              <w:t>W U</w:t>
            </w:r>
          </w:p>
        </w:tc>
        <w:tc>
          <w:tcPr>
            <w:tcW w:w="1697" w:type="dxa"/>
            <w:tcBorders>
              <w:left w:val="nil"/>
              <w:right w:val="nil"/>
            </w:tcBorders>
            <w:shd w:val="clear" w:color="auto" w:fill="auto"/>
            <w:vAlign w:val="center"/>
          </w:tcPr>
          <w:p w14:paraId="4E4C9D39" w14:textId="5C2C6080"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 xml:space="preserve">cc </w:t>
            </w:r>
            <w:r w:rsidR="008E389E" w:rsidRPr="00463181">
              <w:rPr>
                <w:color w:val="auto"/>
                <w:sz w:val="18"/>
                <w:lang w:val="en-GB"/>
              </w:rPr>
              <w:t>−0.</w:t>
            </w:r>
            <w:r w:rsidRPr="00463181">
              <w:rPr>
                <w:color w:val="auto"/>
                <w:sz w:val="18"/>
                <w:lang w:val="en-GB"/>
              </w:rPr>
              <w:t xml:space="preserve">085, </w:t>
            </w:r>
            <w:r w:rsidR="00631ED4" w:rsidRPr="00463181">
              <w:rPr>
                <w:i/>
                <w:color w:val="auto"/>
                <w:sz w:val="18"/>
                <w:lang w:val="en-GB"/>
              </w:rPr>
              <w:t>p</w:t>
            </w:r>
            <w:r w:rsidRPr="00463181">
              <w:rPr>
                <w:color w:val="auto"/>
                <w:sz w:val="18"/>
                <w:lang w:val="en-GB"/>
              </w:rPr>
              <w:t xml:space="preserve"> =</w:t>
            </w:r>
            <w:r w:rsidR="00527710" w:rsidRPr="00463181">
              <w:rPr>
                <w:color w:val="auto"/>
                <w:sz w:val="18"/>
                <w:lang w:val="en-GB"/>
              </w:rPr>
              <w:t xml:space="preserve"> 0.5</w:t>
            </w:r>
            <w:r w:rsidRPr="00463181">
              <w:rPr>
                <w:color w:val="auto"/>
                <w:sz w:val="18"/>
                <w:lang w:val="en-GB"/>
              </w:rPr>
              <w:t>21</w:t>
            </w:r>
          </w:p>
        </w:tc>
        <w:tc>
          <w:tcPr>
            <w:tcW w:w="1964" w:type="dxa"/>
            <w:tcBorders>
              <w:left w:val="nil"/>
              <w:right w:val="nil"/>
            </w:tcBorders>
            <w:shd w:val="clear" w:color="auto" w:fill="auto"/>
            <w:vAlign w:val="center"/>
          </w:tcPr>
          <w:p w14:paraId="6C3870FE" w14:textId="5AA30D9C"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2</w:t>
            </w:r>
            <w:r w:rsidR="008F5B30" w:rsidRPr="00463181">
              <w:rPr>
                <w:color w:val="auto"/>
                <w:sz w:val="18"/>
                <w:lang w:val="en-GB"/>
              </w:rPr>
              <w:t xml:space="preserve">08.5, </w:t>
            </w:r>
            <w:r w:rsidRPr="00463181">
              <w:rPr>
                <w:i/>
                <w:color w:val="auto"/>
                <w:sz w:val="18"/>
                <w:lang w:val="en-GB"/>
              </w:rPr>
              <w:t xml:space="preserve">p </w:t>
            </w:r>
            <w:r w:rsidRPr="00463181">
              <w:rPr>
                <w:color w:val="auto"/>
                <w:sz w:val="18"/>
                <w:lang w:val="en-GB"/>
              </w:rPr>
              <w:t>=</w:t>
            </w:r>
            <w:r w:rsidR="00527710" w:rsidRPr="00463181">
              <w:rPr>
                <w:color w:val="auto"/>
                <w:sz w:val="18"/>
                <w:lang w:val="en-GB"/>
              </w:rPr>
              <w:t xml:space="preserve"> 0.4</w:t>
            </w:r>
            <w:r w:rsidR="008F5B30" w:rsidRPr="00463181">
              <w:rPr>
                <w:color w:val="auto"/>
                <w:sz w:val="18"/>
                <w:lang w:val="en-GB"/>
              </w:rPr>
              <w:t>31</w:t>
            </w:r>
          </w:p>
        </w:tc>
      </w:tr>
      <w:tr w:rsidR="00056784" w:rsidRPr="00463181" w14:paraId="2DD0E1F8" w14:textId="77777777" w:rsidTr="005D2CF3">
        <w:tc>
          <w:tcPr>
            <w:tcW w:w="1645" w:type="dxa"/>
            <w:tcBorders>
              <w:left w:val="nil"/>
              <w:right w:val="nil"/>
            </w:tcBorders>
            <w:shd w:val="clear" w:color="auto" w:fill="auto"/>
            <w:vAlign w:val="center"/>
          </w:tcPr>
          <w:p w14:paraId="3F1DF2C4" w14:textId="4C39A68D"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vertAlign w:val="superscript"/>
                <w:lang w:val="en-GB"/>
              </w:rPr>
              <w:t>LoS</w:t>
            </w:r>
            <w:r w:rsidRPr="00463181">
              <w:rPr>
                <w:color w:val="auto"/>
                <w:sz w:val="18"/>
                <w:szCs w:val="14"/>
                <w:lang w:val="en-GB"/>
              </w:rPr>
              <w:t>acute</w:t>
            </w:r>
          </w:p>
        </w:tc>
        <w:tc>
          <w:tcPr>
            <w:tcW w:w="2551" w:type="dxa"/>
            <w:tcBorders>
              <w:left w:val="nil"/>
              <w:right w:val="nil"/>
            </w:tcBorders>
            <w:shd w:val="clear" w:color="auto" w:fill="auto"/>
            <w:vAlign w:val="center"/>
          </w:tcPr>
          <w:p w14:paraId="7AF728A9" w14:textId="771E43B7"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Spearman</w:t>
            </w:r>
            <w:r w:rsidR="00D76A11">
              <w:rPr>
                <w:color w:val="auto"/>
                <w:sz w:val="18"/>
                <w:lang w:val="en-GB"/>
              </w:rPr>
              <w:t>’</w:t>
            </w:r>
            <w:r w:rsidRPr="00463181">
              <w:rPr>
                <w:color w:val="auto"/>
                <w:sz w:val="18"/>
                <w:lang w:val="en-GB"/>
              </w:rPr>
              <w:t>s r/Mann</w:t>
            </w:r>
            <w:r w:rsidR="00D76A11">
              <w:rPr>
                <w:color w:val="auto"/>
                <w:sz w:val="18"/>
                <w:lang w:val="en-GB"/>
              </w:rPr>
              <w:t>–</w:t>
            </w:r>
            <w:r w:rsidRPr="00463181">
              <w:rPr>
                <w:color w:val="auto"/>
                <w:sz w:val="18"/>
                <w:lang w:val="en-GB"/>
              </w:rPr>
              <w:t>W U</w:t>
            </w:r>
          </w:p>
        </w:tc>
        <w:tc>
          <w:tcPr>
            <w:tcW w:w="1697" w:type="dxa"/>
            <w:tcBorders>
              <w:left w:val="nil"/>
              <w:right w:val="nil"/>
            </w:tcBorders>
            <w:shd w:val="clear" w:color="auto" w:fill="auto"/>
            <w:vAlign w:val="center"/>
          </w:tcPr>
          <w:p w14:paraId="76DFC4F7" w14:textId="18003CE2"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cc</w:t>
            </w:r>
            <w:r w:rsidR="00527710" w:rsidRPr="00463181">
              <w:rPr>
                <w:color w:val="auto"/>
                <w:sz w:val="18"/>
                <w:lang w:val="en-GB"/>
              </w:rPr>
              <w:t xml:space="preserve"> 0.2</w:t>
            </w:r>
            <w:r w:rsidRPr="00463181">
              <w:rPr>
                <w:color w:val="auto"/>
                <w:sz w:val="18"/>
                <w:lang w:val="en-GB"/>
              </w:rPr>
              <w:t xml:space="preserve">20, </w:t>
            </w:r>
            <w:r w:rsidR="00631ED4" w:rsidRPr="00463181">
              <w:rPr>
                <w:i/>
                <w:color w:val="auto"/>
                <w:sz w:val="18"/>
                <w:lang w:val="en-GB"/>
              </w:rPr>
              <w:t>p</w:t>
            </w:r>
            <w:r w:rsidRPr="00463181">
              <w:rPr>
                <w:color w:val="auto"/>
                <w:sz w:val="18"/>
                <w:lang w:val="en-GB"/>
              </w:rPr>
              <w:t xml:space="preserve"> =</w:t>
            </w:r>
            <w:r w:rsidR="00527710" w:rsidRPr="00463181">
              <w:rPr>
                <w:color w:val="auto"/>
                <w:sz w:val="18"/>
                <w:lang w:val="en-GB"/>
              </w:rPr>
              <w:t xml:space="preserve"> 0.0</w:t>
            </w:r>
            <w:r w:rsidRPr="00463181">
              <w:rPr>
                <w:color w:val="auto"/>
                <w:sz w:val="18"/>
                <w:lang w:val="en-GB"/>
              </w:rPr>
              <w:t>88</w:t>
            </w:r>
          </w:p>
        </w:tc>
        <w:tc>
          <w:tcPr>
            <w:tcW w:w="1964" w:type="dxa"/>
            <w:tcBorders>
              <w:left w:val="nil"/>
              <w:right w:val="nil"/>
            </w:tcBorders>
            <w:shd w:val="clear" w:color="auto" w:fill="auto"/>
            <w:vAlign w:val="center"/>
          </w:tcPr>
          <w:p w14:paraId="01943564" w14:textId="2D607C12"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1</w:t>
            </w:r>
            <w:r w:rsidR="008F5B30" w:rsidRPr="00463181">
              <w:rPr>
                <w:color w:val="auto"/>
                <w:sz w:val="18"/>
                <w:lang w:val="en-GB"/>
              </w:rPr>
              <w:t xml:space="preserve">81.500, </w:t>
            </w:r>
            <w:r w:rsidRPr="00463181">
              <w:rPr>
                <w:i/>
                <w:color w:val="auto"/>
                <w:sz w:val="18"/>
                <w:lang w:val="en-GB"/>
              </w:rPr>
              <w:t xml:space="preserve">p </w:t>
            </w:r>
            <w:r w:rsidRPr="00463181">
              <w:rPr>
                <w:color w:val="auto"/>
                <w:sz w:val="18"/>
                <w:lang w:val="en-GB"/>
              </w:rPr>
              <w:t>=</w:t>
            </w:r>
            <w:r w:rsidR="00527710" w:rsidRPr="00463181">
              <w:rPr>
                <w:color w:val="auto"/>
                <w:sz w:val="18"/>
                <w:lang w:val="en-GB"/>
              </w:rPr>
              <w:t xml:space="preserve"> 0.0</w:t>
            </w:r>
            <w:r w:rsidR="008F5B30" w:rsidRPr="00463181">
              <w:rPr>
                <w:color w:val="auto"/>
                <w:sz w:val="18"/>
                <w:lang w:val="en-GB"/>
              </w:rPr>
              <w:t>41</w:t>
            </w:r>
            <w:r w:rsidR="002B0099" w:rsidRPr="00463181">
              <w:rPr>
                <w:color w:val="auto"/>
                <w:sz w:val="18"/>
                <w:lang w:val="en-GB"/>
              </w:rPr>
              <w:t xml:space="preserve"> </w:t>
            </w:r>
            <w:r w:rsidR="008F5B30" w:rsidRPr="00463181">
              <w:rPr>
                <w:color w:val="auto"/>
                <w:sz w:val="18"/>
                <w:lang w:val="en-GB"/>
              </w:rPr>
              <w:t>*</w:t>
            </w:r>
          </w:p>
        </w:tc>
      </w:tr>
      <w:tr w:rsidR="00056784" w:rsidRPr="00463181" w14:paraId="24F9780E" w14:textId="77777777" w:rsidTr="005D2CF3">
        <w:tc>
          <w:tcPr>
            <w:tcW w:w="1645" w:type="dxa"/>
            <w:tcBorders>
              <w:left w:val="nil"/>
              <w:right w:val="nil"/>
            </w:tcBorders>
            <w:shd w:val="clear" w:color="auto" w:fill="auto"/>
            <w:vAlign w:val="center"/>
          </w:tcPr>
          <w:p w14:paraId="4179BA1E" w14:textId="5AB75D84"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vertAlign w:val="superscript"/>
                <w:lang w:val="en-GB"/>
              </w:rPr>
              <w:t>FIM</w:t>
            </w:r>
            <w:r w:rsidRPr="00463181">
              <w:rPr>
                <w:color w:val="auto"/>
                <w:sz w:val="18"/>
                <w:szCs w:val="14"/>
                <w:lang w:val="en-GB"/>
              </w:rPr>
              <w:t>pre-fracture</w:t>
            </w:r>
          </w:p>
        </w:tc>
        <w:tc>
          <w:tcPr>
            <w:tcW w:w="2551" w:type="dxa"/>
            <w:tcBorders>
              <w:left w:val="nil"/>
              <w:right w:val="nil"/>
            </w:tcBorders>
            <w:shd w:val="clear" w:color="auto" w:fill="auto"/>
            <w:vAlign w:val="center"/>
          </w:tcPr>
          <w:p w14:paraId="75E5D9C3" w14:textId="5F18B1C6"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Spearman</w:t>
            </w:r>
            <w:r w:rsidR="00D76A11">
              <w:rPr>
                <w:color w:val="auto"/>
                <w:sz w:val="18"/>
                <w:lang w:val="en-GB"/>
              </w:rPr>
              <w:t>’</w:t>
            </w:r>
            <w:r w:rsidRPr="00463181">
              <w:rPr>
                <w:color w:val="auto"/>
                <w:sz w:val="18"/>
                <w:lang w:val="en-GB"/>
              </w:rPr>
              <w:t>s r/Mann</w:t>
            </w:r>
            <w:r w:rsidR="00D76A11">
              <w:rPr>
                <w:color w:val="auto"/>
                <w:sz w:val="18"/>
                <w:lang w:val="en-GB"/>
              </w:rPr>
              <w:t>–</w:t>
            </w:r>
            <w:r w:rsidRPr="00463181">
              <w:rPr>
                <w:color w:val="auto"/>
                <w:sz w:val="18"/>
                <w:lang w:val="en-GB"/>
              </w:rPr>
              <w:t>W U</w:t>
            </w:r>
          </w:p>
        </w:tc>
        <w:tc>
          <w:tcPr>
            <w:tcW w:w="1697" w:type="dxa"/>
            <w:tcBorders>
              <w:left w:val="nil"/>
              <w:right w:val="nil"/>
            </w:tcBorders>
            <w:shd w:val="clear" w:color="auto" w:fill="auto"/>
            <w:vAlign w:val="center"/>
          </w:tcPr>
          <w:p w14:paraId="0DE013AA" w14:textId="4F76B4BB"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cc</w:t>
            </w:r>
            <w:r w:rsidR="00527710" w:rsidRPr="00463181">
              <w:rPr>
                <w:color w:val="auto"/>
                <w:sz w:val="18"/>
                <w:lang w:val="en-GB"/>
              </w:rPr>
              <w:t xml:space="preserve"> 0.2</w:t>
            </w:r>
            <w:r w:rsidRPr="00463181">
              <w:rPr>
                <w:color w:val="auto"/>
                <w:sz w:val="18"/>
                <w:lang w:val="en-GB"/>
              </w:rPr>
              <w:t xml:space="preserve">42, </w:t>
            </w:r>
            <w:r w:rsidR="00631ED4" w:rsidRPr="00463181">
              <w:rPr>
                <w:i/>
                <w:color w:val="auto"/>
                <w:sz w:val="18"/>
                <w:lang w:val="en-GB"/>
              </w:rPr>
              <w:t>p</w:t>
            </w:r>
            <w:r w:rsidRPr="00463181">
              <w:rPr>
                <w:color w:val="auto"/>
                <w:sz w:val="18"/>
                <w:lang w:val="en-GB"/>
              </w:rPr>
              <w:t xml:space="preserve"> =</w:t>
            </w:r>
            <w:r w:rsidR="00527710" w:rsidRPr="00463181">
              <w:rPr>
                <w:color w:val="auto"/>
                <w:sz w:val="18"/>
                <w:lang w:val="en-GB"/>
              </w:rPr>
              <w:t xml:space="preserve"> 0.0</w:t>
            </w:r>
            <w:r w:rsidRPr="00463181">
              <w:rPr>
                <w:color w:val="auto"/>
                <w:sz w:val="18"/>
                <w:lang w:val="en-GB"/>
              </w:rPr>
              <w:t>62</w:t>
            </w:r>
          </w:p>
        </w:tc>
        <w:tc>
          <w:tcPr>
            <w:tcW w:w="1964" w:type="dxa"/>
            <w:tcBorders>
              <w:left w:val="nil"/>
              <w:right w:val="nil"/>
            </w:tcBorders>
            <w:shd w:val="clear" w:color="auto" w:fill="auto"/>
            <w:vAlign w:val="center"/>
          </w:tcPr>
          <w:p w14:paraId="685F241E" w14:textId="69849082"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9</w:t>
            </w:r>
            <w:r w:rsidR="008F5B30" w:rsidRPr="00463181">
              <w:rPr>
                <w:color w:val="auto"/>
                <w:sz w:val="18"/>
                <w:lang w:val="en-GB"/>
              </w:rPr>
              <w:t xml:space="preserve">5.500, </w:t>
            </w:r>
            <w:r w:rsidRPr="00463181">
              <w:rPr>
                <w:i/>
                <w:color w:val="auto"/>
                <w:sz w:val="18"/>
                <w:lang w:val="en-GB"/>
              </w:rPr>
              <w:t xml:space="preserve">p </w:t>
            </w:r>
            <w:r w:rsidRPr="00463181">
              <w:rPr>
                <w:color w:val="auto"/>
                <w:sz w:val="18"/>
                <w:lang w:val="en-GB"/>
              </w:rPr>
              <w:t>=</w:t>
            </w:r>
            <w:r w:rsidR="00527710" w:rsidRPr="00463181">
              <w:rPr>
                <w:color w:val="auto"/>
                <w:sz w:val="18"/>
                <w:lang w:val="en-GB"/>
              </w:rPr>
              <w:t xml:space="preserve"> 0.0</w:t>
            </w:r>
            <w:r w:rsidR="008F5B30" w:rsidRPr="00463181">
              <w:rPr>
                <w:color w:val="auto"/>
                <w:sz w:val="18"/>
                <w:lang w:val="en-GB"/>
              </w:rPr>
              <w:t>00</w:t>
            </w:r>
            <w:r w:rsidR="002B0099" w:rsidRPr="00463181">
              <w:rPr>
                <w:color w:val="auto"/>
                <w:sz w:val="18"/>
                <w:lang w:val="en-GB"/>
              </w:rPr>
              <w:t xml:space="preserve"> </w:t>
            </w:r>
            <w:r w:rsidR="008F5B30" w:rsidRPr="00463181">
              <w:rPr>
                <w:color w:val="auto"/>
                <w:sz w:val="18"/>
                <w:lang w:val="en-GB"/>
              </w:rPr>
              <w:t>**</w:t>
            </w:r>
          </w:p>
        </w:tc>
      </w:tr>
      <w:tr w:rsidR="00056784" w:rsidRPr="00463181" w14:paraId="5DE7E2D9" w14:textId="77777777" w:rsidTr="005D2CF3">
        <w:tc>
          <w:tcPr>
            <w:tcW w:w="1645" w:type="dxa"/>
            <w:tcBorders>
              <w:left w:val="nil"/>
              <w:right w:val="nil"/>
            </w:tcBorders>
            <w:shd w:val="clear" w:color="auto" w:fill="auto"/>
            <w:vAlign w:val="center"/>
          </w:tcPr>
          <w:p w14:paraId="117F6CCF" w14:textId="478B792E"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vertAlign w:val="superscript"/>
                <w:lang w:val="en-GB"/>
              </w:rPr>
              <w:t>FIM</w:t>
            </w:r>
            <w:r w:rsidRPr="00463181">
              <w:rPr>
                <w:color w:val="auto"/>
                <w:sz w:val="18"/>
                <w:szCs w:val="14"/>
                <w:lang w:val="en-GB"/>
              </w:rPr>
              <w:t>admission</w:t>
            </w:r>
          </w:p>
        </w:tc>
        <w:tc>
          <w:tcPr>
            <w:tcW w:w="2551" w:type="dxa"/>
            <w:tcBorders>
              <w:left w:val="nil"/>
              <w:right w:val="nil"/>
            </w:tcBorders>
            <w:shd w:val="clear" w:color="auto" w:fill="auto"/>
            <w:vAlign w:val="center"/>
          </w:tcPr>
          <w:p w14:paraId="607DEBC2" w14:textId="5168E127"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Spearman</w:t>
            </w:r>
            <w:r w:rsidR="00D76A11">
              <w:rPr>
                <w:color w:val="auto"/>
                <w:sz w:val="18"/>
                <w:lang w:val="en-GB"/>
              </w:rPr>
              <w:t>’</w:t>
            </w:r>
            <w:r w:rsidRPr="00463181">
              <w:rPr>
                <w:color w:val="auto"/>
                <w:sz w:val="18"/>
                <w:lang w:val="en-GB"/>
              </w:rPr>
              <w:t>s r/Mann</w:t>
            </w:r>
            <w:r w:rsidR="00D76A11">
              <w:rPr>
                <w:color w:val="auto"/>
                <w:sz w:val="18"/>
                <w:lang w:val="en-GB"/>
              </w:rPr>
              <w:t>–</w:t>
            </w:r>
            <w:r w:rsidRPr="00463181">
              <w:rPr>
                <w:color w:val="auto"/>
                <w:sz w:val="18"/>
                <w:lang w:val="en-GB"/>
              </w:rPr>
              <w:t>W U</w:t>
            </w:r>
          </w:p>
        </w:tc>
        <w:tc>
          <w:tcPr>
            <w:tcW w:w="1697" w:type="dxa"/>
            <w:tcBorders>
              <w:left w:val="nil"/>
              <w:right w:val="nil"/>
            </w:tcBorders>
            <w:shd w:val="clear" w:color="auto" w:fill="auto"/>
            <w:vAlign w:val="center"/>
          </w:tcPr>
          <w:p w14:paraId="59CA51E8" w14:textId="629BEAA3"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cc</w:t>
            </w:r>
            <w:r w:rsidR="00527710" w:rsidRPr="00463181">
              <w:rPr>
                <w:color w:val="auto"/>
                <w:sz w:val="18"/>
                <w:lang w:val="en-GB"/>
              </w:rPr>
              <w:t xml:space="preserve"> 0.4</w:t>
            </w:r>
            <w:r w:rsidRPr="00463181">
              <w:rPr>
                <w:color w:val="auto"/>
                <w:sz w:val="18"/>
                <w:lang w:val="en-GB"/>
              </w:rPr>
              <w:t xml:space="preserve">14, </w:t>
            </w:r>
            <w:r w:rsidR="00631ED4" w:rsidRPr="00463181">
              <w:rPr>
                <w:i/>
                <w:color w:val="auto"/>
                <w:sz w:val="18"/>
                <w:lang w:val="en-GB"/>
              </w:rPr>
              <w:t>p</w:t>
            </w:r>
            <w:r w:rsidRPr="00463181">
              <w:rPr>
                <w:color w:val="auto"/>
                <w:sz w:val="18"/>
                <w:lang w:val="en-GB"/>
              </w:rPr>
              <w:t xml:space="preserve"> =</w:t>
            </w:r>
            <w:r w:rsidR="00527710" w:rsidRPr="00463181">
              <w:rPr>
                <w:color w:val="auto"/>
                <w:sz w:val="18"/>
                <w:lang w:val="en-GB"/>
              </w:rPr>
              <w:t xml:space="preserve"> 0.0</w:t>
            </w:r>
            <w:r w:rsidRPr="00463181">
              <w:rPr>
                <w:color w:val="auto"/>
                <w:sz w:val="18"/>
                <w:lang w:val="en-GB"/>
              </w:rPr>
              <w:t>01</w:t>
            </w:r>
            <w:r w:rsidR="004D38DE" w:rsidRPr="00463181">
              <w:rPr>
                <w:color w:val="auto"/>
                <w:sz w:val="18"/>
                <w:lang w:val="en-GB"/>
              </w:rPr>
              <w:t xml:space="preserve"> </w:t>
            </w:r>
            <w:r w:rsidRPr="00463181">
              <w:rPr>
                <w:color w:val="auto"/>
                <w:sz w:val="18"/>
                <w:lang w:val="en-GB"/>
              </w:rPr>
              <w:t>**</w:t>
            </w:r>
          </w:p>
        </w:tc>
        <w:tc>
          <w:tcPr>
            <w:tcW w:w="1964" w:type="dxa"/>
            <w:tcBorders>
              <w:left w:val="nil"/>
              <w:right w:val="nil"/>
            </w:tcBorders>
            <w:shd w:val="clear" w:color="auto" w:fill="auto"/>
            <w:vAlign w:val="center"/>
          </w:tcPr>
          <w:p w14:paraId="41B528B8" w14:textId="1DA8CBFE"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9</w:t>
            </w:r>
            <w:r w:rsidR="008F5B30" w:rsidRPr="00463181">
              <w:rPr>
                <w:color w:val="auto"/>
                <w:sz w:val="18"/>
                <w:lang w:val="en-GB"/>
              </w:rPr>
              <w:t xml:space="preserve">5.500, </w:t>
            </w:r>
            <w:r w:rsidRPr="00463181">
              <w:rPr>
                <w:i/>
                <w:color w:val="auto"/>
                <w:sz w:val="18"/>
                <w:lang w:val="en-GB"/>
              </w:rPr>
              <w:t xml:space="preserve">p </w:t>
            </w:r>
            <w:r w:rsidRPr="00463181">
              <w:rPr>
                <w:color w:val="auto"/>
                <w:sz w:val="18"/>
                <w:lang w:val="en-GB"/>
              </w:rPr>
              <w:t>=</w:t>
            </w:r>
            <w:r w:rsidR="00527710" w:rsidRPr="00463181">
              <w:rPr>
                <w:color w:val="auto"/>
                <w:sz w:val="18"/>
                <w:lang w:val="en-GB"/>
              </w:rPr>
              <w:t xml:space="preserve"> 0.0</w:t>
            </w:r>
            <w:r w:rsidR="008F5B30" w:rsidRPr="00463181">
              <w:rPr>
                <w:color w:val="auto"/>
                <w:sz w:val="18"/>
                <w:lang w:val="en-GB"/>
              </w:rPr>
              <w:t>00</w:t>
            </w:r>
            <w:r w:rsidR="002B0099" w:rsidRPr="00463181">
              <w:rPr>
                <w:color w:val="auto"/>
                <w:sz w:val="18"/>
                <w:lang w:val="en-GB"/>
              </w:rPr>
              <w:t xml:space="preserve"> </w:t>
            </w:r>
            <w:r w:rsidR="008F5B30" w:rsidRPr="00463181">
              <w:rPr>
                <w:color w:val="auto"/>
                <w:sz w:val="18"/>
                <w:lang w:val="en-GB"/>
              </w:rPr>
              <w:t>**</w:t>
            </w:r>
          </w:p>
        </w:tc>
      </w:tr>
      <w:tr w:rsidR="00056784" w:rsidRPr="00463181" w14:paraId="13A9CB49" w14:textId="77777777" w:rsidTr="005D2CF3">
        <w:tc>
          <w:tcPr>
            <w:tcW w:w="1645" w:type="dxa"/>
            <w:tcBorders>
              <w:left w:val="nil"/>
              <w:right w:val="nil"/>
            </w:tcBorders>
            <w:shd w:val="clear" w:color="auto" w:fill="auto"/>
            <w:vAlign w:val="center"/>
          </w:tcPr>
          <w:p w14:paraId="23F68E07" w14:textId="4CB4A696"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vertAlign w:val="superscript"/>
                <w:lang w:val="en-GB"/>
              </w:rPr>
              <w:t>FIM</w:t>
            </w:r>
            <w:r w:rsidRPr="00463181">
              <w:rPr>
                <w:color w:val="auto"/>
                <w:sz w:val="18"/>
                <w:szCs w:val="14"/>
                <w:lang w:val="en-GB"/>
              </w:rPr>
              <w:t>%change</w:t>
            </w:r>
          </w:p>
        </w:tc>
        <w:tc>
          <w:tcPr>
            <w:tcW w:w="2551" w:type="dxa"/>
            <w:tcBorders>
              <w:left w:val="nil"/>
              <w:right w:val="nil"/>
            </w:tcBorders>
            <w:shd w:val="clear" w:color="auto" w:fill="auto"/>
            <w:vAlign w:val="center"/>
          </w:tcPr>
          <w:p w14:paraId="44B36B4C" w14:textId="3F928868"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Spearman</w:t>
            </w:r>
            <w:r w:rsidR="00D76A11">
              <w:rPr>
                <w:color w:val="auto"/>
                <w:sz w:val="18"/>
                <w:lang w:val="en-GB"/>
              </w:rPr>
              <w:t>’</w:t>
            </w:r>
            <w:r w:rsidRPr="00463181">
              <w:rPr>
                <w:color w:val="auto"/>
                <w:sz w:val="18"/>
                <w:lang w:val="en-GB"/>
              </w:rPr>
              <w:t>s r/Mann</w:t>
            </w:r>
            <w:r w:rsidR="00D76A11">
              <w:rPr>
                <w:color w:val="auto"/>
                <w:sz w:val="18"/>
                <w:lang w:val="en-GB"/>
              </w:rPr>
              <w:t>–</w:t>
            </w:r>
            <w:r w:rsidRPr="00463181">
              <w:rPr>
                <w:color w:val="auto"/>
                <w:sz w:val="18"/>
                <w:lang w:val="en-GB"/>
              </w:rPr>
              <w:t>W U</w:t>
            </w:r>
          </w:p>
        </w:tc>
        <w:tc>
          <w:tcPr>
            <w:tcW w:w="1697" w:type="dxa"/>
            <w:tcBorders>
              <w:left w:val="nil"/>
              <w:right w:val="nil"/>
            </w:tcBorders>
            <w:shd w:val="clear" w:color="auto" w:fill="auto"/>
            <w:vAlign w:val="center"/>
          </w:tcPr>
          <w:p w14:paraId="32282AC3" w14:textId="128552CC"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cc</w:t>
            </w:r>
            <w:r w:rsidR="00527710" w:rsidRPr="00463181">
              <w:rPr>
                <w:color w:val="auto"/>
                <w:sz w:val="18"/>
                <w:lang w:val="en-GB"/>
              </w:rPr>
              <w:t xml:space="preserve"> 0.2</w:t>
            </w:r>
            <w:r w:rsidRPr="00463181">
              <w:rPr>
                <w:color w:val="auto"/>
                <w:sz w:val="18"/>
                <w:lang w:val="en-GB"/>
              </w:rPr>
              <w:t xml:space="preserve">99, </w:t>
            </w:r>
            <w:r w:rsidR="00631ED4" w:rsidRPr="00463181">
              <w:rPr>
                <w:i/>
                <w:color w:val="auto"/>
                <w:sz w:val="18"/>
                <w:lang w:val="en-GB"/>
              </w:rPr>
              <w:t>p</w:t>
            </w:r>
            <w:r w:rsidRPr="00463181">
              <w:rPr>
                <w:color w:val="auto"/>
                <w:sz w:val="18"/>
                <w:lang w:val="en-GB"/>
              </w:rPr>
              <w:t xml:space="preserve"> =</w:t>
            </w:r>
            <w:r w:rsidR="00527710" w:rsidRPr="00463181">
              <w:rPr>
                <w:color w:val="auto"/>
                <w:sz w:val="18"/>
                <w:lang w:val="en-GB"/>
              </w:rPr>
              <w:t xml:space="preserve"> 0.0</w:t>
            </w:r>
            <w:r w:rsidRPr="00463181">
              <w:rPr>
                <w:color w:val="auto"/>
                <w:sz w:val="18"/>
                <w:lang w:val="en-GB"/>
              </w:rPr>
              <w:t>19</w:t>
            </w:r>
            <w:r w:rsidR="004D38DE" w:rsidRPr="00463181">
              <w:rPr>
                <w:color w:val="auto"/>
                <w:sz w:val="18"/>
                <w:lang w:val="en-GB"/>
              </w:rPr>
              <w:t xml:space="preserve"> </w:t>
            </w:r>
            <w:r w:rsidRPr="00463181">
              <w:rPr>
                <w:color w:val="auto"/>
                <w:sz w:val="18"/>
                <w:lang w:val="en-GB"/>
              </w:rPr>
              <w:t>*</w:t>
            </w:r>
          </w:p>
        </w:tc>
        <w:tc>
          <w:tcPr>
            <w:tcW w:w="1964" w:type="dxa"/>
            <w:tcBorders>
              <w:left w:val="nil"/>
              <w:right w:val="nil"/>
            </w:tcBorders>
            <w:shd w:val="clear" w:color="auto" w:fill="auto"/>
            <w:vAlign w:val="center"/>
          </w:tcPr>
          <w:p w14:paraId="49FD40BF" w14:textId="330CFC0E"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2</w:t>
            </w:r>
            <w:r w:rsidR="008F5B30" w:rsidRPr="00463181">
              <w:rPr>
                <w:color w:val="auto"/>
                <w:sz w:val="18"/>
                <w:lang w:val="en-GB"/>
              </w:rPr>
              <w:t xml:space="preserve">17.00, </w:t>
            </w:r>
            <w:r w:rsidRPr="00463181">
              <w:rPr>
                <w:i/>
                <w:color w:val="auto"/>
                <w:sz w:val="18"/>
                <w:lang w:val="en-GB"/>
              </w:rPr>
              <w:t xml:space="preserve">p </w:t>
            </w:r>
            <w:r w:rsidRPr="00463181">
              <w:rPr>
                <w:color w:val="auto"/>
                <w:sz w:val="18"/>
                <w:lang w:val="en-GB"/>
              </w:rPr>
              <w:t>=</w:t>
            </w:r>
            <w:r w:rsidR="00527710" w:rsidRPr="00463181">
              <w:rPr>
                <w:color w:val="auto"/>
                <w:sz w:val="18"/>
                <w:lang w:val="en-GB"/>
              </w:rPr>
              <w:t xml:space="preserve"> 0.1</w:t>
            </w:r>
            <w:r w:rsidR="008F5B30" w:rsidRPr="00463181">
              <w:rPr>
                <w:color w:val="auto"/>
                <w:sz w:val="18"/>
                <w:lang w:val="en-GB"/>
              </w:rPr>
              <w:t>62</w:t>
            </w:r>
          </w:p>
        </w:tc>
      </w:tr>
      <w:tr w:rsidR="00056784" w:rsidRPr="00463181" w14:paraId="59C0D7EF" w14:textId="77777777" w:rsidTr="005D2CF3">
        <w:tc>
          <w:tcPr>
            <w:tcW w:w="1645" w:type="dxa"/>
            <w:tcBorders>
              <w:left w:val="nil"/>
              <w:right w:val="nil"/>
            </w:tcBorders>
            <w:shd w:val="clear" w:color="auto" w:fill="auto"/>
            <w:vAlign w:val="center"/>
          </w:tcPr>
          <w:p w14:paraId="73E87892" w14:textId="4967B045"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Stairs</w:t>
            </w:r>
          </w:p>
        </w:tc>
        <w:tc>
          <w:tcPr>
            <w:tcW w:w="2551" w:type="dxa"/>
            <w:tcBorders>
              <w:left w:val="nil"/>
              <w:right w:val="nil"/>
            </w:tcBorders>
            <w:shd w:val="clear" w:color="auto" w:fill="auto"/>
            <w:vAlign w:val="center"/>
          </w:tcPr>
          <w:p w14:paraId="38667D10" w14:textId="7387E58E"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Mann</w:t>
            </w:r>
            <w:r w:rsidR="00D76A11">
              <w:rPr>
                <w:color w:val="auto"/>
                <w:sz w:val="18"/>
                <w:lang w:val="en-GB"/>
              </w:rPr>
              <w:t>–</w:t>
            </w:r>
            <w:r w:rsidRPr="00463181">
              <w:rPr>
                <w:color w:val="auto"/>
                <w:sz w:val="18"/>
                <w:lang w:val="en-GB"/>
              </w:rPr>
              <w:t>W U/Chi</w:t>
            </w:r>
            <w:r w:rsidRPr="00463181">
              <w:rPr>
                <w:color w:val="auto"/>
                <w:sz w:val="18"/>
                <w:szCs w:val="14"/>
                <w:vertAlign w:val="superscript"/>
                <w:lang w:val="en-GB"/>
              </w:rPr>
              <w:t>2</w:t>
            </w:r>
            <w:r w:rsidR="00EF6E46" w:rsidRPr="00463181">
              <w:rPr>
                <w:color w:val="auto"/>
                <w:sz w:val="18"/>
                <w:szCs w:val="14"/>
                <w:lang w:val="en-GB"/>
              </w:rPr>
              <w:t xml:space="preserve"> </w:t>
            </w:r>
            <w:r w:rsidR="00631ED4" w:rsidRPr="00463181">
              <w:rPr>
                <w:color w:val="auto"/>
                <w:sz w:val="18"/>
                <w:lang w:val="en-GB"/>
              </w:rPr>
              <w:t>(</w:t>
            </w:r>
            <w:r w:rsidR="006050C4" w:rsidRPr="00463181">
              <w:rPr>
                <w:color w:val="auto"/>
                <w:sz w:val="18"/>
                <w:lang w:val="en-GB"/>
              </w:rPr>
              <w:t>2 × 2</w:t>
            </w:r>
            <w:r w:rsidR="00631ED4" w:rsidRPr="00463181">
              <w:rPr>
                <w:color w:val="auto"/>
                <w:sz w:val="18"/>
                <w:lang w:val="en-GB"/>
              </w:rPr>
              <w:t>)</w:t>
            </w:r>
          </w:p>
        </w:tc>
        <w:tc>
          <w:tcPr>
            <w:tcW w:w="1697" w:type="dxa"/>
            <w:tcBorders>
              <w:left w:val="nil"/>
              <w:right w:val="nil"/>
            </w:tcBorders>
            <w:shd w:val="clear" w:color="auto" w:fill="auto"/>
            <w:vAlign w:val="center"/>
          </w:tcPr>
          <w:p w14:paraId="4ED8AAC0" w14:textId="37409853"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4</w:t>
            </w:r>
            <w:r w:rsidR="008F5B30" w:rsidRPr="00463181">
              <w:rPr>
                <w:color w:val="auto"/>
                <w:sz w:val="18"/>
                <w:lang w:val="en-GB"/>
              </w:rPr>
              <w:t xml:space="preserve">29.00, </w:t>
            </w:r>
            <w:r w:rsidR="00631ED4" w:rsidRPr="00463181">
              <w:rPr>
                <w:i/>
                <w:color w:val="auto"/>
                <w:sz w:val="18"/>
                <w:lang w:val="en-GB"/>
              </w:rPr>
              <w:t>p</w:t>
            </w:r>
            <w:r w:rsidR="008F5B30" w:rsidRPr="00463181">
              <w:rPr>
                <w:color w:val="auto"/>
                <w:sz w:val="18"/>
                <w:lang w:val="en-GB"/>
              </w:rPr>
              <w:t xml:space="preserve"> =</w:t>
            </w:r>
            <w:r w:rsidR="00527710" w:rsidRPr="00463181">
              <w:rPr>
                <w:color w:val="auto"/>
                <w:sz w:val="18"/>
                <w:lang w:val="en-GB"/>
              </w:rPr>
              <w:t xml:space="preserve"> 0.7</w:t>
            </w:r>
            <w:r w:rsidR="008F5B30" w:rsidRPr="00463181">
              <w:rPr>
                <w:color w:val="auto"/>
                <w:sz w:val="18"/>
                <w:lang w:val="en-GB"/>
              </w:rPr>
              <w:t>58</w:t>
            </w:r>
          </w:p>
        </w:tc>
        <w:tc>
          <w:tcPr>
            <w:tcW w:w="1964" w:type="dxa"/>
            <w:tcBorders>
              <w:left w:val="nil"/>
              <w:right w:val="nil"/>
            </w:tcBorders>
            <w:shd w:val="clear" w:color="auto" w:fill="auto"/>
            <w:vAlign w:val="center"/>
          </w:tcPr>
          <w:p w14:paraId="691B5CB7" w14:textId="142E6C32"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w:t>
            </w:r>
            <w:r w:rsidR="007D0074" w:rsidRPr="00463181">
              <w:rPr>
                <w:color w:val="auto"/>
                <w:sz w:val="18"/>
                <w:szCs w:val="14"/>
                <w:vertAlign w:val="superscript"/>
                <w:lang w:val="en-GB"/>
              </w:rPr>
              <w:t>2</w:t>
            </w:r>
            <w:r w:rsidR="00EF6E46" w:rsidRPr="00463181">
              <w:rPr>
                <w:color w:val="auto"/>
                <w:sz w:val="18"/>
                <w:szCs w:val="14"/>
                <w:lang w:val="en-GB"/>
              </w:rPr>
              <w:t xml:space="preserve"> </w:t>
            </w:r>
            <w:r w:rsidR="007D0074" w:rsidRPr="00463181">
              <w:rPr>
                <w:color w:val="auto"/>
                <w:sz w:val="18"/>
                <w:lang w:val="en-GB"/>
              </w:rPr>
              <w:t>=</w:t>
            </w:r>
            <w:r w:rsidR="00EF6E46" w:rsidRPr="00463181">
              <w:rPr>
                <w:color w:val="auto"/>
                <w:sz w:val="18"/>
                <w:szCs w:val="14"/>
                <w:lang w:val="en-GB"/>
              </w:rPr>
              <w:t xml:space="preserve"> </w:t>
            </w:r>
            <w:r w:rsidR="007D0074" w:rsidRPr="00463181">
              <w:rPr>
                <w:color w:val="auto"/>
                <w:sz w:val="18"/>
                <w:lang w:val="en-GB"/>
              </w:rPr>
              <w:t>0</w:t>
            </w:r>
            <w:r w:rsidRPr="00463181">
              <w:rPr>
                <w:color w:val="auto"/>
                <w:sz w:val="18"/>
                <w:lang w:val="en-GB"/>
              </w:rPr>
              <w:t xml:space="preserve">.003, </w:t>
            </w:r>
            <w:r w:rsidR="007D0074" w:rsidRPr="00463181">
              <w:rPr>
                <w:i/>
                <w:color w:val="auto"/>
                <w:sz w:val="18"/>
                <w:lang w:val="en-GB"/>
              </w:rPr>
              <w:t xml:space="preserve">p </w:t>
            </w:r>
            <w:r w:rsidR="007D0074" w:rsidRPr="00463181">
              <w:rPr>
                <w:color w:val="auto"/>
                <w:sz w:val="18"/>
                <w:lang w:val="en-GB"/>
              </w:rPr>
              <w:t>=</w:t>
            </w:r>
            <w:r w:rsidR="00527710" w:rsidRPr="00463181">
              <w:rPr>
                <w:color w:val="auto"/>
                <w:sz w:val="18"/>
                <w:lang w:val="en-GB"/>
              </w:rPr>
              <w:t xml:space="preserve"> 0.9</w:t>
            </w:r>
            <w:r w:rsidRPr="00463181">
              <w:rPr>
                <w:color w:val="auto"/>
                <w:sz w:val="18"/>
                <w:lang w:val="en-GB"/>
              </w:rPr>
              <w:t>57</w:t>
            </w:r>
          </w:p>
        </w:tc>
      </w:tr>
      <w:tr w:rsidR="00056784" w:rsidRPr="00463181" w14:paraId="75FE35C4" w14:textId="77777777" w:rsidTr="005D2CF3">
        <w:tc>
          <w:tcPr>
            <w:tcW w:w="1645" w:type="dxa"/>
            <w:tcBorders>
              <w:left w:val="nil"/>
              <w:right w:val="nil"/>
            </w:tcBorders>
            <w:shd w:val="clear" w:color="auto" w:fill="auto"/>
            <w:vAlign w:val="center"/>
          </w:tcPr>
          <w:p w14:paraId="5628C48A" w14:textId="29E2107F"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Support</w:t>
            </w:r>
          </w:p>
        </w:tc>
        <w:tc>
          <w:tcPr>
            <w:tcW w:w="2551" w:type="dxa"/>
            <w:tcBorders>
              <w:left w:val="nil"/>
              <w:right w:val="nil"/>
            </w:tcBorders>
            <w:shd w:val="clear" w:color="auto" w:fill="auto"/>
            <w:vAlign w:val="center"/>
          </w:tcPr>
          <w:p w14:paraId="7508BE5E" w14:textId="6F772B60" w:rsidR="008F5B30" w:rsidRPr="00463181" w:rsidRDefault="00463181" w:rsidP="00FB321B">
            <w:pPr>
              <w:autoSpaceDE w:val="0"/>
              <w:autoSpaceDN w:val="0"/>
              <w:adjustRightInd w:val="0"/>
              <w:snapToGrid w:val="0"/>
              <w:spacing w:line="240" w:lineRule="auto"/>
              <w:jc w:val="center"/>
              <w:rPr>
                <w:color w:val="auto"/>
                <w:sz w:val="18"/>
                <w:lang w:val="en-GB"/>
              </w:rPr>
            </w:pPr>
            <w:r w:rsidRPr="00463181">
              <w:rPr>
                <w:color w:val="auto"/>
                <w:sz w:val="18"/>
                <w:lang w:val="en-GB"/>
              </w:rPr>
              <w:t>Kruskal–Wallis</w:t>
            </w:r>
            <w:r w:rsidR="008F5B30" w:rsidRPr="00463181">
              <w:rPr>
                <w:color w:val="auto"/>
                <w:sz w:val="18"/>
                <w:lang w:val="en-GB"/>
              </w:rPr>
              <w:t xml:space="preserve"> H/Chi</w:t>
            </w:r>
            <w:r w:rsidR="008F5B30" w:rsidRPr="00463181">
              <w:rPr>
                <w:color w:val="auto"/>
                <w:sz w:val="18"/>
                <w:szCs w:val="14"/>
                <w:vertAlign w:val="superscript"/>
                <w:lang w:val="en-GB"/>
              </w:rPr>
              <w:t>2</w:t>
            </w:r>
            <w:r w:rsidR="00EF6E46" w:rsidRPr="00463181">
              <w:rPr>
                <w:color w:val="auto"/>
                <w:sz w:val="18"/>
                <w:szCs w:val="14"/>
                <w:lang w:val="en-GB"/>
              </w:rPr>
              <w:t xml:space="preserve"> </w:t>
            </w:r>
            <w:r w:rsidR="00631ED4" w:rsidRPr="00463181">
              <w:rPr>
                <w:color w:val="auto"/>
                <w:sz w:val="18"/>
                <w:lang w:val="en-GB"/>
              </w:rPr>
              <w:t>(</w:t>
            </w:r>
            <w:r w:rsidR="006050C4" w:rsidRPr="00463181">
              <w:rPr>
                <w:color w:val="auto"/>
                <w:sz w:val="18"/>
                <w:lang w:val="en-GB"/>
              </w:rPr>
              <w:t>r × c</w:t>
            </w:r>
            <w:r w:rsidR="00631ED4" w:rsidRPr="00463181">
              <w:rPr>
                <w:color w:val="auto"/>
                <w:sz w:val="18"/>
                <w:lang w:val="en-GB"/>
              </w:rPr>
              <w:t>)</w:t>
            </w:r>
          </w:p>
        </w:tc>
        <w:tc>
          <w:tcPr>
            <w:tcW w:w="1697" w:type="dxa"/>
            <w:tcBorders>
              <w:left w:val="nil"/>
              <w:right w:val="nil"/>
            </w:tcBorders>
            <w:shd w:val="clear" w:color="auto" w:fill="auto"/>
            <w:vAlign w:val="center"/>
          </w:tcPr>
          <w:p w14:paraId="6B7C0CFD" w14:textId="5DD8D8CD" w:rsidR="008F5B30" w:rsidRPr="00463181" w:rsidRDefault="004D38DE" w:rsidP="00FB321B">
            <w:pPr>
              <w:autoSpaceDE w:val="0"/>
              <w:autoSpaceDN w:val="0"/>
              <w:adjustRightInd w:val="0"/>
              <w:snapToGrid w:val="0"/>
              <w:spacing w:line="240" w:lineRule="auto"/>
              <w:jc w:val="center"/>
              <w:rPr>
                <w:color w:val="auto"/>
                <w:sz w:val="18"/>
                <w:lang w:val="en-GB"/>
              </w:rPr>
            </w:pPr>
            <w:r w:rsidRPr="00463181">
              <w:rPr>
                <w:i/>
                <w:color w:val="auto"/>
                <w:sz w:val="18"/>
                <w:lang w:val="en-GB"/>
              </w:rPr>
              <w:t xml:space="preserve">p </w:t>
            </w:r>
            <w:r w:rsidR="008F5B30" w:rsidRPr="00463181">
              <w:rPr>
                <w:color w:val="auto"/>
                <w:sz w:val="18"/>
                <w:lang w:val="en-GB"/>
              </w:rPr>
              <w:t>=</w:t>
            </w:r>
            <w:r w:rsidR="00527710" w:rsidRPr="00463181">
              <w:rPr>
                <w:color w:val="auto"/>
                <w:sz w:val="18"/>
                <w:lang w:val="en-GB"/>
              </w:rPr>
              <w:t xml:space="preserve"> 0.4</w:t>
            </w:r>
            <w:r w:rsidR="008F5B30" w:rsidRPr="00463181">
              <w:rPr>
                <w:color w:val="auto"/>
                <w:sz w:val="18"/>
                <w:lang w:val="en-GB"/>
              </w:rPr>
              <w:t>40</w:t>
            </w:r>
          </w:p>
        </w:tc>
        <w:tc>
          <w:tcPr>
            <w:tcW w:w="1964" w:type="dxa"/>
            <w:tcBorders>
              <w:left w:val="nil"/>
              <w:right w:val="nil"/>
            </w:tcBorders>
            <w:shd w:val="clear" w:color="auto" w:fill="auto"/>
            <w:vAlign w:val="center"/>
          </w:tcPr>
          <w:p w14:paraId="110B3508" w14:textId="53F97C1A"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w:t>
            </w:r>
            <w:r w:rsidR="007D0074" w:rsidRPr="00463181">
              <w:rPr>
                <w:color w:val="auto"/>
                <w:sz w:val="18"/>
                <w:szCs w:val="14"/>
                <w:vertAlign w:val="superscript"/>
                <w:lang w:val="en-GB"/>
              </w:rPr>
              <w:t>2</w:t>
            </w:r>
            <w:r w:rsidR="00EF6E46" w:rsidRPr="00463181">
              <w:rPr>
                <w:color w:val="auto"/>
                <w:sz w:val="18"/>
                <w:szCs w:val="14"/>
                <w:lang w:val="en-GB"/>
              </w:rPr>
              <w:t xml:space="preserve"> </w:t>
            </w:r>
            <w:r w:rsidR="007D0074" w:rsidRPr="00463181">
              <w:rPr>
                <w:color w:val="auto"/>
                <w:sz w:val="18"/>
                <w:lang w:val="en-GB"/>
              </w:rPr>
              <w:t>=</w:t>
            </w:r>
            <w:r w:rsidR="00EF6E46" w:rsidRPr="00463181">
              <w:rPr>
                <w:color w:val="auto"/>
                <w:sz w:val="18"/>
                <w:szCs w:val="14"/>
                <w:lang w:val="en-GB"/>
              </w:rPr>
              <w:t xml:space="preserve"> </w:t>
            </w:r>
            <w:r w:rsidR="007D0074" w:rsidRPr="00463181">
              <w:rPr>
                <w:color w:val="auto"/>
                <w:sz w:val="18"/>
                <w:lang w:val="en-GB"/>
              </w:rPr>
              <w:t>4</w:t>
            </w:r>
            <w:r w:rsidRPr="00463181">
              <w:rPr>
                <w:color w:val="auto"/>
                <w:sz w:val="18"/>
                <w:lang w:val="en-GB"/>
              </w:rPr>
              <w:t xml:space="preserve">.621, </w:t>
            </w:r>
            <w:r w:rsidR="007D0074" w:rsidRPr="00463181">
              <w:rPr>
                <w:i/>
                <w:color w:val="auto"/>
                <w:sz w:val="18"/>
                <w:lang w:val="en-GB"/>
              </w:rPr>
              <w:t xml:space="preserve">p </w:t>
            </w:r>
            <w:r w:rsidR="007D0074" w:rsidRPr="00463181">
              <w:rPr>
                <w:color w:val="auto"/>
                <w:sz w:val="18"/>
                <w:lang w:val="en-GB"/>
              </w:rPr>
              <w:t>=</w:t>
            </w:r>
            <w:r w:rsidR="00527710" w:rsidRPr="00463181">
              <w:rPr>
                <w:color w:val="auto"/>
                <w:sz w:val="18"/>
                <w:lang w:val="en-GB"/>
              </w:rPr>
              <w:t xml:space="preserve"> 0.5</w:t>
            </w:r>
            <w:r w:rsidRPr="00463181">
              <w:rPr>
                <w:color w:val="auto"/>
                <w:sz w:val="18"/>
                <w:lang w:val="en-GB"/>
              </w:rPr>
              <w:t>36</w:t>
            </w:r>
          </w:p>
        </w:tc>
      </w:tr>
      <w:tr w:rsidR="00056784" w:rsidRPr="00463181" w14:paraId="3879312D" w14:textId="77777777" w:rsidTr="005D2CF3">
        <w:tc>
          <w:tcPr>
            <w:tcW w:w="1645" w:type="dxa"/>
            <w:tcBorders>
              <w:left w:val="nil"/>
              <w:bottom w:val="single" w:sz="8" w:space="0" w:color="auto"/>
              <w:right w:val="nil"/>
            </w:tcBorders>
            <w:shd w:val="clear" w:color="auto" w:fill="auto"/>
            <w:vAlign w:val="center"/>
          </w:tcPr>
          <w:p w14:paraId="34619372" w14:textId="609FB246"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Treatment/wk</w:t>
            </w:r>
          </w:p>
        </w:tc>
        <w:tc>
          <w:tcPr>
            <w:tcW w:w="2551" w:type="dxa"/>
            <w:tcBorders>
              <w:left w:val="nil"/>
              <w:bottom w:val="single" w:sz="8" w:space="0" w:color="auto"/>
              <w:right w:val="nil"/>
            </w:tcBorders>
            <w:shd w:val="clear" w:color="auto" w:fill="auto"/>
            <w:vAlign w:val="center"/>
          </w:tcPr>
          <w:p w14:paraId="1E623DFB" w14:textId="49C7EF6B"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Spearman</w:t>
            </w:r>
            <w:r w:rsidR="00D76A11">
              <w:rPr>
                <w:color w:val="auto"/>
                <w:sz w:val="18"/>
                <w:lang w:val="en-GB"/>
              </w:rPr>
              <w:t>’</w:t>
            </w:r>
            <w:r w:rsidRPr="00463181">
              <w:rPr>
                <w:color w:val="auto"/>
                <w:sz w:val="18"/>
                <w:lang w:val="en-GB"/>
              </w:rPr>
              <w:t>s r/Mann</w:t>
            </w:r>
            <w:r w:rsidR="00D76A11">
              <w:rPr>
                <w:color w:val="auto"/>
                <w:sz w:val="18"/>
                <w:lang w:val="en-GB"/>
              </w:rPr>
              <w:t>–</w:t>
            </w:r>
            <w:r w:rsidRPr="00463181">
              <w:rPr>
                <w:color w:val="auto"/>
                <w:sz w:val="18"/>
                <w:lang w:val="en-GB"/>
              </w:rPr>
              <w:t>W U</w:t>
            </w:r>
          </w:p>
        </w:tc>
        <w:tc>
          <w:tcPr>
            <w:tcW w:w="1697" w:type="dxa"/>
            <w:tcBorders>
              <w:left w:val="nil"/>
              <w:bottom w:val="single" w:sz="8" w:space="0" w:color="auto"/>
              <w:right w:val="nil"/>
            </w:tcBorders>
            <w:shd w:val="clear" w:color="auto" w:fill="auto"/>
            <w:vAlign w:val="center"/>
          </w:tcPr>
          <w:p w14:paraId="39F07730" w14:textId="7C8826A3" w:rsidR="008F5B30" w:rsidRPr="00463181" w:rsidRDefault="008F5B30" w:rsidP="00FB321B">
            <w:pPr>
              <w:autoSpaceDE w:val="0"/>
              <w:autoSpaceDN w:val="0"/>
              <w:adjustRightInd w:val="0"/>
              <w:snapToGrid w:val="0"/>
              <w:spacing w:line="240" w:lineRule="auto"/>
              <w:jc w:val="center"/>
              <w:rPr>
                <w:color w:val="auto"/>
                <w:sz w:val="18"/>
                <w:lang w:val="en-GB"/>
              </w:rPr>
            </w:pPr>
            <w:r w:rsidRPr="00463181">
              <w:rPr>
                <w:color w:val="auto"/>
                <w:sz w:val="18"/>
                <w:lang w:val="en-GB"/>
              </w:rPr>
              <w:t>cc</w:t>
            </w:r>
            <w:r w:rsidR="00527710" w:rsidRPr="00463181">
              <w:rPr>
                <w:color w:val="auto"/>
                <w:sz w:val="18"/>
                <w:lang w:val="en-GB"/>
              </w:rPr>
              <w:t xml:space="preserve"> 0.1</w:t>
            </w:r>
            <w:r w:rsidRPr="00463181">
              <w:rPr>
                <w:color w:val="auto"/>
                <w:sz w:val="18"/>
                <w:lang w:val="en-GB"/>
              </w:rPr>
              <w:t xml:space="preserve">70, </w:t>
            </w:r>
            <w:r w:rsidR="007D0074" w:rsidRPr="00463181">
              <w:rPr>
                <w:i/>
                <w:color w:val="auto"/>
                <w:sz w:val="18"/>
                <w:lang w:val="en-GB"/>
              </w:rPr>
              <w:t xml:space="preserve">p </w:t>
            </w:r>
            <w:r w:rsidR="007D0074" w:rsidRPr="00463181">
              <w:rPr>
                <w:color w:val="auto"/>
                <w:sz w:val="18"/>
                <w:lang w:val="en-GB"/>
              </w:rPr>
              <w:t>=</w:t>
            </w:r>
            <w:r w:rsidR="007D0074" w:rsidRPr="00463181">
              <w:rPr>
                <w:i/>
                <w:color w:val="auto"/>
                <w:sz w:val="18"/>
                <w:lang w:val="en-GB"/>
              </w:rPr>
              <w:t xml:space="preserve"> </w:t>
            </w:r>
            <w:r w:rsidR="00612036" w:rsidRPr="00463181">
              <w:rPr>
                <w:iCs/>
                <w:color w:val="auto"/>
                <w:sz w:val="18"/>
                <w:lang w:val="en-GB"/>
              </w:rPr>
              <w:t>0.</w:t>
            </w:r>
            <w:r w:rsidR="007D0074" w:rsidRPr="00463181">
              <w:rPr>
                <w:color w:val="auto"/>
                <w:sz w:val="18"/>
                <w:lang w:val="en-GB"/>
              </w:rPr>
              <w:t>1</w:t>
            </w:r>
            <w:r w:rsidRPr="00463181">
              <w:rPr>
                <w:color w:val="auto"/>
                <w:sz w:val="18"/>
                <w:lang w:val="en-GB"/>
              </w:rPr>
              <w:t>91</w:t>
            </w:r>
          </w:p>
        </w:tc>
        <w:tc>
          <w:tcPr>
            <w:tcW w:w="1964" w:type="dxa"/>
            <w:tcBorders>
              <w:left w:val="nil"/>
              <w:bottom w:val="single" w:sz="8" w:space="0" w:color="auto"/>
              <w:right w:val="nil"/>
            </w:tcBorders>
            <w:shd w:val="clear" w:color="auto" w:fill="auto"/>
            <w:vAlign w:val="center"/>
          </w:tcPr>
          <w:p w14:paraId="59193E55" w14:textId="251AC54B" w:rsidR="008F5B30" w:rsidRPr="00463181" w:rsidRDefault="007D0074" w:rsidP="00FB321B">
            <w:pPr>
              <w:autoSpaceDE w:val="0"/>
              <w:autoSpaceDN w:val="0"/>
              <w:adjustRightInd w:val="0"/>
              <w:snapToGrid w:val="0"/>
              <w:spacing w:line="240" w:lineRule="auto"/>
              <w:jc w:val="center"/>
              <w:rPr>
                <w:color w:val="auto"/>
                <w:sz w:val="18"/>
                <w:lang w:val="en-GB"/>
              </w:rPr>
            </w:pPr>
            <w:r w:rsidRPr="00463181">
              <w:rPr>
                <w:color w:val="auto"/>
                <w:sz w:val="18"/>
                <w:lang w:val="en-GB"/>
              </w:rPr>
              <w:t>U = 2</w:t>
            </w:r>
            <w:r w:rsidR="008F5B30" w:rsidRPr="00463181">
              <w:rPr>
                <w:color w:val="auto"/>
                <w:sz w:val="18"/>
                <w:lang w:val="en-GB"/>
              </w:rPr>
              <w:t xml:space="preserve">64.500, </w:t>
            </w:r>
            <w:r w:rsidRPr="00463181">
              <w:rPr>
                <w:i/>
                <w:color w:val="auto"/>
                <w:sz w:val="18"/>
                <w:lang w:val="en-GB"/>
              </w:rPr>
              <w:t xml:space="preserve">p </w:t>
            </w:r>
            <w:r w:rsidRPr="00463181">
              <w:rPr>
                <w:color w:val="auto"/>
                <w:sz w:val="18"/>
                <w:lang w:val="en-GB"/>
              </w:rPr>
              <w:t>=</w:t>
            </w:r>
            <w:r w:rsidR="00527710" w:rsidRPr="00463181">
              <w:rPr>
                <w:color w:val="auto"/>
                <w:sz w:val="18"/>
                <w:lang w:val="en-GB"/>
              </w:rPr>
              <w:t xml:space="preserve"> 0.8</w:t>
            </w:r>
            <w:r w:rsidR="008F5B30" w:rsidRPr="00463181">
              <w:rPr>
                <w:color w:val="auto"/>
                <w:sz w:val="18"/>
                <w:lang w:val="en-GB"/>
              </w:rPr>
              <w:t>39</w:t>
            </w:r>
          </w:p>
        </w:tc>
      </w:tr>
    </w:tbl>
    <w:p w14:paraId="1C604D36" w14:textId="1638CB4B" w:rsidR="008F5B30" w:rsidRPr="00463181" w:rsidRDefault="008F5B30" w:rsidP="000E67E2">
      <w:pPr>
        <w:pStyle w:val="MDPI43tablefooter"/>
        <w:jc w:val="both"/>
        <w:rPr>
          <w:lang w:val="en-GB"/>
        </w:rPr>
      </w:pPr>
      <w:r w:rsidRPr="00463181">
        <w:rPr>
          <w:lang w:val="en-GB"/>
        </w:rPr>
        <w:t>*</w:t>
      </w:r>
      <w:r w:rsidR="004509B5" w:rsidRPr="00463181">
        <w:rPr>
          <w:lang w:val="en-GB"/>
        </w:rPr>
        <w:t xml:space="preserve"> </w:t>
      </w:r>
      <w:r w:rsidR="00D76A11">
        <w:rPr>
          <w:lang w:val="en-GB"/>
        </w:rPr>
        <w:t>S</w:t>
      </w:r>
      <w:r w:rsidRPr="00463181">
        <w:rPr>
          <w:lang w:val="en-GB"/>
        </w:rPr>
        <w:t xml:space="preserve">ignificant at </w:t>
      </w:r>
      <w:r w:rsidR="007D0074" w:rsidRPr="00463181">
        <w:rPr>
          <w:i/>
          <w:lang w:val="en-GB"/>
        </w:rPr>
        <w:t xml:space="preserve">p </w:t>
      </w:r>
      <w:r w:rsidR="007D0074" w:rsidRPr="00463181">
        <w:rPr>
          <w:lang w:val="en-GB"/>
        </w:rPr>
        <w:t>=</w:t>
      </w:r>
      <w:r w:rsidR="007D0074" w:rsidRPr="00463181">
        <w:rPr>
          <w:i/>
          <w:lang w:val="en-GB"/>
        </w:rPr>
        <w:t xml:space="preserve"> </w:t>
      </w:r>
      <w:r w:rsidR="007D0074" w:rsidRPr="00463181">
        <w:rPr>
          <w:lang w:val="en-GB"/>
        </w:rPr>
        <w:t>0</w:t>
      </w:r>
      <w:r w:rsidRPr="00463181">
        <w:rPr>
          <w:lang w:val="en-GB"/>
        </w:rPr>
        <w:t>.05 level</w:t>
      </w:r>
      <w:r w:rsidR="004509B5" w:rsidRPr="00463181">
        <w:rPr>
          <w:lang w:val="en-GB"/>
        </w:rPr>
        <w:t>;</w:t>
      </w:r>
      <w:r w:rsidRPr="00463181">
        <w:rPr>
          <w:lang w:val="en-GB"/>
        </w:rPr>
        <w:t xml:space="preserve"> ** significant at </w:t>
      </w:r>
      <w:r w:rsidR="007D0074" w:rsidRPr="00463181">
        <w:rPr>
          <w:i/>
          <w:lang w:val="en-GB"/>
        </w:rPr>
        <w:t xml:space="preserve">p </w:t>
      </w:r>
      <w:r w:rsidR="007D0074" w:rsidRPr="00463181">
        <w:rPr>
          <w:lang w:val="en-GB"/>
        </w:rPr>
        <w:t>=</w:t>
      </w:r>
      <w:r w:rsidR="007D0074" w:rsidRPr="00463181">
        <w:rPr>
          <w:i/>
          <w:lang w:val="en-GB"/>
        </w:rPr>
        <w:t xml:space="preserve"> </w:t>
      </w:r>
      <w:r w:rsidR="007D0074" w:rsidRPr="00463181">
        <w:rPr>
          <w:lang w:val="en-GB"/>
        </w:rPr>
        <w:t>0</w:t>
      </w:r>
      <w:r w:rsidRPr="00463181">
        <w:rPr>
          <w:lang w:val="en-GB"/>
        </w:rPr>
        <w:t>.01 level.</w:t>
      </w:r>
    </w:p>
    <w:p w14:paraId="357EDD7F" w14:textId="62860A50" w:rsidR="008F5B30" w:rsidRPr="00463181" w:rsidRDefault="000E67E2" w:rsidP="000E67E2">
      <w:pPr>
        <w:pStyle w:val="MDPI22heading2"/>
        <w:spacing w:before="240"/>
        <w:rPr>
          <w:lang w:val="en-GB"/>
        </w:rPr>
      </w:pPr>
      <w:r w:rsidRPr="00463181">
        <w:rPr>
          <w:lang w:val="en-GB"/>
        </w:rPr>
        <w:t xml:space="preserve">3.3. </w:t>
      </w:r>
      <w:r w:rsidR="008F5B30" w:rsidRPr="00463181">
        <w:rPr>
          <w:lang w:val="en-GB"/>
        </w:rPr>
        <w:t xml:space="preserve">Factors </w:t>
      </w:r>
      <w:r w:rsidRPr="00463181">
        <w:rPr>
          <w:lang w:val="en-GB"/>
        </w:rPr>
        <w:t xml:space="preserve">Affecting Discharge Destination </w:t>
      </w:r>
      <w:r w:rsidR="00631ED4" w:rsidRPr="00463181">
        <w:rPr>
          <w:lang w:val="en-GB"/>
        </w:rPr>
        <w:t>(</w:t>
      </w:r>
      <w:r w:rsidR="008F5B30" w:rsidRPr="00463181">
        <w:rPr>
          <w:lang w:val="en-GB"/>
        </w:rPr>
        <w:t>DD</w:t>
      </w:r>
      <w:r w:rsidR="00631ED4" w:rsidRPr="00463181">
        <w:rPr>
          <w:lang w:val="en-GB"/>
        </w:rPr>
        <w:t>)</w:t>
      </w:r>
    </w:p>
    <w:p w14:paraId="5F04128C" w14:textId="1F4CC931" w:rsidR="008F5B30" w:rsidRPr="00463181" w:rsidRDefault="008F5B30" w:rsidP="00C13EEF">
      <w:pPr>
        <w:pStyle w:val="MDPI31text"/>
        <w:rPr>
          <w:lang w:val="en-GB"/>
        </w:rPr>
      </w:pPr>
      <w:r w:rsidRPr="00463181">
        <w:rPr>
          <w:lang w:val="en-GB"/>
        </w:rPr>
        <w:t xml:space="preserve">Several variables were significantly associated with returning home. Generally, participants were younger </w:t>
      </w:r>
      <w:r w:rsidR="00631ED4" w:rsidRPr="00463181">
        <w:rPr>
          <w:lang w:val="en-GB"/>
        </w:rPr>
        <w:t>(</w:t>
      </w:r>
      <w:r w:rsidRPr="00463181">
        <w:rPr>
          <w:lang w:val="en-GB"/>
        </w:rPr>
        <w:t>mean rank hom</w:t>
      </w:r>
      <w:r w:rsidR="007D0074" w:rsidRPr="00463181">
        <w:rPr>
          <w:lang w:val="en-GB"/>
        </w:rPr>
        <w:t>e = 2</w:t>
      </w:r>
      <w:r w:rsidRPr="00463181">
        <w:rPr>
          <w:lang w:val="en-GB"/>
        </w:rPr>
        <w:t>7.99, long-sta</w:t>
      </w:r>
      <w:r w:rsidR="007D0074" w:rsidRPr="00463181">
        <w:rPr>
          <w:lang w:val="en-GB"/>
        </w:rPr>
        <w:t>y = 4</w:t>
      </w:r>
      <w:r w:rsidRPr="00463181">
        <w:rPr>
          <w:lang w:val="en-GB"/>
        </w:rPr>
        <w:t>3.29</w:t>
      </w:r>
      <w:r w:rsidR="00E46120">
        <w:rPr>
          <w:lang w:val="en-GB"/>
        </w:rPr>
        <w:t>;</w:t>
      </w:r>
      <w:r w:rsidRPr="00463181">
        <w:rPr>
          <w:lang w:val="en-GB"/>
        </w:rPr>
        <w:t xml:space="preserve"> </w:t>
      </w:r>
      <w:r w:rsidR="007D0074" w:rsidRPr="00463181">
        <w:rPr>
          <w:lang w:val="en-GB"/>
        </w:rPr>
        <w:t>U = 1</w:t>
      </w:r>
      <w:r w:rsidRPr="00463181">
        <w:rPr>
          <w:lang w:val="en-GB"/>
        </w:rPr>
        <w:t xml:space="preserve">46.500, </w:t>
      </w:r>
      <w:r w:rsidR="007D0074" w:rsidRPr="00463181">
        <w:rPr>
          <w:lang w:val="en-GB"/>
        </w:rPr>
        <w:t xml:space="preserve">z = </w:t>
      </w:r>
      <w:r w:rsidR="008E389E" w:rsidRPr="00463181">
        <w:rPr>
          <w:lang w:val="en-GB"/>
        </w:rPr>
        <w:t>−2</w:t>
      </w:r>
      <w:r w:rsidRPr="00463181">
        <w:rPr>
          <w:lang w:val="en-GB"/>
        </w:rPr>
        <w:t xml:space="preserve">.680, </w:t>
      </w:r>
      <w:r w:rsidR="007D0074" w:rsidRPr="00463181">
        <w:rPr>
          <w:i/>
          <w:lang w:val="en-GB"/>
        </w:rPr>
        <w:t xml:space="preserve">p </w:t>
      </w:r>
      <w:r w:rsidR="007D0074" w:rsidRPr="00463181">
        <w:rPr>
          <w:lang w:val="en-GB"/>
        </w:rPr>
        <w:t>=</w:t>
      </w:r>
      <w:r w:rsidR="007D0074" w:rsidRPr="00463181">
        <w:rPr>
          <w:i/>
          <w:lang w:val="en-GB"/>
        </w:rPr>
        <w:t xml:space="preserve"> </w:t>
      </w:r>
      <w:r w:rsidR="007D0074" w:rsidRPr="00463181">
        <w:rPr>
          <w:lang w:val="en-GB"/>
        </w:rPr>
        <w:t>0</w:t>
      </w:r>
      <w:r w:rsidRPr="00463181">
        <w:rPr>
          <w:lang w:val="en-GB"/>
        </w:rPr>
        <w:t>.007</w:t>
      </w:r>
      <w:r w:rsidR="00E46120">
        <w:rPr>
          <w:lang w:val="en-GB"/>
        </w:rPr>
        <w:t>)</w:t>
      </w:r>
      <w:r w:rsidRPr="00463181">
        <w:rPr>
          <w:lang w:val="en-GB"/>
        </w:rPr>
        <w:t xml:space="preserve">, were less likely to have delirium </w:t>
      </w:r>
      <w:r w:rsidR="00E46120">
        <w:rPr>
          <w:lang w:val="en-GB"/>
        </w:rPr>
        <w:t>(</w:t>
      </w:r>
      <w:r w:rsidRPr="00463181">
        <w:rPr>
          <w:lang w:val="en-GB"/>
        </w:rPr>
        <w:t>OR</w:t>
      </w:r>
      <w:r w:rsidR="00527710" w:rsidRPr="00463181">
        <w:rPr>
          <w:lang w:val="en-GB"/>
        </w:rPr>
        <w:t xml:space="preserve"> 0.1</w:t>
      </w:r>
      <w:r w:rsidRPr="00463181">
        <w:rPr>
          <w:lang w:val="en-GB"/>
        </w:rPr>
        <w:t xml:space="preserve">95 </w:t>
      </w:r>
      <w:r w:rsidR="00631ED4" w:rsidRPr="00463181">
        <w:rPr>
          <w:lang w:val="en-GB"/>
        </w:rPr>
        <w:t>(</w:t>
      </w:r>
      <w:r w:rsidRPr="00463181">
        <w:rPr>
          <w:lang w:val="en-GB"/>
        </w:rPr>
        <w:t>CI 95%,</w:t>
      </w:r>
      <w:r w:rsidR="00527710" w:rsidRPr="00463181">
        <w:rPr>
          <w:lang w:val="en-GB"/>
        </w:rPr>
        <w:t xml:space="preserve"> 0.0</w:t>
      </w:r>
      <w:r w:rsidRPr="00463181">
        <w:rPr>
          <w:lang w:val="en-GB"/>
        </w:rPr>
        <w:t>47 to</w:t>
      </w:r>
      <w:r w:rsidR="00527710" w:rsidRPr="00463181">
        <w:rPr>
          <w:lang w:val="en-GB"/>
        </w:rPr>
        <w:t xml:space="preserve"> 0.8</w:t>
      </w:r>
      <w:r w:rsidRPr="00463181">
        <w:rPr>
          <w:lang w:val="en-GB"/>
        </w:rPr>
        <w:t>17</w:t>
      </w:r>
      <w:r w:rsidR="00631ED4" w:rsidRPr="00463181">
        <w:rPr>
          <w:lang w:val="en-GB"/>
        </w:rPr>
        <w:t>)</w:t>
      </w:r>
      <w:r w:rsidR="00E46120">
        <w:rPr>
          <w:lang w:val="en-GB"/>
        </w:rPr>
        <w:t>)</w:t>
      </w:r>
      <w:r w:rsidRPr="00463181">
        <w:rPr>
          <w:lang w:val="en-GB"/>
        </w:rPr>
        <w:t xml:space="preserve"> and had fewer co-morbidities </w:t>
      </w:r>
      <w:r w:rsidR="00631ED4" w:rsidRPr="00463181">
        <w:rPr>
          <w:lang w:val="en-GB"/>
        </w:rPr>
        <w:t>(</w:t>
      </w:r>
      <w:r w:rsidRPr="00463181">
        <w:rPr>
          <w:lang w:val="en-GB"/>
        </w:rPr>
        <w:t xml:space="preserve">mean ranks 27.39 </w:t>
      </w:r>
      <w:r w:rsidR="00E46120">
        <w:rPr>
          <w:lang w:val="en-GB"/>
        </w:rPr>
        <w:t>and</w:t>
      </w:r>
      <w:r w:rsidRPr="00463181">
        <w:rPr>
          <w:lang w:val="en-GB"/>
        </w:rPr>
        <w:t xml:space="preserve"> 45.75</w:t>
      </w:r>
      <w:r w:rsidR="00E46120">
        <w:rPr>
          <w:lang w:val="en-GB"/>
        </w:rPr>
        <w:t>;</w:t>
      </w:r>
      <w:r w:rsidRPr="00463181">
        <w:rPr>
          <w:lang w:val="en-GB"/>
        </w:rPr>
        <w:t xml:space="preserve"> </w:t>
      </w:r>
      <w:r w:rsidR="007D0074" w:rsidRPr="00463181">
        <w:rPr>
          <w:lang w:val="en-GB"/>
        </w:rPr>
        <w:t>U = 1</w:t>
      </w:r>
      <w:r w:rsidRPr="00463181">
        <w:rPr>
          <w:lang w:val="en-GB"/>
        </w:rPr>
        <w:t xml:space="preserve">17.000, </w:t>
      </w:r>
      <w:r w:rsidR="007D0074" w:rsidRPr="00463181">
        <w:rPr>
          <w:lang w:val="en-GB"/>
        </w:rPr>
        <w:t>z = 3</w:t>
      </w:r>
      <w:r w:rsidRPr="00463181">
        <w:rPr>
          <w:lang w:val="en-GB"/>
        </w:rPr>
        <w:t xml:space="preserve">.276, </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01</w:t>
      </w:r>
      <w:r w:rsidR="00E46120">
        <w:rPr>
          <w:lang w:val="en-GB"/>
        </w:rPr>
        <w:t>)</w:t>
      </w:r>
      <w:r w:rsidRPr="00463181">
        <w:rPr>
          <w:lang w:val="en-GB"/>
        </w:rPr>
        <w:t xml:space="preserve">. </w:t>
      </w:r>
      <w:proofErr w:type="spellStart"/>
      <w:r w:rsidRPr="00463181">
        <w:rPr>
          <w:lang w:val="en-GB"/>
        </w:rPr>
        <w:t>FIM</w:t>
      </w:r>
      <w:r w:rsidRPr="00463181">
        <w:rPr>
          <w:vertAlign w:val="subscript"/>
          <w:lang w:val="en-GB"/>
        </w:rPr>
        <w:t>pre</w:t>
      </w:r>
      <w:proofErr w:type="spellEnd"/>
      <w:r w:rsidRPr="00463181">
        <w:rPr>
          <w:vertAlign w:val="subscript"/>
          <w:lang w:val="en-GB"/>
        </w:rPr>
        <w:t>-fracture</w:t>
      </w:r>
      <w:r w:rsidR="00EF6E46" w:rsidRPr="00463181">
        <w:rPr>
          <w:lang w:val="en-GB"/>
        </w:rPr>
        <w:t xml:space="preserve"> </w:t>
      </w:r>
      <w:r w:rsidRPr="00463181">
        <w:rPr>
          <w:lang w:val="en-GB"/>
        </w:rPr>
        <w:t xml:space="preserve">and </w:t>
      </w:r>
      <w:proofErr w:type="spellStart"/>
      <w:r w:rsidRPr="00463181">
        <w:rPr>
          <w:lang w:val="en-GB"/>
        </w:rPr>
        <w:t>FIM</w:t>
      </w:r>
      <w:r w:rsidRPr="00463181">
        <w:rPr>
          <w:vertAlign w:val="subscript"/>
          <w:lang w:val="en-GB"/>
        </w:rPr>
        <w:t>admission</w:t>
      </w:r>
      <w:proofErr w:type="spellEnd"/>
      <w:r w:rsidR="00EF6E46" w:rsidRPr="00463181">
        <w:rPr>
          <w:lang w:val="en-GB"/>
        </w:rPr>
        <w:t xml:space="preserve"> </w:t>
      </w:r>
      <w:r w:rsidRPr="00463181">
        <w:rPr>
          <w:lang w:val="en-GB"/>
        </w:rPr>
        <w:t xml:space="preserve">were both higher </w:t>
      </w:r>
      <w:r w:rsidR="00E46120">
        <w:rPr>
          <w:lang w:val="en-GB"/>
        </w:rPr>
        <w:t>(</w:t>
      </w:r>
      <w:r w:rsidR="007D0074" w:rsidRPr="00463181">
        <w:rPr>
          <w:lang w:val="en-GB"/>
        </w:rPr>
        <w:t>U = 9</w:t>
      </w:r>
      <w:r w:rsidRPr="00463181">
        <w:rPr>
          <w:lang w:val="en-GB"/>
        </w:rPr>
        <w:t xml:space="preserve">5.000, </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 xml:space="preserve">00 </w:t>
      </w:r>
      <w:r w:rsidR="00631ED4" w:rsidRPr="00463181">
        <w:rPr>
          <w:lang w:val="en-GB"/>
        </w:rPr>
        <w:t>(</w:t>
      </w:r>
      <w:r w:rsidRPr="00463181">
        <w:rPr>
          <w:lang w:val="en-GB"/>
        </w:rPr>
        <w:t>identical scores</w:t>
      </w:r>
      <w:r w:rsidR="00631ED4" w:rsidRPr="00463181">
        <w:rPr>
          <w:lang w:val="en-GB"/>
        </w:rPr>
        <w:t>)</w:t>
      </w:r>
      <w:r w:rsidR="00E46120">
        <w:rPr>
          <w:lang w:val="en-GB"/>
        </w:rPr>
        <w:t>)</w:t>
      </w:r>
      <w:r w:rsidRPr="00463181">
        <w:rPr>
          <w:lang w:val="en-GB"/>
        </w:rPr>
        <w:t>, differences which were clearly evident in the group distribution. Whilst both</w:t>
      </w:r>
      <w:r w:rsidR="006D44E8" w:rsidRPr="00463181">
        <w:rPr>
          <w:lang w:val="en-GB"/>
        </w:rPr>
        <w:t xml:space="preserve"> </w:t>
      </w:r>
      <w:proofErr w:type="spellStart"/>
      <w:r w:rsidRPr="00463181">
        <w:rPr>
          <w:lang w:val="en-GB"/>
        </w:rPr>
        <w:t>FIM</w:t>
      </w:r>
      <w:r w:rsidRPr="00463181">
        <w:rPr>
          <w:vertAlign w:val="subscript"/>
          <w:lang w:val="en-GB"/>
        </w:rPr>
        <w:t>pre</w:t>
      </w:r>
      <w:proofErr w:type="spellEnd"/>
      <w:r w:rsidRPr="00463181">
        <w:rPr>
          <w:vertAlign w:val="subscript"/>
          <w:lang w:val="en-GB"/>
        </w:rPr>
        <w:t>-fracture</w:t>
      </w:r>
      <w:r w:rsidR="00EF6E46" w:rsidRPr="00463181">
        <w:rPr>
          <w:lang w:val="en-GB"/>
        </w:rPr>
        <w:t xml:space="preserve"> </w:t>
      </w:r>
      <w:r w:rsidRPr="00463181">
        <w:rPr>
          <w:lang w:val="en-GB"/>
        </w:rPr>
        <w:t xml:space="preserve">groups had a similar range, </w:t>
      </w:r>
      <w:r w:rsidR="00E46120">
        <w:rPr>
          <w:lang w:val="en-GB"/>
        </w:rPr>
        <w:t xml:space="preserve">the </w:t>
      </w:r>
      <w:r w:rsidRPr="00463181">
        <w:rPr>
          <w:lang w:val="en-GB"/>
        </w:rPr>
        <w:t xml:space="preserve">distribution was skewed in opposite directions, </w:t>
      </w:r>
      <w:r w:rsidR="00E46120">
        <w:rPr>
          <w:lang w:val="en-GB"/>
        </w:rPr>
        <w:t xml:space="preserve">with </w:t>
      </w:r>
      <w:r w:rsidRPr="00463181">
        <w:rPr>
          <w:lang w:val="en-GB"/>
        </w:rPr>
        <w:t xml:space="preserve">percentiles partially overlapping at 75%/25%. </w:t>
      </w:r>
      <w:proofErr w:type="spellStart"/>
      <w:r w:rsidRPr="00463181">
        <w:rPr>
          <w:lang w:val="en-GB"/>
        </w:rPr>
        <w:t>FIM</w:t>
      </w:r>
      <w:r w:rsidRPr="00463181">
        <w:rPr>
          <w:vertAlign w:val="subscript"/>
          <w:lang w:val="en-GB"/>
        </w:rPr>
        <w:t>admission</w:t>
      </w:r>
      <w:proofErr w:type="spellEnd"/>
      <w:r w:rsidR="00EF6E46" w:rsidRPr="00463181">
        <w:rPr>
          <w:lang w:val="en-GB"/>
        </w:rPr>
        <w:t xml:space="preserve"> </w:t>
      </w:r>
      <w:r w:rsidRPr="00463181">
        <w:rPr>
          <w:lang w:val="en-GB"/>
        </w:rPr>
        <w:t>percentiles overlapped similarly</w:t>
      </w:r>
      <w:r w:rsidR="00E46120">
        <w:rPr>
          <w:lang w:val="en-GB"/>
        </w:rPr>
        <w:t>,</w:t>
      </w:r>
      <w:r w:rsidRPr="00463181">
        <w:rPr>
          <w:lang w:val="en-GB"/>
        </w:rPr>
        <w:t xml:space="preserve"> but the ranges also only partially overlapped.</w:t>
      </w:r>
    </w:p>
    <w:p w14:paraId="3A4874A7" w14:textId="542BEDDD" w:rsidR="008F5B30" w:rsidRPr="00463181" w:rsidRDefault="00744ED8" w:rsidP="00744ED8">
      <w:pPr>
        <w:pStyle w:val="MDPI22heading2"/>
        <w:spacing w:before="240"/>
        <w:rPr>
          <w:lang w:val="en-GB"/>
        </w:rPr>
      </w:pPr>
      <w:r w:rsidRPr="00463181">
        <w:rPr>
          <w:lang w:val="en-GB"/>
        </w:rPr>
        <w:t xml:space="preserve">3.4. </w:t>
      </w:r>
      <w:r w:rsidR="008F5B30" w:rsidRPr="00463181">
        <w:rPr>
          <w:lang w:val="en-GB"/>
        </w:rPr>
        <w:t>Survivor Analysis</w:t>
      </w:r>
    </w:p>
    <w:p w14:paraId="08B004CF" w14:textId="24ACE222" w:rsidR="008F5B30" w:rsidRPr="00463181" w:rsidRDefault="008F5B30" w:rsidP="00744ED8">
      <w:pPr>
        <w:pStyle w:val="MDPI31text"/>
        <w:rPr>
          <w:lang w:val="en-GB"/>
        </w:rPr>
      </w:pPr>
      <w:r w:rsidRPr="00463181">
        <w:rPr>
          <w:lang w:val="en-GB"/>
        </w:rPr>
        <w:t>Significant differences were found in the survival distributions relating to age</w:t>
      </w:r>
      <w:r w:rsidRPr="00463181">
        <w:rPr>
          <w:b/>
          <w:lang w:val="en-GB"/>
        </w:rPr>
        <w:t xml:space="preserve"> </w:t>
      </w:r>
      <w:r w:rsidR="00E46120">
        <w:rPr>
          <w:bCs/>
          <w:lang w:val="en-GB"/>
        </w:rPr>
        <w:t>(</w:t>
      </w:r>
      <w:r w:rsidRPr="00463181">
        <w:rPr>
          <w:lang w:val="en-GB"/>
        </w:rPr>
        <w:t>c</w:t>
      </w:r>
      <w:r w:rsidR="007D0074" w:rsidRPr="00463181">
        <w:rPr>
          <w:vertAlign w:val="superscript"/>
          <w:lang w:val="en-GB"/>
        </w:rPr>
        <w:t>2</w:t>
      </w:r>
      <w:r w:rsidR="00EF6E46" w:rsidRPr="00463181">
        <w:rPr>
          <w:lang w:val="en-GB"/>
        </w:rPr>
        <w:t xml:space="preserve"> </w:t>
      </w:r>
      <w:r w:rsidR="007D0074" w:rsidRPr="00463181">
        <w:rPr>
          <w:lang w:val="en-GB"/>
        </w:rPr>
        <w:t>=</w:t>
      </w:r>
      <w:r w:rsidR="00EF6E46" w:rsidRPr="00463181">
        <w:rPr>
          <w:lang w:val="en-GB"/>
        </w:rPr>
        <w:t xml:space="preserve"> </w:t>
      </w:r>
      <w:r w:rsidR="007D0074" w:rsidRPr="00463181">
        <w:rPr>
          <w:lang w:val="en-GB"/>
        </w:rPr>
        <w:t>1</w:t>
      </w:r>
      <w:r w:rsidRPr="00463181">
        <w:rPr>
          <w:lang w:val="en-GB"/>
        </w:rPr>
        <w:t xml:space="preserve">6.493, </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01</w:t>
      </w:r>
      <w:r w:rsidR="00E46120">
        <w:rPr>
          <w:lang w:val="en-GB"/>
        </w:rPr>
        <w:t>)</w:t>
      </w:r>
      <w:r w:rsidRPr="00463181">
        <w:rPr>
          <w:b/>
          <w:lang w:val="en-GB"/>
        </w:rPr>
        <w:t xml:space="preserve">, </w:t>
      </w:r>
      <w:r w:rsidRPr="00463181">
        <w:rPr>
          <w:lang w:val="en-GB"/>
        </w:rPr>
        <w:t>specifically</w:t>
      </w:r>
      <w:r w:rsidR="00E46120">
        <w:rPr>
          <w:lang w:val="en-GB"/>
        </w:rPr>
        <w:t xml:space="preserve"> for</w:t>
      </w:r>
      <w:r w:rsidRPr="00463181">
        <w:rPr>
          <w:lang w:val="en-GB"/>
        </w:rPr>
        <w:t xml:space="preserve"> the 6</w:t>
      </w:r>
      <w:r w:rsidR="00631ED4" w:rsidRPr="00463181">
        <w:rPr>
          <w:lang w:val="en-GB"/>
        </w:rPr>
        <w:t>0–69</w:t>
      </w:r>
      <w:r w:rsidRPr="00463181">
        <w:rPr>
          <w:lang w:val="en-GB"/>
        </w:rPr>
        <w:t xml:space="preserve"> years and 9</w:t>
      </w:r>
      <w:r w:rsidR="00631ED4" w:rsidRPr="00463181">
        <w:rPr>
          <w:lang w:val="en-GB"/>
        </w:rPr>
        <w:t>0–99</w:t>
      </w:r>
      <w:r w:rsidRPr="00463181">
        <w:rPr>
          <w:lang w:val="en-GB"/>
        </w:rPr>
        <w:t xml:space="preserve"> years groups </w:t>
      </w:r>
      <w:r w:rsidR="00E46120">
        <w:rPr>
          <w:lang w:val="en-GB"/>
        </w:rPr>
        <w:t>(</w:t>
      </w:r>
      <w:r w:rsidRPr="00463181">
        <w:rPr>
          <w:lang w:val="en-GB"/>
        </w:rPr>
        <w:t>c</w:t>
      </w:r>
      <w:r w:rsidR="007D0074" w:rsidRPr="00463181">
        <w:rPr>
          <w:vertAlign w:val="superscript"/>
          <w:lang w:val="en-GB"/>
        </w:rPr>
        <w:t>2</w:t>
      </w:r>
      <w:r w:rsidR="00EF6E46" w:rsidRPr="00463181">
        <w:rPr>
          <w:lang w:val="en-GB"/>
        </w:rPr>
        <w:t xml:space="preserve"> </w:t>
      </w:r>
      <w:r w:rsidR="007D0074" w:rsidRPr="00463181">
        <w:rPr>
          <w:lang w:val="en-GB"/>
        </w:rPr>
        <w:t>=</w:t>
      </w:r>
      <w:r w:rsidR="00EF6E46" w:rsidRPr="00463181">
        <w:rPr>
          <w:lang w:val="en-GB"/>
        </w:rPr>
        <w:t xml:space="preserve"> </w:t>
      </w:r>
      <w:r w:rsidR="007D0074" w:rsidRPr="00463181">
        <w:rPr>
          <w:lang w:val="en-GB"/>
        </w:rPr>
        <w:t>1</w:t>
      </w:r>
      <w:r w:rsidRPr="00463181">
        <w:rPr>
          <w:lang w:val="en-GB"/>
        </w:rPr>
        <w:t xml:space="preserve">3.105, </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00</w:t>
      </w:r>
      <w:r w:rsidR="00E46120">
        <w:rPr>
          <w:lang w:val="en-GB"/>
        </w:rPr>
        <w:t>)</w:t>
      </w:r>
      <w:r w:rsidRPr="00463181">
        <w:rPr>
          <w:lang w:val="en-GB"/>
        </w:rPr>
        <w:t xml:space="preserve"> and </w:t>
      </w:r>
      <w:proofErr w:type="spellStart"/>
      <w:r w:rsidRPr="00463181">
        <w:rPr>
          <w:lang w:val="en-GB"/>
        </w:rPr>
        <w:t>FIM</w:t>
      </w:r>
      <w:r w:rsidRPr="00463181">
        <w:rPr>
          <w:vertAlign w:val="subscript"/>
          <w:lang w:val="en-GB"/>
        </w:rPr>
        <w:t>admission</w:t>
      </w:r>
      <w:proofErr w:type="spellEnd"/>
      <w:r w:rsidRPr="00463181">
        <w:rPr>
          <w:bCs/>
          <w:lang w:val="en-GB"/>
        </w:rPr>
        <w:t xml:space="preserve"> </w:t>
      </w:r>
      <w:r w:rsidR="00E46120">
        <w:rPr>
          <w:bCs/>
          <w:lang w:val="en-GB"/>
        </w:rPr>
        <w:t>(</w:t>
      </w:r>
      <w:r w:rsidRPr="00463181">
        <w:rPr>
          <w:bCs/>
          <w:lang w:val="en-GB"/>
        </w:rPr>
        <w:t>c</w:t>
      </w:r>
      <w:r w:rsidR="007D0074" w:rsidRPr="00463181">
        <w:rPr>
          <w:vertAlign w:val="superscript"/>
          <w:lang w:val="en-GB"/>
        </w:rPr>
        <w:t>2</w:t>
      </w:r>
      <w:r w:rsidR="00EF6E46" w:rsidRPr="00463181">
        <w:rPr>
          <w:lang w:val="en-GB"/>
        </w:rPr>
        <w:t xml:space="preserve"> </w:t>
      </w:r>
      <w:r w:rsidR="007D0074" w:rsidRPr="00463181">
        <w:rPr>
          <w:lang w:val="en-GB"/>
        </w:rPr>
        <w:t>=</w:t>
      </w:r>
      <w:r w:rsidR="00EF6E46" w:rsidRPr="00463181">
        <w:rPr>
          <w:lang w:val="en-GB"/>
        </w:rPr>
        <w:t xml:space="preserve"> </w:t>
      </w:r>
      <w:r w:rsidR="007D0074" w:rsidRPr="00463181">
        <w:rPr>
          <w:lang w:val="en-GB"/>
        </w:rPr>
        <w:t>1</w:t>
      </w:r>
      <w:r w:rsidRPr="00463181">
        <w:rPr>
          <w:lang w:val="en-GB"/>
        </w:rPr>
        <w:t xml:space="preserve">4.786, </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05</w:t>
      </w:r>
      <w:r w:rsidR="00E46120">
        <w:rPr>
          <w:lang w:val="en-GB"/>
        </w:rPr>
        <w:t>)</w:t>
      </w:r>
      <w:r w:rsidRPr="00463181">
        <w:rPr>
          <w:lang w:val="en-GB"/>
        </w:rPr>
        <w:t>, specifically</w:t>
      </w:r>
      <w:r w:rsidR="00E46120">
        <w:rPr>
          <w:lang w:val="en-GB"/>
        </w:rPr>
        <w:t xml:space="preserve"> for</w:t>
      </w:r>
      <w:r w:rsidRPr="00463181">
        <w:rPr>
          <w:lang w:val="en-GB"/>
        </w:rPr>
        <w:t xml:space="preserve"> the 2</w:t>
      </w:r>
      <w:r w:rsidR="00631ED4" w:rsidRPr="00463181">
        <w:rPr>
          <w:lang w:val="en-GB"/>
        </w:rPr>
        <w:t>7–38</w:t>
      </w:r>
      <w:r w:rsidR="00463181" w:rsidRPr="00463181">
        <w:rPr>
          <w:lang w:val="en-GB"/>
        </w:rPr>
        <w:t xml:space="preserve"> vs. </w:t>
      </w:r>
      <w:r w:rsidRPr="00463181">
        <w:rPr>
          <w:lang w:val="en-GB"/>
        </w:rPr>
        <w:t>3</w:t>
      </w:r>
      <w:r w:rsidR="00631ED4" w:rsidRPr="00463181">
        <w:rPr>
          <w:lang w:val="en-GB"/>
        </w:rPr>
        <w:t>9–62</w:t>
      </w:r>
      <w:r w:rsidRPr="00463181">
        <w:rPr>
          <w:lang w:val="en-GB"/>
        </w:rPr>
        <w:t xml:space="preserve"> groups </w:t>
      </w:r>
      <w:r w:rsidR="00E46120">
        <w:rPr>
          <w:lang w:val="en-GB"/>
        </w:rPr>
        <w:t>(</w:t>
      </w:r>
      <w:r w:rsidRPr="00463181">
        <w:rPr>
          <w:lang w:val="en-GB"/>
        </w:rPr>
        <w:t>c</w:t>
      </w:r>
      <w:r w:rsidR="007D0074" w:rsidRPr="00463181">
        <w:rPr>
          <w:vertAlign w:val="superscript"/>
          <w:lang w:val="en-GB"/>
        </w:rPr>
        <w:t>2</w:t>
      </w:r>
      <w:r w:rsidR="00EF6E46" w:rsidRPr="00463181">
        <w:rPr>
          <w:lang w:val="en-GB"/>
        </w:rPr>
        <w:t xml:space="preserve"> </w:t>
      </w:r>
      <w:r w:rsidR="007D0074" w:rsidRPr="00463181">
        <w:rPr>
          <w:lang w:val="en-GB"/>
        </w:rPr>
        <w:t>=</w:t>
      </w:r>
      <w:r w:rsidR="00EF6E46" w:rsidRPr="00463181">
        <w:rPr>
          <w:lang w:val="en-GB"/>
        </w:rPr>
        <w:t xml:space="preserve"> </w:t>
      </w:r>
      <w:r w:rsidR="007D0074" w:rsidRPr="00463181">
        <w:rPr>
          <w:lang w:val="en-GB"/>
        </w:rPr>
        <w:t>6</w:t>
      </w:r>
      <w:r w:rsidRPr="00463181">
        <w:rPr>
          <w:lang w:val="en-GB"/>
        </w:rPr>
        <w:t xml:space="preserve">.721, </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10</w:t>
      </w:r>
      <w:r w:rsidR="00E46120">
        <w:rPr>
          <w:lang w:val="en-GB"/>
        </w:rPr>
        <w:t>)</w:t>
      </w:r>
      <w:r w:rsidRPr="00463181">
        <w:rPr>
          <w:lang w:val="en-GB"/>
        </w:rPr>
        <w:t xml:space="preserve"> and 2</w:t>
      </w:r>
      <w:r w:rsidR="00631ED4" w:rsidRPr="00463181">
        <w:rPr>
          <w:lang w:val="en-GB"/>
        </w:rPr>
        <w:t>7–38</w:t>
      </w:r>
      <w:r w:rsidR="00463181" w:rsidRPr="00463181">
        <w:rPr>
          <w:lang w:val="en-GB"/>
        </w:rPr>
        <w:t xml:space="preserve"> vs. </w:t>
      </w:r>
      <w:r w:rsidRPr="00463181">
        <w:rPr>
          <w:lang w:val="en-GB"/>
        </w:rPr>
        <w:t>6</w:t>
      </w:r>
      <w:r w:rsidR="00631ED4" w:rsidRPr="00463181">
        <w:rPr>
          <w:lang w:val="en-GB"/>
        </w:rPr>
        <w:t>3–77</w:t>
      </w:r>
      <w:r w:rsidRPr="00463181">
        <w:rPr>
          <w:lang w:val="en-GB"/>
        </w:rPr>
        <w:t xml:space="preserve"> groups </w:t>
      </w:r>
      <w:r w:rsidR="00E46120">
        <w:rPr>
          <w:lang w:val="en-GB"/>
        </w:rPr>
        <w:t>(</w:t>
      </w:r>
      <w:r w:rsidRPr="00463181">
        <w:rPr>
          <w:lang w:val="en-GB"/>
        </w:rPr>
        <w:t>c</w:t>
      </w:r>
      <w:r w:rsidR="007D0074" w:rsidRPr="00463181">
        <w:rPr>
          <w:vertAlign w:val="superscript"/>
          <w:lang w:val="en-GB"/>
        </w:rPr>
        <w:t>2</w:t>
      </w:r>
      <w:r w:rsidR="00EF6E46" w:rsidRPr="00463181">
        <w:rPr>
          <w:lang w:val="en-GB"/>
        </w:rPr>
        <w:t xml:space="preserve"> </w:t>
      </w:r>
      <w:r w:rsidR="007D0074" w:rsidRPr="00463181">
        <w:rPr>
          <w:lang w:val="en-GB"/>
        </w:rPr>
        <w:t>=</w:t>
      </w:r>
      <w:r w:rsidR="00EF6E46" w:rsidRPr="00463181">
        <w:rPr>
          <w:lang w:val="en-GB"/>
        </w:rPr>
        <w:t xml:space="preserve"> </w:t>
      </w:r>
      <w:r w:rsidR="007D0074" w:rsidRPr="00463181">
        <w:rPr>
          <w:lang w:val="en-GB"/>
        </w:rPr>
        <w:t>7</w:t>
      </w:r>
      <w:r w:rsidRPr="00463181">
        <w:rPr>
          <w:lang w:val="en-GB"/>
        </w:rPr>
        <w:t xml:space="preserve">.856, </w:t>
      </w:r>
      <w:r w:rsidR="007D0074" w:rsidRPr="00463181">
        <w:rPr>
          <w:i/>
          <w:lang w:val="en-GB"/>
        </w:rPr>
        <w:t xml:space="preserve">p </w:t>
      </w:r>
      <w:r w:rsidR="007D0074" w:rsidRPr="00463181">
        <w:rPr>
          <w:lang w:val="en-GB"/>
        </w:rPr>
        <w:t>=</w:t>
      </w:r>
      <w:r w:rsidR="00527710" w:rsidRPr="00463181">
        <w:rPr>
          <w:lang w:val="en-GB"/>
        </w:rPr>
        <w:t xml:space="preserve"> 0.0</w:t>
      </w:r>
      <w:r w:rsidRPr="00463181">
        <w:rPr>
          <w:lang w:val="en-GB"/>
        </w:rPr>
        <w:t>05</w:t>
      </w:r>
      <w:r w:rsidR="00E46120">
        <w:rPr>
          <w:lang w:val="en-GB"/>
        </w:rPr>
        <w:t>)</w:t>
      </w:r>
      <w:r w:rsidRPr="00463181">
        <w:rPr>
          <w:lang w:val="en-GB"/>
        </w:rPr>
        <w:t xml:space="preserve">. The first and last </w:t>
      </w:r>
      <w:proofErr w:type="spellStart"/>
      <w:r w:rsidRPr="00463181">
        <w:rPr>
          <w:lang w:val="en-GB"/>
        </w:rPr>
        <w:t>FIM</w:t>
      </w:r>
      <w:r w:rsidRPr="00463181">
        <w:rPr>
          <w:vertAlign w:val="subscript"/>
          <w:lang w:val="en-GB"/>
        </w:rPr>
        <w:t>admission</w:t>
      </w:r>
      <w:proofErr w:type="spellEnd"/>
      <w:r w:rsidR="00EF6E46" w:rsidRPr="00463181">
        <w:rPr>
          <w:lang w:val="en-GB"/>
        </w:rPr>
        <w:t xml:space="preserve"> </w:t>
      </w:r>
      <w:r w:rsidRPr="00463181">
        <w:rPr>
          <w:lang w:val="en-GB"/>
        </w:rPr>
        <w:t>groups were too small for comparison.</w:t>
      </w:r>
    </w:p>
    <w:p w14:paraId="63B54061" w14:textId="24FA5E0C" w:rsidR="008F5B30" w:rsidRPr="00463181" w:rsidRDefault="008F5B30" w:rsidP="005D200F">
      <w:pPr>
        <w:pStyle w:val="MDPI31text"/>
        <w:rPr>
          <w:lang w:val="en-GB"/>
        </w:rPr>
      </w:pPr>
      <w:r w:rsidRPr="00463181">
        <w:rPr>
          <w:lang w:val="en-GB"/>
        </w:rPr>
        <w:t xml:space="preserve">Clinical interpretations of </w:t>
      </w:r>
      <w:r w:rsidR="00E46120">
        <w:rPr>
          <w:lang w:val="en-GB"/>
        </w:rPr>
        <w:t xml:space="preserve">the </w:t>
      </w:r>
      <w:r w:rsidR="00463181" w:rsidRPr="00463181">
        <w:rPr>
          <w:lang w:val="en-GB"/>
        </w:rPr>
        <w:t>Kaplan–Meier</w:t>
      </w:r>
      <w:r w:rsidRPr="00463181">
        <w:rPr>
          <w:lang w:val="en-GB"/>
        </w:rPr>
        <w:t xml:space="preserve"> curves can be gained from chart depictions</w:t>
      </w:r>
      <w:r w:rsidR="005D200F" w:rsidRPr="00463181">
        <w:rPr>
          <w:lang w:val="en-GB"/>
        </w:rPr>
        <w:t>—</w:t>
      </w:r>
      <w:r w:rsidRPr="00463181">
        <w:rPr>
          <w:lang w:val="en-GB"/>
        </w:rPr>
        <w:t xml:space="preserve">see </w:t>
      </w:r>
      <w:r w:rsidR="001C7DA7" w:rsidRPr="00463181">
        <w:rPr>
          <w:lang w:val="en-GB"/>
        </w:rPr>
        <w:t xml:space="preserve">Figures </w:t>
      </w:r>
      <w:r w:rsidRPr="00463181">
        <w:rPr>
          <w:lang w:val="en-GB"/>
        </w:rPr>
        <w:t xml:space="preserve">1 and 2 for </w:t>
      </w:r>
      <w:r w:rsidR="00E46120">
        <w:rPr>
          <w:lang w:val="en-GB"/>
        </w:rPr>
        <w:t xml:space="preserve">the </w:t>
      </w:r>
      <w:r w:rsidRPr="00463181">
        <w:rPr>
          <w:lang w:val="en-GB"/>
        </w:rPr>
        <w:t xml:space="preserve">survival distributions of age and </w:t>
      </w:r>
      <w:proofErr w:type="spellStart"/>
      <w:r w:rsidRPr="00463181">
        <w:rPr>
          <w:lang w:val="en-GB"/>
        </w:rPr>
        <w:t>FIM</w:t>
      </w:r>
      <w:r w:rsidRPr="00463181">
        <w:rPr>
          <w:vertAlign w:val="subscript"/>
          <w:lang w:val="en-GB"/>
        </w:rPr>
        <w:t>admission</w:t>
      </w:r>
      <w:proofErr w:type="spellEnd"/>
      <w:r w:rsidRPr="00463181">
        <w:rPr>
          <w:lang w:val="en-GB"/>
        </w:rPr>
        <w:t>. For example, 50% of the sample went home before 21 days, including all patients aged &lt;</w:t>
      </w:r>
      <w:r w:rsidR="00565B75" w:rsidRPr="00463181">
        <w:rPr>
          <w:lang w:val="en-GB"/>
        </w:rPr>
        <w:t xml:space="preserve"> </w:t>
      </w:r>
      <w:r w:rsidRPr="00463181">
        <w:rPr>
          <w:lang w:val="en-GB"/>
        </w:rPr>
        <w:t>69 or with a</w:t>
      </w:r>
      <w:r w:rsidR="00DE401A">
        <w:rPr>
          <w:lang w:val="en-GB"/>
        </w:rPr>
        <w:t>n</w:t>
      </w:r>
      <w:r w:rsidRPr="00463181">
        <w:rPr>
          <w:lang w:val="en-GB"/>
        </w:rPr>
        <w:t xml:space="preserve"> </w:t>
      </w:r>
      <w:proofErr w:type="spellStart"/>
      <w:r w:rsidRPr="00463181">
        <w:rPr>
          <w:lang w:val="en-GB"/>
        </w:rPr>
        <w:t>FIM</w:t>
      </w:r>
      <w:r w:rsidRPr="00463181">
        <w:rPr>
          <w:vertAlign w:val="subscript"/>
          <w:lang w:val="en-GB"/>
        </w:rPr>
        <w:t>admission</w:t>
      </w:r>
      <w:proofErr w:type="spellEnd"/>
      <w:r w:rsidR="00EF6E46" w:rsidRPr="00463181">
        <w:rPr>
          <w:lang w:val="en-GB"/>
        </w:rPr>
        <w:t xml:space="preserve"> </w:t>
      </w:r>
      <w:r w:rsidRPr="00463181">
        <w:rPr>
          <w:lang w:val="en-GB"/>
        </w:rPr>
        <w:t>score &gt;</w:t>
      </w:r>
      <w:r w:rsidR="00C00BBB" w:rsidRPr="00463181">
        <w:rPr>
          <w:lang w:val="en-GB"/>
        </w:rPr>
        <w:t xml:space="preserve"> </w:t>
      </w:r>
      <w:r w:rsidRPr="00463181">
        <w:rPr>
          <w:lang w:val="en-GB"/>
        </w:rPr>
        <w:t>78. A patient aged &lt;</w:t>
      </w:r>
      <w:r w:rsidR="00C00BBB" w:rsidRPr="00463181">
        <w:rPr>
          <w:lang w:val="en-GB"/>
        </w:rPr>
        <w:t xml:space="preserve"> </w:t>
      </w:r>
      <w:r w:rsidRPr="00463181">
        <w:rPr>
          <w:lang w:val="en-GB"/>
        </w:rPr>
        <w:t>80 and/or with a</w:t>
      </w:r>
      <w:r w:rsidR="006C2769">
        <w:rPr>
          <w:lang w:val="en-GB"/>
        </w:rPr>
        <w:t>n</w:t>
      </w:r>
      <w:r w:rsidRPr="00463181">
        <w:rPr>
          <w:lang w:val="en-GB"/>
        </w:rPr>
        <w:t xml:space="preserve"> </w:t>
      </w:r>
      <w:proofErr w:type="spellStart"/>
      <w:r w:rsidRPr="00463181">
        <w:rPr>
          <w:lang w:val="en-GB"/>
        </w:rPr>
        <w:t>FIM</w:t>
      </w:r>
      <w:r w:rsidRPr="00463181">
        <w:rPr>
          <w:vertAlign w:val="subscript"/>
          <w:lang w:val="en-GB"/>
        </w:rPr>
        <w:t>admission</w:t>
      </w:r>
      <w:proofErr w:type="spellEnd"/>
      <w:r w:rsidR="00EF6E46" w:rsidRPr="00463181">
        <w:rPr>
          <w:lang w:val="en-GB"/>
        </w:rPr>
        <w:t xml:space="preserve"> </w:t>
      </w:r>
      <w:r w:rsidR="006C2769">
        <w:rPr>
          <w:lang w:val="en-GB"/>
        </w:rPr>
        <w:t xml:space="preserve">of </w:t>
      </w:r>
      <w:r w:rsidRPr="00463181">
        <w:rPr>
          <w:lang w:val="en-GB"/>
        </w:rPr>
        <w:t>6</w:t>
      </w:r>
      <w:r w:rsidR="00631ED4" w:rsidRPr="00463181">
        <w:rPr>
          <w:lang w:val="en-GB"/>
        </w:rPr>
        <w:t>3–78</w:t>
      </w:r>
      <w:r w:rsidRPr="00463181">
        <w:rPr>
          <w:lang w:val="en-GB"/>
        </w:rPr>
        <w:t xml:space="preserve"> was unlikely to stay longer than 28 days. </w:t>
      </w:r>
      <w:r w:rsidR="00463181" w:rsidRPr="00463181">
        <w:rPr>
          <w:lang w:val="en-GB"/>
        </w:rPr>
        <w:t xml:space="preserve">However, </w:t>
      </w:r>
      <w:r w:rsidRPr="00463181">
        <w:rPr>
          <w:lang w:val="en-GB"/>
        </w:rPr>
        <w:t>a patient aged 9</w:t>
      </w:r>
      <w:r w:rsidR="00631ED4" w:rsidRPr="00463181">
        <w:rPr>
          <w:lang w:val="en-GB"/>
        </w:rPr>
        <w:t>0–99</w:t>
      </w:r>
      <w:r w:rsidRPr="00463181">
        <w:rPr>
          <w:lang w:val="en-GB"/>
        </w:rPr>
        <w:t xml:space="preserve"> had a 57% risk of not going home within 60 days. All home discharges were completed within 90 days.</w:t>
      </w:r>
    </w:p>
    <w:p w14:paraId="3B73B882" w14:textId="00243C3C" w:rsidR="008F5B30" w:rsidRPr="00463181" w:rsidRDefault="009317FB" w:rsidP="005D2CF3">
      <w:pPr>
        <w:pStyle w:val="MDPI52figure"/>
        <w:rPr>
          <w:lang w:val="en-GB"/>
        </w:rPr>
      </w:pPr>
      <w:r w:rsidRPr="00463181">
        <w:rPr>
          <w:lang w:val="en-GB"/>
        </w:rPr>
        <w:lastRenderedPageBreak/>
        <w:t xml:space="preserve"> </w:t>
      </w:r>
      <w:r w:rsidRPr="00463181">
        <w:rPr>
          <w:noProof/>
          <w:lang w:val="en-GB"/>
        </w:rPr>
        <w:drawing>
          <wp:inline distT="0" distB="0" distL="0" distR="0" wp14:anchorId="4A24FDA1" wp14:editId="0D869C3B">
            <wp:extent cx="5565775" cy="3409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5775" cy="3409315"/>
                    </a:xfrm>
                    <a:prstGeom prst="rect">
                      <a:avLst/>
                    </a:prstGeom>
                    <a:noFill/>
                    <a:ln>
                      <a:noFill/>
                    </a:ln>
                  </pic:spPr>
                </pic:pic>
              </a:graphicData>
            </a:graphic>
          </wp:inline>
        </w:drawing>
      </w:r>
      <w:r w:rsidR="008F5B30" w:rsidRPr="00463181">
        <w:rPr>
          <w:lang w:val="en-GB"/>
        </w:rPr>
        <w:t>.</w:t>
      </w:r>
    </w:p>
    <w:p w14:paraId="617A22F3" w14:textId="1A8F3A09" w:rsidR="008F5B30" w:rsidRPr="00463181" w:rsidRDefault="004355A7" w:rsidP="004355A7">
      <w:pPr>
        <w:pStyle w:val="MDPI51figurecaption"/>
        <w:rPr>
          <w:lang w:val="en-GB"/>
        </w:rPr>
      </w:pPr>
      <w:r w:rsidRPr="00463181">
        <w:rPr>
          <w:b/>
          <w:lang w:val="en-GB"/>
        </w:rPr>
        <w:t xml:space="preserve">Figure 1. </w:t>
      </w:r>
      <w:r w:rsidR="008F5B30" w:rsidRPr="00463181">
        <w:rPr>
          <w:lang w:val="en-GB"/>
        </w:rPr>
        <w:t>Survivor analysis curve</w:t>
      </w:r>
      <w:r w:rsidRPr="00463181">
        <w:rPr>
          <w:lang w:val="en-GB"/>
        </w:rPr>
        <w:t>—</w:t>
      </w:r>
      <w:r w:rsidR="006C2769">
        <w:rPr>
          <w:lang w:val="en-GB"/>
        </w:rPr>
        <w:t>a</w:t>
      </w:r>
      <w:r w:rsidR="008F5B30" w:rsidRPr="00463181">
        <w:rPr>
          <w:lang w:val="en-GB"/>
        </w:rPr>
        <w:t xml:space="preserve">ge </w:t>
      </w:r>
      <w:r w:rsidR="00631ED4" w:rsidRPr="00463181">
        <w:rPr>
          <w:lang w:val="en-GB"/>
        </w:rPr>
        <w:t>(</w:t>
      </w:r>
      <w:proofErr w:type="spellStart"/>
      <w:r w:rsidR="008F5B30" w:rsidRPr="00463181">
        <w:rPr>
          <w:lang w:val="en-GB"/>
        </w:rPr>
        <w:t>LoS</w:t>
      </w:r>
      <w:proofErr w:type="spellEnd"/>
      <w:r w:rsidR="008F5B30" w:rsidRPr="00463181">
        <w:rPr>
          <w:lang w:val="en-GB"/>
        </w:rPr>
        <w:t xml:space="preserve"> in </w:t>
      </w:r>
      <w:r w:rsidR="006C2769">
        <w:rPr>
          <w:lang w:val="en-GB"/>
        </w:rPr>
        <w:t>d</w:t>
      </w:r>
      <w:r w:rsidR="008F5B30" w:rsidRPr="00463181">
        <w:rPr>
          <w:lang w:val="en-GB"/>
        </w:rPr>
        <w:t>ays</w:t>
      </w:r>
      <w:r w:rsidR="00631ED4" w:rsidRPr="00463181">
        <w:rPr>
          <w:lang w:val="en-GB"/>
        </w:rPr>
        <w:t>)</w:t>
      </w:r>
      <w:r w:rsidRPr="00463181">
        <w:rPr>
          <w:lang w:val="en-GB"/>
        </w:rPr>
        <w:t>.</w:t>
      </w:r>
      <w:r w:rsidR="00024875" w:rsidRPr="00463181">
        <w:rPr>
          <w:lang w:val="en-GB"/>
        </w:rPr>
        <w:t xml:space="preserve"> </w:t>
      </w:r>
    </w:p>
    <w:p w14:paraId="5F94A4FB" w14:textId="26A3DBCC" w:rsidR="008F5B30" w:rsidRPr="00463181" w:rsidRDefault="009317FB" w:rsidP="005D2CF3">
      <w:pPr>
        <w:pStyle w:val="MDPI52figure"/>
        <w:rPr>
          <w:lang w:val="en-GB"/>
        </w:rPr>
      </w:pPr>
      <w:r w:rsidRPr="00463181">
        <w:rPr>
          <w:noProof/>
          <w:lang w:val="en-GB"/>
        </w:rPr>
        <w:drawing>
          <wp:inline distT="0" distB="0" distL="0" distR="0" wp14:anchorId="232A3E9E" wp14:editId="1282A937">
            <wp:extent cx="5713730" cy="34569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730" cy="3456940"/>
                    </a:xfrm>
                    <a:prstGeom prst="rect">
                      <a:avLst/>
                    </a:prstGeom>
                    <a:noFill/>
                    <a:ln>
                      <a:noFill/>
                    </a:ln>
                  </pic:spPr>
                </pic:pic>
              </a:graphicData>
            </a:graphic>
          </wp:inline>
        </w:drawing>
      </w:r>
    </w:p>
    <w:p w14:paraId="648A198F" w14:textId="03B22199" w:rsidR="008F5B30" w:rsidRPr="00463181" w:rsidRDefault="008F5B30" w:rsidP="008F5B30">
      <w:pPr>
        <w:pStyle w:val="MDPI51figurecaption"/>
        <w:ind w:left="425" w:right="425"/>
        <w:jc w:val="center"/>
        <w:rPr>
          <w:color w:val="auto"/>
          <w:szCs w:val="18"/>
          <w:lang w:val="en-GB"/>
        </w:rPr>
      </w:pPr>
      <w:r w:rsidRPr="00463181">
        <w:rPr>
          <w:b/>
          <w:color w:val="auto"/>
          <w:szCs w:val="18"/>
          <w:lang w:val="en-GB"/>
        </w:rPr>
        <w:t xml:space="preserve">Figure 2. </w:t>
      </w:r>
      <w:r w:rsidRPr="00463181">
        <w:rPr>
          <w:color w:val="auto"/>
          <w:szCs w:val="18"/>
          <w:lang w:val="en-GB"/>
        </w:rPr>
        <w:t>Survivor analysis curve</w:t>
      </w:r>
      <w:r w:rsidR="00C15E32" w:rsidRPr="00463181">
        <w:rPr>
          <w:color w:val="auto"/>
          <w:szCs w:val="18"/>
          <w:lang w:val="en-GB"/>
        </w:rPr>
        <w:t>—</w:t>
      </w:r>
      <w:proofErr w:type="spellStart"/>
      <w:r w:rsidRPr="00463181">
        <w:rPr>
          <w:color w:val="auto"/>
          <w:szCs w:val="18"/>
          <w:lang w:val="en-GB"/>
        </w:rPr>
        <w:t>FIM</w:t>
      </w:r>
      <w:r w:rsidRPr="00463181">
        <w:rPr>
          <w:color w:val="auto"/>
          <w:szCs w:val="18"/>
          <w:vertAlign w:val="subscript"/>
          <w:lang w:val="en-GB"/>
        </w:rPr>
        <w:t>admission</w:t>
      </w:r>
      <w:proofErr w:type="spellEnd"/>
      <w:r w:rsidR="00C15E32" w:rsidRPr="00463181">
        <w:rPr>
          <w:color w:val="auto"/>
          <w:szCs w:val="18"/>
          <w:lang w:val="en-GB"/>
        </w:rPr>
        <w:t xml:space="preserve"> </w:t>
      </w:r>
      <w:r w:rsidR="00631ED4" w:rsidRPr="00463181">
        <w:rPr>
          <w:color w:val="auto"/>
          <w:szCs w:val="18"/>
          <w:lang w:val="en-GB"/>
        </w:rPr>
        <w:t>(</w:t>
      </w:r>
      <w:proofErr w:type="spellStart"/>
      <w:r w:rsidRPr="00463181">
        <w:rPr>
          <w:color w:val="auto"/>
          <w:szCs w:val="18"/>
          <w:lang w:val="en-GB"/>
        </w:rPr>
        <w:t>LoS</w:t>
      </w:r>
      <w:proofErr w:type="spellEnd"/>
      <w:r w:rsidRPr="00463181">
        <w:rPr>
          <w:color w:val="auto"/>
          <w:szCs w:val="18"/>
          <w:lang w:val="en-GB"/>
        </w:rPr>
        <w:t xml:space="preserve"> in </w:t>
      </w:r>
      <w:r w:rsidR="006C2769">
        <w:rPr>
          <w:color w:val="auto"/>
          <w:szCs w:val="18"/>
          <w:lang w:val="en-GB"/>
        </w:rPr>
        <w:t>d</w:t>
      </w:r>
      <w:r w:rsidRPr="00463181">
        <w:rPr>
          <w:color w:val="auto"/>
          <w:szCs w:val="18"/>
          <w:lang w:val="en-GB"/>
        </w:rPr>
        <w:t>ays</w:t>
      </w:r>
      <w:r w:rsidR="00631ED4" w:rsidRPr="00463181">
        <w:rPr>
          <w:color w:val="auto"/>
          <w:szCs w:val="18"/>
          <w:lang w:val="en-GB"/>
        </w:rPr>
        <w:t>)</w:t>
      </w:r>
      <w:r w:rsidR="00C15E32" w:rsidRPr="00463181">
        <w:rPr>
          <w:color w:val="auto"/>
          <w:szCs w:val="18"/>
          <w:lang w:val="en-GB"/>
        </w:rPr>
        <w:t>.</w:t>
      </w:r>
    </w:p>
    <w:p w14:paraId="21035DC4" w14:textId="53787B25" w:rsidR="008F5B30" w:rsidRPr="00463181" w:rsidRDefault="00F065AA" w:rsidP="00F065AA">
      <w:pPr>
        <w:pStyle w:val="MDPI21heading1"/>
        <w:rPr>
          <w:lang w:val="en-GB"/>
        </w:rPr>
      </w:pPr>
      <w:r w:rsidRPr="00463181">
        <w:rPr>
          <w:lang w:val="en-GB"/>
        </w:rPr>
        <w:t xml:space="preserve">4. </w:t>
      </w:r>
      <w:r w:rsidR="008F5B30" w:rsidRPr="00463181">
        <w:rPr>
          <w:lang w:val="en-GB"/>
        </w:rPr>
        <w:t>Discussion</w:t>
      </w:r>
    </w:p>
    <w:p w14:paraId="1930E160" w14:textId="59775B7E" w:rsidR="008F5B30" w:rsidRPr="00463181" w:rsidRDefault="008F5B30" w:rsidP="00A506D9">
      <w:pPr>
        <w:pStyle w:val="MDPI31text"/>
        <w:rPr>
          <w:lang w:val="en-GB"/>
        </w:rPr>
      </w:pPr>
      <w:r w:rsidRPr="00463181">
        <w:rPr>
          <w:lang w:val="en-GB"/>
        </w:rPr>
        <w:t xml:space="preserve">The present study utilised a private, rather than public, facility to examine </w:t>
      </w:r>
      <w:r w:rsidR="006C2769">
        <w:rPr>
          <w:lang w:val="en-GB"/>
        </w:rPr>
        <w:t xml:space="preserve">the </w:t>
      </w:r>
      <w:r w:rsidRPr="00463181">
        <w:rPr>
          <w:lang w:val="en-GB"/>
        </w:rPr>
        <w:t xml:space="preserve">length of stay </w:t>
      </w:r>
      <w:r w:rsidR="00631ED4" w:rsidRPr="00463181">
        <w:rPr>
          <w:lang w:val="en-GB"/>
        </w:rPr>
        <w:t>(</w:t>
      </w:r>
      <w:proofErr w:type="spellStart"/>
      <w:r w:rsidRPr="00463181">
        <w:rPr>
          <w:lang w:val="en-GB"/>
        </w:rPr>
        <w:t>LoS</w:t>
      </w:r>
      <w:proofErr w:type="spellEnd"/>
      <w:r w:rsidR="00631ED4" w:rsidRPr="00463181">
        <w:rPr>
          <w:lang w:val="en-GB"/>
        </w:rPr>
        <w:t>)</w:t>
      </w:r>
      <w:r w:rsidRPr="00463181">
        <w:rPr>
          <w:lang w:val="en-GB"/>
        </w:rPr>
        <w:t xml:space="preserve"> and discharge destination </w:t>
      </w:r>
      <w:r w:rsidR="00631ED4" w:rsidRPr="00463181">
        <w:rPr>
          <w:lang w:val="en-GB"/>
        </w:rPr>
        <w:t>(</w:t>
      </w:r>
      <w:r w:rsidRPr="00463181">
        <w:rPr>
          <w:lang w:val="en-GB"/>
        </w:rPr>
        <w:t>DD</w:t>
      </w:r>
      <w:r w:rsidR="00631ED4" w:rsidRPr="00463181">
        <w:rPr>
          <w:lang w:val="en-GB"/>
        </w:rPr>
        <w:t>)</w:t>
      </w:r>
      <w:r w:rsidRPr="00463181">
        <w:rPr>
          <w:lang w:val="en-GB"/>
        </w:rPr>
        <w:t xml:space="preserve"> of hip fracture rehabilitation patients in the UK. It particularly builds on research which notes that either one or both of these outcomes are affected by </w:t>
      </w:r>
      <w:proofErr w:type="spellStart"/>
      <w:r w:rsidRPr="00463181">
        <w:rPr>
          <w:lang w:val="en-GB"/>
        </w:rPr>
        <w:t>FIM</w:t>
      </w:r>
      <w:r w:rsidRPr="00463181">
        <w:rPr>
          <w:vertAlign w:val="subscript"/>
          <w:lang w:val="en-GB"/>
        </w:rPr>
        <w:t>admission</w:t>
      </w:r>
      <w:proofErr w:type="spellEnd"/>
      <w:r w:rsidR="00EF6E46" w:rsidRPr="00463181">
        <w:rPr>
          <w:lang w:val="en-GB"/>
        </w:rPr>
        <w:t xml:space="preserve"> </w:t>
      </w:r>
      <w:r w:rsidR="008A5ECF" w:rsidRPr="00463181">
        <w:rPr>
          <w:lang w:val="en-GB"/>
        </w:rPr>
        <w:t>[3</w:t>
      </w:r>
      <w:r w:rsidR="00024875" w:rsidRPr="00463181">
        <w:rPr>
          <w:lang w:val="en-GB"/>
        </w:rPr>
        <w:t>1</w:t>
      </w:r>
      <w:r w:rsidR="008A5ECF" w:rsidRPr="00463181">
        <w:rPr>
          <w:lang w:val="en-GB"/>
        </w:rPr>
        <w:t>–3</w:t>
      </w:r>
      <w:r w:rsidR="00024875" w:rsidRPr="00463181">
        <w:rPr>
          <w:lang w:val="en-GB"/>
        </w:rPr>
        <w:t>4</w:t>
      </w:r>
      <w:r w:rsidRPr="00463181">
        <w:rPr>
          <w:lang w:val="en-GB"/>
        </w:rPr>
        <w:t xml:space="preserve">] and supports studies which identify age </w:t>
      </w:r>
      <w:r w:rsidR="008A5ECF" w:rsidRPr="00463181">
        <w:rPr>
          <w:lang w:val="en-GB"/>
        </w:rPr>
        <w:t>[3</w:t>
      </w:r>
      <w:r w:rsidR="00024875" w:rsidRPr="00463181">
        <w:rPr>
          <w:lang w:val="en-GB"/>
        </w:rPr>
        <w:t>1</w:t>
      </w:r>
      <w:r w:rsidR="008A5ECF" w:rsidRPr="00463181">
        <w:rPr>
          <w:lang w:val="en-GB"/>
        </w:rPr>
        <w:t>,3</w:t>
      </w:r>
      <w:r w:rsidR="00024875" w:rsidRPr="00463181">
        <w:rPr>
          <w:lang w:val="en-GB"/>
        </w:rPr>
        <w:t>2</w:t>
      </w:r>
      <w:r w:rsidR="008A5ECF" w:rsidRPr="00463181">
        <w:rPr>
          <w:lang w:val="en-GB"/>
        </w:rPr>
        <w:t>,3</w:t>
      </w:r>
      <w:r w:rsidR="00024875" w:rsidRPr="00463181">
        <w:rPr>
          <w:lang w:val="en-GB"/>
        </w:rPr>
        <w:t>5</w:t>
      </w:r>
      <w:r w:rsidR="008A5ECF" w:rsidRPr="00463181">
        <w:rPr>
          <w:lang w:val="en-GB"/>
        </w:rPr>
        <w:t>–3</w:t>
      </w:r>
      <w:r w:rsidR="00024875" w:rsidRPr="00463181">
        <w:rPr>
          <w:lang w:val="en-GB"/>
        </w:rPr>
        <w:t>7</w:t>
      </w:r>
      <w:r w:rsidRPr="00463181">
        <w:rPr>
          <w:lang w:val="en-GB"/>
        </w:rPr>
        <w:t>], co-morbidities [3</w:t>
      </w:r>
      <w:r w:rsidR="00024875" w:rsidRPr="00463181">
        <w:rPr>
          <w:lang w:val="en-GB"/>
        </w:rPr>
        <w:t>8</w:t>
      </w:r>
      <w:r w:rsidRPr="00463181">
        <w:rPr>
          <w:lang w:val="en-GB"/>
        </w:rPr>
        <w:t>] and latency [3</w:t>
      </w:r>
      <w:r w:rsidR="00024875" w:rsidRPr="00463181">
        <w:rPr>
          <w:lang w:val="en-GB"/>
        </w:rPr>
        <w:t>2</w:t>
      </w:r>
      <w:r w:rsidRPr="00463181">
        <w:rPr>
          <w:lang w:val="en-GB"/>
        </w:rPr>
        <w:t>,3</w:t>
      </w:r>
      <w:r w:rsidR="00024875" w:rsidRPr="00463181">
        <w:rPr>
          <w:lang w:val="en-GB"/>
        </w:rPr>
        <w:t>6</w:t>
      </w:r>
      <w:r w:rsidRPr="00463181">
        <w:rPr>
          <w:lang w:val="en-GB"/>
        </w:rPr>
        <w:t xml:space="preserve">] as influential. Other influential factors noted were delirium and </w:t>
      </w:r>
      <w:proofErr w:type="spellStart"/>
      <w:r w:rsidRPr="00463181">
        <w:rPr>
          <w:lang w:val="en-GB"/>
        </w:rPr>
        <w:t>FIM</w:t>
      </w:r>
      <w:r w:rsidRPr="00463181">
        <w:rPr>
          <w:vertAlign w:val="subscript"/>
          <w:lang w:val="en-GB"/>
        </w:rPr>
        <w:t>pre</w:t>
      </w:r>
      <w:proofErr w:type="spellEnd"/>
      <w:r w:rsidRPr="00463181">
        <w:rPr>
          <w:vertAlign w:val="subscript"/>
          <w:lang w:val="en-GB"/>
        </w:rPr>
        <w:t>-fracture</w:t>
      </w:r>
      <w:r w:rsidRPr="00463181">
        <w:rPr>
          <w:lang w:val="en-GB"/>
        </w:rPr>
        <w:t xml:space="preserve">, previously only reported in studies of acute </w:t>
      </w:r>
      <w:r w:rsidRPr="00463181">
        <w:rPr>
          <w:lang w:val="en-GB"/>
        </w:rPr>
        <w:lastRenderedPageBreak/>
        <w:t>care [</w:t>
      </w:r>
      <w:r w:rsidR="00017274" w:rsidRPr="00463181">
        <w:rPr>
          <w:lang w:val="en-GB"/>
        </w:rPr>
        <w:t>39</w:t>
      </w:r>
      <w:r w:rsidRPr="00463181">
        <w:rPr>
          <w:lang w:val="en-GB"/>
        </w:rPr>
        <w:t>,4</w:t>
      </w:r>
      <w:r w:rsidR="00017274" w:rsidRPr="00463181">
        <w:rPr>
          <w:lang w:val="en-GB"/>
        </w:rPr>
        <w:t>0</w:t>
      </w:r>
      <w:r w:rsidRPr="00463181">
        <w:rPr>
          <w:lang w:val="en-GB"/>
        </w:rPr>
        <w:t>]. No variable had strong correlations with the outcomes, supporting the suggestion that factors have a compound effect [3</w:t>
      </w:r>
      <w:r w:rsidR="00017274" w:rsidRPr="00463181">
        <w:rPr>
          <w:lang w:val="en-GB"/>
        </w:rPr>
        <w:t>7</w:t>
      </w:r>
      <w:r w:rsidRPr="00463181">
        <w:rPr>
          <w:lang w:val="en-GB"/>
        </w:rPr>
        <w:t xml:space="preserve">]. Evidence could not be found of suggestions that gender, fracture treatment and support are important </w:t>
      </w:r>
      <w:r w:rsidR="008A5ECF" w:rsidRPr="00463181">
        <w:rPr>
          <w:lang w:val="en-GB"/>
        </w:rPr>
        <w:t>[3</w:t>
      </w:r>
      <w:r w:rsidR="00017274" w:rsidRPr="00463181">
        <w:rPr>
          <w:lang w:val="en-GB"/>
        </w:rPr>
        <w:t>2</w:t>
      </w:r>
      <w:r w:rsidR="008A5ECF" w:rsidRPr="00463181">
        <w:rPr>
          <w:lang w:val="en-GB"/>
        </w:rPr>
        <w:t>,3</w:t>
      </w:r>
      <w:r w:rsidR="00017274" w:rsidRPr="00463181">
        <w:rPr>
          <w:lang w:val="en-GB"/>
        </w:rPr>
        <w:t>4</w:t>
      </w:r>
      <w:r w:rsidR="008A5ECF" w:rsidRPr="00463181">
        <w:rPr>
          <w:lang w:val="en-GB"/>
        </w:rPr>
        <w:t>,3</w:t>
      </w:r>
      <w:r w:rsidR="00017274" w:rsidRPr="00463181">
        <w:rPr>
          <w:lang w:val="en-GB"/>
        </w:rPr>
        <w:t>7</w:t>
      </w:r>
      <w:r w:rsidR="008A5ECF" w:rsidRPr="00463181">
        <w:rPr>
          <w:lang w:val="en-GB"/>
        </w:rPr>
        <w:t>,3</w:t>
      </w:r>
      <w:r w:rsidR="00017274" w:rsidRPr="00463181">
        <w:rPr>
          <w:lang w:val="en-GB"/>
        </w:rPr>
        <w:t>8</w:t>
      </w:r>
      <w:r w:rsidR="008A5ECF" w:rsidRPr="00463181">
        <w:rPr>
          <w:lang w:val="en-GB"/>
        </w:rPr>
        <w:t>]</w:t>
      </w:r>
      <w:r w:rsidRPr="00463181">
        <w:rPr>
          <w:lang w:val="en-GB"/>
        </w:rPr>
        <w:t>.</w:t>
      </w:r>
    </w:p>
    <w:p w14:paraId="0342EA0F" w14:textId="7A325EDC" w:rsidR="008F5B30" w:rsidRPr="00463181" w:rsidRDefault="008F5B30" w:rsidP="00A506D9">
      <w:pPr>
        <w:pStyle w:val="MDPI31text"/>
        <w:rPr>
          <w:lang w:val="en-GB"/>
        </w:rPr>
      </w:pPr>
      <w:r w:rsidRPr="00463181">
        <w:rPr>
          <w:lang w:val="en-GB"/>
        </w:rPr>
        <w:t xml:space="preserve">Similar hip fracture studies included sample sizes ranging from 54 to 117,168 and utilised retrospective or prospective data collection to investigate </w:t>
      </w:r>
      <w:proofErr w:type="spellStart"/>
      <w:r w:rsidRPr="00463181">
        <w:rPr>
          <w:lang w:val="en-GB"/>
        </w:rPr>
        <w:t>LoS</w:t>
      </w:r>
      <w:proofErr w:type="spellEnd"/>
      <w:r w:rsidRPr="00463181">
        <w:rPr>
          <w:lang w:val="en-GB"/>
        </w:rPr>
        <w:t xml:space="preserve"> </w:t>
      </w:r>
      <w:r w:rsidR="008A5ECF" w:rsidRPr="00463181">
        <w:rPr>
          <w:lang w:val="en-GB"/>
        </w:rPr>
        <w:t>[19,3</w:t>
      </w:r>
      <w:r w:rsidR="00017274" w:rsidRPr="00463181">
        <w:rPr>
          <w:lang w:val="en-GB"/>
        </w:rPr>
        <w:t>7</w:t>
      </w:r>
      <w:r w:rsidR="008A5ECF" w:rsidRPr="00463181">
        <w:rPr>
          <w:lang w:val="en-GB"/>
        </w:rPr>
        <w:t>,4</w:t>
      </w:r>
      <w:r w:rsidR="00017274" w:rsidRPr="00463181">
        <w:rPr>
          <w:lang w:val="en-GB"/>
        </w:rPr>
        <w:t>1</w:t>
      </w:r>
      <w:r w:rsidR="008A5ECF" w:rsidRPr="00463181">
        <w:rPr>
          <w:lang w:val="en-GB"/>
        </w:rPr>
        <w:t>]</w:t>
      </w:r>
      <w:r w:rsidRPr="00463181">
        <w:rPr>
          <w:lang w:val="en-GB"/>
        </w:rPr>
        <w:t xml:space="preserve">, DD </w:t>
      </w:r>
      <w:r w:rsidR="008A5ECF" w:rsidRPr="00463181">
        <w:rPr>
          <w:lang w:val="en-GB"/>
        </w:rPr>
        <w:t>[3</w:t>
      </w:r>
      <w:r w:rsidR="00017274" w:rsidRPr="00463181">
        <w:rPr>
          <w:lang w:val="en-GB"/>
        </w:rPr>
        <w:t>2</w:t>
      </w:r>
      <w:r w:rsidR="008A5ECF" w:rsidRPr="00463181">
        <w:rPr>
          <w:lang w:val="en-GB"/>
        </w:rPr>
        <w:t>,3</w:t>
      </w:r>
      <w:r w:rsidR="00017274" w:rsidRPr="00463181">
        <w:rPr>
          <w:lang w:val="en-GB"/>
        </w:rPr>
        <w:t>5</w:t>
      </w:r>
      <w:r w:rsidR="008A5ECF" w:rsidRPr="00463181">
        <w:rPr>
          <w:lang w:val="en-GB"/>
        </w:rPr>
        <w:t>,3</w:t>
      </w:r>
      <w:r w:rsidR="00017274" w:rsidRPr="00463181">
        <w:rPr>
          <w:lang w:val="en-GB"/>
        </w:rPr>
        <w:t>6</w:t>
      </w:r>
      <w:r w:rsidR="008A5ECF" w:rsidRPr="00463181">
        <w:rPr>
          <w:lang w:val="en-GB"/>
        </w:rPr>
        <w:t>,3</w:t>
      </w:r>
      <w:r w:rsidR="00017274" w:rsidRPr="00463181">
        <w:rPr>
          <w:lang w:val="en-GB"/>
        </w:rPr>
        <w:t>8</w:t>
      </w:r>
      <w:r w:rsidR="008A5ECF" w:rsidRPr="00463181">
        <w:rPr>
          <w:lang w:val="en-GB"/>
        </w:rPr>
        <w:t>]</w:t>
      </w:r>
      <w:r w:rsidRPr="00463181">
        <w:rPr>
          <w:lang w:val="en-GB"/>
        </w:rPr>
        <w:t xml:space="preserve"> or both [3</w:t>
      </w:r>
      <w:r w:rsidR="00017274" w:rsidRPr="00463181">
        <w:rPr>
          <w:lang w:val="en-GB"/>
        </w:rPr>
        <w:t>1</w:t>
      </w:r>
      <w:r w:rsidRPr="00463181">
        <w:rPr>
          <w:lang w:val="en-GB"/>
        </w:rPr>
        <w:t>,3</w:t>
      </w:r>
      <w:r w:rsidR="00017274" w:rsidRPr="00463181">
        <w:rPr>
          <w:lang w:val="en-GB"/>
        </w:rPr>
        <w:t>4</w:t>
      </w:r>
      <w:r w:rsidRPr="00463181">
        <w:rPr>
          <w:lang w:val="en-GB"/>
        </w:rPr>
        <w:t xml:space="preserve">]. Age and gender distributions were relatively congruent, suggesting that a typical </w:t>
      </w:r>
      <w:r w:rsidR="00EF104B" w:rsidRPr="00463181">
        <w:rPr>
          <w:lang w:val="en-GB"/>
        </w:rPr>
        <w:t xml:space="preserve">patient with </w:t>
      </w:r>
      <w:r w:rsidR="006C2769">
        <w:rPr>
          <w:lang w:val="en-GB"/>
        </w:rPr>
        <w:t xml:space="preserve">a </w:t>
      </w:r>
      <w:r w:rsidRPr="00463181">
        <w:rPr>
          <w:lang w:val="en-GB"/>
        </w:rPr>
        <w:t>hip fracture</w:t>
      </w:r>
      <w:r w:rsidR="006C2769">
        <w:rPr>
          <w:lang w:val="en-GB"/>
        </w:rPr>
        <w:t>—</w:t>
      </w:r>
      <w:r w:rsidRPr="00463181">
        <w:rPr>
          <w:lang w:val="en-GB"/>
        </w:rPr>
        <w:t>female and octogenarian</w:t>
      </w:r>
      <w:r w:rsidR="006C2769">
        <w:rPr>
          <w:lang w:val="en-GB"/>
        </w:rPr>
        <w:t>—</w:t>
      </w:r>
      <w:r w:rsidRPr="00463181">
        <w:rPr>
          <w:lang w:val="en-GB"/>
        </w:rPr>
        <w:t xml:space="preserve">is the same worldwide. However, an average </w:t>
      </w:r>
      <w:proofErr w:type="spellStart"/>
      <w:r w:rsidRPr="00463181">
        <w:rPr>
          <w:lang w:val="en-GB"/>
        </w:rPr>
        <w:t>LoS</w:t>
      </w:r>
      <w:proofErr w:type="spellEnd"/>
      <w:r w:rsidRPr="00463181">
        <w:rPr>
          <w:lang w:val="en-GB"/>
        </w:rPr>
        <w:t xml:space="preserve"> range of 7.0</w:t>
      </w:r>
      <w:r w:rsidR="00F065AA" w:rsidRPr="00463181">
        <w:rPr>
          <w:lang w:val="en-GB"/>
        </w:rPr>
        <w:t>–</w:t>
      </w:r>
      <w:r w:rsidRPr="00463181">
        <w:rPr>
          <w:lang w:val="en-GB"/>
        </w:rPr>
        <w:t xml:space="preserve">34.4 days from </w:t>
      </w:r>
      <w:r w:rsidR="006C2769">
        <w:rPr>
          <w:lang w:val="en-GB"/>
        </w:rPr>
        <w:t>seven</w:t>
      </w:r>
      <w:r w:rsidR="006C2769" w:rsidRPr="00463181">
        <w:rPr>
          <w:lang w:val="en-GB"/>
        </w:rPr>
        <w:t xml:space="preserve"> </w:t>
      </w:r>
      <w:r w:rsidRPr="00463181">
        <w:rPr>
          <w:lang w:val="en-GB"/>
        </w:rPr>
        <w:t xml:space="preserve">studies </w:t>
      </w:r>
      <w:r w:rsidR="008A5ECF" w:rsidRPr="00463181">
        <w:rPr>
          <w:lang w:val="en-GB"/>
        </w:rPr>
        <w:t>[19,3</w:t>
      </w:r>
      <w:r w:rsidR="00017274" w:rsidRPr="00463181">
        <w:rPr>
          <w:lang w:val="en-GB"/>
        </w:rPr>
        <w:t>1</w:t>
      </w:r>
      <w:r w:rsidR="008A5ECF" w:rsidRPr="00463181">
        <w:rPr>
          <w:lang w:val="en-GB"/>
        </w:rPr>
        <w:t>,3</w:t>
      </w:r>
      <w:r w:rsidR="00017274" w:rsidRPr="00463181">
        <w:rPr>
          <w:lang w:val="en-GB"/>
        </w:rPr>
        <w:t>2</w:t>
      </w:r>
      <w:r w:rsidR="008A5ECF" w:rsidRPr="00463181">
        <w:rPr>
          <w:lang w:val="en-GB"/>
        </w:rPr>
        <w:t>,3</w:t>
      </w:r>
      <w:r w:rsidR="00017274" w:rsidRPr="00463181">
        <w:rPr>
          <w:lang w:val="en-GB"/>
        </w:rPr>
        <w:t>4</w:t>
      </w:r>
      <w:r w:rsidR="008A5ECF" w:rsidRPr="00463181">
        <w:rPr>
          <w:lang w:val="en-GB"/>
        </w:rPr>
        <w:t>,3</w:t>
      </w:r>
      <w:r w:rsidR="00017274" w:rsidRPr="00463181">
        <w:rPr>
          <w:lang w:val="en-GB"/>
        </w:rPr>
        <w:t>7</w:t>
      </w:r>
      <w:r w:rsidR="008A5ECF" w:rsidRPr="00463181">
        <w:rPr>
          <w:lang w:val="en-GB"/>
        </w:rPr>
        <w:t>,4</w:t>
      </w:r>
      <w:r w:rsidR="00017274" w:rsidRPr="00463181">
        <w:rPr>
          <w:lang w:val="en-GB"/>
        </w:rPr>
        <w:t>1</w:t>
      </w:r>
      <w:r w:rsidR="008A5ECF" w:rsidRPr="00463181">
        <w:rPr>
          <w:lang w:val="en-GB"/>
        </w:rPr>
        <w:t>]</w:t>
      </w:r>
      <w:r w:rsidRPr="00463181">
        <w:rPr>
          <w:lang w:val="en-GB"/>
        </w:rPr>
        <w:t xml:space="preserve"> and a discharged home range of 60.</w:t>
      </w:r>
      <w:r w:rsidR="00631ED4" w:rsidRPr="00463181">
        <w:rPr>
          <w:lang w:val="en-GB"/>
        </w:rPr>
        <w:t>4–88</w:t>
      </w:r>
      <w:r w:rsidRPr="00463181">
        <w:rPr>
          <w:lang w:val="en-GB"/>
        </w:rPr>
        <w:t xml:space="preserve">.0% from </w:t>
      </w:r>
      <w:r w:rsidR="006C2769">
        <w:rPr>
          <w:lang w:val="en-GB"/>
        </w:rPr>
        <w:t>six</w:t>
      </w:r>
      <w:r w:rsidR="006C2769" w:rsidRPr="00463181">
        <w:rPr>
          <w:lang w:val="en-GB"/>
        </w:rPr>
        <w:t xml:space="preserve"> </w:t>
      </w:r>
      <w:r w:rsidRPr="00463181">
        <w:rPr>
          <w:lang w:val="en-GB"/>
        </w:rPr>
        <w:t xml:space="preserve">studies </w:t>
      </w:r>
      <w:r w:rsidR="008A5ECF" w:rsidRPr="00463181">
        <w:rPr>
          <w:lang w:val="en-GB"/>
        </w:rPr>
        <w:t>[</w:t>
      </w:r>
      <w:r w:rsidR="000B4DC5" w:rsidRPr="00463181">
        <w:rPr>
          <w:lang w:val="en-GB"/>
        </w:rPr>
        <w:t>3</w:t>
      </w:r>
      <w:r w:rsidR="00017274" w:rsidRPr="00463181">
        <w:rPr>
          <w:lang w:val="en-GB"/>
        </w:rPr>
        <w:t>1</w:t>
      </w:r>
      <w:r w:rsidR="000B4DC5" w:rsidRPr="00463181">
        <w:rPr>
          <w:lang w:val="en-GB"/>
        </w:rPr>
        <w:t>,3</w:t>
      </w:r>
      <w:r w:rsidR="00017274" w:rsidRPr="00463181">
        <w:rPr>
          <w:lang w:val="en-GB"/>
        </w:rPr>
        <w:t>2</w:t>
      </w:r>
      <w:r w:rsidR="000B4DC5" w:rsidRPr="00463181">
        <w:rPr>
          <w:lang w:val="en-GB"/>
        </w:rPr>
        <w:t>,</w:t>
      </w:r>
      <w:r w:rsidR="008A5ECF" w:rsidRPr="00463181">
        <w:rPr>
          <w:lang w:val="en-GB"/>
        </w:rPr>
        <w:t>3</w:t>
      </w:r>
      <w:r w:rsidR="00017274" w:rsidRPr="00463181">
        <w:rPr>
          <w:lang w:val="en-GB"/>
        </w:rPr>
        <w:t>5</w:t>
      </w:r>
      <w:r w:rsidR="008A5ECF" w:rsidRPr="00463181">
        <w:rPr>
          <w:lang w:val="en-GB"/>
        </w:rPr>
        <w:t>,3</w:t>
      </w:r>
      <w:r w:rsidR="00017274" w:rsidRPr="00463181">
        <w:rPr>
          <w:lang w:val="en-GB"/>
        </w:rPr>
        <w:t>6</w:t>
      </w:r>
      <w:r w:rsidR="008A5ECF" w:rsidRPr="00463181">
        <w:rPr>
          <w:lang w:val="en-GB"/>
        </w:rPr>
        <w:t>,3</w:t>
      </w:r>
      <w:r w:rsidR="00017274" w:rsidRPr="00463181">
        <w:rPr>
          <w:lang w:val="en-GB"/>
        </w:rPr>
        <w:t>8</w:t>
      </w:r>
      <w:r w:rsidR="008A5ECF" w:rsidRPr="00463181">
        <w:rPr>
          <w:lang w:val="en-GB"/>
        </w:rPr>
        <w:t>,4</w:t>
      </w:r>
      <w:r w:rsidR="00017274" w:rsidRPr="00463181">
        <w:rPr>
          <w:lang w:val="en-GB"/>
        </w:rPr>
        <w:t>1</w:t>
      </w:r>
      <w:r w:rsidR="008A5ECF" w:rsidRPr="00463181">
        <w:rPr>
          <w:lang w:val="en-GB"/>
        </w:rPr>
        <w:t>]</w:t>
      </w:r>
      <w:r w:rsidRPr="00463181">
        <w:rPr>
          <w:lang w:val="en-GB"/>
        </w:rPr>
        <w:t xml:space="preserve"> may reflect the range of cognitive and physical abilities represented in these studies, as well as different care cultures. The current study sample, despite </w:t>
      </w:r>
      <w:r w:rsidR="006C2769">
        <w:rPr>
          <w:lang w:val="en-GB"/>
        </w:rPr>
        <w:t xml:space="preserve">having the </w:t>
      </w:r>
      <w:r w:rsidRPr="00463181">
        <w:rPr>
          <w:lang w:val="en-GB"/>
        </w:rPr>
        <w:t xml:space="preserve">highest average age, was in the upper range for both outcomes. It possibly benefitted from comparatively high </w:t>
      </w:r>
      <w:proofErr w:type="spellStart"/>
      <w:r w:rsidRPr="00463181">
        <w:rPr>
          <w:lang w:val="en-GB"/>
        </w:rPr>
        <w:t>FIM</w:t>
      </w:r>
      <w:r w:rsidRPr="00463181">
        <w:rPr>
          <w:vertAlign w:val="subscript"/>
          <w:lang w:val="en-GB"/>
        </w:rPr>
        <w:t>admission</w:t>
      </w:r>
      <w:proofErr w:type="spellEnd"/>
      <w:r w:rsidR="00EF6E46" w:rsidRPr="00463181">
        <w:rPr>
          <w:lang w:val="en-GB"/>
        </w:rPr>
        <w:t xml:space="preserve"> </w:t>
      </w:r>
      <w:r w:rsidRPr="00463181">
        <w:rPr>
          <w:lang w:val="en-GB"/>
        </w:rPr>
        <w:t>and its self-funding status gave it motivational [4</w:t>
      </w:r>
      <w:r w:rsidR="00657ACA" w:rsidRPr="00463181">
        <w:rPr>
          <w:lang w:val="en-GB"/>
        </w:rPr>
        <w:t>2</w:t>
      </w:r>
      <w:r w:rsidRPr="00463181">
        <w:rPr>
          <w:lang w:val="en-GB"/>
        </w:rPr>
        <w:t>] and socioeconomic advantages [4</w:t>
      </w:r>
      <w:r w:rsidR="00657ACA" w:rsidRPr="00463181">
        <w:rPr>
          <w:lang w:val="en-GB"/>
        </w:rPr>
        <w:t>3</w:t>
      </w:r>
      <w:r w:rsidRPr="00463181">
        <w:rPr>
          <w:lang w:val="en-GB"/>
        </w:rPr>
        <w:t xml:space="preserve">], although a private/public comparison is made difficult by </w:t>
      </w:r>
      <w:r w:rsidR="006C2769">
        <w:rPr>
          <w:lang w:val="en-GB"/>
        </w:rPr>
        <w:t xml:space="preserve">a </w:t>
      </w:r>
      <w:r w:rsidRPr="00463181">
        <w:rPr>
          <w:lang w:val="en-GB"/>
        </w:rPr>
        <w:t xml:space="preserve">lack of detail regarding </w:t>
      </w:r>
      <w:r w:rsidR="006C2769">
        <w:rPr>
          <w:lang w:val="en-GB"/>
        </w:rPr>
        <w:t xml:space="preserve">the </w:t>
      </w:r>
      <w:r w:rsidRPr="00463181">
        <w:rPr>
          <w:lang w:val="en-GB"/>
        </w:rPr>
        <w:t xml:space="preserve">study setting in other studies. The use of means by most of these studies should also be recognised, </w:t>
      </w:r>
      <w:r w:rsidR="006C2769">
        <w:rPr>
          <w:lang w:val="en-GB"/>
        </w:rPr>
        <w:t>as they</w:t>
      </w:r>
      <w:r w:rsidR="006C2769" w:rsidRPr="00463181">
        <w:rPr>
          <w:lang w:val="en-GB"/>
        </w:rPr>
        <w:t xml:space="preserve"> </w:t>
      </w:r>
      <w:r w:rsidRPr="00463181">
        <w:rPr>
          <w:lang w:val="en-GB"/>
        </w:rPr>
        <w:t xml:space="preserve">are larger than </w:t>
      </w:r>
      <w:r w:rsidR="006C2769">
        <w:rPr>
          <w:lang w:val="en-GB"/>
        </w:rPr>
        <w:t xml:space="preserve">the </w:t>
      </w:r>
      <w:r w:rsidRPr="00463181">
        <w:rPr>
          <w:lang w:val="en-GB"/>
        </w:rPr>
        <w:t xml:space="preserve">median on typically positively skewed </w:t>
      </w:r>
      <w:proofErr w:type="spellStart"/>
      <w:r w:rsidRPr="00463181">
        <w:rPr>
          <w:lang w:val="en-GB"/>
        </w:rPr>
        <w:t>LoS</w:t>
      </w:r>
      <w:proofErr w:type="spellEnd"/>
      <w:r w:rsidRPr="00463181">
        <w:rPr>
          <w:lang w:val="en-GB"/>
        </w:rPr>
        <w:t xml:space="preserve"> histograms. Calculated for comparison, the present study’s mean was excessively high, owing to its long-stay subgroup</w:t>
      </w:r>
      <w:r w:rsidR="006C2769">
        <w:rPr>
          <w:lang w:val="en-GB"/>
        </w:rPr>
        <w:t xml:space="preserve"> for</w:t>
      </w:r>
      <w:r w:rsidRPr="00463181">
        <w:rPr>
          <w:lang w:val="en-GB"/>
        </w:rPr>
        <w:t xml:space="preserve"> </w:t>
      </w:r>
      <w:proofErr w:type="spellStart"/>
      <w:r w:rsidRPr="00463181">
        <w:rPr>
          <w:lang w:val="en-GB"/>
        </w:rPr>
        <w:t>LoS</w:t>
      </w:r>
      <w:proofErr w:type="spellEnd"/>
      <w:r w:rsidRPr="00463181">
        <w:rPr>
          <w:lang w:val="en-GB"/>
        </w:rPr>
        <w:t>. This suggests that, in the other studies, discharge to long-</w:t>
      </w:r>
      <w:r w:rsidR="00FF5B5B" w:rsidRPr="00463181">
        <w:rPr>
          <w:lang w:val="en-GB"/>
        </w:rPr>
        <w:t>term care</w:t>
      </w:r>
      <w:r w:rsidRPr="00463181">
        <w:rPr>
          <w:lang w:val="en-GB"/>
        </w:rPr>
        <w:t xml:space="preserve"> occurred sooner than the nominal 4</w:t>
      </w:r>
      <w:r w:rsidR="00463181" w:rsidRPr="00463181">
        <w:rPr>
          <w:lang w:val="en-GB"/>
        </w:rPr>
        <w:t xml:space="preserve"> months</w:t>
      </w:r>
      <w:r w:rsidRPr="00463181">
        <w:rPr>
          <w:lang w:val="en-GB"/>
        </w:rPr>
        <w:t xml:space="preserve"> </w:t>
      </w:r>
      <w:r w:rsidR="006C2769">
        <w:rPr>
          <w:lang w:val="en-GB"/>
        </w:rPr>
        <w:t>found</w:t>
      </w:r>
      <w:r w:rsidR="006C2769" w:rsidRPr="00463181">
        <w:rPr>
          <w:lang w:val="en-GB"/>
        </w:rPr>
        <w:t xml:space="preserve"> </w:t>
      </w:r>
      <w:r w:rsidRPr="00463181">
        <w:rPr>
          <w:lang w:val="en-GB"/>
        </w:rPr>
        <w:t>in this study</w:t>
      </w:r>
      <w:r w:rsidR="006C2769">
        <w:rPr>
          <w:lang w:val="en-GB"/>
        </w:rPr>
        <w:t>,</w:t>
      </w:r>
      <w:r w:rsidRPr="00463181">
        <w:rPr>
          <w:lang w:val="en-GB"/>
        </w:rPr>
        <w:t xml:space="preserve"> possibly </w:t>
      </w:r>
      <w:r w:rsidR="006C2769">
        <w:rPr>
          <w:lang w:val="en-GB"/>
        </w:rPr>
        <w:t xml:space="preserve">indicating </w:t>
      </w:r>
      <w:r w:rsidRPr="00463181">
        <w:rPr>
          <w:lang w:val="en-GB"/>
        </w:rPr>
        <w:t>insufficient recovery time, thereby explaining lower discharge home figures.</w:t>
      </w:r>
    </w:p>
    <w:p w14:paraId="3919EE2F" w14:textId="2C4955ED" w:rsidR="008F5B30" w:rsidRPr="00463181" w:rsidRDefault="008F5B30" w:rsidP="00A506D9">
      <w:pPr>
        <w:pStyle w:val="MDPI31text"/>
        <w:rPr>
          <w:lang w:val="en-GB"/>
        </w:rPr>
      </w:pPr>
      <w:r w:rsidRPr="00463181">
        <w:rPr>
          <w:lang w:val="en-GB"/>
        </w:rPr>
        <w:t xml:space="preserve">Compared to NHS mean averages [4], this study’s population were less likely to have delirium and more likely to be discharged </w:t>
      </w:r>
      <w:r w:rsidR="006D44E8" w:rsidRPr="00463181">
        <w:rPr>
          <w:lang w:val="en-GB"/>
        </w:rPr>
        <w:t>home but</w:t>
      </w:r>
      <w:r w:rsidRPr="00463181">
        <w:rPr>
          <w:lang w:val="en-GB"/>
        </w:rPr>
        <w:t xml:space="preserve"> had longer acute and super-spell stays. Cameron et al. [19] noted that rehabilitation </w:t>
      </w:r>
      <w:proofErr w:type="spellStart"/>
      <w:r w:rsidRPr="00463181">
        <w:rPr>
          <w:lang w:val="en-GB"/>
        </w:rPr>
        <w:t>LoS</w:t>
      </w:r>
      <w:proofErr w:type="spellEnd"/>
      <w:r w:rsidRPr="00463181">
        <w:rPr>
          <w:lang w:val="en-GB"/>
        </w:rPr>
        <w:t xml:space="preserve"> was longer in ‘off-site’ facilities than in acute </w:t>
      </w:r>
      <w:r w:rsidR="006D44E8" w:rsidRPr="00463181">
        <w:rPr>
          <w:lang w:val="en-GB"/>
        </w:rPr>
        <w:t>hospitals and</w:t>
      </w:r>
      <w:r w:rsidRPr="00463181">
        <w:rPr>
          <w:lang w:val="en-GB"/>
        </w:rPr>
        <w:t xml:space="preserve"> related this to less-efficient care cultures. The differences in </w:t>
      </w:r>
      <w:bookmarkStart w:id="0" w:name="_Hlk92191395"/>
      <w:r w:rsidRPr="00463181">
        <w:rPr>
          <w:lang w:val="en-GB"/>
        </w:rPr>
        <w:t>this comparison may be linked with population demographics, socioeconomic status and affordability</w:t>
      </w:r>
      <w:r w:rsidR="006C2769">
        <w:rPr>
          <w:lang w:val="en-GB"/>
        </w:rPr>
        <w:t>,</w:t>
      </w:r>
      <w:r w:rsidRPr="00463181">
        <w:rPr>
          <w:lang w:val="en-GB"/>
        </w:rPr>
        <w:t xml:space="preserve"> and the likelihood that private rehabilitation attracts those in the middle of the health/ability scale, rather than the whole range treated by the NHS. </w:t>
      </w:r>
      <w:bookmarkEnd w:id="0"/>
      <w:r w:rsidRPr="00463181">
        <w:rPr>
          <w:lang w:val="en-GB"/>
        </w:rPr>
        <w:t xml:space="preserve">An element of patient choice related to discharge is also thought </w:t>
      </w:r>
      <w:r w:rsidR="006C2769">
        <w:rPr>
          <w:lang w:val="en-GB"/>
        </w:rPr>
        <w:t xml:space="preserve">to be </w:t>
      </w:r>
      <w:r w:rsidRPr="00463181">
        <w:rPr>
          <w:lang w:val="en-GB"/>
        </w:rPr>
        <w:t>likely. However, by choosing private rehabilitation, this study’s population</w:t>
      </w:r>
      <w:r w:rsidR="006C2769">
        <w:rPr>
          <w:lang w:val="en-GB"/>
        </w:rPr>
        <w:t>,</w:t>
      </w:r>
      <w:r w:rsidRPr="00463181">
        <w:rPr>
          <w:lang w:val="en-GB"/>
        </w:rPr>
        <w:t xml:space="preserve"> for the purposes of NHS data</w:t>
      </w:r>
      <w:r w:rsidR="006C2769">
        <w:rPr>
          <w:lang w:val="en-GB"/>
        </w:rPr>
        <w:t>,</w:t>
      </w:r>
      <w:r w:rsidRPr="00463181">
        <w:rPr>
          <w:lang w:val="en-GB"/>
        </w:rPr>
        <w:t xml:space="preserve"> has a final residency of nursing home placement [15]. If these differences occur throughout private care, </w:t>
      </w:r>
      <w:r w:rsidR="006C2769">
        <w:rPr>
          <w:lang w:val="en-GB"/>
        </w:rPr>
        <w:t xml:space="preserve">a </w:t>
      </w:r>
      <w:r w:rsidRPr="00463181">
        <w:rPr>
          <w:lang w:val="en-GB"/>
        </w:rPr>
        <w:t xml:space="preserve">potential to change NHS results exists for total treatment time, residence at 120 days </w:t>
      </w:r>
      <w:r w:rsidR="00631ED4" w:rsidRPr="00463181">
        <w:rPr>
          <w:lang w:val="en-GB"/>
        </w:rPr>
        <w:t>(</w:t>
      </w:r>
      <w:r w:rsidRPr="00463181">
        <w:rPr>
          <w:lang w:val="en-GB"/>
        </w:rPr>
        <w:t>a NHFD key performance indicator</w:t>
      </w:r>
      <w:r w:rsidR="00631ED4" w:rsidRPr="00463181">
        <w:rPr>
          <w:lang w:val="en-GB"/>
        </w:rPr>
        <w:t>)</w:t>
      </w:r>
      <w:r w:rsidRPr="00463181">
        <w:rPr>
          <w:lang w:val="en-GB"/>
        </w:rPr>
        <w:t xml:space="preserve"> and 30-day mortality. Physiotherapists have proved themselves willing to facilitate research data collection [4</w:t>
      </w:r>
      <w:r w:rsidR="00657ACA" w:rsidRPr="00463181">
        <w:rPr>
          <w:lang w:val="en-GB"/>
        </w:rPr>
        <w:t>4</w:t>
      </w:r>
      <w:r w:rsidRPr="00463181">
        <w:rPr>
          <w:lang w:val="en-GB"/>
        </w:rPr>
        <w:t>]</w:t>
      </w:r>
      <w:r w:rsidR="006C2769">
        <w:rPr>
          <w:lang w:val="en-GB"/>
        </w:rPr>
        <w:t>,</w:t>
      </w:r>
      <w:r w:rsidRPr="00463181">
        <w:rPr>
          <w:lang w:val="en-GB"/>
        </w:rPr>
        <w:t xml:space="preserve"> and asking private facilities to submit 120-day data might improve data accuracy.</w:t>
      </w:r>
    </w:p>
    <w:p w14:paraId="32D3456A" w14:textId="234CA22B" w:rsidR="008F5B30" w:rsidRPr="00463181" w:rsidRDefault="008F5B30" w:rsidP="00A506D9">
      <w:pPr>
        <w:pStyle w:val="MDPI31text"/>
        <w:rPr>
          <w:lang w:val="en-GB"/>
        </w:rPr>
      </w:pPr>
      <w:r w:rsidRPr="00463181">
        <w:rPr>
          <w:lang w:val="en-GB"/>
        </w:rPr>
        <w:t xml:space="preserve">For gauging approximate </w:t>
      </w:r>
      <w:proofErr w:type="spellStart"/>
      <w:r w:rsidRPr="00463181">
        <w:rPr>
          <w:lang w:val="en-GB"/>
        </w:rPr>
        <w:t>LoS</w:t>
      </w:r>
      <w:proofErr w:type="spellEnd"/>
      <w:r w:rsidRPr="00463181">
        <w:rPr>
          <w:lang w:val="en-GB"/>
        </w:rPr>
        <w:t xml:space="preserve"> and probable DD, </w:t>
      </w:r>
      <w:proofErr w:type="spellStart"/>
      <w:r w:rsidRPr="00463181">
        <w:rPr>
          <w:lang w:val="en-GB"/>
        </w:rPr>
        <w:t>FIM</w:t>
      </w:r>
      <w:r w:rsidRPr="00463181">
        <w:rPr>
          <w:vertAlign w:val="subscript"/>
          <w:lang w:val="en-GB"/>
        </w:rPr>
        <w:t>admission</w:t>
      </w:r>
      <w:proofErr w:type="spellEnd"/>
      <w:r w:rsidR="00EF6E46" w:rsidRPr="00463181">
        <w:rPr>
          <w:lang w:val="en-GB"/>
        </w:rPr>
        <w:t xml:space="preserve"> </w:t>
      </w:r>
      <w:r w:rsidRPr="00463181">
        <w:rPr>
          <w:lang w:val="en-GB"/>
        </w:rPr>
        <w:t xml:space="preserve">is likely the most useful variable tested in this study. In accordance with similar research </w:t>
      </w:r>
      <w:r w:rsidR="008A5ECF" w:rsidRPr="00463181">
        <w:rPr>
          <w:lang w:val="en-GB"/>
        </w:rPr>
        <w:t>[2</w:t>
      </w:r>
      <w:r w:rsidR="002D45DF" w:rsidRPr="00463181">
        <w:rPr>
          <w:lang w:val="en-GB"/>
        </w:rPr>
        <w:t>2</w:t>
      </w:r>
      <w:r w:rsidR="008A5ECF" w:rsidRPr="00463181">
        <w:rPr>
          <w:lang w:val="en-GB"/>
        </w:rPr>
        <w:t>,3</w:t>
      </w:r>
      <w:r w:rsidR="00657ACA" w:rsidRPr="00463181">
        <w:rPr>
          <w:lang w:val="en-GB"/>
        </w:rPr>
        <w:t>1</w:t>
      </w:r>
      <w:r w:rsidR="008A5ECF" w:rsidRPr="00463181">
        <w:rPr>
          <w:lang w:val="en-GB"/>
        </w:rPr>
        <w:t>,3</w:t>
      </w:r>
      <w:r w:rsidR="00657ACA" w:rsidRPr="00463181">
        <w:rPr>
          <w:lang w:val="en-GB"/>
        </w:rPr>
        <w:t>4</w:t>
      </w:r>
      <w:r w:rsidR="008A5ECF" w:rsidRPr="00463181">
        <w:rPr>
          <w:lang w:val="en-GB"/>
        </w:rPr>
        <w:t>,3</w:t>
      </w:r>
      <w:r w:rsidR="00657ACA" w:rsidRPr="00463181">
        <w:rPr>
          <w:lang w:val="en-GB"/>
        </w:rPr>
        <w:t>8</w:t>
      </w:r>
      <w:r w:rsidR="008A5ECF" w:rsidRPr="00463181">
        <w:rPr>
          <w:lang w:val="en-GB"/>
        </w:rPr>
        <w:t>,4</w:t>
      </w:r>
      <w:r w:rsidR="00657ACA" w:rsidRPr="00463181">
        <w:rPr>
          <w:lang w:val="en-GB"/>
        </w:rPr>
        <w:t>1</w:t>
      </w:r>
      <w:r w:rsidR="008A5ECF" w:rsidRPr="00463181">
        <w:rPr>
          <w:lang w:val="en-GB"/>
        </w:rPr>
        <w:t>]</w:t>
      </w:r>
      <w:r w:rsidRPr="00463181">
        <w:rPr>
          <w:lang w:val="en-GB"/>
        </w:rPr>
        <w:t xml:space="preserve">, it influenced both </w:t>
      </w:r>
      <w:proofErr w:type="spellStart"/>
      <w:r w:rsidRPr="00463181">
        <w:rPr>
          <w:lang w:val="en-GB"/>
        </w:rPr>
        <w:t>LoS</w:t>
      </w:r>
      <w:proofErr w:type="spellEnd"/>
      <w:r w:rsidRPr="00463181">
        <w:rPr>
          <w:lang w:val="en-GB"/>
        </w:rPr>
        <w:t xml:space="preserve"> and DD and had the highest correlation with each. If restricted on time, its self-care section may be sufficient [18,4</w:t>
      </w:r>
      <w:r w:rsidR="00657ACA" w:rsidRPr="00463181">
        <w:rPr>
          <w:lang w:val="en-GB"/>
        </w:rPr>
        <w:t>5</w:t>
      </w:r>
      <w:r w:rsidRPr="00463181">
        <w:rPr>
          <w:lang w:val="en-GB"/>
        </w:rPr>
        <w:t xml:space="preserve">]. Survivor analysis provides one way of using </w:t>
      </w:r>
      <w:proofErr w:type="spellStart"/>
      <w:r w:rsidRPr="00463181">
        <w:rPr>
          <w:lang w:val="en-GB"/>
        </w:rPr>
        <w:t>FIM</w:t>
      </w:r>
      <w:r w:rsidRPr="00463181">
        <w:rPr>
          <w:vertAlign w:val="subscript"/>
          <w:lang w:val="en-GB"/>
        </w:rPr>
        <w:t>admission</w:t>
      </w:r>
      <w:proofErr w:type="spellEnd"/>
      <w:r w:rsidRPr="00463181">
        <w:rPr>
          <w:lang w:val="en-GB"/>
        </w:rPr>
        <w:t xml:space="preserve"> or any of the predictor variables for estimating </w:t>
      </w:r>
      <w:proofErr w:type="spellStart"/>
      <w:r w:rsidRPr="00463181">
        <w:rPr>
          <w:lang w:val="en-GB"/>
        </w:rPr>
        <w:t>LoS</w:t>
      </w:r>
      <w:proofErr w:type="spellEnd"/>
      <w:r w:rsidRPr="00463181">
        <w:rPr>
          <w:lang w:val="en-GB"/>
        </w:rPr>
        <w:t>/DD. Combining the survival pattern of a variable subgroup, e</w:t>
      </w:r>
      <w:r w:rsidR="005146A4" w:rsidRPr="00463181">
        <w:rPr>
          <w:lang w:val="en-GB"/>
        </w:rPr>
        <w:t>.</w:t>
      </w:r>
      <w:r w:rsidRPr="00463181">
        <w:rPr>
          <w:lang w:val="en-GB"/>
        </w:rPr>
        <w:t>g.</w:t>
      </w:r>
      <w:r w:rsidR="005146A4" w:rsidRPr="00463181">
        <w:rPr>
          <w:lang w:val="en-GB"/>
        </w:rPr>
        <w:t>,</w:t>
      </w:r>
      <w:r w:rsidRPr="00463181">
        <w:rPr>
          <w:lang w:val="en-GB"/>
        </w:rPr>
        <w:t xml:space="preserve"> </w:t>
      </w:r>
      <w:proofErr w:type="spellStart"/>
      <w:r w:rsidRPr="00463181">
        <w:rPr>
          <w:lang w:val="en-GB"/>
        </w:rPr>
        <w:t>FIM</w:t>
      </w:r>
      <w:r w:rsidRPr="00463181">
        <w:rPr>
          <w:vertAlign w:val="subscript"/>
          <w:lang w:val="en-GB"/>
        </w:rPr>
        <w:t>admission</w:t>
      </w:r>
      <w:proofErr w:type="spellEnd"/>
      <w:r w:rsidR="00532723" w:rsidRPr="00463181">
        <w:rPr>
          <w:lang w:val="en-GB"/>
        </w:rPr>
        <w:t xml:space="preserve"> </w:t>
      </w:r>
      <w:r w:rsidRPr="00463181">
        <w:rPr>
          <w:lang w:val="en-GB"/>
        </w:rPr>
        <w:t>score</w:t>
      </w:r>
      <w:r w:rsidR="00F10B77">
        <w:rPr>
          <w:lang w:val="en-GB"/>
        </w:rPr>
        <w:t>s of</w:t>
      </w:r>
      <w:r w:rsidRPr="00463181">
        <w:rPr>
          <w:lang w:val="en-GB"/>
        </w:rPr>
        <w:t xml:space="preserve"> 7</w:t>
      </w:r>
      <w:r w:rsidR="00631ED4" w:rsidRPr="00463181">
        <w:rPr>
          <w:lang w:val="en-GB"/>
        </w:rPr>
        <w:t>8–91</w:t>
      </w:r>
      <w:r w:rsidRPr="00463181">
        <w:rPr>
          <w:lang w:val="en-GB"/>
        </w:rPr>
        <w:t xml:space="preserve">, with </w:t>
      </w:r>
      <w:r w:rsidR="00F10B77">
        <w:rPr>
          <w:lang w:val="en-GB"/>
        </w:rPr>
        <w:t xml:space="preserve">the </w:t>
      </w:r>
      <w:r w:rsidRPr="00463181">
        <w:rPr>
          <w:lang w:val="en-GB"/>
        </w:rPr>
        <w:t xml:space="preserve">average </w:t>
      </w:r>
      <w:proofErr w:type="spellStart"/>
      <w:r w:rsidRPr="00463181">
        <w:rPr>
          <w:lang w:val="en-GB"/>
        </w:rPr>
        <w:t>LoS</w:t>
      </w:r>
      <w:proofErr w:type="spellEnd"/>
      <w:r w:rsidRPr="00463181">
        <w:rPr>
          <w:lang w:val="en-GB"/>
        </w:rPr>
        <w:t xml:space="preserve"> of that subgroup would provide the most personalised recovery estimate possible from this study’s </w:t>
      </w:r>
      <w:r w:rsidR="007222BB" w:rsidRPr="00463181">
        <w:rPr>
          <w:lang w:val="en-GB"/>
        </w:rPr>
        <w:t>data</w:t>
      </w:r>
      <w:r w:rsidR="00F10B77">
        <w:rPr>
          <w:lang w:val="en-GB"/>
        </w:rPr>
        <w:t>,</w:t>
      </w:r>
      <w:r w:rsidR="007222BB" w:rsidRPr="00463181">
        <w:rPr>
          <w:lang w:val="en-GB"/>
        </w:rPr>
        <w:t xml:space="preserve"> </w:t>
      </w:r>
      <w:r w:rsidR="00F10B77">
        <w:rPr>
          <w:lang w:val="en-GB"/>
        </w:rPr>
        <w:t>though it</w:t>
      </w:r>
      <w:r w:rsidR="00F10B77" w:rsidRPr="00463181">
        <w:rPr>
          <w:lang w:val="en-GB"/>
        </w:rPr>
        <w:t xml:space="preserve"> </w:t>
      </w:r>
      <w:r w:rsidRPr="00463181">
        <w:rPr>
          <w:lang w:val="en-GB"/>
        </w:rPr>
        <w:t xml:space="preserve">leaves much room for error. </w:t>
      </w:r>
      <w:r w:rsidR="00F10B77">
        <w:rPr>
          <w:lang w:val="en-GB"/>
        </w:rPr>
        <w:t xml:space="preserve">The </w:t>
      </w:r>
      <w:r w:rsidR="00F10B77" w:rsidRPr="00463181">
        <w:rPr>
          <w:lang w:val="en-GB"/>
        </w:rPr>
        <w:t>c</w:t>
      </w:r>
      <w:r w:rsidRPr="00463181">
        <w:rPr>
          <w:lang w:val="en-GB"/>
        </w:rPr>
        <w:t>ategorisation method, human idiosyncra</w:t>
      </w:r>
      <w:r w:rsidR="00FF5B5B" w:rsidRPr="00463181">
        <w:rPr>
          <w:lang w:val="en-GB"/>
        </w:rPr>
        <w:t>s</w:t>
      </w:r>
      <w:r w:rsidRPr="00463181">
        <w:rPr>
          <w:lang w:val="en-GB"/>
        </w:rPr>
        <w:t xml:space="preserve">ies and personal circumstances are likely to act as confounders, which must be considered. </w:t>
      </w:r>
      <w:proofErr w:type="spellStart"/>
      <w:r w:rsidRPr="00463181">
        <w:rPr>
          <w:lang w:val="en-GB"/>
        </w:rPr>
        <w:t>FIM</w:t>
      </w:r>
      <w:r w:rsidRPr="00463181">
        <w:rPr>
          <w:vertAlign w:val="subscript"/>
          <w:lang w:val="en-GB"/>
        </w:rPr>
        <w:t>admission</w:t>
      </w:r>
      <w:proofErr w:type="spellEnd"/>
      <w:r w:rsidR="00EF6E46" w:rsidRPr="00463181">
        <w:rPr>
          <w:lang w:val="en-GB"/>
        </w:rPr>
        <w:t xml:space="preserve"> </w:t>
      </w:r>
      <w:r w:rsidRPr="00463181">
        <w:rPr>
          <w:lang w:val="en-GB"/>
        </w:rPr>
        <w:t xml:space="preserve">may have additional functional uses: categorisation according to dependency level can identify </w:t>
      </w:r>
      <w:r w:rsidR="00F10B77">
        <w:rPr>
          <w:lang w:val="en-GB"/>
        </w:rPr>
        <w:t xml:space="preserve">the </w:t>
      </w:r>
      <w:r w:rsidRPr="00463181">
        <w:rPr>
          <w:lang w:val="en-GB"/>
        </w:rPr>
        <w:t>most suitable treatment approach for discharge within a fixed time [3</w:t>
      </w:r>
      <w:r w:rsidR="00657ACA" w:rsidRPr="00463181">
        <w:rPr>
          <w:lang w:val="en-GB"/>
        </w:rPr>
        <w:t>1</w:t>
      </w:r>
      <w:r w:rsidRPr="00463181">
        <w:rPr>
          <w:lang w:val="en-GB"/>
        </w:rPr>
        <w:t xml:space="preserve">]. Tan </w:t>
      </w:r>
      <w:r w:rsidR="00F10B77">
        <w:rPr>
          <w:lang w:val="en-GB"/>
        </w:rPr>
        <w:t>and</w:t>
      </w:r>
      <w:r w:rsidRPr="00463181">
        <w:rPr>
          <w:lang w:val="en-GB"/>
        </w:rPr>
        <w:t xml:space="preserve"> Saw [4</w:t>
      </w:r>
      <w:r w:rsidR="00657ACA" w:rsidRPr="00463181">
        <w:rPr>
          <w:lang w:val="en-GB"/>
        </w:rPr>
        <w:t>1</w:t>
      </w:r>
      <w:r w:rsidRPr="00463181">
        <w:rPr>
          <w:lang w:val="en-GB"/>
        </w:rPr>
        <w:t xml:space="preserve">] recommend a weekly rehabilitation goal of 7+ FIM </w:t>
      </w:r>
      <w:r w:rsidR="00631ED4" w:rsidRPr="00463181">
        <w:rPr>
          <w:lang w:val="en-GB"/>
        </w:rPr>
        <w:t>(</w:t>
      </w:r>
      <w:r w:rsidRPr="00463181">
        <w:rPr>
          <w:lang w:val="en-GB"/>
        </w:rPr>
        <w:t>motor</w:t>
      </w:r>
      <w:r w:rsidR="00631ED4" w:rsidRPr="00463181">
        <w:rPr>
          <w:lang w:val="en-GB"/>
        </w:rPr>
        <w:t>)</w:t>
      </w:r>
      <w:r w:rsidRPr="00463181">
        <w:rPr>
          <w:lang w:val="en-GB"/>
        </w:rPr>
        <w:t xml:space="preserve"> points, encouraging comprehensive treatment plans, although a smaller goal might better suit this study’s older sample, e</w:t>
      </w:r>
      <w:r w:rsidR="0024388F" w:rsidRPr="00463181">
        <w:rPr>
          <w:lang w:val="en-GB"/>
        </w:rPr>
        <w:t>.</w:t>
      </w:r>
      <w:r w:rsidRPr="00463181">
        <w:rPr>
          <w:lang w:val="en-GB"/>
        </w:rPr>
        <w:t>g.</w:t>
      </w:r>
      <w:r w:rsidR="0024388F" w:rsidRPr="00463181">
        <w:rPr>
          <w:lang w:val="en-GB"/>
        </w:rPr>
        <w:t>,</w:t>
      </w:r>
      <w:r w:rsidRPr="00463181">
        <w:rPr>
          <w:lang w:val="en-GB"/>
        </w:rPr>
        <w:t xml:space="preserve"> the 0.4 FIM </w:t>
      </w:r>
      <w:r w:rsidR="00631ED4" w:rsidRPr="00463181">
        <w:rPr>
          <w:lang w:val="en-GB"/>
        </w:rPr>
        <w:t>(</w:t>
      </w:r>
      <w:r w:rsidRPr="00463181">
        <w:rPr>
          <w:lang w:val="en-GB"/>
        </w:rPr>
        <w:t>motor</w:t>
      </w:r>
      <w:r w:rsidR="00631ED4" w:rsidRPr="00463181">
        <w:rPr>
          <w:lang w:val="en-GB"/>
        </w:rPr>
        <w:t>)</w:t>
      </w:r>
      <w:r w:rsidRPr="00463181">
        <w:rPr>
          <w:lang w:val="en-GB"/>
        </w:rPr>
        <w:t xml:space="preserve"> points achieved/day by Hershkovitz et al. [3</w:t>
      </w:r>
      <w:r w:rsidR="00657ACA" w:rsidRPr="00463181">
        <w:rPr>
          <w:lang w:val="en-GB"/>
        </w:rPr>
        <w:t>4</w:t>
      </w:r>
      <w:r w:rsidRPr="00463181">
        <w:rPr>
          <w:lang w:val="en-GB"/>
        </w:rPr>
        <w:t>].</w:t>
      </w:r>
    </w:p>
    <w:p w14:paraId="6E1AB0CC" w14:textId="299832A1" w:rsidR="008F5B30" w:rsidRPr="00463181" w:rsidRDefault="008F5B30" w:rsidP="00A506D9">
      <w:pPr>
        <w:pStyle w:val="MDPI31text"/>
        <w:rPr>
          <w:lang w:val="en-GB"/>
        </w:rPr>
      </w:pPr>
      <w:r w:rsidRPr="00463181">
        <w:rPr>
          <w:lang w:val="en-GB"/>
        </w:rPr>
        <w:t xml:space="preserve">Recognising that patients recover at different speeds may explain why discharge home failed to correlate with </w:t>
      </w:r>
      <w:r w:rsidR="00F10B77">
        <w:rPr>
          <w:lang w:val="en-GB"/>
        </w:rPr>
        <w:t xml:space="preserve">a </w:t>
      </w:r>
      <w:r w:rsidRPr="00463181">
        <w:rPr>
          <w:lang w:val="en-GB"/>
        </w:rPr>
        <w:t xml:space="preserve">shorter </w:t>
      </w:r>
      <w:proofErr w:type="spellStart"/>
      <w:r w:rsidRPr="00463181">
        <w:rPr>
          <w:lang w:val="en-GB"/>
        </w:rPr>
        <w:t>LoS</w:t>
      </w:r>
      <w:proofErr w:type="spellEnd"/>
      <w:r w:rsidRPr="00463181">
        <w:rPr>
          <w:lang w:val="en-GB"/>
        </w:rPr>
        <w:t xml:space="preserve">. Older and less healthy participants generally had </w:t>
      </w:r>
      <w:r w:rsidR="00F10B77">
        <w:rPr>
          <w:lang w:val="en-GB"/>
        </w:rPr>
        <w:t xml:space="preserve">a </w:t>
      </w:r>
      <w:r w:rsidRPr="00463181">
        <w:rPr>
          <w:lang w:val="en-GB"/>
        </w:rPr>
        <w:t xml:space="preserve">longer </w:t>
      </w:r>
      <w:proofErr w:type="spellStart"/>
      <w:r w:rsidRPr="00463181">
        <w:rPr>
          <w:lang w:val="en-GB"/>
        </w:rPr>
        <w:t>LoS</w:t>
      </w:r>
      <w:proofErr w:type="spellEnd"/>
      <w:r w:rsidRPr="00463181">
        <w:rPr>
          <w:lang w:val="en-GB"/>
        </w:rPr>
        <w:t>, suggesting slower recoveries, but not necessarily less successful</w:t>
      </w:r>
      <w:r w:rsidR="00F10B77">
        <w:rPr>
          <w:lang w:val="en-GB"/>
        </w:rPr>
        <w:t xml:space="preserve"> recoveries</w:t>
      </w:r>
      <w:r w:rsidRPr="00463181">
        <w:rPr>
          <w:lang w:val="en-GB"/>
        </w:rPr>
        <w:t xml:space="preserve">. Improvement can continue for many months </w:t>
      </w:r>
      <w:r w:rsidR="008A5ECF" w:rsidRPr="00463181">
        <w:rPr>
          <w:lang w:val="en-GB"/>
        </w:rPr>
        <w:t>[18,4</w:t>
      </w:r>
      <w:r w:rsidR="00657ACA" w:rsidRPr="00463181">
        <w:rPr>
          <w:lang w:val="en-GB"/>
        </w:rPr>
        <w:t>6</w:t>
      </w:r>
      <w:r w:rsidRPr="00463181">
        <w:rPr>
          <w:lang w:val="en-GB"/>
        </w:rPr>
        <w:t xml:space="preserve">], indicating </w:t>
      </w:r>
      <w:r w:rsidR="00F10B77">
        <w:rPr>
          <w:lang w:val="en-GB"/>
        </w:rPr>
        <w:t xml:space="preserve">that </w:t>
      </w:r>
      <w:r w:rsidRPr="00463181">
        <w:rPr>
          <w:lang w:val="en-GB"/>
        </w:rPr>
        <w:t xml:space="preserve">these patients </w:t>
      </w:r>
      <w:r w:rsidRPr="00463181">
        <w:rPr>
          <w:lang w:val="en-GB"/>
        </w:rPr>
        <w:lastRenderedPageBreak/>
        <w:t>might benefit from community services referral on discharge. Patients with delirium need not have limited recovery either. In this study, they were five times more likely to need nursing home placement</w:t>
      </w:r>
      <w:r w:rsidR="00F10B77">
        <w:rPr>
          <w:lang w:val="en-GB"/>
        </w:rPr>
        <w:t>,</w:t>
      </w:r>
      <w:r w:rsidRPr="00463181">
        <w:rPr>
          <w:lang w:val="en-GB"/>
        </w:rPr>
        <w:t xml:space="preserve"> which is comparable to 2017 UK figures [4]</w:t>
      </w:r>
      <w:r w:rsidR="00F10B77">
        <w:rPr>
          <w:lang w:val="en-GB"/>
        </w:rPr>
        <w:t>,</w:t>
      </w:r>
      <w:r w:rsidRPr="00463181">
        <w:rPr>
          <w:lang w:val="en-GB"/>
        </w:rPr>
        <w:t xml:space="preserve"> and </w:t>
      </w:r>
      <w:r w:rsidR="00F10B77">
        <w:rPr>
          <w:lang w:val="en-GB"/>
        </w:rPr>
        <w:t xml:space="preserve">were </w:t>
      </w:r>
      <w:r w:rsidRPr="00463181">
        <w:rPr>
          <w:lang w:val="en-GB"/>
        </w:rPr>
        <w:t xml:space="preserve">eight times more likely to die within a year. However, with prompt screening, staff training and individualised care, </w:t>
      </w:r>
      <w:r w:rsidR="008774CD" w:rsidRPr="00463181">
        <w:rPr>
          <w:lang w:val="en-GB"/>
        </w:rPr>
        <w:t xml:space="preserve">patients with </w:t>
      </w:r>
      <w:r w:rsidRPr="00463181">
        <w:rPr>
          <w:lang w:val="en-GB"/>
        </w:rPr>
        <w:t>hip fracture</w:t>
      </w:r>
      <w:r w:rsidR="00F10B77">
        <w:rPr>
          <w:lang w:val="en-GB"/>
        </w:rPr>
        <w:t>s</w:t>
      </w:r>
      <w:r w:rsidRPr="00463181">
        <w:rPr>
          <w:lang w:val="en-GB"/>
        </w:rPr>
        <w:t xml:space="preserve"> of all cognitive levels might achieve </w:t>
      </w:r>
      <w:r w:rsidR="00F10B77">
        <w:rPr>
          <w:lang w:val="en-GB"/>
        </w:rPr>
        <w:t xml:space="preserve">the </w:t>
      </w:r>
      <w:r w:rsidRPr="00463181">
        <w:rPr>
          <w:lang w:val="en-GB"/>
        </w:rPr>
        <w:t xml:space="preserve">same FIM gains in </w:t>
      </w:r>
      <w:r w:rsidR="00F10B77">
        <w:rPr>
          <w:lang w:val="en-GB"/>
        </w:rPr>
        <w:t xml:space="preserve">the </w:t>
      </w:r>
      <w:r w:rsidRPr="00463181">
        <w:rPr>
          <w:lang w:val="en-GB"/>
        </w:rPr>
        <w:t xml:space="preserve">same </w:t>
      </w:r>
      <w:proofErr w:type="spellStart"/>
      <w:r w:rsidRPr="00463181">
        <w:rPr>
          <w:lang w:val="en-GB"/>
        </w:rPr>
        <w:t>LoS</w:t>
      </w:r>
      <w:proofErr w:type="spellEnd"/>
      <w:r w:rsidRPr="00463181">
        <w:rPr>
          <w:lang w:val="en-GB"/>
        </w:rPr>
        <w:t xml:space="preserve"> [4</w:t>
      </w:r>
      <w:r w:rsidR="00657ACA" w:rsidRPr="00463181">
        <w:rPr>
          <w:lang w:val="en-GB"/>
        </w:rPr>
        <w:t>7</w:t>
      </w:r>
      <w:r w:rsidRPr="00463181">
        <w:rPr>
          <w:lang w:val="en-GB"/>
        </w:rPr>
        <w:t>]. Symptoms must be resolved within 1 month for full recovery [4</w:t>
      </w:r>
      <w:r w:rsidR="00657ACA" w:rsidRPr="00463181">
        <w:rPr>
          <w:lang w:val="en-GB"/>
        </w:rPr>
        <w:t>8</w:t>
      </w:r>
      <w:r w:rsidRPr="00463181">
        <w:rPr>
          <w:lang w:val="en-GB"/>
        </w:rPr>
        <w:t>]. FIM and delirium screening</w:t>
      </w:r>
      <w:r w:rsidR="001031D6" w:rsidRPr="00463181">
        <w:rPr>
          <w:lang w:val="en-GB"/>
        </w:rPr>
        <w:t>,</w:t>
      </w:r>
      <w:r w:rsidRPr="00463181">
        <w:rPr>
          <w:lang w:val="en-GB"/>
        </w:rPr>
        <w:t xml:space="preserve"> e.g</w:t>
      </w:r>
      <w:r w:rsidR="001C2796" w:rsidRPr="00463181">
        <w:rPr>
          <w:lang w:val="en-GB"/>
        </w:rPr>
        <w:t>.,</w:t>
      </w:r>
      <w:r w:rsidRPr="00463181">
        <w:rPr>
          <w:lang w:val="en-GB"/>
        </w:rPr>
        <w:t xml:space="preserve"> mini-mental state examination [</w:t>
      </w:r>
      <w:r w:rsidR="00657ACA" w:rsidRPr="00463181">
        <w:rPr>
          <w:lang w:val="en-GB"/>
        </w:rPr>
        <w:t>49</w:t>
      </w:r>
      <w:r w:rsidRPr="00463181">
        <w:rPr>
          <w:lang w:val="en-GB"/>
        </w:rPr>
        <w:t xml:space="preserve">] or 4AT </w:t>
      </w:r>
      <w:r w:rsidR="008A5ECF" w:rsidRPr="00463181">
        <w:rPr>
          <w:lang w:val="en-GB"/>
        </w:rPr>
        <w:t>[5</w:t>
      </w:r>
      <w:r w:rsidR="005341E6" w:rsidRPr="00463181">
        <w:rPr>
          <w:lang w:val="en-GB"/>
        </w:rPr>
        <w:t>0</w:t>
      </w:r>
      <w:r w:rsidR="008A5ECF" w:rsidRPr="00463181">
        <w:rPr>
          <w:lang w:val="en-GB"/>
        </w:rPr>
        <w:t>–5</w:t>
      </w:r>
      <w:r w:rsidR="005341E6" w:rsidRPr="00463181">
        <w:rPr>
          <w:lang w:val="en-GB"/>
        </w:rPr>
        <w:t>2</w:t>
      </w:r>
      <w:r w:rsidRPr="00463181">
        <w:rPr>
          <w:lang w:val="en-GB"/>
        </w:rPr>
        <w:t xml:space="preserve">], could form part of </w:t>
      </w:r>
      <w:r w:rsidR="00F10B77">
        <w:rPr>
          <w:lang w:val="en-GB"/>
        </w:rPr>
        <w:t xml:space="preserve">an </w:t>
      </w:r>
      <w:r w:rsidRPr="00463181">
        <w:rPr>
          <w:lang w:val="en-GB"/>
        </w:rPr>
        <w:t>initial/ongoing assessment.</w:t>
      </w:r>
    </w:p>
    <w:p w14:paraId="10FD7248" w14:textId="74FCC913" w:rsidR="008F5B30" w:rsidRPr="00463181" w:rsidRDefault="008F5B30" w:rsidP="00A506D9">
      <w:pPr>
        <w:pStyle w:val="MDPI31text"/>
        <w:rPr>
          <w:lang w:val="en-GB"/>
        </w:rPr>
      </w:pPr>
      <w:r w:rsidRPr="00463181">
        <w:rPr>
          <w:lang w:val="en-GB"/>
        </w:rPr>
        <w:t xml:space="preserve">Archival data collection from patient records occasionally revealed recording errors, including incorrect personal details, </w:t>
      </w:r>
      <w:r w:rsidR="008774CD" w:rsidRPr="00463181">
        <w:rPr>
          <w:lang w:val="en-GB"/>
        </w:rPr>
        <w:t>dates,</w:t>
      </w:r>
      <w:r w:rsidRPr="00463181">
        <w:rPr>
          <w:lang w:val="en-GB"/>
        </w:rPr>
        <w:t xml:space="preserve"> and outcomes. Other errors may have gone unnoticed. Predictor variables relating to hospital characteristics, socio-economic </w:t>
      </w:r>
      <w:r w:rsidR="008774CD" w:rsidRPr="00463181">
        <w:rPr>
          <w:lang w:val="en-GB"/>
        </w:rPr>
        <w:t>factors,</w:t>
      </w:r>
      <w:r w:rsidRPr="00463181">
        <w:rPr>
          <w:lang w:val="en-GB"/>
        </w:rPr>
        <w:t xml:space="preserve"> and health-related quality</w:t>
      </w:r>
      <w:r w:rsidR="00F10B77">
        <w:rPr>
          <w:lang w:val="en-GB"/>
        </w:rPr>
        <w:t xml:space="preserve"> </w:t>
      </w:r>
      <w:r w:rsidRPr="00463181">
        <w:rPr>
          <w:lang w:val="en-GB"/>
        </w:rPr>
        <w:t>of</w:t>
      </w:r>
      <w:r w:rsidR="00F10B77">
        <w:rPr>
          <w:lang w:val="en-GB"/>
        </w:rPr>
        <w:t xml:space="preserve"> </w:t>
      </w:r>
      <w:r w:rsidRPr="00463181">
        <w:rPr>
          <w:lang w:val="en-GB"/>
        </w:rPr>
        <w:t>life are recommended [2</w:t>
      </w:r>
      <w:r w:rsidR="002D45DF" w:rsidRPr="00463181">
        <w:rPr>
          <w:lang w:val="en-GB"/>
        </w:rPr>
        <w:t>2</w:t>
      </w:r>
      <w:r w:rsidRPr="00463181">
        <w:rPr>
          <w:lang w:val="en-GB"/>
        </w:rPr>
        <w:t>,5</w:t>
      </w:r>
      <w:r w:rsidR="005341E6" w:rsidRPr="00463181">
        <w:rPr>
          <w:lang w:val="en-GB"/>
        </w:rPr>
        <w:t>2</w:t>
      </w:r>
      <w:r w:rsidRPr="00463181">
        <w:rPr>
          <w:lang w:val="en-GB"/>
        </w:rPr>
        <w:t>].</w:t>
      </w:r>
    </w:p>
    <w:p w14:paraId="6615E47C" w14:textId="572EED84" w:rsidR="008F5B30" w:rsidRPr="00463181" w:rsidRDefault="008F5B30" w:rsidP="00A506D9">
      <w:pPr>
        <w:pStyle w:val="MDPI31text"/>
        <w:rPr>
          <w:bCs/>
          <w:szCs w:val="20"/>
          <w:lang w:val="en-GB"/>
        </w:rPr>
      </w:pPr>
      <w:r w:rsidRPr="00463181">
        <w:rPr>
          <w:lang w:val="en-GB"/>
        </w:rPr>
        <w:t>Sample size was a limitation</w:t>
      </w:r>
      <w:r w:rsidR="00F10B77">
        <w:rPr>
          <w:lang w:val="en-GB"/>
        </w:rPr>
        <w:t xml:space="preserve"> because it was</w:t>
      </w:r>
      <w:r w:rsidRPr="00463181">
        <w:rPr>
          <w:lang w:val="en-GB"/>
        </w:rPr>
        <w:t xml:space="preserve"> insufficient for regression analysis and increased prediction ability. </w:t>
      </w:r>
      <w:r w:rsidR="002C6484" w:rsidRPr="00463181">
        <w:rPr>
          <w:lang w:val="en-GB"/>
        </w:rPr>
        <w:t xml:space="preserve">The potential impact of those who died may need to be considered. </w:t>
      </w:r>
      <w:r w:rsidRPr="00463181">
        <w:rPr>
          <w:lang w:val="en-GB"/>
        </w:rPr>
        <w:t xml:space="preserve">Extending the study to other private rehabilitation facilities would be necessary </w:t>
      </w:r>
      <w:r w:rsidR="00F10B77">
        <w:rPr>
          <w:lang w:val="en-GB"/>
        </w:rPr>
        <w:t xml:space="preserve">to </w:t>
      </w:r>
      <w:r w:rsidRPr="00463181">
        <w:rPr>
          <w:lang w:val="en-GB"/>
        </w:rPr>
        <w:t xml:space="preserve">allow generalisations to be made. This would require extensive coordination and </w:t>
      </w:r>
      <w:r w:rsidR="00F10B77">
        <w:rPr>
          <w:lang w:val="en-GB"/>
        </w:rPr>
        <w:t xml:space="preserve">the </w:t>
      </w:r>
      <w:r w:rsidRPr="00463181">
        <w:rPr>
          <w:lang w:val="en-GB"/>
        </w:rPr>
        <w:t>cooperation of many, usually independent, facilities. Inter-facility comparison could be facilitated by standardising predictor variables, e</w:t>
      </w:r>
      <w:r w:rsidR="00DC272C" w:rsidRPr="00463181">
        <w:rPr>
          <w:lang w:val="en-GB"/>
        </w:rPr>
        <w:t>.</w:t>
      </w:r>
      <w:r w:rsidRPr="00463181">
        <w:rPr>
          <w:lang w:val="en-GB"/>
        </w:rPr>
        <w:t>g.</w:t>
      </w:r>
      <w:r w:rsidR="00DC272C" w:rsidRPr="00463181">
        <w:rPr>
          <w:lang w:val="en-GB"/>
        </w:rPr>
        <w:t>,</w:t>
      </w:r>
      <w:r w:rsidRPr="00463181">
        <w:rPr>
          <w:lang w:val="en-GB"/>
        </w:rPr>
        <w:t xml:space="preserve"> 4AT test for delirium and </w:t>
      </w:r>
      <w:r w:rsidR="00F10B77">
        <w:rPr>
          <w:lang w:val="en-GB"/>
        </w:rPr>
        <w:t xml:space="preserve">the </w:t>
      </w:r>
      <w:r w:rsidRPr="00463181">
        <w:rPr>
          <w:lang w:val="en-GB"/>
        </w:rPr>
        <w:t xml:space="preserve">Geriatric Cumulative Illness Rating Scale </w:t>
      </w:r>
      <w:r w:rsidR="00631ED4" w:rsidRPr="00463181">
        <w:rPr>
          <w:lang w:val="en-GB"/>
        </w:rPr>
        <w:t>(</w:t>
      </w:r>
      <w:r w:rsidRPr="00463181">
        <w:rPr>
          <w:lang w:val="en-GB"/>
        </w:rPr>
        <w:t>CIRS-G</w:t>
      </w:r>
      <w:r w:rsidR="00631ED4" w:rsidRPr="00463181">
        <w:rPr>
          <w:lang w:val="en-GB"/>
        </w:rPr>
        <w:t>)</w:t>
      </w:r>
      <w:r w:rsidRPr="00463181">
        <w:rPr>
          <w:lang w:val="en-GB"/>
        </w:rPr>
        <w:t xml:space="preserve"> [5</w:t>
      </w:r>
      <w:r w:rsidR="004D1D4C">
        <w:rPr>
          <w:lang w:val="en-GB"/>
        </w:rPr>
        <w:t>3</w:t>
      </w:r>
      <w:r w:rsidRPr="00463181">
        <w:rPr>
          <w:lang w:val="en-GB"/>
        </w:rPr>
        <w:t>] for comorbidities, and introducing discharge measures, e</w:t>
      </w:r>
      <w:r w:rsidR="00DC272C" w:rsidRPr="00463181">
        <w:rPr>
          <w:lang w:val="en-GB"/>
        </w:rPr>
        <w:t>.</w:t>
      </w:r>
      <w:r w:rsidRPr="00463181">
        <w:rPr>
          <w:lang w:val="en-GB"/>
        </w:rPr>
        <w:t>g.</w:t>
      </w:r>
      <w:r w:rsidR="00DC272C" w:rsidRPr="00463181">
        <w:rPr>
          <w:lang w:val="en-GB"/>
        </w:rPr>
        <w:t>,</w:t>
      </w:r>
      <w:r w:rsidRPr="00463181">
        <w:rPr>
          <w:lang w:val="en-GB"/>
        </w:rPr>
        <w:t xml:space="preserve"> </w:t>
      </w:r>
      <w:proofErr w:type="spellStart"/>
      <w:r w:rsidRPr="00463181">
        <w:rPr>
          <w:lang w:val="en-GB"/>
        </w:rPr>
        <w:t>FIM</w:t>
      </w:r>
      <w:r w:rsidRPr="00463181">
        <w:rPr>
          <w:vertAlign w:val="subscript"/>
          <w:lang w:val="en-GB"/>
        </w:rPr>
        <w:t>discharge</w:t>
      </w:r>
      <w:proofErr w:type="spellEnd"/>
      <w:r w:rsidRPr="00463181">
        <w:rPr>
          <w:lang w:val="en-GB"/>
        </w:rPr>
        <w:t>.</w:t>
      </w:r>
    </w:p>
    <w:p w14:paraId="70EB48F4" w14:textId="71170576" w:rsidR="008F5B30" w:rsidRPr="00463181" w:rsidRDefault="006C6416" w:rsidP="006C6416">
      <w:pPr>
        <w:pStyle w:val="MDPI21heading1"/>
        <w:rPr>
          <w:lang w:val="en-GB"/>
        </w:rPr>
      </w:pPr>
      <w:r w:rsidRPr="00463181">
        <w:rPr>
          <w:lang w:val="en-GB"/>
        </w:rPr>
        <w:t xml:space="preserve">5. </w:t>
      </w:r>
      <w:r w:rsidR="008F5B30" w:rsidRPr="00463181">
        <w:rPr>
          <w:lang w:val="en-GB"/>
        </w:rPr>
        <w:t>Conclusion</w:t>
      </w:r>
      <w:r w:rsidR="008F74F3" w:rsidRPr="00463181">
        <w:rPr>
          <w:lang w:val="en-GB"/>
        </w:rPr>
        <w:t>s</w:t>
      </w:r>
    </w:p>
    <w:p w14:paraId="0D5AA5AA" w14:textId="12C520C0" w:rsidR="008F5B30" w:rsidRPr="00463181" w:rsidRDefault="008F5B30" w:rsidP="006C6416">
      <w:pPr>
        <w:pStyle w:val="MDPI31text"/>
        <w:rPr>
          <w:lang w:val="en-GB"/>
        </w:rPr>
      </w:pPr>
      <w:r w:rsidRPr="00463181">
        <w:rPr>
          <w:lang w:val="en-GB"/>
        </w:rPr>
        <w:t xml:space="preserve">The present study examined factors affecting </w:t>
      </w:r>
      <w:r w:rsidR="00F10B77">
        <w:rPr>
          <w:lang w:val="en-GB"/>
        </w:rPr>
        <w:t xml:space="preserve">the </w:t>
      </w:r>
      <w:r w:rsidRPr="00463181">
        <w:rPr>
          <w:lang w:val="en-GB"/>
        </w:rPr>
        <w:t xml:space="preserve">length of stay </w:t>
      </w:r>
      <w:r w:rsidR="00631ED4" w:rsidRPr="00463181">
        <w:rPr>
          <w:lang w:val="en-GB"/>
        </w:rPr>
        <w:t>(</w:t>
      </w:r>
      <w:proofErr w:type="spellStart"/>
      <w:r w:rsidRPr="00463181">
        <w:rPr>
          <w:lang w:val="en-GB"/>
        </w:rPr>
        <w:t>LoS</w:t>
      </w:r>
      <w:proofErr w:type="spellEnd"/>
      <w:r w:rsidR="00631ED4" w:rsidRPr="00463181">
        <w:rPr>
          <w:lang w:val="en-GB"/>
        </w:rPr>
        <w:t>)</w:t>
      </w:r>
      <w:r w:rsidRPr="00463181">
        <w:rPr>
          <w:lang w:val="en-GB"/>
        </w:rPr>
        <w:t xml:space="preserve"> and discharge destination </w:t>
      </w:r>
      <w:r w:rsidR="00631ED4" w:rsidRPr="00463181">
        <w:rPr>
          <w:lang w:val="en-GB"/>
        </w:rPr>
        <w:t>(</w:t>
      </w:r>
      <w:r w:rsidRPr="00463181">
        <w:rPr>
          <w:lang w:val="en-GB"/>
        </w:rPr>
        <w:t>DD</w:t>
      </w:r>
      <w:r w:rsidR="00631ED4" w:rsidRPr="00463181">
        <w:rPr>
          <w:lang w:val="en-GB"/>
        </w:rPr>
        <w:t>)</w:t>
      </w:r>
      <w:r w:rsidRPr="00463181">
        <w:rPr>
          <w:lang w:val="en-GB"/>
        </w:rPr>
        <w:t xml:space="preserve"> of patients recovering from hip fracture surgery at a private UK rehabilitation facility. The results confirmed that </w:t>
      </w:r>
      <w:r w:rsidR="008774CD" w:rsidRPr="00463181">
        <w:rPr>
          <w:lang w:val="en-GB"/>
        </w:rPr>
        <w:t xml:space="preserve">patients with </w:t>
      </w:r>
      <w:r w:rsidRPr="00463181">
        <w:rPr>
          <w:lang w:val="en-GB"/>
        </w:rPr>
        <w:t>hip fracture</w:t>
      </w:r>
      <w:r w:rsidR="00F10B77">
        <w:rPr>
          <w:lang w:val="en-GB"/>
        </w:rPr>
        <w:t>s</w:t>
      </w:r>
      <w:r w:rsidRPr="00463181">
        <w:rPr>
          <w:lang w:val="en-GB"/>
        </w:rPr>
        <w:t xml:space="preserve"> were heterogeneous, recovering at different speeds and with different results. There are factors available on admission which can strongly indicate a patient’s potential </w:t>
      </w:r>
      <w:proofErr w:type="spellStart"/>
      <w:r w:rsidRPr="00463181">
        <w:rPr>
          <w:lang w:val="en-GB"/>
        </w:rPr>
        <w:t>LoS</w:t>
      </w:r>
      <w:proofErr w:type="spellEnd"/>
      <w:r w:rsidRPr="00463181">
        <w:rPr>
          <w:lang w:val="en-GB"/>
        </w:rPr>
        <w:t xml:space="preserve"> and DD</w:t>
      </w:r>
      <w:r w:rsidR="00091339">
        <w:rPr>
          <w:lang w:val="en-GB"/>
        </w:rPr>
        <w:t>,</w:t>
      </w:r>
      <w:r w:rsidRPr="00463181">
        <w:rPr>
          <w:lang w:val="en-GB"/>
        </w:rPr>
        <w:t xml:space="preserve"> but no factor was indicative on its own. Regression analysis is required for greater precision in prediction. However, results suggested that discharge destination will be evident by 90 days, providing patients and their families with a measure by which to plan long-term residency. Recommendations for immediate implementation into practice include the measurement on admission of delirium and functional ability. These might facilitate specific goal setting more promptly than the current trend, for both care and therapy staff.</w:t>
      </w:r>
    </w:p>
    <w:p w14:paraId="1117DD54" w14:textId="2F86242B" w:rsidR="00D55FAF" w:rsidRPr="00463181" w:rsidRDefault="00D55FAF" w:rsidP="00D55FAF">
      <w:pPr>
        <w:pStyle w:val="MDPI62BackMatter"/>
        <w:rPr>
          <w:iCs/>
          <w:color w:val="auto"/>
          <w:lang w:val="en-GB"/>
        </w:rPr>
      </w:pPr>
    </w:p>
    <w:p w14:paraId="7CBFB76E" w14:textId="1C2CDC1F" w:rsidR="00942FBC" w:rsidRPr="00463181" w:rsidRDefault="005D2CF3" w:rsidP="005D2CF3">
      <w:pPr>
        <w:pStyle w:val="MDPI62BackMatter"/>
        <w:rPr>
          <w:lang w:val="en-GB"/>
        </w:rPr>
      </w:pPr>
      <w:r w:rsidRPr="005D2CF3">
        <w:rPr>
          <w:b/>
          <w:lang w:val="en-GB"/>
        </w:rPr>
        <w:t>Author Contribution</w:t>
      </w:r>
      <w:r w:rsidR="00942FBC" w:rsidRPr="005D2CF3">
        <w:rPr>
          <w:b/>
          <w:lang w:val="en-GB"/>
        </w:rPr>
        <w:t xml:space="preserve">s: </w:t>
      </w:r>
      <w:r w:rsidR="005341E6" w:rsidRPr="00463181">
        <w:rPr>
          <w:lang w:val="en-GB"/>
        </w:rPr>
        <w:t xml:space="preserve">Conceptualization, Z.T.; methodology, Z.T.; analysis, Z.T.; investigation, Z.T.; writing—original draft preparation, Z.T.; writing—review and editing, Z.T. and D.S.; supervision, D.S. All authors have read and agreed to the published version of the manuscript. </w:t>
      </w:r>
    </w:p>
    <w:p w14:paraId="35E88F35" w14:textId="44DCC96C" w:rsidR="00942FBC" w:rsidRPr="00463181" w:rsidRDefault="008F5B30" w:rsidP="005D2CF3">
      <w:pPr>
        <w:pStyle w:val="MDPI62BackMatter"/>
        <w:rPr>
          <w:lang w:val="en-GB"/>
        </w:rPr>
      </w:pPr>
      <w:r w:rsidRPr="005D2CF3">
        <w:rPr>
          <w:b/>
          <w:lang w:val="en-GB"/>
        </w:rPr>
        <w:t xml:space="preserve">Funding: </w:t>
      </w:r>
      <w:r w:rsidR="00E11C15" w:rsidRPr="00463181">
        <w:rPr>
          <w:lang w:val="en-GB"/>
        </w:rPr>
        <w:t>This research received no external funding</w:t>
      </w:r>
      <w:r w:rsidR="00942FBC" w:rsidRPr="00463181">
        <w:rPr>
          <w:lang w:val="en-GB"/>
        </w:rPr>
        <w:t>.</w:t>
      </w:r>
    </w:p>
    <w:p w14:paraId="345D1B65" w14:textId="6BD4C756" w:rsidR="00942FBC" w:rsidRPr="00463181" w:rsidRDefault="00942FBC" w:rsidP="005D2CF3">
      <w:pPr>
        <w:pStyle w:val="MDPI62BackMatter"/>
        <w:rPr>
          <w:lang w:val="en-GB"/>
        </w:rPr>
      </w:pPr>
      <w:r w:rsidRPr="005D2CF3">
        <w:rPr>
          <w:b/>
          <w:lang w:val="en-GB"/>
        </w:rPr>
        <w:t xml:space="preserve">Institutional Review Board Statement: </w:t>
      </w:r>
      <w:r w:rsidR="00E11C15" w:rsidRPr="00463181">
        <w:rPr>
          <w:lang w:val="en-GB"/>
        </w:rPr>
        <w:t xml:space="preserve">The study was conducted according to the guidelines of the Declaration of </w:t>
      </w:r>
      <w:r w:rsidR="00906D22" w:rsidRPr="00463181">
        <w:rPr>
          <w:lang w:val="en-GB"/>
        </w:rPr>
        <w:t>Helsinki and</w:t>
      </w:r>
      <w:r w:rsidR="00E11C15" w:rsidRPr="00463181">
        <w:rPr>
          <w:lang w:val="en-GB"/>
        </w:rPr>
        <w:t xml:space="preserve"> </w:t>
      </w:r>
      <w:r w:rsidR="00F10B77">
        <w:rPr>
          <w:lang w:val="en-GB"/>
        </w:rPr>
        <w:t xml:space="preserve">was </w:t>
      </w:r>
      <w:r w:rsidR="00E11C15" w:rsidRPr="00463181">
        <w:rPr>
          <w:lang w:val="en-GB"/>
        </w:rPr>
        <w:t xml:space="preserve">approved by the Faculty of Environmental and Life Sciences Ethics Committee of </w:t>
      </w:r>
      <w:r w:rsidR="00F10B77">
        <w:rPr>
          <w:lang w:val="en-GB"/>
        </w:rPr>
        <w:t xml:space="preserve">the </w:t>
      </w:r>
      <w:r w:rsidR="00E11C15" w:rsidRPr="00463181">
        <w:rPr>
          <w:lang w:val="en-GB"/>
        </w:rPr>
        <w:t xml:space="preserve">University of Southampton (SO17 1BJ and </w:t>
      </w:r>
      <w:r w:rsidR="0054148E" w:rsidRPr="00463181">
        <w:rPr>
          <w:lang w:val="en-GB"/>
        </w:rPr>
        <w:t>20/03/2019</w:t>
      </w:r>
      <w:r w:rsidR="00E11C15" w:rsidRPr="00463181">
        <w:rPr>
          <w:lang w:val="en-GB"/>
        </w:rPr>
        <w:t>). Access to the records was granted by Hospital X’s Data Officer.</w:t>
      </w:r>
    </w:p>
    <w:p w14:paraId="7BEE7D90" w14:textId="19030AA7" w:rsidR="00942FBC" w:rsidRPr="00463181" w:rsidRDefault="00942FBC" w:rsidP="005D2CF3">
      <w:pPr>
        <w:pStyle w:val="MDPI62BackMatter"/>
        <w:rPr>
          <w:lang w:val="en-GB"/>
        </w:rPr>
      </w:pPr>
      <w:r w:rsidRPr="005D2CF3">
        <w:rPr>
          <w:b/>
          <w:lang w:val="en-GB"/>
        </w:rPr>
        <w:t xml:space="preserve">Informed Consent Statement: </w:t>
      </w:r>
      <w:r w:rsidR="001F33AC" w:rsidRPr="00463181">
        <w:rPr>
          <w:lang w:val="en-GB"/>
        </w:rPr>
        <w:t>The study utilised retrospective data and informed consent was not required.</w:t>
      </w:r>
    </w:p>
    <w:p w14:paraId="73DC4F93" w14:textId="5CF01112" w:rsidR="00942FBC" w:rsidRPr="00463181" w:rsidRDefault="00942FBC" w:rsidP="005D2CF3">
      <w:pPr>
        <w:pStyle w:val="MDPI62BackMatter"/>
        <w:rPr>
          <w:b/>
          <w:lang w:val="en-GB"/>
        </w:rPr>
      </w:pPr>
      <w:r w:rsidRPr="005D2CF3">
        <w:rPr>
          <w:b/>
          <w:lang w:val="en-GB"/>
        </w:rPr>
        <w:t xml:space="preserve">Data Availability Statement: </w:t>
      </w:r>
      <w:r w:rsidRPr="00463181">
        <w:rPr>
          <w:lang w:val="en-GB"/>
        </w:rPr>
        <w:t xml:space="preserve">The data for this project are confidential but may be obtained </w:t>
      </w:r>
      <w:r w:rsidR="00F10B77">
        <w:rPr>
          <w:lang w:val="en-GB"/>
        </w:rPr>
        <w:t>through</w:t>
      </w:r>
      <w:r w:rsidR="00F10B77" w:rsidRPr="00463181">
        <w:rPr>
          <w:lang w:val="en-GB"/>
        </w:rPr>
        <w:t xml:space="preserve"> </w:t>
      </w:r>
      <w:r w:rsidRPr="00463181">
        <w:rPr>
          <w:lang w:val="en-GB"/>
        </w:rPr>
        <w:t>Data Use Agreements with the University of Southampton. Researchers interested in access to the data may contact the author, who will assist with any reasonable replication attempts for two years following publication.</w:t>
      </w:r>
    </w:p>
    <w:p w14:paraId="7545A44A" w14:textId="241794F0" w:rsidR="008F5B30" w:rsidRPr="00463181" w:rsidRDefault="008F5B30" w:rsidP="005D2CF3">
      <w:pPr>
        <w:pStyle w:val="MDPI62BackMatter"/>
        <w:rPr>
          <w:lang w:val="en-GB"/>
        </w:rPr>
      </w:pPr>
      <w:r w:rsidRPr="005D2CF3">
        <w:rPr>
          <w:b/>
          <w:lang w:val="en-GB"/>
        </w:rPr>
        <w:t xml:space="preserve">Conflicts of Interest: </w:t>
      </w:r>
      <w:r w:rsidR="0069623C" w:rsidRPr="00463181">
        <w:rPr>
          <w:lang w:val="en-GB"/>
        </w:rPr>
        <w:t>The authors declare no conflict of interest.</w:t>
      </w:r>
    </w:p>
    <w:p w14:paraId="4475901D" w14:textId="77777777" w:rsidR="007D0442" w:rsidRDefault="007D0442" w:rsidP="00691D4E">
      <w:pPr>
        <w:pStyle w:val="MDPI21heading1"/>
        <w:ind w:left="0"/>
        <w:rPr>
          <w:lang w:val="en-GB"/>
        </w:rPr>
      </w:pPr>
    </w:p>
    <w:p w14:paraId="7AFF7C0D" w14:textId="77777777" w:rsidR="007D0442" w:rsidRDefault="007D0442" w:rsidP="00691D4E">
      <w:pPr>
        <w:pStyle w:val="MDPI21heading1"/>
        <w:ind w:left="0"/>
        <w:rPr>
          <w:lang w:val="en-GB"/>
        </w:rPr>
      </w:pPr>
    </w:p>
    <w:p w14:paraId="65BA6F4F" w14:textId="6D268D16" w:rsidR="00691D4E" w:rsidRPr="00463181" w:rsidRDefault="00691D4E" w:rsidP="00691D4E">
      <w:pPr>
        <w:pStyle w:val="MDPI21heading1"/>
        <w:ind w:left="0"/>
        <w:rPr>
          <w:lang w:val="en-GB"/>
        </w:rPr>
      </w:pPr>
      <w:r w:rsidRPr="00463181">
        <w:rPr>
          <w:lang w:val="en-GB"/>
        </w:rPr>
        <w:lastRenderedPageBreak/>
        <w:t>References</w:t>
      </w:r>
    </w:p>
    <w:p w14:paraId="3C4D1F43" w14:textId="77777777" w:rsidR="00691D4E" w:rsidRPr="00463181" w:rsidRDefault="00691D4E" w:rsidP="00691D4E">
      <w:pPr>
        <w:pStyle w:val="4textlist"/>
        <w:adjustRightInd w:val="0"/>
        <w:snapToGrid w:val="0"/>
        <w:spacing w:line="228" w:lineRule="auto"/>
        <w:ind w:left="425" w:hanging="425"/>
        <w:rPr>
          <w:iCs/>
          <w:color w:val="auto"/>
          <w:sz w:val="18"/>
          <w:szCs w:val="18"/>
          <w:lang w:val="en-GB"/>
        </w:rPr>
      </w:pPr>
      <w:bookmarkStart w:id="1" w:name="_gjdgxs" w:colFirst="0" w:colLast="0"/>
      <w:bookmarkEnd w:id="1"/>
      <w:r w:rsidRPr="00463181">
        <w:rPr>
          <w:color w:val="auto"/>
          <w:sz w:val="18"/>
          <w:szCs w:val="18"/>
          <w:lang w:val="en-GB"/>
        </w:rPr>
        <w:t xml:space="preserve">Royal College of Physicians. </w:t>
      </w:r>
      <w:r w:rsidRPr="00463181">
        <w:rPr>
          <w:i/>
          <w:color w:val="auto"/>
          <w:sz w:val="18"/>
          <w:szCs w:val="18"/>
          <w:lang w:val="en-GB"/>
        </w:rPr>
        <w:t xml:space="preserve">National Hip Fracture Database (NHFD) Annual Report 2017. </w:t>
      </w:r>
      <w:r w:rsidRPr="00463181">
        <w:rPr>
          <w:color w:val="auto"/>
          <w:sz w:val="18"/>
          <w:szCs w:val="18"/>
          <w:lang w:val="en-GB"/>
        </w:rPr>
        <w:t>Available online: https://nhfd.co.uk/files/2017ReportFiles/NHFD-AnnualReport2017.pdf.</w:t>
      </w:r>
    </w:p>
    <w:p w14:paraId="75B526F3" w14:textId="77777777" w:rsidR="00691D4E" w:rsidRPr="00463181" w:rsidRDefault="00691D4E" w:rsidP="00691D4E">
      <w:pPr>
        <w:pStyle w:val="4textlist"/>
        <w:adjustRightInd w:val="0"/>
        <w:snapToGrid w:val="0"/>
        <w:spacing w:line="228" w:lineRule="auto"/>
        <w:ind w:left="425" w:hanging="425"/>
        <w:rPr>
          <w:iCs/>
          <w:color w:val="auto"/>
          <w:sz w:val="18"/>
          <w:szCs w:val="18"/>
          <w:lang w:val="en-GB"/>
        </w:rPr>
      </w:pPr>
      <w:r w:rsidRPr="00463181">
        <w:rPr>
          <w:iCs/>
          <w:color w:val="auto"/>
          <w:sz w:val="18"/>
          <w:szCs w:val="18"/>
          <w:lang w:val="en-GB"/>
        </w:rPr>
        <w:t>Royal College of Physicians.</w:t>
      </w:r>
      <w:r w:rsidRPr="00463181">
        <w:rPr>
          <w:i/>
          <w:color w:val="auto"/>
          <w:sz w:val="18"/>
          <w:szCs w:val="18"/>
          <w:lang w:val="en-GB"/>
        </w:rPr>
        <w:t xml:space="preserve"> National Hip Fracture Database National Report 2011</w:t>
      </w:r>
      <w:r w:rsidRPr="00463181">
        <w:rPr>
          <w:iCs/>
          <w:color w:val="auto"/>
          <w:sz w:val="18"/>
          <w:szCs w:val="18"/>
          <w:lang w:val="en-GB"/>
        </w:rPr>
        <w:t xml:space="preserve">. Available online: </w:t>
      </w:r>
      <w:r w:rsidRPr="00463181">
        <w:rPr>
          <w:color w:val="auto"/>
          <w:sz w:val="18"/>
          <w:szCs w:val="18"/>
          <w:lang w:val="en-GB"/>
        </w:rPr>
        <w:t xml:space="preserve">https://www.nhfd.co.uk/20/hipfractureR.nsf/945b5efcb3f9117580257ebb0069c820/53e0ba402226ef27802578c500308c66/$FILE/NHFDNationalReport2011Final.pdf </w:t>
      </w:r>
      <w:r w:rsidRPr="00463181">
        <w:rPr>
          <w:iCs/>
          <w:color w:val="auto"/>
          <w:sz w:val="18"/>
          <w:szCs w:val="18"/>
          <w:lang w:val="en-GB"/>
        </w:rPr>
        <w:t>(accessed on 19 September 2018).</w:t>
      </w:r>
    </w:p>
    <w:p w14:paraId="41A441C5" w14:textId="77777777" w:rsidR="00691D4E" w:rsidRPr="00463181" w:rsidRDefault="00691D4E" w:rsidP="00691D4E">
      <w:pPr>
        <w:pStyle w:val="4textlist"/>
        <w:adjustRightInd w:val="0"/>
        <w:snapToGrid w:val="0"/>
        <w:spacing w:line="228" w:lineRule="auto"/>
        <w:ind w:left="425" w:hanging="425"/>
        <w:rPr>
          <w:iCs/>
          <w:color w:val="auto"/>
          <w:sz w:val="18"/>
          <w:szCs w:val="18"/>
          <w:lang w:val="en-GB"/>
        </w:rPr>
      </w:pPr>
      <w:r w:rsidRPr="00463181">
        <w:rPr>
          <w:iCs/>
          <w:color w:val="auto"/>
          <w:sz w:val="18"/>
          <w:szCs w:val="18"/>
          <w:lang w:val="en-GB"/>
        </w:rPr>
        <w:t>S</w:t>
      </w:r>
      <w:r w:rsidRPr="00463181">
        <w:rPr>
          <w:color w:val="auto"/>
          <w:sz w:val="18"/>
          <w:szCs w:val="18"/>
          <w:lang w:val="en-GB"/>
        </w:rPr>
        <w:t xml:space="preserve">chulz, C.; Büchele, G.; Rehm, M.; Rothenbacher, D.; Roigk, P.; Rapp, K.; Günster, C.; König, H.-H.; Reber, K. Patient characteristics as indicator for care dependence after hip fracture: A retrospective cohort study using health insurance claims data from Germany. </w:t>
      </w:r>
      <w:r w:rsidRPr="00463181">
        <w:rPr>
          <w:i/>
          <w:color w:val="auto"/>
          <w:sz w:val="18"/>
          <w:szCs w:val="18"/>
          <w:lang w:val="en-GB"/>
        </w:rPr>
        <w:t xml:space="preserve">J. Am. Med. Dir. Assoc. </w:t>
      </w:r>
      <w:r w:rsidRPr="00463181">
        <w:rPr>
          <w:b/>
          <w:color w:val="auto"/>
          <w:sz w:val="18"/>
          <w:szCs w:val="18"/>
          <w:lang w:val="en-GB"/>
        </w:rPr>
        <w:t>2019</w:t>
      </w:r>
      <w:r w:rsidRPr="00463181">
        <w:rPr>
          <w:color w:val="auto"/>
          <w:sz w:val="18"/>
          <w:szCs w:val="18"/>
          <w:lang w:val="en-GB"/>
        </w:rPr>
        <w:t xml:space="preserve">, </w:t>
      </w:r>
      <w:r w:rsidRPr="00463181">
        <w:rPr>
          <w:i/>
          <w:color w:val="auto"/>
          <w:sz w:val="18"/>
          <w:szCs w:val="18"/>
          <w:lang w:val="en-GB"/>
        </w:rPr>
        <w:t>20</w:t>
      </w:r>
      <w:r w:rsidRPr="00463181">
        <w:rPr>
          <w:color w:val="auto"/>
          <w:sz w:val="18"/>
          <w:szCs w:val="18"/>
          <w:lang w:val="en-GB"/>
        </w:rPr>
        <w:t>, 451–455.e3.</w:t>
      </w:r>
    </w:p>
    <w:p w14:paraId="557C0865" w14:textId="77777777" w:rsidR="00691D4E" w:rsidRPr="007D0442" w:rsidRDefault="00691D4E" w:rsidP="00691D4E">
      <w:pPr>
        <w:pStyle w:val="4textlist"/>
        <w:adjustRightInd w:val="0"/>
        <w:snapToGrid w:val="0"/>
        <w:spacing w:line="228" w:lineRule="auto"/>
        <w:ind w:left="425" w:hanging="425"/>
        <w:rPr>
          <w:iCs/>
          <w:color w:val="auto"/>
          <w:sz w:val="18"/>
          <w:szCs w:val="18"/>
          <w:lang w:val="en-GB"/>
        </w:rPr>
      </w:pPr>
      <w:r w:rsidRPr="00463181">
        <w:rPr>
          <w:color w:val="auto"/>
          <w:sz w:val="18"/>
          <w:szCs w:val="18"/>
          <w:lang w:val="en-GB"/>
        </w:rPr>
        <w:t xml:space="preserve">Royal College of Physicians. </w:t>
      </w:r>
      <w:r w:rsidRPr="00463181">
        <w:rPr>
          <w:i/>
          <w:color w:val="auto"/>
          <w:sz w:val="18"/>
          <w:szCs w:val="18"/>
          <w:lang w:val="en-GB"/>
        </w:rPr>
        <w:t>National Hip Fracture Database Annual Report 2018</w:t>
      </w:r>
      <w:r w:rsidRPr="00463181">
        <w:rPr>
          <w:color w:val="auto"/>
          <w:sz w:val="18"/>
          <w:szCs w:val="18"/>
          <w:lang w:val="en-GB"/>
        </w:rPr>
        <w:t xml:space="preserve">; RCP:London, UK. </w:t>
      </w:r>
      <w:r w:rsidRPr="00463181">
        <w:rPr>
          <w:iCs/>
          <w:color w:val="auto"/>
          <w:sz w:val="18"/>
          <w:szCs w:val="18"/>
          <w:lang w:val="en-GB"/>
        </w:rPr>
        <w:t xml:space="preserve">Available online: </w:t>
      </w:r>
      <w:r w:rsidRPr="007D0442">
        <w:rPr>
          <w:color w:val="auto"/>
          <w:sz w:val="18"/>
          <w:szCs w:val="18"/>
          <w:lang w:val="en-GB"/>
        </w:rPr>
        <w:t xml:space="preserve">https://www.nhfd.co.uk/files/2018ReportFiles/NHFD-2018-Annual-Report-v101.pdf </w:t>
      </w:r>
      <w:r w:rsidRPr="007D0442">
        <w:rPr>
          <w:iCs/>
          <w:color w:val="auto"/>
          <w:sz w:val="18"/>
          <w:szCs w:val="18"/>
          <w:lang w:val="en-GB"/>
        </w:rPr>
        <w:t>(accessed on 24 June 2019).</w:t>
      </w:r>
    </w:p>
    <w:p w14:paraId="125ADEC4" w14:textId="77777777" w:rsidR="00691D4E" w:rsidRPr="007D0442" w:rsidRDefault="00691D4E" w:rsidP="00691D4E">
      <w:pPr>
        <w:pStyle w:val="4textlist"/>
        <w:adjustRightInd w:val="0"/>
        <w:snapToGrid w:val="0"/>
        <w:spacing w:line="228" w:lineRule="auto"/>
        <w:ind w:left="425" w:hanging="425"/>
        <w:rPr>
          <w:color w:val="auto"/>
          <w:sz w:val="18"/>
          <w:szCs w:val="18"/>
          <w:lang w:val="en-GB"/>
        </w:rPr>
      </w:pPr>
      <w:r w:rsidRPr="007D0442">
        <w:rPr>
          <w:color w:val="auto"/>
          <w:sz w:val="18"/>
          <w:szCs w:val="18"/>
          <w:lang w:val="en-GB"/>
        </w:rPr>
        <w:t xml:space="preserve">Handoll, H.H.G.; Sherrington, C.; Mak, J.C.S. Interventions for improving mobility after hip fracture surgery in adults. </w:t>
      </w:r>
      <w:r w:rsidRPr="007D0442">
        <w:rPr>
          <w:i/>
          <w:color w:val="auto"/>
          <w:sz w:val="18"/>
          <w:szCs w:val="18"/>
          <w:lang w:val="en-GB"/>
        </w:rPr>
        <w:t xml:space="preserve">Cochrane Database Syst. Rev. </w:t>
      </w:r>
      <w:r w:rsidRPr="007D0442">
        <w:rPr>
          <w:b/>
          <w:bCs/>
          <w:color w:val="auto"/>
          <w:sz w:val="18"/>
          <w:szCs w:val="18"/>
          <w:lang w:val="en-GB"/>
        </w:rPr>
        <w:t>2011</w:t>
      </w:r>
      <w:r w:rsidRPr="007D0442">
        <w:rPr>
          <w:color w:val="auto"/>
          <w:sz w:val="18"/>
          <w:szCs w:val="18"/>
          <w:lang w:val="en-GB"/>
        </w:rPr>
        <w:t>, doi:10.1002/14651858.CD001704.pub4.</w:t>
      </w:r>
    </w:p>
    <w:p w14:paraId="4320B109"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Royal College of Physicians. </w:t>
      </w:r>
      <w:r w:rsidRPr="00463181">
        <w:rPr>
          <w:i/>
          <w:color w:val="auto"/>
          <w:sz w:val="18"/>
          <w:szCs w:val="18"/>
          <w:lang w:val="en-GB"/>
        </w:rPr>
        <w:t>Hip Fracture: Management—NICE Guideline</w:t>
      </w:r>
      <w:r w:rsidRPr="00463181">
        <w:rPr>
          <w:color w:val="auto"/>
          <w:sz w:val="18"/>
          <w:szCs w:val="18"/>
          <w:lang w:val="en-GB"/>
        </w:rPr>
        <w:t xml:space="preserve"> 2011. Available online: https://www.rcplondon.ac.uk/guidelines-policy/hip-fracture-management-nice-guideline (accessed on 17 April 2018).</w:t>
      </w:r>
    </w:p>
    <w:p w14:paraId="58348A13"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Oldmeadow, L.B.; Edwards, E.R.; Kimmel, L.; Kipen, E.; Robertson, V.J.; Bailey, M. No rest for the wounded: Early ambulation after hip surgery accelerates recovery. </w:t>
      </w:r>
      <w:r w:rsidRPr="00463181">
        <w:rPr>
          <w:i/>
          <w:iCs/>
          <w:color w:val="auto"/>
          <w:sz w:val="18"/>
          <w:szCs w:val="18"/>
          <w:lang w:val="en-GB"/>
        </w:rPr>
        <w:t>ANJ J. Surg.</w:t>
      </w:r>
      <w:r w:rsidRPr="00463181">
        <w:rPr>
          <w:i/>
          <w:color w:val="auto"/>
          <w:sz w:val="18"/>
          <w:szCs w:val="18"/>
          <w:lang w:val="en-GB"/>
        </w:rPr>
        <w:t xml:space="preserve"> </w:t>
      </w:r>
      <w:r w:rsidRPr="00463181">
        <w:rPr>
          <w:b/>
          <w:color w:val="auto"/>
          <w:sz w:val="18"/>
          <w:szCs w:val="18"/>
          <w:lang w:val="en-GB"/>
        </w:rPr>
        <w:t>2006</w:t>
      </w:r>
      <w:r w:rsidRPr="00463181">
        <w:rPr>
          <w:color w:val="auto"/>
          <w:sz w:val="18"/>
          <w:szCs w:val="18"/>
          <w:lang w:val="en-GB"/>
        </w:rPr>
        <w:t xml:space="preserve">, </w:t>
      </w:r>
      <w:r w:rsidRPr="00463181">
        <w:rPr>
          <w:i/>
          <w:color w:val="auto"/>
          <w:sz w:val="18"/>
          <w:szCs w:val="18"/>
          <w:lang w:val="en-GB"/>
        </w:rPr>
        <w:t>76</w:t>
      </w:r>
      <w:r w:rsidRPr="00463181">
        <w:rPr>
          <w:color w:val="auto"/>
          <w:sz w:val="18"/>
          <w:szCs w:val="18"/>
          <w:lang w:val="en-GB"/>
        </w:rPr>
        <w:t>, 607–611.</w:t>
      </w:r>
    </w:p>
    <w:p w14:paraId="72A1D2A4"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Gerety, M.B.; Soderholm-Difatte, V.; Winograd, C.H. Impact of prospective payment and discharge location on the outcome of hip fracture. </w:t>
      </w:r>
      <w:r w:rsidRPr="00463181">
        <w:rPr>
          <w:i/>
          <w:color w:val="auto"/>
          <w:sz w:val="18"/>
          <w:szCs w:val="18"/>
          <w:lang w:val="en-GB"/>
        </w:rPr>
        <w:t xml:space="preserve">J. Gen. Intern. Med. </w:t>
      </w:r>
      <w:r w:rsidRPr="00463181">
        <w:rPr>
          <w:b/>
          <w:bCs/>
          <w:color w:val="auto"/>
          <w:sz w:val="18"/>
          <w:szCs w:val="18"/>
          <w:lang w:val="en-GB"/>
        </w:rPr>
        <w:t>1989</w:t>
      </w:r>
      <w:r w:rsidRPr="00463181">
        <w:rPr>
          <w:bCs/>
          <w:color w:val="auto"/>
          <w:sz w:val="18"/>
          <w:szCs w:val="18"/>
          <w:lang w:val="en-GB"/>
        </w:rPr>
        <w:t xml:space="preserve">, </w:t>
      </w:r>
      <w:r w:rsidRPr="00463181">
        <w:rPr>
          <w:bCs/>
          <w:i/>
          <w:color w:val="auto"/>
          <w:sz w:val="18"/>
          <w:szCs w:val="18"/>
          <w:lang w:val="en-GB"/>
        </w:rPr>
        <w:t>4</w:t>
      </w:r>
      <w:r w:rsidRPr="00463181">
        <w:rPr>
          <w:bCs/>
          <w:color w:val="auto"/>
          <w:sz w:val="18"/>
          <w:szCs w:val="18"/>
          <w:lang w:val="en-GB"/>
        </w:rPr>
        <w:t>, 388–391</w:t>
      </w:r>
      <w:r w:rsidRPr="00463181">
        <w:rPr>
          <w:color w:val="auto"/>
          <w:sz w:val="18"/>
          <w:szCs w:val="18"/>
          <w:lang w:val="en-GB"/>
        </w:rPr>
        <w:t>.</w:t>
      </w:r>
    </w:p>
    <w:p w14:paraId="451AD251"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Dodds, C.; Foo, I.; Jones, K.; Singh, S.K.; Waldmann, C. Peri-operative care of elderly patents</w:t>
      </w:r>
      <w:r w:rsidRPr="00463181">
        <w:rPr>
          <w:i/>
          <w:color w:val="auto"/>
          <w:sz w:val="18"/>
          <w:szCs w:val="18"/>
          <w:lang w:val="en-GB"/>
        </w:rPr>
        <w:t>—</w:t>
      </w:r>
      <w:r w:rsidRPr="00463181">
        <w:rPr>
          <w:color w:val="auto"/>
          <w:sz w:val="18"/>
          <w:szCs w:val="18"/>
          <w:lang w:val="en-GB"/>
        </w:rPr>
        <w:t xml:space="preserve">An urgent need for change: A consensus statement to provide guidance for specialist and non-specialist anaesthetists. </w:t>
      </w:r>
      <w:r w:rsidRPr="00463181">
        <w:rPr>
          <w:i/>
          <w:color w:val="auto"/>
          <w:sz w:val="18"/>
          <w:szCs w:val="18"/>
          <w:lang w:val="en-GB"/>
        </w:rPr>
        <w:t xml:space="preserve">Periopr. Med. </w:t>
      </w:r>
      <w:r w:rsidRPr="00463181">
        <w:rPr>
          <w:b/>
          <w:bCs/>
          <w:color w:val="auto"/>
          <w:sz w:val="18"/>
          <w:szCs w:val="18"/>
          <w:lang w:val="en-GB"/>
        </w:rPr>
        <w:t>2013</w:t>
      </w:r>
      <w:r w:rsidRPr="00463181">
        <w:rPr>
          <w:color w:val="auto"/>
          <w:sz w:val="18"/>
          <w:szCs w:val="18"/>
          <w:lang w:val="en-GB"/>
        </w:rPr>
        <w:t xml:space="preserve">, </w:t>
      </w:r>
      <w:r w:rsidRPr="00463181">
        <w:rPr>
          <w:i/>
          <w:iCs/>
          <w:color w:val="auto"/>
          <w:sz w:val="18"/>
          <w:szCs w:val="18"/>
          <w:lang w:val="en-GB"/>
        </w:rPr>
        <w:t>2</w:t>
      </w:r>
      <w:r w:rsidRPr="00463181">
        <w:rPr>
          <w:color w:val="auto"/>
          <w:sz w:val="18"/>
          <w:szCs w:val="18"/>
          <w:lang w:val="en-GB"/>
        </w:rPr>
        <w:t>. Available online: https://perioperativemedicinejournal.biomedcentral.com/articles/10.1186/2047-0525-2-6 (accessed on 6 December 2017).</w:t>
      </w:r>
    </w:p>
    <w:p w14:paraId="31034744"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Kondo, A.; Zierler, B.K.; Hagino, H. Relationship between the length of hospital stay after hip fracture surgery and ambulatory ability or mortality after discharge in Japan. </w:t>
      </w:r>
      <w:r w:rsidRPr="00463181">
        <w:rPr>
          <w:i/>
          <w:color w:val="auto"/>
          <w:sz w:val="18"/>
          <w:szCs w:val="18"/>
          <w:lang w:val="en-GB"/>
        </w:rPr>
        <w:t xml:space="preserve">Jpn. J. Nurs. Sci. </w:t>
      </w:r>
      <w:r w:rsidRPr="00463181">
        <w:rPr>
          <w:b/>
          <w:color w:val="auto"/>
          <w:sz w:val="18"/>
          <w:szCs w:val="18"/>
          <w:lang w:val="en-GB"/>
        </w:rPr>
        <w:t>2010</w:t>
      </w:r>
      <w:r w:rsidRPr="00463181">
        <w:rPr>
          <w:color w:val="auto"/>
          <w:sz w:val="18"/>
          <w:szCs w:val="18"/>
          <w:lang w:val="en-GB"/>
        </w:rPr>
        <w:t xml:space="preserve">, </w:t>
      </w:r>
      <w:r w:rsidRPr="00463181">
        <w:rPr>
          <w:i/>
          <w:color w:val="auto"/>
          <w:sz w:val="18"/>
          <w:szCs w:val="18"/>
          <w:lang w:val="en-GB"/>
        </w:rPr>
        <w:t>7</w:t>
      </w:r>
      <w:r w:rsidRPr="00463181">
        <w:rPr>
          <w:color w:val="auto"/>
          <w:sz w:val="18"/>
          <w:szCs w:val="18"/>
          <w:lang w:val="en-GB"/>
        </w:rPr>
        <w:t>, 96–107.</w:t>
      </w:r>
    </w:p>
    <w:p w14:paraId="65D1CD5F"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Kronborg, L.; Bandholm, T.; Palm, H.; Kehlet, H.; Kristensen, M.T. Physical activity in the acute ward following hip fracture surgery is associated with less fear of falling. </w:t>
      </w:r>
      <w:r w:rsidRPr="00463181">
        <w:rPr>
          <w:i/>
          <w:color w:val="auto"/>
          <w:sz w:val="18"/>
          <w:szCs w:val="18"/>
          <w:lang w:val="en-GB"/>
        </w:rPr>
        <w:t xml:space="preserve">J. Ageing Phys. Act. </w:t>
      </w:r>
      <w:r w:rsidRPr="00463181">
        <w:rPr>
          <w:b/>
          <w:color w:val="auto"/>
          <w:sz w:val="18"/>
          <w:szCs w:val="18"/>
          <w:lang w:val="en-GB"/>
        </w:rPr>
        <w:t>2016</w:t>
      </w:r>
      <w:r w:rsidRPr="00463181">
        <w:rPr>
          <w:color w:val="auto"/>
          <w:sz w:val="18"/>
          <w:szCs w:val="18"/>
          <w:lang w:val="en-GB"/>
        </w:rPr>
        <w:t xml:space="preserve">, </w:t>
      </w:r>
      <w:r w:rsidRPr="00463181">
        <w:rPr>
          <w:i/>
          <w:color w:val="auto"/>
          <w:sz w:val="18"/>
          <w:szCs w:val="18"/>
          <w:lang w:val="en-GB"/>
        </w:rPr>
        <w:t>24</w:t>
      </w:r>
      <w:r w:rsidRPr="00463181">
        <w:rPr>
          <w:color w:val="auto"/>
          <w:sz w:val="18"/>
          <w:szCs w:val="18"/>
          <w:lang w:val="en-GB"/>
        </w:rPr>
        <w:t>, 525–532.</w:t>
      </w:r>
    </w:p>
    <w:p w14:paraId="3CC0B544"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Kristensen, M.T. Factors affecting functional prognosis of patients with hip fracture. </w:t>
      </w:r>
      <w:r w:rsidRPr="00463181">
        <w:rPr>
          <w:i/>
          <w:color w:val="auto"/>
          <w:sz w:val="18"/>
          <w:szCs w:val="18"/>
          <w:lang w:val="en-GB"/>
        </w:rPr>
        <w:t xml:space="preserve">Eur. J. Phys. Rehabil. Med. </w:t>
      </w:r>
      <w:r w:rsidRPr="00463181">
        <w:rPr>
          <w:b/>
          <w:bCs/>
          <w:color w:val="auto"/>
          <w:sz w:val="18"/>
          <w:szCs w:val="18"/>
          <w:lang w:val="en-GB"/>
        </w:rPr>
        <w:t>2011</w:t>
      </w:r>
      <w:r w:rsidRPr="00463181">
        <w:rPr>
          <w:bCs/>
          <w:color w:val="auto"/>
          <w:sz w:val="18"/>
          <w:szCs w:val="18"/>
          <w:lang w:val="en-GB"/>
        </w:rPr>
        <w:t xml:space="preserve">, </w:t>
      </w:r>
      <w:r w:rsidRPr="00463181">
        <w:rPr>
          <w:bCs/>
          <w:i/>
          <w:color w:val="auto"/>
          <w:sz w:val="18"/>
          <w:szCs w:val="18"/>
          <w:lang w:val="en-GB"/>
        </w:rPr>
        <w:t>47</w:t>
      </w:r>
      <w:r w:rsidRPr="00463181">
        <w:rPr>
          <w:bCs/>
          <w:color w:val="auto"/>
          <w:sz w:val="18"/>
          <w:szCs w:val="18"/>
          <w:lang w:val="en-GB"/>
        </w:rPr>
        <w:t>, 257–264</w:t>
      </w:r>
      <w:r w:rsidRPr="00463181">
        <w:rPr>
          <w:color w:val="auto"/>
          <w:sz w:val="18"/>
          <w:szCs w:val="18"/>
          <w:lang w:val="en-GB"/>
        </w:rPr>
        <w:t>.</w:t>
      </w:r>
    </w:p>
    <w:p w14:paraId="47F6BFEE" w14:textId="5A8C746A"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Royal College of Physicians. </w:t>
      </w:r>
      <w:r w:rsidRPr="00463181">
        <w:rPr>
          <w:i/>
          <w:color w:val="auto"/>
          <w:sz w:val="18"/>
          <w:szCs w:val="18"/>
          <w:lang w:val="en-GB"/>
        </w:rPr>
        <w:t>National Hip Fracture Database Annual Report 2016</w:t>
      </w:r>
      <w:r w:rsidRPr="00463181">
        <w:rPr>
          <w:color w:val="auto"/>
          <w:sz w:val="18"/>
          <w:szCs w:val="18"/>
          <w:lang w:val="en-GB"/>
        </w:rPr>
        <w:t xml:space="preserve">. RCP: London, UK. Available online: </w:t>
      </w:r>
      <w:r w:rsidR="006F4DF1" w:rsidRPr="006F4DF1">
        <w:rPr>
          <w:color w:val="auto"/>
          <w:sz w:val="18"/>
          <w:szCs w:val="18"/>
          <w:lang w:val="en-GB"/>
        </w:rPr>
        <w:t>https://www.rcplondon.ac.uk/projects/outputs/national-hip-fracture-database-annual-report-2016</w:t>
      </w:r>
      <w:r w:rsidRPr="00463181">
        <w:rPr>
          <w:color w:val="auto"/>
          <w:sz w:val="18"/>
          <w:szCs w:val="18"/>
          <w:lang w:val="en-GB"/>
        </w:rPr>
        <w:t xml:space="preserve"> (accessed on 24 November 2018).</w:t>
      </w:r>
    </w:p>
    <w:p w14:paraId="602DD936"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Chartered Society of Physiotherapy. </w:t>
      </w:r>
      <w:r w:rsidRPr="00463181">
        <w:rPr>
          <w:i/>
          <w:color w:val="auto"/>
          <w:sz w:val="18"/>
          <w:szCs w:val="18"/>
          <w:lang w:val="en-GB"/>
        </w:rPr>
        <w:t>Hip Fracture Rehabilitation in Physiotherapy Practice: From Hospital to Home</w:t>
      </w:r>
      <w:r w:rsidRPr="00463181">
        <w:rPr>
          <w:iCs/>
          <w:color w:val="auto"/>
          <w:sz w:val="18"/>
          <w:szCs w:val="18"/>
          <w:lang w:val="en-GB"/>
        </w:rPr>
        <w:t>. 2018.</w:t>
      </w:r>
      <w:r w:rsidRPr="00463181">
        <w:rPr>
          <w:i/>
          <w:color w:val="auto"/>
          <w:sz w:val="18"/>
          <w:szCs w:val="18"/>
          <w:lang w:val="en-GB"/>
        </w:rPr>
        <w:t xml:space="preserve"> </w:t>
      </w:r>
      <w:r w:rsidRPr="00463181">
        <w:rPr>
          <w:color w:val="auto"/>
          <w:sz w:val="18"/>
          <w:szCs w:val="18"/>
          <w:lang w:val="en-GB"/>
        </w:rPr>
        <w:t xml:space="preserve">Available </w:t>
      </w:r>
      <w:r w:rsidRPr="00463181">
        <w:rPr>
          <w:color w:val="auto"/>
          <w:sz w:val="18"/>
          <w:szCs w:val="18"/>
          <w:lang w:val="en-GB"/>
        </w:rPr>
        <w:t>online: https://www.csp.org.uk/system/files/publication_files/001563_Hip%20Fracture%20Standards_Full%20version_A4_V4_5-8-19_0.pdf (accessed on 28 July 2019).</w:t>
      </w:r>
    </w:p>
    <w:p w14:paraId="59F2DEF5"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Wakeman, R. </w:t>
      </w:r>
      <w:r w:rsidRPr="00463181">
        <w:rPr>
          <w:i/>
          <w:color w:val="auto"/>
          <w:sz w:val="18"/>
          <w:szCs w:val="18"/>
          <w:lang w:val="en-GB"/>
        </w:rPr>
        <w:t>Improving our Understanding of the Care And Rehabilitation of Hip Fracture Patients</w:t>
      </w:r>
      <w:r w:rsidRPr="00463181">
        <w:rPr>
          <w:iCs/>
          <w:color w:val="auto"/>
          <w:sz w:val="18"/>
          <w:szCs w:val="18"/>
          <w:lang w:val="en-GB"/>
        </w:rPr>
        <w:t xml:space="preserve">; Report; </w:t>
      </w:r>
      <w:r w:rsidRPr="00463181">
        <w:rPr>
          <w:color w:val="auto"/>
          <w:sz w:val="18"/>
          <w:szCs w:val="18"/>
          <w:lang w:val="en-GB"/>
        </w:rPr>
        <w:t xml:space="preserve">Royal College of Physicians: </w:t>
      </w:r>
      <w:r w:rsidRPr="00463181">
        <w:rPr>
          <w:iCs/>
          <w:color w:val="auto"/>
          <w:sz w:val="18"/>
          <w:szCs w:val="18"/>
          <w:lang w:val="en-GB"/>
        </w:rPr>
        <w:t>London</w:t>
      </w:r>
      <w:r w:rsidRPr="00463181">
        <w:rPr>
          <w:color w:val="auto"/>
          <w:sz w:val="18"/>
          <w:szCs w:val="18"/>
          <w:lang w:val="en-GB"/>
        </w:rPr>
        <w:t>, UK, 2017. Available online: https://www.rcplondon.ac.uk/news/improving-our-understanding-care-and-rehabilitation-hip-fracture-patients (accessed on 15 July 2019).</w:t>
      </w:r>
    </w:p>
    <w:p w14:paraId="55603DE3"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Griffiths, F.; Mason, V.; Boardman, F.; Dennick, K.; Haywood, K.; Achten, J.; Parsons, N.; Griifin, X.; Costa, M. Evaluaing recovery following hip fracture: A qualitative interview study of what is important to patients. </w:t>
      </w:r>
      <w:r w:rsidRPr="00463181">
        <w:rPr>
          <w:i/>
          <w:color w:val="auto"/>
          <w:sz w:val="18"/>
          <w:szCs w:val="18"/>
          <w:lang w:val="en-GB"/>
        </w:rPr>
        <w:t xml:space="preserve">BMJ Open </w:t>
      </w:r>
      <w:r w:rsidRPr="00463181">
        <w:rPr>
          <w:b/>
          <w:bCs/>
          <w:color w:val="auto"/>
          <w:sz w:val="18"/>
          <w:szCs w:val="18"/>
          <w:lang w:val="en-GB"/>
        </w:rPr>
        <w:t>2014</w:t>
      </w:r>
      <w:r w:rsidRPr="00463181">
        <w:rPr>
          <w:color w:val="auto"/>
          <w:sz w:val="18"/>
          <w:szCs w:val="18"/>
          <w:lang w:val="en-GB"/>
        </w:rPr>
        <w:t xml:space="preserve">, </w:t>
      </w:r>
      <w:r w:rsidRPr="00463181">
        <w:rPr>
          <w:i/>
          <w:iCs/>
          <w:color w:val="auto"/>
          <w:sz w:val="18"/>
          <w:szCs w:val="18"/>
          <w:lang w:val="en-GB"/>
        </w:rPr>
        <w:t>5</w:t>
      </w:r>
      <w:r w:rsidRPr="00463181">
        <w:rPr>
          <w:color w:val="auto"/>
          <w:sz w:val="18"/>
          <w:szCs w:val="18"/>
          <w:lang w:val="en-GB"/>
        </w:rPr>
        <w:t>. Available online: https://bmjopen.bmj.com/content/5/1/e005406 (accessed on 17 August 2018).</w:t>
      </w:r>
    </w:p>
    <w:p w14:paraId="683301FB"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GK Strategy </w:t>
      </w:r>
      <w:r w:rsidRPr="00463181">
        <w:rPr>
          <w:i/>
          <w:color w:val="auto"/>
          <w:sz w:val="18"/>
          <w:szCs w:val="18"/>
          <w:lang w:val="en-GB"/>
        </w:rPr>
        <w:t>A Private Choice: The Changing Face of the UK Health Market.</w:t>
      </w:r>
      <w:r w:rsidRPr="00463181">
        <w:rPr>
          <w:color w:val="auto"/>
          <w:sz w:val="18"/>
          <w:szCs w:val="18"/>
          <w:lang w:val="en-GB"/>
        </w:rPr>
        <w:t xml:space="preserve"> 2017. Available online: https://gkstrategy.com/report/uk-health-a-private-choice/ (accessed on 20 July 2019).</w:t>
      </w:r>
    </w:p>
    <w:p w14:paraId="07DFF632"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Mallinson, T.; Deutsch, A.; Bateman, J.; Tseng, H.-Y.; Manheim, L.; Almagor, O.; Heinemann, A.W. Comparison of discharge functional status after rehabilitation in skilled nursing, home health and medical rehabilitation facilities for patients after hip fracture. </w:t>
      </w:r>
      <w:r w:rsidRPr="00463181">
        <w:rPr>
          <w:i/>
          <w:color w:val="auto"/>
          <w:sz w:val="18"/>
          <w:szCs w:val="18"/>
          <w:lang w:val="en-GB"/>
        </w:rPr>
        <w:t xml:space="preserve">Arch. Phys. Med. Rehabil. </w:t>
      </w:r>
      <w:r w:rsidRPr="00463181">
        <w:rPr>
          <w:b/>
          <w:color w:val="auto"/>
          <w:sz w:val="18"/>
          <w:szCs w:val="18"/>
          <w:lang w:val="en-GB"/>
        </w:rPr>
        <w:t>2014</w:t>
      </w:r>
      <w:r w:rsidRPr="00463181">
        <w:rPr>
          <w:color w:val="auto"/>
          <w:sz w:val="18"/>
          <w:szCs w:val="18"/>
          <w:lang w:val="en-GB"/>
        </w:rPr>
        <w:t xml:space="preserve">, </w:t>
      </w:r>
      <w:r w:rsidRPr="00463181">
        <w:rPr>
          <w:i/>
          <w:color w:val="auto"/>
          <w:sz w:val="18"/>
          <w:szCs w:val="18"/>
          <w:lang w:val="en-GB"/>
        </w:rPr>
        <w:t>95</w:t>
      </w:r>
      <w:r w:rsidRPr="00463181">
        <w:rPr>
          <w:color w:val="auto"/>
          <w:sz w:val="18"/>
          <w:szCs w:val="18"/>
          <w:lang w:val="en-GB"/>
        </w:rPr>
        <w:t>, 209–217.</w:t>
      </w:r>
    </w:p>
    <w:p w14:paraId="35F480E1"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Cameron, L.D.; Kurrle, S.; March, L. Rehabilitation length of stay after hip fracture. </w:t>
      </w:r>
      <w:r w:rsidRPr="00463181">
        <w:rPr>
          <w:i/>
          <w:iCs/>
          <w:color w:val="auto"/>
          <w:sz w:val="18"/>
          <w:szCs w:val="18"/>
          <w:lang w:val="en-GB"/>
        </w:rPr>
        <w:t>Aust. N. Z. J. Med.</w:t>
      </w:r>
      <w:r w:rsidRPr="00463181">
        <w:rPr>
          <w:color w:val="auto"/>
          <w:sz w:val="18"/>
          <w:szCs w:val="18"/>
          <w:lang w:val="en-GB"/>
        </w:rPr>
        <w:t xml:space="preserve"> </w:t>
      </w:r>
      <w:r w:rsidRPr="00463181">
        <w:rPr>
          <w:b/>
          <w:bCs/>
          <w:color w:val="auto"/>
          <w:sz w:val="18"/>
          <w:szCs w:val="18"/>
          <w:lang w:val="en-GB"/>
        </w:rPr>
        <w:t>1998</w:t>
      </w:r>
      <w:r w:rsidRPr="00463181">
        <w:rPr>
          <w:bCs/>
          <w:color w:val="auto"/>
          <w:sz w:val="18"/>
          <w:szCs w:val="18"/>
          <w:lang w:val="en-GB"/>
        </w:rPr>
        <w:t xml:space="preserve">, </w:t>
      </w:r>
      <w:r w:rsidRPr="00463181">
        <w:rPr>
          <w:bCs/>
          <w:i/>
          <w:color w:val="auto"/>
          <w:sz w:val="18"/>
          <w:szCs w:val="18"/>
          <w:lang w:val="en-GB"/>
        </w:rPr>
        <w:t>28</w:t>
      </w:r>
      <w:r w:rsidRPr="00463181">
        <w:rPr>
          <w:bCs/>
          <w:color w:val="auto"/>
          <w:sz w:val="18"/>
          <w:szCs w:val="18"/>
          <w:lang w:val="en-GB"/>
        </w:rPr>
        <w:t>, 480</w:t>
      </w:r>
      <w:r w:rsidRPr="00463181">
        <w:rPr>
          <w:color w:val="auto"/>
          <w:sz w:val="18"/>
          <w:szCs w:val="18"/>
          <w:lang w:val="en-GB"/>
        </w:rPr>
        <w:t>.</w:t>
      </w:r>
    </w:p>
    <w:p w14:paraId="000111BB"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Richards, T.; Glendenning, A.; Benson, D.; Alexander, S.; Thati, S. The independent patient factors that affect length of stay following hip fractures. </w:t>
      </w:r>
      <w:r w:rsidRPr="00463181">
        <w:rPr>
          <w:i/>
          <w:color w:val="auto"/>
          <w:sz w:val="18"/>
          <w:szCs w:val="18"/>
          <w:lang w:val="en-GB"/>
        </w:rPr>
        <w:t>Ann. R. Coll. Surg. Engl.</w:t>
      </w:r>
      <w:r w:rsidRPr="00463181">
        <w:rPr>
          <w:color w:val="auto"/>
          <w:sz w:val="18"/>
          <w:szCs w:val="18"/>
          <w:lang w:val="en-GB"/>
        </w:rPr>
        <w:t xml:space="preserve"> </w:t>
      </w:r>
      <w:r w:rsidRPr="00463181">
        <w:rPr>
          <w:b/>
          <w:bCs/>
          <w:color w:val="auto"/>
          <w:sz w:val="18"/>
          <w:szCs w:val="18"/>
          <w:lang w:val="en-GB"/>
        </w:rPr>
        <w:t>2018</w:t>
      </w:r>
      <w:r w:rsidRPr="00463181">
        <w:rPr>
          <w:bCs/>
          <w:color w:val="auto"/>
          <w:sz w:val="18"/>
          <w:szCs w:val="18"/>
          <w:lang w:val="en-GB"/>
        </w:rPr>
        <w:t xml:space="preserve">, </w:t>
      </w:r>
      <w:r w:rsidRPr="00463181">
        <w:rPr>
          <w:bCs/>
          <w:i/>
          <w:color w:val="auto"/>
          <w:sz w:val="18"/>
          <w:szCs w:val="18"/>
          <w:lang w:val="en-GB"/>
        </w:rPr>
        <w:t>100</w:t>
      </w:r>
      <w:r w:rsidRPr="00463181">
        <w:rPr>
          <w:bCs/>
          <w:color w:val="auto"/>
          <w:sz w:val="18"/>
          <w:szCs w:val="18"/>
          <w:lang w:val="en-GB"/>
        </w:rPr>
        <w:t>, 556–562</w:t>
      </w:r>
      <w:r w:rsidRPr="00463181">
        <w:rPr>
          <w:color w:val="auto"/>
          <w:sz w:val="18"/>
          <w:szCs w:val="18"/>
          <w:lang w:val="en-GB"/>
        </w:rPr>
        <w:t>, doi:10.1308/rcsann.2018.0068.</w:t>
      </w:r>
    </w:p>
    <w:p w14:paraId="4411EC2E"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Su, B.; Newson, R.; Soljak, H.; &amp; Soljak, M. Associations between post-operative rehabilitation of hip fracture and outcomes: National database analysis. </w:t>
      </w:r>
      <w:r w:rsidRPr="00463181">
        <w:rPr>
          <w:i/>
          <w:color w:val="auto"/>
          <w:sz w:val="18"/>
          <w:szCs w:val="18"/>
          <w:lang w:val="en-GB"/>
        </w:rPr>
        <w:t xml:space="preserve">BMC Musculoskelet. Disord. </w:t>
      </w:r>
      <w:r w:rsidRPr="00463181">
        <w:rPr>
          <w:b/>
          <w:bCs/>
          <w:color w:val="auto"/>
          <w:sz w:val="18"/>
          <w:szCs w:val="18"/>
          <w:lang w:val="en-GB"/>
        </w:rPr>
        <w:t>2018</w:t>
      </w:r>
      <w:r w:rsidRPr="00463181">
        <w:rPr>
          <w:color w:val="auto"/>
          <w:sz w:val="18"/>
          <w:szCs w:val="18"/>
          <w:lang w:val="en-GB"/>
        </w:rPr>
        <w:t xml:space="preserve">, </w:t>
      </w:r>
      <w:r w:rsidRPr="00463181">
        <w:rPr>
          <w:i/>
          <w:iCs/>
          <w:color w:val="auto"/>
          <w:sz w:val="18"/>
          <w:szCs w:val="18"/>
          <w:lang w:val="en-GB"/>
        </w:rPr>
        <w:t>19</w:t>
      </w:r>
      <w:r w:rsidRPr="00463181">
        <w:rPr>
          <w:color w:val="auto"/>
          <w:sz w:val="18"/>
          <w:szCs w:val="18"/>
          <w:lang w:val="en-GB"/>
        </w:rPr>
        <w:t>. Available online: https://bmcmusculoskeletdisord.biomedcentral.com/articles/10.1186/s12891-018-2093-8 (accessed on 29 July 2019).</w:t>
      </w:r>
    </w:p>
    <w:p w14:paraId="1BECF9B0" w14:textId="4010C170" w:rsidR="002D45DF" w:rsidRPr="00463181" w:rsidRDefault="002D45DF"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Lu, M.; Sajobi, T.; Lucyk, K.; Lorenzetti, D.; Quan, H. Systematic review of risk adjustment models of hospital length of stay (LOS). </w:t>
      </w:r>
      <w:r w:rsidRPr="00463181">
        <w:rPr>
          <w:i/>
          <w:color w:val="auto"/>
          <w:sz w:val="18"/>
          <w:szCs w:val="18"/>
          <w:lang w:val="en-GB"/>
        </w:rPr>
        <w:t>Med. Care</w:t>
      </w:r>
      <w:r w:rsidRPr="00463181">
        <w:rPr>
          <w:color w:val="auto"/>
          <w:sz w:val="18"/>
          <w:szCs w:val="18"/>
          <w:lang w:val="en-GB"/>
        </w:rPr>
        <w:t xml:space="preserve"> </w:t>
      </w:r>
      <w:r w:rsidRPr="00463181">
        <w:rPr>
          <w:b/>
          <w:bCs/>
          <w:color w:val="auto"/>
          <w:sz w:val="18"/>
          <w:szCs w:val="18"/>
          <w:lang w:val="en-GB"/>
        </w:rPr>
        <w:t>2015</w:t>
      </w:r>
      <w:r w:rsidRPr="00463181">
        <w:rPr>
          <w:bCs/>
          <w:color w:val="auto"/>
          <w:sz w:val="18"/>
          <w:szCs w:val="18"/>
          <w:lang w:val="en-GB"/>
        </w:rPr>
        <w:t xml:space="preserve">, </w:t>
      </w:r>
      <w:r w:rsidRPr="00463181">
        <w:rPr>
          <w:bCs/>
          <w:i/>
          <w:color w:val="auto"/>
          <w:sz w:val="18"/>
          <w:szCs w:val="18"/>
          <w:lang w:val="en-GB"/>
        </w:rPr>
        <w:t>53</w:t>
      </w:r>
      <w:r w:rsidRPr="00463181">
        <w:rPr>
          <w:bCs/>
          <w:color w:val="auto"/>
          <w:sz w:val="18"/>
          <w:szCs w:val="18"/>
          <w:lang w:val="en-GB"/>
        </w:rPr>
        <w:t>, 355–365</w:t>
      </w:r>
      <w:r w:rsidRPr="00463181">
        <w:rPr>
          <w:color w:val="auto"/>
          <w:sz w:val="18"/>
          <w:szCs w:val="18"/>
          <w:lang w:val="en-GB"/>
        </w:rPr>
        <w:t>.</w:t>
      </w:r>
    </w:p>
    <w:p w14:paraId="7E9E71DB" w14:textId="1D10788A"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Clarke, A. Length of in-hospital stay and its relationship to quality of care. </w:t>
      </w:r>
      <w:r w:rsidRPr="00463181">
        <w:rPr>
          <w:i/>
          <w:color w:val="auto"/>
          <w:sz w:val="18"/>
          <w:szCs w:val="18"/>
          <w:lang w:val="en-GB"/>
        </w:rPr>
        <w:t xml:space="preserve">BMJ Qual. Saf. </w:t>
      </w:r>
      <w:r w:rsidRPr="00463181">
        <w:rPr>
          <w:b/>
          <w:bCs/>
          <w:color w:val="auto"/>
          <w:sz w:val="18"/>
          <w:szCs w:val="18"/>
          <w:lang w:val="en-GB"/>
        </w:rPr>
        <w:t>2002</w:t>
      </w:r>
      <w:r w:rsidRPr="00463181">
        <w:rPr>
          <w:color w:val="auto"/>
          <w:sz w:val="18"/>
          <w:szCs w:val="18"/>
          <w:lang w:val="en-GB"/>
        </w:rPr>
        <w:t xml:space="preserve">, </w:t>
      </w:r>
      <w:r w:rsidRPr="00463181">
        <w:rPr>
          <w:i/>
          <w:iCs/>
          <w:color w:val="auto"/>
          <w:sz w:val="18"/>
          <w:szCs w:val="18"/>
          <w:lang w:val="en-GB"/>
        </w:rPr>
        <w:t>11</w:t>
      </w:r>
      <w:r w:rsidRPr="00463181">
        <w:rPr>
          <w:color w:val="auto"/>
          <w:sz w:val="18"/>
          <w:szCs w:val="18"/>
          <w:lang w:val="en-GB"/>
        </w:rPr>
        <w:t>. Available online: https://qualitysafety.bmj.com/content/11/3/209 (accessed on 28 July 2019).</w:t>
      </w:r>
    </w:p>
    <w:p w14:paraId="1F82E1C3"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Lindberg, L.; Ekstrom, W.; Hedstrom, M.; Flodin, L.; Lofgren, S.; Ryd, L. Changing caring behaviours in rehabilitation after a hip fracture—A tool for empowerment? </w:t>
      </w:r>
      <w:r w:rsidRPr="00463181">
        <w:rPr>
          <w:i/>
          <w:color w:val="auto"/>
          <w:sz w:val="18"/>
          <w:szCs w:val="18"/>
          <w:lang w:val="en-GB"/>
        </w:rPr>
        <w:t xml:space="preserve">Psychol. Health Med. </w:t>
      </w:r>
      <w:r w:rsidRPr="00463181">
        <w:rPr>
          <w:b/>
          <w:color w:val="auto"/>
          <w:sz w:val="18"/>
          <w:szCs w:val="18"/>
          <w:lang w:val="en-GB"/>
        </w:rPr>
        <w:t>2017</w:t>
      </w:r>
      <w:r w:rsidRPr="00463181">
        <w:rPr>
          <w:color w:val="auto"/>
          <w:sz w:val="18"/>
          <w:szCs w:val="18"/>
          <w:lang w:val="en-GB"/>
        </w:rPr>
        <w:t xml:space="preserve">, </w:t>
      </w:r>
      <w:r w:rsidRPr="00463181">
        <w:rPr>
          <w:i/>
          <w:color w:val="auto"/>
          <w:sz w:val="18"/>
          <w:szCs w:val="18"/>
          <w:lang w:val="en-GB"/>
        </w:rPr>
        <w:t>22</w:t>
      </w:r>
      <w:r w:rsidRPr="00463181">
        <w:rPr>
          <w:color w:val="auto"/>
          <w:sz w:val="18"/>
          <w:szCs w:val="18"/>
          <w:lang w:val="en-GB"/>
        </w:rPr>
        <w:t>, 663–672.</w:t>
      </w:r>
    </w:p>
    <w:p w14:paraId="6F8BD679"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Dodds, T.A.; Martin, D.P.; Stolov, W.C.; Deyo, R.A. A validation of the functional independence measurement and its performance among rehabilitation inpatients. </w:t>
      </w:r>
      <w:r w:rsidRPr="00463181">
        <w:rPr>
          <w:i/>
          <w:color w:val="auto"/>
          <w:sz w:val="18"/>
          <w:szCs w:val="18"/>
          <w:lang w:val="en-GB"/>
        </w:rPr>
        <w:t xml:space="preserve">Arch. Phys. Med. Rehabil. </w:t>
      </w:r>
      <w:r w:rsidRPr="00463181">
        <w:rPr>
          <w:b/>
          <w:color w:val="auto"/>
          <w:sz w:val="18"/>
          <w:szCs w:val="18"/>
          <w:lang w:val="en-GB"/>
        </w:rPr>
        <w:t>1993</w:t>
      </w:r>
      <w:r w:rsidRPr="00463181">
        <w:rPr>
          <w:color w:val="auto"/>
          <w:sz w:val="18"/>
          <w:szCs w:val="18"/>
          <w:lang w:val="en-GB"/>
        </w:rPr>
        <w:t xml:space="preserve">, </w:t>
      </w:r>
      <w:r w:rsidRPr="00463181">
        <w:rPr>
          <w:i/>
          <w:color w:val="auto"/>
          <w:sz w:val="18"/>
          <w:szCs w:val="18"/>
          <w:lang w:val="en-GB"/>
        </w:rPr>
        <w:t>74</w:t>
      </w:r>
      <w:r w:rsidRPr="00463181">
        <w:rPr>
          <w:color w:val="auto"/>
          <w:sz w:val="18"/>
          <w:szCs w:val="18"/>
          <w:lang w:val="en-GB"/>
        </w:rPr>
        <w:t>, 531–536.</w:t>
      </w:r>
    </w:p>
    <w:p w14:paraId="62AFDF8F"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lastRenderedPageBreak/>
        <w:t xml:space="preserve">Petrella, R.J.; Overend, T.; Chesworth, B. FIM after hip fracture. </w:t>
      </w:r>
      <w:r w:rsidRPr="00463181">
        <w:rPr>
          <w:i/>
          <w:color w:val="auto"/>
          <w:sz w:val="18"/>
          <w:szCs w:val="18"/>
          <w:lang w:val="en-GB"/>
        </w:rPr>
        <w:t>Am. J. Phys. Med. Rehabil.</w:t>
      </w:r>
      <w:r w:rsidRPr="00463181">
        <w:rPr>
          <w:color w:val="auto"/>
          <w:sz w:val="18"/>
          <w:szCs w:val="18"/>
          <w:lang w:val="en-GB"/>
        </w:rPr>
        <w:t xml:space="preserve"> </w:t>
      </w:r>
      <w:r w:rsidRPr="00463181">
        <w:rPr>
          <w:b/>
          <w:color w:val="auto"/>
          <w:sz w:val="18"/>
          <w:szCs w:val="18"/>
          <w:lang w:val="en-GB"/>
        </w:rPr>
        <w:t>2002</w:t>
      </w:r>
      <w:r w:rsidRPr="00463181">
        <w:rPr>
          <w:color w:val="auto"/>
          <w:sz w:val="18"/>
          <w:szCs w:val="18"/>
          <w:lang w:val="en-GB"/>
        </w:rPr>
        <w:t xml:space="preserve">, </w:t>
      </w:r>
      <w:r w:rsidRPr="00463181">
        <w:rPr>
          <w:i/>
          <w:color w:val="auto"/>
          <w:sz w:val="18"/>
          <w:szCs w:val="18"/>
          <w:lang w:val="en-GB"/>
        </w:rPr>
        <w:t>81</w:t>
      </w:r>
      <w:r w:rsidRPr="00463181">
        <w:rPr>
          <w:color w:val="auto"/>
          <w:sz w:val="18"/>
          <w:szCs w:val="18"/>
          <w:lang w:val="en-GB"/>
        </w:rPr>
        <w:t>, 639–644.</w:t>
      </w:r>
    </w:p>
    <w:p w14:paraId="102057AE"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Gerrard, P.; Goldstein, R.; DiVita, M.A.; Slocum, C.; Ryan, C.M.; Mix, J.; Niewczyk, P.; Kazis, L.; Zafonte, R.; Schneider, J.C. Functional status and readmissions in unilateral hip fractures. </w:t>
      </w:r>
      <w:r w:rsidRPr="00463181">
        <w:rPr>
          <w:i/>
          <w:color w:val="auto"/>
          <w:sz w:val="18"/>
          <w:szCs w:val="18"/>
          <w:lang w:val="en-GB"/>
        </w:rPr>
        <w:t xml:space="preserve">Am. J. Manag. Care </w:t>
      </w:r>
      <w:r w:rsidRPr="00463181">
        <w:rPr>
          <w:b/>
          <w:bCs/>
          <w:color w:val="auto"/>
          <w:sz w:val="18"/>
          <w:szCs w:val="18"/>
          <w:lang w:val="en-GB"/>
        </w:rPr>
        <w:t>2015</w:t>
      </w:r>
      <w:r w:rsidRPr="00463181">
        <w:rPr>
          <w:color w:val="auto"/>
          <w:sz w:val="18"/>
          <w:szCs w:val="18"/>
          <w:lang w:val="en-GB"/>
        </w:rPr>
        <w:t xml:space="preserve">, </w:t>
      </w:r>
      <w:r w:rsidRPr="00463181">
        <w:rPr>
          <w:i/>
          <w:iCs/>
          <w:color w:val="auto"/>
          <w:sz w:val="18"/>
          <w:szCs w:val="18"/>
          <w:lang w:val="en-GB"/>
        </w:rPr>
        <w:t>21</w:t>
      </w:r>
      <w:r w:rsidRPr="00463181">
        <w:rPr>
          <w:color w:val="auto"/>
          <w:sz w:val="18"/>
          <w:szCs w:val="18"/>
          <w:lang w:val="en-GB"/>
        </w:rPr>
        <w:t>, e282–e287 Available online: https://www.ajmc.com/journals/issue/2015/2015-vol21-n4/functional-status-and-readmissions-in-unilateral-hip-fractures (accessed on 12 February 2019).</w:t>
      </w:r>
    </w:p>
    <w:p w14:paraId="43D062D0"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Vadassery, S.J.; Kong, K.H.; Ho, W.M.L.; Seneviratna, A. Interview functional independence measure score: Self-reporting as a simpler alternative to multidisciplinary functional assessment. </w:t>
      </w:r>
      <w:r w:rsidRPr="00463181">
        <w:rPr>
          <w:i/>
          <w:color w:val="auto"/>
          <w:sz w:val="18"/>
          <w:szCs w:val="18"/>
          <w:lang w:val="en-GB"/>
        </w:rPr>
        <w:t xml:space="preserve">Singap. Med. J. </w:t>
      </w:r>
      <w:r w:rsidRPr="00463181">
        <w:rPr>
          <w:b/>
          <w:color w:val="auto"/>
          <w:sz w:val="18"/>
          <w:szCs w:val="18"/>
          <w:lang w:val="en-GB"/>
        </w:rPr>
        <w:t>2019</w:t>
      </w:r>
      <w:r w:rsidRPr="00463181">
        <w:rPr>
          <w:color w:val="auto"/>
          <w:sz w:val="18"/>
          <w:szCs w:val="18"/>
          <w:lang w:val="en-GB"/>
        </w:rPr>
        <w:t xml:space="preserve">, </w:t>
      </w:r>
      <w:r w:rsidRPr="00463181">
        <w:rPr>
          <w:i/>
          <w:color w:val="auto"/>
          <w:sz w:val="18"/>
          <w:szCs w:val="18"/>
          <w:lang w:val="en-GB"/>
        </w:rPr>
        <w:t>60</w:t>
      </w:r>
      <w:r w:rsidRPr="00463181">
        <w:rPr>
          <w:color w:val="auto"/>
          <w:sz w:val="18"/>
          <w:szCs w:val="18"/>
          <w:lang w:val="en-GB"/>
        </w:rPr>
        <w:t>, 199–201.</w:t>
      </w:r>
    </w:p>
    <w:p w14:paraId="2C6B8CAC"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Bujang, M.A.; Baharum, N. A simplified guide to determination of sample size requirement for estimating the value of intraclass correlation coefficient: A review. </w:t>
      </w:r>
      <w:r w:rsidRPr="00463181">
        <w:rPr>
          <w:i/>
          <w:color w:val="auto"/>
          <w:sz w:val="18"/>
          <w:szCs w:val="18"/>
          <w:lang w:val="en-GB"/>
        </w:rPr>
        <w:t>Arch. Orofac. Sci</w:t>
      </w:r>
      <w:r w:rsidRPr="00463181">
        <w:rPr>
          <w:color w:val="auto"/>
          <w:sz w:val="18"/>
          <w:szCs w:val="18"/>
          <w:lang w:val="en-GB"/>
        </w:rPr>
        <w:t xml:space="preserve">. </w:t>
      </w:r>
      <w:r w:rsidRPr="00463181">
        <w:rPr>
          <w:b/>
          <w:color w:val="auto"/>
          <w:sz w:val="18"/>
          <w:szCs w:val="18"/>
          <w:lang w:val="en-GB"/>
        </w:rPr>
        <w:t>2017</w:t>
      </w:r>
      <w:r w:rsidRPr="00463181">
        <w:rPr>
          <w:color w:val="auto"/>
          <w:sz w:val="18"/>
          <w:szCs w:val="18"/>
          <w:lang w:val="en-GB"/>
        </w:rPr>
        <w:t xml:space="preserve">, </w:t>
      </w:r>
      <w:r w:rsidRPr="00463181">
        <w:rPr>
          <w:i/>
          <w:color w:val="auto"/>
          <w:sz w:val="18"/>
          <w:szCs w:val="18"/>
          <w:lang w:val="en-GB"/>
        </w:rPr>
        <w:t>12</w:t>
      </w:r>
      <w:r w:rsidRPr="00463181">
        <w:rPr>
          <w:color w:val="auto"/>
          <w:sz w:val="18"/>
          <w:szCs w:val="18"/>
          <w:lang w:val="en-GB"/>
        </w:rPr>
        <w:t>, 1–11. Available online: https://www.researchgate.net/publication/318788161_A_simplified_guide_to_determination_of_sample_size_requirements_for_estimating_the_value_of_intraclass_correlation_coefficient_A_revie w (accessed on 27 May 2019).</w:t>
      </w:r>
    </w:p>
    <w:p w14:paraId="3500646C"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Koo, T.K.; Li, M.Y. A guideline of selecting and reporting intraclass correlation coefficients for reliability research. </w:t>
      </w:r>
      <w:r w:rsidRPr="00463181">
        <w:rPr>
          <w:i/>
          <w:color w:val="auto"/>
          <w:sz w:val="18"/>
          <w:szCs w:val="18"/>
          <w:lang w:val="en-GB"/>
        </w:rPr>
        <w:t xml:space="preserve">J. Chiropr Med. </w:t>
      </w:r>
      <w:r w:rsidRPr="00463181">
        <w:rPr>
          <w:b/>
          <w:bCs/>
          <w:color w:val="auto"/>
          <w:sz w:val="18"/>
          <w:szCs w:val="18"/>
          <w:lang w:val="en-GB"/>
        </w:rPr>
        <w:t>2016</w:t>
      </w:r>
      <w:r w:rsidRPr="00463181">
        <w:rPr>
          <w:bCs/>
          <w:color w:val="auto"/>
          <w:sz w:val="18"/>
          <w:szCs w:val="18"/>
          <w:lang w:val="en-GB"/>
        </w:rPr>
        <w:t xml:space="preserve">, </w:t>
      </w:r>
      <w:r w:rsidRPr="00463181">
        <w:rPr>
          <w:bCs/>
          <w:i/>
          <w:color w:val="auto"/>
          <w:sz w:val="18"/>
          <w:szCs w:val="18"/>
          <w:lang w:val="en-GB"/>
        </w:rPr>
        <w:t>15</w:t>
      </w:r>
      <w:r w:rsidRPr="00463181">
        <w:rPr>
          <w:bCs/>
          <w:color w:val="auto"/>
          <w:sz w:val="18"/>
          <w:szCs w:val="18"/>
          <w:lang w:val="en-GB"/>
        </w:rPr>
        <w:t>, 155–163</w:t>
      </w:r>
      <w:r w:rsidRPr="00463181">
        <w:rPr>
          <w:color w:val="auto"/>
          <w:sz w:val="18"/>
          <w:szCs w:val="18"/>
          <w:lang w:val="en-GB"/>
        </w:rPr>
        <w:t>.</w:t>
      </w:r>
    </w:p>
    <w:p w14:paraId="462E7DEC"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Chin, R.P.H.; Ng, B.H.P.; Cheung, L.R.C. Factors predicting rehabilitation outcomes of elderly patients with hip fractures. </w:t>
      </w:r>
      <w:r w:rsidRPr="00463181">
        <w:rPr>
          <w:i/>
          <w:color w:val="auto"/>
          <w:sz w:val="18"/>
          <w:szCs w:val="18"/>
          <w:lang w:val="en-GB"/>
        </w:rPr>
        <w:t xml:space="preserve">Hong Kong Med. J. </w:t>
      </w:r>
      <w:r w:rsidRPr="00463181">
        <w:rPr>
          <w:b/>
          <w:bCs/>
          <w:color w:val="auto"/>
          <w:sz w:val="18"/>
          <w:szCs w:val="18"/>
          <w:lang w:val="en-GB"/>
        </w:rPr>
        <w:t>2008</w:t>
      </w:r>
      <w:r w:rsidRPr="00463181">
        <w:rPr>
          <w:bCs/>
          <w:color w:val="auto"/>
          <w:sz w:val="18"/>
          <w:szCs w:val="18"/>
          <w:lang w:val="en-GB"/>
        </w:rPr>
        <w:t xml:space="preserve">, </w:t>
      </w:r>
      <w:r w:rsidRPr="00463181">
        <w:rPr>
          <w:bCs/>
          <w:i/>
          <w:color w:val="auto"/>
          <w:sz w:val="18"/>
          <w:szCs w:val="18"/>
          <w:lang w:val="en-GB"/>
        </w:rPr>
        <w:t>14</w:t>
      </w:r>
      <w:r w:rsidRPr="00463181">
        <w:rPr>
          <w:bCs/>
          <w:color w:val="auto"/>
          <w:sz w:val="18"/>
          <w:szCs w:val="18"/>
          <w:lang w:val="en-GB"/>
        </w:rPr>
        <w:t>, 209–215</w:t>
      </w:r>
      <w:r w:rsidRPr="00463181">
        <w:rPr>
          <w:color w:val="auto"/>
          <w:sz w:val="18"/>
          <w:szCs w:val="18"/>
          <w:lang w:val="en-GB"/>
        </w:rPr>
        <w:t>.</w:t>
      </w:r>
    </w:p>
    <w:p w14:paraId="00A190B1"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Canadian Institute for Health Information. </w:t>
      </w:r>
      <w:r w:rsidRPr="00463181">
        <w:rPr>
          <w:i/>
          <w:iCs/>
          <w:color w:val="auto"/>
          <w:sz w:val="18"/>
          <w:szCs w:val="18"/>
          <w:lang w:val="en-GB"/>
        </w:rPr>
        <w:t>Factors Predicting Return Home from Inpatient Rehabilitation Following Hip Fracture Surgery</w:t>
      </w:r>
      <w:r w:rsidRPr="00463181">
        <w:rPr>
          <w:color w:val="auto"/>
          <w:sz w:val="18"/>
          <w:szCs w:val="18"/>
          <w:lang w:val="en-GB"/>
        </w:rPr>
        <w:t>. 2015. Available online: https://secure.cihi.ca/free_products?NRS_Hips_2015_EN_web.pdf (accessed on 18 April 2019).</w:t>
      </w:r>
    </w:p>
    <w:p w14:paraId="5138947E"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Ariza-Vega, P.; Jimenez-Moleon, J.J.; Kristensen, M.T. Change of residence and functional status within three months and one year following hip fracture surgery. </w:t>
      </w:r>
      <w:r w:rsidRPr="00463181">
        <w:rPr>
          <w:i/>
          <w:color w:val="auto"/>
          <w:sz w:val="18"/>
          <w:szCs w:val="18"/>
          <w:lang w:val="en-GB"/>
        </w:rPr>
        <w:t xml:space="preserve">Disabil. Rehabil. </w:t>
      </w:r>
      <w:r w:rsidRPr="00463181">
        <w:rPr>
          <w:b/>
          <w:color w:val="auto"/>
          <w:sz w:val="18"/>
          <w:szCs w:val="18"/>
          <w:lang w:val="en-GB"/>
        </w:rPr>
        <w:t>2012</w:t>
      </w:r>
      <w:r w:rsidRPr="00463181">
        <w:rPr>
          <w:color w:val="auto"/>
          <w:sz w:val="18"/>
          <w:szCs w:val="18"/>
          <w:lang w:val="en-GB"/>
        </w:rPr>
        <w:t xml:space="preserve">, </w:t>
      </w:r>
      <w:r w:rsidRPr="00463181">
        <w:rPr>
          <w:i/>
          <w:color w:val="auto"/>
          <w:sz w:val="18"/>
          <w:szCs w:val="18"/>
          <w:lang w:val="en-GB"/>
        </w:rPr>
        <w:t>36</w:t>
      </w:r>
      <w:r w:rsidRPr="00463181">
        <w:rPr>
          <w:color w:val="auto"/>
          <w:sz w:val="18"/>
          <w:szCs w:val="18"/>
          <w:lang w:val="en-GB"/>
        </w:rPr>
        <w:t>, 685–690. Available online: https://doi.org/10.3109/09638288.2013.813081 (accessed on 27 August 2019).</w:t>
      </w:r>
    </w:p>
    <w:p w14:paraId="02A5767A"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Hershkovitz, A.; Kaladariov, Z.; Hermush, V.; Weiss, R.; Brill, S. Factors affecting short-term rehabilitation outcomes of disabled elderly patients with proximal hip fracture. </w:t>
      </w:r>
      <w:r w:rsidRPr="00463181">
        <w:rPr>
          <w:i/>
          <w:color w:val="auto"/>
          <w:sz w:val="18"/>
          <w:szCs w:val="18"/>
          <w:lang w:val="en-GB"/>
        </w:rPr>
        <w:t xml:space="preserve">Arch. Phys. Med. Rehabil. </w:t>
      </w:r>
      <w:r w:rsidRPr="00463181">
        <w:rPr>
          <w:b/>
          <w:color w:val="auto"/>
          <w:sz w:val="18"/>
          <w:szCs w:val="18"/>
          <w:lang w:val="en-GB"/>
        </w:rPr>
        <w:t>2007</w:t>
      </w:r>
      <w:r w:rsidRPr="00463181">
        <w:rPr>
          <w:color w:val="auto"/>
          <w:sz w:val="18"/>
          <w:szCs w:val="18"/>
          <w:lang w:val="en-GB"/>
        </w:rPr>
        <w:t xml:space="preserve">, </w:t>
      </w:r>
      <w:r w:rsidRPr="00463181">
        <w:rPr>
          <w:i/>
          <w:color w:val="auto"/>
          <w:sz w:val="18"/>
          <w:szCs w:val="18"/>
          <w:lang w:val="en-GB"/>
        </w:rPr>
        <w:t>88</w:t>
      </w:r>
      <w:r w:rsidRPr="00463181">
        <w:rPr>
          <w:color w:val="auto"/>
          <w:sz w:val="18"/>
          <w:szCs w:val="18"/>
          <w:lang w:val="en-GB"/>
        </w:rPr>
        <w:t>, 916–921.</w:t>
      </w:r>
    </w:p>
    <w:p w14:paraId="20BED6F3"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Hayashi, H.; Iwai, M.; Matsuoka, H.; Nakashima, D.; Nakamura, S.; Kubo, A.; Tomiyama, N. Factors affecting the discharge destination of hip fracture patient who live alone and have been admitted to an inpatient rehabilitation unit. </w:t>
      </w:r>
      <w:r w:rsidRPr="00463181">
        <w:rPr>
          <w:i/>
          <w:color w:val="auto"/>
          <w:sz w:val="18"/>
          <w:szCs w:val="18"/>
          <w:lang w:val="en-GB"/>
        </w:rPr>
        <w:t xml:space="preserve">J. Phys. Ther. Sci. </w:t>
      </w:r>
      <w:r w:rsidRPr="00463181">
        <w:rPr>
          <w:b/>
          <w:bCs/>
          <w:color w:val="auto"/>
          <w:sz w:val="18"/>
          <w:szCs w:val="18"/>
          <w:lang w:val="en-GB"/>
        </w:rPr>
        <w:t>2016</w:t>
      </w:r>
      <w:r w:rsidRPr="00463181">
        <w:rPr>
          <w:bCs/>
          <w:color w:val="auto"/>
          <w:sz w:val="18"/>
          <w:szCs w:val="18"/>
          <w:lang w:val="en-GB"/>
        </w:rPr>
        <w:t xml:space="preserve">, </w:t>
      </w:r>
      <w:r w:rsidRPr="00463181">
        <w:rPr>
          <w:bCs/>
          <w:i/>
          <w:color w:val="auto"/>
          <w:sz w:val="18"/>
          <w:szCs w:val="18"/>
          <w:lang w:val="en-GB"/>
        </w:rPr>
        <w:t>28</w:t>
      </w:r>
      <w:r w:rsidRPr="00463181">
        <w:rPr>
          <w:bCs/>
          <w:color w:val="auto"/>
          <w:sz w:val="18"/>
          <w:szCs w:val="18"/>
          <w:lang w:val="en-GB"/>
        </w:rPr>
        <w:t>, 1228–1232</w:t>
      </w:r>
      <w:r w:rsidRPr="00463181">
        <w:rPr>
          <w:color w:val="auto"/>
          <w:sz w:val="18"/>
          <w:szCs w:val="18"/>
          <w:lang w:val="en-GB"/>
        </w:rPr>
        <w:t>.</w:t>
      </w:r>
    </w:p>
    <w:p w14:paraId="5448FDB2" w14:textId="77777777" w:rsidR="00691D4E" w:rsidRPr="00463181" w:rsidRDefault="00691D4E" w:rsidP="00691D4E">
      <w:pPr>
        <w:pStyle w:val="4textlist"/>
        <w:adjustRightInd w:val="0"/>
        <w:snapToGrid w:val="0"/>
        <w:spacing w:line="228" w:lineRule="auto"/>
        <w:ind w:left="425" w:hanging="425"/>
        <w:rPr>
          <w:i/>
          <w:color w:val="auto"/>
          <w:sz w:val="18"/>
          <w:szCs w:val="18"/>
          <w:lang w:val="en-GB"/>
        </w:rPr>
      </w:pPr>
      <w:r w:rsidRPr="00463181">
        <w:rPr>
          <w:color w:val="auto"/>
          <w:sz w:val="18"/>
          <w:szCs w:val="18"/>
          <w:lang w:val="en-GB"/>
        </w:rPr>
        <w:t xml:space="preserve">Cree, A.K.; Nade, S. How to predict return to the community after fracture of proximal femur in the elderly. </w:t>
      </w:r>
      <w:r w:rsidRPr="00463181">
        <w:rPr>
          <w:i/>
          <w:color w:val="auto"/>
          <w:sz w:val="18"/>
          <w:szCs w:val="18"/>
          <w:lang w:val="en-GB"/>
        </w:rPr>
        <w:t xml:space="preserve">Aust. N. Z. J. Surg. </w:t>
      </w:r>
      <w:r w:rsidRPr="00463181">
        <w:rPr>
          <w:b/>
          <w:bCs/>
          <w:color w:val="auto"/>
          <w:sz w:val="18"/>
          <w:szCs w:val="18"/>
          <w:lang w:val="en-GB"/>
        </w:rPr>
        <w:t>1999</w:t>
      </w:r>
      <w:r w:rsidRPr="00463181">
        <w:rPr>
          <w:bCs/>
          <w:color w:val="auto"/>
          <w:sz w:val="18"/>
          <w:szCs w:val="18"/>
          <w:lang w:val="en-GB"/>
        </w:rPr>
        <w:t xml:space="preserve">, </w:t>
      </w:r>
      <w:r w:rsidRPr="00463181">
        <w:rPr>
          <w:bCs/>
          <w:i/>
          <w:color w:val="auto"/>
          <w:sz w:val="18"/>
          <w:szCs w:val="18"/>
          <w:lang w:val="en-GB"/>
        </w:rPr>
        <w:t>69</w:t>
      </w:r>
      <w:r w:rsidRPr="00463181">
        <w:rPr>
          <w:bCs/>
          <w:color w:val="auto"/>
          <w:sz w:val="18"/>
          <w:szCs w:val="18"/>
          <w:lang w:val="en-GB"/>
        </w:rPr>
        <w:t>, 723–725</w:t>
      </w:r>
      <w:r w:rsidRPr="00463181">
        <w:rPr>
          <w:color w:val="auto"/>
          <w:sz w:val="18"/>
          <w:szCs w:val="18"/>
          <w:lang w:val="en-GB"/>
        </w:rPr>
        <w:t>, doi:10.1046/j.1440-1622.1999.01673.x.</w:t>
      </w:r>
    </w:p>
    <w:p w14:paraId="0F398935"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Ireland, A.W.; Kelly, P.J.; Cumming, R.G. Total hospital stay for hip fracture measuring the variations due to pre-fracture residence, rehabilitation, complications and comorbidities. </w:t>
      </w:r>
      <w:r w:rsidRPr="00463181">
        <w:rPr>
          <w:i/>
          <w:color w:val="auto"/>
          <w:sz w:val="18"/>
          <w:szCs w:val="18"/>
          <w:lang w:val="en-GB"/>
        </w:rPr>
        <w:t xml:space="preserve">BMC Health Serv. Res. </w:t>
      </w:r>
      <w:r w:rsidRPr="00463181">
        <w:rPr>
          <w:b/>
          <w:bCs/>
          <w:color w:val="auto"/>
          <w:sz w:val="18"/>
          <w:szCs w:val="18"/>
          <w:lang w:val="en-GB"/>
        </w:rPr>
        <w:t>2015</w:t>
      </w:r>
      <w:r w:rsidRPr="00463181">
        <w:rPr>
          <w:bCs/>
          <w:color w:val="auto"/>
          <w:sz w:val="18"/>
          <w:szCs w:val="18"/>
          <w:lang w:val="en-GB"/>
        </w:rPr>
        <w:t xml:space="preserve">, </w:t>
      </w:r>
      <w:r w:rsidRPr="00463181">
        <w:rPr>
          <w:bCs/>
          <w:i/>
          <w:color w:val="auto"/>
          <w:sz w:val="18"/>
          <w:szCs w:val="18"/>
          <w:lang w:val="en-GB"/>
        </w:rPr>
        <w:t>15</w:t>
      </w:r>
      <w:r w:rsidRPr="00463181">
        <w:rPr>
          <w:bCs/>
          <w:color w:val="auto"/>
          <w:sz w:val="18"/>
          <w:szCs w:val="18"/>
          <w:lang w:val="en-GB"/>
        </w:rPr>
        <w:t>, 17</w:t>
      </w:r>
      <w:r w:rsidRPr="00463181">
        <w:rPr>
          <w:color w:val="auto"/>
          <w:sz w:val="18"/>
          <w:szCs w:val="18"/>
          <w:lang w:val="en-GB"/>
        </w:rPr>
        <w:t>. Available online: https://doi.org/10.1186/s12913-015-0697-3 (accessed on 6 April 2019).</w:t>
      </w:r>
    </w:p>
    <w:p w14:paraId="2D516D2E" w14:textId="77777777" w:rsidR="00691D4E" w:rsidRPr="00463181" w:rsidRDefault="00691D4E" w:rsidP="00691D4E">
      <w:pPr>
        <w:pStyle w:val="4textlist"/>
        <w:adjustRightInd w:val="0"/>
        <w:snapToGrid w:val="0"/>
        <w:spacing w:line="228" w:lineRule="auto"/>
        <w:ind w:left="425" w:hanging="425"/>
        <w:rPr>
          <w:i/>
          <w:color w:val="auto"/>
          <w:sz w:val="18"/>
          <w:szCs w:val="18"/>
          <w:lang w:val="en-GB"/>
        </w:rPr>
      </w:pPr>
      <w:r w:rsidRPr="00463181">
        <w:rPr>
          <w:color w:val="auto"/>
          <w:sz w:val="18"/>
          <w:szCs w:val="18"/>
          <w:lang w:val="en-GB"/>
        </w:rPr>
        <w:t xml:space="preserve">Wang, C.Y.; Graham, J.E.; Karmarkar, A.M.; Reistetter, T.A.; Protas, E.J.; Ottenbacher, K.J. FIM motor scores for classifying community discharge after inpatient rehabilitation for hip fracture. </w:t>
      </w:r>
      <w:r w:rsidRPr="00463181">
        <w:rPr>
          <w:i/>
          <w:iCs/>
          <w:color w:val="auto"/>
          <w:sz w:val="18"/>
          <w:szCs w:val="18"/>
          <w:lang w:val="en-GB"/>
        </w:rPr>
        <w:t>PM&amp;R</w:t>
      </w:r>
      <w:r w:rsidRPr="00463181">
        <w:rPr>
          <w:color w:val="auto"/>
          <w:sz w:val="18"/>
          <w:szCs w:val="18"/>
          <w:lang w:val="en-GB"/>
        </w:rPr>
        <w:t xml:space="preserve"> </w:t>
      </w:r>
      <w:r w:rsidRPr="00463181">
        <w:rPr>
          <w:b/>
          <w:bCs/>
          <w:color w:val="auto"/>
          <w:sz w:val="18"/>
          <w:szCs w:val="18"/>
          <w:lang w:val="en-GB"/>
        </w:rPr>
        <w:t>2014</w:t>
      </w:r>
      <w:r w:rsidRPr="00463181">
        <w:rPr>
          <w:bCs/>
          <w:color w:val="auto"/>
          <w:sz w:val="18"/>
          <w:szCs w:val="18"/>
          <w:lang w:val="en-GB"/>
        </w:rPr>
        <w:t xml:space="preserve">, </w:t>
      </w:r>
      <w:r w:rsidRPr="00463181">
        <w:rPr>
          <w:bCs/>
          <w:i/>
          <w:color w:val="auto"/>
          <w:sz w:val="18"/>
          <w:szCs w:val="18"/>
          <w:lang w:val="en-GB"/>
        </w:rPr>
        <w:t>6</w:t>
      </w:r>
      <w:r w:rsidRPr="00463181">
        <w:rPr>
          <w:bCs/>
          <w:color w:val="auto"/>
          <w:sz w:val="18"/>
          <w:szCs w:val="18"/>
          <w:lang w:val="en-GB"/>
        </w:rPr>
        <w:t>, 493–497</w:t>
      </w:r>
      <w:r w:rsidRPr="00463181">
        <w:rPr>
          <w:color w:val="auto"/>
          <w:sz w:val="18"/>
          <w:szCs w:val="18"/>
          <w:lang w:val="en-GB"/>
        </w:rPr>
        <w:t>, doi:</w:t>
      </w:r>
      <w:r w:rsidRPr="00463181">
        <w:rPr>
          <w:iCs/>
          <w:color w:val="auto"/>
          <w:sz w:val="18"/>
          <w:szCs w:val="18"/>
          <w:lang w:val="en-GB"/>
        </w:rPr>
        <w:t>10.1016/j.pmrj.2013.12.008.2014.</w:t>
      </w:r>
    </w:p>
    <w:p w14:paraId="27D636A9"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Edelstein, D.M.; Aharanoff, G.B.; Karp, A.; Capla, E.L.; Zuckerman, J.D.; Koval, K.J. Effect of postoperative delirium on outcome after hip fracture. </w:t>
      </w:r>
      <w:r w:rsidRPr="00463181">
        <w:rPr>
          <w:i/>
          <w:color w:val="auto"/>
          <w:sz w:val="18"/>
          <w:szCs w:val="18"/>
          <w:lang w:val="en-GB"/>
        </w:rPr>
        <w:t xml:space="preserve">Clin. Orthop. Relat. Res. </w:t>
      </w:r>
      <w:r w:rsidRPr="00463181">
        <w:rPr>
          <w:b/>
          <w:bCs/>
          <w:color w:val="auto"/>
          <w:sz w:val="18"/>
          <w:szCs w:val="18"/>
          <w:lang w:val="en-GB"/>
        </w:rPr>
        <w:t>2004</w:t>
      </w:r>
      <w:r w:rsidRPr="00463181">
        <w:rPr>
          <w:bCs/>
          <w:color w:val="auto"/>
          <w:sz w:val="18"/>
          <w:szCs w:val="18"/>
          <w:lang w:val="en-GB"/>
        </w:rPr>
        <w:t xml:space="preserve">, </w:t>
      </w:r>
      <w:r w:rsidRPr="00463181">
        <w:rPr>
          <w:bCs/>
          <w:i/>
          <w:color w:val="auto"/>
          <w:sz w:val="18"/>
          <w:szCs w:val="18"/>
          <w:lang w:val="en-GB"/>
        </w:rPr>
        <w:t>422</w:t>
      </w:r>
      <w:r w:rsidRPr="00463181">
        <w:rPr>
          <w:bCs/>
          <w:color w:val="auto"/>
          <w:sz w:val="18"/>
          <w:szCs w:val="18"/>
          <w:lang w:val="en-GB"/>
        </w:rPr>
        <w:t>, 195–200</w:t>
      </w:r>
      <w:r w:rsidRPr="00463181">
        <w:rPr>
          <w:color w:val="auto"/>
          <w:sz w:val="18"/>
          <w:szCs w:val="18"/>
          <w:lang w:val="en-GB"/>
        </w:rPr>
        <w:t>.</w:t>
      </w:r>
    </w:p>
    <w:p w14:paraId="5FFBA6AB"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Everink, I.H.J.; van Haastregt, J.C.M.; van Hoof, S.J.M.; Schols, J.M.G.A.; Kempen, G.I.J.M. Factors influencing home discharge after inpatient rehabilitation of older patients: A systematic review. </w:t>
      </w:r>
      <w:r w:rsidRPr="00463181">
        <w:rPr>
          <w:i/>
          <w:color w:val="auto"/>
          <w:sz w:val="18"/>
          <w:szCs w:val="18"/>
          <w:lang w:val="en-GB"/>
        </w:rPr>
        <w:t>BMC Geriatr.</w:t>
      </w:r>
      <w:r w:rsidRPr="00463181">
        <w:rPr>
          <w:color w:val="auto"/>
          <w:sz w:val="18"/>
          <w:szCs w:val="18"/>
          <w:lang w:val="en-GB"/>
        </w:rPr>
        <w:t xml:space="preserve"> </w:t>
      </w:r>
      <w:r w:rsidRPr="00463181">
        <w:rPr>
          <w:b/>
          <w:bCs/>
          <w:color w:val="auto"/>
          <w:sz w:val="18"/>
          <w:szCs w:val="18"/>
          <w:lang w:val="en-GB"/>
        </w:rPr>
        <w:t>2016</w:t>
      </w:r>
      <w:r w:rsidRPr="00463181">
        <w:rPr>
          <w:bCs/>
          <w:color w:val="auto"/>
          <w:sz w:val="18"/>
          <w:szCs w:val="18"/>
          <w:lang w:val="en-GB"/>
        </w:rPr>
        <w:t xml:space="preserve">, </w:t>
      </w:r>
      <w:r w:rsidRPr="00463181">
        <w:rPr>
          <w:bCs/>
          <w:i/>
          <w:color w:val="auto"/>
          <w:sz w:val="18"/>
          <w:szCs w:val="18"/>
          <w:lang w:val="en-GB"/>
        </w:rPr>
        <w:t>16</w:t>
      </w:r>
      <w:r w:rsidRPr="00463181">
        <w:rPr>
          <w:bCs/>
          <w:color w:val="auto"/>
          <w:sz w:val="18"/>
          <w:szCs w:val="18"/>
          <w:lang w:val="en-GB"/>
        </w:rPr>
        <w:t>, 5</w:t>
      </w:r>
      <w:r w:rsidRPr="00463181">
        <w:rPr>
          <w:color w:val="auto"/>
          <w:sz w:val="18"/>
          <w:szCs w:val="18"/>
          <w:lang w:val="en-GB"/>
        </w:rPr>
        <w:t>.</w:t>
      </w:r>
    </w:p>
    <w:p w14:paraId="5435CD94"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Tan, Y.-L.; Saw, H.-M. Hip fractures: A review of predictors affecting FIM, ambulation &amp; rehabilitation length of stay during inpatient rehabilitation at Singapore General Hospital. </w:t>
      </w:r>
      <w:r w:rsidRPr="00463181">
        <w:rPr>
          <w:i/>
          <w:color w:val="auto"/>
          <w:sz w:val="18"/>
          <w:szCs w:val="18"/>
          <w:lang w:val="en-GB"/>
        </w:rPr>
        <w:t>Proc. Singap. Healthc.</w:t>
      </w:r>
      <w:r w:rsidRPr="00463181">
        <w:rPr>
          <w:color w:val="auto"/>
          <w:sz w:val="18"/>
          <w:szCs w:val="18"/>
          <w:lang w:val="en-GB"/>
        </w:rPr>
        <w:t xml:space="preserve"> </w:t>
      </w:r>
      <w:r w:rsidRPr="00463181">
        <w:rPr>
          <w:b/>
          <w:color w:val="auto"/>
          <w:sz w:val="18"/>
          <w:szCs w:val="18"/>
          <w:lang w:val="en-GB"/>
        </w:rPr>
        <w:t>2016</w:t>
      </w:r>
      <w:r w:rsidRPr="00463181">
        <w:rPr>
          <w:color w:val="auto"/>
          <w:sz w:val="18"/>
          <w:szCs w:val="18"/>
          <w:lang w:val="en-GB"/>
        </w:rPr>
        <w:t xml:space="preserve">, </w:t>
      </w:r>
      <w:r w:rsidRPr="00463181">
        <w:rPr>
          <w:i/>
          <w:color w:val="auto"/>
          <w:sz w:val="18"/>
          <w:szCs w:val="18"/>
          <w:lang w:val="en-GB"/>
        </w:rPr>
        <w:t>25</w:t>
      </w:r>
      <w:r w:rsidRPr="00463181">
        <w:rPr>
          <w:color w:val="auto"/>
          <w:sz w:val="18"/>
          <w:szCs w:val="18"/>
          <w:lang w:val="en-GB"/>
        </w:rPr>
        <w:t>, 13–18.</w:t>
      </w:r>
    </w:p>
    <w:p w14:paraId="2F1C9057"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Kolt, G.S.; McEvoy, J.F. Adherence to rehabilitation in patients with low back pain. </w:t>
      </w:r>
      <w:r w:rsidRPr="00463181">
        <w:rPr>
          <w:i/>
          <w:color w:val="auto"/>
          <w:sz w:val="18"/>
          <w:szCs w:val="18"/>
          <w:lang w:val="en-GB"/>
        </w:rPr>
        <w:t xml:space="preserve">Man. Ther. </w:t>
      </w:r>
      <w:r w:rsidRPr="00463181">
        <w:rPr>
          <w:b/>
          <w:bCs/>
          <w:color w:val="auto"/>
          <w:sz w:val="18"/>
          <w:szCs w:val="18"/>
          <w:lang w:val="en-GB"/>
        </w:rPr>
        <w:t>2003</w:t>
      </w:r>
      <w:r w:rsidRPr="00463181">
        <w:rPr>
          <w:bCs/>
          <w:color w:val="auto"/>
          <w:sz w:val="18"/>
          <w:szCs w:val="18"/>
          <w:lang w:val="en-GB"/>
        </w:rPr>
        <w:t xml:space="preserve">, </w:t>
      </w:r>
      <w:r w:rsidRPr="00463181">
        <w:rPr>
          <w:bCs/>
          <w:i/>
          <w:color w:val="auto"/>
          <w:sz w:val="18"/>
          <w:szCs w:val="18"/>
          <w:lang w:val="en-GB"/>
        </w:rPr>
        <w:t>8</w:t>
      </w:r>
      <w:r w:rsidRPr="00463181">
        <w:rPr>
          <w:bCs/>
          <w:color w:val="auto"/>
          <w:sz w:val="18"/>
          <w:szCs w:val="18"/>
          <w:lang w:val="en-GB"/>
        </w:rPr>
        <w:t>, 110–116</w:t>
      </w:r>
      <w:r w:rsidRPr="00463181">
        <w:rPr>
          <w:color w:val="auto"/>
          <w:sz w:val="18"/>
          <w:szCs w:val="18"/>
          <w:lang w:val="en-GB"/>
        </w:rPr>
        <w:t>.</w:t>
      </w:r>
    </w:p>
    <w:p w14:paraId="75DA30D2"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iCs/>
          <w:color w:val="auto"/>
          <w:sz w:val="18"/>
          <w:szCs w:val="18"/>
          <w:lang w:val="en-GB"/>
        </w:rPr>
        <w:t xml:space="preserve">Quah, C.; Boulton, C.; Moran, C. </w:t>
      </w:r>
      <w:r w:rsidRPr="00463181">
        <w:rPr>
          <w:color w:val="auto"/>
          <w:sz w:val="18"/>
          <w:szCs w:val="18"/>
          <w:lang w:val="en-GB"/>
        </w:rPr>
        <w:t xml:space="preserve">The influence of socioeconomic status on the incidence, outcome and mortality of fractures of the hip. </w:t>
      </w:r>
      <w:r w:rsidRPr="00463181">
        <w:rPr>
          <w:i/>
          <w:iCs/>
          <w:color w:val="auto"/>
          <w:sz w:val="18"/>
          <w:szCs w:val="18"/>
          <w:lang w:val="en-GB"/>
        </w:rPr>
        <w:t>J. Bone Joint Surg.</w:t>
      </w:r>
      <w:r w:rsidRPr="00463181">
        <w:rPr>
          <w:color w:val="auto"/>
          <w:sz w:val="18"/>
          <w:szCs w:val="18"/>
          <w:lang w:val="en-GB"/>
        </w:rPr>
        <w:t xml:space="preserve"> </w:t>
      </w:r>
      <w:r w:rsidRPr="00463181">
        <w:rPr>
          <w:b/>
          <w:bCs/>
          <w:iCs/>
          <w:color w:val="auto"/>
          <w:sz w:val="18"/>
          <w:szCs w:val="18"/>
          <w:lang w:val="en-GB"/>
        </w:rPr>
        <w:t>2011</w:t>
      </w:r>
      <w:r w:rsidRPr="00463181">
        <w:rPr>
          <w:color w:val="auto"/>
          <w:sz w:val="18"/>
          <w:szCs w:val="18"/>
          <w:lang w:val="en-GB"/>
        </w:rPr>
        <w:t xml:space="preserve">, </w:t>
      </w:r>
      <w:r w:rsidRPr="00463181">
        <w:rPr>
          <w:i/>
          <w:iCs/>
          <w:color w:val="auto"/>
          <w:sz w:val="18"/>
          <w:szCs w:val="18"/>
          <w:lang w:val="en-GB"/>
        </w:rPr>
        <w:t>93-B</w:t>
      </w:r>
      <w:r w:rsidRPr="00463181">
        <w:rPr>
          <w:color w:val="auto"/>
          <w:sz w:val="18"/>
          <w:szCs w:val="18"/>
          <w:lang w:val="en-GB"/>
        </w:rPr>
        <w:t>, 801–805.</w:t>
      </w:r>
    </w:p>
    <w:p w14:paraId="4E8FD29D"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Royal College of Physicians. </w:t>
      </w:r>
      <w:r w:rsidRPr="00463181">
        <w:rPr>
          <w:i/>
          <w:color w:val="auto"/>
          <w:sz w:val="18"/>
          <w:szCs w:val="18"/>
          <w:lang w:val="en-GB"/>
        </w:rPr>
        <w:t>Recovering After a Hip Fracture: Helping People Understand Physiotherapy in the NHS</w:t>
      </w:r>
      <w:r w:rsidRPr="00463181">
        <w:rPr>
          <w:iCs/>
          <w:color w:val="auto"/>
          <w:sz w:val="18"/>
          <w:szCs w:val="18"/>
          <w:lang w:val="en-GB"/>
        </w:rPr>
        <w:t>;</w:t>
      </w:r>
      <w:r w:rsidRPr="00463181">
        <w:rPr>
          <w:i/>
          <w:color w:val="auto"/>
          <w:sz w:val="18"/>
          <w:szCs w:val="18"/>
          <w:lang w:val="en-GB"/>
        </w:rPr>
        <w:t xml:space="preserve"> </w:t>
      </w:r>
      <w:r w:rsidRPr="00463181">
        <w:rPr>
          <w:color w:val="auto"/>
          <w:sz w:val="18"/>
          <w:szCs w:val="18"/>
          <w:lang w:val="en-GB"/>
        </w:rPr>
        <w:t>Physiotherapy ‘Hip Sprint’ Audit Report 2017; RCP: London, UK, 2018. Available online: https://www.fffap.org.uk/FFFAP/landing.nsf/phfsa.html (accessed on 20 July 2019).</w:t>
      </w:r>
    </w:p>
    <w:p w14:paraId="7E8FA148"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Amundson, J.; Brunner, A.; Huffman, S. FIM scores as an indicator of length of stay and discharge destimation in CVA patients: A retroactive outcomes study. 2004. Available online: https://www.semanticscholar.org/paper/FIM-Scores-as-an-Indicator-of-Length-of-Stay-and-in-Amundson-Brunner/3e8048bc33e1dd94e4beeacd56b7a08ae3072650 (accessed on 18 May 2018).</w:t>
      </w:r>
    </w:p>
    <w:p w14:paraId="672B3599"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Auais, M.A.; Eilayyan, O.; Mayo, N.E. Extended exercise rehabilitation after hip fracture improves patients’ physical function: A systematic review and meta-analysis. </w:t>
      </w:r>
      <w:r w:rsidRPr="00463181">
        <w:rPr>
          <w:i/>
          <w:color w:val="auto"/>
          <w:sz w:val="18"/>
          <w:szCs w:val="18"/>
          <w:lang w:val="en-GB"/>
        </w:rPr>
        <w:t xml:space="preserve">Phys. Ther. </w:t>
      </w:r>
      <w:r w:rsidRPr="00463181">
        <w:rPr>
          <w:b/>
          <w:color w:val="auto"/>
          <w:sz w:val="18"/>
          <w:szCs w:val="18"/>
          <w:lang w:val="en-GB"/>
        </w:rPr>
        <w:t>2012</w:t>
      </w:r>
      <w:r w:rsidRPr="00463181">
        <w:rPr>
          <w:color w:val="auto"/>
          <w:sz w:val="18"/>
          <w:szCs w:val="18"/>
          <w:lang w:val="en-GB"/>
        </w:rPr>
        <w:t xml:space="preserve">, </w:t>
      </w:r>
      <w:r w:rsidRPr="00463181">
        <w:rPr>
          <w:i/>
          <w:color w:val="auto"/>
          <w:sz w:val="18"/>
          <w:szCs w:val="18"/>
          <w:lang w:val="en-GB"/>
        </w:rPr>
        <w:t>92</w:t>
      </w:r>
      <w:r w:rsidRPr="00463181">
        <w:rPr>
          <w:color w:val="auto"/>
          <w:sz w:val="18"/>
          <w:szCs w:val="18"/>
          <w:lang w:val="en-GB"/>
        </w:rPr>
        <w:t>, 1437–1451.</w:t>
      </w:r>
    </w:p>
    <w:p w14:paraId="7FB424E4"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McGilton, K.S.; Mahomed, N.; Davis, A.M.; Flannery, J.; Calabrese, S. Outcomes for older adults in an inpatient rehabilitation facility following hip fracture surgery. </w:t>
      </w:r>
      <w:r w:rsidRPr="00463181">
        <w:rPr>
          <w:i/>
          <w:iCs/>
          <w:color w:val="auto"/>
          <w:sz w:val="18"/>
          <w:szCs w:val="18"/>
          <w:lang w:val="en-GB"/>
        </w:rPr>
        <w:t>Arch. Gerontol. Geriatr.</w:t>
      </w:r>
      <w:r w:rsidRPr="00463181">
        <w:rPr>
          <w:color w:val="auto"/>
          <w:sz w:val="18"/>
          <w:szCs w:val="18"/>
          <w:lang w:val="en-GB"/>
        </w:rPr>
        <w:t xml:space="preserve"> 2009, 49, e23–31, doi:10.1016/j.archger.2008.07.012.</w:t>
      </w:r>
    </w:p>
    <w:p w14:paraId="3CF837C3"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Kiely, D.K.; Bergmann, M.A.; Jones, R.N.; Murphy, K.M.; Orav, E.J.; Marcantonio, E.R. Characteristics associated with delirium persistence among newly admitted post-acute facility patients. </w:t>
      </w:r>
      <w:r w:rsidRPr="00463181">
        <w:rPr>
          <w:i/>
          <w:color w:val="auto"/>
          <w:sz w:val="18"/>
          <w:szCs w:val="18"/>
          <w:lang w:val="en-GB"/>
        </w:rPr>
        <w:t xml:space="preserve">J. Gerentol. Biol. Sci. Med. Sci. </w:t>
      </w:r>
      <w:r w:rsidRPr="00463181">
        <w:rPr>
          <w:b/>
          <w:color w:val="auto"/>
          <w:sz w:val="18"/>
          <w:szCs w:val="18"/>
          <w:lang w:val="en-GB"/>
        </w:rPr>
        <w:t>2004</w:t>
      </w:r>
      <w:r w:rsidRPr="00463181">
        <w:rPr>
          <w:color w:val="auto"/>
          <w:sz w:val="18"/>
          <w:szCs w:val="18"/>
          <w:lang w:val="en-GB"/>
        </w:rPr>
        <w:t xml:space="preserve">, </w:t>
      </w:r>
      <w:r w:rsidRPr="00463181">
        <w:rPr>
          <w:i/>
          <w:color w:val="auto"/>
          <w:sz w:val="18"/>
          <w:szCs w:val="18"/>
          <w:lang w:val="en-GB"/>
        </w:rPr>
        <w:t>59</w:t>
      </w:r>
      <w:r w:rsidRPr="00463181">
        <w:rPr>
          <w:color w:val="auto"/>
          <w:sz w:val="18"/>
          <w:szCs w:val="18"/>
          <w:lang w:val="en-GB"/>
        </w:rPr>
        <w:t>, 344–349.</w:t>
      </w:r>
    </w:p>
    <w:p w14:paraId="19801446"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Ringdal, G.I.; Ringdal, K.; Juliebo, V.; Wyller, T.B.; Hjermstad, M.J.; Loge, J.H. Using the mini- mental state examination to screen for delirium in elderly patients with hip fracture. </w:t>
      </w:r>
      <w:r w:rsidRPr="00463181">
        <w:rPr>
          <w:i/>
          <w:color w:val="auto"/>
          <w:sz w:val="18"/>
          <w:szCs w:val="18"/>
          <w:lang w:val="en-GB"/>
        </w:rPr>
        <w:t xml:space="preserve">Dement. Geriatr. Cogn. Disord. </w:t>
      </w:r>
      <w:r w:rsidRPr="00463181">
        <w:rPr>
          <w:b/>
          <w:color w:val="auto"/>
          <w:sz w:val="18"/>
          <w:szCs w:val="18"/>
          <w:lang w:val="en-GB"/>
        </w:rPr>
        <w:t>2011</w:t>
      </w:r>
      <w:r w:rsidRPr="00463181">
        <w:rPr>
          <w:color w:val="auto"/>
          <w:sz w:val="18"/>
          <w:szCs w:val="18"/>
          <w:lang w:val="en-GB"/>
        </w:rPr>
        <w:t xml:space="preserve">, </w:t>
      </w:r>
      <w:r w:rsidRPr="00463181">
        <w:rPr>
          <w:i/>
          <w:color w:val="auto"/>
          <w:sz w:val="18"/>
          <w:szCs w:val="18"/>
          <w:lang w:val="en-GB"/>
        </w:rPr>
        <w:t>32</w:t>
      </w:r>
      <w:r w:rsidRPr="00463181">
        <w:rPr>
          <w:color w:val="auto"/>
          <w:sz w:val="18"/>
          <w:szCs w:val="18"/>
          <w:lang w:val="en-GB"/>
        </w:rPr>
        <w:t>, 394–400.</w:t>
      </w:r>
    </w:p>
    <w:p w14:paraId="61969280"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Bellilli, G.; Morandi, A.; Davis, D.H.J.; Mazzola, P.; Turco, R.; Gentile, S.; Ryan, T.; Cash, H.; Guerini, F.; Torpilliesi, T.; et al. Validation of the 4AT, a new instrument for rapid delirium screening: A study in 234 hospitalised older people. </w:t>
      </w:r>
      <w:r w:rsidRPr="00463181">
        <w:rPr>
          <w:i/>
          <w:color w:val="auto"/>
          <w:sz w:val="18"/>
          <w:szCs w:val="18"/>
          <w:lang w:val="en-GB"/>
        </w:rPr>
        <w:t xml:space="preserve">Age Ageing </w:t>
      </w:r>
      <w:r w:rsidRPr="00463181">
        <w:rPr>
          <w:b/>
          <w:bCs/>
          <w:color w:val="auto"/>
          <w:sz w:val="18"/>
          <w:szCs w:val="18"/>
          <w:lang w:val="en-GB"/>
        </w:rPr>
        <w:t>2014</w:t>
      </w:r>
      <w:r w:rsidRPr="00463181">
        <w:rPr>
          <w:bCs/>
          <w:color w:val="auto"/>
          <w:sz w:val="18"/>
          <w:szCs w:val="18"/>
          <w:lang w:val="en-GB"/>
        </w:rPr>
        <w:t xml:space="preserve">, </w:t>
      </w:r>
      <w:r w:rsidRPr="00463181">
        <w:rPr>
          <w:bCs/>
          <w:i/>
          <w:color w:val="auto"/>
          <w:sz w:val="18"/>
          <w:szCs w:val="18"/>
          <w:lang w:val="en-GB"/>
        </w:rPr>
        <w:t>43</w:t>
      </w:r>
      <w:r w:rsidRPr="00463181">
        <w:rPr>
          <w:bCs/>
          <w:color w:val="auto"/>
          <w:sz w:val="18"/>
          <w:szCs w:val="18"/>
          <w:lang w:val="en-GB"/>
        </w:rPr>
        <w:t>, 496–502</w:t>
      </w:r>
      <w:r w:rsidRPr="00463181">
        <w:rPr>
          <w:color w:val="auto"/>
          <w:sz w:val="18"/>
          <w:szCs w:val="18"/>
          <w:lang w:val="en-GB"/>
        </w:rPr>
        <w:t>.</w:t>
      </w:r>
    </w:p>
    <w:p w14:paraId="687F26DE"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MacLullich, A.M.J. </w:t>
      </w:r>
      <w:r w:rsidRPr="00463181">
        <w:rPr>
          <w:i/>
          <w:color w:val="auto"/>
          <w:sz w:val="18"/>
          <w:szCs w:val="18"/>
          <w:lang w:val="en-GB"/>
        </w:rPr>
        <w:t xml:space="preserve">4AT Rapid Clinical Test for Delirium. </w:t>
      </w:r>
      <w:r w:rsidRPr="00463181">
        <w:rPr>
          <w:color w:val="auto"/>
          <w:sz w:val="18"/>
          <w:szCs w:val="18"/>
          <w:lang w:val="en-GB"/>
        </w:rPr>
        <w:t>2011. Available online: https://www.the4at.com/authors (accessed on 16 August 2019).</w:t>
      </w:r>
    </w:p>
    <w:p w14:paraId="710301D7" w14:textId="77777777"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lastRenderedPageBreak/>
        <w:t xml:space="preserve">Harrell, M.C.; Bradley, M.A. </w:t>
      </w:r>
      <w:r w:rsidRPr="00463181">
        <w:rPr>
          <w:i/>
          <w:color w:val="auto"/>
          <w:sz w:val="18"/>
          <w:szCs w:val="18"/>
          <w:lang w:val="en-GB"/>
        </w:rPr>
        <w:t>Data collection Methods: Semi-Structured Interviews and Focus Groups</w:t>
      </w:r>
      <w:r w:rsidRPr="00463181">
        <w:rPr>
          <w:iCs/>
          <w:color w:val="auto"/>
          <w:sz w:val="18"/>
          <w:szCs w:val="18"/>
          <w:lang w:val="en-GB"/>
        </w:rPr>
        <w:t xml:space="preserve">; </w:t>
      </w:r>
      <w:r w:rsidRPr="00463181">
        <w:rPr>
          <w:color w:val="auto"/>
          <w:sz w:val="18"/>
          <w:szCs w:val="18"/>
          <w:lang w:val="en-GB"/>
        </w:rPr>
        <w:t xml:space="preserve">RAND Corporation: </w:t>
      </w:r>
      <w:r w:rsidRPr="00463181">
        <w:rPr>
          <w:iCs/>
          <w:color w:val="auto"/>
          <w:sz w:val="18"/>
          <w:szCs w:val="18"/>
          <w:lang w:val="en-GB"/>
        </w:rPr>
        <w:t>Santa</w:t>
      </w:r>
      <w:r w:rsidRPr="00463181">
        <w:rPr>
          <w:color w:val="auto"/>
          <w:sz w:val="18"/>
          <w:szCs w:val="18"/>
          <w:lang w:val="en-GB"/>
        </w:rPr>
        <w:t xml:space="preserve"> Monica, CA, USA, 2009. Available online: https://www.rand.org/pubs/technical_reports/TR718.html (accessed on 16 August 2019).</w:t>
      </w:r>
    </w:p>
    <w:p w14:paraId="1B6A843A" w14:textId="49293316" w:rsidR="00691D4E" w:rsidRPr="00463181" w:rsidRDefault="00691D4E" w:rsidP="00691D4E">
      <w:pPr>
        <w:pStyle w:val="4textlist"/>
        <w:adjustRightInd w:val="0"/>
        <w:snapToGrid w:val="0"/>
        <w:spacing w:line="228" w:lineRule="auto"/>
        <w:ind w:left="425" w:hanging="425"/>
        <w:rPr>
          <w:color w:val="auto"/>
          <w:sz w:val="18"/>
          <w:szCs w:val="18"/>
          <w:lang w:val="en-GB"/>
        </w:rPr>
      </w:pPr>
      <w:r w:rsidRPr="00463181">
        <w:rPr>
          <w:color w:val="auto"/>
          <w:sz w:val="18"/>
          <w:szCs w:val="18"/>
          <w:lang w:val="en-GB"/>
        </w:rPr>
        <w:t xml:space="preserve">Sajobi, T.; Lu, M.; Jiang J.; Quan, H. Improving the accuracy of length of stay risk adjustment models using linked data. </w:t>
      </w:r>
      <w:r w:rsidR="000B6E60" w:rsidRPr="00463181">
        <w:rPr>
          <w:i/>
          <w:iCs/>
          <w:color w:val="auto"/>
          <w:sz w:val="18"/>
          <w:szCs w:val="18"/>
          <w:lang w:val="en-GB"/>
        </w:rPr>
        <w:t>International Journal of Population Data Science</w:t>
      </w:r>
      <w:r w:rsidRPr="00463181">
        <w:rPr>
          <w:color w:val="auto"/>
          <w:sz w:val="18"/>
          <w:szCs w:val="18"/>
          <w:lang w:val="en-GB"/>
        </w:rPr>
        <w:t xml:space="preserve">, </w:t>
      </w:r>
      <w:r w:rsidRPr="00463181">
        <w:rPr>
          <w:b/>
          <w:bCs/>
          <w:color w:val="auto"/>
          <w:sz w:val="18"/>
          <w:szCs w:val="18"/>
          <w:lang w:val="en-GB"/>
        </w:rPr>
        <w:t>2017</w:t>
      </w:r>
      <w:r w:rsidR="000B6E60" w:rsidRPr="00463181">
        <w:rPr>
          <w:color w:val="auto"/>
          <w:sz w:val="18"/>
          <w:szCs w:val="18"/>
          <w:lang w:val="en-GB"/>
        </w:rPr>
        <w:t>, 1:360</w:t>
      </w:r>
      <w:r w:rsidRPr="00463181">
        <w:rPr>
          <w:color w:val="auto"/>
          <w:sz w:val="18"/>
          <w:szCs w:val="18"/>
          <w:lang w:val="en-GB"/>
        </w:rPr>
        <w:t>. Available online: https://ijpds.org/article/view/382/363 (accessed on 5 July 2019).</w:t>
      </w:r>
    </w:p>
    <w:p w14:paraId="54B03D5C" w14:textId="77777777" w:rsidR="005C4D87" w:rsidRPr="00463181" w:rsidRDefault="005C4D87" w:rsidP="008F5B30">
      <w:pPr>
        <w:rPr>
          <w:color w:val="auto"/>
          <w:lang w:val="en-GB"/>
        </w:rPr>
      </w:pPr>
    </w:p>
    <w:sectPr w:rsidR="005C4D87" w:rsidRPr="00463181" w:rsidSect="00056784">
      <w:headerReference w:type="even" r:id="rId11"/>
      <w:headerReference w:type="default" r:id="rId12"/>
      <w:headerReference w:type="first" r:id="rId13"/>
      <w:footerReference w:type="first" r:id="rId14"/>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D961" w14:textId="77777777" w:rsidR="0002675F" w:rsidRDefault="0002675F">
      <w:pPr>
        <w:spacing w:line="240" w:lineRule="auto"/>
      </w:pPr>
      <w:r>
        <w:separator/>
      </w:r>
    </w:p>
  </w:endnote>
  <w:endnote w:type="continuationSeparator" w:id="0">
    <w:p w14:paraId="12F0DE48" w14:textId="77777777" w:rsidR="0002675F" w:rsidRDefault="00026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E37E" w14:textId="77777777" w:rsidR="005341E6" w:rsidRDefault="005341E6" w:rsidP="00021CB4">
    <w:pPr>
      <w:pBdr>
        <w:top w:val="single" w:sz="4" w:space="0" w:color="000000"/>
      </w:pBdr>
      <w:tabs>
        <w:tab w:val="right" w:pos="8844"/>
      </w:tabs>
      <w:adjustRightInd w:val="0"/>
      <w:snapToGrid w:val="0"/>
      <w:spacing w:before="480" w:line="100" w:lineRule="exact"/>
      <w:jc w:val="left"/>
      <w:rPr>
        <w:i/>
        <w:sz w:val="16"/>
        <w:szCs w:val="16"/>
      </w:rPr>
    </w:pPr>
  </w:p>
  <w:p w14:paraId="02924F04" w14:textId="77777777" w:rsidR="005341E6" w:rsidRPr="00372FCD" w:rsidRDefault="005341E6" w:rsidP="00CD6F7B">
    <w:pPr>
      <w:tabs>
        <w:tab w:val="right" w:pos="10466"/>
      </w:tabs>
      <w:adjustRightInd w:val="0"/>
      <w:snapToGrid w:val="0"/>
      <w:spacing w:line="240" w:lineRule="auto"/>
      <w:rPr>
        <w:sz w:val="16"/>
        <w:szCs w:val="16"/>
        <w:lang w:val="fr-CH"/>
      </w:rPr>
    </w:pPr>
    <w:r w:rsidRPr="00B65510">
      <w:rPr>
        <w:i/>
        <w:sz w:val="16"/>
        <w:szCs w:val="16"/>
      </w:rPr>
      <w:t>Geriatrics</w:t>
    </w:r>
    <w:r w:rsidRPr="00B65510">
      <w:rPr>
        <w:iCs/>
        <w:sz w:val="16"/>
        <w:szCs w:val="16"/>
      </w:rPr>
      <w:t xml:space="preserve"> </w:t>
    </w:r>
    <w:r>
      <w:rPr>
        <w:b/>
        <w:bCs/>
        <w:iCs/>
        <w:sz w:val="16"/>
        <w:szCs w:val="16"/>
      </w:rPr>
      <w:t>2022</w:t>
    </w:r>
    <w:r w:rsidRPr="003E7996">
      <w:rPr>
        <w:bCs/>
        <w:iCs/>
        <w:sz w:val="16"/>
        <w:szCs w:val="16"/>
      </w:rPr>
      <w:t>,</w:t>
    </w:r>
    <w:r>
      <w:rPr>
        <w:bCs/>
        <w:i/>
        <w:iCs/>
        <w:sz w:val="16"/>
        <w:szCs w:val="16"/>
      </w:rPr>
      <w:t xml:space="preserve"> 7</w:t>
    </w:r>
    <w:r w:rsidRPr="003E7996">
      <w:rPr>
        <w:bCs/>
        <w:iCs/>
        <w:sz w:val="16"/>
        <w:szCs w:val="16"/>
      </w:rPr>
      <w:t xml:space="preserve">, </w:t>
    </w:r>
    <w:r>
      <w:rPr>
        <w:bCs/>
        <w:iCs/>
        <w:sz w:val="16"/>
        <w:szCs w:val="16"/>
      </w:rPr>
      <w:t>x. https://doi.org/10.3390/xxxxx</w:t>
    </w:r>
    <w:r w:rsidRPr="00372FCD">
      <w:rPr>
        <w:sz w:val="16"/>
        <w:szCs w:val="16"/>
        <w:lang w:val="fr-CH"/>
      </w:rPr>
      <w:tab/>
      <w:t>www.mdpi.com/journal/</w:t>
    </w:r>
    <w:r>
      <w:rPr>
        <w:sz w:val="16"/>
        <w:szCs w:val="16"/>
      </w:rPr>
      <w:t>g</w:t>
    </w:r>
    <w:r w:rsidRPr="00372FCD">
      <w:rPr>
        <w:sz w:val="16"/>
        <w:szCs w:val="16"/>
      </w:rPr>
      <w:t>eriatrics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2ED1" w14:textId="77777777" w:rsidR="0002675F" w:rsidRDefault="0002675F">
      <w:pPr>
        <w:spacing w:line="240" w:lineRule="auto"/>
      </w:pPr>
      <w:r>
        <w:separator/>
      </w:r>
    </w:p>
  </w:footnote>
  <w:footnote w:type="continuationSeparator" w:id="0">
    <w:p w14:paraId="57348E5A" w14:textId="77777777" w:rsidR="0002675F" w:rsidRDefault="00026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8D23" w14:textId="77777777" w:rsidR="005341E6" w:rsidRDefault="005341E6" w:rsidP="003E093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0ADB" w14:textId="77777777" w:rsidR="005341E6" w:rsidRDefault="005341E6" w:rsidP="00CD6F7B">
    <w:pPr>
      <w:tabs>
        <w:tab w:val="right" w:pos="10466"/>
      </w:tabs>
      <w:adjustRightInd w:val="0"/>
      <w:snapToGrid w:val="0"/>
      <w:spacing w:line="240" w:lineRule="auto"/>
      <w:rPr>
        <w:sz w:val="16"/>
      </w:rPr>
    </w:pPr>
    <w:r>
      <w:rPr>
        <w:i/>
        <w:sz w:val="16"/>
      </w:rPr>
      <w:t xml:space="preserve">Geriatrics </w:t>
    </w:r>
    <w:r>
      <w:rPr>
        <w:b/>
        <w:sz w:val="16"/>
      </w:rPr>
      <w:t>2022</w:t>
    </w:r>
    <w:r w:rsidRPr="003E7996">
      <w:rPr>
        <w:sz w:val="16"/>
      </w:rPr>
      <w:t>,</w:t>
    </w:r>
    <w:r>
      <w:rPr>
        <w:i/>
        <w:sz w:val="16"/>
      </w:rPr>
      <w:t xml:space="preserve"> 7</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7D7C5C4E" w14:textId="77777777" w:rsidR="005341E6" w:rsidRPr="00976A90" w:rsidRDefault="005341E6" w:rsidP="00021CB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5341E6" w:rsidRPr="00CD6F7B" w14:paraId="1E64D705" w14:textId="77777777" w:rsidTr="00D30DC0">
      <w:trPr>
        <w:trHeight w:val="686"/>
      </w:trPr>
      <w:tc>
        <w:tcPr>
          <w:tcW w:w="3679" w:type="dxa"/>
          <w:shd w:val="clear" w:color="auto" w:fill="auto"/>
          <w:vAlign w:val="center"/>
        </w:tcPr>
        <w:p w14:paraId="1767F048" w14:textId="77777777" w:rsidR="005341E6" w:rsidRPr="00BB7D5A" w:rsidRDefault="005341E6" w:rsidP="00CD6F7B">
          <w:pPr>
            <w:pStyle w:val="Header"/>
            <w:pBdr>
              <w:bottom w:val="none" w:sz="0" w:space="0" w:color="auto"/>
            </w:pBdr>
            <w:jc w:val="left"/>
            <w:rPr>
              <w:rFonts w:eastAsia="DengXian"/>
              <w:b/>
              <w:bCs/>
            </w:rPr>
          </w:pPr>
          <w:r w:rsidRPr="00BB7D5A">
            <w:rPr>
              <w:rFonts w:eastAsia="DengXian"/>
              <w:b/>
              <w:bCs/>
            </w:rPr>
            <w:drawing>
              <wp:inline distT="0" distB="0" distL="0" distR="0" wp14:anchorId="1928E36E" wp14:editId="50A9A1B7">
                <wp:extent cx="1683385" cy="436245"/>
                <wp:effectExtent l="0" t="0" r="0" b="0"/>
                <wp:docPr id="1" name="Picture 5" descr="C:\Users\home\AppData\Local\Temp\HZ$D.082.3316\geriatri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Temp\HZ$D.082.3316\geriatric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436245"/>
                        </a:xfrm>
                        <a:prstGeom prst="rect">
                          <a:avLst/>
                        </a:prstGeom>
                        <a:noFill/>
                        <a:ln>
                          <a:noFill/>
                        </a:ln>
                      </pic:spPr>
                    </pic:pic>
                  </a:graphicData>
                </a:graphic>
              </wp:inline>
            </w:drawing>
          </w:r>
        </w:p>
      </w:tc>
      <w:tc>
        <w:tcPr>
          <w:tcW w:w="4535" w:type="dxa"/>
          <w:shd w:val="clear" w:color="auto" w:fill="auto"/>
          <w:vAlign w:val="center"/>
        </w:tcPr>
        <w:p w14:paraId="0979A6D1" w14:textId="77777777" w:rsidR="005341E6" w:rsidRPr="00BB7D5A" w:rsidRDefault="005341E6" w:rsidP="00CD6F7B">
          <w:pPr>
            <w:pStyle w:val="Header"/>
            <w:pBdr>
              <w:bottom w:val="none" w:sz="0" w:space="0" w:color="auto"/>
            </w:pBdr>
            <w:rPr>
              <w:rFonts w:eastAsia="DengXian"/>
              <w:b/>
              <w:bCs/>
            </w:rPr>
          </w:pPr>
        </w:p>
      </w:tc>
      <w:tc>
        <w:tcPr>
          <w:tcW w:w="2273" w:type="dxa"/>
          <w:shd w:val="clear" w:color="auto" w:fill="auto"/>
          <w:vAlign w:val="center"/>
        </w:tcPr>
        <w:p w14:paraId="1B015D4B" w14:textId="77777777" w:rsidR="005341E6" w:rsidRPr="00BB7D5A" w:rsidRDefault="005341E6" w:rsidP="00D30DC0">
          <w:pPr>
            <w:pStyle w:val="Header"/>
            <w:pBdr>
              <w:bottom w:val="none" w:sz="0" w:space="0" w:color="auto"/>
            </w:pBdr>
            <w:jc w:val="right"/>
            <w:rPr>
              <w:rFonts w:eastAsia="DengXian"/>
              <w:b/>
              <w:bCs/>
            </w:rPr>
          </w:pPr>
          <w:r>
            <w:rPr>
              <w:rFonts w:eastAsia="DengXian"/>
              <w:b/>
              <w:bCs/>
            </w:rPr>
            <w:drawing>
              <wp:inline distT="0" distB="0" distL="0" distR="0" wp14:anchorId="16ADD082" wp14:editId="2524DBB4">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1D99AD51" w14:textId="77777777" w:rsidR="005341E6" w:rsidRPr="00655EE9" w:rsidRDefault="005341E6" w:rsidP="00021CB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238E"/>
    <w:multiLevelType w:val="hybridMultilevel"/>
    <w:tmpl w:val="67606774"/>
    <w:lvl w:ilvl="0" w:tplc="06F8D58E">
      <w:start w:val="1"/>
      <w:numFmt w:val="lowerRoman"/>
      <w:lvlText w:val="(%1)"/>
      <w:lvlJc w:val="left"/>
      <w:pPr>
        <w:ind w:left="3753" w:hanging="720"/>
      </w:pPr>
      <w:rPr>
        <w:rFonts w:hint="default"/>
      </w:rPr>
    </w:lvl>
    <w:lvl w:ilvl="1" w:tplc="04090019" w:tentative="1">
      <w:start w:val="1"/>
      <w:numFmt w:val="lowerLetter"/>
      <w:lvlText w:val="%2."/>
      <w:lvlJc w:val="left"/>
      <w:pPr>
        <w:ind w:left="4113" w:hanging="360"/>
      </w:pPr>
    </w:lvl>
    <w:lvl w:ilvl="2" w:tplc="0409001B" w:tentative="1">
      <w:start w:val="1"/>
      <w:numFmt w:val="lowerRoman"/>
      <w:lvlText w:val="%3."/>
      <w:lvlJc w:val="right"/>
      <w:pPr>
        <w:ind w:left="4833" w:hanging="180"/>
      </w:pPr>
    </w:lvl>
    <w:lvl w:ilvl="3" w:tplc="0409000F" w:tentative="1">
      <w:start w:val="1"/>
      <w:numFmt w:val="decimal"/>
      <w:lvlText w:val="%4."/>
      <w:lvlJc w:val="left"/>
      <w:pPr>
        <w:ind w:left="5553" w:hanging="360"/>
      </w:pPr>
    </w:lvl>
    <w:lvl w:ilvl="4" w:tplc="04090019" w:tentative="1">
      <w:start w:val="1"/>
      <w:numFmt w:val="lowerLetter"/>
      <w:lvlText w:val="%5."/>
      <w:lvlJc w:val="left"/>
      <w:pPr>
        <w:ind w:left="6273" w:hanging="360"/>
      </w:pPr>
    </w:lvl>
    <w:lvl w:ilvl="5" w:tplc="0409001B" w:tentative="1">
      <w:start w:val="1"/>
      <w:numFmt w:val="lowerRoman"/>
      <w:lvlText w:val="%6."/>
      <w:lvlJc w:val="right"/>
      <w:pPr>
        <w:ind w:left="6993" w:hanging="180"/>
      </w:pPr>
    </w:lvl>
    <w:lvl w:ilvl="6" w:tplc="0409000F" w:tentative="1">
      <w:start w:val="1"/>
      <w:numFmt w:val="decimal"/>
      <w:lvlText w:val="%7."/>
      <w:lvlJc w:val="left"/>
      <w:pPr>
        <w:ind w:left="7713" w:hanging="360"/>
      </w:pPr>
    </w:lvl>
    <w:lvl w:ilvl="7" w:tplc="04090019" w:tentative="1">
      <w:start w:val="1"/>
      <w:numFmt w:val="lowerLetter"/>
      <w:lvlText w:val="%8."/>
      <w:lvlJc w:val="left"/>
      <w:pPr>
        <w:ind w:left="8433" w:hanging="360"/>
      </w:pPr>
    </w:lvl>
    <w:lvl w:ilvl="8" w:tplc="0409001B" w:tentative="1">
      <w:start w:val="1"/>
      <w:numFmt w:val="lowerRoman"/>
      <w:lvlText w:val="%9."/>
      <w:lvlJc w:val="right"/>
      <w:pPr>
        <w:ind w:left="9153" w:hanging="180"/>
      </w:pPr>
    </w:lvl>
  </w:abstractNum>
  <w:abstractNum w:abstractNumId="1" w15:restartNumberingAfterBreak="0">
    <w:nsid w:val="18B468F5"/>
    <w:multiLevelType w:val="hybridMultilevel"/>
    <w:tmpl w:val="F7E250A8"/>
    <w:lvl w:ilvl="0" w:tplc="5A92E4B0">
      <w:start w:val="1"/>
      <w:numFmt w:val="decimal"/>
      <w:lvlRestart w:val="0"/>
      <w:pStyle w:val="MDPI38bullet"/>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71References"/>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A77246C"/>
    <w:multiLevelType w:val="multilevel"/>
    <w:tmpl w:val="05D05A4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A5503B"/>
    <w:multiLevelType w:val="hybridMultilevel"/>
    <w:tmpl w:val="B19C5654"/>
    <w:lvl w:ilvl="0" w:tplc="2A22E77C">
      <w:start w:val="1"/>
      <w:numFmt w:val="decimal"/>
      <w:pStyle w:val="4textlist"/>
      <w:lvlText w:val="%1."/>
      <w:lvlJc w:val="left"/>
      <w:pPr>
        <w:ind w:left="501"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06576"/>
    <w:multiLevelType w:val="hybridMultilevel"/>
    <w:tmpl w:val="D332C826"/>
    <w:lvl w:ilvl="0" w:tplc="076E4000">
      <w:start w:val="1"/>
      <w:numFmt w:val="lowerRoman"/>
      <w:lvlText w:val="(%1)"/>
      <w:lvlJc w:val="left"/>
      <w:pPr>
        <w:ind w:left="3753" w:hanging="360"/>
      </w:pPr>
      <w:rPr>
        <w:rFonts w:hint="default"/>
      </w:r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tentative="1">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52386"/>
    <w:multiLevelType w:val="hybridMultilevel"/>
    <w:tmpl w:val="33BE6CDA"/>
    <w:lvl w:ilvl="0" w:tplc="BF64DED6">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5D9E371B"/>
    <w:multiLevelType w:val="hybridMultilevel"/>
    <w:tmpl w:val="4B00AE32"/>
    <w:lvl w:ilvl="0" w:tplc="98323F30">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7500D"/>
    <w:multiLevelType w:val="hybridMultilevel"/>
    <w:tmpl w:val="7570CE90"/>
    <w:lvl w:ilvl="0" w:tplc="D0529072">
      <w:start w:val="1"/>
      <w:numFmt w:val="decimal"/>
      <w:lvlText w:val="%1."/>
      <w:lvlJc w:val="left"/>
      <w:pPr>
        <w:ind w:left="720" w:hanging="360"/>
      </w:pPr>
      <w:rPr>
        <w:rFonts w:ascii="Palatino Linotype" w:hAnsi="Palatino Linotype"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F5913"/>
    <w:multiLevelType w:val="hybridMultilevel"/>
    <w:tmpl w:val="83527DC6"/>
    <w:lvl w:ilvl="0" w:tplc="D930B3E2">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6" w15:restartNumberingAfterBreak="0">
    <w:nsid w:val="706D5736"/>
    <w:multiLevelType w:val="hybridMultilevel"/>
    <w:tmpl w:val="F7E250A8"/>
    <w:lvl w:ilvl="0" w:tplc="5A92E4B0">
      <w:start w:val="1"/>
      <w:numFmt w:val="decimal"/>
      <w:lvlRestart w:val="0"/>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7705F2"/>
    <w:multiLevelType w:val="hybridMultilevel"/>
    <w:tmpl w:val="853CE0DA"/>
    <w:lvl w:ilvl="0" w:tplc="A80C6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D6AD2"/>
    <w:multiLevelType w:val="hybridMultilevel"/>
    <w:tmpl w:val="9DC40994"/>
    <w:lvl w:ilvl="0" w:tplc="8FDA013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2"/>
  </w:num>
  <w:num w:numId="8">
    <w:abstractNumId w:val="12"/>
  </w:num>
  <w:num w:numId="9">
    <w:abstractNumId w:val="2"/>
  </w:num>
  <w:num w:numId="10">
    <w:abstractNumId w:val="12"/>
  </w:num>
  <w:num w:numId="11">
    <w:abstractNumId w:val="2"/>
  </w:num>
  <w:num w:numId="12">
    <w:abstractNumId w:val="16"/>
  </w:num>
  <w:num w:numId="13">
    <w:abstractNumId w:val="12"/>
  </w:num>
  <w:num w:numId="14">
    <w:abstractNumId w:val="2"/>
  </w:num>
  <w:num w:numId="15">
    <w:abstractNumId w:val="1"/>
  </w:num>
  <w:num w:numId="16">
    <w:abstractNumId w:val="10"/>
  </w:num>
  <w:num w:numId="17">
    <w:abstractNumId w:val="1"/>
  </w:num>
  <w:num w:numId="18">
    <w:abstractNumId w:val="12"/>
  </w:num>
  <w:num w:numId="19">
    <w:abstractNumId w:val="2"/>
  </w:num>
  <w:num w:numId="20">
    <w:abstractNumId w:val="1"/>
  </w:num>
  <w:num w:numId="21">
    <w:abstractNumId w:val="11"/>
  </w:num>
  <w:num w:numId="22">
    <w:abstractNumId w:val="15"/>
  </w:num>
  <w:num w:numId="23">
    <w:abstractNumId w:val="13"/>
  </w:num>
  <w:num w:numId="24">
    <w:abstractNumId w:val="14"/>
  </w:num>
  <w:num w:numId="25">
    <w:abstractNumId w:val="18"/>
  </w:num>
  <w:num w:numId="26">
    <w:abstractNumId w:val="7"/>
  </w:num>
  <w:num w:numId="27">
    <w:abstractNumId w:val="17"/>
  </w:num>
  <w:num w:numId="28">
    <w:abstractNumId w:val="12"/>
  </w:num>
  <w:num w:numId="29">
    <w:abstractNumId w:val="2"/>
  </w:num>
  <w:num w:numId="30">
    <w:abstractNumId w:val="10"/>
  </w:num>
  <w:num w:numId="31">
    <w:abstractNumId w:val="1"/>
  </w:num>
  <w:num w:numId="32">
    <w:abstractNumId w:val="9"/>
  </w:num>
  <w:num w:numId="33">
    <w:abstractNumId w:val="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30"/>
    <w:rsid w:val="00003CD1"/>
    <w:rsid w:val="00011E4C"/>
    <w:rsid w:val="00017274"/>
    <w:rsid w:val="00021CB4"/>
    <w:rsid w:val="0002340C"/>
    <w:rsid w:val="00024875"/>
    <w:rsid w:val="0002675F"/>
    <w:rsid w:val="00032046"/>
    <w:rsid w:val="000470F4"/>
    <w:rsid w:val="00053E65"/>
    <w:rsid w:val="00056784"/>
    <w:rsid w:val="00062D7E"/>
    <w:rsid w:val="00071B09"/>
    <w:rsid w:val="00072BD2"/>
    <w:rsid w:val="00073000"/>
    <w:rsid w:val="00074BA2"/>
    <w:rsid w:val="00084AC5"/>
    <w:rsid w:val="0008505F"/>
    <w:rsid w:val="00091339"/>
    <w:rsid w:val="000946F0"/>
    <w:rsid w:val="000A25B6"/>
    <w:rsid w:val="000B4DC5"/>
    <w:rsid w:val="000B6E60"/>
    <w:rsid w:val="000E67E2"/>
    <w:rsid w:val="000F0952"/>
    <w:rsid w:val="00103107"/>
    <w:rsid w:val="001031D6"/>
    <w:rsid w:val="00107D43"/>
    <w:rsid w:val="001122A2"/>
    <w:rsid w:val="001145BC"/>
    <w:rsid w:val="00114E14"/>
    <w:rsid w:val="00116A41"/>
    <w:rsid w:val="00121BCB"/>
    <w:rsid w:val="00130F75"/>
    <w:rsid w:val="00133BFD"/>
    <w:rsid w:val="001377D9"/>
    <w:rsid w:val="00140377"/>
    <w:rsid w:val="00144DA7"/>
    <w:rsid w:val="0015742A"/>
    <w:rsid w:val="00171F29"/>
    <w:rsid w:val="001723F0"/>
    <w:rsid w:val="00176933"/>
    <w:rsid w:val="00182AFE"/>
    <w:rsid w:val="001A3479"/>
    <w:rsid w:val="001C2796"/>
    <w:rsid w:val="001C7DA7"/>
    <w:rsid w:val="001D0009"/>
    <w:rsid w:val="001E2AEB"/>
    <w:rsid w:val="001F28D8"/>
    <w:rsid w:val="001F33AC"/>
    <w:rsid w:val="00207884"/>
    <w:rsid w:val="002347D9"/>
    <w:rsid w:val="00235EE5"/>
    <w:rsid w:val="002376B0"/>
    <w:rsid w:val="0024388F"/>
    <w:rsid w:val="0025043C"/>
    <w:rsid w:val="002652F5"/>
    <w:rsid w:val="00265D10"/>
    <w:rsid w:val="00283524"/>
    <w:rsid w:val="00296613"/>
    <w:rsid w:val="002A049E"/>
    <w:rsid w:val="002A189E"/>
    <w:rsid w:val="002A439D"/>
    <w:rsid w:val="002B0099"/>
    <w:rsid w:val="002C6484"/>
    <w:rsid w:val="002D45DF"/>
    <w:rsid w:val="002D500C"/>
    <w:rsid w:val="002E209B"/>
    <w:rsid w:val="002E339C"/>
    <w:rsid w:val="002E50DF"/>
    <w:rsid w:val="002F38B6"/>
    <w:rsid w:val="002F4F55"/>
    <w:rsid w:val="002F54FC"/>
    <w:rsid w:val="00312A6A"/>
    <w:rsid w:val="00326141"/>
    <w:rsid w:val="00336B2D"/>
    <w:rsid w:val="00347B0E"/>
    <w:rsid w:val="00350D89"/>
    <w:rsid w:val="0035112A"/>
    <w:rsid w:val="00362D84"/>
    <w:rsid w:val="00365134"/>
    <w:rsid w:val="00393991"/>
    <w:rsid w:val="003A5542"/>
    <w:rsid w:val="003B4920"/>
    <w:rsid w:val="003B5DF4"/>
    <w:rsid w:val="003B7D24"/>
    <w:rsid w:val="003C168D"/>
    <w:rsid w:val="003D2CEC"/>
    <w:rsid w:val="003D37D3"/>
    <w:rsid w:val="003D3A6A"/>
    <w:rsid w:val="003E0936"/>
    <w:rsid w:val="003E1B1F"/>
    <w:rsid w:val="003E7996"/>
    <w:rsid w:val="00401D30"/>
    <w:rsid w:val="004049DC"/>
    <w:rsid w:val="0041472F"/>
    <w:rsid w:val="00420B1E"/>
    <w:rsid w:val="00424D2D"/>
    <w:rsid w:val="004355A7"/>
    <w:rsid w:val="004432AD"/>
    <w:rsid w:val="0045047F"/>
    <w:rsid w:val="004509B5"/>
    <w:rsid w:val="00451705"/>
    <w:rsid w:val="0046065E"/>
    <w:rsid w:val="00463181"/>
    <w:rsid w:val="004659B1"/>
    <w:rsid w:val="0047776E"/>
    <w:rsid w:val="0048301F"/>
    <w:rsid w:val="004A6E5B"/>
    <w:rsid w:val="004C6E09"/>
    <w:rsid w:val="004D1D4C"/>
    <w:rsid w:val="004D38DE"/>
    <w:rsid w:val="004D49AE"/>
    <w:rsid w:val="004D729D"/>
    <w:rsid w:val="004E0855"/>
    <w:rsid w:val="004E2A1D"/>
    <w:rsid w:val="004E400F"/>
    <w:rsid w:val="004F2A97"/>
    <w:rsid w:val="00504DF4"/>
    <w:rsid w:val="005146A4"/>
    <w:rsid w:val="00527710"/>
    <w:rsid w:val="00532723"/>
    <w:rsid w:val="005341E6"/>
    <w:rsid w:val="005364C7"/>
    <w:rsid w:val="0054148E"/>
    <w:rsid w:val="00546FA7"/>
    <w:rsid w:val="00565B75"/>
    <w:rsid w:val="00596A74"/>
    <w:rsid w:val="005B6468"/>
    <w:rsid w:val="005B6E3C"/>
    <w:rsid w:val="005C156B"/>
    <w:rsid w:val="005C361B"/>
    <w:rsid w:val="005C4D87"/>
    <w:rsid w:val="005C697B"/>
    <w:rsid w:val="005D023E"/>
    <w:rsid w:val="005D200F"/>
    <w:rsid w:val="005D2CF3"/>
    <w:rsid w:val="005E05D5"/>
    <w:rsid w:val="005E2D9F"/>
    <w:rsid w:val="005F117F"/>
    <w:rsid w:val="006050C4"/>
    <w:rsid w:val="00610966"/>
    <w:rsid w:val="00612036"/>
    <w:rsid w:val="00622FB5"/>
    <w:rsid w:val="00624295"/>
    <w:rsid w:val="00631ED4"/>
    <w:rsid w:val="00642D3D"/>
    <w:rsid w:val="00644EDC"/>
    <w:rsid w:val="00654F62"/>
    <w:rsid w:val="00655EE9"/>
    <w:rsid w:val="00657ACA"/>
    <w:rsid w:val="00664DD4"/>
    <w:rsid w:val="0068160F"/>
    <w:rsid w:val="0068739F"/>
    <w:rsid w:val="00691D4E"/>
    <w:rsid w:val="00692393"/>
    <w:rsid w:val="0069623C"/>
    <w:rsid w:val="006B5CE8"/>
    <w:rsid w:val="006C2769"/>
    <w:rsid w:val="006C5EEE"/>
    <w:rsid w:val="006C6416"/>
    <w:rsid w:val="006D44E8"/>
    <w:rsid w:val="006D6380"/>
    <w:rsid w:val="006E1C40"/>
    <w:rsid w:val="006E5E3C"/>
    <w:rsid w:val="006F4DF1"/>
    <w:rsid w:val="00713FBF"/>
    <w:rsid w:val="00715BCA"/>
    <w:rsid w:val="00717581"/>
    <w:rsid w:val="00717BB3"/>
    <w:rsid w:val="007222BB"/>
    <w:rsid w:val="00722EDA"/>
    <w:rsid w:val="00722F24"/>
    <w:rsid w:val="00740219"/>
    <w:rsid w:val="00740E9C"/>
    <w:rsid w:val="00743BF1"/>
    <w:rsid w:val="00744ED8"/>
    <w:rsid w:val="00746EEB"/>
    <w:rsid w:val="0076256A"/>
    <w:rsid w:val="00764DF7"/>
    <w:rsid w:val="007703C9"/>
    <w:rsid w:val="00775A19"/>
    <w:rsid w:val="00775E85"/>
    <w:rsid w:val="00783470"/>
    <w:rsid w:val="00783A5B"/>
    <w:rsid w:val="00792C37"/>
    <w:rsid w:val="007A2115"/>
    <w:rsid w:val="007B3181"/>
    <w:rsid w:val="007C055C"/>
    <w:rsid w:val="007D0074"/>
    <w:rsid w:val="007D0442"/>
    <w:rsid w:val="007D4A75"/>
    <w:rsid w:val="007D6902"/>
    <w:rsid w:val="007F3BD4"/>
    <w:rsid w:val="00801B69"/>
    <w:rsid w:val="00811F37"/>
    <w:rsid w:val="0082135D"/>
    <w:rsid w:val="00826A37"/>
    <w:rsid w:val="0083099A"/>
    <w:rsid w:val="0083262A"/>
    <w:rsid w:val="0085036B"/>
    <w:rsid w:val="00857580"/>
    <w:rsid w:val="00861E65"/>
    <w:rsid w:val="00870BEF"/>
    <w:rsid w:val="0087733E"/>
    <w:rsid w:val="008774CD"/>
    <w:rsid w:val="00877A56"/>
    <w:rsid w:val="00877EAB"/>
    <w:rsid w:val="008807F8"/>
    <w:rsid w:val="008836A4"/>
    <w:rsid w:val="00892F2F"/>
    <w:rsid w:val="00894C33"/>
    <w:rsid w:val="008A5ECF"/>
    <w:rsid w:val="008A6836"/>
    <w:rsid w:val="008B6087"/>
    <w:rsid w:val="008C50A4"/>
    <w:rsid w:val="008E389E"/>
    <w:rsid w:val="008E4108"/>
    <w:rsid w:val="008E583C"/>
    <w:rsid w:val="008F5B30"/>
    <w:rsid w:val="008F74F3"/>
    <w:rsid w:val="00906D22"/>
    <w:rsid w:val="00922DB6"/>
    <w:rsid w:val="009234E7"/>
    <w:rsid w:val="00927047"/>
    <w:rsid w:val="009317FB"/>
    <w:rsid w:val="00935202"/>
    <w:rsid w:val="00942FBC"/>
    <w:rsid w:val="00971E0C"/>
    <w:rsid w:val="009751FB"/>
    <w:rsid w:val="009837DC"/>
    <w:rsid w:val="009B7FBC"/>
    <w:rsid w:val="009D00DF"/>
    <w:rsid w:val="009D053D"/>
    <w:rsid w:val="009D0D75"/>
    <w:rsid w:val="009F1373"/>
    <w:rsid w:val="009F70E6"/>
    <w:rsid w:val="00A11042"/>
    <w:rsid w:val="00A1276B"/>
    <w:rsid w:val="00A15B25"/>
    <w:rsid w:val="00A22B5B"/>
    <w:rsid w:val="00A26FFB"/>
    <w:rsid w:val="00A3696D"/>
    <w:rsid w:val="00A42ED3"/>
    <w:rsid w:val="00A4745E"/>
    <w:rsid w:val="00A506D9"/>
    <w:rsid w:val="00A52087"/>
    <w:rsid w:val="00A52E83"/>
    <w:rsid w:val="00A74E8F"/>
    <w:rsid w:val="00A77038"/>
    <w:rsid w:val="00A96767"/>
    <w:rsid w:val="00AA711E"/>
    <w:rsid w:val="00AB01E5"/>
    <w:rsid w:val="00AB14A0"/>
    <w:rsid w:val="00AB326D"/>
    <w:rsid w:val="00AD295A"/>
    <w:rsid w:val="00AD2EE3"/>
    <w:rsid w:val="00AE09CA"/>
    <w:rsid w:val="00AE18C1"/>
    <w:rsid w:val="00AF509E"/>
    <w:rsid w:val="00AF5C5F"/>
    <w:rsid w:val="00B05708"/>
    <w:rsid w:val="00B0571E"/>
    <w:rsid w:val="00B21257"/>
    <w:rsid w:val="00B33690"/>
    <w:rsid w:val="00B34517"/>
    <w:rsid w:val="00B665F8"/>
    <w:rsid w:val="00B912C3"/>
    <w:rsid w:val="00BA44A7"/>
    <w:rsid w:val="00BB1A6C"/>
    <w:rsid w:val="00BB7D5A"/>
    <w:rsid w:val="00BC1592"/>
    <w:rsid w:val="00BC41A1"/>
    <w:rsid w:val="00BD27E9"/>
    <w:rsid w:val="00BD7DEA"/>
    <w:rsid w:val="00BE093A"/>
    <w:rsid w:val="00BE670E"/>
    <w:rsid w:val="00BF4083"/>
    <w:rsid w:val="00BF548D"/>
    <w:rsid w:val="00C00BBB"/>
    <w:rsid w:val="00C10889"/>
    <w:rsid w:val="00C13EEF"/>
    <w:rsid w:val="00C15E32"/>
    <w:rsid w:val="00C16F80"/>
    <w:rsid w:val="00C1777E"/>
    <w:rsid w:val="00C376A4"/>
    <w:rsid w:val="00C4251C"/>
    <w:rsid w:val="00C50C77"/>
    <w:rsid w:val="00C5424F"/>
    <w:rsid w:val="00C63499"/>
    <w:rsid w:val="00C67651"/>
    <w:rsid w:val="00C82DFA"/>
    <w:rsid w:val="00C915ED"/>
    <w:rsid w:val="00C93376"/>
    <w:rsid w:val="00C94FDA"/>
    <w:rsid w:val="00CA1F45"/>
    <w:rsid w:val="00CA2F7D"/>
    <w:rsid w:val="00CC0A0D"/>
    <w:rsid w:val="00CC107A"/>
    <w:rsid w:val="00CD3A5E"/>
    <w:rsid w:val="00CD42A0"/>
    <w:rsid w:val="00CD6F7B"/>
    <w:rsid w:val="00CE2597"/>
    <w:rsid w:val="00CF01CF"/>
    <w:rsid w:val="00D10736"/>
    <w:rsid w:val="00D10D2D"/>
    <w:rsid w:val="00D2627B"/>
    <w:rsid w:val="00D30DC0"/>
    <w:rsid w:val="00D37A5B"/>
    <w:rsid w:val="00D47DFA"/>
    <w:rsid w:val="00D5082B"/>
    <w:rsid w:val="00D53151"/>
    <w:rsid w:val="00D55FAF"/>
    <w:rsid w:val="00D57D99"/>
    <w:rsid w:val="00D668BC"/>
    <w:rsid w:val="00D76A11"/>
    <w:rsid w:val="00D935B0"/>
    <w:rsid w:val="00D93CE5"/>
    <w:rsid w:val="00DB55AA"/>
    <w:rsid w:val="00DC272C"/>
    <w:rsid w:val="00DD2CDD"/>
    <w:rsid w:val="00DD30CC"/>
    <w:rsid w:val="00DE366D"/>
    <w:rsid w:val="00DE401A"/>
    <w:rsid w:val="00DF0A30"/>
    <w:rsid w:val="00DF54A5"/>
    <w:rsid w:val="00DF5F38"/>
    <w:rsid w:val="00E00E6A"/>
    <w:rsid w:val="00E11C15"/>
    <w:rsid w:val="00E121EC"/>
    <w:rsid w:val="00E2597E"/>
    <w:rsid w:val="00E46120"/>
    <w:rsid w:val="00E46902"/>
    <w:rsid w:val="00E61A77"/>
    <w:rsid w:val="00E76425"/>
    <w:rsid w:val="00E76471"/>
    <w:rsid w:val="00E82B5D"/>
    <w:rsid w:val="00E97A3B"/>
    <w:rsid w:val="00EC133B"/>
    <w:rsid w:val="00EC3708"/>
    <w:rsid w:val="00EC4F48"/>
    <w:rsid w:val="00EC66B9"/>
    <w:rsid w:val="00ED2A75"/>
    <w:rsid w:val="00ED771C"/>
    <w:rsid w:val="00EE643E"/>
    <w:rsid w:val="00EE73E3"/>
    <w:rsid w:val="00EF104B"/>
    <w:rsid w:val="00EF6E46"/>
    <w:rsid w:val="00EF6E98"/>
    <w:rsid w:val="00F0493C"/>
    <w:rsid w:val="00F065AA"/>
    <w:rsid w:val="00F10B77"/>
    <w:rsid w:val="00F31701"/>
    <w:rsid w:val="00F3593B"/>
    <w:rsid w:val="00F35CDC"/>
    <w:rsid w:val="00F400D6"/>
    <w:rsid w:val="00F402E8"/>
    <w:rsid w:val="00F4790D"/>
    <w:rsid w:val="00F62508"/>
    <w:rsid w:val="00F730A1"/>
    <w:rsid w:val="00F77BC3"/>
    <w:rsid w:val="00F817D8"/>
    <w:rsid w:val="00F81B13"/>
    <w:rsid w:val="00F955FD"/>
    <w:rsid w:val="00FB0AD1"/>
    <w:rsid w:val="00FB321B"/>
    <w:rsid w:val="00FB50DA"/>
    <w:rsid w:val="00FD4E7F"/>
    <w:rsid w:val="00FD5C07"/>
    <w:rsid w:val="00FD73E7"/>
    <w:rsid w:val="00FE25E9"/>
    <w:rsid w:val="00FE34F4"/>
    <w:rsid w:val="00FF164C"/>
    <w:rsid w:val="00FF4425"/>
    <w:rsid w:val="00FF4BC4"/>
    <w:rsid w:val="00FF5B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D3F04"/>
  <w15:chartTrackingRefBased/>
  <w15:docId w15:val="{3E4482BE-25AE-4250-A222-00603E99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D87"/>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05678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05678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05678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05678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05678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05678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05678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B6E3C"/>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7D4A75"/>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C4D8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C4D8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C4D87"/>
    <w:rPr>
      <w:rFonts w:ascii="Palatino Linotype" w:hAnsi="Palatino Linotype"/>
      <w:noProof/>
      <w:color w:val="000000"/>
      <w:szCs w:val="18"/>
    </w:rPr>
  </w:style>
  <w:style w:type="paragraph" w:customStyle="1" w:styleId="MDPIheaderjournallogo">
    <w:name w:val="MDPI_header_journal_logo"/>
    <w:qFormat/>
    <w:rsid w:val="0005678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056784"/>
    <w:pPr>
      <w:ind w:firstLine="0"/>
    </w:pPr>
  </w:style>
  <w:style w:type="paragraph" w:customStyle="1" w:styleId="MDPI31text">
    <w:name w:val="MDPI_3.1_text"/>
    <w:qFormat/>
    <w:rsid w:val="0005678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05678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05678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05678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05678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56784"/>
    <w:p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56784"/>
    <w:pPr>
      <w:numPr>
        <w:numId w:val="3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05678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05678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056784"/>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056784"/>
    <w:pPr>
      <w:adjustRightInd w:val="0"/>
      <w:snapToGrid w:val="0"/>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056784"/>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05678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05678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05678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05678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05678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05678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05678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056784"/>
    <w:pPr>
      <w:numPr>
        <w:numId w:val="14"/>
      </w:numPr>
      <w:adjustRightInd w:val="0"/>
      <w:snapToGrid w:val="0"/>
      <w:spacing w:line="228" w:lineRule="auto"/>
      <w:ind w:left="425"/>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C4D87"/>
    <w:rPr>
      <w:rFonts w:cs="Tahoma"/>
      <w:szCs w:val="18"/>
    </w:rPr>
  </w:style>
  <w:style w:type="character" w:customStyle="1" w:styleId="BalloonTextChar">
    <w:name w:val="Balloon Text Char"/>
    <w:link w:val="BalloonText"/>
    <w:uiPriority w:val="99"/>
    <w:rsid w:val="005C4D87"/>
    <w:rPr>
      <w:rFonts w:ascii="Palatino Linotype" w:hAnsi="Palatino Linotype" w:cs="Tahoma"/>
      <w:noProof/>
      <w:color w:val="000000"/>
      <w:szCs w:val="18"/>
    </w:rPr>
  </w:style>
  <w:style w:type="character" w:styleId="LineNumber">
    <w:name w:val="line number"/>
    <w:uiPriority w:val="99"/>
    <w:rsid w:val="002E50DF"/>
    <w:rPr>
      <w:rFonts w:ascii="Palatino Linotype" w:hAnsi="Palatino Linotype"/>
      <w:sz w:val="16"/>
    </w:rPr>
  </w:style>
  <w:style w:type="table" w:customStyle="1" w:styleId="MDPI41threelinetable">
    <w:name w:val="MDPI_4.1_three_line_table"/>
    <w:basedOn w:val="TableNormal"/>
    <w:uiPriority w:val="99"/>
    <w:rsid w:val="00056784"/>
    <w:pPr>
      <w:adjustRightInd w:val="0"/>
      <w:snapToGrid w:val="0"/>
      <w:jc w:val="center"/>
    </w:pPr>
    <w:rPr>
      <w:rFonts w:ascii="Palatino Linotype" w:eastAsiaTheme="minorHAnsi" w:hAnsi="Palatino Linotype"/>
      <w:color w:val="000000"/>
      <w:lang w:eastAsia="en-US"/>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C4D87"/>
    <w:rPr>
      <w:color w:val="0000FF"/>
      <w:u w:val="single"/>
    </w:rPr>
  </w:style>
  <w:style w:type="character" w:styleId="UnresolvedMention">
    <w:name w:val="Unresolved Mention"/>
    <w:uiPriority w:val="99"/>
    <w:semiHidden/>
    <w:unhideWhenUsed/>
    <w:rsid w:val="00116A41"/>
    <w:rPr>
      <w:color w:val="605E5C"/>
      <w:shd w:val="clear" w:color="auto" w:fill="E1DFDD"/>
    </w:rPr>
  </w:style>
  <w:style w:type="paragraph" w:styleId="Footer">
    <w:name w:val="footer"/>
    <w:basedOn w:val="Normal"/>
    <w:link w:val="FooterChar"/>
    <w:uiPriority w:val="99"/>
    <w:rsid w:val="005C4D87"/>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C4D87"/>
    <w:rPr>
      <w:rFonts w:ascii="Palatino Linotype" w:hAnsi="Palatino Linotype"/>
      <w:noProof/>
      <w:color w:val="000000"/>
      <w:szCs w:val="18"/>
    </w:rPr>
  </w:style>
  <w:style w:type="table" w:styleId="PlainTable4">
    <w:name w:val="Plain Table 4"/>
    <w:basedOn w:val="TableNormal"/>
    <w:uiPriority w:val="44"/>
    <w:rsid w:val="003E79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056784"/>
    <w:pPr>
      <w:adjustRightInd w:val="0"/>
      <w:snapToGrid w:val="0"/>
      <w:spacing w:line="240" w:lineRule="atLeast"/>
      <w:ind w:right="113"/>
    </w:pPr>
    <w:rPr>
      <w:rFonts w:ascii="Palatino Linotype" w:eastAsiaTheme="minorHAnsi" w:hAnsi="Palatino Linotype" w:cstheme="minorBidi"/>
      <w:sz w:val="14"/>
      <w:szCs w:val="22"/>
      <w:lang w:eastAsia="en-US"/>
    </w:rPr>
  </w:style>
  <w:style w:type="paragraph" w:customStyle="1" w:styleId="MDPI62BackMatter">
    <w:name w:val="MDPI_6.2_BackMatter"/>
    <w:qFormat/>
    <w:rsid w:val="0005678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056784"/>
    <w:pPr>
      <w:adjustRightInd w:val="0"/>
      <w:snapToGrid w:val="0"/>
      <w:spacing w:after="120" w:line="240" w:lineRule="atLeast"/>
      <w:ind w:right="113"/>
    </w:pPr>
    <w:rPr>
      <w:rFonts w:ascii="Palatino Linotype" w:hAnsi="Palatino Linotype"/>
      <w:snapToGrid w:val="0"/>
      <w:color w:val="000000" w:themeColor="text1"/>
      <w:sz w:val="14"/>
      <w:lang w:eastAsia="en-US" w:bidi="en-US"/>
    </w:rPr>
  </w:style>
  <w:style w:type="paragraph" w:customStyle="1" w:styleId="MDPI15academiceditor">
    <w:name w:val="MDPI_1.5_academic_editor"/>
    <w:qFormat/>
    <w:rsid w:val="0005678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05678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056784"/>
    <w:pPr>
      <w:adjustRightInd w:val="0"/>
      <w:snapToGrid w:val="0"/>
      <w:spacing w:before="240" w:after="120" w:line="260" w:lineRule="atLeast"/>
      <w:jc w:val="center"/>
    </w:pPr>
    <w:rPr>
      <w:rFonts w:ascii="Palatino Linotype" w:eastAsiaTheme="minorHAnsi" w:hAnsi="Palatino Linotype" w:cstheme="minorBidi"/>
      <w:noProof/>
      <w:color w:val="000000"/>
      <w:sz w:val="18"/>
      <w:szCs w:val="22"/>
      <w:lang w:eastAsia="en-US" w:bidi="en-US"/>
    </w:rPr>
  </w:style>
  <w:style w:type="paragraph" w:customStyle="1" w:styleId="MDPI511onefigurecaption">
    <w:name w:val="MDPI_5.1.1_one_figure_caption"/>
    <w:qFormat/>
    <w:rsid w:val="00056784"/>
    <w:pPr>
      <w:adjustRightInd w:val="0"/>
      <w:snapToGrid w:val="0"/>
      <w:spacing w:before="240" w:after="120" w:line="260" w:lineRule="atLeast"/>
      <w:jc w:val="center"/>
    </w:pPr>
    <w:rPr>
      <w:rFonts w:ascii="Palatino Linotype" w:eastAsiaTheme="minorHAnsi" w:hAnsi="Palatino Linotype"/>
      <w:noProof/>
      <w:color w:val="000000"/>
      <w:sz w:val="18"/>
      <w:lang w:eastAsia="en-US" w:bidi="en-US"/>
    </w:rPr>
  </w:style>
  <w:style w:type="paragraph" w:customStyle="1" w:styleId="MDPI72Copyright">
    <w:name w:val="MDPI_7.2_Copyright"/>
    <w:qFormat/>
    <w:rsid w:val="0005678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05678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05678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05678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056784"/>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05678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05678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05678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056784"/>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05678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05678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C4D87"/>
  </w:style>
  <w:style w:type="paragraph" w:styleId="Bibliography">
    <w:name w:val="Bibliography"/>
    <w:basedOn w:val="Normal"/>
    <w:next w:val="Normal"/>
    <w:uiPriority w:val="37"/>
    <w:semiHidden/>
    <w:unhideWhenUsed/>
    <w:rsid w:val="005C4D87"/>
  </w:style>
  <w:style w:type="paragraph" w:styleId="BodyText">
    <w:name w:val="Body Text"/>
    <w:link w:val="BodyTextChar"/>
    <w:rsid w:val="005C4D87"/>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C4D87"/>
    <w:rPr>
      <w:rFonts w:ascii="Palatino Linotype" w:hAnsi="Palatino Linotype"/>
      <w:color w:val="000000"/>
      <w:sz w:val="24"/>
      <w:lang w:eastAsia="de-DE"/>
    </w:rPr>
  </w:style>
  <w:style w:type="character" w:styleId="CommentReference">
    <w:name w:val="annotation reference"/>
    <w:rsid w:val="005C4D87"/>
    <w:rPr>
      <w:sz w:val="21"/>
      <w:szCs w:val="21"/>
    </w:rPr>
  </w:style>
  <w:style w:type="paragraph" w:styleId="CommentText">
    <w:name w:val="annotation text"/>
    <w:basedOn w:val="Normal"/>
    <w:link w:val="CommentTextChar"/>
    <w:rsid w:val="005C4D87"/>
  </w:style>
  <w:style w:type="character" w:customStyle="1" w:styleId="CommentTextChar">
    <w:name w:val="Comment Text Char"/>
    <w:link w:val="CommentText"/>
    <w:rsid w:val="005C4D87"/>
    <w:rPr>
      <w:rFonts w:ascii="Palatino Linotype" w:hAnsi="Palatino Linotype"/>
      <w:noProof/>
      <w:color w:val="000000"/>
    </w:rPr>
  </w:style>
  <w:style w:type="paragraph" w:styleId="CommentSubject">
    <w:name w:val="annotation subject"/>
    <w:basedOn w:val="CommentText"/>
    <w:next w:val="CommentText"/>
    <w:link w:val="CommentSubjectChar"/>
    <w:rsid w:val="005C4D87"/>
    <w:rPr>
      <w:b/>
      <w:bCs/>
    </w:rPr>
  </w:style>
  <w:style w:type="character" w:customStyle="1" w:styleId="CommentSubjectChar">
    <w:name w:val="Comment Subject Char"/>
    <w:link w:val="CommentSubject"/>
    <w:rsid w:val="005C4D87"/>
    <w:rPr>
      <w:rFonts w:ascii="Palatino Linotype" w:hAnsi="Palatino Linotype"/>
      <w:b/>
      <w:bCs/>
      <w:noProof/>
      <w:color w:val="000000"/>
    </w:rPr>
  </w:style>
  <w:style w:type="character" w:styleId="EndnoteReference">
    <w:name w:val="endnote reference"/>
    <w:rsid w:val="005C4D87"/>
    <w:rPr>
      <w:vertAlign w:val="superscript"/>
    </w:rPr>
  </w:style>
  <w:style w:type="paragraph" w:styleId="EndnoteText">
    <w:name w:val="endnote text"/>
    <w:basedOn w:val="Normal"/>
    <w:link w:val="EndnoteTextChar"/>
    <w:semiHidden/>
    <w:unhideWhenUsed/>
    <w:rsid w:val="005C4D87"/>
    <w:pPr>
      <w:spacing w:line="240" w:lineRule="auto"/>
    </w:pPr>
  </w:style>
  <w:style w:type="character" w:customStyle="1" w:styleId="EndnoteTextChar">
    <w:name w:val="Endnote Text Char"/>
    <w:link w:val="EndnoteText"/>
    <w:semiHidden/>
    <w:rsid w:val="005C4D87"/>
    <w:rPr>
      <w:rFonts w:ascii="Palatino Linotype" w:hAnsi="Palatino Linotype"/>
      <w:noProof/>
      <w:color w:val="000000"/>
    </w:rPr>
  </w:style>
  <w:style w:type="character" w:styleId="FollowedHyperlink">
    <w:name w:val="FollowedHyperlink"/>
    <w:rsid w:val="005C4D87"/>
    <w:rPr>
      <w:color w:val="954F72"/>
      <w:u w:val="single"/>
    </w:rPr>
  </w:style>
  <w:style w:type="paragraph" w:styleId="FootnoteText">
    <w:name w:val="footnote text"/>
    <w:basedOn w:val="Normal"/>
    <w:link w:val="FootnoteTextChar"/>
    <w:semiHidden/>
    <w:unhideWhenUsed/>
    <w:rsid w:val="005C4D87"/>
    <w:pPr>
      <w:spacing w:line="240" w:lineRule="auto"/>
    </w:pPr>
  </w:style>
  <w:style w:type="character" w:customStyle="1" w:styleId="FootnoteTextChar">
    <w:name w:val="Footnote Text Char"/>
    <w:link w:val="FootnoteText"/>
    <w:semiHidden/>
    <w:rsid w:val="005C4D87"/>
    <w:rPr>
      <w:rFonts w:ascii="Palatino Linotype" w:hAnsi="Palatino Linotype"/>
      <w:noProof/>
      <w:color w:val="000000"/>
    </w:rPr>
  </w:style>
  <w:style w:type="paragraph" w:styleId="NormalWeb">
    <w:name w:val="Normal (Web)"/>
    <w:basedOn w:val="Normal"/>
    <w:uiPriority w:val="99"/>
    <w:rsid w:val="005C4D87"/>
    <w:rPr>
      <w:szCs w:val="24"/>
    </w:rPr>
  </w:style>
  <w:style w:type="paragraph" w:customStyle="1" w:styleId="MsoFootnoteText0">
    <w:name w:val="MsoFootnoteText"/>
    <w:basedOn w:val="NormalWeb"/>
    <w:qFormat/>
    <w:rsid w:val="005C4D87"/>
    <w:rPr>
      <w:rFonts w:ascii="Times New Roman" w:hAnsi="Times New Roman"/>
    </w:rPr>
  </w:style>
  <w:style w:type="character" w:styleId="PageNumber">
    <w:name w:val="page number"/>
    <w:rsid w:val="005C4D87"/>
  </w:style>
  <w:style w:type="character" w:styleId="PlaceholderText">
    <w:name w:val="Placeholder Text"/>
    <w:uiPriority w:val="99"/>
    <w:semiHidden/>
    <w:rsid w:val="005C4D87"/>
    <w:rPr>
      <w:color w:val="808080"/>
    </w:rPr>
  </w:style>
  <w:style w:type="paragraph" w:customStyle="1" w:styleId="MDPI71FootNotes">
    <w:name w:val="MDPI_7.1_FootNotes"/>
    <w:qFormat/>
    <w:rsid w:val="00056784"/>
    <w:pPr>
      <w:adjustRightInd w:val="0"/>
      <w:snapToGrid w:val="0"/>
      <w:spacing w:line="228" w:lineRule="auto"/>
      <w:ind w:left="425" w:hanging="425"/>
      <w:jc w:val="both"/>
    </w:pPr>
    <w:rPr>
      <w:rFonts w:ascii="Palatino Linotype" w:eastAsiaTheme="minorHAnsi" w:hAnsi="Palatino Linotype"/>
      <w:noProof/>
      <w:color w:val="000000"/>
      <w:sz w:val="18"/>
      <w:lang w:eastAsia="en-US"/>
    </w:rPr>
  </w:style>
  <w:style w:type="character" w:customStyle="1" w:styleId="UnresolvedMention1">
    <w:name w:val="Unresolved Mention1"/>
    <w:uiPriority w:val="99"/>
    <w:semiHidden/>
    <w:unhideWhenUsed/>
    <w:rsid w:val="008F5B30"/>
    <w:rPr>
      <w:color w:val="605E5C"/>
      <w:shd w:val="clear" w:color="auto" w:fill="E1DFDD"/>
    </w:rPr>
  </w:style>
  <w:style w:type="paragraph" w:customStyle="1" w:styleId="Default">
    <w:name w:val="Default"/>
    <w:rsid w:val="008F5B30"/>
    <w:pPr>
      <w:autoSpaceDE w:val="0"/>
      <w:autoSpaceDN w:val="0"/>
      <w:adjustRightInd w:val="0"/>
    </w:pPr>
    <w:rPr>
      <w:rFonts w:ascii="Times New Roman" w:eastAsiaTheme="minorHAnsi" w:hAnsi="Times New Roman"/>
      <w:color w:val="000000"/>
      <w:sz w:val="24"/>
      <w:szCs w:val="24"/>
      <w:lang w:eastAsia="en-US"/>
    </w:rPr>
  </w:style>
  <w:style w:type="paragraph" w:customStyle="1" w:styleId="EndNoteBibliography">
    <w:name w:val="EndNote Bibliography"/>
    <w:basedOn w:val="Normal"/>
    <w:link w:val="EndNoteBibliographyChar"/>
    <w:rsid w:val="008F5B30"/>
    <w:pPr>
      <w:spacing w:after="160" w:line="240" w:lineRule="auto"/>
    </w:pPr>
    <w:rPr>
      <w:rFonts w:ascii="Calibri" w:eastAsiaTheme="minorHAnsi" w:hAnsi="Calibri" w:cs="Calibri"/>
      <w:color w:val="auto"/>
      <w:sz w:val="22"/>
      <w:szCs w:val="22"/>
      <w:lang w:eastAsia="en-US"/>
    </w:rPr>
  </w:style>
  <w:style w:type="character" w:customStyle="1" w:styleId="EndNoteBibliographyChar">
    <w:name w:val="EndNote Bibliography Char"/>
    <w:basedOn w:val="DefaultParagraphFont"/>
    <w:link w:val="EndNoteBibliography"/>
    <w:rsid w:val="008F5B30"/>
    <w:rPr>
      <w:rFonts w:eastAsiaTheme="minorHAnsi" w:cs="Calibri"/>
      <w:noProof/>
      <w:sz w:val="22"/>
      <w:szCs w:val="22"/>
      <w:lang w:eastAsia="en-US"/>
    </w:rPr>
  </w:style>
  <w:style w:type="paragraph" w:styleId="Revision">
    <w:name w:val="Revision"/>
    <w:hidden/>
    <w:uiPriority w:val="99"/>
    <w:semiHidden/>
    <w:rsid w:val="008F5B30"/>
    <w:rPr>
      <w:rFonts w:ascii="Palatino Linotype" w:hAnsi="Palatino Linotype"/>
      <w:noProof/>
      <w:color w:val="000000"/>
    </w:rPr>
  </w:style>
  <w:style w:type="paragraph" w:styleId="ListParagraph">
    <w:name w:val="List Paragraph"/>
    <w:basedOn w:val="Normal"/>
    <w:uiPriority w:val="34"/>
    <w:qFormat/>
    <w:rsid w:val="008F5B30"/>
    <w:pPr>
      <w:ind w:left="720"/>
      <w:contextualSpacing/>
    </w:pPr>
  </w:style>
  <w:style w:type="paragraph" w:customStyle="1" w:styleId="4textlist">
    <w:name w:val="_4_text_list"/>
    <w:basedOn w:val="Normal"/>
    <w:rsid w:val="00691D4E"/>
    <w:pPr>
      <w:numPr>
        <w:numId w:val="34"/>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geriatri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06FE3F-06ED-4B33-82E2-EF52480FC9FE}">
  <ds:schemaRefs>
    <ds:schemaRef ds:uri="http://schemas.openxmlformats.org/officeDocument/2006/bibliography"/>
  </ds:schemaRefs>
</ds:datastoreItem>
</file>

<file path=customXml/itemProps2.xml><?xml version="1.0" encoding="utf-8"?>
<ds:datastoreItem xmlns:ds="http://schemas.openxmlformats.org/officeDocument/2006/customXml" ds:itemID="{D867CA7D-519B-4926-BDCE-08B6E472063B}"/>
</file>

<file path=customXml/itemProps3.xml><?xml version="1.0" encoding="utf-8"?>
<ds:datastoreItem xmlns:ds="http://schemas.openxmlformats.org/officeDocument/2006/customXml" ds:itemID="{A9A7E509-E62A-4D69-A7D4-C0E408AA737D}"/>
</file>

<file path=customXml/itemProps4.xml><?xml version="1.0" encoding="utf-8"?>
<ds:datastoreItem xmlns:ds="http://schemas.openxmlformats.org/officeDocument/2006/customXml" ds:itemID="{345FE55F-E48E-45B9-AFE2-A471B0EFF282}"/>
</file>

<file path=docProps/app.xml><?xml version="1.0" encoding="utf-8"?>
<Properties xmlns="http://schemas.openxmlformats.org/officeDocument/2006/extended-properties" xmlns:vt="http://schemas.openxmlformats.org/officeDocument/2006/docPropsVTypes">
  <Template>geriatrics-template.dot</Template>
  <TotalTime>4</TotalTime>
  <Pages>11</Pages>
  <Words>5822</Words>
  <Characters>33190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Dinesh Samuel</cp:lastModifiedBy>
  <cp:revision>3</cp:revision>
  <cp:lastPrinted>2022-03-30T23:17:00Z</cp:lastPrinted>
  <dcterms:created xsi:type="dcterms:W3CDTF">2022-03-31T15:28:00Z</dcterms:created>
  <dcterms:modified xsi:type="dcterms:W3CDTF">2022-03-31T15:30:00Z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