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1268" w14:textId="2ABDA653" w:rsidR="00A4759E" w:rsidRPr="00485C89" w:rsidRDefault="00A4759E" w:rsidP="00921DC7">
      <w:pPr>
        <w:keepNext/>
        <w:keepLines/>
        <w:spacing w:before="240" w:after="0"/>
        <w:outlineLvl w:val="0"/>
        <w:rPr>
          <w:rFonts w:eastAsiaTheme="majorEastAsia" w:cstheme="minorHAnsi"/>
          <w:color w:val="000000" w:themeColor="text1"/>
          <w:sz w:val="24"/>
          <w:szCs w:val="24"/>
          <w:lang w:val="en-US"/>
        </w:rPr>
      </w:pPr>
      <w:bookmarkStart w:id="0" w:name="_Hlk14101318"/>
      <w:bookmarkStart w:id="1" w:name="_GoBack"/>
      <w:bookmarkEnd w:id="1"/>
    </w:p>
    <w:p w14:paraId="46C92E2F" w14:textId="63D933F5" w:rsidR="00A4759E" w:rsidRPr="00AE76A7" w:rsidRDefault="000917A5" w:rsidP="00CA29FE">
      <w:pPr>
        <w:keepNext/>
        <w:keepLines/>
        <w:spacing w:before="240" w:after="0"/>
        <w:ind w:firstLine="709"/>
        <w:jc w:val="right"/>
        <w:outlineLvl w:val="0"/>
        <w:rPr>
          <w:rFonts w:eastAsiaTheme="majorEastAsia" w:cstheme="minorHAnsi"/>
          <w:i/>
          <w:iCs/>
          <w:color w:val="000000" w:themeColor="text1"/>
          <w:sz w:val="20"/>
          <w:szCs w:val="20"/>
        </w:rPr>
      </w:pPr>
      <w:r w:rsidRPr="00AE76A7">
        <w:rPr>
          <w:rFonts w:eastAsiaTheme="majorEastAsia" w:cstheme="minorHAnsi"/>
          <w:i/>
          <w:iCs/>
          <w:color w:val="000000" w:themeColor="text1"/>
          <w:sz w:val="20"/>
          <w:szCs w:val="20"/>
        </w:rPr>
        <w:t>Saudi</w:t>
      </w:r>
      <w:r w:rsidR="00683AEF" w:rsidRPr="00AE76A7">
        <w:rPr>
          <w:rFonts w:eastAsiaTheme="majorEastAsia" w:cstheme="minorHAnsi"/>
          <w:i/>
          <w:iCs/>
          <w:color w:val="000000" w:themeColor="text1"/>
          <w:sz w:val="20"/>
          <w:szCs w:val="20"/>
        </w:rPr>
        <w:t xml:space="preserve"> FRAX model </w:t>
      </w:r>
      <w:r w:rsidR="00C474BE" w:rsidRPr="00AE76A7">
        <w:rPr>
          <w:rFonts w:eastAsiaTheme="majorEastAsia" w:cstheme="minorHAnsi"/>
          <w:i/>
          <w:iCs/>
          <w:color w:val="000000" w:themeColor="text1"/>
          <w:sz w:val="20"/>
          <w:szCs w:val="20"/>
        </w:rPr>
        <w:t>v</w:t>
      </w:r>
      <w:r w:rsidR="00C474BE">
        <w:rPr>
          <w:rFonts w:eastAsiaTheme="majorEastAsia" w:cstheme="minorHAnsi"/>
          <w:i/>
          <w:iCs/>
          <w:color w:val="000000" w:themeColor="text1"/>
          <w:sz w:val="20"/>
          <w:szCs w:val="20"/>
        </w:rPr>
        <w:t>5</w:t>
      </w:r>
    </w:p>
    <w:p w14:paraId="2FEBCC44" w14:textId="73E8EAE4" w:rsidR="006774AF" w:rsidRPr="00CA29FE" w:rsidRDefault="00DA2F44" w:rsidP="00285BA9">
      <w:pPr>
        <w:keepNext/>
        <w:keepLines/>
        <w:spacing w:before="240" w:after="0"/>
        <w:ind w:left="1134"/>
        <w:jc w:val="center"/>
        <w:outlineLvl w:val="0"/>
        <w:rPr>
          <w:rFonts w:eastAsiaTheme="majorEastAsia" w:cstheme="minorHAnsi"/>
          <w:b/>
          <w:bCs/>
          <w:color w:val="000000" w:themeColor="text1"/>
          <w:sz w:val="32"/>
          <w:szCs w:val="32"/>
        </w:rPr>
      </w:pPr>
      <w:r>
        <w:rPr>
          <w:rFonts w:eastAsiaTheme="majorEastAsia" w:cstheme="minorHAnsi"/>
          <w:b/>
          <w:bCs/>
          <w:color w:val="000000" w:themeColor="text1"/>
          <w:sz w:val="32"/>
          <w:szCs w:val="32"/>
        </w:rPr>
        <w:t>Incidence</w:t>
      </w:r>
      <w:r w:rsidRPr="00CA29FE">
        <w:rPr>
          <w:rFonts w:eastAsiaTheme="majorEastAsia" w:cstheme="minorHAnsi"/>
          <w:b/>
          <w:bCs/>
          <w:color w:val="000000" w:themeColor="text1"/>
          <w:sz w:val="32"/>
          <w:szCs w:val="32"/>
        </w:rPr>
        <w:t xml:space="preserve"> </w:t>
      </w:r>
      <w:r w:rsidR="006774AF" w:rsidRPr="00CA29FE">
        <w:rPr>
          <w:rFonts w:eastAsiaTheme="majorEastAsia" w:cstheme="minorHAnsi"/>
          <w:b/>
          <w:bCs/>
          <w:color w:val="000000" w:themeColor="text1"/>
          <w:sz w:val="32"/>
          <w:szCs w:val="32"/>
        </w:rPr>
        <w:t xml:space="preserve">of hip fracture </w:t>
      </w:r>
      <w:r>
        <w:rPr>
          <w:rFonts w:eastAsiaTheme="majorEastAsia" w:cstheme="minorHAnsi"/>
          <w:b/>
          <w:bCs/>
          <w:color w:val="000000" w:themeColor="text1"/>
          <w:sz w:val="32"/>
          <w:szCs w:val="32"/>
        </w:rPr>
        <w:t xml:space="preserve">in </w:t>
      </w:r>
      <w:r w:rsidRPr="00DA2F44">
        <w:rPr>
          <w:rFonts w:eastAsiaTheme="majorEastAsia" w:cstheme="minorHAnsi"/>
          <w:b/>
          <w:bCs/>
          <w:color w:val="000000" w:themeColor="text1"/>
          <w:sz w:val="32"/>
          <w:szCs w:val="32"/>
        </w:rPr>
        <w:t>Saudi Arabia</w:t>
      </w:r>
      <w:r w:rsidR="00114EE6">
        <w:rPr>
          <w:rFonts w:eastAsiaTheme="majorEastAsia" w:cstheme="minorHAnsi"/>
          <w:b/>
          <w:bCs/>
          <w:color w:val="000000" w:themeColor="text1"/>
          <w:sz w:val="32"/>
          <w:szCs w:val="32"/>
        </w:rPr>
        <w:t xml:space="preserve"> </w:t>
      </w:r>
      <w:r w:rsidR="00EA4938" w:rsidRPr="00CA29FE">
        <w:rPr>
          <w:rFonts w:eastAsiaTheme="majorEastAsia" w:cstheme="minorHAnsi"/>
          <w:b/>
          <w:bCs/>
          <w:color w:val="000000" w:themeColor="text1"/>
          <w:sz w:val="32"/>
          <w:szCs w:val="32"/>
        </w:rPr>
        <w:t xml:space="preserve">and the development of a FRAX model </w:t>
      </w:r>
    </w:p>
    <w:p w14:paraId="44F2943E" w14:textId="77777777" w:rsidR="006774AF" w:rsidRPr="00C14061" w:rsidRDefault="006774AF" w:rsidP="00285BA9">
      <w:pPr>
        <w:spacing w:after="0"/>
        <w:ind w:left="1134"/>
        <w:rPr>
          <w:rFonts w:eastAsia="Times New Roman" w:cstheme="minorHAnsi"/>
          <w:sz w:val="24"/>
          <w:szCs w:val="24"/>
          <w:lang w:val="en-US" w:eastAsia="ru-RU"/>
        </w:rPr>
      </w:pPr>
    </w:p>
    <w:p w14:paraId="3D126BEC" w14:textId="1E8F11A8" w:rsidR="00804886" w:rsidRDefault="00DA32D8" w:rsidP="003F6278">
      <w:pPr>
        <w:spacing w:after="0"/>
        <w:ind w:right="708"/>
        <w:rPr>
          <w:rFonts w:eastAsia="Times New Roman" w:cstheme="minorHAnsi"/>
          <w:sz w:val="24"/>
          <w:szCs w:val="24"/>
          <w:lang w:val="en-US" w:eastAsia="ru-RU"/>
        </w:rPr>
      </w:pPr>
      <w:r w:rsidRPr="00DA32D8">
        <w:rPr>
          <w:rFonts w:eastAsia="Times New Roman" w:cstheme="minorHAnsi"/>
          <w:sz w:val="24"/>
          <w:szCs w:val="24"/>
          <w:lang w:val="en-US" w:eastAsia="ru-RU"/>
        </w:rPr>
        <w:t>Yousef AL Saleh · Riad A Sulimani · Shaker ALomary · Yassmeen I Alnajjar · Liesbeth Vandenput · Enwu Liu · Mattias Lorentzon · Nicholas C Harvey · Eugene V McCloskey · Helena Johansson · John A Kanis and the Saudi FRAX Study Group*</w:t>
      </w:r>
    </w:p>
    <w:p w14:paraId="5F15E207" w14:textId="289A466C" w:rsidR="006774AF" w:rsidRPr="00C14061" w:rsidRDefault="006774AF" w:rsidP="003F6278">
      <w:pPr>
        <w:spacing w:after="0"/>
        <w:ind w:right="708"/>
        <w:rPr>
          <w:rFonts w:eastAsia="Times New Roman" w:cstheme="minorHAnsi"/>
          <w:sz w:val="24"/>
          <w:szCs w:val="24"/>
          <w:lang w:val="en-US" w:eastAsia="ru-RU"/>
        </w:rPr>
      </w:pPr>
    </w:p>
    <w:tbl>
      <w:tblPr>
        <w:tblStyle w:val="TableGrid4"/>
        <w:tblW w:w="0" w:type="auto"/>
        <w:tblLayout w:type="fixed"/>
        <w:tblLook w:val="04A0" w:firstRow="1" w:lastRow="0" w:firstColumn="1" w:lastColumn="0" w:noHBand="0" w:noVBand="1"/>
      </w:tblPr>
      <w:tblGrid>
        <w:gridCol w:w="1980"/>
        <w:gridCol w:w="4111"/>
        <w:gridCol w:w="2926"/>
      </w:tblGrid>
      <w:tr w:rsidR="00111AEB" w:rsidRPr="00580527" w14:paraId="1129025E" w14:textId="77777777" w:rsidTr="00111AEB">
        <w:trPr>
          <w:trHeight w:val="302"/>
        </w:trPr>
        <w:tc>
          <w:tcPr>
            <w:tcW w:w="1980" w:type="dxa"/>
            <w:vMerge w:val="restart"/>
          </w:tcPr>
          <w:p w14:paraId="043B9C0F" w14:textId="73C3F60A" w:rsidR="00111AEB" w:rsidRPr="00580527" w:rsidRDefault="00111AEB" w:rsidP="00EF7D0A">
            <w:pPr>
              <w:spacing w:after="200" w:line="276" w:lineRule="auto"/>
              <w:jc w:val="left"/>
              <w:rPr>
                <w:rFonts w:eastAsia="Times New Roman" w:cs="Calibri"/>
                <w:sz w:val="20"/>
                <w:szCs w:val="20"/>
                <w:lang w:val="en-AU" w:eastAsia="en-GB"/>
              </w:rPr>
            </w:pPr>
            <w:r w:rsidRPr="00580527">
              <w:rPr>
                <w:rFonts w:eastAsia="Times New Roman" w:cstheme="minorHAnsi"/>
                <w:sz w:val="20"/>
                <w:szCs w:val="20"/>
                <w:lang w:eastAsia="ru-RU"/>
              </w:rPr>
              <w:t xml:space="preserve">Yousef </w:t>
            </w:r>
            <w:r w:rsidR="009D397B" w:rsidRPr="00580527">
              <w:rPr>
                <w:rFonts w:eastAsia="Times New Roman" w:cstheme="minorHAnsi"/>
                <w:sz w:val="20"/>
                <w:szCs w:val="20"/>
                <w:lang w:eastAsia="ru-RU"/>
              </w:rPr>
              <w:t>Al-</w:t>
            </w:r>
            <w:r w:rsidRPr="00580527">
              <w:rPr>
                <w:rFonts w:eastAsia="Times New Roman" w:cstheme="minorHAnsi"/>
                <w:sz w:val="20"/>
                <w:szCs w:val="20"/>
                <w:lang w:eastAsia="ru-RU"/>
              </w:rPr>
              <w:t>Saleh</w:t>
            </w:r>
          </w:p>
        </w:tc>
        <w:tc>
          <w:tcPr>
            <w:tcW w:w="4111" w:type="dxa"/>
          </w:tcPr>
          <w:p w14:paraId="7DDEA84A" w14:textId="04BC910D" w:rsidR="00111AEB" w:rsidRPr="00580527" w:rsidRDefault="00111AEB"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College of Medicine, King Saud bin Abdulaziz University for Health Sciences, Riyadh, Saudi Arabia</w:t>
            </w:r>
          </w:p>
        </w:tc>
        <w:tc>
          <w:tcPr>
            <w:tcW w:w="2926" w:type="dxa"/>
            <w:vMerge w:val="restart"/>
          </w:tcPr>
          <w:p w14:paraId="61EB0B9A" w14:textId="76F2C8D6" w:rsidR="00111AEB" w:rsidRPr="00580527" w:rsidRDefault="00111AEB"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Salehy1@ngha.med.sa</w:t>
            </w:r>
          </w:p>
        </w:tc>
      </w:tr>
      <w:tr w:rsidR="00111AEB" w:rsidRPr="00580527" w14:paraId="7CF01E4A" w14:textId="77777777" w:rsidTr="005C64C5">
        <w:trPr>
          <w:trHeight w:val="302"/>
        </w:trPr>
        <w:tc>
          <w:tcPr>
            <w:tcW w:w="1980" w:type="dxa"/>
            <w:vMerge/>
          </w:tcPr>
          <w:p w14:paraId="315D5EF1" w14:textId="77777777" w:rsidR="00111AEB" w:rsidRPr="00580527" w:rsidRDefault="00111AEB" w:rsidP="00EF7D0A">
            <w:pPr>
              <w:spacing w:after="200" w:line="276" w:lineRule="auto"/>
              <w:jc w:val="left"/>
              <w:rPr>
                <w:rFonts w:eastAsia="Times New Roman" w:cstheme="minorHAnsi"/>
                <w:sz w:val="20"/>
                <w:szCs w:val="20"/>
                <w:lang w:eastAsia="ru-RU"/>
              </w:rPr>
            </w:pPr>
          </w:p>
        </w:tc>
        <w:tc>
          <w:tcPr>
            <w:tcW w:w="4111" w:type="dxa"/>
          </w:tcPr>
          <w:p w14:paraId="66101957" w14:textId="01E636C6" w:rsidR="00111AEB" w:rsidRPr="00580527" w:rsidRDefault="00111AEB"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King Abdullah International Medical Research Center, Riyadh, Saudi Arabia</w:t>
            </w:r>
          </w:p>
        </w:tc>
        <w:tc>
          <w:tcPr>
            <w:tcW w:w="2926" w:type="dxa"/>
            <w:vMerge/>
          </w:tcPr>
          <w:p w14:paraId="12A91DFD" w14:textId="77777777" w:rsidR="00111AEB" w:rsidRPr="00580527" w:rsidRDefault="00111AEB" w:rsidP="00EF7D0A">
            <w:pPr>
              <w:spacing w:after="200" w:line="276" w:lineRule="auto"/>
              <w:jc w:val="left"/>
              <w:rPr>
                <w:rFonts w:eastAsia="Times New Roman" w:cs="Calibri"/>
                <w:sz w:val="20"/>
                <w:szCs w:val="20"/>
                <w:lang w:val="en-AU" w:eastAsia="en-GB"/>
              </w:rPr>
            </w:pPr>
          </w:p>
        </w:tc>
      </w:tr>
      <w:tr w:rsidR="00111AEB" w:rsidRPr="00580527" w14:paraId="16677274" w14:textId="77777777" w:rsidTr="005C64C5">
        <w:trPr>
          <w:trHeight w:val="302"/>
        </w:trPr>
        <w:tc>
          <w:tcPr>
            <w:tcW w:w="1980" w:type="dxa"/>
            <w:vMerge/>
          </w:tcPr>
          <w:p w14:paraId="22C7039B" w14:textId="77777777" w:rsidR="00111AEB" w:rsidRPr="00580527" w:rsidRDefault="00111AEB" w:rsidP="00EF7D0A">
            <w:pPr>
              <w:spacing w:after="200" w:line="276" w:lineRule="auto"/>
              <w:jc w:val="left"/>
              <w:rPr>
                <w:rFonts w:eastAsia="Times New Roman" w:cstheme="minorHAnsi"/>
                <w:sz w:val="20"/>
                <w:szCs w:val="20"/>
                <w:lang w:eastAsia="ru-RU"/>
              </w:rPr>
            </w:pPr>
          </w:p>
        </w:tc>
        <w:tc>
          <w:tcPr>
            <w:tcW w:w="4111" w:type="dxa"/>
          </w:tcPr>
          <w:p w14:paraId="47E21B90" w14:textId="66E91F17" w:rsidR="00111AEB" w:rsidRPr="00580527" w:rsidRDefault="00111AEB"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Department of Medicine, King Abdulaziz Medical City, Riyadh, Ministry of National Guard-Health Affairs, Riyadh, Saudi Arabia</w:t>
            </w:r>
          </w:p>
        </w:tc>
        <w:tc>
          <w:tcPr>
            <w:tcW w:w="2926" w:type="dxa"/>
            <w:vMerge/>
          </w:tcPr>
          <w:p w14:paraId="48483D60" w14:textId="77777777" w:rsidR="00111AEB" w:rsidRPr="00580527" w:rsidRDefault="00111AEB" w:rsidP="00EF7D0A">
            <w:pPr>
              <w:spacing w:after="200" w:line="276" w:lineRule="auto"/>
              <w:jc w:val="left"/>
              <w:rPr>
                <w:rFonts w:eastAsia="Times New Roman" w:cs="Calibri"/>
                <w:sz w:val="20"/>
                <w:szCs w:val="20"/>
                <w:lang w:val="en-AU" w:eastAsia="en-GB"/>
              </w:rPr>
            </w:pPr>
          </w:p>
        </w:tc>
      </w:tr>
      <w:tr w:rsidR="00111AEB" w:rsidRPr="00580527" w14:paraId="25D9FEFB" w14:textId="77777777" w:rsidTr="005C64C5">
        <w:trPr>
          <w:trHeight w:val="302"/>
        </w:trPr>
        <w:tc>
          <w:tcPr>
            <w:tcW w:w="1980" w:type="dxa"/>
            <w:vMerge/>
          </w:tcPr>
          <w:p w14:paraId="199E992B" w14:textId="77777777" w:rsidR="00111AEB" w:rsidRPr="00580527" w:rsidRDefault="00111AEB" w:rsidP="00EF7D0A">
            <w:pPr>
              <w:spacing w:after="200" w:line="276" w:lineRule="auto"/>
              <w:jc w:val="left"/>
              <w:rPr>
                <w:rFonts w:eastAsia="Times New Roman" w:cstheme="minorHAnsi"/>
                <w:sz w:val="20"/>
                <w:szCs w:val="20"/>
                <w:lang w:eastAsia="ru-RU"/>
              </w:rPr>
            </w:pPr>
          </w:p>
        </w:tc>
        <w:tc>
          <w:tcPr>
            <w:tcW w:w="4111" w:type="dxa"/>
          </w:tcPr>
          <w:p w14:paraId="7466D5F8" w14:textId="65095370" w:rsidR="00111AEB" w:rsidRPr="00580527" w:rsidRDefault="009D397B" w:rsidP="00EF7D0A">
            <w:pPr>
              <w:spacing w:after="200" w:line="276" w:lineRule="auto"/>
              <w:jc w:val="left"/>
              <w:rPr>
                <w:rFonts w:eastAsia="Times New Roman" w:cs="Calibri"/>
                <w:sz w:val="20"/>
                <w:szCs w:val="20"/>
                <w:lang w:val="en-AU" w:eastAsia="en-GB"/>
              </w:rPr>
            </w:pPr>
            <w:r w:rsidRPr="00580527">
              <w:rPr>
                <w:sz w:val="20"/>
                <w:szCs w:val="20"/>
              </w:rPr>
              <w:t>Chair for Biomarkers of Chronic Diseases, Biochemistry Department, College of Science, King Saud University, Riyadh, Saudi Arabia</w:t>
            </w:r>
          </w:p>
        </w:tc>
        <w:tc>
          <w:tcPr>
            <w:tcW w:w="2926" w:type="dxa"/>
            <w:vMerge/>
          </w:tcPr>
          <w:p w14:paraId="282B72A5" w14:textId="77777777" w:rsidR="00111AEB" w:rsidRPr="00580527" w:rsidRDefault="00111AEB" w:rsidP="00EF7D0A">
            <w:pPr>
              <w:spacing w:after="200" w:line="276" w:lineRule="auto"/>
              <w:jc w:val="left"/>
              <w:rPr>
                <w:rFonts w:eastAsia="Times New Roman" w:cs="Calibri"/>
                <w:sz w:val="20"/>
                <w:szCs w:val="20"/>
                <w:lang w:val="en-AU" w:eastAsia="en-GB"/>
              </w:rPr>
            </w:pPr>
          </w:p>
        </w:tc>
      </w:tr>
      <w:tr w:rsidR="00EA3E89" w:rsidRPr="00580527" w14:paraId="36A2FB13" w14:textId="77777777" w:rsidTr="005C64C5">
        <w:tc>
          <w:tcPr>
            <w:tcW w:w="1980" w:type="dxa"/>
          </w:tcPr>
          <w:p w14:paraId="1F11D769" w14:textId="6DF780DA" w:rsidR="00EA3E89" w:rsidRPr="00580527" w:rsidRDefault="006C697E" w:rsidP="00EF7D0A">
            <w:pPr>
              <w:spacing w:after="200" w:line="276" w:lineRule="auto"/>
              <w:jc w:val="left"/>
              <w:rPr>
                <w:rFonts w:eastAsia="Times New Roman" w:cstheme="minorHAnsi"/>
                <w:sz w:val="20"/>
                <w:szCs w:val="20"/>
                <w:highlight w:val="yellow"/>
                <w:lang w:eastAsia="ru-RU"/>
              </w:rPr>
            </w:pPr>
            <w:r w:rsidRPr="00580527">
              <w:rPr>
                <w:rFonts w:eastAsia="Times New Roman" w:cstheme="minorHAnsi"/>
                <w:sz w:val="20"/>
                <w:szCs w:val="20"/>
                <w:lang w:eastAsia="ru-RU"/>
              </w:rPr>
              <w:t>Riad Sulimani</w:t>
            </w:r>
          </w:p>
        </w:tc>
        <w:tc>
          <w:tcPr>
            <w:tcW w:w="4111" w:type="dxa"/>
          </w:tcPr>
          <w:p w14:paraId="0A818BBF" w14:textId="1A7E5DBF" w:rsidR="00EA3E89" w:rsidRPr="00580527" w:rsidRDefault="004B633E" w:rsidP="006C697E">
            <w:pPr>
              <w:spacing w:after="200" w:line="276" w:lineRule="auto"/>
              <w:jc w:val="left"/>
              <w:rPr>
                <w:rFonts w:eastAsia="Times New Roman" w:cs="Calibri"/>
                <w:sz w:val="20"/>
                <w:szCs w:val="20"/>
                <w:highlight w:val="yellow"/>
                <w:lang w:val="en-AU" w:eastAsia="en-GB"/>
              </w:rPr>
            </w:pPr>
            <w:r w:rsidRPr="00580527">
              <w:rPr>
                <w:rFonts w:cs="Calibri"/>
                <w:sz w:val="20"/>
                <w:szCs w:val="20"/>
                <w:lang w:val="en-AU" w:eastAsia="en-GB"/>
              </w:rPr>
              <w:t>Department of Medicine, King Khaled University Hospital, College of Medicine, King Saud University Medical City, King Saud University, Riyadh, Saudi Arabia</w:t>
            </w:r>
          </w:p>
        </w:tc>
        <w:tc>
          <w:tcPr>
            <w:tcW w:w="2926" w:type="dxa"/>
          </w:tcPr>
          <w:p w14:paraId="26DAE57F" w14:textId="03FB1ADF" w:rsidR="00EA3E89" w:rsidRPr="00580527" w:rsidRDefault="006C697E" w:rsidP="00EF7D0A">
            <w:pPr>
              <w:spacing w:after="200" w:line="276" w:lineRule="auto"/>
              <w:jc w:val="left"/>
              <w:rPr>
                <w:rFonts w:eastAsia="Times New Roman" w:cs="Calibri"/>
                <w:sz w:val="20"/>
                <w:szCs w:val="20"/>
                <w:highlight w:val="yellow"/>
                <w:lang w:val="en-AU" w:eastAsia="en-GB"/>
              </w:rPr>
            </w:pPr>
            <w:r w:rsidRPr="00580527">
              <w:rPr>
                <w:rFonts w:eastAsia="Times New Roman" w:cs="Calibri"/>
                <w:sz w:val="20"/>
                <w:szCs w:val="20"/>
                <w:lang w:val="en-AU" w:eastAsia="en-GB"/>
              </w:rPr>
              <w:t>sulimanirs@gmail.com</w:t>
            </w:r>
          </w:p>
        </w:tc>
      </w:tr>
      <w:tr w:rsidR="006C697E" w:rsidRPr="00580527" w14:paraId="23464100" w14:textId="77777777" w:rsidTr="005C64C5">
        <w:tc>
          <w:tcPr>
            <w:tcW w:w="1980" w:type="dxa"/>
          </w:tcPr>
          <w:p w14:paraId="6683DFAB" w14:textId="2B545B71" w:rsidR="006C697E" w:rsidRPr="00580527" w:rsidRDefault="006C697E" w:rsidP="006C697E">
            <w:pPr>
              <w:spacing w:after="200" w:line="276" w:lineRule="auto"/>
              <w:jc w:val="left"/>
              <w:rPr>
                <w:rFonts w:eastAsia="Times New Roman" w:cs="Calibri"/>
                <w:sz w:val="20"/>
                <w:szCs w:val="20"/>
                <w:lang w:eastAsia="ru-RU"/>
              </w:rPr>
            </w:pPr>
            <w:r w:rsidRPr="00580527">
              <w:rPr>
                <w:rFonts w:eastAsia="Times New Roman" w:cs="Calibri"/>
                <w:sz w:val="20"/>
                <w:szCs w:val="20"/>
                <w:lang w:eastAsia="ru-RU"/>
              </w:rPr>
              <w:t xml:space="preserve">Shaker </w:t>
            </w:r>
            <w:r w:rsidR="009D397B" w:rsidRPr="00580527">
              <w:rPr>
                <w:rFonts w:eastAsia="Times New Roman" w:cs="Calibri"/>
                <w:sz w:val="20"/>
                <w:szCs w:val="20"/>
                <w:lang w:eastAsia="ru-RU"/>
              </w:rPr>
              <w:t>Alomary</w:t>
            </w:r>
          </w:p>
        </w:tc>
        <w:tc>
          <w:tcPr>
            <w:tcW w:w="4111" w:type="dxa"/>
          </w:tcPr>
          <w:p w14:paraId="493641ED" w14:textId="2F97543C" w:rsidR="006C697E" w:rsidRPr="00580527" w:rsidRDefault="006C697E" w:rsidP="006C697E">
            <w:pPr>
              <w:pStyle w:val="xmsonormal"/>
              <w:shd w:val="clear" w:color="auto" w:fill="FFFFFF"/>
              <w:spacing w:before="0" w:beforeAutospacing="0" w:after="0" w:afterAutospacing="0" w:line="235" w:lineRule="atLeast"/>
              <w:rPr>
                <w:rFonts w:ascii="Calibri" w:hAnsi="Calibri" w:cs="Calibri"/>
                <w:sz w:val="20"/>
                <w:szCs w:val="20"/>
                <w:bdr w:val="none" w:sz="0" w:space="0" w:color="auto" w:frame="1"/>
                <w:shd w:val="clear" w:color="auto" w:fill="FFFFFF"/>
              </w:rPr>
            </w:pPr>
            <w:r w:rsidRPr="00580527">
              <w:rPr>
                <w:rFonts w:ascii="Calibri" w:hAnsi="Calibri" w:cs="Calibri"/>
                <w:sz w:val="20"/>
                <w:szCs w:val="20"/>
                <w:bdr w:val="none" w:sz="0" w:space="0" w:color="auto" w:frame="1"/>
                <w:shd w:val="clear" w:color="auto" w:fill="FFFFFF"/>
              </w:rPr>
              <w:t>General Directorate of Health Programs and Chronic Diseases,</w:t>
            </w:r>
          </w:p>
          <w:p w14:paraId="6C2889FF" w14:textId="3D591DCC" w:rsidR="006C697E" w:rsidRPr="00580527" w:rsidRDefault="006C697E" w:rsidP="006C697E">
            <w:pPr>
              <w:spacing w:after="200" w:line="276" w:lineRule="auto"/>
              <w:jc w:val="left"/>
              <w:rPr>
                <w:rFonts w:eastAsia="Times New Roman" w:cs="Calibri"/>
                <w:sz w:val="20"/>
                <w:szCs w:val="20"/>
                <w:lang w:val="en-AU" w:eastAsia="en-GB"/>
              </w:rPr>
            </w:pPr>
            <w:r w:rsidRPr="00580527">
              <w:rPr>
                <w:rFonts w:cs="Calibri"/>
                <w:sz w:val="20"/>
                <w:szCs w:val="20"/>
                <w:bdr w:val="none" w:sz="0" w:space="0" w:color="auto" w:frame="1"/>
                <w:shd w:val="clear" w:color="auto" w:fill="FFFFFF"/>
              </w:rPr>
              <w:t>Ministry of Health, Riyadh, Saudi Arabia</w:t>
            </w:r>
          </w:p>
        </w:tc>
        <w:tc>
          <w:tcPr>
            <w:tcW w:w="2926" w:type="dxa"/>
          </w:tcPr>
          <w:p w14:paraId="2FD67580" w14:textId="77777777" w:rsidR="006C697E" w:rsidRPr="00580527" w:rsidRDefault="00EA4526" w:rsidP="006C697E">
            <w:pPr>
              <w:pStyle w:val="xmsonormal"/>
              <w:shd w:val="clear" w:color="auto" w:fill="FFFFFF"/>
              <w:spacing w:before="0" w:beforeAutospacing="0" w:after="0" w:afterAutospacing="0" w:line="235" w:lineRule="atLeast"/>
              <w:rPr>
                <w:rFonts w:ascii="Calibri" w:hAnsi="Calibri" w:cs="Calibri"/>
                <w:b/>
                <w:bCs/>
                <w:sz w:val="20"/>
                <w:szCs w:val="20"/>
                <w:bdr w:val="none" w:sz="0" w:space="0" w:color="auto" w:frame="1"/>
                <w:shd w:val="clear" w:color="auto" w:fill="FFFFFF"/>
              </w:rPr>
            </w:pPr>
            <w:hyperlink r:id="rId8" w:history="1">
              <w:r w:rsidR="006C697E" w:rsidRPr="00580527">
                <w:rPr>
                  <w:rStyle w:val="Hyperlink"/>
                  <w:rFonts w:ascii="Calibri" w:eastAsiaTheme="majorEastAsia" w:hAnsi="Calibri" w:cs="Calibri"/>
                  <w:sz w:val="20"/>
                  <w:szCs w:val="20"/>
                  <w:bdr w:val="none" w:sz="0" w:space="0" w:color="auto" w:frame="1"/>
                  <w:shd w:val="clear" w:color="auto" w:fill="FFFFFF"/>
                </w:rPr>
                <w:t>shalomary@moh.gov.sa</w:t>
              </w:r>
            </w:hyperlink>
            <w:r w:rsidR="006C697E" w:rsidRPr="00580527">
              <w:rPr>
                <w:rFonts w:ascii="Calibri" w:hAnsi="Calibri" w:cs="Calibri"/>
                <w:b/>
                <w:bCs/>
                <w:sz w:val="20"/>
                <w:szCs w:val="20"/>
                <w:bdr w:val="none" w:sz="0" w:space="0" w:color="auto" w:frame="1"/>
                <w:shd w:val="clear" w:color="auto" w:fill="FFFFFF"/>
              </w:rPr>
              <w:t xml:space="preserve"> </w:t>
            </w:r>
          </w:p>
          <w:p w14:paraId="6A42E489" w14:textId="77777777" w:rsidR="006C697E" w:rsidRPr="00580527" w:rsidRDefault="006C697E" w:rsidP="006C697E">
            <w:pPr>
              <w:spacing w:after="200" w:line="276" w:lineRule="auto"/>
              <w:jc w:val="left"/>
              <w:rPr>
                <w:rFonts w:eastAsia="Times New Roman" w:cs="Calibri"/>
                <w:sz w:val="20"/>
                <w:szCs w:val="20"/>
                <w:lang w:val="en-AU" w:eastAsia="en-GB"/>
              </w:rPr>
            </w:pPr>
          </w:p>
        </w:tc>
      </w:tr>
      <w:tr w:rsidR="006C697E" w:rsidRPr="00580527" w14:paraId="1E4FEFFA" w14:textId="77777777" w:rsidTr="005C64C5">
        <w:tc>
          <w:tcPr>
            <w:tcW w:w="1980" w:type="dxa"/>
          </w:tcPr>
          <w:p w14:paraId="51668DD5" w14:textId="5079BE36" w:rsidR="006C697E" w:rsidRPr="00580527" w:rsidRDefault="006C697E" w:rsidP="006C697E">
            <w:pPr>
              <w:pStyle w:val="xmsonormal"/>
              <w:shd w:val="clear" w:color="auto" w:fill="FFFFFF"/>
              <w:spacing w:before="0" w:beforeAutospacing="0" w:after="0" w:afterAutospacing="0" w:line="235" w:lineRule="atLeast"/>
              <w:rPr>
                <w:rFonts w:ascii="Calibri" w:hAnsi="Calibri" w:cs="Calibri"/>
                <w:sz w:val="20"/>
                <w:szCs w:val="20"/>
                <w:bdr w:val="none" w:sz="0" w:space="0" w:color="auto" w:frame="1"/>
                <w:shd w:val="clear" w:color="auto" w:fill="FFFFFF"/>
              </w:rPr>
            </w:pPr>
            <w:r w:rsidRPr="00580527">
              <w:rPr>
                <w:rFonts w:ascii="Calibri" w:hAnsi="Calibri" w:cs="Calibri"/>
                <w:sz w:val="20"/>
                <w:szCs w:val="20"/>
                <w:bdr w:val="none" w:sz="0" w:space="0" w:color="auto" w:frame="1"/>
                <w:shd w:val="clear" w:color="auto" w:fill="FFFFFF"/>
              </w:rPr>
              <w:t xml:space="preserve">Yassmeen </w:t>
            </w:r>
            <w:r w:rsidR="009D397B" w:rsidRPr="00580527">
              <w:rPr>
                <w:rFonts w:ascii="Calibri" w:hAnsi="Calibri" w:cs="Calibri"/>
                <w:sz w:val="20"/>
                <w:szCs w:val="20"/>
                <w:bdr w:val="none" w:sz="0" w:space="0" w:color="auto" w:frame="1"/>
                <w:shd w:val="clear" w:color="auto" w:fill="FFFFFF"/>
              </w:rPr>
              <w:t>Alnajjar</w:t>
            </w:r>
          </w:p>
          <w:p w14:paraId="0ABDA02A" w14:textId="77777777" w:rsidR="006C697E" w:rsidRPr="00580527" w:rsidRDefault="006C697E" w:rsidP="006C697E">
            <w:pPr>
              <w:spacing w:after="200" w:line="276" w:lineRule="auto"/>
              <w:jc w:val="left"/>
              <w:rPr>
                <w:rFonts w:eastAsia="Times New Roman" w:cs="Calibri"/>
                <w:sz w:val="20"/>
                <w:szCs w:val="20"/>
                <w:lang w:eastAsia="ru-RU"/>
              </w:rPr>
            </w:pPr>
          </w:p>
        </w:tc>
        <w:tc>
          <w:tcPr>
            <w:tcW w:w="4111" w:type="dxa"/>
          </w:tcPr>
          <w:p w14:paraId="27B62A0D" w14:textId="7683915A" w:rsidR="006C697E" w:rsidRPr="00580527" w:rsidRDefault="006C697E" w:rsidP="006C697E">
            <w:pPr>
              <w:pStyle w:val="xmsonormal"/>
              <w:shd w:val="clear" w:color="auto" w:fill="FFFFFF"/>
              <w:spacing w:before="0" w:beforeAutospacing="0" w:after="0" w:afterAutospacing="0" w:line="235" w:lineRule="atLeast"/>
              <w:rPr>
                <w:rFonts w:ascii="Calibri" w:hAnsi="Calibri" w:cs="Calibri"/>
                <w:sz w:val="20"/>
                <w:szCs w:val="20"/>
                <w:lang w:val="en-AU" w:eastAsia="en-GB"/>
              </w:rPr>
            </w:pPr>
            <w:r w:rsidRPr="00580527">
              <w:rPr>
                <w:rFonts w:ascii="Calibri" w:hAnsi="Calibri" w:cs="Calibri"/>
                <w:sz w:val="20"/>
                <w:szCs w:val="20"/>
                <w:bdr w:val="none" w:sz="0" w:space="0" w:color="auto" w:frame="1"/>
                <w:shd w:val="clear" w:color="auto" w:fill="FFFFFF"/>
              </w:rPr>
              <w:t>General Directorate of Health Programs and Chronic Diseases, Osteoporosis Program, Ministry of Health, Riyadh, Saudi Arabia</w:t>
            </w:r>
          </w:p>
        </w:tc>
        <w:tc>
          <w:tcPr>
            <w:tcW w:w="2926" w:type="dxa"/>
          </w:tcPr>
          <w:p w14:paraId="625EE9DD" w14:textId="77777777" w:rsidR="006C697E" w:rsidRPr="00580527" w:rsidRDefault="006C697E" w:rsidP="006C697E">
            <w:pPr>
              <w:pStyle w:val="xmsonormal"/>
              <w:shd w:val="clear" w:color="auto" w:fill="FFFFFF"/>
              <w:spacing w:before="0" w:beforeAutospacing="0" w:after="0" w:afterAutospacing="0" w:line="235" w:lineRule="atLeast"/>
              <w:rPr>
                <w:rFonts w:ascii="Calibri" w:hAnsi="Calibri" w:cs="Calibri"/>
                <w:sz w:val="20"/>
                <w:szCs w:val="20"/>
                <w:bdr w:val="none" w:sz="0" w:space="0" w:color="auto" w:frame="1"/>
                <w:shd w:val="clear" w:color="auto" w:fill="FFFFFF"/>
              </w:rPr>
            </w:pPr>
            <w:r w:rsidRPr="00580527">
              <w:rPr>
                <w:rFonts w:ascii="Calibri" w:hAnsi="Calibri" w:cs="Calibri"/>
                <w:sz w:val="20"/>
                <w:szCs w:val="20"/>
                <w:bdr w:val="none" w:sz="0" w:space="0" w:color="auto" w:frame="1"/>
                <w:shd w:val="clear" w:color="auto" w:fill="FFFFFF"/>
              </w:rPr>
              <w:t>ynajjar@moh.gov.sa</w:t>
            </w:r>
          </w:p>
          <w:p w14:paraId="1277F072" w14:textId="77777777" w:rsidR="006C697E" w:rsidRPr="00580527" w:rsidRDefault="006C697E" w:rsidP="006C697E">
            <w:pPr>
              <w:spacing w:after="200" w:line="276" w:lineRule="auto"/>
              <w:jc w:val="left"/>
              <w:rPr>
                <w:rFonts w:eastAsia="Times New Roman" w:cs="Calibri"/>
                <w:sz w:val="20"/>
                <w:szCs w:val="20"/>
                <w:lang w:val="en-AU" w:eastAsia="en-GB"/>
              </w:rPr>
            </w:pPr>
          </w:p>
        </w:tc>
      </w:tr>
      <w:tr w:rsidR="00722540" w:rsidRPr="00580527" w14:paraId="2974A7F4" w14:textId="77777777" w:rsidTr="005C64C5">
        <w:trPr>
          <w:trHeight w:val="439"/>
        </w:trPr>
        <w:tc>
          <w:tcPr>
            <w:tcW w:w="1980" w:type="dxa"/>
            <w:vMerge w:val="restart"/>
          </w:tcPr>
          <w:p w14:paraId="0223C94E" w14:textId="0002A387" w:rsidR="00722540" w:rsidRPr="00580527" w:rsidRDefault="00722540" w:rsidP="00722540">
            <w:pPr>
              <w:spacing w:after="200" w:line="276" w:lineRule="auto"/>
              <w:jc w:val="left"/>
              <w:rPr>
                <w:rFonts w:eastAsia="Times New Roman" w:cstheme="minorHAnsi"/>
                <w:sz w:val="20"/>
                <w:szCs w:val="20"/>
                <w:lang w:eastAsia="ru-RU"/>
              </w:rPr>
            </w:pPr>
            <w:r w:rsidRPr="00580527">
              <w:rPr>
                <w:rFonts w:eastAsia="Calibri" w:cs="Calibri"/>
                <w:sz w:val="20"/>
                <w:szCs w:val="20"/>
                <w:lang w:val="en-AU" w:eastAsia="en-GB"/>
              </w:rPr>
              <w:t>Liesbeth Vandenput</w:t>
            </w:r>
          </w:p>
        </w:tc>
        <w:tc>
          <w:tcPr>
            <w:tcW w:w="4111" w:type="dxa"/>
          </w:tcPr>
          <w:p w14:paraId="31EE5EB3" w14:textId="27D8D91A" w:rsidR="00722540" w:rsidRPr="00580527" w:rsidRDefault="00722540" w:rsidP="00722540">
            <w:pPr>
              <w:spacing w:after="200" w:line="276" w:lineRule="auto"/>
              <w:jc w:val="left"/>
              <w:rPr>
                <w:rFonts w:eastAsia="Times New Roman" w:cs="Calibri"/>
                <w:sz w:val="20"/>
                <w:szCs w:val="20"/>
                <w:lang w:val="en-AU" w:eastAsia="en-GB"/>
              </w:rPr>
            </w:pPr>
            <w:r w:rsidRPr="00580527">
              <w:rPr>
                <w:rFonts w:eastAsia="Calibri" w:cs="Calibri"/>
                <w:sz w:val="20"/>
                <w:szCs w:val="20"/>
                <w:lang w:val="en-AU" w:eastAsia="en-GB"/>
              </w:rPr>
              <w:t>Mary McKillop Institute for Health Research, Australian Catholic University, Melbourne, Australia</w:t>
            </w:r>
          </w:p>
        </w:tc>
        <w:tc>
          <w:tcPr>
            <w:tcW w:w="2926" w:type="dxa"/>
            <w:vMerge w:val="restart"/>
          </w:tcPr>
          <w:p w14:paraId="20B3B6B3" w14:textId="78C0F334" w:rsidR="00722540" w:rsidRPr="00580527" w:rsidRDefault="00722540" w:rsidP="00722540">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liesbeth.vandenput@acu.edu.au</w:t>
            </w:r>
          </w:p>
        </w:tc>
      </w:tr>
      <w:tr w:rsidR="00722540" w:rsidRPr="00580527" w14:paraId="5A67686B" w14:textId="77777777" w:rsidTr="005C64C5">
        <w:trPr>
          <w:trHeight w:val="439"/>
        </w:trPr>
        <w:tc>
          <w:tcPr>
            <w:tcW w:w="1980" w:type="dxa"/>
            <w:vMerge/>
          </w:tcPr>
          <w:p w14:paraId="1E236287" w14:textId="77777777" w:rsidR="00722540" w:rsidRPr="00580527" w:rsidRDefault="00722540" w:rsidP="00722540">
            <w:pPr>
              <w:spacing w:after="200" w:line="276" w:lineRule="auto"/>
              <w:jc w:val="left"/>
              <w:rPr>
                <w:rFonts w:eastAsia="Calibri" w:cs="Calibri"/>
                <w:sz w:val="20"/>
                <w:szCs w:val="20"/>
                <w:lang w:val="en-AU" w:eastAsia="en-GB"/>
              </w:rPr>
            </w:pPr>
          </w:p>
        </w:tc>
        <w:tc>
          <w:tcPr>
            <w:tcW w:w="4111" w:type="dxa"/>
          </w:tcPr>
          <w:p w14:paraId="4E879BA0" w14:textId="450D7497" w:rsidR="00722540" w:rsidRPr="00580527" w:rsidRDefault="00722540" w:rsidP="00722540">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Sahlgrenska Osteoporosis Centre, Department of Internal Medicine and Clinical Nutrition, Institute of Medicine, Sahlgrenska Academy, University of Gothenburg, Gothenburg, Sweden</w:t>
            </w:r>
          </w:p>
        </w:tc>
        <w:tc>
          <w:tcPr>
            <w:tcW w:w="2926" w:type="dxa"/>
            <w:vMerge/>
          </w:tcPr>
          <w:p w14:paraId="436A2703" w14:textId="77777777" w:rsidR="00722540" w:rsidRPr="00580527" w:rsidRDefault="00722540" w:rsidP="00722540">
            <w:pPr>
              <w:spacing w:after="200" w:line="276" w:lineRule="auto"/>
              <w:jc w:val="left"/>
              <w:rPr>
                <w:rFonts w:eastAsia="Times New Roman" w:cs="Calibri"/>
                <w:sz w:val="20"/>
                <w:szCs w:val="20"/>
                <w:lang w:val="en-AU" w:eastAsia="en-GB"/>
              </w:rPr>
            </w:pPr>
          </w:p>
        </w:tc>
      </w:tr>
      <w:tr w:rsidR="009F6A0A" w:rsidRPr="00580527" w14:paraId="33BF6885" w14:textId="77777777" w:rsidTr="005C64C5">
        <w:trPr>
          <w:trHeight w:val="439"/>
        </w:trPr>
        <w:tc>
          <w:tcPr>
            <w:tcW w:w="1980" w:type="dxa"/>
          </w:tcPr>
          <w:p w14:paraId="4A39681E" w14:textId="451CEFB0" w:rsidR="009F6A0A" w:rsidRPr="00580527" w:rsidRDefault="009F6A0A" w:rsidP="009F6A0A">
            <w:pPr>
              <w:spacing w:after="200" w:line="276" w:lineRule="auto"/>
              <w:jc w:val="left"/>
              <w:rPr>
                <w:rFonts w:eastAsia="Calibri" w:cs="Calibri"/>
                <w:sz w:val="20"/>
                <w:szCs w:val="20"/>
                <w:lang w:val="en-AU" w:eastAsia="en-GB"/>
              </w:rPr>
            </w:pPr>
            <w:r w:rsidRPr="00580527">
              <w:rPr>
                <w:rFonts w:eastAsia="Times New Roman" w:cs="Calibri"/>
                <w:sz w:val="20"/>
                <w:szCs w:val="20"/>
                <w:lang w:val="en-AU" w:eastAsia="en-GB"/>
              </w:rPr>
              <w:lastRenderedPageBreak/>
              <w:t>Enwu Liu</w:t>
            </w:r>
          </w:p>
        </w:tc>
        <w:tc>
          <w:tcPr>
            <w:tcW w:w="4111" w:type="dxa"/>
          </w:tcPr>
          <w:p w14:paraId="175C21F0" w14:textId="02240703" w:rsidR="009F6A0A" w:rsidRPr="00580527" w:rsidRDefault="009F6A0A" w:rsidP="009F6A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Mary McKillop Institute for Health Research, Australian Catholic University, Melbourne, Australia</w:t>
            </w:r>
          </w:p>
        </w:tc>
        <w:tc>
          <w:tcPr>
            <w:tcW w:w="2926" w:type="dxa"/>
          </w:tcPr>
          <w:p w14:paraId="448EC243" w14:textId="3B2DA9EC" w:rsidR="009F6A0A" w:rsidRPr="00580527" w:rsidRDefault="009F6A0A" w:rsidP="009F6A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enwu.liu@acu.edu.au</w:t>
            </w:r>
          </w:p>
        </w:tc>
      </w:tr>
      <w:tr w:rsidR="003D496A" w:rsidRPr="00580527" w14:paraId="6F8277DD" w14:textId="77777777" w:rsidTr="005C64C5">
        <w:trPr>
          <w:trHeight w:val="180"/>
        </w:trPr>
        <w:tc>
          <w:tcPr>
            <w:tcW w:w="1980" w:type="dxa"/>
            <w:vMerge w:val="restart"/>
          </w:tcPr>
          <w:p w14:paraId="14967F65" w14:textId="5F4F01AE" w:rsidR="003D496A" w:rsidRPr="00580527" w:rsidRDefault="003D496A" w:rsidP="003D496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Mattias Lorentzon</w:t>
            </w:r>
          </w:p>
        </w:tc>
        <w:tc>
          <w:tcPr>
            <w:tcW w:w="4111" w:type="dxa"/>
          </w:tcPr>
          <w:p w14:paraId="6CA210FE" w14:textId="15D2EC32" w:rsidR="003D496A" w:rsidRPr="00580527" w:rsidRDefault="003D496A" w:rsidP="003D496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Mary McKillop Institute for Health Research, Australian Catholic University, Melbourne, Australia</w:t>
            </w:r>
          </w:p>
        </w:tc>
        <w:tc>
          <w:tcPr>
            <w:tcW w:w="2926" w:type="dxa"/>
            <w:vMerge w:val="restart"/>
          </w:tcPr>
          <w:p w14:paraId="2072CF2B" w14:textId="21DB3E84" w:rsidR="003D496A" w:rsidRPr="00580527" w:rsidRDefault="003D496A" w:rsidP="003D496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mattias.lorentzon@medic.gu.se</w:t>
            </w:r>
          </w:p>
        </w:tc>
      </w:tr>
      <w:tr w:rsidR="003D496A" w:rsidRPr="00580527" w14:paraId="3C2A0A21" w14:textId="77777777" w:rsidTr="005C64C5">
        <w:trPr>
          <w:trHeight w:val="180"/>
        </w:trPr>
        <w:tc>
          <w:tcPr>
            <w:tcW w:w="1980" w:type="dxa"/>
            <w:vMerge/>
          </w:tcPr>
          <w:p w14:paraId="36E0F502" w14:textId="77777777" w:rsidR="003D496A" w:rsidRPr="00580527" w:rsidRDefault="003D496A" w:rsidP="003D496A">
            <w:pPr>
              <w:spacing w:after="200" w:line="276" w:lineRule="auto"/>
              <w:jc w:val="left"/>
              <w:rPr>
                <w:rFonts w:eastAsia="Times New Roman" w:cs="Calibri"/>
                <w:sz w:val="20"/>
                <w:szCs w:val="20"/>
                <w:lang w:val="en-AU" w:eastAsia="en-GB"/>
              </w:rPr>
            </w:pPr>
          </w:p>
        </w:tc>
        <w:tc>
          <w:tcPr>
            <w:tcW w:w="4111" w:type="dxa"/>
          </w:tcPr>
          <w:p w14:paraId="6F242AB6" w14:textId="57BC0923" w:rsidR="003D496A" w:rsidRPr="00580527" w:rsidRDefault="003D496A" w:rsidP="003D496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Sahlgrenska Osteoporosis Centre, Institute of Medicine, University of Gothenburg, Sweden</w:t>
            </w:r>
          </w:p>
        </w:tc>
        <w:tc>
          <w:tcPr>
            <w:tcW w:w="2926" w:type="dxa"/>
            <w:vMerge/>
          </w:tcPr>
          <w:p w14:paraId="598771EA" w14:textId="77777777" w:rsidR="003D496A" w:rsidRPr="00580527" w:rsidRDefault="003D496A" w:rsidP="003D496A">
            <w:pPr>
              <w:spacing w:after="200" w:line="276" w:lineRule="auto"/>
              <w:jc w:val="left"/>
              <w:rPr>
                <w:rFonts w:eastAsia="Times New Roman" w:cs="Calibri"/>
                <w:sz w:val="20"/>
                <w:szCs w:val="20"/>
                <w:lang w:val="en-AU" w:eastAsia="en-GB"/>
              </w:rPr>
            </w:pPr>
          </w:p>
        </w:tc>
      </w:tr>
      <w:tr w:rsidR="003D496A" w:rsidRPr="00580527" w14:paraId="323D3BE5" w14:textId="77777777" w:rsidTr="005C64C5">
        <w:trPr>
          <w:trHeight w:val="180"/>
        </w:trPr>
        <w:tc>
          <w:tcPr>
            <w:tcW w:w="1980" w:type="dxa"/>
            <w:vMerge/>
          </w:tcPr>
          <w:p w14:paraId="33D371F3" w14:textId="77777777" w:rsidR="003D496A" w:rsidRPr="00580527" w:rsidRDefault="003D496A" w:rsidP="003D496A">
            <w:pPr>
              <w:spacing w:after="200" w:line="276" w:lineRule="auto"/>
              <w:jc w:val="left"/>
              <w:rPr>
                <w:rFonts w:eastAsia="Times New Roman" w:cs="Calibri"/>
                <w:sz w:val="20"/>
                <w:szCs w:val="20"/>
                <w:lang w:val="en-AU" w:eastAsia="en-GB"/>
              </w:rPr>
            </w:pPr>
          </w:p>
        </w:tc>
        <w:tc>
          <w:tcPr>
            <w:tcW w:w="4111" w:type="dxa"/>
          </w:tcPr>
          <w:p w14:paraId="51C74893" w14:textId="63B76EC9" w:rsidR="003D496A" w:rsidRPr="00580527" w:rsidRDefault="003D496A" w:rsidP="003D496A">
            <w:pPr>
              <w:spacing w:after="200" w:line="276" w:lineRule="auto"/>
              <w:jc w:val="left"/>
              <w:rPr>
                <w:rFonts w:eastAsia="Times New Roman" w:cs="Calibri"/>
                <w:sz w:val="20"/>
                <w:szCs w:val="20"/>
                <w:lang w:val="en-AU" w:eastAsia="en-GB"/>
              </w:rPr>
            </w:pPr>
            <w:r w:rsidRPr="00580527">
              <w:rPr>
                <w:rFonts w:eastAsia="Times New Roman" w:cs="Calibri"/>
                <w:sz w:val="20"/>
                <w:szCs w:val="20"/>
                <w:lang w:eastAsia="en-GB"/>
              </w:rPr>
              <w:t>Region Västra Götaland, Geriatric Medicine, Sahlgrenska University Hospital, Mölndal, Sweden</w:t>
            </w:r>
          </w:p>
        </w:tc>
        <w:tc>
          <w:tcPr>
            <w:tcW w:w="2926" w:type="dxa"/>
            <w:vMerge/>
          </w:tcPr>
          <w:p w14:paraId="65380C50" w14:textId="77777777" w:rsidR="003D496A" w:rsidRPr="00580527" w:rsidRDefault="003D496A" w:rsidP="003D496A">
            <w:pPr>
              <w:spacing w:after="200" w:line="276" w:lineRule="auto"/>
              <w:jc w:val="left"/>
              <w:rPr>
                <w:rFonts w:eastAsia="Times New Roman" w:cs="Calibri"/>
                <w:sz w:val="20"/>
                <w:szCs w:val="20"/>
                <w:lang w:val="en-AU" w:eastAsia="en-GB"/>
              </w:rPr>
            </w:pPr>
          </w:p>
        </w:tc>
      </w:tr>
      <w:tr w:rsidR="00E17075" w:rsidRPr="00580527" w14:paraId="03558E46" w14:textId="77777777" w:rsidTr="005C64C5">
        <w:tc>
          <w:tcPr>
            <w:tcW w:w="1980" w:type="dxa"/>
            <w:vMerge w:val="restart"/>
          </w:tcPr>
          <w:p w14:paraId="4C76F263" w14:textId="4ED79230" w:rsidR="00E17075" w:rsidRPr="00580527" w:rsidRDefault="00E17075" w:rsidP="00E17075">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Nicholas C Harvey</w:t>
            </w:r>
          </w:p>
        </w:tc>
        <w:tc>
          <w:tcPr>
            <w:tcW w:w="4111" w:type="dxa"/>
          </w:tcPr>
          <w:p w14:paraId="0A3DB0A9" w14:textId="65A0B517" w:rsidR="00E17075" w:rsidRPr="00580527" w:rsidRDefault="00E17075" w:rsidP="00E17075">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 xml:space="preserve">MRC Lifecourse Epidemiology Centre, University of Southampton, Southampton, UK </w:t>
            </w:r>
          </w:p>
        </w:tc>
        <w:tc>
          <w:tcPr>
            <w:tcW w:w="2926" w:type="dxa"/>
            <w:vMerge w:val="restart"/>
          </w:tcPr>
          <w:p w14:paraId="7BAEFE0F" w14:textId="06693BDF" w:rsidR="00E17075" w:rsidRPr="00580527" w:rsidRDefault="00E17075" w:rsidP="00E17075">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nch@mrc.soton.ac.uk</w:t>
            </w:r>
          </w:p>
        </w:tc>
      </w:tr>
      <w:tr w:rsidR="00E17075" w:rsidRPr="00580527" w14:paraId="7325FCE0" w14:textId="77777777" w:rsidTr="005C64C5">
        <w:trPr>
          <w:trHeight w:val="1218"/>
        </w:trPr>
        <w:tc>
          <w:tcPr>
            <w:tcW w:w="1980" w:type="dxa"/>
            <w:vMerge/>
          </w:tcPr>
          <w:p w14:paraId="043FBA9F" w14:textId="77777777" w:rsidR="00E17075" w:rsidRPr="00580527" w:rsidRDefault="00E17075" w:rsidP="00E17075">
            <w:pPr>
              <w:spacing w:after="200" w:line="276" w:lineRule="auto"/>
              <w:jc w:val="left"/>
              <w:rPr>
                <w:rFonts w:eastAsia="Times New Roman" w:cs="Calibri"/>
                <w:sz w:val="20"/>
                <w:szCs w:val="20"/>
                <w:lang w:val="en-AU" w:eastAsia="en-GB"/>
              </w:rPr>
            </w:pPr>
          </w:p>
        </w:tc>
        <w:tc>
          <w:tcPr>
            <w:tcW w:w="4111" w:type="dxa"/>
          </w:tcPr>
          <w:p w14:paraId="1BE7192A" w14:textId="6150325B" w:rsidR="00E17075" w:rsidRPr="00580527" w:rsidRDefault="00E17075" w:rsidP="00E17075">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NIHR Southampton Biomedical Research Centre, University of Southampton and University Hospital Southampton NHS Foundation Trust, Southampton, UK</w:t>
            </w:r>
          </w:p>
        </w:tc>
        <w:tc>
          <w:tcPr>
            <w:tcW w:w="2926" w:type="dxa"/>
            <w:vMerge/>
          </w:tcPr>
          <w:p w14:paraId="0BBD2AF7" w14:textId="77777777" w:rsidR="00E17075" w:rsidRPr="00580527" w:rsidRDefault="00E17075" w:rsidP="00E17075">
            <w:pPr>
              <w:spacing w:after="200" w:line="276" w:lineRule="auto"/>
              <w:jc w:val="left"/>
              <w:rPr>
                <w:rFonts w:eastAsia="Times New Roman" w:cs="Calibri"/>
                <w:sz w:val="20"/>
                <w:szCs w:val="20"/>
                <w:lang w:val="en-AU" w:eastAsia="en-GB"/>
              </w:rPr>
            </w:pPr>
          </w:p>
        </w:tc>
      </w:tr>
      <w:tr w:rsidR="00EF7D0A" w:rsidRPr="00580527" w14:paraId="55C8B8F0" w14:textId="77777777" w:rsidTr="005C64C5">
        <w:tc>
          <w:tcPr>
            <w:tcW w:w="1980" w:type="dxa"/>
            <w:vMerge w:val="restart"/>
          </w:tcPr>
          <w:p w14:paraId="13631198" w14:textId="59DD77F6" w:rsidR="00EF7D0A" w:rsidRPr="00580527" w:rsidRDefault="00EF7D0A" w:rsidP="00EF7D0A">
            <w:pPr>
              <w:spacing w:after="200" w:line="276" w:lineRule="auto"/>
              <w:jc w:val="left"/>
              <w:rPr>
                <w:rFonts w:eastAsia="Times New Roman" w:cs="Calibri"/>
                <w:sz w:val="20"/>
                <w:szCs w:val="20"/>
                <w:lang w:val="en-AU" w:eastAsia="en-GB"/>
              </w:rPr>
            </w:pPr>
            <w:bookmarkStart w:id="2" w:name="_Hlk59704582"/>
            <w:r w:rsidRPr="00580527">
              <w:rPr>
                <w:rFonts w:eastAsia="Times New Roman" w:cs="Calibri"/>
                <w:sz w:val="20"/>
                <w:szCs w:val="20"/>
                <w:lang w:val="en-AU" w:eastAsia="en-GB"/>
              </w:rPr>
              <w:t>Eugene V McCloskey</w:t>
            </w:r>
            <w:bookmarkEnd w:id="2"/>
          </w:p>
        </w:tc>
        <w:tc>
          <w:tcPr>
            <w:tcW w:w="4111" w:type="dxa"/>
          </w:tcPr>
          <w:p w14:paraId="5AA69D34" w14:textId="77777777" w:rsidR="00EF7D0A" w:rsidRPr="00580527" w:rsidRDefault="00EF7D0A"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Centre for Metabolic Bone Diseases, University of Sheffield, Sheffield, UK</w:t>
            </w:r>
          </w:p>
        </w:tc>
        <w:tc>
          <w:tcPr>
            <w:tcW w:w="2926" w:type="dxa"/>
            <w:vMerge w:val="restart"/>
          </w:tcPr>
          <w:p w14:paraId="44E9BB71" w14:textId="77777777" w:rsidR="00EF7D0A" w:rsidRPr="00580527" w:rsidRDefault="00EF7D0A"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e.v.mccloskey@sheffield.ac.uk</w:t>
            </w:r>
          </w:p>
        </w:tc>
      </w:tr>
      <w:tr w:rsidR="00EF7D0A" w:rsidRPr="00580527" w14:paraId="167AF302" w14:textId="77777777" w:rsidTr="005C64C5">
        <w:tc>
          <w:tcPr>
            <w:tcW w:w="1980" w:type="dxa"/>
            <w:vMerge/>
          </w:tcPr>
          <w:p w14:paraId="106BB5B1" w14:textId="77777777" w:rsidR="00EF7D0A" w:rsidRPr="00580527" w:rsidRDefault="00EF7D0A" w:rsidP="00EF7D0A">
            <w:pPr>
              <w:spacing w:after="200" w:line="276" w:lineRule="auto"/>
              <w:jc w:val="left"/>
              <w:rPr>
                <w:rFonts w:eastAsia="Times New Roman" w:cs="Calibri"/>
                <w:sz w:val="20"/>
                <w:szCs w:val="20"/>
                <w:lang w:val="en-AU" w:eastAsia="en-GB"/>
              </w:rPr>
            </w:pPr>
          </w:p>
        </w:tc>
        <w:tc>
          <w:tcPr>
            <w:tcW w:w="4111" w:type="dxa"/>
          </w:tcPr>
          <w:p w14:paraId="0F260D5D" w14:textId="77777777" w:rsidR="00EF7D0A" w:rsidRPr="00580527" w:rsidRDefault="00EF7D0A" w:rsidP="00EF7D0A">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Mellanby Centre for Musculoskeletal Research, Department of Oncology and Metabolism, University of Sheffield, Sheffield, UK</w:t>
            </w:r>
          </w:p>
        </w:tc>
        <w:tc>
          <w:tcPr>
            <w:tcW w:w="2926" w:type="dxa"/>
            <w:vMerge/>
          </w:tcPr>
          <w:p w14:paraId="41DB55E4" w14:textId="77777777" w:rsidR="00EF7D0A" w:rsidRPr="00580527" w:rsidRDefault="00EF7D0A" w:rsidP="00EF7D0A">
            <w:pPr>
              <w:spacing w:after="200" w:line="276" w:lineRule="auto"/>
              <w:jc w:val="left"/>
              <w:rPr>
                <w:rFonts w:eastAsia="Times New Roman" w:cs="Calibri"/>
                <w:sz w:val="20"/>
                <w:szCs w:val="20"/>
                <w:lang w:val="en-AU" w:eastAsia="en-GB"/>
              </w:rPr>
            </w:pPr>
          </w:p>
        </w:tc>
      </w:tr>
      <w:tr w:rsidR="00844EE1" w:rsidRPr="00580527" w14:paraId="5EEC75B5" w14:textId="77777777" w:rsidTr="00844EE1">
        <w:trPr>
          <w:trHeight w:val="404"/>
        </w:trPr>
        <w:tc>
          <w:tcPr>
            <w:tcW w:w="1980" w:type="dxa"/>
            <w:vMerge w:val="restart"/>
          </w:tcPr>
          <w:p w14:paraId="590550B7" w14:textId="415B8F52" w:rsidR="00844EE1" w:rsidRPr="00580527" w:rsidRDefault="00844EE1" w:rsidP="00844EE1">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Helena Johansson</w:t>
            </w:r>
          </w:p>
        </w:tc>
        <w:tc>
          <w:tcPr>
            <w:tcW w:w="4111" w:type="dxa"/>
          </w:tcPr>
          <w:p w14:paraId="3BF651E6" w14:textId="70961B92" w:rsidR="00844EE1" w:rsidRPr="00580527" w:rsidRDefault="00844EE1" w:rsidP="00844EE1">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Mary McKillop Institute for Health Research, Australian Catholic University, Melbourne, Australia</w:t>
            </w:r>
          </w:p>
        </w:tc>
        <w:tc>
          <w:tcPr>
            <w:tcW w:w="2926" w:type="dxa"/>
            <w:vMerge w:val="restart"/>
          </w:tcPr>
          <w:p w14:paraId="73B0C117" w14:textId="63CE8A6B" w:rsidR="00844EE1" w:rsidRPr="00580527" w:rsidRDefault="00844EE1" w:rsidP="00844EE1">
            <w:pPr>
              <w:spacing w:after="200" w:line="276" w:lineRule="auto"/>
              <w:jc w:val="left"/>
              <w:rPr>
                <w:rFonts w:eastAsia="Times New Roman" w:cs="Calibri"/>
                <w:sz w:val="20"/>
                <w:szCs w:val="20"/>
                <w:lang w:val="en-AU" w:eastAsia="en-GB"/>
              </w:rPr>
            </w:pPr>
            <w:r w:rsidRPr="00580527">
              <w:rPr>
                <w:rFonts w:eastAsia="Times New Roman" w:cs="Calibri"/>
                <w:sz w:val="20"/>
                <w:szCs w:val="20"/>
                <w:lang w:val="en-AU" w:eastAsia="en-GB"/>
              </w:rPr>
              <w:t>helena@statiq.se</w:t>
            </w:r>
          </w:p>
        </w:tc>
      </w:tr>
      <w:tr w:rsidR="00844EE1" w:rsidRPr="00580527" w14:paraId="58016BB6" w14:textId="77777777" w:rsidTr="005C64C5">
        <w:trPr>
          <w:trHeight w:val="402"/>
        </w:trPr>
        <w:tc>
          <w:tcPr>
            <w:tcW w:w="1980" w:type="dxa"/>
            <w:vMerge/>
          </w:tcPr>
          <w:p w14:paraId="6FA3F736" w14:textId="77777777" w:rsidR="00844EE1" w:rsidRPr="00580527" w:rsidRDefault="00844EE1" w:rsidP="00844EE1">
            <w:pPr>
              <w:spacing w:after="200" w:line="276" w:lineRule="auto"/>
              <w:jc w:val="left"/>
              <w:rPr>
                <w:rFonts w:eastAsia="Times New Roman" w:cs="Calibri"/>
                <w:sz w:val="20"/>
                <w:szCs w:val="20"/>
                <w:lang w:val="en-AU" w:eastAsia="en-GB"/>
              </w:rPr>
            </w:pPr>
          </w:p>
        </w:tc>
        <w:tc>
          <w:tcPr>
            <w:tcW w:w="4111" w:type="dxa"/>
          </w:tcPr>
          <w:p w14:paraId="004FD599" w14:textId="62B462C4" w:rsidR="00844EE1" w:rsidRPr="00580527" w:rsidRDefault="00844EE1" w:rsidP="00844EE1">
            <w:pPr>
              <w:spacing w:after="200" w:line="276" w:lineRule="auto"/>
              <w:jc w:val="left"/>
              <w:rPr>
                <w:rFonts w:eastAsia="Times New Roman" w:cs="Calibri"/>
                <w:sz w:val="20"/>
                <w:szCs w:val="20"/>
                <w:lang w:val="en-AU" w:eastAsia="en-GB"/>
              </w:rPr>
            </w:pPr>
            <w:r w:rsidRPr="00580527">
              <w:rPr>
                <w:rFonts w:eastAsia="MS Mincho" w:cs="Calibri"/>
                <w:sz w:val="20"/>
                <w:szCs w:val="20"/>
                <w:lang w:val="en-AU" w:eastAsia="ja-JP"/>
              </w:rPr>
              <w:t>Centre for Metabolic Bone Diseases, University of Sheffield, Sheffield, UK</w:t>
            </w:r>
          </w:p>
        </w:tc>
        <w:tc>
          <w:tcPr>
            <w:tcW w:w="2926" w:type="dxa"/>
            <w:vMerge/>
          </w:tcPr>
          <w:p w14:paraId="11C1EF2E" w14:textId="77777777" w:rsidR="00844EE1" w:rsidRPr="00580527" w:rsidRDefault="00844EE1" w:rsidP="00844EE1">
            <w:pPr>
              <w:spacing w:after="200" w:line="276" w:lineRule="auto"/>
              <w:jc w:val="left"/>
              <w:rPr>
                <w:rFonts w:eastAsia="Times New Roman" w:cs="Calibri"/>
                <w:sz w:val="20"/>
                <w:szCs w:val="20"/>
                <w:lang w:val="en-AU" w:eastAsia="en-GB"/>
              </w:rPr>
            </w:pPr>
          </w:p>
        </w:tc>
      </w:tr>
      <w:tr w:rsidR="00844EE1" w:rsidRPr="00580527" w14:paraId="2BFDB1D3" w14:textId="77777777" w:rsidTr="005C64C5">
        <w:trPr>
          <w:trHeight w:val="402"/>
        </w:trPr>
        <w:tc>
          <w:tcPr>
            <w:tcW w:w="1980" w:type="dxa"/>
            <w:vMerge/>
          </w:tcPr>
          <w:p w14:paraId="498E0F92" w14:textId="77777777" w:rsidR="00844EE1" w:rsidRPr="00580527" w:rsidRDefault="00844EE1" w:rsidP="00844EE1">
            <w:pPr>
              <w:spacing w:after="200" w:line="276" w:lineRule="auto"/>
              <w:jc w:val="left"/>
              <w:rPr>
                <w:rFonts w:eastAsia="Times New Roman" w:cs="Calibri"/>
                <w:sz w:val="20"/>
                <w:szCs w:val="20"/>
                <w:lang w:val="en-AU" w:eastAsia="en-GB"/>
              </w:rPr>
            </w:pPr>
          </w:p>
        </w:tc>
        <w:tc>
          <w:tcPr>
            <w:tcW w:w="4111" w:type="dxa"/>
          </w:tcPr>
          <w:p w14:paraId="69F83A04" w14:textId="3D3DE267" w:rsidR="00844EE1" w:rsidRPr="00580527" w:rsidRDefault="00844EE1" w:rsidP="00844EE1">
            <w:pPr>
              <w:spacing w:after="200" w:line="276" w:lineRule="auto"/>
              <w:jc w:val="left"/>
              <w:rPr>
                <w:rFonts w:eastAsia="Times New Roman" w:cs="Calibri"/>
                <w:sz w:val="20"/>
                <w:szCs w:val="20"/>
                <w:lang w:val="en-AU" w:eastAsia="en-GB"/>
              </w:rPr>
            </w:pPr>
            <w:r w:rsidRPr="00580527">
              <w:rPr>
                <w:rFonts w:eastAsia="MS Mincho" w:cs="Calibri"/>
                <w:sz w:val="20"/>
                <w:szCs w:val="20"/>
                <w:lang w:val="en-AU" w:eastAsia="ja-JP"/>
              </w:rPr>
              <w:t>Sahlgrenska Osteoporosis Centre, Department of Internal Medicine and Clinical Nutrition, Institute of Medicine, Sahlgrenska Academy, University of Gothenburg, Gothenburg, Sweden</w:t>
            </w:r>
          </w:p>
        </w:tc>
        <w:tc>
          <w:tcPr>
            <w:tcW w:w="2926" w:type="dxa"/>
            <w:vMerge/>
          </w:tcPr>
          <w:p w14:paraId="72D68D75" w14:textId="77777777" w:rsidR="00844EE1" w:rsidRPr="00580527" w:rsidRDefault="00844EE1" w:rsidP="00844EE1">
            <w:pPr>
              <w:spacing w:after="200" w:line="276" w:lineRule="auto"/>
              <w:jc w:val="left"/>
              <w:rPr>
                <w:rFonts w:eastAsia="Times New Roman" w:cs="Calibri"/>
                <w:sz w:val="20"/>
                <w:szCs w:val="20"/>
                <w:lang w:val="en-AU" w:eastAsia="en-GB"/>
              </w:rPr>
            </w:pPr>
          </w:p>
        </w:tc>
      </w:tr>
    </w:tbl>
    <w:tbl>
      <w:tblPr>
        <w:tblStyle w:val="TableGrid5"/>
        <w:tblW w:w="0" w:type="auto"/>
        <w:tblLayout w:type="fixed"/>
        <w:tblLook w:val="04A0" w:firstRow="1" w:lastRow="0" w:firstColumn="1" w:lastColumn="0" w:noHBand="0" w:noVBand="1"/>
      </w:tblPr>
      <w:tblGrid>
        <w:gridCol w:w="1980"/>
        <w:gridCol w:w="4111"/>
        <w:gridCol w:w="2926"/>
      </w:tblGrid>
      <w:tr w:rsidR="007B44FC" w:rsidRPr="00580527" w14:paraId="405563E1" w14:textId="77777777" w:rsidTr="00844EE1">
        <w:tc>
          <w:tcPr>
            <w:tcW w:w="1980" w:type="dxa"/>
            <w:vMerge w:val="restart"/>
          </w:tcPr>
          <w:p w14:paraId="1214262C" w14:textId="77777777" w:rsidR="007B44FC" w:rsidRPr="00580527" w:rsidRDefault="007B44FC" w:rsidP="007B44FC">
            <w:pPr>
              <w:spacing w:after="200" w:line="276" w:lineRule="auto"/>
              <w:jc w:val="left"/>
              <w:rPr>
                <w:rFonts w:eastAsia="Times New Roman" w:cs="Calibri"/>
                <w:sz w:val="20"/>
                <w:szCs w:val="20"/>
                <w:lang w:val="en-AU" w:eastAsia="en-GB"/>
              </w:rPr>
            </w:pPr>
            <w:r w:rsidRPr="00580527">
              <w:rPr>
                <w:rFonts w:eastAsia="MS Mincho" w:cs="Calibri"/>
                <w:sz w:val="20"/>
                <w:szCs w:val="20"/>
                <w:lang w:val="en-AU" w:eastAsia="ja-JP"/>
              </w:rPr>
              <w:t>John A Kanis</w:t>
            </w:r>
          </w:p>
        </w:tc>
        <w:tc>
          <w:tcPr>
            <w:tcW w:w="4111" w:type="dxa"/>
          </w:tcPr>
          <w:p w14:paraId="2A0915CA" w14:textId="77777777" w:rsidR="007B44FC" w:rsidRPr="00580527" w:rsidRDefault="007B44FC" w:rsidP="007B44FC">
            <w:pPr>
              <w:spacing w:after="200" w:line="276" w:lineRule="auto"/>
              <w:jc w:val="left"/>
              <w:rPr>
                <w:rFonts w:eastAsia="Times New Roman" w:cs="Calibri"/>
                <w:sz w:val="20"/>
                <w:szCs w:val="20"/>
                <w:lang w:val="en-AU" w:eastAsia="en-GB"/>
              </w:rPr>
            </w:pPr>
            <w:r w:rsidRPr="00580527">
              <w:rPr>
                <w:rFonts w:eastAsia="Calibri" w:cs="Calibri"/>
                <w:sz w:val="20"/>
                <w:szCs w:val="20"/>
                <w:lang w:val="en-AU" w:eastAsia="en-GB"/>
              </w:rPr>
              <w:t>Mary McKillop Institute for Health Research, Australian Catholic University, Melbourne, Australia</w:t>
            </w:r>
          </w:p>
        </w:tc>
        <w:tc>
          <w:tcPr>
            <w:tcW w:w="2926" w:type="dxa"/>
            <w:vMerge w:val="restart"/>
          </w:tcPr>
          <w:p w14:paraId="3995BBE0" w14:textId="77777777" w:rsidR="007B44FC" w:rsidRPr="00580527" w:rsidRDefault="007B44FC" w:rsidP="007B44FC">
            <w:pPr>
              <w:spacing w:after="200" w:line="276" w:lineRule="auto"/>
              <w:jc w:val="left"/>
              <w:rPr>
                <w:rFonts w:eastAsia="Times New Roman" w:cs="Calibri"/>
                <w:sz w:val="20"/>
                <w:szCs w:val="20"/>
                <w:lang w:val="en-AU" w:eastAsia="en-GB"/>
              </w:rPr>
            </w:pPr>
            <w:r w:rsidRPr="00580527">
              <w:rPr>
                <w:rFonts w:eastAsia="Calibri" w:cs="Calibri"/>
                <w:sz w:val="20"/>
                <w:szCs w:val="20"/>
                <w:lang w:val="en-AU" w:eastAsia="en-GB"/>
              </w:rPr>
              <w:t>w.j.pontefract@shef.ac.uk</w:t>
            </w:r>
          </w:p>
        </w:tc>
      </w:tr>
      <w:tr w:rsidR="007B44FC" w:rsidRPr="00580527" w14:paraId="5EBB9D33" w14:textId="77777777" w:rsidTr="00844EE1">
        <w:tc>
          <w:tcPr>
            <w:tcW w:w="1980" w:type="dxa"/>
            <w:vMerge/>
          </w:tcPr>
          <w:p w14:paraId="26E590F9" w14:textId="77777777" w:rsidR="007B44FC" w:rsidRPr="00580527" w:rsidRDefault="007B44FC" w:rsidP="007B44FC">
            <w:pPr>
              <w:spacing w:after="200" w:line="276" w:lineRule="auto"/>
              <w:jc w:val="left"/>
              <w:rPr>
                <w:rFonts w:eastAsia="MS Mincho" w:cs="Calibri"/>
                <w:sz w:val="20"/>
                <w:szCs w:val="20"/>
                <w:lang w:val="en-AU" w:eastAsia="ja-JP"/>
              </w:rPr>
            </w:pPr>
          </w:p>
        </w:tc>
        <w:tc>
          <w:tcPr>
            <w:tcW w:w="4111" w:type="dxa"/>
          </w:tcPr>
          <w:p w14:paraId="4FF758F4" w14:textId="77777777" w:rsidR="007B44FC" w:rsidRPr="00580527" w:rsidRDefault="007B44FC" w:rsidP="007B44FC">
            <w:pPr>
              <w:spacing w:after="200" w:line="276" w:lineRule="auto"/>
              <w:jc w:val="left"/>
              <w:rPr>
                <w:rFonts w:eastAsia="Times New Roman" w:cs="Calibri"/>
                <w:sz w:val="20"/>
                <w:szCs w:val="20"/>
                <w:lang w:val="en-AU" w:eastAsia="en-GB"/>
              </w:rPr>
            </w:pPr>
            <w:r w:rsidRPr="00580527">
              <w:rPr>
                <w:rFonts w:eastAsia="MS Mincho" w:cs="Calibri"/>
                <w:sz w:val="20"/>
                <w:szCs w:val="20"/>
                <w:lang w:val="en-AU" w:eastAsia="ja-JP"/>
              </w:rPr>
              <w:t>Centre for Metabolic Bone Diseases, University of Sheffield, Sheffield, UK</w:t>
            </w:r>
          </w:p>
        </w:tc>
        <w:tc>
          <w:tcPr>
            <w:tcW w:w="2926" w:type="dxa"/>
            <w:vMerge/>
          </w:tcPr>
          <w:p w14:paraId="5F1C60D4" w14:textId="77777777" w:rsidR="007B44FC" w:rsidRPr="00580527" w:rsidRDefault="007B44FC" w:rsidP="007B44FC">
            <w:pPr>
              <w:spacing w:after="200" w:line="276" w:lineRule="auto"/>
              <w:jc w:val="left"/>
              <w:rPr>
                <w:rFonts w:eastAsia="Times New Roman" w:cs="Calibri"/>
                <w:sz w:val="20"/>
                <w:szCs w:val="20"/>
                <w:lang w:val="en-AU" w:eastAsia="en-GB"/>
              </w:rPr>
            </w:pPr>
          </w:p>
        </w:tc>
      </w:tr>
    </w:tbl>
    <w:p w14:paraId="55F7CC98" w14:textId="77777777" w:rsidR="004F7914" w:rsidRDefault="004F7914" w:rsidP="003F6278">
      <w:pPr>
        <w:spacing w:after="0"/>
        <w:ind w:right="708"/>
        <w:rPr>
          <w:rFonts w:eastAsia="Times New Roman" w:cstheme="minorHAnsi"/>
          <w:sz w:val="24"/>
          <w:szCs w:val="24"/>
          <w:lang w:val="en-US" w:eastAsia="ru-RU"/>
        </w:rPr>
      </w:pPr>
      <w:bookmarkStart w:id="3" w:name="_Hlk14120739"/>
    </w:p>
    <w:bookmarkEnd w:id="3"/>
    <w:p w14:paraId="0567D70B" w14:textId="53277717" w:rsidR="006774AF" w:rsidRPr="00C14061" w:rsidRDefault="006774AF" w:rsidP="003F6278">
      <w:pPr>
        <w:spacing w:after="0"/>
        <w:ind w:right="708"/>
        <w:rPr>
          <w:rFonts w:eastAsia="Times New Roman" w:cstheme="minorHAnsi"/>
          <w:sz w:val="24"/>
          <w:szCs w:val="24"/>
          <w:lang w:val="en-US" w:eastAsia="ru-RU"/>
        </w:rPr>
      </w:pPr>
      <w:r w:rsidRPr="00C14061">
        <w:rPr>
          <w:rFonts w:eastAsia="Times New Roman" w:cstheme="minorHAnsi"/>
          <w:sz w:val="24"/>
          <w:szCs w:val="24"/>
          <w:lang w:val="en-US" w:eastAsia="ru-RU"/>
        </w:rPr>
        <w:t xml:space="preserve">Correspondence: John A Kanis </w:t>
      </w:r>
    </w:p>
    <w:p w14:paraId="7BB17691" w14:textId="58AADD8A" w:rsidR="006774AF" w:rsidRPr="009B329E" w:rsidRDefault="006774AF" w:rsidP="003F6278">
      <w:pPr>
        <w:spacing w:after="0"/>
        <w:ind w:right="708"/>
        <w:rPr>
          <w:rFonts w:eastAsia="Times New Roman" w:cstheme="minorHAnsi"/>
          <w:sz w:val="24"/>
          <w:szCs w:val="24"/>
          <w:lang w:eastAsia="ru-RU"/>
        </w:rPr>
      </w:pPr>
      <w:r w:rsidRPr="009B329E">
        <w:rPr>
          <w:rFonts w:eastAsia="Times New Roman" w:cstheme="minorHAnsi"/>
          <w:sz w:val="24"/>
          <w:szCs w:val="24"/>
          <w:lang w:eastAsia="ru-RU"/>
        </w:rPr>
        <w:t xml:space="preserve">e-mail: </w:t>
      </w:r>
      <w:hyperlink r:id="rId9" w:history="1">
        <w:r w:rsidRPr="009B329E">
          <w:rPr>
            <w:rFonts w:eastAsia="Times New Roman" w:cstheme="minorHAnsi"/>
            <w:color w:val="0563C1" w:themeColor="hyperlink"/>
            <w:sz w:val="24"/>
            <w:szCs w:val="24"/>
            <w:u w:val="single"/>
            <w:lang w:eastAsia="ru-RU"/>
          </w:rPr>
          <w:t>w.j.pontefract@sheffield.ac.uk</w:t>
        </w:r>
      </w:hyperlink>
      <w:r w:rsidRPr="009B329E">
        <w:rPr>
          <w:rFonts w:eastAsia="Times New Roman" w:cstheme="minorHAnsi"/>
          <w:sz w:val="24"/>
          <w:szCs w:val="24"/>
          <w:lang w:eastAsia="ru-RU"/>
        </w:rPr>
        <w:t xml:space="preserve"> </w:t>
      </w:r>
    </w:p>
    <w:p w14:paraId="57EE5340" w14:textId="77777777" w:rsidR="004B2730" w:rsidRPr="009B329E" w:rsidRDefault="004B2730" w:rsidP="004B2730">
      <w:pPr>
        <w:spacing w:after="0"/>
        <w:ind w:right="708"/>
        <w:rPr>
          <w:rFonts w:eastAsia="Times New Roman" w:cstheme="minorHAnsi"/>
          <w:sz w:val="24"/>
          <w:szCs w:val="24"/>
          <w:lang w:eastAsia="ru-RU"/>
        </w:rPr>
      </w:pPr>
    </w:p>
    <w:p w14:paraId="59D583C8" w14:textId="77777777" w:rsidR="00897739" w:rsidRDefault="00897739" w:rsidP="00897739">
      <w:pPr>
        <w:spacing w:after="0"/>
        <w:ind w:right="708"/>
        <w:rPr>
          <w:rFonts w:eastAsia="Times New Roman" w:cstheme="minorHAnsi"/>
          <w:sz w:val="24"/>
          <w:szCs w:val="24"/>
          <w:lang w:eastAsia="ru-RU"/>
        </w:rPr>
      </w:pPr>
      <w:r>
        <w:rPr>
          <w:rFonts w:eastAsia="Times New Roman" w:cstheme="minorHAnsi"/>
          <w:sz w:val="24"/>
          <w:szCs w:val="24"/>
          <w:lang w:eastAsia="ru-RU"/>
        </w:rPr>
        <w:t>*</w:t>
      </w:r>
      <w:r w:rsidRPr="006C697E">
        <w:rPr>
          <w:rFonts w:eastAsia="Times New Roman" w:cstheme="minorHAnsi"/>
          <w:sz w:val="24"/>
          <w:szCs w:val="24"/>
          <w:lang w:eastAsia="ru-RU"/>
        </w:rPr>
        <w:t>Saudi FRAX Study Group</w:t>
      </w:r>
    </w:p>
    <w:tbl>
      <w:tblPr>
        <w:tblStyle w:val="TableGrid"/>
        <w:tblW w:w="0" w:type="auto"/>
        <w:tblCellMar>
          <w:right w:w="57" w:type="dxa"/>
        </w:tblCellMar>
        <w:tblLook w:val="04A0" w:firstRow="1" w:lastRow="0" w:firstColumn="1" w:lastColumn="0" w:noHBand="0" w:noVBand="1"/>
      </w:tblPr>
      <w:tblGrid>
        <w:gridCol w:w="3539"/>
        <w:gridCol w:w="5387"/>
      </w:tblGrid>
      <w:tr w:rsidR="00897739" w:rsidRPr="00977CB7" w14:paraId="4DA4C790" w14:textId="77777777" w:rsidTr="00247410">
        <w:tc>
          <w:tcPr>
            <w:tcW w:w="3539" w:type="dxa"/>
          </w:tcPr>
          <w:p w14:paraId="6F2D82F8" w14:textId="77777777" w:rsidR="00897739" w:rsidRPr="00977CB7" w:rsidRDefault="00897739" w:rsidP="00247410">
            <w:pPr>
              <w:spacing w:line="240" w:lineRule="auto"/>
              <w:ind w:right="708"/>
              <w:jc w:val="left"/>
              <w:rPr>
                <w:rFonts w:ascii="Calibri" w:eastAsia="Times New Roman" w:hAnsi="Calibri" w:cs="Calibri"/>
                <w:sz w:val="24"/>
                <w:szCs w:val="24"/>
              </w:rPr>
            </w:pPr>
            <w:r>
              <w:rPr>
                <w:rFonts w:ascii="Calibri" w:eastAsia="Times New Roman" w:hAnsi="Calibri" w:cs="Calibri"/>
                <w:sz w:val="24"/>
                <w:szCs w:val="24"/>
              </w:rPr>
              <w:t>Name</w:t>
            </w:r>
          </w:p>
        </w:tc>
        <w:tc>
          <w:tcPr>
            <w:tcW w:w="5387" w:type="dxa"/>
          </w:tcPr>
          <w:p w14:paraId="400652D7" w14:textId="77777777" w:rsidR="00897739" w:rsidRPr="00977CB7" w:rsidRDefault="00897739" w:rsidP="00247410">
            <w:pPr>
              <w:spacing w:line="240" w:lineRule="auto"/>
              <w:ind w:right="708"/>
              <w:jc w:val="left"/>
              <w:rPr>
                <w:rFonts w:ascii="Calibri" w:eastAsia="Times New Roman" w:hAnsi="Calibri" w:cs="Calibri"/>
                <w:sz w:val="24"/>
                <w:szCs w:val="24"/>
              </w:rPr>
            </w:pPr>
            <w:r>
              <w:rPr>
                <w:rFonts w:ascii="Calibri" w:eastAsia="Times New Roman" w:hAnsi="Calibri" w:cs="Calibri"/>
                <w:sz w:val="24"/>
                <w:szCs w:val="24"/>
              </w:rPr>
              <w:t>Affiliation</w:t>
            </w:r>
          </w:p>
        </w:tc>
      </w:tr>
      <w:tr w:rsidR="00897739" w:rsidRPr="00977CB7" w14:paraId="459B602D"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588C7C3" w14:textId="77777777" w:rsidR="00897739" w:rsidRPr="00977CB7" w:rsidRDefault="00897739" w:rsidP="00247410">
            <w:pPr>
              <w:spacing w:line="240" w:lineRule="auto"/>
              <w:ind w:right="708"/>
              <w:jc w:val="left"/>
              <w:rPr>
                <w:rFonts w:ascii="Calibri" w:hAnsi="Calibri" w:cs="Calibri"/>
                <w:sz w:val="24"/>
                <w:szCs w:val="24"/>
              </w:rPr>
            </w:pPr>
            <w:r>
              <w:rPr>
                <w:rFonts w:ascii="Calibri" w:hAnsi="Calibri" w:cs="Calibri"/>
                <w:color w:val="000000"/>
                <w:sz w:val="24"/>
                <w:szCs w:val="24"/>
              </w:rPr>
              <w:t>Nasser M A</w:t>
            </w:r>
            <w:r>
              <w:rPr>
                <w:rFonts w:ascii="Calibri" w:hAnsi="Calibri" w:cs="Calibri"/>
                <w:color w:val="000000"/>
                <w:sz w:val="24"/>
                <w:szCs w:val="24"/>
                <w:lang w:val="en-US"/>
              </w:rPr>
              <w:t>l-</w:t>
            </w:r>
            <w:r w:rsidRPr="00977CB7">
              <w:rPr>
                <w:rFonts w:ascii="Calibri" w:hAnsi="Calibri" w:cs="Calibri"/>
                <w:color w:val="000000"/>
                <w:sz w:val="24"/>
                <w:szCs w:val="24"/>
              </w:rPr>
              <w:t>Daghri</w:t>
            </w:r>
          </w:p>
        </w:tc>
        <w:tc>
          <w:tcPr>
            <w:tcW w:w="5387" w:type="dxa"/>
          </w:tcPr>
          <w:p w14:paraId="2B64659F" w14:textId="77777777" w:rsidR="00897739" w:rsidRPr="00977CB7" w:rsidRDefault="00897739" w:rsidP="00247410">
            <w:pPr>
              <w:spacing w:line="240" w:lineRule="auto"/>
              <w:ind w:right="708"/>
              <w:jc w:val="left"/>
              <w:rPr>
                <w:rFonts w:ascii="Calibri" w:hAnsi="Calibri" w:cs="Calibri"/>
                <w:sz w:val="24"/>
                <w:szCs w:val="24"/>
              </w:rPr>
            </w:pPr>
            <w:r>
              <w:rPr>
                <w:sz w:val="24"/>
                <w:szCs w:val="24"/>
                <w:lang w:val="en-US"/>
              </w:rPr>
              <w:t xml:space="preserve">Chair of Biomarkers of Chronic Diseases, </w:t>
            </w:r>
            <w:r w:rsidRPr="001D2C91">
              <w:rPr>
                <w:sz w:val="24"/>
                <w:szCs w:val="24"/>
              </w:rPr>
              <w:t>Biochemistry De</w:t>
            </w:r>
            <w:r>
              <w:rPr>
                <w:sz w:val="24"/>
                <w:szCs w:val="24"/>
              </w:rPr>
              <w:t>partment</w:t>
            </w:r>
            <w:r>
              <w:rPr>
                <w:sz w:val="24"/>
                <w:szCs w:val="24"/>
                <w:lang w:val="en-US"/>
              </w:rPr>
              <w:t xml:space="preserve"> </w:t>
            </w:r>
            <w:r w:rsidRPr="001D2C91">
              <w:rPr>
                <w:sz w:val="24"/>
                <w:szCs w:val="24"/>
              </w:rPr>
              <w:t>, College of Science, King Saud University, Riyadh, Saudi Arabia</w:t>
            </w:r>
          </w:p>
        </w:tc>
      </w:tr>
      <w:tr w:rsidR="00897739" w:rsidRPr="00977CB7" w14:paraId="0A4EF905"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74C568E6" w14:textId="77777777" w:rsidR="00897739" w:rsidRDefault="00897739" w:rsidP="00247410">
            <w:pPr>
              <w:spacing w:line="240" w:lineRule="auto"/>
              <w:ind w:right="708"/>
              <w:jc w:val="left"/>
              <w:rPr>
                <w:rFonts w:ascii="Calibri" w:hAnsi="Calibri" w:cs="Calibri"/>
                <w:color w:val="000000"/>
                <w:sz w:val="24"/>
                <w:szCs w:val="24"/>
              </w:rPr>
            </w:pPr>
            <w:r w:rsidRPr="00977CB7">
              <w:rPr>
                <w:rFonts w:ascii="Calibri" w:hAnsi="Calibri" w:cs="Calibri"/>
                <w:sz w:val="24"/>
                <w:szCs w:val="24"/>
              </w:rPr>
              <w:t>Abdelgadier Ibrahim Jamo</w:t>
            </w:r>
          </w:p>
        </w:tc>
        <w:tc>
          <w:tcPr>
            <w:tcW w:w="5387" w:type="dxa"/>
          </w:tcPr>
          <w:p w14:paraId="5456357E" w14:textId="77777777" w:rsidR="00897739" w:rsidRPr="00D93D16" w:rsidRDefault="00897739" w:rsidP="00247410">
            <w:pPr>
              <w:spacing w:line="240" w:lineRule="auto"/>
              <w:ind w:right="708"/>
              <w:jc w:val="left"/>
              <w:rPr>
                <w:sz w:val="24"/>
                <w:szCs w:val="24"/>
              </w:rPr>
            </w:pPr>
            <w:r w:rsidRPr="00977CB7">
              <w:rPr>
                <w:rFonts w:ascii="Calibri" w:hAnsi="Calibri" w:cs="Calibri"/>
                <w:sz w:val="24"/>
                <w:szCs w:val="24"/>
              </w:rPr>
              <w:t xml:space="preserve">Department of Health Programs and Chronic </w:t>
            </w:r>
            <w:r>
              <w:rPr>
                <w:rFonts w:ascii="Calibri" w:hAnsi="Calibri" w:cs="Calibri"/>
                <w:sz w:val="24"/>
                <w:szCs w:val="24"/>
              </w:rPr>
              <w:t>D</w:t>
            </w:r>
            <w:r w:rsidRPr="00977CB7">
              <w:rPr>
                <w:rFonts w:ascii="Calibri" w:hAnsi="Calibri" w:cs="Calibri"/>
                <w:sz w:val="24"/>
                <w:szCs w:val="24"/>
              </w:rPr>
              <w:t>iseases, Osteoporosis Prevention Program, Ministry of Health, Riyadh, Saudi Arabia</w:t>
            </w:r>
          </w:p>
        </w:tc>
      </w:tr>
      <w:tr w:rsidR="00897739" w:rsidRPr="00977CB7" w14:paraId="322AC8EF"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12B3EAEB"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Abdullah Ahmed Hawsawi</w:t>
            </w:r>
          </w:p>
        </w:tc>
        <w:tc>
          <w:tcPr>
            <w:tcW w:w="5387" w:type="dxa"/>
          </w:tcPr>
          <w:p w14:paraId="1B47F265" w14:textId="2E3756D0"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 xml:space="preserve">Department of Orthopedic, Prince Sultan Military Medical City, </w:t>
            </w:r>
            <w:r w:rsidR="00B65B84">
              <w:rPr>
                <w:rFonts w:ascii="Calibri" w:hAnsi="Calibri" w:cs="Calibri"/>
                <w:sz w:val="24"/>
                <w:szCs w:val="24"/>
                <w:lang w:val="en-US"/>
              </w:rPr>
              <w:t>Ministry of Defense</w:t>
            </w:r>
            <w:r w:rsidR="00B65B84" w:rsidRPr="00977CB7">
              <w:rPr>
                <w:rFonts w:ascii="Calibri" w:hAnsi="Calibri" w:cs="Calibri"/>
                <w:sz w:val="24"/>
                <w:szCs w:val="24"/>
              </w:rPr>
              <w:t xml:space="preserve"> </w:t>
            </w:r>
            <w:r w:rsidRPr="00977CB7">
              <w:rPr>
                <w:rFonts w:ascii="Calibri" w:hAnsi="Calibri" w:cs="Calibri"/>
                <w:sz w:val="24"/>
                <w:szCs w:val="24"/>
              </w:rPr>
              <w:t>Riyadh, Saudi Arabia</w:t>
            </w:r>
          </w:p>
        </w:tc>
      </w:tr>
      <w:tr w:rsidR="00897739" w:rsidRPr="00977CB7" w14:paraId="20763C2A"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2E6B542A" w14:textId="77777777" w:rsidR="00897739" w:rsidRPr="00977CB7" w:rsidRDefault="00897739" w:rsidP="00247410">
            <w:pPr>
              <w:spacing w:line="240" w:lineRule="auto"/>
              <w:ind w:right="708"/>
              <w:jc w:val="left"/>
              <w:rPr>
                <w:rFonts w:ascii="Calibri" w:hAnsi="Calibri" w:cs="Calibri"/>
                <w:sz w:val="24"/>
                <w:szCs w:val="24"/>
              </w:rPr>
            </w:pPr>
            <w:r w:rsidRPr="00977CB7">
              <w:rPr>
                <w:rFonts w:ascii="Calibri" w:hAnsi="Calibri" w:cs="Calibri"/>
                <w:sz w:val="24"/>
                <w:szCs w:val="24"/>
              </w:rPr>
              <w:t>Fatima Ali Mohamed</w:t>
            </w:r>
          </w:p>
        </w:tc>
        <w:tc>
          <w:tcPr>
            <w:tcW w:w="5387" w:type="dxa"/>
          </w:tcPr>
          <w:p w14:paraId="668892D7" w14:textId="29840F9E" w:rsidR="00897739" w:rsidRPr="00977CB7" w:rsidRDefault="00897739">
            <w:pPr>
              <w:spacing w:line="240" w:lineRule="auto"/>
              <w:ind w:right="708"/>
              <w:jc w:val="left"/>
              <w:rPr>
                <w:rFonts w:ascii="Calibri" w:hAnsi="Calibri" w:cs="Calibri"/>
                <w:sz w:val="24"/>
                <w:szCs w:val="24"/>
              </w:rPr>
            </w:pPr>
            <w:r w:rsidRPr="00977CB7">
              <w:rPr>
                <w:rFonts w:ascii="Calibri" w:hAnsi="Calibri" w:cs="Calibri"/>
                <w:sz w:val="24"/>
                <w:szCs w:val="24"/>
              </w:rPr>
              <w:t xml:space="preserve">Department of Orthopedic, Prince Sultan Military Medical City, </w:t>
            </w:r>
            <w:r>
              <w:rPr>
                <w:rFonts w:ascii="Calibri" w:hAnsi="Calibri" w:cs="Calibri"/>
                <w:sz w:val="24"/>
                <w:szCs w:val="24"/>
                <w:lang w:val="en-US"/>
              </w:rPr>
              <w:t xml:space="preserve">Ministry of Defense, </w:t>
            </w:r>
            <w:r w:rsidR="00B65B84" w:rsidRPr="00977CB7">
              <w:rPr>
                <w:rFonts w:ascii="Calibri" w:hAnsi="Calibri" w:cs="Calibri"/>
                <w:sz w:val="24"/>
                <w:szCs w:val="24"/>
              </w:rPr>
              <w:t>Riyadh</w:t>
            </w:r>
            <w:r w:rsidR="00B65B84">
              <w:rPr>
                <w:rFonts w:ascii="Calibri" w:hAnsi="Calibri" w:cs="Calibri"/>
                <w:sz w:val="24"/>
                <w:szCs w:val="24"/>
                <w:lang w:val="en-US"/>
              </w:rPr>
              <w:t xml:space="preserve">, </w:t>
            </w:r>
            <w:r w:rsidRPr="00977CB7">
              <w:rPr>
                <w:rFonts w:ascii="Calibri" w:hAnsi="Calibri" w:cs="Calibri"/>
                <w:sz w:val="24"/>
                <w:szCs w:val="24"/>
              </w:rPr>
              <w:t>Saudi Arabia</w:t>
            </w:r>
          </w:p>
        </w:tc>
      </w:tr>
      <w:tr w:rsidR="00897739" w:rsidRPr="00977CB7" w14:paraId="28F58E98"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72EEECF9" w14:textId="77777777" w:rsidR="00897739" w:rsidRDefault="00897739" w:rsidP="00247410">
            <w:pPr>
              <w:spacing w:line="240" w:lineRule="auto"/>
              <w:ind w:right="708"/>
              <w:jc w:val="left"/>
              <w:rPr>
                <w:rFonts w:ascii="Calibri" w:hAnsi="Calibri" w:cs="Calibri"/>
                <w:sz w:val="24"/>
                <w:szCs w:val="24"/>
              </w:rPr>
            </w:pPr>
            <w:r w:rsidRPr="00977CB7">
              <w:rPr>
                <w:rFonts w:ascii="Calibri" w:hAnsi="Calibri" w:cs="Calibri"/>
                <w:color w:val="000000"/>
                <w:sz w:val="24"/>
                <w:szCs w:val="24"/>
              </w:rPr>
              <w:t>Talha Mohammedsaeed Khoja</w:t>
            </w:r>
            <w:r>
              <w:rPr>
                <w:rFonts w:ascii="Calibri" w:eastAsia="Times New Roman" w:hAnsi="Calibri" w:cs="Calibri"/>
                <w:sz w:val="24"/>
                <w:szCs w:val="24"/>
              </w:rPr>
              <w:t>h</w:t>
            </w:r>
          </w:p>
        </w:tc>
        <w:tc>
          <w:tcPr>
            <w:tcW w:w="5387" w:type="dxa"/>
          </w:tcPr>
          <w:p w14:paraId="530604DE" w14:textId="01CAFC34" w:rsidR="00897739" w:rsidRPr="00120A18" w:rsidRDefault="00897739">
            <w:pPr>
              <w:spacing w:line="240" w:lineRule="auto"/>
              <w:ind w:right="708"/>
              <w:jc w:val="left"/>
              <w:rPr>
                <w:rFonts w:ascii="Calibri" w:hAnsi="Calibri" w:cs="Calibri"/>
                <w:sz w:val="24"/>
                <w:szCs w:val="24"/>
              </w:rPr>
            </w:pPr>
            <w:r w:rsidRPr="00D36CAB">
              <w:rPr>
                <w:rFonts w:ascii="Calibri" w:eastAsia="Times New Roman" w:hAnsi="Calibri" w:cs="Calibri"/>
                <w:sz w:val="24"/>
                <w:szCs w:val="24"/>
              </w:rPr>
              <w:t>Department of Orthopaedics</w:t>
            </w:r>
            <w:r>
              <w:rPr>
                <w:rFonts w:ascii="Calibri" w:eastAsia="Times New Roman" w:hAnsi="Calibri" w:cs="Calibri"/>
                <w:sz w:val="24"/>
                <w:szCs w:val="24"/>
              </w:rPr>
              <w:t xml:space="preserve">, King Abdulaziz </w:t>
            </w:r>
            <w:r w:rsidRPr="00D36CAB">
              <w:rPr>
                <w:rFonts w:ascii="Calibri" w:eastAsia="Times New Roman" w:hAnsi="Calibri" w:cs="Calibri"/>
                <w:sz w:val="24"/>
                <w:szCs w:val="24"/>
              </w:rPr>
              <w:t xml:space="preserve">Hospital, </w:t>
            </w:r>
            <w:r>
              <w:rPr>
                <w:rFonts w:ascii="Calibri" w:eastAsia="Times New Roman" w:hAnsi="Calibri" w:cs="Calibri"/>
                <w:sz w:val="24"/>
                <w:szCs w:val="24"/>
              </w:rPr>
              <w:t xml:space="preserve">Ministry of Health, </w:t>
            </w:r>
            <w:r w:rsidR="00FE5B73">
              <w:rPr>
                <w:rFonts w:ascii="Calibri" w:eastAsia="Times New Roman" w:hAnsi="Calibri" w:cs="Calibri"/>
                <w:sz w:val="24"/>
                <w:szCs w:val="24"/>
              </w:rPr>
              <w:t xml:space="preserve">Makkah, </w:t>
            </w:r>
            <w:r w:rsidRPr="00D36CAB">
              <w:rPr>
                <w:rFonts w:ascii="Calibri" w:eastAsia="Times New Roman" w:hAnsi="Calibri" w:cs="Calibri"/>
                <w:sz w:val="24"/>
                <w:szCs w:val="24"/>
              </w:rPr>
              <w:t>Saudi Arabia</w:t>
            </w:r>
          </w:p>
        </w:tc>
      </w:tr>
      <w:tr w:rsidR="00897739" w:rsidRPr="00977CB7" w14:paraId="6AF17592"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6F6C1DCE" w14:textId="77777777" w:rsidR="00897739" w:rsidRPr="00977CB7" w:rsidRDefault="00897739" w:rsidP="00247410">
            <w:pPr>
              <w:spacing w:line="240" w:lineRule="auto"/>
              <w:ind w:right="708"/>
              <w:jc w:val="left"/>
              <w:rPr>
                <w:rFonts w:ascii="Calibri" w:hAnsi="Calibri" w:cs="Calibri"/>
                <w:color w:val="000000"/>
                <w:sz w:val="24"/>
                <w:szCs w:val="24"/>
              </w:rPr>
            </w:pPr>
            <w:r w:rsidRPr="00977CB7">
              <w:rPr>
                <w:rFonts w:ascii="Calibri" w:hAnsi="Calibri" w:cs="Calibri"/>
                <w:sz w:val="24"/>
                <w:szCs w:val="24"/>
              </w:rPr>
              <w:t>Eman Abdulrahman Sheshah</w:t>
            </w:r>
          </w:p>
        </w:tc>
        <w:tc>
          <w:tcPr>
            <w:tcW w:w="5387" w:type="dxa"/>
          </w:tcPr>
          <w:p w14:paraId="21C057B5" w14:textId="43C9740A" w:rsidR="00897739" w:rsidRPr="00D93D16" w:rsidRDefault="00897739">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 xml:space="preserve">Endocrine and Diabetes Center, King Salman Hospital, </w:t>
            </w:r>
            <w:r>
              <w:rPr>
                <w:rFonts w:ascii="Calibri" w:eastAsia="Times New Roman" w:hAnsi="Calibri" w:cs="Calibri"/>
                <w:sz w:val="24"/>
                <w:szCs w:val="24"/>
              </w:rPr>
              <w:t>Ministry of Health</w:t>
            </w:r>
            <w:r>
              <w:rPr>
                <w:rFonts w:ascii="Calibri" w:hAnsi="Calibri" w:cs="Calibri"/>
                <w:sz w:val="24"/>
                <w:szCs w:val="24"/>
              </w:rPr>
              <w:t xml:space="preserve">, </w:t>
            </w:r>
            <w:r w:rsidR="00FE5B73">
              <w:rPr>
                <w:rFonts w:ascii="Calibri" w:hAnsi="Calibri" w:cs="Calibri"/>
                <w:sz w:val="24"/>
                <w:szCs w:val="24"/>
                <w:lang w:val="en-US"/>
              </w:rPr>
              <w:t xml:space="preserve">Riyadh, </w:t>
            </w:r>
            <w:r w:rsidRPr="00977CB7">
              <w:rPr>
                <w:rFonts w:ascii="Calibri" w:hAnsi="Calibri" w:cs="Calibri"/>
                <w:sz w:val="24"/>
                <w:szCs w:val="24"/>
              </w:rPr>
              <w:t>Saudi Arabia</w:t>
            </w:r>
          </w:p>
        </w:tc>
      </w:tr>
      <w:tr w:rsidR="00897739" w:rsidRPr="00977CB7" w14:paraId="6CDA2E9F"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C38526E" w14:textId="77777777" w:rsidR="00897739" w:rsidRPr="00977CB7" w:rsidRDefault="00897739" w:rsidP="00247410">
            <w:pPr>
              <w:spacing w:line="240" w:lineRule="auto"/>
              <w:ind w:right="708"/>
              <w:jc w:val="left"/>
              <w:rPr>
                <w:rFonts w:ascii="Calibri" w:hAnsi="Calibri" w:cs="Calibri"/>
                <w:sz w:val="24"/>
                <w:szCs w:val="24"/>
              </w:rPr>
            </w:pPr>
            <w:r w:rsidRPr="00977CB7">
              <w:rPr>
                <w:rFonts w:ascii="Calibri" w:hAnsi="Calibri" w:cs="Calibri"/>
                <w:color w:val="000000"/>
                <w:sz w:val="24"/>
                <w:szCs w:val="24"/>
              </w:rPr>
              <w:t>Waleed A Hashem</w:t>
            </w:r>
          </w:p>
        </w:tc>
        <w:tc>
          <w:tcPr>
            <w:tcW w:w="5387" w:type="dxa"/>
          </w:tcPr>
          <w:p w14:paraId="27BF317C" w14:textId="1F5A6046" w:rsidR="00897739" w:rsidRPr="00D93D16" w:rsidRDefault="00897739" w:rsidP="00247410">
            <w:pPr>
              <w:spacing w:line="240" w:lineRule="auto"/>
              <w:ind w:right="708"/>
              <w:jc w:val="left"/>
              <w:rPr>
                <w:rFonts w:ascii="Calibri" w:hAnsi="Calibri" w:cs="Calibri"/>
                <w:sz w:val="24"/>
                <w:szCs w:val="24"/>
              </w:rPr>
            </w:pPr>
            <w:r w:rsidRPr="00D36CAB">
              <w:rPr>
                <w:rFonts w:ascii="Calibri" w:eastAsia="Times New Roman" w:hAnsi="Calibri" w:cs="Calibri"/>
                <w:sz w:val="24"/>
                <w:szCs w:val="24"/>
              </w:rPr>
              <w:t xml:space="preserve">Endocrine Department, </w:t>
            </w:r>
            <w:r w:rsidR="00FE5B73">
              <w:rPr>
                <w:rFonts w:ascii="Calibri" w:eastAsia="Times New Roman" w:hAnsi="Calibri" w:cs="Calibri"/>
                <w:sz w:val="24"/>
                <w:szCs w:val="24"/>
              </w:rPr>
              <w:t xml:space="preserve">King Saud Medical City, </w:t>
            </w:r>
            <w:r>
              <w:rPr>
                <w:rFonts w:ascii="Calibri" w:eastAsia="Times New Roman" w:hAnsi="Calibri" w:cs="Calibri"/>
                <w:sz w:val="24"/>
                <w:szCs w:val="24"/>
              </w:rPr>
              <w:t xml:space="preserve">Ministry of Health, </w:t>
            </w:r>
            <w:r w:rsidR="00FE5B73">
              <w:rPr>
                <w:rFonts w:ascii="Calibri" w:eastAsia="Times New Roman" w:hAnsi="Calibri" w:cs="Calibri"/>
                <w:sz w:val="24"/>
                <w:szCs w:val="24"/>
              </w:rPr>
              <w:t xml:space="preserve">Riyadh, </w:t>
            </w:r>
            <w:r w:rsidRPr="00D36CAB">
              <w:rPr>
                <w:rFonts w:ascii="Calibri" w:eastAsia="Times New Roman" w:hAnsi="Calibri" w:cs="Calibri"/>
                <w:sz w:val="24"/>
                <w:szCs w:val="24"/>
              </w:rPr>
              <w:t>Saudi Arabia</w:t>
            </w:r>
          </w:p>
        </w:tc>
      </w:tr>
      <w:tr w:rsidR="00897739" w:rsidRPr="00977CB7" w14:paraId="2D922B04"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093B7C08" w14:textId="77777777" w:rsidR="00897739" w:rsidRPr="00977CB7" w:rsidRDefault="00897739" w:rsidP="00247410">
            <w:pPr>
              <w:spacing w:line="240" w:lineRule="auto"/>
              <w:ind w:right="708"/>
              <w:jc w:val="left"/>
              <w:rPr>
                <w:rFonts w:ascii="Calibri" w:hAnsi="Calibri" w:cs="Calibri"/>
                <w:color w:val="000000"/>
                <w:sz w:val="24"/>
                <w:szCs w:val="24"/>
              </w:rPr>
            </w:pPr>
            <w:r w:rsidRPr="00977CB7">
              <w:rPr>
                <w:rFonts w:ascii="Calibri" w:hAnsi="Calibri" w:cs="Calibri"/>
                <w:sz w:val="24"/>
                <w:szCs w:val="24"/>
              </w:rPr>
              <w:t>Abdulgani Omar Hijazi</w:t>
            </w:r>
          </w:p>
        </w:tc>
        <w:tc>
          <w:tcPr>
            <w:tcW w:w="5387" w:type="dxa"/>
          </w:tcPr>
          <w:p w14:paraId="4A11F288" w14:textId="6422833F" w:rsidR="00897739" w:rsidRPr="00D93D16" w:rsidRDefault="00897739">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 xml:space="preserve">Department of Orthopedics, King Khaled Hospital, </w:t>
            </w:r>
            <w:r w:rsidR="00B65B84">
              <w:rPr>
                <w:rFonts w:ascii="Calibri" w:hAnsi="Calibri" w:cs="Calibri"/>
                <w:sz w:val="24"/>
                <w:szCs w:val="24"/>
                <w:lang w:val="en-US"/>
              </w:rPr>
              <w:t xml:space="preserve">Ministry of Health, </w:t>
            </w:r>
            <w:r w:rsidR="00FE5B73">
              <w:rPr>
                <w:rFonts w:ascii="Calibri" w:hAnsi="Calibri" w:cs="Calibri"/>
                <w:sz w:val="24"/>
                <w:szCs w:val="24"/>
                <w:lang w:val="en-US"/>
              </w:rPr>
              <w:t xml:space="preserve">Tabuk, </w:t>
            </w:r>
            <w:r w:rsidRPr="00977CB7">
              <w:rPr>
                <w:rFonts w:ascii="Calibri" w:hAnsi="Calibri" w:cs="Calibri"/>
                <w:sz w:val="24"/>
                <w:szCs w:val="24"/>
              </w:rPr>
              <w:t>Saudi Arabia</w:t>
            </w:r>
          </w:p>
        </w:tc>
      </w:tr>
      <w:tr w:rsidR="00897739" w:rsidRPr="00977CB7" w14:paraId="0C024D72"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5B890999" w14:textId="77777777" w:rsidR="00897739" w:rsidRPr="00977CB7" w:rsidRDefault="00897739" w:rsidP="00247410">
            <w:pPr>
              <w:spacing w:line="240" w:lineRule="auto"/>
              <w:ind w:right="708"/>
              <w:jc w:val="left"/>
              <w:rPr>
                <w:rFonts w:ascii="Calibri" w:hAnsi="Calibri" w:cs="Calibri"/>
                <w:sz w:val="24"/>
                <w:szCs w:val="24"/>
              </w:rPr>
            </w:pPr>
            <w:r>
              <w:rPr>
                <w:rFonts w:ascii="Calibri" w:hAnsi="Calibri" w:cs="Calibri"/>
                <w:color w:val="000000"/>
                <w:sz w:val="24"/>
                <w:szCs w:val="24"/>
              </w:rPr>
              <w:t>Samer Merei Kanani</w:t>
            </w:r>
          </w:p>
        </w:tc>
        <w:tc>
          <w:tcPr>
            <w:tcW w:w="5387" w:type="dxa"/>
          </w:tcPr>
          <w:p w14:paraId="334227EC" w14:textId="26B5A047" w:rsidR="00897739" w:rsidRPr="00D93D16" w:rsidRDefault="00897739" w:rsidP="00247410">
            <w:pPr>
              <w:spacing w:line="240" w:lineRule="auto"/>
              <w:ind w:right="708"/>
              <w:jc w:val="left"/>
              <w:rPr>
                <w:rFonts w:ascii="Calibri" w:hAnsi="Calibri" w:cs="Calibri"/>
                <w:sz w:val="24"/>
                <w:szCs w:val="24"/>
              </w:rPr>
            </w:pPr>
            <w:r w:rsidRPr="001D2C91">
              <w:rPr>
                <w:rFonts w:ascii="Calibri" w:eastAsia="Times New Roman" w:hAnsi="Calibri" w:cs="Calibri"/>
                <w:sz w:val="24"/>
                <w:szCs w:val="24"/>
              </w:rPr>
              <w:t>Department of Orthopaedic</w:t>
            </w:r>
            <w:r w:rsidR="00FE5B73">
              <w:rPr>
                <w:rFonts w:ascii="Calibri" w:eastAsia="Times New Roman" w:hAnsi="Calibri" w:cs="Calibri"/>
                <w:sz w:val="24"/>
                <w:szCs w:val="24"/>
              </w:rPr>
              <w:t xml:space="preserve">s, King Khaled Hospital, Ministry of Health, Tabuk, </w:t>
            </w:r>
            <w:r w:rsidRPr="001D2C91">
              <w:rPr>
                <w:rFonts w:ascii="Calibri" w:eastAsia="Times New Roman" w:hAnsi="Calibri" w:cs="Calibri"/>
                <w:sz w:val="24"/>
                <w:szCs w:val="24"/>
              </w:rPr>
              <w:t>Saudi Arabia</w:t>
            </w:r>
          </w:p>
        </w:tc>
      </w:tr>
      <w:tr w:rsidR="00897739" w:rsidRPr="00977CB7" w14:paraId="7AA2AFCD"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F61D78B" w14:textId="77777777" w:rsidR="00897739" w:rsidRPr="00977CB7" w:rsidRDefault="00897739" w:rsidP="00247410">
            <w:pPr>
              <w:spacing w:line="240" w:lineRule="auto"/>
              <w:ind w:right="708"/>
              <w:jc w:val="left"/>
              <w:rPr>
                <w:rFonts w:ascii="Calibri" w:hAnsi="Calibri" w:cs="Calibri"/>
                <w:color w:val="000000"/>
                <w:sz w:val="24"/>
                <w:szCs w:val="24"/>
              </w:rPr>
            </w:pPr>
            <w:r w:rsidRPr="00977CB7">
              <w:rPr>
                <w:rFonts w:ascii="Calibri" w:hAnsi="Calibri" w:cs="Calibri"/>
                <w:sz w:val="24"/>
                <w:szCs w:val="24"/>
              </w:rPr>
              <w:t>Ashwag Saleh Alfagih</w:t>
            </w:r>
          </w:p>
        </w:tc>
        <w:tc>
          <w:tcPr>
            <w:tcW w:w="5387" w:type="dxa"/>
          </w:tcPr>
          <w:p w14:paraId="7796D41F" w14:textId="14DBE79D" w:rsidR="00897739" w:rsidRPr="009C7181" w:rsidRDefault="00897739">
            <w:pPr>
              <w:spacing w:line="240" w:lineRule="auto"/>
              <w:ind w:right="708"/>
              <w:rPr>
                <w:rFonts w:ascii="Calibri" w:eastAsia="Times New Roman" w:hAnsi="Calibri" w:cs="Calibri"/>
                <w:sz w:val="24"/>
                <w:szCs w:val="24"/>
              </w:rPr>
            </w:pPr>
            <w:r w:rsidRPr="00EF4770">
              <w:rPr>
                <w:rFonts w:ascii="Calibri" w:eastAsia="Times New Roman" w:hAnsi="Calibri" w:cs="Calibri"/>
                <w:sz w:val="24"/>
                <w:szCs w:val="24"/>
              </w:rPr>
              <w:t>Endocrine and Diabetes Centre, King Fahad Central hospital</w:t>
            </w:r>
            <w:r>
              <w:rPr>
                <w:rFonts w:ascii="Calibri" w:eastAsia="Times New Roman" w:hAnsi="Calibri" w:cs="Calibri"/>
                <w:sz w:val="24"/>
                <w:szCs w:val="24"/>
              </w:rPr>
              <w:t>, Ministry of Health,</w:t>
            </w:r>
            <w:r w:rsidR="00FE5B73">
              <w:rPr>
                <w:rFonts w:ascii="Calibri" w:eastAsia="Times New Roman" w:hAnsi="Calibri" w:cs="Calibri"/>
                <w:sz w:val="24"/>
                <w:szCs w:val="24"/>
              </w:rPr>
              <w:t xml:space="preserve"> Jazan,</w:t>
            </w:r>
          </w:p>
          <w:p w14:paraId="7054A74A" w14:textId="77777777" w:rsidR="00897739" w:rsidRPr="00D36CAB" w:rsidRDefault="00897739" w:rsidP="00247410">
            <w:pPr>
              <w:spacing w:line="240" w:lineRule="auto"/>
              <w:ind w:right="708"/>
              <w:jc w:val="left"/>
              <w:rPr>
                <w:rFonts w:ascii="Calibri" w:eastAsia="Times New Roman" w:hAnsi="Calibri" w:cs="Calibri"/>
                <w:sz w:val="24"/>
                <w:szCs w:val="24"/>
              </w:rPr>
            </w:pPr>
            <w:r w:rsidRPr="009C7181">
              <w:rPr>
                <w:rFonts w:ascii="Calibri" w:eastAsia="Times New Roman" w:hAnsi="Calibri" w:cs="Calibri"/>
                <w:sz w:val="24"/>
                <w:szCs w:val="24"/>
              </w:rPr>
              <w:t>Saudi Arabia</w:t>
            </w:r>
          </w:p>
        </w:tc>
      </w:tr>
      <w:tr w:rsidR="00897739" w:rsidRPr="00977CB7" w14:paraId="2CAB0E51"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E3F374B" w14:textId="77777777" w:rsidR="00897739" w:rsidRPr="00977CB7" w:rsidRDefault="00897739" w:rsidP="00247410">
            <w:pPr>
              <w:spacing w:line="240" w:lineRule="auto"/>
              <w:ind w:right="708"/>
              <w:jc w:val="left"/>
              <w:rPr>
                <w:rFonts w:ascii="Calibri" w:hAnsi="Calibri" w:cs="Calibri"/>
                <w:sz w:val="24"/>
                <w:szCs w:val="24"/>
              </w:rPr>
            </w:pPr>
            <w:r>
              <w:rPr>
                <w:rFonts w:ascii="Calibri" w:hAnsi="Calibri" w:cs="Calibri"/>
                <w:sz w:val="24"/>
                <w:szCs w:val="24"/>
              </w:rPr>
              <w:t>K</w:t>
            </w:r>
            <w:r w:rsidRPr="00977CB7">
              <w:rPr>
                <w:rFonts w:ascii="Calibri" w:hAnsi="Calibri" w:cs="Calibri"/>
                <w:sz w:val="24"/>
                <w:szCs w:val="24"/>
              </w:rPr>
              <w:t>amil Muslim Albouri</w:t>
            </w:r>
          </w:p>
        </w:tc>
        <w:tc>
          <w:tcPr>
            <w:tcW w:w="5387" w:type="dxa"/>
          </w:tcPr>
          <w:p w14:paraId="6A3920C5" w14:textId="5F183E43" w:rsidR="00897739" w:rsidRPr="00977CB7" w:rsidRDefault="00897739">
            <w:pPr>
              <w:spacing w:line="240" w:lineRule="auto"/>
              <w:ind w:right="708"/>
              <w:jc w:val="left"/>
              <w:rPr>
                <w:rFonts w:ascii="Calibri" w:hAnsi="Calibri" w:cs="Calibri"/>
                <w:sz w:val="24"/>
                <w:szCs w:val="24"/>
              </w:rPr>
            </w:pPr>
            <w:r w:rsidRPr="00977CB7">
              <w:rPr>
                <w:rFonts w:ascii="Calibri" w:hAnsi="Calibri" w:cs="Calibri"/>
                <w:sz w:val="24"/>
                <w:szCs w:val="24"/>
              </w:rPr>
              <w:t>Department</w:t>
            </w:r>
            <w:r>
              <w:rPr>
                <w:rFonts w:ascii="Calibri" w:hAnsi="Calibri" w:cs="Calibri"/>
                <w:sz w:val="24"/>
                <w:szCs w:val="24"/>
                <w:lang w:val="en-US"/>
              </w:rPr>
              <w:t xml:space="preserve"> </w:t>
            </w:r>
            <w:r>
              <w:rPr>
                <w:rFonts w:ascii="Calibri" w:hAnsi="Calibri" w:cs="Calibri"/>
                <w:sz w:val="24"/>
                <w:szCs w:val="24"/>
              </w:rPr>
              <w:t>of Orthopedics, A</w:t>
            </w:r>
            <w:r>
              <w:rPr>
                <w:rFonts w:ascii="Calibri" w:hAnsi="Calibri" w:cs="Calibri"/>
                <w:sz w:val="24"/>
                <w:szCs w:val="24"/>
                <w:lang w:val="en-US"/>
              </w:rPr>
              <w:t>l</w:t>
            </w:r>
            <w:r w:rsidRPr="00977CB7">
              <w:rPr>
                <w:rFonts w:ascii="Calibri" w:hAnsi="Calibri" w:cs="Calibri"/>
                <w:sz w:val="24"/>
                <w:szCs w:val="24"/>
              </w:rPr>
              <w:t>Qat</w:t>
            </w:r>
            <w:r>
              <w:rPr>
                <w:rFonts w:ascii="Calibri" w:hAnsi="Calibri" w:cs="Calibri"/>
                <w:sz w:val="24"/>
                <w:szCs w:val="24"/>
              </w:rPr>
              <w:t xml:space="preserve">if Central Hospital, </w:t>
            </w:r>
            <w:r>
              <w:rPr>
                <w:rFonts w:ascii="Calibri" w:eastAsia="Times New Roman" w:hAnsi="Calibri" w:cs="Calibri"/>
                <w:sz w:val="24"/>
                <w:szCs w:val="24"/>
              </w:rPr>
              <w:t>Ministry of Health</w:t>
            </w:r>
            <w:r>
              <w:rPr>
                <w:rFonts w:ascii="Calibri" w:hAnsi="Calibri" w:cs="Calibri"/>
                <w:sz w:val="24"/>
                <w:szCs w:val="24"/>
              </w:rPr>
              <w:t>,</w:t>
            </w:r>
            <w:r w:rsidR="00FE5B73">
              <w:rPr>
                <w:rFonts w:ascii="Calibri" w:hAnsi="Calibri" w:cs="Calibri"/>
                <w:sz w:val="24"/>
                <w:szCs w:val="24"/>
              </w:rPr>
              <w:t xml:space="preserve"> A</w:t>
            </w:r>
            <w:r w:rsidR="00FE5B73">
              <w:rPr>
                <w:rFonts w:ascii="Calibri" w:hAnsi="Calibri" w:cs="Calibri"/>
                <w:sz w:val="24"/>
                <w:szCs w:val="24"/>
                <w:lang w:val="en-US"/>
              </w:rPr>
              <w:t>l</w:t>
            </w:r>
            <w:r w:rsidR="00FE5B73" w:rsidRPr="00977CB7">
              <w:rPr>
                <w:rFonts w:ascii="Calibri" w:hAnsi="Calibri" w:cs="Calibri"/>
                <w:sz w:val="24"/>
                <w:szCs w:val="24"/>
              </w:rPr>
              <w:t>Qatif</w:t>
            </w:r>
            <w:r w:rsidR="00FE5B73">
              <w:rPr>
                <w:rFonts w:ascii="Calibri" w:hAnsi="Calibri" w:cs="Calibri"/>
                <w:sz w:val="24"/>
                <w:szCs w:val="24"/>
                <w:lang w:val="en-US"/>
              </w:rPr>
              <w:t xml:space="preserve">, </w:t>
            </w:r>
            <w:r>
              <w:rPr>
                <w:rFonts w:ascii="Calibri" w:hAnsi="Calibri" w:cs="Calibri"/>
                <w:sz w:val="24"/>
                <w:szCs w:val="24"/>
              </w:rPr>
              <w:t xml:space="preserve"> </w:t>
            </w:r>
            <w:r w:rsidRPr="00977CB7">
              <w:rPr>
                <w:rFonts w:ascii="Calibri" w:hAnsi="Calibri" w:cs="Calibri"/>
                <w:sz w:val="24"/>
                <w:szCs w:val="24"/>
              </w:rPr>
              <w:t>Saudi Arabia</w:t>
            </w:r>
          </w:p>
        </w:tc>
      </w:tr>
      <w:tr w:rsidR="00897739" w:rsidRPr="00977CB7" w14:paraId="4017D0FB"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395110B8"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color w:val="000000"/>
                <w:sz w:val="24"/>
                <w:szCs w:val="24"/>
              </w:rPr>
              <w:t>Osama Fawaz Alsobyhy</w:t>
            </w:r>
          </w:p>
        </w:tc>
        <w:tc>
          <w:tcPr>
            <w:tcW w:w="5387" w:type="dxa"/>
          </w:tcPr>
          <w:p w14:paraId="75FB2DC5" w14:textId="36B90ED5" w:rsidR="00897739" w:rsidRPr="00977CB7" w:rsidRDefault="00897739">
            <w:pPr>
              <w:spacing w:line="240" w:lineRule="auto"/>
              <w:ind w:right="708"/>
              <w:jc w:val="left"/>
              <w:rPr>
                <w:rFonts w:ascii="Calibri" w:eastAsia="Times New Roman" w:hAnsi="Calibri" w:cs="Calibri"/>
                <w:sz w:val="24"/>
                <w:szCs w:val="24"/>
              </w:rPr>
            </w:pPr>
            <w:r w:rsidRPr="001D2C91">
              <w:rPr>
                <w:rFonts w:ascii="Calibri" w:eastAsia="Times New Roman" w:hAnsi="Calibri" w:cs="Calibri"/>
                <w:sz w:val="24"/>
                <w:szCs w:val="24"/>
              </w:rPr>
              <w:t>General Directorate of Health Program and Chronic Diseases,</w:t>
            </w:r>
            <w:r>
              <w:rPr>
                <w:rFonts w:ascii="Calibri" w:eastAsia="Times New Roman" w:hAnsi="Calibri" w:cs="Calibri"/>
                <w:sz w:val="24"/>
                <w:szCs w:val="24"/>
              </w:rPr>
              <w:t xml:space="preserve"> Ministry of Health</w:t>
            </w:r>
            <w:r w:rsidRPr="00D36CAB">
              <w:rPr>
                <w:rFonts w:ascii="Calibri" w:eastAsia="Times New Roman" w:hAnsi="Calibri" w:cs="Calibri"/>
                <w:sz w:val="24"/>
                <w:szCs w:val="24"/>
              </w:rPr>
              <w:t>,</w:t>
            </w:r>
            <w:r>
              <w:rPr>
                <w:rFonts w:ascii="Calibri" w:eastAsia="Times New Roman" w:hAnsi="Calibri" w:cs="Calibri"/>
                <w:sz w:val="24"/>
                <w:szCs w:val="24"/>
              </w:rPr>
              <w:t xml:space="preserve"> </w:t>
            </w:r>
            <w:r w:rsidR="00FE5B73">
              <w:rPr>
                <w:rFonts w:ascii="Calibri" w:eastAsia="Times New Roman" w:hAnsi="Calibri" w:cs="Calibri"/>
                <w:sz w:val="24"/>
                <w:szCs w:val="24"/>
              </w:rPr>
              <w:t xml:space="preserve">Aljouf, </w:t>
            </w:r>
            <w:r>
              <w:rPr>
                <w:rFonts w:ascii="Calibri" w:eastAsia="Times New Roman" w:hAnsi="Calibri" w:cs="Calibri"/>
                <w:sz w:val="24"/>
                <w:szCs w:val="24"/>
              </w:rPr>
              <w:t>S</w:t>
            </w:r>
            <w:r w:rsidRPr="001D2C91">
              <w:rPr>
                <w:rFonts w:ascii="Calibri" w:eastAsia="Times New Roman" w:hAnsi="Calibri" w:cs="Calibri"/>
                <w:sz w:val="24"/>
                <w:szCs w:val="24"/>
              </w:rPr>
              <w:t>audi Arabia</w:t>
            </w:r>
          </w:p>
        </w:tc>
      </w:tr>
      <w:tr w:rsidR="00897739" w:rsidRPr="00977CB7" w14:paraId="247A422E"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6CB9151B" w14:textId="77777777" w:rsidR="00897739" w:rsidRPr="00977CB7" w:rsidRDefault="00897739" w:rsidP="00247410">
            <w:pPr>
              <w:spacing w:line="240" w:lineRule="auto"/>
              <w:ind w:right="708"/>
              <w:jc w:val="left"/>
              <w:rPr>
                <w:rFonts w:ascii="Calibri" w:hAnsi="Calibri" w:cs="Calibri"/>
                <w:color w:val="000000"/>
                <w:sz w:val="24"/>
                <w:szCs w:val="24"/>
              </w:rPr>
            </w:pPr>
            <w:r w:rsidRPr="00977CB7">
              <w:rPr>
                <w:rFonts w:ascii="Calibri" w:hAnsi="Calibri" w:cs="Calibri"/>
                <w:sz w:val="24"/>
                <w:szCs w:val="24"/>
              </w:rPr>
              <w:t>Mohammed Zayed Almutairi </w:t>
            </w:r>
          </w:p>
        </w:tc>
        <w:tc>
          <w:tcPr>
            <w:tcW w:w="5387" w:type="dxa"/>
          </w:tcPr>
          <w:p w14:paraId="136BAA8B" w14:textId="4D8CB6EC" w:rsidR="00897739" w:rsidRPr="00120A18" w:rsidRDefault="00897739">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Department of Medi</w:t>
            </w:r>
            <w:r w:rsidR="00FE5B73">
              <w:rPr>
                <w:rFonts w:ascii="Calibri" w:hAnsi="Calibri" w:cs="Calibri"/>
                <w:sz w:val="24"/>
                <w:szCs w:val="24"/>
              </w:rPr>
              <w:t>cine, Security Forces Hospital,</w:t>
            </w:r>
            <w:r w:rsidR="00FE5B73">
              <w:rPr>
                <w:rFonts w:ascii="Calibri" w:hAnsi="Calibri" w:cs="Calibri"/>
                <w:sz w:val="24"/>
                <w:szCs w:val="24"/>
                <w:lang w:val="en-US"/>
              </w:rPr>
              <w:t xml:space="preserve"> </w:t>
            </w:r>
            <w:r>
              <w:rPr>
                <w:rFonts w:ascii="Calibri" w:hAnsi="Calibri" w:cs="Calibri"/>
                <w:sz w:val="24"/>
                <w:szCs w:val="24"/>
                <w:lang w:val="en-US"/>
              </w:rPr>
              <w:t xml:space="preserve">Ministry of Interior, </w:t>
            </w:r>
            <w:r w:rsidR="00FE5B73">
              <w:rPr>
                <w:rFonts w:ascii="Calibri" w:hAnsi="Calibri" w:cs="Calibri"/>
                <w:sz w:val="24"/>
                <w:szCs w:val="24"/>
                <w:lang w:val="en-US"/>
              </w:rPr>
              <w:t xml:space="preserve">Riyadh, </w:t>
            </w:r>
            <w:r w:rsidRPr="00977CB7">
              <w:rPr>
                <w:rFonts w:ascii="Calibri" w:hAnsi="Calibri" w:cs="Calibri"/>
                <w:sz w:val="24"/>
                <w:szCs w:val="24"/>
              </w:rPr>
              <w:t>Saudi Arabia</w:t>
            </w:r>
          </w:p>
        </w:tc>
      </w:tr>
      <w:tr w:rsidR="00897739" w:rsidRPr="00977CB7" w14:paraId="7E366F1A"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0149B495" w14:textId="77777777" w:rsidR="00897739" w:rsidRDefault="00897739" w:rsidP="00247410">
            <w:pPr>
              <w:spacing w:line="240" w:lineRule="auto"/>
              <w:ind w:right="708"/>
              <w:jc w:val="left"/>
              <w:rPr>
                <w:rFonts w:ascii="Calibri" w:hAnsi="Calibri" w:cs="Calibri"/>
                <w:color w:val="000000"/>
                <w:sz w:val="24"/>
                <w:szCs w:val="24"/>
              </w:rPr>
            </w:pPr>
            <w:r w:rsidRPr="00E67C5D">
              <w:rPr>
                <w:color w:val="000000"/>
                <w:sz w:val="24"/>
                <w:szCs w:val="24"/>
              </w:rPr>
              <w:t>Mussa Hussain Almalki</w:t>
            </w:r>
          </w:p>
        </w:tc>
        <w:tc>
          <w:tcPr>
            <w:tcW w:w="5387" w:type="dxa"/>
          </w:tcPr>
          <w:p w14:paraId="03A171C1" w14:textId="77777777" w:rsidR="00897739" w:rsidRPr="00EF4770" w:rsidRDefault="00897739" w:rsidP="00247410">
            <w:pPr>
              <w:spacing w:line="240" w:lineRule="auto"/>
              <w:ind w:right="708"/>
              <w:jc w:val="left"/>
              <w:rPr>
                <w:rFonts w:ascii="Calibri" w:eastAsia="Times New Roman" w:hAnsi="Calibri" w:cs="Calibri"/>
                <w:sz w:val="24"/>
                <w:szCs w:val="24"/>
              </w:rPr>
            </w:pPr>
            <w:r w:rsidRPr="00EF4770">
              <w:rPr>
                <w:color w:val="222222"/>
                <w:sz w:val="24"/>
                <w:szCs w:val="24"/>
              </w:rPr>
              <w:t>Obesity</w:t>
            </w:r>
            <w:r w:rsidRPr="00EF4770">
              <w:rPr>
                <w:color w:val="222222"/>
                <w:sz w:val="24"/>
                <w:szCs w:val="24"/>
                <w:lang w:val="en-US"/>
              </w:rPr>
              <w:t xml:space="preserve">, Endocrinology and Metabolism </w:t>
            </w:r>
            <w:r w:rsidRPr="00EF4770">
              <w:rPr>
                <w:color w:val="222222"/>
                <w:sz w:val="24"/>
                <w:szCs w:val="24"/>
              </w:rPr>
              <w:t>Center, King Fahad Medical City, Riyadh, Saudi Arabia</w:t>
            </w:r>
          </w:p>
          <w:p w14:paraId="6395A060" w14:textId="77777777" w:rsidR="00897739" w:rsidRPr="008E6B79" w:rsidRDefault="00897739" w:rsidP="00247410">
            <w:pPr>
              <w:spacing w:line="240" w:lineRule="auto"/>
              <w:ind w:right="708"/>
              <w:jc w:val="left"/>
              <w:rPr>
                <w:rFonts w:ascii="Calibri" w:eastAsia="Times New Roman" w:hAnsi="Calibri" w:cs="Calibri"/>
                <w:sz w:val="24"/>
                <w:szCs w:val="24"/>
                <w:lang w:val="en-US"/>
              </w:rPr>
            </w:pPr>
            <w:r w:rsidRPr="00EF4770">
              <w:rPr>
                <w:rFonts w:ascii="Calibri" w:eastAsia="Times New Roman" w:hAnsi="Calibri" w:cs="Calibri"/>
                <w:sz w:val="24"/>
                <w:szCs w:val="24"/>
                <w:lang w:val="en-US"/>
              </w:rPr>
              <w:t>College of Medicine, King Fahad Medical City, King Saud Bin Abdulaziz University for Health Sciences, Riyadh, Saudi Arabia</w:t>
            </w:r>
          </w:p>
        </w:tc>
      </w:tr>
      <w:tr w:rsidR="00897739" w:rsidRPr="00977CB7" w14:paraId="68712908"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09512C70" w14:textId="77777777" w:rsidR="00897739" w:rsidRPr="00E67C5D" w:rsidRDefault="00897739" w:rsidP="00247410">
            <w:pPr>
              <w:spacing w:line="240" w:lineRule="auto"/>
              <w:ind w:right="708"/>
              <w:jc w:val="left"/>
              <w:rPr>
                <w:color w:val="000000"/>
                <w:sz w:val="24"/>
                <w:szCs w:val="24"/>
              </w:rPr>
            </w:pPr>
            <w:r w:rsidRPr="00977CB7">
              <w:rPr>
                <w:rFonts w:ascii="Calibri" w:hAnsi="Calibri" w:cs="Calibri"/>
                <w:color w:val="000000"/>
                <w:sz w:val="24"/>
                <w:szCs w:val="24"/>
              </w:rPr>
              <w:t>Nadia Abd Elhamid Kassem</w:t>
            </w:r>
          </w:p>
        </w:tc>
        <w:tc>
          <w:tcPr>
            <w:tcW w:w="5387" w:type="dxa"/>
          </w:tcPr>
          <w:p w14:paraId="0A227F0F" w14:textId="2D81E349" w:rsidR="00897739" w:rsidRPr="00D93D16" w:rsidRDefault="00FE5B73">
            <w:pPr>
              <w:spacing w:line="240" w:lineRule="auto"/>
              <w:ind w:right="708"/>
              <w:jc w:val="left"/>
              <w:rPr>
                <w:color w:val="222222"/>
                <w:sz w:val="24"/>
                <w:szCs w:val="24"/>
                <w:highlight w:val="yellow"/>
              </w:rPr>
            </w:pPr>
            <w:r>
              <w:rPr>
                <w:rFonts w:ascii="Calibri" w:eastAsia="Times New Roman" w:hAnsi="Calibri" w:cs="Calibri"/>
                <w:sz w:val="24"/>
                <w:szCs w:val="24"/>
              </w:rPr>
              <w:t>Prince Mishari Hospital,</w:t>
            </w:r>
            <w:r w:rsidR="00897739" w:rsidRPr="00D36CAB">
              <w:rPr>
                <w:rFonts w:ascii="Calibri" w:eastAsia="Times New Roman" w:hAnsi="Calibri" w:cs="Calibri"/>
                <w:sz w:val="24"/>
                <w:szCs w:val="24"/>
              </w:rPr>
              <w:t xml:space="preserve"> </w:t>
            </w:r>
            <w:r w:rsidR="00897739">
              <w:rPr>
                <w:rFonts w:ascii="Calibri" w:eastAsia="Times New Roman" w:hAnsi="Calibri" w:cs="Calibri"/>
                <w:sz w:val="24"/>
                <w:szCs w:val="24"/>
              </w:rPr>
              <w:t xml:space="preserve">Ministry of Health, </w:t>
            </w:r>
            <w:r w:rsidRPr="00D36CAB">
              <w:rPr>
                <w:rFonts w:ascii="Calibri" w:eastAsia="Times New Roman" w:hAnsi="Calibri" w:cs="Calibri"/>
                <w:sz w:val="24"/>
                <w:szCs w:val="24"/>
              </w:rPr>
              <w:t>Baljurashi</w:t>
            </w:r>
            <w:r>
              <w:rPr>
                <w:rFonts w:ascii="Calibri" w:eastAsia="Times New Roman" w:hAnsi="Calibri" w:cs="Calibri"/>
                <w:sz w:val="24"/>
                <w:szCs w:val="24"/>
              </w:rPr>
              <w:t xml:space="preserve">, </w:t>
            </w:r>
            <w:r w:rsidR="00897739" w:rsidRPr="001D2C91">
              <w:rPr>
                <w:rFonts w:ascii="Calibri" w:eastAsia="Times New Roman" w:hAnsi="Calibri" w:cs="Calibri"/>
                <w:sz w:val="24"/>
                <w:szCs w:val="24"/>
              </w:rPr>
              <w:t>Saudi Arabia</w:t>
            </w:r>
          </w:p>
        </w:tc>
      </w:tr>
      <w:tr w:rsidR="00897739" w:rsidRPr="00977CB7" w14:paraId="30DEB4F0"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583FF5CA" w14:textId="77777777" w:rsidR="00897739" w:rsidRPr="00977CB7" w:rsidRDefault="00897739" w:rsidP="00247410">
            <w:pPr>
              <w:spacing w:line="240" w:lineRule="auto"/>
              <w:ind w:right="708"/>
              <w:jc w:val="left"/>
              <w:rPr>
                <w:rFonts w:ascii="Calibri" w:hAnsi="Calibri" w:cs="Calibri"/>
                <w:sz w:val="24"/>
                <w:szCs w:val="24"/>
              </w:rPr>
            </w:pPr>
            <w:r>
              <w:rPr>
                <w:color w:val="000000"/>
                <w:sz w:val="24"/>
                <w:szCs w:val="24"/>
                <w:lang w:val="en-US"/>
              </w:rPr>
              <w:t>Mutaz Mohamed Ali</w:t>
            </w:r>
          </w:p>
        </w:tc>
        <w:tc>
          <w:tcPr>
            <w:tcW w:w="5387" w:type="dxa"/>
          </w:tcPr>
          <w:p w14:paraId="28C53714" w14:textId="79562CFA" w:rsidR="00897739" w:rsidRPr="00D93D16" w:rsidRDefault="00897739">
            <w:pPr>
              <w:spacing w:line="240" w:lineRule="auto"/>
              <w:ind w:right="708"/>
              <w:jc w:val="left"/>
              <w:rPr>
                <w:rFonts w:ascii="Calibri" w:hAnsi="Calibri" w:cs="Calibri"/>
                <w:sz w:val="24"/>
                <w:szCs w:val="24"/>
                <w:lang w:val="en-US"/>
              </w:rPr>
            </w:pPr>
            <w:r>
              <w:rPr>
                <w:color w:val="222222"/>
                <w:sz w:val="24"/>
                <w:szCs w:val="24"/>
                <w:lang w:val="en-US"/>
              </w:rPr>
              <w:t xml:space="preserve">General Directorate of Health Affairs, Public Health Administration, Ministry of Health, </w:t>
            </w:r>
            <w:r w:rsidR="00FE5B73">
              <w:rPr>
                <w:color w:val="222222"/>
                <w:sz w:val="24"/>
                <w:szCs w:val="24"/>
                <w:lang w:val="en-US"/>
              </w:rPr>
              <w:t xml:space="preserve">Najran, </w:t>
            </w:r>
            <w:r>
              <w:rPr>
                <w:color w:val="222222"/>
                <w:sz w:val="24"/>
                <w:szCs w:val="24"/>
                <w:lang w:val="en-US"/>
              </w:rPr>
              <w:t>Saudi Arabia</w:t>
            </w:r>
          </w:p>
        </w:tc>
      </w:tr>
      <w:tr w:rsidR="00897739" w:rsidRPr="00977CB7" w14:paraId="1A7B23DB"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6AD01747"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Fahad A</w:t>
            </w:r>
            <w:r>
              <w:rPr>
                <w:rFonts w:ascii="Calibri" w:hAnsi="Calibri" w:cs="Calibri"/>
                <w:sz w:val="24"/>
                <w:szCs w:val="24"/>
              </w:rPr>
              <w:t xml:space="preserve"> </w:t>
            </w:r>
            <w:r w:rsidRPr="00977CB7">
              <w:rPr>
                <w:rFonts w:ascii="Calibri" w:hAnsi="Calibri" w:cs="Calibri"/>
                <w:sz w:val="24"/>
                <w:szCs w:val="24"/>
              </w:rPr>
              <w:t> Alamri</w:t>
            </w:r>
          </w:p>
        </w:tc>
        <w:tc>
          <w:tcPr>
            <w:tcW w:w="5387" w:type="dxa"/>
          </w:tcPr>
          <w:p w14:paraId="4C19F28F"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 xml:space="preserve">Global Center of Mass Gatherings Medicine, Public Health Agency, Ministry of Health, </w:t>
            </w:r>
            <w:r w:rsidRPr="001D2C91">
              <w:rPr>
                <w:rFonts w:ascii="Calibri" w:hAnsi="Calibri" w:cs="Calibri"/>
                <w:sz w:val="24"/>
                <w:szCs w:val="24"/>
              </w:rPr>
              <w:t>Riyadh,</w:t>
            </w:r>
            <w:r>
              <w:rPr>
                <w:rFonts w:ascii="Calibri" w:hAnsi="Calibri" w:cs="Calibri"/>
                <w:sz w:val="24"/>
                <w:szCs w:val="24"/>
              </w:rPr>
              <w:t xml:space="preserve"> </w:t>
            </w:r>
            <w:r w:rsidRPr="00977CB7">
              <w:rPr>
                <w:rFonts w:ascii="Calibri" w:hAnsi="Calibri" w:cs="Calibri"/>
                <w:sz w:val="24"/>
                <w:szCs w:val="24"/>
              </w:rPr>
              <w:t>Saudi Arabia</w:t>
            </w:r>
          </w:p>
        </w:tc>
      </w:tr>
      <w:tr w:rsidR="00897739" w:rsidRPr="00977CB7" w14:paraId="62B20499"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011B3C1D"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Fahad Mohammed Alshahrani</w:t>
            </w:r>
          </w:p>
        </w:tc>
        <w:tc>
          <w:tcPr>
            <w:tcW w:w="5387" w:type="dxa"/>
          </w:tcPr>
          <w:p w14:paraId="0CDDD6D1" w14:textId="77777777" w:rsidR="00897739" w:rsidRPr="00897739" w:rsidRDefault="00897739" w:rsidP="00247410">
            <w:pPr>
              <w:spacing w:line="240" w:lineRule="auto"/>
              <w:ind w:right="708"/>
              <w:jc w:val="left"/>
              <w:rPr>
                <w:rFonts w:eastAsia="Times New Roman" w:cs="Calibri"/>
                <w:sz w:val="24"/>
                <w:szCs w:val="24"/>
                <w:lang w:val="en-AU" w:eastAsia="en-GB"/>
              </w:rPr>
            </w:pPr>
            <w:r w:rsidRPr="00EF4770">
              <w:rPr>
                <w:rFonts w:ascii="Calibri" w:eastAsia="Times New Roman" w:hAnsi="Calibri" w:cs="Calibri"/>
                <w:sz w:val="24"/>
                <w:szCs w:val="24"/>
              </w:rPr>
              <w:t>College of Medicine, King Saudi Bin Abdulaziz University for Health Sciences, Riyadh, Saudi Arabia</w:t>
            </w:r>
            <w:r w:rsidRPr="00897739">
              <w:rPr>
                <w:rFonts w:eastAsia="Times New Roman" w:cs="Calibri"/>
                <w:sz w:val="24"/>
                <w:szCs w:val="24"/>
                <w:lang w:val="en-AU" w:eastAsia="en-GB"/>
              </w:rPr>
              <w:t xml:space="preserve">. </w:t>
            </w:r>
          </w:p>
          <w:p w14:paraId="3586BED5" w14:textId="77777777" w:rsidR="00897739" w:rsidRPr="00EF4770" w:rsidRDefault="00897739" w:rsidP="00247410">
            <w:pPr>
              <w:spacing w:line="240" w:lineRule="auto"/>
              <w:ind w:right="708"/>
              <w:jc w:val="left"/>
              <w:rPr>
                <w:rFonts w:ascii="Calibri" w:eastAsia="Times New Roman" w:hAnsi="Calibri" w:cs="Calibri"/>
                <w:sz w:val="24"/>
                <w:szCs w:val="24"/>
                <w:lang w:val="en-AU"/>
              </w:rPr>
            </w:pPr>
            <w:r w:rsidRPr="00EF4770">
              <w:rPr>
                <w:rFonts w:eastAsia="Times New Roman" w:cs="Calibri"/>
                <w:sz w:val="24"/>
                <w:szCs w:val="24"/>
                <w:lang w:val="en-AU" w:eastAsia="en-GB"/>
              </w:rPr>
              <w:t>King Abdullah International Medical Research Centre, Riyadh, Saudi Arabia</w:t>
            </w:r>
            <w:r w:rsidRPr="00EF4770">
              <w:rPr>
                <w:rFonts w:ascii="Calibri" w:eastAsia="Times New Roman" w:hAnsi="Calibri" w:cs="Calibri"/>
                <w:sz w:val="24"/>
                <w:szCs w:val="24"/>
                <w:lang w:val="en-AU"/>
              </w:rPr>
              <w:t>.</w:t>
            </w:r>
          </w:p>
          <w:p w14:paraId="0D53CB7C" w14:textId="77777777" w:rsidR="00897739" w:rsidRPr="00897739" w:rsidRDefault="00897739" w:rsidP="00247410">
            <w:pPr>
              <w:spacing w:line="240" w:lineRule="auto"/>
              <w:ind w:right="708"/>
              <w:jc w:val="left"/>
              <w:rPr>
                <w:rFonts w:ascii="Calibri" w:eastAsia="Times New Roman" w:hAnsi="Calibri" w:cs="Calibri"/>
                <w:sz w:val="24"/>
                <w:szCs w:val="24"/>
              </w:rPr>
            </w:pPr>
            <w:r w:rsidRPr="00EF4770">
              <w:rPr>
                <w:rFonts w:ascii="Calibri" w:eastAsia="Times New Roman" w:hAnsi="Calibri" w:cs="Calibri"/>
                <w:sz w:val="24"/>
                <w:szCs w:val="24"/>
              </w:rPr>
              <w:t>Department of Family Medicine, King Abdulaziz Medical City, Ministry of National Guard Health Affairs, Riyadh, Saudi Arabia</w:t>
            </w:r>
          </w:p>
        </w:tc>
      </w:tr>
      <w:tr w:rsidR="00897739" w:rsidRPr="00977CB7" w14:paraId="5459D94F"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62675665" w14:textId="77777777" w:rsidR="00897739" w:rsidRPr="00977CB7" w:rsidRDefault="00897739" w:rsidP="00247410">
            <w:pPr>
              <w:spacing w:line="240" w:lineRule="auto"/>
              <w:ind w:right="708"/>
              <w:jc w:val="left"/>
              <w:rPr>
                <w:rFonts w:ascii="Calibri" w:eastAsia="Times New Roman" w:hAnsi="Calibri" w:cs="Calibri"/>
                <w:sz w:val="24"/>
                <w:szCs w:val="24"/>
              </w:rPr>
            </w:pPr>
            <w:r>
              <w:rPr>
                <w:rFonts w:ascii="Calibri" w:hAnsi="Calibri" w:cs="Calibri"/>
                <w:sz w:val="24"/>
                <w:szCs w:val="24"/>
              </w:rPr>
              <w:t>Hanan Mohammed A</w:t>
            </w:r>
            <w:r>
              <w:rPr>
                <w:rFonts w:ascii="Calibri" w:hAnsi="Calibri" w:cs="Calibri"/>
                <w:sz w:val="24"/>
                <w:szCs w:val="24"/>
                <w:lang w:val="en-US"/>
              </w:rPr>
              <w:t>l</w:t>
            </w:r>
            <w:r w:rsidRPr="00977CB7">
              <w:rPr>
                <w:rFonts w:ascii="Calibri" w:hAnsi="Calibri" w:cs="Calibri"/>
                <w:sz w:val="24"/>
                <w:szCs w:val="24"/>
              </w:rPr>
              <w:t>Rayes</w:t>
            </w:r>
          </w:p>
        </w:tc>
        <w:tc>
          <w:tcPr>
            <w:tcW w:w="5387" w:type="dxa"/>
          </w:tcPr>
          <w:p w14:paraId="316A415A" w14:textId="77777777" w:rsidR="00897739" w:rsidRPr="00897739" w:rsidRDefault="00897739" w:rsidP="00247410">
            <w:pPr>
              <w:spacing w:line="240" w:lineRule="auto"/>
              <w:ind w:right="708"/>
              <w:jc w:val="left"/>
              <w:rPr>
                <w:rFonts w:ascii="Calibri" w:eastAsia="Times New Roman" w:hAnsi="Calibri" w:cs="Calibri"/>
                <w:sz w:val="24"/>
                <w:szCs w:val="24"/>
              </w:rPr>
            </w:pPr>
            <w:r w:rsidRPr="00EF4770">
              <w:rPr>
                <w:rFonts w:ascii="Calibri" w:hAnsi="Calibri" w:cs="Calibri"/>
                <w:sz w:val="24"/>
                <w:szCs w:val="24"/>
                <w:lang w:val="en-US"/>
              </w:rPr>
              <w:t xml:space="preserve">Division of Rheumatology, </w:t>
            </w:r>
            <w:r w:rsidRPr="00EF4770">
              <w:rPr>
                <w:rFonts w:ascii="Calibri" w:hAnsi="Calibri" w:cs="Calibri"/>
                <w:sz w:val="24"/>
                <w:szCs w:val="24"/>
              </w:rPr>
              <w:t xml:space="preserve">Deaprtment of Medicine, Prince Sultan Military Medical City, Riyadh, </w:t>
            </w:r>
            <w:r w:rsidRPr="00EF4770">
              <w:rPr>
                <w:rFonts w:ascii="Calibri" w:hAnsi="Calibri" w:cs="Calibri"/>
                <w:sz w:val="24"/>
                <w:szCs w:val="24"/>
                <w:lang w:val="en-US"/>
              </w:rPr>
              <w:t xml:space="preserve">Ministry of Defense, </w:t>
            </w:r>
            <w:r w:rsidRPr="00EF4770">
              <w:rPr>
                <w:rFonts w:ascii="Calibri" w:hAnsi="Calibri" w:cs="Calibri"/>
                <w:sz w:val="24"/>
                <w:szCs w:val="24"/>
              </w:rPr>
              <w:t>Saudi Arabia</w:t>
            </w:r>
          </w:p>
        </w:tc>
      </w:tr>
      <w:tr w:rsidR="00897739" w:rsidRPr="00977CB7" w14:paraId="65C75E4E"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15F28DB5"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Mir Sadat-Ali</w:t>
            </w:r>
          </w:p>
        </w:tc>
        <w:tc>
          <w:tcPr>
            <w:tcW w:w="5387" w:type="dxa"/>
          </w:tcPr>
          <w:p w14:paraId="153322B6"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Departemnt of Orthopedics, College of Medicine, Imam Abdulrahman Bin Faisal University, Dammam, Saudi Arabia</w:t>
            </w:r>
          </w:p>
        </w:tc>
      </w:tr>
      <w:tr w:rsidR="00897739" w:rsidRPr="00977CB7" w14:paraId="6A496A90"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2C79CD66"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Mohammed Abdulrahman Alharbi</w:t>
            </w:r>
          </w:p>
        </w:tc>
        <w:tc>
          <w:tcPr>
            <w:tcW w:w="5387" w:type="dxa"/>
          </w:tcPr>
          <w:p w14:paraId="57C98D95" w14:textId="379E8003" w:rsidR="00897739" w:rsidRPr="00977CB7" w:rsidRDefault="00897739">
            <w:pPr>
              <w:spacing w:line="240" w:lineRule="auto"/>
              <w:ind w:right="708"/>
              <w:jc w:val="left"/>
              <w:rPr>
                <w:rFonts w:ascii="Calibri" w:eastAsia="Times New Roman" w:hAnsi="Calibri" w:cs="Calibri"/>
                <w:sz w:val="24"/>
                <w:szCs w:val="24"/>
              </w:rPr>
            </w:pPr>
            <w:r w:rsidRPr="00977CB7">
              <w:rPr>
                <w:rFonts w:ascii="Calibri" w:hAnsi="Calibri" w:cs="Calibri"/>
                <w:sz w:val="24"/>
                <w:szCs w:val="24"/>
              </w:rPr>
              <w:t>Department of Orthop</w:t>
            </w:r>
            <w:r w:rsidR="00FE5B73">
              <w:rPr>
                <w:rFonts w:ascii="Calibri" w:hAnsi="Calibri" w:cs="Calibri"/>
                <w:sz w:val="24"/>
                <w:szCs w:val="24"/>
              </w:rPr>
              <w:t>edics, Dammam Central Hospital,</w:t>
            </w:r>
            <w:r w:rsidRPr="00977CB7">
              <w:rPr>
                <w:rFonts w:ascii="Calibri" w:hAnsi="Calibri" w:cs="Calibri"/>
                <w:sz w:val="24"/>
                <w:szCs w:val="24"/>
              </w:rPr>
              <w:t xml:space="preserve"> </w:t>
            </w:r>
            <w:r>
              <w:rPr>
                <w:rFonts w:ascii="Calibri" w:eastAsia="Times New Roman" w:hAnsi="Calibri" w:cs="Calibri"/>
                <w:sz w:val="24"/>
                <w:szCs w:val="24"/>
              </w:rPr>
              <w:t>Ministry of Health,</w:t>
            </w:r>
            <w:r w:rsidR="00FE5B73" w:rsidRPr="00977CB7">
              <w:rPr>
                <w:rFonts w:ascii="Calibri" w:hAnsi="Calibri" w:cs="Calibri"/>
                <w:sz w:val="24"/>
                <w:szCs w:val="24"/>
              </w:rPr>
              <w:t xml:space="preserve"> Dammam</w:t>
            </w:r>
            <w:r w:rsidR="00FE5B73">
              <w:rPr>
                <w:rFonts w:ascii="Calibri" w:eastAsia="Times New Roman" w:hAnsi="Calibri" w:cs="Calibri"/>
                <w:sz w:val="24"/>
                <w:szCs w:val="24"/>
              </w:rPr>
              <w:t xml:space="preserve">, </w:t>
            </w:r>
            <w:r>
              <w:rPr>
                <w:rFonts w:ascii="Calibri" w:eastAsia="Times New Roman" w:hAnsi="Calibri" w:cs="Calibri"/>
                <w:sz w:val="24"/>
                <w:szCs w:val="24"/>
              </w:rPr>
              <w:t xml:space="preserve"> </w:t>
            </w:r>
            <w:r w:rsidRPr="00977CB7">
              <w:rPr>
                <w:rFonts w:ascii="Calibri" w:hAnsi="Calibri" w:cs="Calibri"/>
                <w:sz w:val="24"/>
                <w:szCs w:val="24"/>
              </w:rPr>
              <w:t>Saudi Arabia</w:t>
            </w:r>
          </w:p>
        </w:tc>
      </w:tr>
      <w:tr w:rsidR="00897739" w:rsidRPr="00977CB7" w14:paraId="5EC5082D"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1D8A038F" w14:textId="77777777" w:rsidR="00897739" w:rsidRPr="00977CB7" w:rsidRDefault="00897739" w:rsidP="00247410">
            <w:pPr>
              <w:spacing w:line="240" w:lineRule="auto"/>
              <w:ind w:right="708"/>
              <w:jc w:val="left"/>
              <w:rPr>
                <w:rFonts w:ascii="Calibri" w:eastAsia="Times New Roman" w:hAnsi="Calibri" w:cs="Calibri"/>
                <w:sz w:val="24"/>
                <w:szCs w:val="24"/>
              </w:rPr>
            </w:pPr>
            <w:r>
              <w:rPr>
                <w:rFonts w:ascii="Calibri" w:hAnsi="Calibri" w:cs="Calibri"/>
                <w:sz w:val="24"/>
                <w:szCs w:val="24"/>
              </w:rPr>
              <w:t>Mohammed A</w:t>
            </w:r>
            <w:r>
              <w:rPr>
                <w:rFonts w:ascii="Calibri" w:hAnsi="Calibri" w:cs="Calibri"/>
                <w:sz w:val="24"/>
                <w:szCs w:val="24"/>
                <w:lang w:val="en-US"/>
              </w:rPr>
              <w:t>l</w:t>
            </w:r>
            <w:r w:rsidRPr="00977CB7">
              <w:rPr>
                <w:rFonts w:ascii="Calibri" w:hAnsi="Calibri" w:cs="Calibri"/>
                <w:sz w:val="24"/>
                <w:szCs w:val="24"/>
              </w:rPr>
              <w:t>Shaker</w:t>
            </w:r>
          </w:p>
        </w:tc>
        <w:tc>
          <w:tcPr>
            <w:tcW w:w="5387" w:type="dxa"/>
          </w:tcPr>
          <w:p w14:paraId="52B75858" w14:textId="77777777" w:rsidR="00897739" w:rsidRPr="00977CB7" w:rsidRDefault="00897739" w:rsidP="00247410">
            <w:pPr>
              <w:spacing w:line="240" w:lineRule="auto"/>
              <w:ind w:right="708"/>
              <w:jc w:val="left"/>
              <w:rPr>
                <w:rFonts w:ascii="Calibri" w:eastAsia="Times New Roman" w:hAnsi="Calibri" w:cs="Calibri"/>
                <w:sz w:val="24"/>
                <w:szCs w:val="24"/>
              </w:rPr>
            </w:pPr>
            <w:r w:rsidRPr="00EF4770">
              <w:rPr>
                <w:rFonts w:ascii="Calibri" w:hAnsi="Calibri" w:cs="Calibri"/>
                <w:sz w:val="24"/>
                <w:szCs w:val="24"/>
                <w:lang w:val="en-US"/>
              </w:rPr>
              <w:t>Department of Family Medicine and Polyclinics,</w:t>
            </w:r>
            <w:r>
              <w:rPr>
                <w:rFonts w:ascii="Calibri" w:hAnsi="Calibri" w:cs="Calibri"/>
                <w:sz w:val="24"/>
                <w:szCs w:val="24"/>
                <w:lang w:val="en-US"/>
              </w:rPr>
              <w:t xml:space="preserve"> </w:t>
            </w:r>
            <w:r w:rsidRPr="00977CB7">
              <w:rPr>
                <w:rFonts w:ascii="Calibri" w:hAnsi="Calibri" w:cs="Calibri"/>
                <w:sz w:val="24"/>
                <w:szCs w:val="24"/>
              </w:rPr>
              <w:t>King Faisal Specialist Hospital and research center, Riyadh, Saudi Arabia</w:t>
            </w:r>
          </w:p>
        </w:tc>
      </w:tr>
      <w:tr w:rsidR="00897739" w:rsidRPr="00977CB7" w14:paraId="52BDEAA1"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7D788E1" w14:textId="77777777" w:rsidR="00897739" w:rsidRPr="00A85ADD" w:rsidRDefault="00897739" w:rsidP="00247410">
            <w:pPr>
              <w:spacing w:line="240" w:lineRule="auto"/>
              <w:jc w:val="left"/>
              <w:rPr>
                <w:color w:val="000000"/>
                <w:sz w:val="24"/>
                <w:szCs w:val="24"/>
              </w:rPr>
            </w:pPr>
            <w:r w:rsidRPr="00977CB7">
              <w:rPr>
                <w:rFonts w:ascii="Calibri" w:hAnsi="Calibri" w:cs="Calibri"/>
                <w:sz w:val="24"/>
                <w:szCs w:val="24"/>
              </w:rPr>
              <w:t xml:space="preserve">Mona </w:t>
            </w:r>
            <w:r>
              <w:rPr>
                <w:rFonts w:ascii="Calibri" w:hAnsi="Calibri" w:cs="Calibri"/>
                <w:sz w:val="24"/>
                <w:szCs w:val="24"/>
                <w:lang w:val="en-US"/>
              </w:rPr>
              <w:t xml:space="preserve">A </w:t>
            </w:r>
            <w:r>
              <w:rPr>
                <w:rFonts w:ascii="Calibri" w:hAnsi="Calibri" w:cs="Calibri"/>
                <w:sz w:val="24"/>
                <w:szCs w:val="24"/>
              </w:rPr>
              <w:t xml:space="preserve">Fouda </w:t>
            </w:r>
            <w:r w:rsidRPr="00A85ADD">
              <w:rPr>
                <w:color w:val="000000"/>
                <w:sz w:val="24"/>
                <w:szCs w:val="24"/>
                <w:highlight w:val="yellow"/>
              </w:rPr>
              <w:t xml:space="preserve"> </w:t>
            </w:r>
          </w:p>
        </w:tc>
        <w:tc>
          <w:tcPr>
            <w:tcW w:w="5387" w:type="dxa"/>
          </w:tcPr>
          <w:p w14:paraId="32AAF41C"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Department of Medicine </w:t>
            </w:r>
          </w:p>
          <w:p w14:paraId="63639DE0"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College of Medicine </w:t>
            </w:r>
          </w:p>
          <w:p w14:paraId="7FAC940E"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King Khalid University Hospital  </w:t>
            </w:r>
          </w:p>
          <w:p w14:paraId="1AB8DCB1"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King Saud University Medical City </w:t>
            </w:r>
          </w:p>
          <w:p w14:paraId="40F732AA"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Kind Saud University </w:t>
            </w:r>
          </w:p>
          <w:p w14:paraId="665F7EB8" w14:textId="77777777" w:rsidR="00897739" w:rsidRPr="00EF4770"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Riyadh </w:t>
            </w:r>
          </w:p>
          <w:p w14:paraId="788D4650" w14:textId="77777777" w:rsidR="00897739" w:rsidRPr="00AF464B" w:rsidRDefault="00897739" w:rsidP="00247410">
            <w:pPr>
              <w:shd w:val="clear" w:color="auto" w:fill="FFFFFF"/>
              <w:spacing w:line="240" w:lineRule="auto"/>
              <w:jc w:val="left"/>
              <w:textAlignment w:val="baseline"/>
              <w:rPr>
                <w:rFonts w:ascii="Segoe UI" w:eastAsia="Times New Roman" w:hAnsi="Segoe UI" w:cs="Segoe UI"/>
                <w:color w:val="201F1E"/>
                <w:sz w:val="23"/>
                <w:szCs w:val="23"/>
                <w:lang w:val="en-US"/>
              </w:rPr>
            </w:pPr>
            <w:r w:rsidRPr="00EF4770">
              <w:rPr>
                <w:rFonts w:ascii="Segoe UI" w:eastAsia="Times New Roman" w:hAnsi="Segoe UI" w:cs="Segoe UI"/>
                <w:color w:val="201F1E"/>
                <w:sz w:val="23"/>
                <w:szCs w:val="23"/>
                <w:lang w:val="en-US"/>
              </w:rPr>
              <w:t>Saudi Arabia</w:t>
            </w:r>
          </w:p>
          <w:p w14:paraId="5ECF535C" w14:textId="77777777" w:rsidR="00897739" w:rsidRPr="00A85ADD" w:rsidRDefault="00897739" w:rsidP="00247410">
            <w:pPr>
              <w:spacing w:line="240" w:lineRule="auto"/>
              <w:jc w:val="left"/>
              <w:rPr>
                <w:color w:val="222222"/>
                <w:sz w:val="24"/>
                <w:szCs w:val="24"/>
              </w:rPr>
            </w:pPr>
          </w:p>
        </w:tc>
      </w:tr>
      <w:tr w:rsidR="00897739" w:rsidRPr="00977CB7" w14:paraId="4362A8DD"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5ADF0624" w14:textId="77777777" w:rsidR="00897739" w:rsidRPr="00977CB7" w:rsidRDefault="00897739" w:rsidP="00247410">
            <w:pPr>
              <w:spacing w:line="240" w:lineRule="auto"/>
              <w:jc w:val="left"/>
              <w:rPr>
                <w:rFonts w:ascii="Calibri" w:hAnsi="Calibri" w:cs="Calibri"/>
                <w:sz w:val="24"/>
                <w:szCs w:val="24"/>
              </w:rPr>
            </w:pPr>
            <w:r w:rsidRPr="00977CB7">
              <w:rPr>
                <w:rFonts w:ascii="Calibri" w:hAnsi="Calibri" w:cs="Calibri"/>
                <w:color w:val="222222"/>
                <w:sz w:val="24"/>
                <w:szCs w:val="24"/>
              </w:rPr>
              <w:t>Salwa Berlian Alaidarous</w:t>
            </w:r>
          </w:p>
        </w:tc>
        <w:tc>
          <w:tcPr>
            <w:tcW w:w="5387" w:type="dxa"/>
          </w:tcPr>
          <w:tbl>
            <w:tblPr>
              <w:tblStyle w:val="TableGrid"/>
              <w:tblW w:w="0" w:type="auto"/>
              <w:tblCellMar>
                <w:right w:w="57" w:type="dxa"/>
              </w:tblCellMar>
              <w:tblLook w:val="04A0" w:firstRow="1" w:lastRow="0" w:firstColumn="1" w:lastColumn="0" w:noHBand="0" w:noVBand="1"/>
            </w:tblPr>
            <w:tblGrid>
              <w:gridCol w:w="5212"/>
            </w:tblGrid>
            <w:tr w:rsidR="00897739" w:rsidRPr="00D97F76" w14:paraId="23E6DE82" w14:textId="77777777" w:rsidTr="00247410">
              <w:trPr>
                <w:trHeight w:val="585"/>
              </w:trPr>
              <w:tc>
                <w:tcPr>
                  <w:tcW w:w="5387" w:type="dxa"/>
                </w:tcPr>
                <w:p w14:paraId="38FB833F" w14:textId="77777777" w:rsidR="00897739" w:rsidRPr="00D97F76" w:rsidRDefault="00897739" w:rsidP="00247410">
                  <w:pPr>
                    <w:spacing w:line="240" w:lineRule="auto"/>
                    <w:ind w:right="708"/>
                    <w:jc w:val="left"/>
                    <w:rPr>
                      <w:rFonts w:ascii="Calibri" w:eastAsia="Times New Roman" w:hAnsi="Calibri" w:cs="Calibri"/>
                      <w:sz w:val="24"/>
                      <w:szCs w:val="24"/>
                      <w:lang w:val="en-US"/>
                    </w:rPr>
                  </w:pPr>
                  <w:r w:rsidRPr="001D2C91">
                    <w:rPr>
                      <w:sz w:val="24"/>
                      <w:szCs w:val="24"/>
                    </w:rPr>
                    <w:t>College of Medicine, King Saud  Bin Abdulaziz University  for Health Science, Je</w:t>
                  </w:r>
                  <w:r>
                    <w:rPr>
                      <w:sz w:val="24"/>
                      <w:szCs w:val="24"/>
                    </w:rPr>
                    <w:t>ddah</w:t>
                  </w:r>
                  <w:r>
                    <w:rPr>
                      <w:sz w:val="24"/>
                      <w:szCs w:val="24"/>
                      <w:lang w:val="en-US"/>
                    </w:rPr>
                    <w:t>, Saudi Arabia</w:t>
                  </w:r>
                </w:p>
              </w:tc>
            </w:tr>
            <w:tr w:rsidR="00897739" w:rsidRPr="001D2C91" w14:paraId="20857BAB" w14:textId="77777777" w:rsidTr="00247410">
              <w:trPr>
                <w:trHeight w:val="585"/>
              </w:trPr>
              <w:tc>
                <w:tcPr>
                  <w:tcW w:w="5387" w:type="dxa"/>
                </w:tcPr>
                <w:p w14:paraId="6AF2D3CD" w14:textId="77777777" w:rsidR="00897739" w:rsidRDefault="00897739" w:rsidP="00247410">
                  <w:pPr>
                    <w:spacing w:line="240" w:lineRule="auto"/>
                    <w:ind w:right="708"/>
                    <w:jc w:val="left"/>
                    <w:rPr>
                      <w:sz w:val="24"/>
                      <w:szCs w:val="24"/>
                      <w:lang w:val="en-US"/>
                    </w:rPr>
                  </w:pPr>
                  <w:r w:rsidRPr="006E3AE6">
                    <w:rPr>
                      <w:sz w:val="24"/>
                      <w:szCs w:val="24"/>
                    </w:rPr>
                    <w:t xml:space="preserve">King Abdullah International </w:t>
                  </w:r>
                  <w:r>
                    <w:rPr>
                      <w:sz w:val="24"/>
                      <w:szCs w:val="24"/>
                    </w:rPr>
                    <w:t>Medical Research Center, Jeddah</w:t>
                  </w:r>
                  <w:r>
                    <w:rPr>
                      <w:sz w:val="24"/>
                      <w:szCs w:val="24"/>
                      <w:lang w:val="en-US"/>
                    </w:rPr>
                    <w:t>, Saudi Arabia</w:t>
                  </w:r>
                </w:p>
                <w:p w14:paraId="00B4509E" w14:textId="77777777" w:rsidR="00897739" w:rsidRPr="001D2C91" w:rsidRDefault="00897739" w:rsidP="00247410">
                  <w:pPr>
                    <w:spacing w:line="240" w:lineRule="auto"/>
                    <w:ind w:right="708"/>
                    <w:jc w:val="left"/>
                    <w:rPr>
                      <w:sz w:val="24"/>
                      <w:szCs w:val="24"/>
                    </w:rPr>
                  </w:pPr>
                  <w:r w:rsidRPr="006E3AE6">
                    <w:rPr>
                      <w:sz w:val="24"/>
                      <w:szCs w:val="24"/>
                    </w:rPr>
                    <w:t>Department of Medicine, King Abdulaziz Medical City, Jeddah,</w:t>
                  </w:r>
                  <w:r>
                    <w:t xml:space="preserve"> </w:t>
                  </w:r>
                  <w:r w:rsidRPr="006E3AE6">
                    <w:rPr>
                      <w:sz w:val="24"/>
                      <w:szCs w:val="24"/>
                    </w:rPr>
                    <w:t>Saudi Arabia</w:t>
                  </w:r>
                </w:p>
              </w:tc>
            </w:tr>
            <w:tr w:rsidR="00897739" w:rsidRPr="001D2C91" w14:paraId="01AB2883" w14:textId="77777777" w:rsidTr="00247410">
              <w:trPr>
                <w:trHeight w:val="585"/>
              </w:trPr>
              <w:tc>
                <w:tcPr>
                  <w:tcW w:w="5387" w:type="dxa"/>
                </w:tcPr>
                <w:p w14:paraId="3BE6006D" w14:textId="387E6522" w:rsidR="00897739" w:rsidRPr="001D2C91" w:rsidRDefault="00897739">
                  <w:pPr>
                    <w:spacing w:line="240" w:lineRule="auto"/>
                    <w:ind w:right="708"/>
                    <w:jc w:val="left"/>
                    <w:rPr>
                      <w:sz w:val="24"/>
                      <w:szCs w:val="24"/>
                    </w:rPr>
                  </w:pPr>
                  <w:r w:rsidRPr="006E3AE6">
                    <w:rPr>
                      <w:sz w:val="24"/>
                      <w:szCs w:val="24"/>
                    </w:rPr>
                    <w:t xml:space="preserve">Ministry of National Guard Health Affairs, </w:t>
                  </w:r>
                  <w:r w:rsidR="00B65B84">
                    <w:rPr>
                      <w:sz w:val="24"/>
                      <w:szCs w:val="24"/>
                      <w:lang w:val="en-US"/>
                    </w:rPr>
                    <w:t>Jeddah</w:t>
                  </w:r>
                  <w:r w:rsidRPr="006E3AE6">
                    <w:rPr>
                      <w:sz w:val="24"/>
                      <w:szCs w:val="24"/>
                    </w:rPr>
                    <w:t>, Saudi Arabia</w:t>
                  </w:r>
                </w:p>
              </w:tc>
            </w:tr>
          </w:tbl>
          <w:p w14:paraId="1E3DC95D" w14:textId="77777777" w:rsidR="00897739" w:rsidRPr="00D93D16" w:rsidRDefault="00897739" w:rsidP="00247410">
            <w:pPr>
              <w:shd w:val="clear" w:color="auto" w:fill="FFFFFF"/>
              <w:spacing w:line="240" w:lineRule="auto"/>
              <w:jc w:val="left"/>
              <w:textAlignment w:val="baseline"/>
              <w:rPr>
                <w:rFonts w:ascii="Segoe UI" w:eastAsia="Times New Roman" w:hAnsi="Segoe UI" w:cs="Segoe UI"/>
                <w:color w:val="201F1E"/>
                <w:sz w:val="23"/>
                <w:szCs w:val="23"/>
                <w:highlight w:val="yellow"/>
              </w:rPr>
            </w:pPr>
          </w:p>
        </w:tc>
      </w:tr>
      <w:tr w:rsidR="00897739" w:rsidRPr="00977CB7" w14:paraId="70FD8B98"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3AF4F9FB" w14:textId="77777777" w:rsidR="00897739" w:rsidRPr="009C7181" w:rsidRDefault="00897739" w:rsidP="00247410">
            <w:pPr>
              <w:spacing w:line="240" w:lineRule="auto"/>
              <w:ind w:right="708"/>
              <w:jc w:val="left"/>
              <w:rPr>
                <w:color w:val="000000"/>
                <w:sz w:val="24"/>
                <w:szCs w:val="24"/>
                <w:lang w:val="en-US"/>
              </w:rPr>
            </w:pPr>
            <w:r>
              <w:rPr>
                <w:color w:val="000000"/>
                <w:sz w:val="24"/>
                <w:szCs w:val="24"/>
                <w:lang w:val="en-US"/>
              </w:rPr>
              <w:t>Mohammed Almohaya</w:t>
            </w:r>
          </w:p>
        </w:tc>
        <w:tc>
          <w:tcPr>
            <w:tcW w:w="5387" w:type="dxa"/>
          </w:tcPr>
          <w:p w14:paraId="6326E7E6" w14:textId="56A1B2A1" w:rsidR="00897739" w:rsidRPr="00EF4770" w:rsidRDefault="00897739" w:rsidP="00247410">
            <w:pPr>
              <w:spacing w:line="240" w:lineRule="auto"/>
              <w:ind w:right="708"/>
              <w:jc w:val="left"/>
              <w:rPr>
                <w:rFonts w:ascii="Calibri" w:eastAsia="Times New Roman" w:hAnsi="Calibri" w:cs="Calibri"/>
                <w:sz w:val="24"/>
                <w:szCs w:val="24"/>
              </w:rPr>
            </w:pPr>
            <w:r w:rsidRPr="00EF4770">
              <w:rPr>
                <w:color w:val="222222"/>
                <w:sz w:val="24"/>
                <w:szCs w:val="24"/>
              </w:rPr>
              <w:t>Obesity</w:t>
            </w:r>
            <w:r w:rsidRPr="00EF4770">
              <w:rPr>
                <w:color w:val="222222"/>
                <w:sz w:val="24"/>
                <w:szCs w:val="24"/>
                <w:lang w:val="en-US"/>
              </w:rPr>
              <w:t xml:space="preserve">, Endocrinology and Metabolism </w:t>
            </w:r>
            <w:r w:rsidRPr="00EF4770">
              <w:rPr>
                <w:color w:val="222222"/>
                <w:sz w:val="24"/>
                <w:szCs w:val="24"/>
              </w:rPr>
              <w:t xml:space="preserve">Center, King Fahad Medical City, </w:t>
            </w:r>
            <w:r w:rsidR="00FE5B73">
              <w:rPr>
                <w:color w:val="222222"/>
                <w:sz w:val="24"/>
                <w:szCs w:val="24"/>
                <w:lang w:val="en-US"/>
              </w:rPr>
              <w:t xml:space="preserve">Ministry of Health, </w:t>
            </w:r>
            <w:r w:rsidRPr="00EF4770">
              <w:rPr>
                <w:color w:val="222222"/>
                <w:sz w:val="24"/>
                <w:szCs w:val="24"/>
              </w:rPr>
              <w:t>Riyadh, Saudi Arabia</w:t>
            </w:r>
          </w:p>
          <w:p w14:paraId="669B5AF6" w14:textId="77777777" w:rsidR="00897739" w:rsidRPr="00D7035B" w:rsidRDefault="00897739" w:rsidP="00247410">
            <w:pPr>
              <w:spacing w:line="240" w:lineRule="auto"/>
              <w:ind w:right="708"/>
              <w:jc w:val="left"/>
              <w:rPr>
                <w:color w:val="222222"/>
                <w:sz w:val="24"/>
                <w:szCs w:val="24"/>
              </w:rPr>
            </w:pPr>
          </w:p>
        </w:tc>
      </w:tr>
      <w:tr w:rsidR="00897739" w:rsidRPr="00977CB7" w14:paraId="5E54163A"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49E14C91" w14:textId="77777777" w:rsidR="00897739" w:rsidRPr="00977CB7" w:rsidRDefault="00897739" w:rsidP="00247410">
            <w:pPr>
              <w:spacing w:line="240" w:lineRule="auto"/>
              <w:ind w:right="708"/>
              <w:jc w:val="left"/>
              <w:rPr>
                <w:rFonts w:ascii="Calibri" w:eastAsia="Times New Roman" w:hAnsi="Calibri" w:cs="Calibri"/>
                <w:sz w:val="24"/>
                <w:szCs w:val="24"/>
              </w:rPr>
            </w:pPr>
            <w:r w:rsidRPr="00977CB7">
              <w:rPr>
                <w:rFonts w:ascii="Calibri" w:hAnsi="Calibri" w:cs="Calibri"/>
                <w:color w:val="000000"/>
                <w:sz w:val="24"/>
                <w:szCs w:val="24"/>
              </w:rPr>
              <w:t>Najla Alfateh Saleh</w:t>
            </w:r>
          </w:p>
        </w:tc>
        <w:tc>
          <w:tcPr>
            <w:tcW w:w="5387" w:type="dxa"/>
          </w:tcPr>
          <w:p w14:paraId="63432460" w14:textId="77777777" w:rsidR="00897739" w:rsidRDefault="00897739" w:rsidP="00247410">
            <w:pPr>
              <w:spacing w:line="240" w:lineRule="auto"/>
              <w:ind w:right="708"/>
              <w:jc w:val="left"/>
              <w:rPr>
                <w:rFonts w:ascii="Calibri" w:eastAsia="Times New Roman" w:hAnsi="Calibri" w:cs="Calibri"/>
                <w:sz w:val="24"/>
                <w:szCs w:val="24"/>
              </w:rPr>
            </w:pPr>
            <w:r w:rsidRPr="001D2C91">
              <w:rPr>
                <w:rFonts w:ascii="Calibri" w:eastAsia="Times New Roman" w:hAnsi="Calibri" w:cs="Calibri"/>
                <w:sz w:val="24"/>
                <w:szCs w:val="24"/>
              </w:rPr>
              <w:t xml:space="preserve">King Abdullah International Medical Research Centre, Riyadh, Saudi Arabia </w:t>
            </w:r>
          </w:p>
          <w:p w14:paraId="21D75E94" w14:textId="77777777" w:rsidR="00897739" w:rsidRPr="00977CB7" w:rsidRDefault="00897739" w:rsidP="00247410">
            <w:pPr>
              <w:spacing w:line="240" w:lineRule="auto"/>
              <w:ind w:right="708"/>
              <w:jc w:val="left"/>
              <w:rPr>
                <w:rFonts w:ascii="Calibri" w:eastAsia="Times New Roman" w:hAnsi="Calibri" w:cs="Calibri"/>
                <w:sz w:val="24"/>
                <w:szCs w:val="24"/>
              </w:rPr>
            </w:pPr>
            <w:r w:rsidRPr="001D2C91">
              <w:rPr>
                <w:rFonts w:ascii="Calibri" w:eastAsia="Times New Roman" w:hAnsi="Calibri" w:cs="Calibri"/>
                <w:sz w:val="24"/>
                <w:szCs w:val="24"/>
              </w:rPr>
              <w:t>College of Medicine, King Saud bin Abdulaziz University for Health Sciences,</w:t>
            </w:r>
            <w:r>
              <w:rPr>
                <w:rFonts w:ascii="Calibri" w:eastAsia="Times New Roman" w:hAnsi="Calibri" w:cs="Calibri"/>
                <w:sz w:val="24"/>
                <w:szCs w:val="24"/>
              </w:rPr>
              <w:t xml:space="preserve"> </w:t>
            </w:r>
            <w:r w:rsidRPr="001D2C91">
              <w:rPr>
                <w:rFonts w:ascii="Calibri" w:eastAsia="Times New Roman" w:hAnsi="Calibri" w:cs="Calibri"/>
                <w:sz w:val="24"/>
                <w:szCs w:val="24"/>
              </w:rPr>
              <w:t>Riyadh, Saudi Arabia</w:t>
            </w:r>
          </w:p>
        </w:tc>
      </w:tr>
      <w:tr w:rsidR="00897739" w:rsidRPr="00977CB7" w14:paraId="4732785D" w14:textId="77777777" w:rsidTr="00247410">
        <w:tc>
          <w:tcPr>
            <w:tcW w:w="3539" w:type="dxa"/>
            <w:tcBorders>
              <w:top w:val="nil"/>
              <w:left w:val="single" w:sz="8" w:space="0" w:color="auto"/>
              <w:bottom w:val="single" w:sz="4" w:space="0" w:color="auto"/>
              <w:right w:val="single" w:sz="8" w:space="0" w:color="auto"/>
            </w:tcBorders>
            <w:shd w:val="clear" w:color="auto" w:fill="auto"/>
          </w:tcPr>
          <w:p w14:paraId="5AE58D54" w14:textId="77777777" w:rsidR="00897739" w:rsidRPr="00E67C5D" w:rsidRDefault="00897739" w:rsidP="00247410">
            <w:pPr>
              <w:spacing w:line="240" w:lineRule="auto"/>
              <w:ind w:right="708"/>
              <w:jc w:val="left"/>
              <w:rPr>
                <w:rFonts w:ascii="Calibri" w:hAnsi="Calibri" w:cs="Calibri"/>
                <w:color w:val="000000"/>
                <w:sz w:val="24"/>
                <w:szCs w:val="24"/>
                <w:lang w:val="en-US"/>
              </w:rPr>
            </w:pPr>
            <w:r w:rsidRPr="00E67C5D">
              <w:rPr>
                <w:rFonts w:ascii="Calibri" w:hAnsi="Calibri" w:cs="Calibri"/>
                <w:color w:val="000000"/>
                <w:sz w:val="24"/>
                <w:szCs w:val="24"/>
                <w:lang w:val="en-US"/>
              </w:rPr>
              <w:t>Soad Saleh</w:t>
            </w:r>
          </w:p>
        </w:tc>
        <w:tc>
          <w:tcPr>
            <w:tcW w:w="5387" w:type="dxa"/>
          </w:tcPr>
          <w:p w14:paraId="336BBCB0" w14:textId="77777777" w:rsidR="00897739" w:rsidRPr="001D2C91" w:rsidRDefault="00897739" w:rsidP="00247410">
            <w:pPr>
              <w:spacing w:line="240" w:lineRule="auto"/>
              <w:ind w:right="708"/>
              <w:jc w:val="left"/>
              <w:rPr>
                <w:rFonts w:ascii="Calibri" w:eastAsia="Times New Roman" w:hAnsi="Calibri" w:cs="Calibri"/>
                <w:sz w:val="24"/>
                <w:szCs w:val="24"/>
              </w:rPr>
            </w:pPr>
            <w:r w:rsidRPr="00E67C5D">
              <w:rPr>
                <w:rFonts w:ascii="Calibri" w:eastAsia="Times New Roman" w:hAnsi="Calibri" w:cs="Calibri"/>
                <w:sz w:val="24"/>
                <w:szCs w:val="24"/>
              </w:rPr>
              <w:t>Cell Biology and Diabetes Research Unit, Department of Cell Biology, King Faisal Specialist Hospital and Research Centre, Riyadh, Saudi Arabia</w:t>
            </w:r>
          </w:p>
        </w:tc>
      </w:tr>
    </w:tbl>
    <w:p w14:paraId="2466DF01" w14:textId="77777777" w:rsidR="004B2730" w:rsidRPr="00F375F5" w:rsidRDefault="004B2730" w:rsidP="004B2730">
      <w:pPr>
        <w:spacing w:after="0"/>
        <w:ind w:right="708"/>
        <w:rPr>
          <w:rFonts w:eastAsia="Times New Roman" w:cstheme="minorHAnsi"/>
          <w:sz w:val="24"/>
          <w:szCs w:val="24"/>
          <w:lang w:eastAsia="ru-RU"/>
        </w:rPr>
      </w:pPr>
    </w:p>
    <w:p w14:paraId="0ED2F0F0" w14:textId="75FF82B7" w:rsidR="0036650D" w:rsidRPr="005D0415" w:rsidRDefault="0036650D" w:rsidP="0036650D">
      <w:pPr>
        <w:pStyle w:val="Heading1"/>
        <w:ind w:left="1134"/>
        <w:jc w:val="left"/>
        <w:rPr>
          <w:rFonts w:ascii="Calibri" w:eastAsia="Times New Roman" w:hAnsi="Calibri" w:cs="Calibri"/>
          <w:szCs w:val="28"/>
          <w:lang w:val="en-US" w:eastAsia="ru-RU"/>
        </w:rPr>
      </w:pPr>
      <w:r w:rsidRPr="005D0415">
        <w:rPr>
          <w:rFonts w:ascii="Calibri" w:eastAsia="Times New Roman" w:hAnsi="Calibri" w:cs="Calibri"/>
          <w:szCs w:val="28"/>
          <w:lang w:val="en-US" w:eastAsia="ru-RU"/>
        </w:rPr>
        <w:t>Abstract</w:t>
      </w:r>
    </w:p>
    <w:p w14:paraId="4D71DBB6" w14:textId="1CCAD2D7" w:rsidR="0036650D" w:rsidRPr="00332AB1" w:rsidRDefault="005D0415" w:rsidP="0036650D">
      <w:pPr>
        <w:pStyle w:val="Heading1"/>
        <w:ind w:left="1134"/>
        <w:jc w:val="left"/>
        <w:rPr>
          <w:rFonts w:ascii="Calibri" w:eastAsia="Times New Roman" w:hAnsi="Calibri" w:cs="Calibri"/>
          <w:b w:val="0"/>
          <w:bCs/>
          <w:sz w:val="24"/>
          <w:szCs w:val="24"/>
          <w:lang w:val="en-US" w:eastAsia="ru-RU"/>
        </w:rPr>
      </w:pPr>
      <w:r w:rsidRPr="005D0415">
        <w:rPr>
          <w:rFonts w:ascii="Calibri" w:eastAsia="Times New Roman" w:hAnsi="Calibri" w:cs="Calibri"/>
          <w:sz w:val="24"/>
          <w:szCs w:val="24"/>
          <w:lang w:val="en-US" w:eastAsia="ru-RU"/>
        </w:rPr>
        <w:t>Summary</w:t>
      </w:r>
      <w:r>
        <w:rPr>
          <w:rFonts w:ascii="Calibri" w:eastAsia="Times New Roman" w:hAnsi="Calibri" w:cs="Calibri"/>
          <w:b w:val="0"/>
          <w:bCs/>
          <w:sz w:val="24"/>
          <w:szCs w:val="24"/>
          <w:lang w:val="en-US" w:eastAsia="ru-RU"/>
        </w:rPr>
        <w:t xml:space="preserve"> </w:t>
      </w:r>
      <w:r w:rsidR="0036650D" w:rsidRPr="00332AB1">
        <w:rPr>
          <w:rFonts w:ascii="Calibri" w:eastAsia="Times New Roman" w:hAnsi="Calibri" w:cs="Calibri"/>
          <w:b w:val="0"/>
          <w:bCs/>
          <w:sz w:val="24"/>
          <w:szCs w:val="24"/>
          <w:lang w:val="en-US" w:eastAsia="ru-RU"/>
        </w:rPr>
        <w:t xml:space="preserve">A prospective </w:t>
      </w:r>
      <w:r w:rsidR="00E03377">
        <w:rPr>
          <w:rFonts w:ascii="Calibri" w:eastAsia="Times New Roman" w:hAnsi="Calibri" w:cs="Calibri"/>
          <w:b w:val="0"/>
          <w:bCs/>
          <w:sz w:val="24"/>
          <w:szCs w:val="24"/>
          <w:lang w:val="en-US" w:eastAsia="ru-RU"/>
        </w:rPr>
        <w:t>hospital</w:t>
      </w:r>
      <w:r w:rsidR="0036650D" w:rsidRPr="00332AB1">
        <w:rPr>
          <w:rFonts w:ascii="Calibri" w:eastAsia="Times New Roman" w:hAnsi="Calibri" w:cs="Calibri"/>
          <w:b w:val="0"/>
          <w:bCs/>
          <w:sz w:val="24"/>
          <w:szCs w:val="24"/>
          <w:lang w:val="en-US" w:eastAsia="ru-RU"/>
        </w:rPr>
        <w:t xml:space="preserve">-based survey in </w:t>
      </w:r>
      <w:r w:rsidR="00E03377">
        <w:rPr>
          <w:rFonts w:ascii="Calibri" w:eastAsia="Times New Roman" w:hAnsi="Calibri" w:cs="Calibri"/>
          <w:b w:val="0"/>
          <w:bCs/>
          <w:sz w:val="24"/>
          <w:szCs w:val="24"/>
          <w:lang w:val="en-US" w:eastAsia="ru-RU"/>
        </w:rPr>
        <w:t>representative</w:t>
      </w:r>
      <w:r w:rsidR="0036650D" w:rsidRPr="00332AB1">
        <w:rPr>
          <w:rFonts w:ascii="Calibri" w:eastAsia="Times New Roman" w:hAnsi="Calibri" w:cs="Calibri"/>
          <w:b w:val="0"/>
          <w:bCs/>
          <w:sz w:val="24"/>
          <w:szCs w:val="24"/>
          <w:lang w:val="en-US" w:eastAsia="ru-RU"/>
        </w:rPr>
        <w:t xml:space="preserve"> region</w:t>
      </w:r>
      <w:r w:rsidR="00E03377">
        <w:rPr>
          <w:rFonts w:ascii="Calibri" w:eastAsia="Times New Roman" w:hAnsi="Calibri" w:cs="Calibri"/>
          <w:b w:val="0"/>
          <w:bCs/>
          <w:sz w:val="24"/>
          <w:szCs w:val="24"/>
          <w:lang w:val="en-US" w:eastAsia="ru-RU"/>
        </w:rPr>
        <w:t>s</w:t>
      </w:r>
      <w:r w:rsidR="0036650D" w:rsidRPr="00332AB1">
        <w:rPr>
          <w:rFonts w:ascii="Calibri" w:eastAsia="Times New Roman" w:hAnsi="Calibri" w:cs="Calibri"/>
          <w:b w:val="0"/>
          <w:bCs/>
          <w:sz w:val="24"/>
          <w:szCs w:val="24"/>
          <w:lang w:val="en-US" w:eastAsia="ru-RU"/>
        </w:rPr>
        <w:t xml:space="preserve"> of </w:t>
      </w:r>
      <w:bookmarkStart w:id="4" w:name="_Hlk81236932"/>
      <w:r w:rsidR="00C53E01" w:rsidRPr="00332AB1">
        <w:rPr>
          <w:rFonts w:ascii="Calibri" w:eastAsia="Times New Roman" w:hAnsi="Calibri" w:cs="Calibri"/>
          <w:b w:val="0"/>
          <w:bCs/>
          <w:sz w:val="24"/>
          <w:szCs w:val="24"/>
          <w:lang w:val="en-US" w:eastAsia="ru-RU"/>
        </w:rPr>
        <w:t>Saudi Arabia</w:t>
      </w:r>
      <w:r w:rsidR="0036650D" w:rsidRPr="00332AB1">
        <w:rPr>
          <w:rFonts w:ascii="Calibri" w:eastAsia="Times New Roman" w:hAnsi="Calibri" w:cs="Calibri"/>
          <w:b w:val="0"/>
          <w:bCs/>
          <w:sz w:val="24"/>
          <w:szCs w:val="24"/>
          <w:lang w:val="en-US" w:eastAsia="ru-RU"/>
        </w:rPr>
        <w:t xml:space="preserve"> </w:t>
      </w:r>
      <w:bookmarkEnd w:id="4"/>
      <w:r w:rsidR="0036650D" w:rsidRPr="00332AB1">
        <w:rPr>
          <w:rFonts w:ascii="Calibri" w:eastAsia="Times New Roman" w:hAnsi="Calibri" w:cs="Calibri"/>
          <w:b w:val="0"/>
          <w:bCs/>
          <w:sz w:val="24"/>
          <w:szCs w:val="24"/>
          <w:lang w:val="en-US" w:eastAsia="ru-RU"/>
        </w:rPr>
        <w:t xml:space="preserve">determined the incidence of fractures at the hip. The hip fracture rates were used to create a FRAX® model to facilitate fracture risk assessment in </w:t>
      </w:r>
      <w:bookmarkStart w:id="5" w:name="_Hlk81237005"/>
      <w:r w:rsidR="00C53E01" w:rsidRPr="00332AB1">
        <w:rPr>
          <w:rFonts w:ascii="Calibri" w:eastAsia="Times New Roman" w:hAnsi="Calibri" w:cs="Calibri"/>
          <w:b w:val="0"/>
          <w:bCs/>
          <w:sz w:val="24"/>
          <w:szCs w:val="24"/>
          <w:lang w:val="en-US" w:eastAsia="ru-RU"/>
        </w:rPr>
        <w:t>Saudi Arabia</w:t>
      </w:r>
      <w:bookmarkEnd w:id="5"/>
      <w:r w:rsidR="0036650D" w:rsidRPr="00332AB1">
        <w:rPr>
          <w:rFonts w:ascii="Calibri" w:eastAsia="Times New Roman" w:hAnsi="Calibri" w:cs="Calibri"/>
          <w:b w:val="0"/>
          <w:bCs/>
          <w:sz w:val="24"/>
          <w:szCs w:val="24"/>
          <w:lang w:val="en-US" w:eastAsia="ru-RU"/>
        </w:rPr>
        <w:t>.</w:t>
      </w:r>
    </w:p>
    <w:p w14:paraId="315888D2" w14:textId="6348033A" w:rsidR="0036650D" w:rsidRPr="00332AB1" w:rsidRDefault="0036650D" w:rsidP="0036650D">
      <w:pPr>
        <w:pStyle w:val="Heading1"/>
        <w:ind w:left="1134"/>
        <w:jc w:val="left"/>
        <w:rPr>
          <w:rFonts w:ascii="Calibri" w:eastAsia="Times New Roman" w:hAnsi="Calibri" w:cs="Calibri"/>
          <w:b w:val="0"/>
          <w:bCs/>
          <w:sz w:val="24"/>
          <w:szCs w:val="24"/>
          <w:lang w:val="en-US" w:eastAsia="ru-RU"/>
        </w:rPr>
      </w:pPr>
      <w:r w:rsidRPr="0044045E">
        <w:rPr>
          <w:rFonts w:ascii="Calibri" w:eastAsia="Times New Roman" w:hAnsi="Calibri" w:cs="Calibri"/>
          <w:sz w:val="24"/>
          <w:szCs w:val="24"/>
          <w:lang w:val="en-US" w:eastAsia="ru-RU"/>
        </w:rPr>
        <w:t>Objective</w:t>
      </w:r>
      <w:r w:rsidRPr="00332AB1">
        <w:rPr>
          <w:rFonts w:ascii="Calibri" w:eastAsia="Times New Roman" w:hAnsi="Calibri" w:cs="Calibri"/>
          <w:b w:val="0"/>
          <w:bCs/>
          <w:sz w:val="24"/>
          <w:szCs w:val="24"/>
          <w:lang w:val="en-US" w:eastAsia="ru-RU"/>
        </w:rPr>
        <w:t xml:space="preserve"> </w:t>
      </w:r>
      <w:bookmarkStart w:id="6" w:name="_Hlk94873736"/>
      <w:r w:rsidRPr="00332AB1">
        <w:rPr>
          <w:rFonts w:ascii="Calibri" w:eastAsia="Times New Roman" w:hAnsi="Calibri" w:cs="Calibri"/>
          <w:b w:val="0"/>
          <w:bCs/>
          <w:sz w:val="24"/>
          <w:szCs w:val="24"/>
          <w:lang w:val="en-US" w:eastAsia="ru-RU"/>
        </w:rPr>
        <w:t xml:space="preserve">This paper describes the </w:t>
      </w:r>
      <w:r w:rsidR="00614337">
        <w:rPr>
          <w:rFonts w:ascii="Calibri" w:eastAsia="Times New Roman" w:hAnsi="Calibri" w:cs="Calibri"/>
          <w:b w:val="0"/>
          <w:bCs/>
          <w:sz w:val="24"/>
          <w:szCs w:val="24"/>
          <w:lang w:val="en-US" w:eastAsia="ru-RU"/>
        </w:rPr>
        <w:t>incidence</w:t>
      </w:r>
      <w:r w:rsidR="00614337" w:rsidRPr="00332AB1">
        <w:rPr>
          <w:rFonts w:ascii="Calibri" w:eastAsia="Times New Roman" w:hAnsi="Calibri" w:cs="Calibri"/>
          <w:b w:val="0"/>
          <w:bCs/>
          <w:sz w:val="24"/>
          <w:szCs w:val="24"/>
          <w:lang w:val="en-US" w:eastAsia="ru-RU"/>
        </w:rPr>
        <w:t xml:space="preserve"> </w:t>
      </w:r>
      <w:r w:rsidRPr="00332AB1">
        <w:rPr>
          <w:rFonts w:ascii="Calibri" w:eastAsia="Times New Roman" w:hAnsi="Calibri" w:cs="Calibri"/>
          <w:b w:val="0"/>
          <w:bCs/>
          <w:sz w:val="24"/>
          <w:szCs w:val="24"/>
          <w:lang w:val="en-US" w:eastAsia="ru-RU"/>
        </w:rPr>
        <w:t xml:space="preserve">of hip fracture in the </w:t>
      </w:r>
      <w:r w:rsidR="00B07504">
        <w:rPr>
          <w:rFonts w:ascii="Calibri" w:eastAsia="Times New Roman" w:hAnsi="Calibri" w:cs="Calibri"/>
          <w:b w:val="0"/>
          <w:bCs/>
          <w:sz w:val="24"/>
          <w:szCs w:val="24"/>
          <w:lang w:val="en-US" w:eastAsia="ru-RU"/>
        </w:rPr>
        <w:t>Kingdom</w:t>
      </w:r>
      <w:r w:rsidRPr="00332AB1">
        <w:rPr>
          <w:rFonts w:ascii="Calibri" w:eastAsia="Times New Roman" w:hAnsi="Calibri" w:cs="Calibri"/>
          <w:b w:val="0"/>
          <w:bCs/>
          <w:sz w:val="24"/>
          <w:szCs w:val="24"/>
          <w:lang w:val="en-US" w:eastAsia="ru-RU"/>
        </w:rPr>
        <w:t xml:space="preserve"> of </w:t>
      </w:r>
      <w:r w:rsidR="00B07504" w:rsidRPr="00B07504">
        <w:rPr>
          <w:rFonts w:ascii="Calibri" w:eastAsia="Times New Roman" w:hAnsi="Calibri" w:cs="Calibri"/>
          <w:b w:val="0"/>
          <w:bCs/>
          <w:sz w:val="24"/>
          <w:szCs w:val="24"/>
          <w:lang w:val="en-US" w:eastAsia="ru-RU"/>
        </w:rPr>
        <w:t>Saudi Arabia</w:t>
      </w:r>
      <w:r w:rsidRPr="00332AB1">
        <w:rPr>
          <w:rFonts w:ascii="Calibri" w:eastAsia="Times New Roman" w:hAnsi="Calibri" w:cs="Calibri"/>
          <w:b w:val="0"/>
          <w:bCs/>
          <w:sz w:val="24"/>
          <w:szCs w:val="24"/>
          <w:lang w:val="en-US" w:eastAsia="ru-RU"/>
        </w:rPr>
        <w:t xml:space="preserve"> that was used to </w:t>
      </w:r>
      <w:r w:rsidR="00AF7210">
        <w:rPr>
          <w:rFonts w:ascii="Calibri" w:eastAsia="Times New Roman" w:hAnsi="Calibri" w:cs="Calibri"/>
          <w:b w:val="0"/>
          <w:bCs/>
          <w:sz w:val="24"/>
          <w:szCs w:val="24"/>
          <w:lang w:val="en-US" w:eastAsia="ru-RU"/>
        </w:rPr>
        <w:t xml:space="preserve">characterize the current and future burden of hip fracture, </w:t>
      </w:r>
      <w:r w:rsidR="00C66E2C">
        <w:rPr>
          <w:rFonts w:ascii="Calibri" w:eastAsia="Times New Roman" w:hAnsi="Calibri" w:cs="Calibri"/>
          <w:b w:val="0"/>
          <w:bCs/>
          <w:sz w:val="24"/>
          <w:szCs w:val="24"/>
          <w:lang w:val="en-US" w:eastAsia="ru-RU"/>
        </w:rPr>
        <w:t xml:space="preserve">to </w:t>
      </w:r>
      <w:r w:rsidRPr="00332AB1">
        <w:rPr>
          <w:rFonts w:ascii="Calibri" w:eastAsia="Times New Roman" w:hAnsi="Calibri" w:cs="Calibri"/>
          <w:b w:val="0"/>
          <w:bCs/>
          <w:sz w:val="24"/>
          <w:szCs w:val="24"/>
          <w:lang w:val="en-US" w:eastAsia="ru-RU"/>
        </w:rPr>
        <w:t>develop a country specific FRAX® tool for fracture prediction</w:t>
      </w:r>
      <w:r w:rsidR="00C66E2C">
        <w:rPr>
          <w:rFonts w:ascii="Calibri" w:eastAsia="Times New Roman" w:hAnsi="Calibri" w:cs="Calibri"/>
          <w:b w:val="0"/>
          <w:bCs/>
          <w:sz w:val="24"/>
          <w:szCs w:val="24"/>
          <w:lang w:val="en-US" w:eastAsia="ru-RU"/>
        </w:rPr>
        <w:t xml:space="preserve"> and to compare </w:t>
      </w:r>
      <w:r w:rsidR="009448D0">
        <w:rPr>
          <w:rFonts w:ascii="Calibri" w:eastAsia="Times New Roman" w:hAnsi="Calibri" w:cs="Calibri"/>
          <w:b w:val="0"/>
          <w:bCs/>
          <w:sz w:val="24"/>
          <w:szCs w:val="24"/>
          <w:lang w:val="en-US" w:eastAsia="ru-RU"/>
        </w:rPr>
        <w:t>f</w:t>
      </w:r>
      <w:r w:rsidR="00C66E2C">
        <w:rPr>
          <w:rFonts w:ascii="Calibri" w:eastAsia="Times New Roman" w:hAnsi="Calibri" w:cs="Calibri"/>
          <w:b w:val="0"/>
          <w:bCs/>
          <w:sz w:val="24"/>
          <w:szCs w:val="24"/>
          <w:lang w:val="en-US" w:eastAsia="ru-RU"/>
        </w:rPr>
        <w:t>racture probabilities</w:t>
      </w:r>
      <w:r w:rsidR="009448D0">
        <w:rPr>
          <w:rFonts w:ascii="Calibri" w:eastAsia="Times New Roman" w:hAnsi="Calibri" w:cs="Calibri"/>
          <w:b w:val="0"/>
          <w:bCs/>
          <w:sz w:val="24"/>
          <w:szCs w:val="24"/>
          <w:lang w:val="en-US" w:eastAsia="ru-RU"/>
        </w:rPr>
        <w:t xml:space="preserve"> with </w:t>
      </w:r>
      <w:r w:rsidR="009448D0" w:rsidRPr="007B646C">
        <w:rPr>
          <w:rFonts w:ascii="Calibri" w:eastAsia="Times New Roman" w:hAnsi="Calibri" w:cs="Calibri"/>
          <w:b w:val="0"/>
          <w:bCs/>
          <w:sz w:val="24"/>
          <w:szCs w:val="24"/>
          <w:lang w:eastAsia="ru-RU"/>
        </w:rPr>
        <w:t>neighbouring</w:t>
      </w:r>
      <w:r w:rsidR="009448D0">
        <w:rPr>
          <w:rFonts w:ascii="Calibri" w:eastAsia="Times New Roman" w:hAnsi="Calibri" w:cs="Calibri"/>
          <w:b w:val="0"/>
          <w:bCs/>
          <w:sz w:val="24"/>
          <w:szCs w:val="24"/>
          <w:lang w:val="en-US" w:eastAsia="ru-RU"/>
        </w:rPr>
        <w:t xml:space="preserve"> countries</w:t>
      </w:r>
      <w:r w:rsidRPr="00332AB1">
        <w:rPr>
          <w:rFonts w:ascii="Calibri" w:eastAsia="Times New Roman" w:hAnsi="Calibri" w:cs="Calibri"/>
          <w:b w:val="0"/>
          <w:bCs/>
          <w:sz w:val="24"/>
          <w:szCs w:val="24"/>
          <w:lang w:val="en-US" w:eastAsia="ru-RU"/>
        </w:rPr>
        <w:t>.</w:t>
      </w:r>
      <w:bookmarkEnd w:id="6"/>
      <w:r w:rsidRPr="00332AB1">
        <w:rPr>
          <w:rFonts w:ascii="Calibri" w:eastAsia="Times New Roman" w:hAnsi="Calibri" w:cs="Calibri"/>
          <w:b w:val="0"/>
          <w:bCs/>
          <w:sz w:val="24"/>
          <w:szCs w:val="24"/>
          <w:lang w:val="en-US" w:eastAsia="ru-RU"/>
        </w:rPr>
        <w:t xml:space="preserve"> </w:t>
      </w:r>
    </w:p>
    <w:p w14:paraId="2C85B3C3" w14:textId="4ABC43E2" w:rsidR="0036650D" w:rsidRPr="00332AB1" w:rsidRDefault="0036650D" w:rsidP="0036650D">
      <w:pPr>
        <w:pStyle w:val="Heading1"/>
        <w:ind w:left="1134"/>
        <w:jc w:val="left"/>
        <w:rPr>
          <w:rFonts w:ascii="Calibri" w:eastAsia="Times New Roman" w:hAnsi="Calibri" w:cs="Calibri"/>
          <w:b w:val="0"/>
          <w:bCs/>
          <w:sz w:val="24"/>
          <w:szCs w:val="24"/>
          <w:lang w:val="en-US" w:eastAsia="ru-RU"/>
        </w:rPr>
      </w:pPr>
      <w:r w:rsidRPr="0044045E">
        <w:rPr>
          <w:rFonts w:ascii="Calibri" w:eastAsia="Times New Roman" w:hAnsi="Calibri" w:cs="Calibri"/>
          <w:sz w:val="24"/>
          <w:szCs w:val="24"/>
          <w:lang w:val="en-US" w:eastAsia="ru-RU"/>
        </w:rPr>
        <w:t xml:space="preserve">Methods </w:t>
      </w:r>
      <w:r w:rsidRPr="00332AB1">
        <w:rPr>
          <w:rFonts w:ascii="Calibri" w:eastAsia="Times New Roman" w:hAnsi="Calibri" w:cs="Calibri"/>
          <w:b w:val="0"/>
          <w:bCs/>
          <w:sz w:val="24"/>
          <w:szCs w:val="24"/>
          <w:lang w:val="en-US" w:eastAsia="ru-RU"/>
        </w:rPr>
        <w:t xml:space="preserve">During a </w:t>
      </w:r>
      <w:r w:rsidR="00E9319D">
        <w:rPr>
          <w:rFonts w:ascii="Calibri" w:eastAsia="Times New Roman" w:hAnsi="Calibri" w:cs="Calibri"/>
          <w:b w:val="0"/>
          <w:bCs/>
          <w:sz w:val="24"/>
          <w:szCs w:val="24"/>
          <w:lang w:val="en-US" w:eastAsia="ru-RU"/>
        </w:rPr>
        <w:t>two</w:t>
      </w:r>
      <w:r w:rsidRPr="00332AB1">
        <w:rPr>
          <w:rFonts w:ascii="Calibri" w:eastAsia="Times New Roman" w:hAnsi="Calibri" w:cs="Calibri"/>
          <w:b w:val="0"/>
          <w:bCs/>
          <w:sz w:val="24"/>
          <w:szCs w:val="24"/>
          <w:lang w:val="en-US" w:eastAsia="ru-RU"/>
        </w:rPr>
        <w:t xml:space="preserve"> </w:t>
      </w:r>
      <w:r w:rsidRPr="00E32C38">
        <w:rPr>
          <w:rFonts w:ascii="Calibri" w:eastAsia="Times New Roman" w:hAnsi="Calibri" w:cs="Calibri"/>
          <w:b w:val="0"/>
          <w:bCs/>
          <w:sz w:val="24"/>
          <w:szCs w:val="24"/>
          <w:lang w:val="en-US" w:eastAsia="ru-RU"/>
        </w:rPr>
        <w:t>year (201</w:t>
      </w:r>
      <w:r w:rsidR="00161AAA">
        <w:rPr>
          <w:rFonts w:ascii="Calibri" w:eastAsia="Times New Roman" w:hAnsi="Calibri" w:cs="Calibri"/>
          <w:b w:val="0"/>
          <w:bCs/>
          <w:sz w:val="24"/>
          <w:szCs w:val="24"/>
          <w:lang w:val="en-US" w:eastAsia="ru-RU"/>
        </w:rPr>
        <w:t>7</w:t>
      </w:r>
      <w:r w:rsidRPr="00E32C38">
        <w:rPr>
          <w:rFonts w:ascii="Calibri" w:eastAsia="Times New Roman" w:hAnsi="Calibri" w:cs="Calibri"/>
          <w:b w:val="0"/>
          <w:bCs/>
          <w:sz w:val="24"/>
          <w:szCs w:val="24"/>
          <w:lang w:val="en-US" w:eastAsia="ru-RU"/>
        </w:rPr>
        <w:t>/1</w:t>
      </w:r>
      <w:r w:rsidR="00161AAA">
        <w:rPr>
          <w:rFonts w:ascii="Calibri" w:eastAsia="Times New Roman" w:hAnsi="Calibri" w:cs="Calibri"/>
          <w:b w:val="0"/>
          <w:bCs/>
          <w:sz w:val="24"/>
          <w:szCs w:val="24"/>
          <w:lang w:val="en-US" w:eastAsia="ru-RU"/>
        </w:rPr>
        <w:t>8</w:t>
      </w:r>
      <w:r w:rsidRPr="00E32C38">
        <w:rPr>
          <w:rFonts w:ascii="Calibri" w:eastAsia="Times New Roman" w:hAnsi="Calibri" w:cs="Calibri"/>
          <w:b w:val="0"/>
          <w:bCs/>
          <w:sz w:val="24"/>
          <w:szCs w:val="24"/>
          <w:lang w:val="en-US" w:eastAsia="ru-RU"/>
        </w:rPr>
        <w:t>) prospective</w:t>
      </w:r>
      <w:r w:rsidRPr="00332AB1">
        <w:rPr>
          <w:rFonts w:ascii="Calibri" w:eastAsia="Times New Roman" w:hAnsi="Calibri" w:cs="Calibri"/>
          <w:b w:val="0"/>
          <w:bCs/>
          <w:sz w:val="24"/>
          <w:szCs w:val="24"/>
          <w:lang w:val="en-US" w:eastAsia="ru-RU"/>
        </w:rPr>
        <w:t xml:space="preserve"> survey in </w:t>
      </w:r>
      <w:r w:rsidR="00E9319D">
        <w:rPr>
          <w:rFonts w:ascii="Calibri" w:eastAsia="Times New Roman" w:hAnsi="Calibri" w:cs="Calibri"/>
          <w:b w:val="0"/>
          <w:bCs/>
          <w:sz w:val="24"/>
          <w:szCs w:val="24"/>
          <w:lang w:val="en-US" w:eastAsia="ru-RU"/>
        </w:rPr>
        <w:t>1</w:t>
      </w:r>
      <w:r w:rsidR="00305CAF">
        <w:rPr>
          <w:rFonts w:ascii="Calibri" w:eastAsia="Times New Roman" w:hAnsi="Calibri" w:cs="Calibri"/>
          <w:b w:val="0"/>
          <w:bCs/>
          <w:sz w:val="24"/>
          <w:szCs w:val="24"/>
          <w:lang w:val="en-US" w:eastAsia="ru-RU"/>
        </w:rPr>
        <w:t>5</w:t>
      </w:r>
      <w:r w:rsidR="00E9319D">
        <w:rPr>
          <w:rFonts w:ascii="Calibri" w:eastAsia="Times New Roman" w:hAnsi="Calibri" w:cs="Calibri"/>
          <w:b w:val="0"/>
          <w:bCs/>
          <w:sz w:val="24"/>
          <w:szCs w:val="24"/>
          <w:lang w:val="en-US" w:eastAsia="ru-RU"/>
        </w:rPr>
        <w:t xml:space="preserve"> hospitals</w:t>
      </w:r>
      <w:r w:rsidR="00BC4230">
        <w:rPr>
          <w:rFonts w:ascii="Calibri" w:eastAsia="Times New Roman" w:hAnsi="Calibri" w:cs="Calibri"/>
          <w:b w:val="0"/>
          <w:bCs/>
          <w:sz w:val="24"/>
          <w:szCs w:val="24"/>
          <w:lang w:val="en-US" w:eastAsia="ru-RU"/>
        </w:rPr>
        <w:t xml:space="preserve"> with a defined catchment population</w:t>
      </w:r>
      <w:r w:rsidRPr="00332AB1">
        <w:rPr>
          <w:rFonts w:ascii="Calibri" w:eastAsia="Times New Roman" w:hAnsi="Calibri" w:cs="Calibri"/>
          <w:b w:val="0"/>
          <w:bCs/>
          <w:sz w:val="24"/>
          <w:szCs w:val="24"/>
          <w:lang w:val="en-US" w:eastAsia="ru-RU"/>
        </w:rPr>
        <w:t xml:space="preserve">, hip fractures </w:t>
      </w:r>
      <w:r w:rsidR="007433D5">
        <w:rPr>
          <w:rFonts w:ascii="Calibri" w:eastAsia="Times New Roman" w:hAnsi="Calibri" w:cs="Calibri"/>
          <w:b w:val="0"/>
          <w:bCs/>
          <w:sz w:val="24"/>
          <w:szCs w:val="24"/>
          <w:lang w:val="en-US" w:eastAsia="ru-RU"/>
        </w:rPr>
        <w:t>in Sa</w:t>
      </w:r>
      <w:r w:rsidR="00E40239">
        <w:rPr>
          <w:rFonts w:ascii="Calibri" w:eastAsia="Times New Roman" w:hAnsi="Calibri" w:cs="Calibri"/>
          <w:b w:val="0"/>
          <w:bCs/>
          <w:sz w:val="24"/>
          <w:szCs w:val="24"/>
          <w:lang w:val="en-US" w:eastAsia="ru-RU"/>
        </w:rPr>
        <w:t xml:space="preserve">udi citizens </w:t>
      </w:r>
      <w:r w:rsidRPr="00332AB1">
        <w:rPr>
          <w:rFonts w:ascii="Calibri" w:eastAsia="Times New Roman" w:hAnsi="Calibri" w:cs="Calibri"/>
          <w:b w:val="0"/>
          <w:bCs/>
          <w:sz w:val="24"/>
          <w:szCs w:val="24"/>
          <w:lang w:val="en-US" w:eastAsia="ru-RU"/>
        </w:rPr>
        <w:t>were prospectively identified from hospital registers</w:t>
      </w:r>
      <w:r w:rsidR="00E32C38">
        <w:rPr>
          <w:rFonts w:ascii="Calibri" w:eastAsia="Times New Roman" w:hAnsi="Calibri" w:cs="Calibri"/>
          <w:b w:val="0"/>
          <w:bCs/>
          <w:sz w:val="24"/>
          <w:szCs w:val="24"/>
          <w:lang w:val="en-US" w:eastAsia="ru-RU"/>
        </w:rPr>
        <w:t>.</w:t>
      </w:r>
      <w:r w:rsidR="0053790F">
        <w:rPr>
          <w:rFonts w:ascii="Calibri" w:eastAsia="Times New Roman" w:hAnsi="Calibri" w:cs="Calibri"/>
          <w:b w:val="0"/>
          <w:bCs/>
          <w:sz w:val="24"/>
          <w:szCs w:val="24"/>
          <w:lang w:val="en-US" w:eastAsia="ru-RU"/>
        </w:rPr>
        <w:t xml:space="preserve"> </w:t>
      </w:r>
      <w:r w:rsidR="00C63CE5">
        <w:rPr>
          <w:rFonts w:ascii="Calibri" w:eastAsia="Times New Roman" w:hAnsi="Calibri" w:cs="Calibri"/>
          <w:b w:val="0"/>
          <w:bCs/>
          <w:sz w:val="24"/>
          <w:szCs w:val="24"/>
          <w:lang w:val="en-US" w:eastAsia="ru-RU"/>
        </w:rPr>
        <w:t>The number o</w:t>
      </w:r>
      <w:r w:rsidR="008D075C">
        <w:rPr>
          <w:rFonts w:ascii="Calibri" w:eastAsia="Times New Roman" w:hAnsi="Calibri" w:cs="Calibri"/>
          <w:b w:val="0"/>
          <w:bCs/>
          <w:sz w:val="24"/>
          <w:szCs w:val="24"/>
          <w:lang w:val="en-US" w:eastAsia="ru-RU"/>
        </w:rPr>
        <w:t>f</w:t>
      </w:r>
      <w:r w:rsidR="00C63CE5">
        <w:rPr>
          <w:rFonts w:ascii="Calibri" w:eastAsia="Times New Roman" w:hAnsi="Calibri" w:cs="Calibri"/>
          <w:b w:val="0"/>
          <w:bCs/>
          <w:sz w:val="24"/>
          <w:szCs w:val="24"/>
          <w:lang w:val="en-US" w:eastAsia="ru-RU"/>
        </w:rPr>
        <w:t xml:space="preserve"> hip fractures </w:t>
      </w:r>
      <w:r w:rsidR="008D075C">
        <w:rPr>
          <w:rFonts w:ascii="Calibri" w:eastAsia="Times New Roman" w:hAnsi="Calibri" w:cs="Calibri"/>
          <w:b w:val="0"/>
          <w:bCs/>
          <w:sz w:val="24"/>
          <w:szCs w:val="24"/>
          <w:lang w:val="en-US" w:eastAsia="ru-RU"/>
        </w:rPr>
        <w:t xml:space="preserve">and future burden were determined from </w:t>
      </w:r>
      <w:r w:rsidR="0056067D">
        <w:rPr>
          <w:rFonts w:ascii="Calibri" w:eastAsia="Times New Roman" w:hAnsi="Calibri" w:cs="Calibri"/>
          <w:b w:val="0"/>
          <w:bCs/>
          <w:sz w:val="24"/>
          <w:szCs w:val="24"/>
          <w:lang w:val="en-US" w:eastAsia="ru-RU"/>
        </w:rPr>
        <w:t xml:space="preserve">national demography. </w:t>
      </w:r>
      <w:r w:rsidR="006124E9">
        <w:rPr>
          <w:rFonts w:ascii="Calibri" w:eastAsia="Times New Roman" w:hAnsi="Calibri" w:cs="Calibri"/>
          <w:b w:val="0"/>
          <w:bCs/>
          <w:sz w:val="24"/>
          <w:szCs w:val="24"/>
          <w:lang w:val="en-US" w:eastAsia="ru-RU"/>
        </w:rPr>
        <w:t xml:space="preserve"> </w:t>
      </w:r>
      <w:r w:rsidRPr="00332AB1">
        <w:rPr>
          <w:rFonts w:ascii="Calibri" w:eastAsia="Times New Roman" w:hAnsi="Calibri" w:cs="Calibri"/>
          <w:b w:val="0"/>
          <w:bCs/>
          <w:sz w:val="24"/>
          <w:szCs w:val="24"/>
          <w:lang w:val="en-US" w:eastAsia="ru-RU"/>
        </w:rPr>
        <w:t xml:space="preserve">Age- and sex-specific incidence of hip fracture and national mortality rates were incorporated into a FRAX model for </w:t>
      </w:r>
      <w:r w:rsidR="00E32C38">
        <w:rPr>
          <w:rFonts w:ascii="Calibri" w:eastAsia="Times New Roman" w:hAnsi="Calibri" w:cs="Calibri"/>
          <w:b w:val="0"/>
          <w:bCs/>
          <w:sz w:val="24"/>
          <w:szCs w:val="24"/>
          <w:lang w:val="en-US" w:eastAsia="ru-RU"/>
        </w:rPr>
        <w:t>Saudi Arabia</w:t>
      </w:r>
      <w:r w:rsidR="00494BC8">
        <w:rPr>
          <w:rFonts w:ascii="Calibri" w:eastAsia="Times New Roman" w:hAnsi="Calibri" w:cs="Calibri"/>
          <w:b w:val="0"/>
          <w:bCs/>
          <w:sz w:val="24"/>
          <w:szCs w:val="24"/>
          <w:lang w:val="en-US" w:eastAsia="ru-RU"/>
        </w:rPr>
        <w:t xml:space="preserve">. </w:t>
      </w:r>
      <w:r w:rsidRPr="00332AB1">
        <w:rPr>
          <w:rFonts w:ascii="Calibri" w:eastAsia="Times New Roman" w:hAnsi="Calibri" w:cs="Calibri"/>
          <w:b w:val="0"/>
          <w:bCs/>
          <w:sz w:val="24"/>
          <w:szCs w:val="24"/>
          <w:lang w:val="en-US" w:eastAsia="ru-RU"/>
        </w:rPr>
        <w:t xml:space="preserve"> Fracture probabilities were compared with those from </w:t>
      </w:r>
      <w:r w:rsidR="0040668A">
        <w:rPr>
          <w:rFonts w:ascii="Calibri" w:eastAsia="Times New Roman" w:hAnsi="Calibri" w:cs="Calibri"/>
          <w:b w:val="0"/>
          <w:bCs/>
          <w:sz w:val="24"/>
          <w:szCs w:val="24"/>
          <w:lang w:val="en-US" w:eastAsia="ru-RU"/>
        </w:rPr>
        <w:t>Kuwait</w:t>
      </w:r>
      <w:r w:rsidR="002D2F8D">
        <w:rPr>
          <w:rFonts w:ascii="Calibri" w:eastAsia="Times New Roman" w:hAnsi="Calibri" w:cs="Calibri"/>
          <w:b w:val="0"/>
          <w:bCs/>
          <w:sz w:val="24"/>
          <w:szCs w:val="24"/>
          <w:lang w:val="en-US" w:eastAsia="ru-RU"/>
        </w:rPr>
        <w:t xml:space="preserve"> </w:t>
      </w:r>
      <w:r w:rsidRPr="00332AB1">
        <w:rPr>
          <w:rFonts w:ascii="Calibri" w:eastAsia="Times New Roman" w:hAnsi="Calibri" w:cs="Calibri"/>
          <w:b w:val="0"/>
          <w:bCs/>
          <w:sz w:val="24"/>
          <w:szCs w:val="24"/>
          <w:lang w:val="en-US" w:eastAsia="ru-RU"/>
        </w:rPr>
        <w:t xml:space="preserve">and </w:t>
      </w:r>
      <w:r w:rsidR="002D2F8D">
        <w:rPr>
          <w:rFonts w:ascii="Calibri" w:eastAsia="Times New Roman" w:hAnsi="Calibri" w:cs="Calibri"/>
          <w:b w:val="0"/>
          <w:bCs/>
          <w:sz w:val="24"/>
          <w:szCs w:val="24"/>
          <w:lang w:val="en-US" w:eastAsia="ru-RU"/>
        </w:rPr>
        <w:t>A</w:t>
      </w:r>
      <w:r w:rsidR="0040668A">
        <w:rPr>
          <w:rFonts w:ascii="Calibri" w:eastAsia="Times New Roman" w:hAnsi="Calibri" w:cs="Calibri"/>
          <w:b w:val="0"/>
          <w:bCs/>
          <w:sz w:val="24"/>
          <w:szCs w:val="24"/>
          <w:lang w:val="en-US" w:eastAsia="ru-RU"/>
        </w:rPr>
        <w:t>bu Dhabi</w:t>
      </w:r>
      <w:r w:rsidRPr="00332AB1">
        <w:rPr>
          <w:rFonts w:ascii="Calibri" w:eastAsia="Times New Roman" w:hAnsi="Calibri" w:cs="Calibri"/>
          <w:b w:val="0"/>
          <w:bCs/>
          <w:sz w:val="24"/>
          <w:szCs w:val="24"/>
          <w:lang w:val="en-US" w:eastAsia="ru-RU"/>
        </w:rPr>
        <w:t xml:space="preserve">. </w:t>
      </w:r>
    </w:p>
    <w:p w14:paraId="204E00A8" w14:textId="7DDF1A23" w:rsidR="0036650D" w:rsidRPr="00332AB1" w:rsidRDefault="0036650D" w:rsidP="0036650D">
      <w:pPr>
        <w:pStyle w:val="Heading1"/>
        <w:ind w:left="1134"/>
        <w:jc w:val="left"/>
        <w:rPr>
          <w:rFonts w:ascii="Calibri" w:eastAsia="Times New Roman" w:hAnsi="Calibri" w:cs="Calibri"/>
          <w:b w:val="0"/>
          <w:bCs/>
          <w:sz w:val="24"/>
          <w:szCs w:val="24"/>
          <w:lang w:val="en-US" w:eastAsia="ru-RU"/>
        </w:rPr>
      </w:pPr>
      <w:r w:rsidRPr="0044045E">
        <w:rPr>
          <w:rFonts w:ascii="Calibri" w:eastAsia="Times New Roman" w:hAnsi="Calibri" w:cs="Calibri"/>
          <w:sz w:val="24"/>
          <w:szCs w:val="24"/>
          <w:lang w:val="en-US" w:eastAsia="ru-RU"/>
        </w:rPr>
        <w:t>Results.</w:t>
      </w:r>
      <w:r w:rsidRPr="00332AB1">
        <w:rPr>
          <w:rFonts w:ascii="Calibri" w:eastAsia="Times New Roman" w:hAnsi="Calibri" w:cs="Calibri"/>
          <w:b w:val="0"/>
          <w:bCs/>
          <w:sz w:val="24"/>
          <w:szCs w:val="24"/>
          <w:lang w:val="en-US" w:eastAsia="ru-RU"/>
        </w:rPr>
        <w:t xml:space="preserve"> The incidence of hip fracture applied nationally suggested that the estimated number of hip fractures nationwide in persons over the age of 50 years for 2015 was </w:t>
      </w:r>
      <w:r w:rsidR="00844854" w:rsidRPr="00844854">
        <w:rPr>
          <w:rFonts w:ascii="Calibri" w:eastAsia="Times New Roman" w:hAnsi="Calibri" w:cs="Calibri"/>
          <w:b w:val="0"/>
          <w:bCs/>
          <w:sz w:val="24"/>
          <w:szCs w:val="24"/>
          <w:lang w:val="en-US" w:eastAsia="ru-RU"/>
        </w:rPr>
        <w:t xml:space="preserve">2,949 </w:t>
      </w:r>
      <w:r w:rsidRPr="00332AB1">
        <w:rPr>
          <w:rFonts w:ascii="Calibri" w:eastAsia="Times New Roman" w:hAnsi="Calibri" w:cs="Calibri"/>
          <w:b w:val="0"/>
          <w:bCs/>
          <w:sz w:val="24"/>
          <w:szCs w:val="24"/>
          <w:lang w:val="en-US" w:eastAsia="ru-RU"/>
        </w:rPr>
        <w:t xml:space="preserve">and is predicted to </w:t>
      </w:r>
      <w:r w:rsidRPr="009B0BDF">
        <w:rPr>
          <w:rFonts w:ascii="Calibri" w:eastAsia="Times New Roman" w:hAnsi="Calibri" w:cs="Calibri"/>
          <w:b w:val="0"/>
          <w:bCs/>
          <w:sz w:val="24"/>
          <w:szCs w:val="24"/>
          <w:lang w:val="en-US" w:eastAsia="ru-RU"/>
        </w:rPr>
        <w:t xml:space="preserve">increase </w:t>
      </w:r>
      <w:r w:rsidR="00EB3600" w:rsidRPr="009B0BDF">
        <w:rPr>
          <w:rFonts w:ascii="Calibri" w:eastAsia="Times New Roman" w:hAnsi="Calibri" w:cs="Calibri"/>
          <w:b w:val="0"/>
          <w:bCs/>
          <w:sz w:val="24"/>
          <w:szCs w:val="24"/>
          <w:lang w:val="en-US" w:eastAsia="ru-RU"/>
        </w:rPr>
        <w:t>nearly</w:t>
      </w:r>
      <w:r w:rsidR="009B0BDF" w:rsidRPr="009B0BDF">
        <w:rPr>
          <w:rFonts w:ascii="Calibri" w:eastAsia="Times New Roman" w:hAnsi="Calibri" w:cs="Calibri"/>
          <w:b w:val="0"/>
          <w:bCs/>
          <w:sz w:val="24"/>
          <w:szCs w:val="24"/>
          <w:lang w:val="en-US" w:eastAsia="ru-RU"/>
        </w:rPr>
        <w:t xml:space="preserve"> 7</w:t>
      </w:r>
      <w:r w:rsidRPr="00844854">
        <w:rPr>
          <w:rFonts w:ascii="Calibri" w:eastAsia="Times New Roman" w:hAnsi="Calibri" w:cs="Calibri"/>
          <w:b w:val="0"/>
          <w:bCs/>
          <w:sz w:val="24"/>
          <w:szCs w:val="24"/>
          <w:lang w:val="en-US" w:eastAsia="ru-RU"/>
        </w:rPr>
        <w:t xml:space="preserve">-fold to </w:t>
      </w:r>
      <w:r w:rsidR="00844854" w:rsidRPr="00844854">
        <w:rPr>
          <w:rFonts w:eastAsia="MS Mincho" w:cstheme="minorHAnsi"/>
          <w:color w:val="000000"/>
          <w:sz w:val="24"/>
          <w:szCs w:val="24"/>
          <w:lang w:eastAsia="ja-JP"/>
        </w:rPr>
        <w:t>20,328</w:t>
      </w:r>
      <w:r w:rsidR="00844854" w:rsidRPr="00A81861">
        <w:rPr>
          <w:rFonts w:eastAsia="MS Mincho" w:cstheme="minorHAnsi"/>
          <w:color w:val="000000"/>
          <w:sz w:val="24"/>
          <w:szCs w:val="24"/>
          <w:lang w:eastAsia="ja-JP"/>
        </w:rPr>
        <w:t xml:space="preserve"> </w:t>
      </w:r>
      <w:r w:rsidRPr="00332AB1">
        <w:rPr>
          <w:rFonts w:ascii="Calibri" w:eastAsia="Times New Roman" w:hAnsi="Calibri" w:cs="Calibri"/>
          <w:b w:val="0"/>
          <w:bCs/>
          <w:sz w:val="24"/>
          <w:szCs w:val="24"/>
          <w:lang w:val="en-US" w:eastAsia="ru-RU"/>
        </w:rPr>
        <w:t xml:space="preserve">in 2050.  </w:t>
      </w:r>
      <w:r w:rsidR="00052137" w:rsidRPr="00052137">
        <w:rPr>
          <w:rFonts w:ascii="Calibri" w:eastAsia="Times New Roman" w:hAnsi="Calibri" w:cs="Calibri"/>
          <w:b w:val="0"/>
          <w:bCs/>
          <w:sz w:val="24"/>
          <w:szCs w:val="24"/>
          <w:lang w:val="en-US" w:eastAsia="ru-RU"/>
        </w:rPr>
        <w:t>Hip fracture rates were comparable with estimates from Abu Dhabi and Kuwait.  By contrast, probabilities of a major osteoporotic fracture or hip fracture from the age of 70 years were much lower than those seen in Abu Dhabi and Kuwait due to higher mortality estimates for Saudi Arabia.</w:t>
      </w:r>
      <w:r w:rsidRPr="00332AB1">
        <w:rPr>
          <w:rFonts w:ascii="Calibri" w:eastAsia="Times New Roman" w:hAnsi="Calibri" w:cs="Calibri"/>
          <w:b w:val="0"/>
          <w:bCs/>
          <w:sz w:val="24"/>
          <w:szCs w:val="24"/>
          <w:lang w:val="en-US" w:eastAsia="ru-RU"/>
        </w:rPr>
        <w:t xml:space="preserve"> </w:t>
      </w:r>
    </w:p>
    <w:p w14:paraId="6B7BE513" w14:textId="0D48E17B" w:rsidR="0036650D" w:rsidRPr="00332AB1" w:rsidRDefault="0036650D" w:rsidP="0036650D">
      <w:pPr>
        <w:pStyle w:val="Heading1"/>
        <w:ind w:left="1134"/>
        <w:jc w:val="left"/>
        <w:rPr>
          <w:rFonts w:ascii="Calibri" w:eastAsia="Times New Roman" w:hAnsi="Calibri" w:cs="Calibri"/>
          <w:b w:val="0"/>
          <w:bCs/>
          <w:sz w:val="24"/>
          <w:szCs w:val="24"/>
          <w:lang w:val="en-US" w:eastAsia="ru-RU"/>
        </w:rPr>
      </w:pPr>
      <w:r w:rsidRPr="0044045E">
        <w:rPr>
          <w:rFonts w:ascii="Calibri" w:eastAsia="Times New Roman" w:hAnsi="Calibri" w:cs="Calibri"/>
          <w:sz w:val="24"/>
          <w:szCs w:val="24"/>
          <w:lang w:val="en-US" w:eastAsia="ru-RU"/>
        </w:rPr>
        <w:t>Conclusion</w:t>
      </w:r>
      <w:r w:rsidR="001271AE">
        <w:rPr>
          <w:rFonts w:ascii="Calibri" w:eastAsia="Times New Roman" w:hAnsi="Calibri" w:cs="Calibri"/>
          <w:sz w:val="24"/>
          <w:szCs w:val="24"/>
          <w:lang w:val="en-US" w:eastAsia="ru-RU"/>
        </w:rPr>
        <w:t xml:space="preserve">. </w:t>
      </w:r>
      <w:r w:rsidR="0044045E">
        <w:rPr>
          <w:rFonts w:ascii="Calibri" w:eastAsia="Times New Roman" w:hAnsi="Calibri" w:cs="Calibri"/>
          <w:b w:val="0"/>
          <w:bCs/>
          <w:sz w:val="24"/>
          <w:szCs w:val="24"/>
          <w:lang w:val="en-US" w:eastAsia="ru-RU"/>
        </w:rPr>
        <w:t xml:space="preserve"> </w:t>
      </w:r>
      <w:r w:rsidR="001271AE">
        <w:rPr>
          <w:rFonts w:ascii="Calibri" w:eastAsia="Times New Roman" w:hAnsi="Calibri" w:cs="Calibri"/>
          <w:b w:val="0"/>
          <w:bCs/>
          <w:sz w:val="24"/>
          <w:szCs w:val="24"/>
          <w:lang w:val="en-US" w:eastAsia="ru-RU"/>
        </w:rPr>
        <w:t>A</w:t>
      </w:r>
      <w:r w:rsidR="001271AE" w:rsidRPr="001271AE">
        <w:rPr>
          <w:rFonts w:ascii="Calibri" w:eastAsia="Times New Roman" w:hAnsi="Calibri" w:cs="Calibri"/>
          <w:b w:val="0"/>
          <w:bCs/>
          <w:sz w:val="24"/>
          <w:szCs w:val="24"/>
          <w:lang w:val="en-US" w:eastAsia="ru-RU"/>
        </w:rPr>
        <w:t xml:space="preserve"> country specific FRAX tool for fracture prediction</w:t>
      </w:r>
      <w:r w:rsidR="001271AE">
        <w:rPr>
          <w:rFonts w:ascii="Calibri" w:eastAsia="Times New Roman" w:hAnsi="Calibri" w:cs="Calibri"/>
          <w:b w:val="0"/>
          <w:bCs/>
          <w:sz w:val="24"/>
          <w:szCs w:val="24"/>
          <w:lang w:val="en-US" w:eastAsia="ru-RU"/>
        </w:rPr>
        <w:t xml:space="preserve"> </w:t>
      </w:r>
      <w:r w:rsidR="00C1081E">
        <w:rPr>
          <w:rFonts w:ascii="Calibri" w:eastAsia="Times New Roman" w:hAnsi="Calibri" w:cs="Calibri"/>
          <w:b w:val="0"/>
          <w:bCs/>
          <w:sz w:val="24"/>
          <w:szCs w:val="24"/>
          <w:lang w:val="en-US" w:eastAsia="ru-RU"/>
        </w:rPr>
        <w:t>has been developed</w:t>
      </w:r>
      <w:r w:rsidR="00640DDD">
        <w:rPr>
          <w:rFonts w:ascii="Calibri" w:eastAsia="Times New Roman" w:hAnsi="Calibri" w:cs="Calibri"/>
          <w:b w:val="0"/>
          <w:bCs/>
          <w:sz w:val="24"/>
          <w:szCs w:val="24"/>
          <w:lang w:val="en-US" w:eastAsia="ru-RU"/>
        </w:rPr>
        <w:t xml:space="preserve"> for Saudi Arabia</w:t>
      </w:r>
      <w:r w:rsidR="00C1081E">
        <w:rPr>
          <w:rFonts w:ascii="Calibri" w:eastAsia="Times New Roman" w:hAnsi="Calibri" w:cs="Calibri"/>
          <w:b w:val="0"/>
          <w:bCs/>
          <w:sz w:val="24"/>
          <w:szCs w:val="24"/>
          <w:lang w:val="en-US" w:eastAsia="ru-RU"/>
        </w:rPr>
        <w:t xml:space="preserve"> </w:t>
      </w:r>
      <w:r w:rsidR="001271AE" w:rsidRPr="001271AE">
        <w:rPr>
          <w:rFonts w:ascii="Calibri" w:eastAsia="Times New Roman" w:hAnsi="Calibri" w:cs="Calibri"/>
          <w:b w:val="0"/>
          <w:bCs/>
          <w:sz w:val="24"/>
          <w:szCs w:val="24"/>
          <w:lang w:val="en-US" w:eastAsia="ru-RU"/>
        </w:rPr>
        <w:t xml:space="preserve"> </w:t>
      </w:r>
      <w:r w:rsidR="00640DDD">
        <w:rPr>
          <w:rFonts w:ascii="Calibri" w:eastAsia="Times New Roman" w:hAnsi="Calibri" w:cs="Calibri"/>
          <w:b w:val="0"/>
          <w:bCs/>
          <w:sz w:val="24"/>
          <w:szCs w:val="24"/>
          <w:lang w:val="en-US" w:eastAsia="ru-RU"/>
        </w:rPr>
        <w:t>which</w:t>
      </w:r>
      <w:r w:rsidR="009E5106">
        <w:rPr>
          <w:rFonts w:ascii="Calibri" w:eastAsia="Times New Roman" w:hAnsi="Calibri" w:cs="Calibri"/>
          <w:b w:val="0"/>
          <w:bCs/>
          <w:sz w:val="24"/>
          <w:szCs w:val="24"/>
          <w:lang w:val="en-US" w:eastAsia="ru-RU"/>
        </w:rPr>
        <w:t>is expected to</w:t>
      </w:r>
      <w:r w:rsidR="009E5106" w:rsidRPr="00332AB1">
        <w:rPr>
          <w:rFonts w:ascii="Calibri" w:eastAsia="Times New Roman" w:hAnsi="Calibri" w:cs="Calibri"/>
          <w:b w:val="0"/>
          <w:bCs/>
          <w:sz w:val="24"/>
          <w:szCs w:val="24"/>
          <w:lang w:val="en-US" w:eastAsia="ru-RU"/>
        </w:rPr>
        <w:t xml:space="preserve"> </w:t>
      </w:r>
      <w:r w:rsidRPr="00332AB1">
        <w:rPr>
          <w:rFonts w:ascii="Calibri" w:eastAsia="Times New Roman" w:hAnsi="Calibri" w:cs="Calibri"/>
          <w:b w:val="0"/>
          <w:bCs/>
          <w:sz w:val="24"/>
          <w:szCs w:val="24"/>
          <w:lang w:val="en-US" w:eastAsia="ru-RU"/>
        </w:rPr>
        <w:t>help guide decisions about treatment.</w:t>
      </w:r>
    </w:p>
    <w:p w14:paraId="0B100503" w14:textId="77777777" w:rsidR="0036650D" w:rsidRPr="00332AB1" w:rsidRDefault="0036650D" w:rsidP="0036650D">
      <w:pPr>
        <w:pStyle w:val="Heading1"/>
        <w:ind w:left="1134"/>
        <w:jc w:val="left"/>
        <w:rPr>
          <w:rFonts w:ascii="Calibri" w:eastAsia="Times New Roman" w:hAnsi="Calibri" w:cs="Calibri"/>
          <w:b w:val="0"/>
          <w:bCs/>
          <w:sz w:val="24"/>
          <w:szCs w:val="24"/>
          <w:lang w:val="en-US" w:eastAsia="ru-RU"/>
        </w:rPr>
      </w:pPr>
    </w:p>
    <w:p w14:paraId="009D085B" w14:textId="7864CB91" w:rsidR="0036650D" w:rsidRPr="00332AB1" w:rsidRDefault="0036650D" w:rsidP="0036650D">
      <w:pPr>
        <w:pStyle w:val="Heading1"/>
        <w:ind w:left="1134"/>
        <w:jc w:val="left"/>
        <w:rPr>
          <w:rFonts w:ascii="Calibri" w:eastAsia="Times New Roman" w:hAnsi="Calibri" w:cs="Calibri"/>
          <w:b w:val="0"/>
          <w:bCs/>
          <w:sz w:val="24"/>
          <w:szCs w:val="24"/>
          <w:lang w:val="en-US" w:eastAsia="ru-RU"/>
        </w:rPr>
      </w:pPr>
      <w:r w:rsidRPr="00522FE1">
        <w:rPr>
          <w:rFonts w:ascii="Calibri" w:eastAsia="Times New Roman" w:hAnsi="Calibri" w:cs="Calibri"/>
          <w:sz w:val="24"/>
          <w:szCs w:val="24"/>
          <w:lang w:val="en-US" w:eastAsia="ru-RU"/>
        </w:rPr>
        <w:t>Keywords</w:t>
      </w:r>
      <w:r w:rsidRPr="00332AB1">
        <w:rPr>
          <w:rFonts w:ascii="Calibri" w:eastAsia="Times New Roman" w:hAnsi="Calibri" w:cs="Calibri"/>
          <w:b w:val="0"/>
          <w:bCs/>
          <w:sz w:val="24"/>
          <w:szCs w:val="24"/>
          <w:lang w:val="en-US" w:eastAsia="ru-RU"/>
        </w:rPr>
        <w:t xml:space="preserve"> FRAX · Fracture probability · Osteoporosis Epidemiology · Hip fracture · </w:t>
      </w:r>
      <w:r w:rsidR="00522FE1">
        <w:rPr>
          <w:rFonts w:ascii="Calibri" w:eastAsia="Times New Roman" w:hAnsi="Calibri" w:cs="Calibri"/>
          <w:b w:val="0"/>
          <w:bCs/>
          <w:sz w:val="24"/>
          <w:szCs w:val="24"/>
          <w:lang w:val="en-US" w:eastAsia="ru-RU"/>
        </w:rPr>
        <w:t>Saudi Arabia</w:t>
      </w:r>
      <w:r w:rsidRPr="00332AB1">
        <w:rPr>
          <w:rFonts w:ascii="Calibri" w:eastAsia="Times New Roman" w:hAnsi="Calibri" w:cs="Calibri"/>
          <w:b w:val="0"/>
          <w:bCs/>
          <w:sz w:val="24"/>
          <w:szCs w:val="24"/>
          <w:lang w:val="en-US" w:eastAsia="ru-RU"/>
        </w:rPr>
        <w:t xml:space="preserve"> </w:t>
      </w:r>
    </w:p>
    <w:p w14:paraId="4A20E9F7" w14:textId="091A7E78" w:rsidR="006774AF" w:rsidRPr="0036650D" w:rsidRDefault="006774AF" w:rsidP="003F6278">
      <w:pPr>
        <w:spacing w:after="0"/>
        <w:rPr>
          <w:rFonts w:eastAsia="Times New Roman" w:cstheme="minorHAnsi"/>
          <w:sz w:val="24"/>
          <w:szCs w:val="24"/>
          <w:lang w:val="en-US" w:eastAsia="ru-RU"/>
        </w:rPr>
      </w:pPr>
    </w:p>
    <w:p w14:paraId="222BAEED" w14:textId="77777777" w:rsidR="006E344F" w:rsidRDefault="006E344F" w:rsidP="00270CED">
      <w:pPr>
        <w:pStyle w:val="Heading1"/>
        <w:spacing w:line="276" w:lineRule="auto"/>
        <w:ind w:left="567"/>
        <w:jc w:val="left"/>
        <w:rPr>
          <w:rFonts w:ascii="Calibri" w:eastAsia="Times New Roman" w:hAnsi="Calibri" w:cs="Calibri"/>
          <w:sz w:val="24"/>
          <w:szCs w:val="24"/>
          <w:lang w:val="en-US" w:eastAsia="ru-RU"/>
        </w:rPr>
      </w:pPr>
    </w:p>
    <w:p w14:paraId="580EC165" w14:textId="77777777" w:rsidR="006E344F" w:rsidRPr="00251232" w:rsidRDefault="006E344F" w:rsidP="006E344F">
      <w:pPr>
        <w:pStyle w:val="Heading1"/>
        <w:ind w:left="1134"/>
        <w:jc w:val="left"/>
        <w:rPr>
          <w:rFonts w:asciiTheme="minorHAnsi" w:eastAsia="Times New Roman" w:hAnsiTheme="minorHAnsi" w:cstheme="minorHAnsi"/>
          <w:szCs w:val="28"/>
          <w:lang w:eastAsia="ru-RU"/>
        </w:rPr>
      </w:pPr>
      <w:r w:rsidRPr="00251232">
        <w:rPr>
          <w:rFonts w:asciiTheme="minorHAnsi" w:eastAsia="Times New Roman" w:hAnsiTheme="minorHAnsi" w:cstheme="minorHAnsi"/>
          <w:szCs w:val="28"/>
          <w:lang w:eastAsia="ru-RU"/>
        </w:rPr>
        <w:t>Introduction</w:t>
      </w:r>
    </w:p>
    <w:p w14:paraId="491E18A2" w14:textId="1EECD39C" w:rsidR="006E344F" w:rsidRPr="00EB647F" w:rsidRDefault="006E344F" w:rsidP="006E344F">
      <w:pPr>
        <w:pStyle w:val="Heading1"/>
        <w:ind w:left="1134"/>
        <w:jc w:val="left"/>
        <w:rPr>
          <w:rFonts w:asciiTheme="minorHAnsi" w:eastAsia="Times New Roman" w:hAnsiTheme="minorHAnsi" w:cstheme="minorHAnsi"/>
          <w:b w:val="0"/>
          <w:bCs/>
          <w:sz w:val="24"/>
          <w:szCs w:val="24"/>
          <w:lang w:eastAsia="ru-RU"/>
        </w:rPr>
      </w:pPr>
      <w:r w:rsidRPr="00EB647F">
        <w:rPr>
          <w:rFonts w:asciiTheme="minorHAnsi" w:eastAsia="Times New Roman" w:hAnsiTheme="minorHAnsi" w:cstheme="minorHAnsi"/>
          <w:b w:val="0"/>
          <w:bCs/>
          <w:sz w:val="24"/>
          <w:szCs w:val="24"/>
          <w:lang w:eastAsia="ru-RU"/>
        </w:rPr>
        <w:t xml:space="preserve">Osteoporosis is a common, chronic, and costly condition; its principal clinical consequence is fracture.  In Europe, the annual cost of fractures associated with osteoporosis </w:t>
      </w:r>
      <w:r w:rsidRPr="002135EA">
        <w:rPr>
          <w:rFonts w:asciiTheme="minorHAnsi" w:eastAsia="Times New Roman" w:hAnsiTheme="minorHAnsi" w:cstheme="minorHAnsi"/>
          <w:b w:val="0"/>
          <w:bCs/>
          <w:sz w:val="24"/>
          <w:szCs w:val="24"/>
          <w:lang w:eastAsia="ru-RU"/>
        </w:rPr>
        <w:t>exceeded € 37 billion in 201</w:t>
      </w:r>
      <w:r w:rsidR="004E1B86" w:rsidRPr="002135EA">
        <w:rPr>
          <w:rFonts w:asciiTheme="minorHAnsi" w:eastAsia="Times New Roman" w:hAnsiTheme="minorHAnsi" w:cstheme="minorHAnsi"/>
          <w:b w:val="0"/>
          <w:bCs/>
          <w:sz w:val="24"/>
          <w:szCs w:val="24"/>
          <w:lang w:eastAsia="ru-RU"/>
        </w:rPr>
        <w:t>9</w:t>
      </w:r>
      <w:r w:rsidRPr="002135EA">
        <w:rPr>
          <w:rFonts w:asciiTheme="minorHAnsi" w:eastAsia="Times New Roman" w:hAnsiTheme="minorHAnsi" w:cstheme="minorHAnsi"/>
          <w:b w:val="0"/>
          <w:bCs/>
          <w:sz w:val="24"/>
          <w:szCs w:val="24"/>
          <w:lang w:eastAsia="ru-RU"/>
        </w:rPr>
        <w:t xml:space="preserve"> [</w:t>
      </w:r>
      <w:r w:rsidR="00DA64D8">
        <w:rPr>
          <w:rFonts w:asciiTheme="minorHAnsi" w:eastAsia="Times New Roman" w:hAnsiTheme="minorHAnsi" w:cstheme="minorHAnsi"/>
          <w:b w:val="0"/>
          <w:bCs/>
          <w:sz w:val="24"/>
          <w:szCs w:val="24"/>
          <w:lang w:eastAsia="ru-RU"/>
        </w:rPr>
        <w:t>1</w:t>
      </w:r>
      <w:r w:rsidRPr="002135EA">
        <w:rPr>
          <w:rFonts w:asciiTheme="minorHAnsi" w:eastAsia="Times New Roman" w:hAnsiTheme="minorHAnsi" w:cstheme="minorHAnsi"/>
          <w:b w:val="0"/>
          <w:bCs/>
          <w:sz w:val="24"/>
          <w:szCs w:val="24"/>
          <w:lang w:eastAsia="ru-RU"/>
        </w:rPr>
        <w:t>];</w:t>
      </w:r>
      <w:r w:rsidRPr="00EB647F">
        <w:rPr>
          <w:rFonts w:asciiTheme="minorHAnsi" w:eastAsia="Times New Roman" w:hAnsiTheme="minorHAnsi" w:cstheme="minorHAnsi"/>
          <w:b w:val="0"/>
          <w:bCs/>
          <w:sz w:val="24"/>
          <w:szCs w:val="24"/>
          <w:lang w:eastAsia="ru-RU"/>
        </w:rPr>
        <w:t xml:space="preserve"> disability due to osteoporosis was greater than that caused by any single cancer, with the exception of lung cancer, and was comparable or greater than that lost to a variety of chronic noncommunicable diseases, such as rheumatoid arthritis, asthma and high blood pressure related heart disease [</w:t>
      </w:r>
      <w:r w:rsidR="00DA64D8">
        <w:rPr>
          <w:rFonts w:asciiTheme="minorHAnsi" w:eastAsia="Times New Roman" w:hAnsiTheme="minorHAnsi" w:cstheme="minorHAnsi"/>
          <w:b w:val="0"/>
          <w:bCs/>
          <w:sz w:val="24"/>
          <w:szCs w:val="24"/>
          <w:lang w:eastAsia="ru-RU"/>
        </w:rPr>
        <w:t>2, 3, 4]</w:t>
      </w:r>
      <w:r w:rsidRPr="000F29CC">
        <w:rPr>
          <w:rFonts w:ascii="Calibri" w:eastAsia="Times New Roman" w:hAnsi="Calibri" w:cs="Calibri"/>
          <w:b w:val="0"/>
          <w:bCs/>
          <w:sz w:val="24"/>
          <w:szCs w:val="24"/>
          <w:lang w:eastAsia="ru-RU"/>
        </w:rPr>
        <w:t>. Fortunately, a wide</w:t>
      </w:r>
      <w:r w:rsidRPr="00EB647F">
        <w:rPr>
          <w:rFonts w:asciiTheme="minorHAnsi" w:eastAsia="Times New Roman" w:hAnsiTheme="minorHAnsi" w:cstheme="minorHAnsi"/>
          <w:b w:val="0"/>
          <w:bCs/>
          <w:sz w:val="24"/>
          <w:szCs w:val="24"/>
          <w:lang w:eastAsia="ru-RU"/>
        </w:rPr>
        <w:t xml:space="preserve"> variety of treatments is available that favourably affect bone mass and thereby decrease the risk of fractures associated with osteoporosis [</w:t>
      </w:r>
      <w:r w:rsidR="00DA64D8">
        <w:rPr>
          <w:rFonts w:asciiTheme="minorHAnsi" w:eastAsia="Times New Roman" w:hAnsiTheme="minorHAnsi" w:cstheme="minorHAnsi"/>
          <w:b w:val="0"/>
          <w:bCs/>
          <w:sz w:val="24"/>
          <w:szCs w:val="24"/>
          <w:lang w:eastAsia="ru-RU"/>
        </w:rPr>
        <w:t>5]</w:t>
      </w:r>
      <w:r w:rsidRPr="00EB647F">
        <w:rPr>
          <w:rFonts w:asciiTheme="minorHAnsi" w:eastAsia="Times New Roman" w:hAnsiTheme="minorHAnsi" w:cstheme="minorHAnsi"/>
          <w:b w:val="0"/>
          <w:bCs/>
          <w:sz w:val="24"/>
          <w:szCs w:val="24"/>
          <w:lang w:eastAsia="ru-RU"/>
        </w:rPr>
        <w:t xml:space="preserve">.  The use of such interventions by health care practitioners is assisted by instruments that assess patients’ fracture risk to optimise clinical decisions about prevention and treatment. </w:t>
      </w:r>
      <w:r w:rsidR="00EC77F2">
        <w:rPr>
          <w:rFonts w:asciiTheme="minorHAnsi" w:eastAsia="Times New Roman" w:hAnsiTheme="minorHAnsi" w:cstheme="minorHAnsi"/>
          <w:b w:val="0"/>
          <w:bCs/>
          <w:sz w:val="24"/>
          <w:szCs w:val="24"/>
          <w:lang w:eastAsia="ru-RU"/>
        </w:rPr>
        <w:t xml:space="preserve"> </w:t>
      </w:r>
      <w:r w:rsidRPr="00EB647F">
        <w:rPr>
          <w:rFonts w:asciiTheme="minorHAnsi" w:eastAsia="Times New Roman" w:hAnsiTheme="minorHAnsi" w:cstheme="minorHAnsi"/>
          <w:b w:val="0"/>
          <w:bCs/>
          <w:sz w:val="24"/>
          <w:szCs w:val="24"/>
          <w:lang w:eastAsia="ru-RU"/>
        </w:rPr>
        <w:t>The most widely used web-based tool FRAX® (https://www.sheffield.ac.uk/FRAX/) meets these requirements and computes the 10-year probability of fragility fractures based on several common clinical risk factors and, optionally a DXA scan result [</w:t>
      </w:r>
      <w:r w:rsidR="00E35DAF">
        <w:rPr>
          <w:rFonts w:asciiTheme="minorHAnsi" w:eastAsia="Times New Roman" w:hAnsiTheme="minorHAnsi" w:cstheme="minorHAnsi"/>
          <w:b w:val="0"/>
          <w:bCs/>
          <w:sz w:val="24"/>
          <w:szCs w:val="24"/>
          <w:lang w:eastAsia="ru-RU"/>
        </w:rPr>
        <w:t>6, 7]</w:t>
      </w:r>
      <w:r w:rsidRPr="00EB647F">
        <w:rPr>
          <w:rFonts w:asciiTheme="minorHAnsi" w:eastAsia="Times New Roman" w:hAnsiTheme="minorHAnsi" w:cstheme="minorHAnsi"/>
          <w:b w:val="0"/>
          <w:bCs/>
          <w:sz w:val="24"/>
          <w:szCs w:val="24"/>
          <w:lang w:eastAsia="ru-RU"/>
        </w:rPr>
        <w:t xml:space="preserve">.  FRAX models are available for </w:t>
      </w:r>
      <w:r w:rsidR="00081BBF">
        <w:rPr>
          <w:rFonts w:asciiTheme="minorHAnsi" w:eastAsia="Times New Roman" w:hAnsiTheme="minorHAnsi" w:cstheme="minorHAnsi"/>
          <w:b w:val="0"/>
          <w:bCs/>
          <w:sz w:val="24"/>
          <w:szCs w:val="24"/>
          <w:lang w:eastAsia="ru-RU"/>
        </w:rPr>
        <w:t>78</w:t>
      </w:r>
      <w:r w:rsidRPr="00EB647F">
        <w:rPr>
          <w:rFonts w:asciiTheme="minorHAnsi" w:eastAsia="Times New Roman" w:hAnsiTheme="minorHAnsi" w:cstheme="minorHAnsi"/>
          <w:b w:val="0"/>
          <w:bCs/>
          <w:sz w:val="24"/>
          <w:szCs w:val="24"/>
          <w:lang w:eastAsia="ru-RU"/>
        </w:rPr>
        <w:t xml:space="preserve"> countries in 202</w:t>
      </w:r>
      <w:r w:rsidR="00EA2211">
        <w:rPr>
          <w:rFonts w:asciiTheme="minorHAnsi" w:eastAsia="Times New Roman" w:hAnsiTheme="minorHAnsi" w:cstheme="minorHAnsi"/>
          <w:b w:val="0"/>
          <w:bCs/>
          <w:sz w:val="24"/>
          <w:szCs w:val="24"/>
          <w:lang w:eastAsia="ru-RU"/>
        </w:rPr>
        <w:t>1</w:t>
      </w:r>
      <w:r w:rsidRPr="00EB647F">
        <w:rPr>
          <w:rFonts w:asciiTheme="minorHAnsi" w:eastAsia="Times New Roman" w:hAnsiTheme="minorHAnsi" w:cstheme="minorHAnsi"/>
          <w:b w:val="0"/>
          <w:bCs/>
          <w:sz w:val="24"/>
          <w:szCs w:val="24"/>
          <w:lang w:eastAsia="ru-RU"/>
        </w:rPr>
        <w:t xml:space="preserve"> covering more than 80% of the world population at risk [</w:t>
      </w:r>
      <w:r w:rsidR="00E35DAF">
        <w:rPr>
          <w:rFonts w:asciiTheme="minorHAnsi" w:eastAsia="Times New Roman" w:hAnsiTheme="minorHAnsi" w:cstheme="minorHAnsi"/>
          <w:b w:val="0"/>
          <w:bCs/>
          <w:sz w:val="24"/>
          <w:szCs w:val="24"/>
          <w:lang w:eastAsia="ru-RU"/>
        </w:rPr>
        <w:t xml:space="preserve">8] </w:t>
      </w:r>
      <w:r w:rsidRPr="00EB647F">
        <w:rPr>
          <w:rFonts w:asciiTheme="minorHAnsi" w:eastAsia="Times New Roman" w:hAnsiTheme="minorHAnsi" w:cstheme="minorHAnsi"/>
          <w:b w:val="0"/>
          <w:bCs/>
          <w:sz w:val="24"/>
          <w:szCs w:val="24"/>
          <w:lang w:eastAsia="ru-RU"/>
        </w:rPr>
        <w:t>and has been incorporated into more than 100 guidelines worldwide [</w:t>
      </w:r>
      <w:r w:rsidR="00EC77F2">
        <w:rPr>
          <w:rFonts w:asciiTheme="minorHAnsi" w:eastAsia="Times New Roman" w:hAnsiTheme="minorHAnsi" w:cstheme="minorHAnsi"/>
          <w:b w:val="0"/>
          <w:bCs/>
          <w:sz w:val="24"/>
          <w:szCs w:val="24"/>
          <w:lang w:eastAsia="ru-RU"/>
        </w:rPr>
        <w:t>9</w:t>
      </w:r>
      <w:r w:rsidRPr="00EB647F">
        <w:rPr>
          <w:rFonts w:asciiTheme="minorHAnsi" w:eastAsia="Times New Roman" w:hAnsiTheme="minorHAnsi" w:cstheme="minorHAnsi"/>
          <w:b w:val="0"/>
          <w:bCs/>
          <w:sz w:val="24"/>
          <w:szCs w:val="24"/>
          <w:lang w:eastAsia="ru-RU"/>
        </w:rPr>
        <w:t>].</w:t>
      </w:r>
    </w:p>
    <w:p w14:paraId="330E62F8" w14:textId="1707488E" w:rsidR="00127CCB" w:rsidRDefault="006A5D10" w:rsidP="006A5D10">
      <w:pPr>
        <w:pStyle w:val="Heading1"/>
        <w:ind w:left="1134"/>
        <w:jc w:val="left"/>
        <w:rPr>
          <w:rFonts w:asciiTheme="minorHAnsi" w:eastAsia="Times New Roman" w:hAnsiTheme="minorHAnsi" w:cstheme="minorHAnsi"/>
          <w:b w:val="0"/>
          <w:bCs/>
          <w:sz w:val="24"/>
          <w:szCs w:val="24"/>
          <w:lang w:eastAsia="ru-RU"/>
        </w:rPr>
      </w:pPr>
      <w:r w:rsidRPr="00EB647F">
        <w:rPr>
          <w:rFonts w:asciiTheme="minorHAnsi" w:eastAsia="Times New Roman" w:hAnsiTheme="minorHAnsi" w:cstheme="minorHAnsi"/>
          <w:b w:val="0"/>
          <w:bCs/>
          <w:sz w:val="24"/>
          <w:szCs w:val="24"/>
          <w:lang w:eastAsia="ru-RU"/>
        </w:rPr>
        <w:t>The availability of FRAX has stimulated studies that can be used for the generation of new FRAX models.  Specific examples include Brazil, Mexico and Turkey [</w:t>
      </w:r>
      <w:r w:rsidR="00E35DAF">
        <w:rPr>
          <w:rFonts w:asciiTheme="minorHAnsi" w:eastAsia="Times New Roman" w:hAnsiTheme="minorHAnsi" w:cstheme="minorHAnsi"/>
          <w:b w:val="0"/>
          <w:bCs/>
          <w:sz w:val="24"/>
          <w:szCs w:val="24"/>
          <w:lang w:eastAsia="ru-RU"/>
        </w:rPr>
        <w:t>9]</w:t>
      </w:r>
      <w:r w:rsidRPr="00EB647F">
        <w:rPr>
          <w:rFonts w:asciiTheme="minorHAnsi" w:eastAsia="Times New Roman" w:hAnsiTheme="minorHAnsi" w:cstheme="minorHAnsi"/>
          <w:b w:val="0"/>
          <w:bCs/>
          <w:sz w:val="24"/>
          <w:szCs w:val="24"/>
          <w:lang w:eastAsia="ru-RU"/>
        </w:rPr>
        <w:t xml:space="preserve">. </w:t>
      </w:r>
      <w:r w:rsidR="00230076">
        <w:rPr>
          <w:rFonts w:asciiTheme="minorHAnsi" w:eastAsia="Times New Roman" w:hAnsiTheme="minorHAnsi" w:cstheme="minorHAnsi"/>
          <w:b w:val="0"/>
          <w:bCs/>
          <w:sz w:val="24"/>
          <w:szCs w:val="24"/>
          <w:lang w:eastAsia="ru-RU"/>
        </w:rPr>
        <w:t>Currently, the Gulf Cooperation Council (GCC) countries’ osteoporosis societies recommend the use of Kuwait or Abu Dhabi versions for GCC states that do not have a FRAX model, Saudi Arabia included [10]. Hence, t</w:t>
      </w:r>
      <w:r w:rsidRPr="00EB647F">
        <w:rPr>
          <w:rFonts w:asciiTheme="minorHAnsi" w:eastAsia="Times New Roman" w:hAnsiTheme="minorHAnsi" w:cstheme="minorHAnsi"/>
          <w:b w:val="0"/>
          <w:bCs/>
          <w:sz w:val="24"/>
          <w:szCs w:val="24"/>
          <w:lang w:eastAsia="ru-RU"/>
        </w:rPr>
        <w:t xml:space="preserve">he broad aim of the </w:t>
      </w:r>
      <w:r w:rsidR="00096E90" w:rsidRPr="00096E90">
        <w:rPr>
          <w:rFonts w:asciiTheme="minorHAnsi" w:eastAsia="Times New Roman" w:hAnsiTheme="minorHAnsi" w:cstheme="minorHAnsi"/>
          <w:b w:val="0"/>
          <w:bCs/>
          <w:sz w:val="24"/>
          <w:szCs w:val="24"/>
          <w:lang w:eastAsia="ru-RU"/>
        </w:rPr>
        <w:t xml:space="preserve">present </w:t>
      </w:r>
      <w:r w:rsidRPr="00EB647F">
        <w:rPr>
          <w:rFonts w:asciiTheme="minorHAnsi" w:eastAsia="Times New Roman" w:hAnsiTheme="minorHAnsi" w:cstheme="minorHAnsi"/>
          <w:b w:val="0"/>
          <w:bCs/>
          <w:sz w:val="24"/>
          <w:szCs w:val="24"/>
          <w:lang w:eastAsia="ru-RU"/>
        </w:rPr>
        <w:t xml:space="preserve">study was to provide epidemiological information on fracture risk so that </w:t>
      </w:r>
      <w:r w:rsidR="00096E90">
        <w:rPr>
          <w:rFonts w:asciiTheme="minorHAnsi" w:eastAsia="Times New Roman" w:hAnsiTheme="minorHAnsi" w:cstheme="minorHAnsi"/>
          <w:b w:val="0"/>
          <w:bCs/>
          <w:sz w:val="24"/>
          <w:szCs w:val="24"/>
          <w:lang w:eastAsia="ru-RU"/>
        </w:rPr>
        <w:t xml:space="preserve">a </w:t>
      </w:r>
      <w:r w:rsidRPr="00EB647F">
        <w:rPr>
          <w:rFonts w:asciiTheme="minorHAnsi" w:eastAsia="Times New Roman" w:hAnsiTheme="minorHAnsi" w:cstheme="minorHAnsi"/>
          <w:b w:val="0"/>
          <w:bCs/>
          <w:sz w:val="24"/>
          <w:szCs w:val="24"/>
          <w:lang w:eastAsia="ru-RU"/>
        </w:rPr>
        <w:t xml:space="preserve">FRAX model could be created for </w:t>
      </w:r>
      <w:r w:rsidR="00DE65C4">
        <w:rPr>
          <w:rFonts w:asciiTheme="minorHAnsi" w:eastAsia="Times New Roman" w:hAnsiTheme="minorHAnsi" w:cstheme="minorHAnsi"/>
          <w:b w:val="0"/>
          <w:bCs/>
          <w:sz w:val="24"/>
          <w:szCs w:val="24"/>
          <w:lang w:eastAsia="ru-RU"/>
        </w:rPr>
        <w:t>Saudi Arabia</w:t>
      </w:r>
      <w:r w:rsidRPr="00EB647F">
        <w:rPr>
          <w:rFonts w:asciiTheme="minorHAnsi" w:eastAsia="Times New Roman" w:hAnsiTheme="minorHAnsi" w:cstheme="minorHAnsi"/>
          <w:b w:val="0"/>
          <w:bCs/>
          <w:sz w:val="24"/>
          <w:szCs w:val="24"/>
          <w:lang w:eastAsia="ru-RU"/>
        </w:rPr>
        <w:t xml:space="preserve">.  The present report describes </w:t>
      </w:r>
      <w:r w:rsidR="00127CCB" w:rsidRPr="00127CCB">
        <w:rPr>
          <w:rFonts w:asciiTheme="minorHAnsi" w:eastAsia="Times New Roman" w:hAnsiTheme="minorHAnsi" w:cstheme="minorHAnsi"/>
          <w:b w:val="0"/>
          <w:bCs/>
          <w:sz w:val="24"/>
          <w:szCs w:val="24"/>
          <w:lang w:eastAsia="ru-RU"/>
        </w:rPr>
        <w:t>the incidence of hip fracture in the Kingdom of Saudi Arabia</w:t>
      </w:r>
      <w:r w:rsidR="0069762A">
        <w:rPr>
          <w:rFonts w:asciiTheme="minorHAnsi" w:eastAsia="Times New Roman" w:hAnsiTheme="minorHAnsi" w:cstheme="minorHAnsi"/>
          <w:b w:val="0"/>
          <w:bCs/>
          <w:sz w:val="24"/>
          <w:szCs w:val="24"/>
          <w:lang w:eastAsia="ru-RU"/>
        </w:rPr>
        <w:t>,</w:t>
      </w:r>
      <w:r w:rsidR="00127CCB" w:rsidRPr="00127CCB">
        <w:rPr>
          <w:rFonts w:asciiTheme="minorHAnsi" w:eastAsia="Times New Roman" w:hAnsiTheme="minorHAnsi" w:cstheme="minorHAnsi"/>
          <w:b w:val="0"/>
          <w:bCs/>
          <w:sz w:val="24"/>
          <w:szCs w:val="24"/>
          <w:lang w:eastAsia="ru-RU"/>
        </w:rPr>
        <w:t xml:space="preserve"> the current and future burden of hip fracture, </w:t>
      </w:r>
      <w:r w:rsidR="00004A0E">
        <w:rPr>
          <w:rFonts w:asciiTheme="minorHAnsi" w:eastAsia="Times New Roman" w:hAnsiTheme="minorHAnsi" w:cstheme="minorHAnsi"/>
          <w:b w:val="0"/>
          <w:bCs/>
          <w:sz w:val="24"/>
          <w:szCs w:val="24"/>
          <w:lang w:eastAsia="ru-RU"/>
        </w:rPr>
        <w:t>the</w:t>
      </w:r>
      <w:r w:rsidR="00127CCB" w:rsidRPr="00127CCB">
        <w:rPr>
          <w:rFonts w:asciiTheme="minorHAnsi" w:eastAsia="Times New Roman" w:hAnsiTheme="minorHAnsi" w:cstheme="minorHAnsi"/>
          <w:b w:val="0"/>
          <w:bCs/>
          <w:sz w:val="24"/>
          <w:szCs w:val="24"/>
          <w:lang w:eastAsia="ru-RU"/>
        </w:rPr>
        <w:t xml:space="preserve"> develop</w:t>
      </w:r>
      <w:r w:rsidR="00004A0E">
        <w:rPr>
          <w:rFonts w:asciiTheme="minorHAnsi" w:eastAsia="Times New Roman" w:hAnsiTheme="minorHAnsi" w:cstheme="minorHAnsi"/>
          <w:b w:val="0"/>
          <w:bCs/>
          <w:sz w:val="24"/>
          <w:szCs w:val="24"/>
          <w:lang w:eastAsia="ru-RU"/>
        </w:rPr>
        <w:t>ment of</w:t>
      </w:r>
      <w:r w:rsidR="00127CCB" w:rsidRPr="00127CCB">
        <w:rPr>
          <w:rFonts w:asciiTheme="minorHAnsi" w:eastAsia="Times New Roman" w:hAnsiTheme="minorHAnsi" w:cstheme="minorHAnsi"/>
          <w:b w:val="0"/>
          <w:bCs/>
          <w:sz w:val="24"/>
          <w:szCs w:val="24"/>
          <w:lang w:eastAsia="ru-RU"/>
        </w:rPr>
        <w:t xml:space="preserve"> a country specific FRAX® tool for fracture prediction and </w:t>
      </w:r>
      <w:r w:rsidR="008B0C12">
        <w:rPr>
          <w:rFonts w:asciiTheme="minorHAnsi" w:eastAsia="Times New Roman" w:hAnsiTheme="minorHAnsi" w:cstheme="minorHAnsi"/>
          <w:b w:val="0"/>
          <w:bCs/>
          <w:sz w:val="24"/>
          <w:szCs w:val="24"/>
          <w:lang w:eastAsia="ru-RU"/>
        </w:rPr>
        <w:t>a</w:t>
      </w:r>
      <w:r w:rsidR="00127CCB" w:rsidRPr="00127CCB">
        <w:rPr>
          <w:rFonts w:asciiTheme="minorHAnsi" w:eastAsia="Times New Roman" w:hAnsiTheme="minorHAnsi" w:cstheme="minorHAnsi"/>
          <w:b w:val="0"/>
          <w:bCs/>
          <w:sz w:val="24"/>
          <w:szCs w:val="24"/>
          <w:lang w:eastAsia="ru-RU"/>
        </w:rPr>
        <w:t xml:space="preserve"> compar</w:t>
      </w:r>
      <w:r w:rsidR="008B0C12">
        <w:rPr>
          <w:rFonts w:asciiTheme="minorHAnsi" w:eastAsia="Times New Roman" w:hAnsiTheme="minorHAnsi" w:cstheme="minorHAnsi"/>
          <w:b w:val="0"/>
          <w:bCs/>
          <w:sz w:val="24"/>
          <w:szCs w:val="24"/>
          <w:lang w:eastAsia="ru-RU"/>
        </w:rPr>
        <w:t>ison of</w:t>
      </w:r>
      <w:r w:rsidR="00127CCB" w:rsidRPr="00127CCB">
        <w:rPr>
          <w:rFonts w:asciiTheme="minorHAnsi" w:eastAsia="Times New Roman" w:hAnsiTheme="minorHAnsi" w:cstheme="minorHAnsi"/>
          <w:b w:val="0"/>
          <w:bCs/>
          <w:sz w:val="24"/>
          <w:szCs w:val="24"/>
          <w:lang w:eastAsia="ru-RU"/>
        </w:rPr>
        <w:t xml:space="preserve"> fracture probabilities with neighbouring countries.</w:t>
      </w:r>
    </w:p>
    <w:p w14:paraId="3A38E4DB" w14:textId="77777777" w:rsidR="00127CCB" w:rsidRDefault="00127CCB" w:rsidP="006A5D10">
      <w:pPr>
        <w:pStyle w:val="Heading1"/>
        <w:ind w:left="1134"/>
        <w:jc w:val="left"/>
        <w:rPr>
          <w:rFonts w:asciiTheme="minorHAnsi" w:eastAsia="Times New Roman" w:hAnsiTheme="minorHAnsi" w:cstheme="minorHAnsi"/>
          <w:b w:val="0"/>
          <w:bCs/>
          <w:sz w:val="24"/>
          <w:szCs w:val="24"/>
          <w:lang w:eastAsia="ru-RU"/>
        </w:rPr>
      </w:pPr>
    </w:p>
    <w:p w14:paraId="0EE98714" w14:textId="4C7EDEDF" w:rsidR="006A5D10" w:rsidRPr="00EB647F" w:rsidRDefault="006A5D10" w:rsidP="006A5D10">
      <w:pPr>
        <w:pStyle w:val="Heading1"/>
        <w:ind w:left="1134"/>
        <w:jc w:val="left"/>
        <w:rPr>
          <w:rFonts w:asciiTheme="minorHAnsi" w:eastAsia="Times New Roman" w:hAnsiTheme="minorHAnsi" w:cstheme="minorHAnsi"/>
          <w:b w:val="0"/>
          <w:bCs/>
          <w:sz w:val="24"/>
          <w:szCs w:val="24"/>
          <w:highlight w:val="yellow"/>
          <w:lang w:eastAsia="ru-RU"/>
        </w:rPr>
      </w:pPr>
      <w:r w:rsidRPr="00EB647F">
        <w:rPr>
          <w:rFonts w:asciiTheme="minorHAnsi" w:eastAsia="Times New Roman" w:hAnsiTheme="minorHAnsi" w:cstheme="minorHAnsi"/>
          <w:b w:val="0"/>
          <w:bCs/>
          <w:sz w:val="24"/>
          <w:szCs w:val="24"/>
          <w:lang w:eastAsia="ru-RU"/>
        </w:rPr>
        <w:t xml:space="preserve">the epidemiology of fractures at the hip in </w:t>
      </w:r>
      <w:r w:rsidR="001C3FBA" w:rsidRPr="001C3FBA">
        <w:rPr>
          <w:rFonts w:asciiTheme="minorHAnsi" w:eastAsia="Times New Roman" w:hAnsiTheme="minorHAnsi" w:cstheme="minorHAnsi"/>
          <w:b w:val="0"/>
          <w:bCs/>
          <w:sz w:val="24"/>
          <w:szCs w:val="24"/>
          <w:lang w:eastAsia="ru-RU"/>
        </w:rPr>
        <w:t>Saudi Arabia</w:t>
      </w:r>
      <w:r w:rsidRPr="00EB647F">
        <w:rPr>
          <w:rFonts w:asciiTheme="minorHAnsi" w:eastAsia="Times New Roman" w:hAnsiTheme="minorHAnsi" w:cstheme="minorHAnsi"/>
          <w:b w:val="0"/>
          <w:bCs/>
          <w:sz w:val="24"/>
          <w:szCs w:val="24"/>
          <w:lang w:eastAsia="ru-RU"/>
        </w:rPr>
        <w:t xml:space="preserve"> and the generation of a country</w:t>
      </w:r>
      <w:r w:rsidR="00230076">
        <w:rPr>
          <w:rFonts w:asciiTheme="minorHAnsi" w:eastAsia="Times New Roman" w:hAnsiTheme="minorHAnsi" w:cstheme="minorHAnsi"/>
          <w:b w:val="0"/>
          <w:bCs/>
          <w:sz w:val="24"/>
          <w:szCs w:val="24"/>
          <w:lang w:eastAsia="ru-RU"/>
        </w:rPr>
        <w:t>-</w:t>
      </w:r>
      <w:r w:rsidRPr="00EB647F">
        <w:rPr>
          <w:rFonts w:asciiTheme="minorHAnsi" w:eastAsia="Times New Roman" w:hAnsiTheme="minorHAnsi" w:cstheme="minorHAnsi"/>
          <w:b w:val="0"/>
          <w:bCs/>
          <w:sz w:val="24"/>
          <w:szCs w:val="24"/>
          <w:lang w:eastAsia="ru-RU"/>
        </w:rPr>
        <w:t>specific FRAX model</w:t>
      </w:r>
      <w:r w:rsidR="0090272E">
        <w:rPr>
          <w:rFonts w:asciiTheme="minorHAnsi" w:eastAsia="Times New Roman" w:hAnsiTheme="minorHAnsi" w:cstheme="minorHAnsi"/>
          <w:b w:val="0"/>
          <w:bCs/>
          <w:sz w:val="24"/>
          <w:szCs w:val="24"/>
          <w:lang w:eastAsia="ru-RU"/>
        </w:rPr>
        <w:t xml:space="preserve"> (now available </w:t>
      </w:r>
      <w:r w:rsidR="00F07B45">
        <w:rPr>
          <w:rFonts w:asciiTheme="minorHAnsi" w:eastAsia="Times New Roman" w:hAnsiTheme="minorHAnsi" w:cstheme="minorHAnsi"/>
          <w:b w:val="0"/>
          <w:bCs/>
          <w:sz w:val="24"/>
          <w:szCs w:val="24"/>
          <w:lang w:eastAsia="ru-RU"/>
        </w:rPr>
        <w:t>online</w:t>
      </w:r>
      <w:r w:rsidR="0015470B">
        <w:rPr>
          <w:rFonts w:asciiTheme="minorHAnsi" w:eastAsia="Times New Roman" w:hAnsiTheme="minorHAnsi" w:cstheme="minorHAnsi"/>
          <w:b w:val="0"/>
          <w:bCs/>
          <w:sz w:val="24"/>
          <w:szCs w:val="24"/>
          <w:lang w:eastAsia="ru-RU"/>
        </w:rPr>
        <w:t xml:space="preserve">; </w:t>
      </w:r>
      <w:r w:rsidR="00F07B45" w:rsidRPr="00F07B45">
        <w:rPr>
          <w:rFonts w:asciiTheme="minorHAnsi" w:eastAsia="Times New Roman" w:hAnsiTheme="minorHAnsi" w:cstheme="minorHAnsi"/>
          <w:b w:val="0"/>
          <w:bCs/>
          <w:sz w:val="24"/>
          <w:szCs w:val="24"/>
          <w:lang w:eastAsia="ru-RU"/>
        </w:rPr>
        <w:t>https://www.sheffield.ac.uk/FRAX/tool.aspx?country=84</w:t>
      </w:r>
      <w:r w:rsidR="002128D8">
        <w:rPr>
          <w:rFonts w:asciiTheme="minorHAnsi" w:eastAsia="Times New Roman" w:hAnsiTheme="minorHAnsi" w:cstheme="minorHAnsi"/>
          <w:b w:val="0"/>
          <w:bCs/>
          <w:sz w:val="24"/>
          <w:szCs w:val="24"/>
          <w:lang w:eastAsia="ru-RU"/>
        </w:rPr>
        <w:t>)</w:t>
      </w:r>
      <w:r w:rsidRPr="00EB647F">
        <w:rPr>
          <w:rFonts w:asciiTheme="minorHAnsi" w:eastAsia="Times New Roman" w:hAnsiTheme="minorHAnsi" w:cstheme="minorHAnsi"/>
          <w:b w:val="0"/>
          <w:bCs/>
          <w:sz w:val="24"/>
          <w:szCs w:val="24"/>
          <w:lang w:eastAsia="ru-RU"/>
        </w:rPr>
        <w:t xml:space="preserve">.  </w:t>
      </w:r>
    </w:p>
    <w:p w14:paraId="71BE80E3" w14:textId="77777777" w:rsidR="00230076" w:rsidRDefault="00230076" w:rsidP="005058B1">
      <w:pPr>
        <w:pStyle w:val="Heading1"/>
        <w:ind w:left="1134"/>
        <w:jc w:val="left"/>
        <w:rPr>
          <w:rFonts w:ascii="Calibri" w:eastAsia="Times New Roman" w:hAnsi="Calibri" w:cs="Calibri"/>
          <w:szCs w:val="28"/>
          <w:lang w:eastAsia="ru-RU"/>
        </w:rPr>
      </w:pPr>
    </w:p>
    <w:p w14:paraId="2D0A91E1" w14:textId="7274466C" w:rsidR="006774AF" w:rsidRDefault="00C2059A" w:rsidP="005058B1">
      <w:pPr>
        <w:pStyle w:val="Heading1"/>
        <w:ind w:left="1134"/>
        <w:jc w:val="left"/>
        <w:rPr>
          <w:rFonts w:ascii="Calibri" w:eastAsia="Times New Roman" w:hAnsi="Calibri" w:cs="Calibri"/>
          <w:szCs w:val="28"/>
          <w:lang w:eastAsia="ru-RU"/>
        </w:rPr>
      </w:pPr>
      <w:r w:rsidRPr="005058B1">
        <w:rPr>
          <w:rFonts w:ascii="Calibri" w:eastAsia="Times New Roman" w:hAnsi="Calibri" w:cs="Calibri"/>
          <w:szCs w:val="28"/>
          <w:lang w:eastAsia="ru-RU"/>
        </w:rPr>
        <w:t>Methods</w:t>
      </w:r>
    </w:p>
    <w:p w14:paraId="50C6EA09" w14:textId="2139136A" w:rsidR="00AC4B4F" w:rsidRPr="00630DCC" w:rsidRDefault="00AC4B4F" w:rsidP="00AC4B4F">
      <w:pPr>
        <w:ind w:left="1134"/>
        <w:jc w:val="left"/>
        <w:rPr>
          <w:rFonts w:ascii="Calibri" w:hAnsi="Calibri" w:cs="Calibri"/>
          <w:sz w:val="24"/>
          <w:szCs w:val="24"/>
          <w:lang w:eastAsia="ru-RU"/>
        </w:rPr>
      </w:pPr>
      <w:r w:rsidRPr="00EB647F">
        <w:rPr>
          <w:rFonts w:ascii="Calibri" w:hAnsi="Calibri" w:cs="Calibri"/>
          <w:sz w:val="24"/>
          <w:szCs w:val="24"/>
          <w:lang w:eastAsia="ru-RU"/>
        </w:rPr>
        <w:t xml:space="preserve">The </w:t>
      </w:r>
      <w:r>
        <w:rPr>
          <w:rFonts w:ascii="Calibri" w:hAnsi="Calibri" w:cs="Calibri"/>
          <w:sz w:val="24"/>
          <w:szCs w:val="24"/>
          <w:lang w:eastAsia="ru-RU"/>
        </w:rPr>
        <w:t>Kingdom</w:t>
      </w:r>
      <w:r w:rsidRPr="00EB647F">
        <w:rPr>
          <w:rFonts w:ascii="Calibri" w:hAnsi="Calibri" w:cs="Calibri"/>
          <w:sz w:val="24"/>
          <w:szCs w:val="24"/>
          <w:lang w:eastAsia="ru-RU"/>
        </w:rPr>
        <w:t xml:space="preserve"> of </w:t>
      </w:r>
      <w:r>
        <w:rPr>
          <w:rFonts w:ascii="Calibri" w:hAnsi="Calibri" w:cs="Calibri"/>
          <w:sz w:val="24"/>
          <w:szCs w:val="24"/>
          <w:lang w:eastAsia="ru-RU"/>
        </w:rPr>
        <w:t>Saudi Arabia</w:t>
      </w:r>
      <w:r w:rsidRPr="00EB647F">
        <w:rPr>
          <w:rFonts w:ascii="Calibri" w:hAnsi="Calibri" w:cs="Calibri"/>
          <w:sz w:val="24"/>
          <w:szCs w:val="24"/>
          <w:lang w:eastAsia="ru-RU"/>
        </w:rPr>
        <w:t xml:space="preserve"> </w:t>
      </w:r>
      <w:r w:rsidRPr="00D352C5">
        <w:rPr>
          <w:rFonts w:ascii="Calibri" w:hAnsi="Calibri" w:cs="Calibri"/>
          <w:sz w:val="24"/>
          <w:szCs w:val="24"/>
          <w:lang w:eastAsia="ru-RU"/>
        </w:rPr>
        <w:t>constitut</w:t>
      </w:r>
      <w:r>
        <w:rPr>
          <w:rFonts w:ascii="Calibri" w:hAnsi="Calibri" w:cs="Calibri"/>
          <w:sz w:val="24"/>
          <w:szCs w:val="24"/>
          <w:lang w:eastAsia="ru-RU"/>
        </w:rPr>
        <w:t>es</w:t>
      </w:r>
      <w:r w:rsidRPr="00D352C5">
        <w:rPr>
          <w:rFonts w:ascii="Calibri" w:hAnsi="Calibri" w:cs="Calibri"/>
          <w:sz w:val="24"/>
          <w:szCs w:val="24"/>
          <w:lang w:eastAsia="ru-RU"/>
        </w:rPr>
        <w:t xml:space="preserve"> the bulk of the Arabian Peninsula</w:t>
      </w:r>
      <w:r>
        <w:rPr>
          <w:rFonts w:ascii="Calibri" w:hAnsi="Calibri" w:cs="Calibri"/>
          <w:sz w:val="24"/>
          <w:szCs w:val="24"/>
          <w:lang w:eastAsia="ru-RU"/>
        </w:rPr>
        <w:t xml:space="preserve"> w</w:t>
      </w:r>
      <w:r w:rsidRPr="00D352C5">
        <w:rPr>
          <w:rFonts w:ascii="Calibri" w:hAnsi="Calibri" w:cs="Calibri"/>
          <w:sz w:val="24"/>
          <w:szCs w:val="24"/>
          <w:lang w:eastAsia="ru-RU"/>
        </w:rPr>
        <w:t xml:space="preserve">ith a </w:t>
      </w:r>
      <w:r>
        <w:rPr>
          <w:rFonts w:ascii="Calibri" w:hAnsi="Calibri" w:cs="Calibri"/>
          <w:sz w:val="24"/>
          <w:szCs w:val="24"/>
          <w:lang w:eastAsia="ru-RU"/>
        </w:rPr>
        <w:t>surface</w:t>
      </w:r>
      <w:r w:rsidRPr="00D352C5">
        <w:rPr>
          <w:rFonts w:ascii="Calibri" w:hAnsi="Calibri" w:cs="Calibri"/>
          <w:sz w:val="24"/>
          <w:szCs w:val="24"/>
          <w:lang w:eastAsia="ru-RU"/>
        </w:rPr>
        <w:t xml:space="preserve"> area of approximately 2,150,000 km</w:t>
      </w:r>
      <w:r w:rsidRPr="00D04582">
        <w:rPr>
          <w:rFonts w:ascii="Calibri" w:hAnsi="Calibri" w:cs="Calibri"/>
          <w:sz w:val="24"/>
          <w:szCs w:val="24"/>
          <w:vertAlign w:val="superscript"/>
          <w:lang w:eastAsia="ru-RU"/>
        </w:rPr>
        <w:t>2</w:t>
      </w:r>
      <w:r w:rsidRPr="00D352C5">
        <w:rPr>
          <w:rFonts w:ascii="Calibri" w:hAnsi="Calibri" w:cs="Calibri"/>
          <w:sz w:val="24"/>
          <w:szCs w:val="24"/>
          <w:lang w:eastAsia="ru-RU"/>
        </w:rPr>
        <w:t xml:space="preserve"> (830,000 sq</w:t>
      </w:r>
      <w:r>
        <w:rPr>
          <w:rFonts w:ascii="Calibri" w:hAnsi="Calibri" w:cs="Calibri"/>
          <w:sz w:val="24"/>
          <w:szCs w:val="24"/>
          <w:lang w:eastAsia="ru-RU"/>
        </w:rPr>
        <w:t>uare</w:t>
      </w:r>
      <w:r w:rsidRPr="00D352C5">
        <w:rPr>
          <w:rFonts w:ascii="Calibri" w:hAnsi="Calibri" w:cs="Calibri"/>
          <w:sz w:val="24"/>
          <w:szCs w:val="24"/>
          <w:lang w:eastAsia="ru-RU"/>
        </w:rPr>
        <w:t xml:space="preserve"> mi</w:t>
      </w:r>
      <w:r>
        <w:rPr>
          <w:rFonts w:ascii="Calibri" w:hAnsi="Calibri" w:cs="Calibri"/>
          <w:sz w:val="24"/>
          <w:szCs w:val="24"/>
          <w:lang w:eastAsia="ru-RU"/>
        </w:rPr>
        <w:t>les</w:t>
      </w:r>
      <w:r w:rsidRPr="00D352C5">
        <w:rPr>
          <w:rFonts w:ascii="Calibri" w:hAnsi="Calibri" w:cs="Calibri"/>
          <w:sz w:val="24"/>
          <w:szCs w:val="24"/>
          <w:lang w:eastAsia="ru-RU"/>
        </w:rPr>
        <w:t>)</w:t>
      </w:r>
      <w:r>
        <w:rPr>
          <w:rFonts w:ascii="Calibri" w:hAnsi="Calibri" w:cs="Calibri"/>
          <w:sz w:val="24"/>
          <w:szCs w:val="24"/>
          <w:lang w:eastAsia="ru-RU"/>
        </w:rPr>
        <w:t>.</w:t>
      </w:r>
      <w:r w:rsidRPr="00D352C5">
        <w:rPr>
          <w:rFonts w:ascii="Calibri" w:hAnsi="Calibri" w:cs="Calibri"/>
          <w:sz w:val="24"/>
          <w:szCs w:val="24"/>
          <w:lang w:eastAsia="ru-RU"/>
        </w:rPr>
        <w:t xml:space="preserve"> </w:t>
      </w:r>
      <w:r>
        <w:rPr>
          <w:rFonts w:ascii="Calibri" w:hAnsi="Calibri" w:cs="Calibri"/>
          <w:sz w:val="24"/>
          <w:szCs w:val="24"/>
          <w:lang w:eastAsia="ru-RU"/>
        </w:rPr>
        <w:t>It</w:t>
      </w:r>
      <w:r w:rsidRPr="00D352C5">
        <w:rPr>
          <w:rFonts w:ascii="Calibri" w:hAnsi="Calibri" w:cs="Calibri"/>
          <w:sz w:val="24"/>
          <w:szCs w:val="24"/>
          <w:lang w:eastAsia="ru-RU"/>
        </w:rPr>
        <w:t xml:space="preserve"> is bordered by Jordan</w:t>
      </w:r>
      <w:r>
        <w:rPr>
          <w:rFonts w:ascii="Calibri" w:hAnsi="Calibri" w:cs="Calibri"/>
          <w:sz w:val="24"/>
          <w:szCs w:val="24"/>
          <w:lang w:eastAsia="ru-RU"/>
        </w:rPr>
        <w:t>,</w:t>
      </w:r>
      <w:r w:rsidRPr="00D352C5">
        <w:rPr>
          <w:rFonts w:ascii="Calibri" w:hAnsi="Calibri" w:cs="Calibri"/>
          <w:sz w:val="24"/>
          <w:szCs w:val="24"/>
          <w:lang w:eastAsia="ru-RU"/>
        </w:rPr>
        <w:t xml:space="preserve"> Iraq</w:t>
      </w:r>
      <w:r>
        <w:rPr>
          <w:rFonts w:ascii="Calibri" w:hAnsi="Calibri" w:cs="Calibri"/>
          <w:sz w:val="24"/>
          <w:szCs w:val="24"/>
          <w:lang w:eastAsia="ru-RU"/>
        </w:rPr>
        <w:t>,</w:t>
      </w:r>
      <w:r w:rsidRPr="00D352C5">
        <w:rPr>
          <w:rFonts w:ascii="Calibri" w:hAnsi="Calibri" w:cs="Calibri"/>
          <w:sz w:val="24"/>
          <w:szCs w:val="24"/>
          <w:lang w:eastAsia="ru-RU"/>
        </w:rPr>
        <w:t xml:space="preserve"> Kuwait, Qatar, Bahrain, the United Arab Emirates, Oman and Yemen</w:t>
      </w:r>
      <w:r>
        <w:rPr>
          <w:rFonts w:ascii="Calibri" w:hAnsi="Calibri" w:cs="Calibri"/>
          <w:sz w:val="24"/>
          <w:szCs w:val="24"/>
          <w:lang w:eastAsia="ru-RU"/>
        </w:rPr>
        <w:t xml:space="preserve">.  </w:t>
      </w:r>
      <w:r w:rsidRPr="00BF189A">
        <w:rPr>
          <w:rFonts w:ascii="Calibri" w:hAnsi="Calibri" w:cs="Calibri"/>
          <w:sz w:val="24"/>
          <w:szCs w:val="24"/>
          <w:lang w:eastAsia="ru-RU"/>
        </w:rPr>
        <w:t xml:space="preserve">Saudi Arabia also has one of the world's youngest populations, with approximately </w:t>
      </w:r>
      <w:r>
        <w:rPr>
          <w:rFonts w:ascii="Calibri" w:hAnsi="Calibri" w:cs="Calibri"/>
          <w:sz w:val="24"/>
          <w:szCs w:val="24"/>
          <w:lang w:eastAsia="ru-RU"/>
        </w:rPr>
        <w:t>41</w:t>
      </w:r>
      <w:r w:rsidRPr="00BF189A">
        <w:rPr>
          <w:rFonts w:ascii="Calibri" w:hAnsi="Calibri" w:cs="Calibri"/>
          <w:sz w:val="24"/>
          <w:szCs w:val="24"/>
          <w:lang w:eastAsia="ru-RU"/>
        </w:rPr>
        <w:t xml:space="preserve"> percent of its population of 34.2 million being under 25 years old.</w:t>
      </w:r>
      <w:r>
        <w:rPr>
          <w:rFonts w:ascii="Calibri" w:hAnsi="Calibri" w:cs="Calibri"/>
          <w:sz w:val="24"/>
          <w:szCs w:val="24"/>
          <w:lang w:eastAsia="ru-RU"/>
        </w:rPr>
        <w:t xml:space="preserve">  Conversely, less than 10% of the population has an age of 55 or more years [</w:t>
      </w:r>
      <w:r w:rsidR="00230076">
        <w:rPr>
          <w:rFonts w:ascii="Calibri" w:hAnsi="Calibri" w:cs="Calibri"/>
          <w:sz w:val="24"/>
          <w:szCs w:val="24"/>
          <w:lang w:eastAsia="ru-RU"/>
        </w:rPr>
        <w:t>11</w:t>
      </w:r>
      <w:r w:rsidR="00E35DAF">
        <w:rPr>
          <w:rFonts w:ascii="Calibri" w:hAnsi="Calibri" w:cs="Calibri"/>
          <w:sz w:val="24"/>
          <w:szCs w:val="24"/>
          <w:lang w:eastAsia="ru-RU"/>
        </w:rPr>
        <w:t>]</w:t>
      </w:r>
      <w:r>
        <w:rPr>
          <w:rFonts w:ascii="Calibri" w:hAnsi="Calibri" w:cs="Calibri"/>
          <w:sz w:val="24"/>
          <w:szCs w:val="24"/>
          <w:lang w:eastAsia="ru-RU"/>
        </w:rPr>
        <w:t xml:space="preserve">. </w:t>
      </w:r>
    </w:p>
    <w:p w14:paraId="0796DE1E" w14:textId="0B179F6D" w:rsidR="0065684F" w:rsidRPr="0065684F" w:rsidRDefault="00E703F5" w:rsidP="005058B1">
      <w:pPr>
        <w:ind w:left="1134"/>
        <w:jc w:val="left"/>
        <w:rPr>
          <w:rFonts w:ascii="Calibri" w:hAnsi="Calibri" w:cs="Calibri"/>
          <w:sz w:val="24"/>
          <w:szCs w:val="24"/>
          <w:lang w:eastAsia="ru-RU"/>
        </w:rPr>
      </w:pPr>
      <w:r>
        <w:rPr>
          <w:rFonts w:ascii="Calibri" w:hAnsi="Calibri" w:cs="Calibri"/>
          <w:sz w:val="24"/>
          <w:szCs w:val="24"/>
          <w:lang w:eastAsia="ru-RU"/>
        </w:rPr>
        <w:t xml:space="preserve">The </w:t>
      </w:r>
      <w:r w:rsidR="006510AF">
        <w:rPr>
          <w:rFonts w:ascii="Calibri" w:hAnsi="Calibri" w:cs="Calibri"/>
          <w:sz w:val="24"/>
          <w:szCs w:val="24"/>
          <w:lang w:eastAsia="ru-RU"/>
        </w:rPr>
        <w:t>study to define the incidence of hip fracture</w:t>
      </w:r>
      <w:r w:rsidR="00E059A0">
        <w:rPr>
          <w:rFonts w:ascii="Calibri" w:hAnsi="Calibri" w:cs="Calibri"/>
          <w:sz w:val="24"/>
          <w:szCs w:val="24"/>
          <w:lang w:eastAsia="ru-RU"/>
        </w:rPr>
        <w:t xml:space="preserve"> was</w:t>
      </w:r>
      <w:r w:rsidR="00C835DE" w:rsidRPr="00C835DE">
        <w:rPr>
          <w:rFonts w:ascii="Calibri" w:hAnsi="Calibri" w:cs="Calibri"/>
          <w:sz w:val="24"/>
          <w:szCs w:val="24"/>
          <w:lang w:eastAsia="ru-RU"/>
        </w:rPr>
        <w:t xml:space="preserve"> developed in collaboration between </w:t>
      </w:r>
      <w:r w:rsidR="006A38BB">
        <w:rPr>
          <w:rFonts w:ascii="Calibri" w:hAnsi="Calibri" w:cs="Calibri"/>
          <w:sz w:val="24"/>
          <w:szCs w:val="24"/>
          <w:lang w:eastAsia="ru-RU"/>
        </w:rPr>
        <w:t xml:space="preserve">the </w:t>
      </w:r>
      <w:r w:rsidR="00E9212C">
        <w:rPr>
          <w:rFonts w:ascii="Calibri" w:hAnsi="Calibri" w:cs="Calibri"/>
          <w:sz w:val="24"/>
          <w:szCs w:val="24"/>
          <w:lang w:eastAsia="ru-RU"/>
        </w:rPr>
        <w:t>M</w:t>
      </w:r>
      <w:r w:rsidR="00C835DE" w:rsidRPr="00C835DE">
        <w:rPr>
          <w:rFonts w:ascii="Calibri" w:hAnsi="Calibri" w:cs="Calibri"/>
          <w:sz w:val="24"/>
          <w:szCs w:val="24"/>
          <w:lang w:eastAsia="ru-RU"/>
        </w:rPr>
        <w:t xml:space="preserve">inistry of </w:t>
      </w:r>
      <w:r w:rsidR="00E9212C">
        <w:rPr>
          <w:rFonts w:ascii="Calibri" w:hAnsi="Calibri" w:cs="Calibri"/>
          <w:sz w:val="24"/>
          <w:szCs w:val="24"/>
          <w:lang w:eastAsia="ru-RU"/>
        </w:rPr>
        <w:t>H</w:t>
      </w:r>
      <w:r w:rsidR="00C835DE" w:rsidRPr="00C835DE">
        <w:rPr>
          <w:rFonts w:ascii="Calibri" w:hAnsi="Calibri" w:cs="Calibri"/>
          <w:sz w:val="24"/>
          <w:szCs w:val="24"/>
          <w:lang w:eastAsia="ru-RU"/>
        </w:rPr>
        <w:t xml:space="preserve">ealth represented by the </w:t>
      </w:r>
      <w:r w:rsidR="00E9212C">
        <w:rPr>
          <w:rFonts w:ascii="Calibri" w:hAnsi="Calibri" w:cs="Calibri"/>
          <w:sz w:val="24"/>
          <w:szCs w:val="24"/>
          <w:lang w:eastAsia="ru-RU"/>
        </w:rPr>
        <w:t>D</w:t>
      </w:r>
      <w:r w:rsidR="00C835DE" w:rsidRPr="00C835DE">
        <w:rPr>
          <w:rFonts w:ascii="Calibri" w:hAnsi="Calibri" w:cs="Calibri"/>
          <w:sz w:val="24"/>
          <w:szCs w:val="24"/>
          <w:lang w:eastAsia="ru-RU"/>
        </w:rPr>
        <w:t xml:space="preserve">irectorate for </w:t>
      </w:r>
      <w:r w:rsidR="00E9212C">
        <w:rPr>
          <w:rFonts w:ascii="Calibri" w:hAnsi="Calibri" w:cs="Calibri"/>
          <w:sz w:val="24"/>
          <w:szCs w:val="24"/>
          <w:lang w:eastAsia="ru-RU"/>
        </w:rPr>
        <w:t>P</w:t>
      </w:r>
      <w:r w:rsidR="00C835DE" w:rsidRPr="00C835DE">
        <w:rPr>
          <w:rFonts w:ascii="Calibri" w:hAnsi="Calibri" w:cs="Calibri"/>
          <w:sz w:val="24"/>
          <w:szCs w:val="24"/>
          <w:lang w:eastAsia="ru-RU"/>
        </w:rPr>
        <w:t>revention of Osteoporosis and the Saudi Osteoporosis Society.</w:t>
      </w:r>
      <w:r w:rsidR="00E059A0">
        <w:rPr>
          <w:rFonts w:ascii="Calibri" w:hAnsi="Calibri" w:cs="Calibri"/>
          <w:sz w:val="24"/>
          <w:szCs w:val="24"/>
          <w:lang w:eastAsia="ru-RU"/>
        </w:rPr>
        <w:t xml:space="preserve">  </w:t>
      </w:r>
      <w:r w:rsidR="00C835DE" w:rsidRPr="00C835DE">
        <w:rPr>
          <w:rFonts w:ascii="Calibri" w:hAnsi="Calibri" w:cs="Calibri"/>
          <w:sz w:val="24"/>
          <w:szCs w:val="24"/>
          <w:lang w:eastAsia="ru-RU"/>
        </w:rPr>
        <w:t xml:space="preserve">Representative hospitals were selected from various </w:t>
      </w:r>
      <w:r w:rsidR="007D779A">
        <w:rPr>
          <w:rFonts w:ascii="Calibri" w:hAnsi="Calibri" w:cs="Calibri"/>
          <w:sz w:val="24"/>
          <w:szCs w:val="24"/>
          <w:lang w:eastAsia="ru-RU"/>
        </w:rPr>
        <w:t>parts</w:t>
      </w:r>
      <w:r w:rsidR="00C835DE" w:rsidRPr="00C835DE">
        <w:rPr>
          <w:rFonts w:ascii="Calibri" w:hAnsi="Calibri" w:cs="Calibri"/>
          <w:sz w:val="24"/>
          <w:szCs w:val="24"/>
          <w:lang w:eastAsia="ru-RU"/>
        </w:rPr>
        <w:t xml:space="preserve"> of the country to cover all geographic regions</w:t>
      </w:r>
      <w:r w:rsidR="00A0561C">
        <w:rPr>
          <w:rFonts w:ascii="Calibri" w:hAnsi="Calibri" w:cs="Calibri"/>
          <w:sz w:val="24"/>
          <w:szCs w:val="24"/>
          <w:lang w:eastAsia="ru-RU"/>
        </w:rPr>
        <w:t xml:space="preserve"> (</w:t>
      </w:r>
      <w:r w:rsidR="00A0561C" w:rsidRPr="00A0561C">
        <w:rPr>
          <w:rFonts w:ascii="Calibri" w:hAnsi="Calibri" w:cs="Calibri"/>
          <w:sz w:val="24"/>
          <w:szCs w:val="24"/>
          <w:lang w:eastAsia="ru-RU"/>
        </w:rPr>
        <w:t>Riyadh</w:t>
      </w:r>
      <w:r w:rsidR="003637EE">
        <w:rPr>
          <w:rFonts w:ascii="Calibri" w:hAnsi="Calibri" w:cs="Calibri"/>
          <w:sz w:val="24"/>
          <w:szCs w:val="24"/>
          <w:lang w:eastAsia="ru-RU"/>
        </w:rPr>
        <w:t>, D</w:t>
      </w:r>
      <w:r w:rsidR="00A0561C" w:rsidRPr="00A0561C">
        <w:rPr>
          <w:rFonts w:ascii="Calibri" w:hAnsi="Calibri" w:cs="Calibri"/>
          <w:sz w:val="24"/>
          <w:szCs w:val="24"/>
          <w:lang w:eastAsia="ru-RU"/>
        </w:rPr>
        <w:t>ammam</w:t>
      </w:r>
      <w:r w:rsidR="003637EE">
        <w:rPr>
          <w:rFonts w:ascii="Calibri" w:hAnsi="Calibri" w:cs="Calibri"/>
          <w:sz w:val="24"/>
          <w:szCs w:val="24"/>
          <w:lang w:eastAsia="ru-RU"/>
        </w:rPr>
        <w:t xml:space="preserve">, </w:t>
      </w:r>
      <w:r w:rsidR="00A0561C" w:rsidRPr="00A0561C">
        <w:rPr>
          <w:rFonts w:ascii="Calibri" w:hAnsi="Calibri" w:cs="Calibri"/>
          <w:sz w:val="24"/>
          <w:szCs w:val="24"/>
          <w:lang w:eastAsia="ru-RU"/>
        </w:rPr>
        <w:t xml:space="preserve">Makkah </w:t>
      </w:r>
      <w:r w:rsidR="00261120" w:rsidRPr="00A0561C">
        <w:rPr>
          <w:rFonts w:ascii="Calibri" w:hAnsi="Calibri" w:cs="Calibri"/>
          <w:sz w:val="24"/>
          <w:szCs w:val="24"/>
          <w:lang w:eastAsia="ru-RU"/>
        </w:rPr>
        <w:t>A</w:t>
      </w:r>
      <w:r w:rsidR="00261120">
        <w:rPr>
          <w:rFonts w:ascii="Calibri" w:hAnsi="Calibri" w:cs="Calibri"/>
          <w:sz w:val="24"/>
          <w:szCs w:val="24"/>
          <w:lang w:eastAsia="ru-RU"/>
        </w:rPr>
        <w:t xml:space="preserve">l </w:t>
      </w:r>
      <w:r w:rsidR="00A0561C" w:rsidRPr="00A0561C">
        <w:rPr>
          <w:rFonts w:ascii="Calibri" w:hAnsi="Calibri" w:cs="Calibri"/>
          <w:sz w:val="24"/>
          <w:szCs w:val="24"/>
          <w:lang w:eastAsia="ru-RU"/>
        </w:rPr>
        <w:t>Mokaramah</w:t>
      </w:r>
      <w:r w:rsidR="003637EE">
        <w:rPr>
          <w:rFonts w:ascii="Calibri" w:hAnsi="Calibri" w:cs="Calibri"/>
          <w:sz w:val="24"/>
          <w:szCs w:val="24"/>
          <w:lang w:eastAsia="ru-RU"/>
        </w:rPr>
        <w:t xml:space="preserve">, </w:t>
      </w:r>
      <w:r w:rsidR="00A0561C" w:rsidRPr="00A0561C">
        <w:rPr>
          <w:rFonts w:ascii="Calibri" w:hAnsi="Calibri" w:cs="Calibri"/>
          <w:sz w:val="24"/>
          <w:szCs w:val="24"/>
          <w:lang w:eastAsia="ru-RU"/>
        </w:rPr>
        <w:t>Jazan</w:t>
      </w:r>
      <w:r w:rsidR="003637EE">
        <w:rPr>
          <w:rFonts w:ascii="Calibri" w:hAnsi="Calibri" w:cs="Calibri"/>
          <w:sz w:val="24"/>
          <w:szCs w:val="24"/>
          <w:lang w:eastAsia="ru-RU"/>
        </w:rPr>
        <w:t xml:space="preserve">, </w:t>
      </w:r>
      <w:r w:rsidR="00A0561C" w:rsidRPr="00A0561C">
        <w:rPr>
          <w:rFonts w:ascii="Calibri" w:hAnsi="Calibri" w:cs="Calibri"/>
          <w:sz w:val="24"/>
          <w:szCs w:val="24"/>
          <w:lang w:eastAsia="ru-RU"/>
        </w:rPr>
        <w:t>Al-Jouf</w:t>
      </w:r>
      <w:r w:rsidR="00CA220B">
        <w:rPr>
          <w:rFonts w:ascii="Calibri" w:hAnsi="Calibri" w:cs="Calibri"/>
          <w:sz w:val="24"/>
          <w:szCs w:val="24"/>
          <w:lang w:eastAsia="ru-RU"/>
        </w:rPr>
        <w:t xml:space="preserve">, </w:t>
      </w:r>
      <w:r w:rsidR="00A0561C" w:rsidRPr="00A0561C">
        <w:rPr>
          <w:rFonts w:ascii="Calibri" w:hAnsi="Calibri" w:cs="Calibri"/>
          <w:sz w:val="24"/>
          <w:szCs w:val="24"/>
          <w:lang w:eastAsia="ru-RU"/>
        </w:rPr>
        <w:t>Al-Baha</w:t>
      </w:r>
      <w:r w:rsidR="00CA220B">
        <w:rPr>
          <w:rFonts w:ascii="Calibri" w:hAnsi="Calibri" w:cs="Calibri"/>
          <w:sz w:val="24"/>
          <w:szCs w:val="24"/>
          <w:lang w:eastAsia="ru-RU"/>
        </w:rPr>
        <w:t xml:space="preserve">, </w:t>
      </w:r>
      <w:r w:rsidR="00A0561C" w:rsidRPr="00A0561C">
        <w:rPr>
          <w:rFonts w:ascii="Calibri" w:hAnsi="Calibri" w:cs="Calibri"/>
          <w:sz w:val="24"/>
          <w:szCs w:val="24"/>
          <w:lang w:eastAsia="ru-RU"/>
        </w:rPr>
        <w:t>Tabouk</w:t>
      </w:r>
      <w:r w:rsidR="00CA220B">
        <w:rPr>
          <w:rFonts w:ascii="Calibri" w:hAnsi="Calibri" w:cs="Calibri"/>
          <w:sz w:val="24"/>
          <w:szCs w:val="24"/>
          <w:lang w:eastAsia="ru-RU"/>
        </w:rPr>
        <w:t xml:space="preserve">, </w:t>
      </w:r>
      <w:r w:rsidR="00A0561C" w:rsidRPr="00A0561C">
        <w:rPr>
          <w:rFonts w:ascii="Calibri" w:hAnsi="Calibri" w:cs="Calibri"/>
          <w:sz w:val="24"/>
          <w:szCs w:val="24"/>
          <w:lang w:eastAsia="ru-RU"/>
        </w:rPr>
        <w:t>Najran</w:t>
      </w:r>
      <w:r w:rsidR="00CA220B">
        <w:rPr>
          <w:rFonts w:ascii="Calibri" w:hAnsi="Calibri" w:cs="Calibri"/>
          <w:sz w:val="24"/>
          <w:szCs w:val="24"/>
          <w:lang w:eastAsia="ru-RU"/>
        </w:rPr>
        <w:t xml:space="preserve"> and </w:t>
      </w:r>
      <w:r w:rsidR="00A0561C" w:rsidRPr="00A0561C">
        <w:rPr>
          <w:rFonts w:ascii="Calibri" w:hAnsi="Calibri" w:cs="Calibri"/>
          <w:sz w:val="24"/>
          <w:szCs w:val="24"/>
          <w:lang w:eastAsia="ru-RU"/>
        </w:rPr>
        <w:t>Hail</w:t>
      </w:r>
      <w:r w:rsidR="004A4BE1">
        <w:rPr>
          <w:rFonts w:ascii="Calibri" w:hAnsi="Calibri" w:cs="Calibri"/>
          <w:sz w:val="24"/>
          <w:szCs w:val="24"/>
          <w:lang w:eastAsia="ru-RU"/>
        </w:rPr>
        <w:t>)</w:t>
      </w:r>
      <w:r w:rsidR="00C835DE" w:rsidRPr="00C835DE">
        <w:rPr>
          <w:rFonts w:ascii="Calibri" w:hAnsi="Calibri" w:cs="Calibri"/>
          <w:sz w:val="24"/>
          <w:szCs w:val="24"/>
          <w:lang w:eastAsia="ru-RU"/>
        </w:rPr>
        <w:t>.</w:t>
      </w:r>
      <w:r w:rsidR="00195F2C">
        <w:rPr>
          <w:rFonts w:ascii="Calibri" w:hAnsi="Calibri" w:cs="Calibri"/>
          <w:sz w:val="24"/>
          <w:szCs w:val="24"/>
          <w:lang w:eastAsia="ru-RU"/>
        </w:rPr>
        <w:t xml:space="preserve">  A </w:t>
      </w:r>
      <w:r w:rsidR="00230076">
        <w:rPr>
          <w:rFonts w:ascii="Calibri" w:hAnsi="Calibri" w:cs="Calibri"/>
          <w:sz w:val="24"/>
          <w:szCs w:val="24"/>
          <w:lang w:eastAsia="ru-RU"/>
        </w:rPr>
        <w:t>t</w:t>
      </w:r>
      <w:r w:rsidR="00230076" w:rsidRPr="00C835DE">
        <w:rPr>
          <w:rFonts w:ascii="Calibri" w:hAnsi="Calibri" w:cs="Calibri"/>
          <w:sz w:val="24"/>
          <w:szCs w:val="24"/>
          <w:lang w:eastAsia="ru-RU"/>
        </w:rPr>
        <w:t xml:space="preserve">otal </w:t>
      </w:r>
      <w:r w:rsidR="00C835DE" w:rsidRPr="00C835DE">
        <w:rPr>
          <w:rFonts w:ascii="Calibri" w:hAnsi="Calibri" w:cs="Calibri"/>
          <w:sz w:val="24"/>
          <w:szCs w:val="24"/>
          <w:lang w:eastAsia="ru-RU"/>
        </w:rPr>
        <w:t>of 15 hospitals that admit</w:t>
      </w:r>
      <w:r w:rsidR="007D779A">
        <w:rPr>
          <w:rFonts w:ascii="Calibri" w:hAnsi="Calibri" w:cs="Calibri"/>
          <w:sz w:val="24"/>
          <w:szCs w:val="24"/>
          <w:lang w:eastAsia="ru-RU"/>
        </w:rPr>
        <w:t>ted</w:t>
      </w:r>
      <w:r w:rsidR="00C835DE" w:rsidRPr="00C835DE">
        <w:rPr>
          <w:rFonts w:ascii="Calibri" w:hAnsi="Calibri" w:cs="Calibri"/>
          <w:sz w:val="24"/>
          <w:szCs w:val="24"/>
          <w:lang w:eastAsia="ru-RU"/>
        </w:rPr>
        <w:t xml:space="preserve"> and operate</w:t>
      </w:r>
      <w:r w:rsidR="007D779A">
        <w:rPr>
          <w:rFonts w:ascii="Calibri" w:hAnsi="Calibri" w:cs="Calibri"/>
          <w:sz w:val="24"/>
          <w:szCs w:val="24"/>
          <w:lang w:eastAsia="ru-RU"/>
        </w:rPr>
        <w:t>d</w:t>
      </w:r>
      <w:r w:rsidR="00C835DE" w:rsidRPr="00C835DE">
        <w:rPr>
          <w:rFonts w:ascii="Calibri" w:hAnsi="Calibri" w:cs="Calibri"/>
          <w:sz w:val="24"/>
          <w:szCs w:val="24"/>
          <w:lang w:eastAsia="ru-RU"/>
        </w:rPr>
        <w:t xml:space="preserve"> on patients with </w:t>
      </w:r>
      <w:r w:rsidR="00195F2C">
        <w:rPr>
          <w:rFonts w:ascii="Calibri" w:hAnsi="Calibri" w:cs="Calibri"/>
          <w:sz w:val="24"/>
          <w:szCs w:val="24"/>
          <w:lang w:eastAsia="ru-RU"/>
        </w:rPr>
        <w:t>h</w:t>
      </w:r>
      <w:r w:rsidR="00C835DE" w:rsidRPr="00C835DE">
        <w:rPr>
          <w:rFonts w:ascii="Calibri" w:hAnsi="Calibri" w:cs="Calibri"/>
          <w:sz w:val="24"/>
          <w:szCs w:val="24"/>
          <w:lang w:eastAsia="ru-RU"/>
        </w:rPr>
        <w:t xml:space="preserve">ip </w:t>
      </w:r>
      <w:r w:rsidR="00195F2C">
        <w:rPr>
          <w:rFonts w:ascii="Calibri" w:hAnsi="Calibri" w:cs="Calibri"/>
          <w:sz w:val="24"/>
          <w:szCs w:val="24"/>
          <w:lang w:eastAsia="ru-RU"/>
        </w:rPr>
        <w:t>f</w:t>
      </w:r>
      <w:r w:rsidR="00C835DE" w:rsidRPr="00C835DE">
        <w:rPr>
          <w:rFonts w:ascii="Calibri" w:hAnsi="Calibri" w:cs="Calibri"/>
          <w:sz w:val="24"/>
          <w:szCs w:val="24"/>
          <w:lang w:eastAsia="ru-RU"/>
        </w:rPr>
        <w:t xml:space="preserve">ractures were selected. </w:t>
      </w:r>
      <w:r w:rsidR="00C16F4D" w:rsidRPr="00C16F4D">
        <w:rPr>
          <w:rFonts w:ascii="Calibri" w:hAnsi="Calibri" w:cs="Calibri"/>
          <w:sz w:val="24"/>
          <w:szCs w:val="24"/>
          <w:lang w:eastAsia="ru-RU"/>
        </w:rPr>
        <w:t>The choice of hospital was determined by the willingness of a research officer to collaborate</w:t>
      </w:r>
      <w:r w:rsidR="00C16F4D">
        <w:rPr>
          <w:rFonts w:ascii="Calibri" w:hAnsi="Calibri" w:cs="Calibri"/>
          <w:sz w:val="24"/>
          <w:szCs w:val="24"/>
          <w:lang w:eastAsia="ru-RU"/>
        </w:rPr>
        <w:t>.</w:t>
      </w:r>
      <w:r w:rsidR="00C16F4D" w:rsidRPr="00C16F4D">
        <w:rPr>
          <w:rFonts w:ascii="Calibri" w:hAnsi="Calibri" w:cs="Calibri"/>
          <w:sz w:val="24"/>
          <w:szCs w:val="24"/>
          <w:lang w:eastAsia="ru-RU"/>
        </w:rPr>
        <w:t xml:space="preserve"> </w:t>
      </w:r>
      <w:r w:rsidR="00441A20">
        <w:rPr>
          <w:rFonts w:ascii="Calibri" w:hAnsi="Calibri" w:cs="Calibri"/>
          <w:sz w:val="24"/>
          <w:szCs w:val="24"/>
          <w:lang w:eastAsia="ru-RU"/>
        </w:rPr>
        <w:t xml:space="preserve"> </w:t>
      </w:r>
      <w:r w:rsidR="00C835DE" w:rsidRPr="00C835DE">
        <w:rPr>
          <w:rFonts w:ascii="Calibri" w:hAnsi="Calibri" w:cs="Calibri"/>
          <w:sz w:val="24"/>
          <w:szCs w:val="24"/>
          <w:lang w:eastAsia="ru-RU"/>
        </w:rPr>
        <w:t xml:space="preserve">Champions in these institutions were identified and a meeting </w:t>
      </w:r>
      <w:r w:rsidR="00261120">
        <w:rPr>
          <w:rFonts w:ascii="Calibri" w:hAnsi="Calibri" w:cs="Calibri"/>
          <w:sz w:val="24"/>
          <w:szCs w:val="24"/>
          <w:lang w:eastAsia="ru-RU"/>
        </w:rPr>
        <w:t xml:space="preserve">was </w:t>
      </w:r>
      <w:r w:rsidR="001C6966">
        <w:rPr>
          <w:rFonts w:ascii="Calibri" w:hAnsi="Calibri" w:cs="Calibri"/>
          <w:sz w:val="24"/>
          <w:szCs w:val="24"/>
          <w:lang w:eastAsia="ru-RU"/>
        </w:rPr>
        <w:t xml:space="preserve">convened </w:t>
      </w:r>
      <w:r w:rsidR="00C835DE" w:rsidRPr="00C835DE">
        <w:rPr>
          <w:rFonts w:ascii="Calibri" w:hAnsi="Calibri" w:cs="Calibri"/>
          <w:sz w:val="24"/>
          <w:szCs w:val="24"/>
          <w:lang w:eastAsia="ru-RU"/>
        </w:rPr>
        <w:t xml:space="preserve">in Riyadh to discuss and explain the data collection process. </w:t>
      </w:r>
      <w:r w:rsidR="006674FB">
        <w:rPr>
          <w:rFonts w:ascii="Calibri" w:hAnsi="Calibri" w:cs="Calibri"/>
          <w:sz w:val="24"/>
          <w:szCs w:val="24"/>
          <w:lang w:eastAsia="ru-RU"/>
        </w:rPr>
        <w:t xml:space="preserve"> </w:t>
      </w:r>
      <w:r w:rsidR="002D5D63" w:rsidRPr="002D5D63">
        <w:rPr>
          <w:rFonts w:ascii="Calibri" w:hAnsi="Calibri" w:cs="Calibri"/>
          <w:sz w:val="24"/>
          <w:szCs w:val="24"/>
          <w:lang w:eastAsia="ru-RU"/>
        </w:rPr>
        <w:t xml:space="preserve">Case report forms were developed to record the patient's age, sex, residence, date, character of injury and ICD -10 code (S72.0, S72.1, S72.2).  </w:t>
      </w:r>
      <w:r w:rsidR="00C835DE" w:rsidRPr="00C835DE">
        <w:rPr>
          <w:rFonts w:ascii="Calibri" w:hAnsi="Calibri" w:cs="Calibri"/>
          <w:sz w:val="24"/>
          <w:szCs w:val="24"/>
          <w:lang w:eastAsia="ru-RU"/>
        </w:rPr>
        <w:t>The group</w:t>
      </w:r>
      <w:r w:rsidR="007C32AA">
        <w:rPr>
          <w:rFonts w:ascii="Calibri" w:hAnsi="Calibri" w:cs="Calibri"/>
          <w:sz w:val="24"/>
          <w:szCs w:val="24"/>
          <w:lang w:eastAsia="ru-RU"/>
        </w:rPr>
        <w:t xml:space="preserve"> thereafter</w:t>
      </w:r>
      <w:r w:rsidR="00C835DE" w:rsidRPr="00C835DE">
        <w:rPr>
          <w:rFonts w:ascii="Calibri" w:hAnsi="Calibri" w:cs="Calibri"/>
          <w:sz w:val="24"/>
          <w:szCs w:val="24"/>
          <w:lang w:eastAsia="ru-RU"/>
        </w:rPr>
        <w:t xml:space="preserve"> </w:t>
      </w:r>
      <w:r w:rsidR="0007466A">
        <w:rPr>
          <w:rFonts w:ascii="Calibri" w:hAnsi="Calibri" w:cs="Calibri"/>
          <w:sz w:val="24"/>
          <w:szCs w:val="24"/>
          <w:lang w:eastAsia="ru-RU"/>
        </w:rPr>
        <w:t xml:space="preserve">communicated </w:t>
      </w:r>
      <w:r w:rsidR="0007466A" w:rsidRPr="0007466A">
        <w:rPr>
          <w:rFonts w:ascii="Calibri" w:hAnsi="Calibri" w:cs="Calibri"/>
          <w:sz w:val="24"/>
          <w:szCs w:val="24"/>
          <w:lang w:eastAsia="ru-RU"/>
        </w:rPr>
        <w:t xml:space="preserve">through social media </w:t>
      </w:r>
      <w:r w:rsidR="00261120">
        <w:rPr>
          <w:rFonts w:ascii="Calibri" w:hAnsi="Calibri" w:cs="Calibri"/>
          <w:sz w:val="24"/>
          <w:szCs w:val="24"/>
          <w:lang w:eastAsia="ru-RU"/>
        </w:rPr>
        <w:t xml:space="preserve">and </w:t>
      </w:r>
      <w:r w:rsidR="00C835DE" w:rsidRPr="00C835DE">
        <w:rPr>
          <w:rFonts w:ascii="Calibri" w:hAnsi="Calibri" w:cs="Calibri"/>
          <w:sz w:val="24"/>
          <w:szCs w:val="24"/>
          <w:lang w:eastAsia="ru-RU"/>
        </w:rPr>
        <w:t>met again after 8 months to discuss the progress of data collection</w:t>
      </w:r>
      <w:r w:rsidR="0031790E">
        <w:rPr>
          <w:rFonts w:ascii="Calibri" w:hAnsi="Calibri" w:cs="Calibri"/>
          <w:sz w:val="24"/>
          <w:szCs w:val="24"/>
          <w:lang w:eastAsia="ru-RU"/>
        </w:rPr>
        <w:t>, revi</w:t>
      </w:r>
      <w:r w:rsidR="001A08A1">
        <w:rPr>
          <w:rFonts w:ascii="Calibri" w:hAnsi="Calibri" w:cs="Calibri"/>
          <w:sz w:val="24"/>
          <w:szCs w:val="24"/>
          <w:lang w:eastAsia="ru-RU"/>
        </w:rPr>
        <w:t>ew the accuracy of hip fracture recording,</w:t>
      </w:r>
      <w:r w:rsidR="00C835DE" w:rsidRPr="00C835DE">
        <w:rPr>
          <w:rFonts w:ascii="Calibri" w:hAnsi="Calibri" w:cs="Calibri"/>
          <w:sz w:val="24"/>
          <w:szCs w:val="24"/>
          <w:lang w:eastAsia="ru-RU"/>
        </w:rPr>
        <w:t xml:space="preserve"> and meet any challenges.</w:t>
      </w:r>
      <w:r w:rsidR="00B72967">
        <w:rPr>
          <w:rFonts w:ascii="Calibri" w:hAnsi="Calibri" w:cs="Calibri"/>
          <w:sz w:val="24"/>
          <w:szCs w:val="24"/>
          <w:lang w:eastAsia="ru-RU"/>
        </w:rPr>
        <w:t xml:space="preserve">  </w:t>
      </w:r>
      <w:bookmarkStart w:id="7" w:name="_Hlk54451267"/>
    </w:p>
    <w:bookmarkEnd w:id="7"/>
    <w:p w14:paraId="6ACEF536" w14:textId="3A795931" w:rsidR="00372744" w:rsidRDefault="006D0871" w:rsidP="005058B1">
      <w:pPr>
        <w:ind w:left="1134"/>
        <w:jc w:val="left"/>
        <w:rPr>
          <w:rFonts w:ascii="Calibri" w:hAnsi="Calibri" w:cs="Calibri"/>
          <w:sz w:val="24"/>
          <w:szCs w:val="24"/>
          <w:lang w:eastAsia="ru-RU"/>
        </w:rPr>
      </w:pPr>
      <w:r>
        <w:rPr>
          <w:rFonts w:ascii="Calibri" w:hAnsi="Calibri" w:cs="Calibri"/>
          <w:sz w:val="24"/>
          <w:szCs w:val="24"/>
          <w:lang w:eastAsia="ru-RU"/>
        </w:rPr>
        <w:t>D</w:t>
      </w:r>
      <w:r w:rsidR="00C835DE" w:rsidRPr="00C835DE">
        <w:rPr>
          <w:rFonts w:ascii="Calibri" w:hAnsi="Calibri" w:cs="Calibri"/>
          <w:sz w:val="24"/>
          <w:szCs w:val="24"/>
          <w:lang w:eastAsia="ru-RU"/>
        </w:rPr>
        <w:t xml:space="preserve">ata on </w:t>
      </w:r>
      <w:r w:rsidR="005C67D0">
        <w:rPr>
          <w:rFonts w:ascii="Calibri" w:hAnsi="Calibri" w:cs="Calibri"/>
          <w:sz w:val="24"/>
          <w:szCs w:val="24"/>
          <w:lang w:eastAsia="ru-RU"/>
        </w:rPr>
        <w:t xml:space="preserve">low energy </w:t>
      </w:r>
      <w:r>
        <w:rPr>
          <w:rFonts w:ascii="Calibri" w:hAnsi="Calibri" w:cs="Calibri"/>
          <w:sz w:val="24"/>
          <w:szCs w:val="24"/>
          <w:lang w:eastAsia="ru-RU"/>
        </w:rPr>
        <w:t xml:space="preserve">hip fracture </w:t>
      </w:r>
      <w:r w:rsidR="00D0244B">
        <w:rPr>
          <w:rFonts w:ascii="Calibri" w:hAnsi="Calibri" w:cs="Calibri"/>
          <w:sz w:val="24"/>
          <w:szCs w:val="24"/>
          <w:lang w:eastAsia="ru-RU"/>
        </w:rPr>
        <w:t xml:space="preserve">were collected on </w:t>
      </w:r>
      <w:r w:rsidR="00C835DE" w:rsidRPr="00C835DE">
        <w:rPr>
          <w:rFonts w:ascii="Calibri" w:hAnsi="Calibri" w:cs="Calibri"/>
          <w:sz w:val="24"/>
          <w:szCs w:val="24"/>
          <w:lang w:eastAsia="ru-RU"/>
        </w:rPr>
        <w:t xml:space="preserve">Saudi </w:t>
      </w:r>
      <w:r w:rsidR="00D0244B">
        <w:rPr>
          <w:rFonts w:ascii="Calibri" w:hAnsi="Calibri" w:cs="Calibri"/>
          <w:sz w:val="24"/>
          <w:szCs w:val="24"/>
          <w:lang w:eastAsia="ru-RU"/>
        </w:rPr>
        <w:t>c</w:t>
      </w:r>
      <w:r w:rsidR="00C835DE" w:rsidRPr="00C835DE">
        <w:rPr>
          <w:rFonts w:ascii="Calibri" w:hAnsi="Calibri" w:cs="Calibri"/>
          <w:sz w:val="24"/>
          <w:szCs w:val="24"/>
          <w:lang w:eastAsia="ru-RU"/>
        </w:rPr>
        <w:t xml:space="preserve">itizens </w:t>
      </w:r>
      <w:r w:rsidR="00CE393E">
        <w:rPr>
          <w:rFonts w:ascii="Calibri" w:hAnsi="Calibri" w:cs="Calibri"/>
          <w:sz w:val="24"/>
          <w:szCs w:val="24"/>
          <w:lang w:eastAsia="ru-RU"/>
        </w:rPr>
        <w:t xml:space="preserve">age 45 years </w:t>
      </w:r>
      <w:r w:rsidR="00261120">
        <w:rPr>
          <w:rFonts w:ascii="Calibri" w:hAnsi="Calibri" w:cs="Calibri"/>
          <w:sz w:val="24"/>
          <w:szCs w:val="24"/>
          <w:lang w:eastAsia="ru-RU"/>
        </w:rPr>
        <w:t>and above</w:t>
      </w:r>
      <w:r w:rsidR="00CE393E">
        <w:rPr>
          <w:rFonts w:ascii="Calibri" w:hAnsi="Calibri" w:cs="Calibri"/>
          <w:sz w:val="24"/>
          <w:szCs w:val="24"/>
          <w:lang w:eastAsia="ru-RU"/>
        </w:rPr>
        <w:t xml:space="preserve"> </w:t>
      </w:r>
      <w:r w:rsidR="00C835DE" w:rsidRPr="00C835DE">
        <w:rPr>
          <w:rFonts w:ascii="Calibri" w:hAnsi="Calibri" w:cs="Calibri"/>
          <w:sz w:val="24"/>
          <w:szCs w:val="24"/>
          <w:lang w:eastAsia="ru-RU"/>
        </w:rPr>
        <w:t>with low trauma fractures</w:t>
      </w:r>
      <w:r w:rsidR="009724BC">
        <w:rPr>
          <w:rFonts w:ascii="Calibri" w:hAnsi="Calibri" w:cs="Calibri"/>
          <w:sz w:val="24"/>
          <w:szCs w:val="24"/>
          <w:lang w:eastAsia="ru-RU"/>
        </w:rPr>
        <w:t xml:space="preserve"> during 2017 and 2018</w:t>
      </w:r>
      <w:r w:rsidR="00C835DE" w:rsidRPr="00C835DE">
        <w:rPr>
          <w:rFonts w:ascii="Calibri" w:hAnsi="Calibri" w:cs="Calibri"/>
          <w:sz w:val="24"/>
          <w:szCs w:val="24"/>
          <w:lang w:eastAsia="ru-RU"/>
        </w:rPr>
        <w:t xml:space="preserve">. </w:t>
      </w:r>
      <w:r w:rsidR="00902F6F">
        <w:rPr>
          <w:rFonts w:ascii="Calibri" w:hAnsi="Calibri" w:cs="Calibri"/>
          <w:sz w:val="24"/>
          <w:szCs w:val="24"/>
          <w:lang w:eastAsia="ru-RU"/>
        </w:rPr>
        <w:t>Hip fractures associated with</w:t>
      </w:r>
      <w:r w:rsidR="00C835DE" w:rsidRPr="00C835DE">
        <w:rPr>
          <w:rFonts w:ascii="Calibri" w:hAnsi="Calibri" w:cs="Calibri"/>
          <w:sz w:val="24"/>
          <w:szCs w:val="24"/>
          <w:lang w:eastAsia="ru-RU"/>
        </w:rPr>
        <w:t xml:space="preserve"> road traffic accidents and </w:t>
      </w:r>
      <w:r w:rsidR="00902F6F">
        <w:rPr>
          <w:rFonts w:ascii="Calibri" w:hAnsi="Calibri" w:cs="Calibri"/>
          <w:sz w:val="24"/>
          <w:szCs w:val="24"/>
          <w:lang w:eastAsia="ru-RU"/>
        </w:rPr>
        <w:t xml:space="preserve">other </w:t>
      </w:r>
      <w:r w:rsidR="00C835DE" w:rsidRPr="00C835DE">
        <w:rPr>
          <w:rFonts w:ascii="Calibri" w:hAnsi="Calibri" w:cs="Calibri"/>
          <w:sz w:val="24"/>
          <w:szCs w:val="24"/>
          <w:lang w:eastAsia="ru-RU"/>
        </w:rPr>
        <w:t xml:space="preserve">major trauma </w:t>
      </w:r>
      <w:r w:rsidR="00902F6F">
        <w:rPr>
          <w:rFonts w:ascii="Calibri" w:hAnsi="Calibri" w:cs="Calibri"/>
          <w:sz w:val="24"/>
          <w:szCs w:val="24"/>
          <w:lang w:eastAsia="ru-RU"/>
        </w:rPr>
        <w:t>were excluded</w:t>
      </w:r>
      <w:r w:rsidR="00C835DE" w:rsidRPr="00C835DE">
        <w:rPr>
          <w:rFonts w:ascii="Calibri" w:hAnsi="Calibri" w:cs="Calibri"/>
          <w:sz w:val="24"/>
          <w:szCs w:val="24"/>
          <w:lang w:eastAsia="ru-RU"/>
        </w:rPr>
        <w:t xml:space="preserve">. </w:t>
      </w:r>
      <w:r w:rsidR="00D0244B">
        <w:rPr>
          <w:rFonts w:ascii="Calibri" w:hAnsi="Calibri" w:cs="Calibri"/>
          <w:sz w:val="24"/>
          <w:szCs w:val="24"/>
          <w:lang w:eastAsia="ru-RU"/>
        </w:rPr>
        <w:t xml:space="preserve"> </w:t>
      </w:r>
      <w:r w:rsidR="00C835DE" w:rsidRPr="00C835DE">
        <w:rPr>
          <w:rFonts w:ascii="Calibri" w:hAnsi="Calibri" w:cs="Calibri"/>
          <w:sz w:val="24"/>
          <w:szCs w:val="24"/>
          <w:lang w:eastAsia="ru-RU"/>
        </w:rPr>
        <w:t>Pathological fractures secondary to malignancy and metabolic bone disorders were also excluded.</w:t>
      </w:r>
      <w:r w:rsidR="00D0244B">
        <w:rPr>
          <w:rFonts w:ascii="Calibri" w:hAnsi="Calibri" w:cs="Calibri"/>
          <w:sz w:val="24"/>
          <w:szCs w:val="24"/>
          <w:lang w:eastAsia="ru-RU"/>
        </w:rPr>
        <w:t xml:space="preserve"> </w:t>
      </w:r>
      <w:r w:rsidR="006A47E2" w:rsidRPr="006A47E2">
        <w:rPr>
          <w:rFonts w:ascii="Calibri" w:hAnsi="Calibri" w:cs="Calibri"/>
          <w:sz w:val="24"/>
          <w:szCs w:val="24"/>
          <w:lang w:eastAsia="ru-RU"/>
        </w:rPr>
        <w:t>To avoid double counting, further admissions for the same fracture site in the observation time were excluded.</w:t>
      </w:r>
    </w:p>
    <w:p w14:paraId="45F39F19" w14:textId="2CFF1587" w:rsidR="00BF189A" w:rsidRDefault="006A47E2" w:rsidP="005058B1">
      <w:pPr>
        <w:ind w:left="1134"/>
        <w:jc w:val="left"/>
        <w:rPr>
          <w:rFonts w:ascii="Calibri" w:hAnsi="Calibri" w:cs="Calibri"/>
          <w:sz w:val="24"/>
          <w:szCs w:val="24"/>
          <w:lang w:eastAsia="ru-RU"/>
        </w:rPr>
      </w:pPr>
      <w:r w:rsidRPr="006A47E2">
        <w:rPr>
          <w:rFonts w:ascii="Calibri" w:hAnsi="Calibri" w:cs="Calibri"/>
          <w:sz w:val="24"/>
          <w:szCs w:val="24"/>
          <w:lang w:eastAsia="ru-RU"/>
        </w:rPr>
        <w:t xml:space="preserve"> </w:t>
      </w:r>
      <w:r w:rsidR="00372744" w:rsidRPr="00372744">
        <w:rPr>
          <w:rFonts w:ascii="Calibri" w:hAnsi="Calibri" w:cs="Calibri"/>
          <w:sz w:val="24"/>
          <w:szCs w:val="24"/>
          <w:lang w:eastAsia="ru-RU"/>
        </w:rPr>
        <w:t>It was estimated that the catchment hospitals captured 12.82% of the total Saudi population</w:t>
      </w:r>
      <w:r w:rsidR="0025024C">
        <w:rPr>
          <w:rFonts w:ascii="Calibri" w:hAnsi="Calibri" w:cs="Calibri"/>
          <w:sz w:val="24"/>
          <w:szCs w:val="24"/>
          <w:lang w:eastAsia="ru-RU"/>
        </w:rPr>
        <w:t xml:space="preserve"> based on </w:t>
      </w:r>
      <w:r w:rsidR="008C16C9">
        <w:rPr>
          <w:rFonts w:ascii="Calibri" w:hAnsi="Calibri" w:cs="Calibri"/>
          <w:sz w:val="24"/>
          <w:szCs w:val="24"/>
          <w:lang w:eastAsia="ru-RU"/>
        </w:rPr>
        <w:t xml:space="preserve">a Ministry of Health assessment of </w:t>
      </w:r>
      <w:r w:rsidR="0025024C">
        <w:rPr>
          <w:rFonts w:ascii="Calibri" w:hAnsi="Calibri" w:cs="Calibri"/>
          <w:sz w:val="24"/>
          <w:szCs w:val="24"/>
          <w:lang w:eastAsia="ru-RU"/>
        </w:rPr>
        <w:t xml:space="preserve">the </w:t>
      </w:r>
      <w:r w:rsidR="008C16C9">
        <w:rPr>
          <w:rFonts w:ascii="Calibri" w:hAnsi="Calibri" w:cs="Calibri"/>
          <w:sz w:val="24"/>
          <w:szCs w:val="24"/>
          <w:lang w:eastAsia="ru-RU"/>
        </w:rPr>
        <w:t xml:space="preserve">total </w:t>
      </w:r>
      <w:r w:rsidR="0025024C">
        <w:rPr>
          <w:rFonts w:ascii="Calibri" w:hAnsi="Calibri" w:cs="Calibri"/>
          <w:sz w:val="24"/>
          <w:szCs w:val="24"/>
          <w:lang w:eastAsia="ru-RU"/>
        </w:rPr>
        <w:t xml:space="preserve">number of </w:t>
      </w:r>
      <w:r w:rsidR="008C16C9">
        <w:rPr>
          <w:rFonts w:ascii="Calibri" w:hAnsi="Calibri" w:cs="Calibri"/>
          <w:sz w:val="24"/>
          <w:szCs w:val="24"/>
          <w:lang w:eastAsia="ru-RU"/>
        </w:rPr>
        <w:t>orthopaedic</w:t>
      </w:r>
      <w:r w:rsidR="0025024C">
        <w:rPr>
          <w:rFonts w:ascii="Calibri" w:hAnsi="Calibri" w:cs="Calibri"/>
          <w:sz w:val="24"/>
          <w:szCs w:val="24"/>
          <w:lang w:eastAsia="ru-RU"/>
        </w:rPr>
        <w:t xml:space="preserve"> beds</w:t>
      </w:r>
      <w:r w:rsidR="00864D06">
        <w:rPr>
          <w:rFonts w:ascii="Calibri" w:hAnsi="Calibri" w:cs="Calibri"/>
          <w:sz w:val="24"/>
          <w:szCs w:val="24"/>
          <w:lang w:eastAsia="ru-RU"/>
        </w:rPr>
        <w:t xml:space="preserve"> dealing with hip fracture cases</w:t>
      </w:r>
      <w:r w:rsidR="00372744" w:rsidRPr="00372744">
        <w:rPr>
          <w:rFonts w:ascii="Calibri" w:hAnsi="Calibri" w:cs="Calibri"/>
          <w:sz w:val="24"/>
          <w:szCs w:val="24"/>
          <w:lang w:eastAsia="ru-RU"/>
        </w:rPr>
        <w:t xml:space="preserve">.  Thus, the catchment population comprised 4 million Saudi nationals (2,031,601 men and 1,952,734 women) age 45 years or older.  </w:t>
      </w:r>
    </w:p>
    <w:p w14:paraId="60020DF8" w14:textId="69FA6980" w:rsidR="00C34AA5" w:rsidRDefault="00C34AA5" w:rsidP="005058B1">
      <w:pPr>
        <w:ind w:left="1134"/>
        <w:jc w:val="left"/>
        <w:rPr>
          <w:rFonts w:ascii="Calibri" w:hAnsi="Calibri" w:cs="Calibri"/>
          <w:sz w:val="24"/>
          <w:szCs w:val="24"/>
          <w:lang w:eastAsia="ru-RU"/>
        </w:rPr>
      </w:pPr>
      <w:r w:rsidRPr="00C34AA5">
        <w:rPr>
          <w:rFonts w:ascii="Calibri" w:hAnsi="Calibri" w:cs="Calibri"/>
          <w:sz w:val="24"/>
          <w:szCs w:val="24"/>
          <w:lang w:eastAsia="ru-RU"/>
        </w:rPr>
        <w:t>The age and sex-specific incidence in 201</w:t>
      </w:r>
      <w:r w:rsidR="00B0076F">
        <w:rPr>
          <w:rFonts w:ascii="Calibri" w:hAnsi="Calibri" w:cs="Calibri"/>
          <w:sz w:val="24"/>
          <w:szCs w:val="24"/>
          <w:lang w:eastAsia="ru-RU"/>
        </w:rPr>
        <w:t>7</w:t>
      </w:r>
      <w:r w:rsidRPr="00C34AA5">
        <w:rPr>
          <w:rFonts w:ascii="Calibri" w:hAnsi="Calibri" w:cs="Calibri"/>
          <w:sz w:val="24"/>
          <w:szCs w:val="24"/>
          <w:lang w:eastAsia="ru-RU"/>
        </w:rPr>
        <w:t>/1</w:t>
      </w:r>
      <w:r w:rsidR="00B0076F">
        <w:rPr>
          <w:rFonts w:ascii="Calibri" w:hAnsi="Calibri" w:cs="Calibri"/>
          <w:sz w:val="24"/>
          <w:szCs w:val="24"/>
          <w:lang w:eastAsia="ru-RU"/>
        </w:rPr>
        <w:t>8</w:t>
      </w:r>
      <w:r w:rsidRPr="00C34AA5">
        <w:rPr>
          <w:rFonts w:ascii="Calibri" w:hAnsi="Calibri" w:cs="Calibri"/>
          <w:sz w:val="24"/>
          <w:szCs w:val="24"/>
          <w:lang w:eastAsia="ru-RU"/>
        </w:rPr>
        <w:t xml:space="preserve"> was applied to the population in 2015 to estimate the number of hip fractures nationwide.  Additionally, future projections were estimated up to 2050 assuming that the age- and sex-specific incidence remained stable.  Population demography was taken from the United Nations using the medium variant for fertility [</w:t>
      </w:r>
      <w:r w:rsidR="00230076">
        <w:rPr>
          <w:rFonts w:ascii="Calibri" w:hAnsi="Calibri" w:cs="Calibri"/>
          <w:sz w:val="24"/>
          <w:szCs w:val="24"/>
          <w:lang w:eastAsia="ru-RU"/>
        </w:rPr>
        <w:t>12</w:t>
      </w:r>
      <w:r w:rsidR="00E35DAF">
        <w:rPr>
          <w:rFonts w:ascii="Calibri" w:hAnsi="Calibri" w:cs="Calibri"/>
          <w:sz w:val="24"/>
          <w:szCs w:val="24"/>
          <w:lang w:eastAsia="ru-RU"/>
        </w:rPr>
        <w:t>]</w:t>
      </w:r>
      <w:r w:rsidRPr="00C34AA5">
        <w:rPr>
          <w:rFonts w:ascii="Calibri" w:hAnsi="Calibri" w:cs="Calibri"/>
          <w:sz w:val="24"/>
          <w:szCs w:val="24"/>
          <w:lang w:eastAsia="ru-RU"/>
        </w:rPr>
        <w:t>.</w:t>
      </w:r>
    </w:p>
    <w:p w14:paraId="4BF0307D" w14:textId="1B88AF09" w:rsidR="00292A4A" w:rsidRPr="00B72F27" w:rsidRDefault="00292A4A" w:rsidP="005058B1">
      <w:pPr>
        <w:ind w:left="1134"/>
        <w:jc w:val="left"/>
        <w:rPr>
          <w:rFonts w:ascii="Calibri" w:hAnsi="Calibri" w:cs="Calibri"/>
          <w:sz w:val="24"/>
          <w:szCs w:val="24"/>
        </w:rPr>
      </w:pPr>
      <w:r w:rsidRPr="00EB647F">
        <w:rPr>
          <w:rFonts w:ascii="Calibri" w:hAnsi="Calibri" w:cs="Calibri"/>
          <w:sz w:val="24"/>
          <w:szCs w:val="24"/>
        </w:rPr>
        <w:t xml:space="preserve">The data on hip fracture were used to construct the FRAX model.  For other major osteoporotic fractures (clinical spine, forearm and humeral fractures) it was assumed that the age- and sex-specific ratios of these fractures to hip fracture risk found in Sweden were comparable to those in </w:t>
      </w:r>
      <w:r w:rsidR="001D31A4">
        <w:rPr>
          <w:rFonts w:ascii="Calibri" w:hAnsi="Calibri" w:cs="Calibri"/>
          <w:sz w:val="24"/>
          <w:szCs w:val="24"/>
        </w:rPr>
        <w:t>Saudi Arabia</w:t>
      </w:r>
      <w:r w:rsidRPr="00EB647F">
        <w:rPr>
          <w:rFonts w:ascii="Calibri" w:hAnsi="Calibri" w:cs="Calibri"/>
          <w:sz w:val="24"/>
          <w:szCs w:val="24"/>
        </w:rPr>
        <w:t xml:space="preserve">. This assumption has been used for many of the FRAX models with incomplete epidemiological information. Available information suggests that the age- and sex-stratified pattern of fracture is very similar in the Western world, </w:t>
      </w:r>
      <w:r w:rsidRPr="00B72F27">
        <w:rPr>
          <w:rFonts w:ascii="Calibri" w:hAnsi="Calibri" w:cs="Calibri"/>
          <w:sz w:val="24"/>
          <w:szCs w:val="24"/>
        </w:rPr>
        <w:t>Australia and Eastern Europe [</w:t>
      </w:r>
      <w:r w:rsidR="00230076">
        <w:rPr>
          <w:rFonts w:ascii="Calibri" w:hAnsi="Calibri" w:cs="Calibri"/>
          <w:sz w:val="24"/>
          <w:szCs w:val="24"/>
        </w:rPr>
        <w:t>13</w:t>
      </w:r>
      <w:r w:rsidR="00E35DAF">
        <w:rPr>
          <w:rFonts w:ascii="Calibri" w:hAnsi="Calibri" w:cs="Calibri"/>
          <w:sz w:val="24"/>
          <w:szCs w:val="24"/>
        </w:rPr>
        <w:t xml:space="preserve">, </w:t>
      </w:r>
      <w:r w:rsidR="00230076">
        <w:rPr>
          <w:rFonts w:ascii="Calibri" w:hAnsi="Calibri" w:cs="Calibri"/>
          <w:sz w:val="24"/>
          <w:szCs w:val="24"/>
        </w:rPr>
        <w:t>14</w:t>
      </w:r>
      <w:r w:rsidR="00E35DAF" w:rsidRPr="00E35DAF">
        <w:rPr>
          <w:rFonts w:ascii="Calibri" w:hAnsi="Calibri" w:cs="Calibri"/>
          <w:sz w:val="24"/>
          <w:szCs w:val="24"/>
        </w:rPr>
        <w:t xml:space="preserve">, </w:t>
      </w:r>
      <w:r w:rsidR="00230076" w:rsidRPr="00E35DAF">
        <w:rPr>
          <w:rFonts w:ascii="Calibri" w:hAnsi="Calibri" w:cs="Calibri"/>
          <w:sz w:val="24"/>
          <w:szCs w:val="24"/>
        </w:rPr>
        <w:t>1</w:t>
      </w:r>
      <w:r w:rsidR="00230076">
        <w:rPr>
          <w:rFonts w:ascii="Calibri" w:hAnsi="Calibri" w:cs="Calibri"/>
          <w:sz w:val="24"/>
          <w:szCs w:val="24"/>
        </w:rPr>
        <w:t>5</w:t>
      </w:r>
      <w:r w:rsidR="00E35DAF" w:rsidRPr="00E35DAF">
        <w:rPr>
          <w:rFonts w:ascii="Calibri" w:hAnsi="Calibri" w:cs="Calibri"/>
          <w:sz w:val="24"/>
          <w:szCs w:val="24"/>
        </w:rPr>
        <w:t xml:space="preserve">, </w:t>
      </w:r>
      <w:r w:rsidR="00230076" w:rsidRPr="00E35DAF">
        <w:rPr>
          <w:rFonts w:ascii="Calibri" w:hAnsi="Calibri" w:cs="Calibri"/>
          <w:sz w:val="24"/>
          <w:szCs w:val="24"/>
        </w:rPr>
        <w:t>1</w:t>
      </w:r>
      <w:r w:rsidR="00230076">
        <w:rPr>
          <w:rFonts w:ascii="Calibri" w:hAnsi="Calibri" w:cs="Calibri"/>
          <w:sz w:val="24"/>
          <w:szCs w:val="24"/>
        </w:rPr>
        <w:t>6</w:t>
      </w:r>
      <w:r w:rsidR="00E35DAF" w:rsidRPr="00E35DAF">
        <w:rPr>
          <w:rFonts w:ascii="Calibri" w:hAnsi="Calibri" w:cs="Calibri"/>
          <w:sz w:val="24"/>
          <w:szCs w:val="24"/>
        </w:rPr>
        <w:t>]</w:t>
      </w:r>
      <w:r w:rsidRPr="00B72F27">
        <w:rPr>
          <w:rFonts w:ascii="Calibri" w:hAnsi="Calibri" w:cs="Calibri"/>
          <w:sz w:val="24"/>
          <w:szCs w:val="24"/>
        </w:rPr>
        <w:t>.</w:t>
      </w:r>
    </w:p>
    <w:p w14:paraId="1ADD090F" w14:textId="7FEFFEA1" w:rsidR="00A63BED" w:rsidRDefault="00A63BED" w:rsidP="005058B1">
      <w:pPr>
        <w:ind w:left="1134"/>
        <w:jc w:val="left"/>
        <w:rPr>
          <w:rFonts w:ascii="Calibri" w:hAnsi="Calibri" w:cs="Calibri"/>
          <w:sz w:val="24"/>
          <w:szCs w:val="24"/>
        </w:rPr>
      </w:pPr>
      <w:r w:rsidRPr="00EB647F">
        <w:rPr>
          <w:rFonts w:ascii="Calibri" w:hAnsi="Calibri" w:cs="Calibri"/>
          <w:sz w:val="24"/>
          <w:szCs w:val="24"/>
        </w:rPr>
        <w:t>The development and validation of FRAX have been extensively described [</w:t>
      </w:r>
      <w:r w:rsidR="00E35DAF">
        <w:rPr>
          <w:rFonts w:ascii="Calibri" w:hAnsi="Calibri" w:cs="Calibri"/>
          <w:sz w:val="24"/>
          <w:szCs w:val="24"/>
        </w:rPr>
        <w:t>6, 7]</w:t>
      </w:r>
      <w:r w:rsidR="0080226F" w:rsidRPr="00EB647F">
        <w:rPr>
          <w:rFonts w:ascii="Calibri" w:hAnsi="Calibri" w:cs="Calibri"/>
          <w:sz w:val="24"/>
          <w:szCs w:val="24"/>
        </w:rPr>
        <w:t xml:space="preserve">.  </w:t>
      </w:r>
      <w:r w:rsidRPr="00EB647F">
        <w:rPr>
          <w:rFonts w:ascii="Calibri" w:hAnsi="Calibri" w:cs="Calibri"/>
          <w:sz w:val="24"/>
          <w:szCs w:val="24"/>
        </w:rPr>
        <w:t>The risk factors used were based on a systematic set of meta-analyses of population-based cohorts worldwide and validated in independent cohorts with over 1 million patient-years of follow-up</w:t>
      </w:r>
      <w:r w:rsidR="0080226F" w:rsidRPr="00EB647F">
        <w:rPr>
          <w:rFonts w:ascii="Calibri" w:hAnsi="Calibri" w:cs="Calibri"/>
          <w:sz w:val="24"/>
          <w:szCs w:val="24"/>
        </w:rPr>
        <w:t xml:space="preserve">.  </w:t>
      </w:r>
      <w:r w:rsidRPr="00EB647F">
        <w:rPr>
          <w:rFonts w:ascii="Calibri" w:hAnsi="Calibri" w:cs="Calibri"/>
          <w:sz w:val="24"/>
          <w:szCs w:val="24"/>
        </w:rPr>
        <w:t xml:space="preserve">The construct of the FRAX model for </w:t>
      </w:r>
      <w:r w:rsidR="00A66EFA">
        <w:rPr>
          <w:rFonts w:ascii="Calibri" w:hAnsi="Calibri" w:cs="Calibri"/>
          <w:sz w:val="24"/>
          <w:szCs w:val="24"/>
        </w:rPr>
        <w:t>Saudi Arabia</w:t>
      </w:r>
      <w:r w:rsidRPr="00EB647F">
        <w:rPr>
          <w:rFonts w:ascii="Calibri" w:hAnsi="Calibri" w:cs="Calibri"/>
          <w:sz w:val="24"/>
          <w:szCs w:val="24"/>
        </w:rPr>
        <w:t xml:space="preserve"> retained the beta coefficients of the risk factors in the original FRAX model with the incidence rates of hip fracture and mortality rates for </w:t>
      </w:r>
      <w:r w:rsidR="002C0E46" w:rsidRPr="00015C6E">
        <w:rPr>
          <w:rFonts w:ascii="Calibri" w:hAnsi="Calibri" w:cs="Calibri"/>
          <w:sz w:val="24"/>
          <w:szCs w:val="24"/>
        </w:rPr>
        <w:t>Saudi Arabia</w:t>
      </w:r>
      <w:r w:rsidR="00076E3A" w:rsidRPr="00015C6E">
        <w:rPr>
          <w:rFonts w:ascii="Calibri" w:hAnsi="Calibri" w:cs="Calibri"/>
          <w:sz w:val="24"/>
          <w:szCs w:val="24"/>
        </w:rPr>
        <w:t xml:space="preserve">.  </w:t>
      </w:r>
      <w:r w:rsidRPr="00015C6E">
        <w:rPr>
          <w:rFonts w:ascii="Calibri" w:hAnsi="Calibri" w:cs="Calibri"/>
          <w:sz w:val="24"/>
          <w:szCs w:val="24"/>
        </w:rPr>
        <w:t xml:space="preserve">National mortality rates used data from the </w:t>
      </w:r>
      <w:r w:rsidR="00D9666E" w:rsidRPr="00015C6E">
        <w:rPr>
          <w:rFonts w:ascii="Calibri" w:hAnsi="Calibri" w:cs="Calibri"/>
          <w:sz w:val="24"/>
          <w:szCs w:val="24"/>
        </w:rPr>
        <w:t>Household Health Survey, 2018</w:t>
      </w:r>
      <w:r w:rsidR="00D9666E" w:rsidRPr="00D9666E">
        <w:rPr>
          <w:rFonts w:ascii="Calibri" w:hAnsi="Calibri" w:cs="Calibri"/>
          <w:sz w:val="24"/>
          <w:szCs w:val="24"/>
        </w:rPr>
        <w:t xml:space="preserve"> </w:t>
      </w:r>
      <w:r w:rsidRPr="00EB647F">
        <w:rPr>
          <w:rFonts w:ascii="Calibri" w:hAnsi="Calibri" w:cs="Calibri"/>
          <w:sz w:val="24"/>
          <w:szCs w:val="24"/>
        </w:rPr>
        <w:t>[</w:t>
      </w:r>
      <w:r w:rsidR="00230076">
        <w:rPr>
          <w:rFonts w:ascii="Calibri" w:hAnsi="Calibri" w:cs="Calibri"/>
          <w:sz w:val="24"/>
          <w:szCs w:val="24"/>
        </w:rPr>
        <w:t>17</w:t>
      </w:r>
      <w:r w:rsidR="00E35DAF">
        <w:rPr>
          <w:rFonts w:ascii="Calibri" w:hAnsi="Calibri" w:cs="Calibri"/>
          <w:sz w:val="24"/>
          <w:szCs w:val="24"/>
        </w:rPr>
        <w:t>]</w:t>
      </w:r>
      <w:r w:rsidRPr="00015C6E">
        <w:rPr>
          <w:rFonts w:ascii="Calibri" w:hAnsi="Calibri" w:cs="Calibri"/>
          <w:sz w:val="24"/>
          <w:szCs w:val="24"/>
        </w:rPr>
        <w:t xml:space="preserve">. </w:t>
      </w:r>
      <w:r w:rsidR="00015C6E">
        <w:rPr>
          <w:rFonts w:ascii="Calibri" w:hAnsi="Calibri" w:cs="Calibri"/>
          <w:sz w:val="24"/>
          <w:szCs w:val="24"/>
        </w:rPr>
        <w:t xml:space="preserve"> </w:t>
      </w:r>
      <w:r w:rsidRPr="00015C6E">
        <w:rPr>
          <w:rFonts w:ascii="Calibri" w:hAnsi="Calibri" w:cs="Calibri"/>
          <w:sz w:val="24"/>
          <w:szCs w:val="24"/>
        </w:rPr>
        <w:t>Ten</w:t>
      </w:r>
      <w:r w:rsidRPr="00EB647F">
        <w:rPr>
          <w:rFonts w:ascii="Calibri" w:hAnsi="Calibri" w:cs="Calibri"/>
          <w:sz w:val="24"/>
          <w:szCs w:val="24"/>
        </w:rPr>
        <w:t xml:space="preserve">-year fracture probabilities were compared to those of </w:t>
      </w:r>
      <w:r w:rsidR="00C701A3" w:rsidRPr="00EB647F">
        <w:rPr>
          <w:rFonts w:ascii="Calibri" w:hAnsi="Calibri" w:cs="Calibri"/>
          <w:sz w:val="24"/>
          <w:szCs w:val="24"/>
        </w:rPr>
        <w:t xml:space="preserve">the </w:t>
      </w:r>
      <w:r w:rsidRPr="00EB647F">
        <w:rPr>
          <w:rFonts w:ascii="Calibri" w:hAnsi="Calibri" w:cs="Calibri"/>
          <w:sz w:val="24"/>
          <w:szCs w:val="24"/>
        </w:rPr>
        <w:t>neighbouring countr</w:t>
      </w:r>
      <w:r w:rsidR="00F72B63" w:rsidRPr="00EB647F">
        <w:rPr>
          <w:rFonts w:ascii="Calibri" w:hAnsi="Calibri" w:cs="Calibri"/>
          <w:sz w:val="24"/>
          <w:szCs w:val="24"/>
        </w:rPr>
        <w:t>ies</w:t>
      </w:r>
      <w:r w:rsidRPr="00EB647F">
        <w:rPr>
          <w:rFonts w:ascii="Calibri" w:hAnsi="Calibri" w:cs="Calibri"/>
          <w:sz w:val="24"/>
          <w:szCs w:val="24"/>
        </w:rPr>
        <w:t xml:space="preserve"> where a FRAX model was available (</w:t>
      </w:r>
      <w:r w:rsidR="0061623C">
        <w:rPr>
          <w:rFonts w:ascii="Calibri" w:hAnsi="Calibri" w:cs="Calibri"/>
          <w:sz w:val="24"/>
          <w:szCs w:val="24"/>
        </w:rPr>
        <w:t>Kuwait</w:t>
      </w:r>
      <w:r w:rsidR="00224933" w:rsidRPr="00EB647F">
        <w:rPr>
          <w:rFonts w:ascii="Calibri" w:hAnsi="Calibri" w:cs="Calibri"/>
          <w:sz w:val="24"/>
          <w:szCs w:val="24"/>
        </w:rPr>
        <w:t xml:space="preserve"> and </w:t>
      </w:r>
      <w:r w:rsidR="00D66C3B">
        <w:rPr>
          <w:rFonts w:ascii="Calibri" w:hAnsi="Calibri" w:cs="Calibri"/>
          <w:sz w:val="24"/>
          <w:szCs w:val="24"/>
        </w:rPr>
        <w:t xml:space="preserve">United Arab Emirates </w:t>
      </w:r>
      <w:r w:rsidR="00194A64">
        <w:rPr>
          <w:rFonts w:ascii="Calibri" w:hAnsi="Calibri" w:cs="Calibri"/>
          <w:sz w:val="24"/>
          <w:szCs w:val="24"/>
        </w:rPr>
        <w:t>(A</w:t>
      </w:r>
      <w:r w:rsidR="00D66C3B">
        <w:rPr>
          <w:rFonts w:ascii="Calibri" w:hAnsi="Calibri" w:cs="Calibri"/>
          <w:sz w:val="24"/>
          <w:szCs w:val="24"/>
        </w:rPr>
        <w:t>bu Dha</w:t>
      </w:r>
      <w:r w:rsidR="00194A64">
        <w:rPr>
          <w:rFonts w:ascii="Calibri" w:hAnsi="Calibri" w:cs="Calibri"/>
          <w:sz w:val="24"/>
          <w:szCs w:val="24"/>
        </w:rPr>
        <w:t>bi)</w:t>
      </w:r>
      <w:r w:rsidR="00050682" w:rsidRPr="00EB647F">
        <w:rPr>
          <w:rFonts w:ascii="Calibri" w:hAnsi="Calibri" w:cs="Calibri"/>
          <w:sz w:val="24"/>
          <w:szCs w:val="24"/>
        </w:rPr>
        <w:t>)</w:t>
      </w:r>
      <w:r w:rsidRPr="00EB647F">
        <w:rPr>
          <w:rFonts w:ascii="Calibri" w:hAnsi="Calibri" w:cs="Calibri"/>
          <w:sz w:val="24"/>
          <w:szCs w:val="24"/>
        </w:rPr>
        <w:t>.</w:t>
      </w:r>
    </w:p>
    <w:p w14:paraId="45FBAC83" w14:textId="3C03C770" w:rsidR="00B94327" w:rsidRPr="00EB647F" w:rsidRDefault="00C169D6" w:rsidP="005058B1">
      <w:pPr>
        <w:ind w:left="1134"/>
        <w:jc w:val="left"/>
        <w:rPr>
          <w:rFonts w:ascii="Calibri" w:hAnsi="Calibri" w:cs="Calibri"/>
          <w:sz w:val="24"/>
          <w:szCs w:val="24"/>
        </w:rPr>
      </w:pPr>
      <w:r w:rsidRPr="00C169D6">
        <w:rPr>
          <w:rFonts w:ascii="Calibri" w:hAnsi="Calibri" w:cs="Calibri"/>
          <w:sz w:val="24"/>
          <w:szCs w:val="24"/>
        </w:rPr>
        <w:t>In order to compare hip fracture probabilities with those of other regions of the world, the remaining lifetime probability of hip fracture from the age of 50 years was calculated for men and women, as described previously [</w:t>
      </w:r>
      <w:r w:rsidR="00230076">
        <w:rPr>
          <w:rFonts w:ascii="Calibri" w:hAnsi="Calibri" w:cs="Calibri"/>
          <w:sz w:val="24"/>
          <w:szCs w:val="24"/>
        </w:rPr>
        <w:t>18</w:t>
      </w:r>
      <w:r w:rsidR="00E35DAF">
        <w:rPr>
          <w:rFonts w:ascii="Calibri" w:hAnsi="Calibri" w:cs="Calibri"/>
          <w:sz w:val="24"/>
          <w:szCs w:val="24"/>
        </w:rPr>
        <w:t>]</w:t>
      </w:r>
      <w:r w:rsidRPr="00C169D6">
        <w:rPr>
          <w:rFonts w:ascii="Calibri" w:hAnsi="Calibri" w:cs="Calibri"/>
          <w:sz w:val="24"/>
          <w:szCs w:val="24"/>
        </w:rPr>
        <w:t xml:space="preserve">.  In the present analysis, values for Saudi </w:t>
      </w:r>
      <w:r w:rsidR="004705B3" w:rsidRPr="00C169D6">
        <w:rPr>
          <w:rFonts w:ascii="Calibri" w:hAnsi="Calibri" w:cs="Calibri"/>
          <w:sz w:val="24"/>
          <w:szCs w:val="24"/>
        </w:rPr>
        <w:t>Arabia were</w:t>
      </w:r>
      <w:r w:rsidRPr="00C169D6">
        <w:rPr>
          <w:rFonts w:ascii="Calibri" w:hAnsi="Calibri" w:cs="Calibri"/>
          <w:sz w:val="24"/>
          <w:szCs w:val="24"/>
        </w:rPr>
        <w:t xml:space="preserve"> compared with those of </w:t>
      </w:r>
      <w:r w:rsidR="00A97F56">
        <w:rPr>
          <w:rFonts w:ascii="Calibri" w:hAnsi="Calibri" w:cs="Calibri"/>
          <w:sz w:val="24"/>
          <w:szCs w:val="24"/>
        </w:rPr>
        <w:t xml:space="preserve">Abu Dhabi, </w:t>
      </w:r>
      <w:r w:rsidR="005D0867" w:rsidRPr="005D0867">
        <w:rPr>
          <w:rFonts w:ascii="Calibri" w:hAnsi="Calibri" w:cs="Calibri"/>
          <w:sz w:val="24"/>
          <w:szCs w:val="24"/>
        </w:rPr>
        <w:t xml:space="preserve">Botswana </w:t>
      </w:r>
      <w:r w:rsidR="005D0867">
        <w:rPr>
          <w:rFonts w:ascii="Calibri" w:hAnsi="Calibri" w:cs="Calibri"/>
          <w:sz w:val="24"/>
          <w:szCs w:val="24"/>
        </w:rPr>
        <w:t>,</w:t>
      </w:r>
      <w:r w:rsidRPr="00C5408D">
        <w:rPr>
          <w:rFonts w:ascii="Calibri" w:hAnsi="Calibri" w:cs="Calibri"/>
          <w:sz w:val="24"/>
          <w:szCs w:val="24"/>
        </w:rPr>
        <w:t>China (Hong Kong</w:t>
      </w:r>
      <w:r w:rsidRPr="006B4557">
        <w:rPr>
          <w:rFonts w:ascii="Calibri" w:hAnsi="Calibri" w:cs="Calibri"/>
          <w:sz w:val="24"/>
          <w:szCs w:val="24"/>
        </w:rPr>
        <w:t>), Bulgaria, Canada</w:t>
      </w:r>
      <w:r w:rsidRPr="00C5408D">
        <w:rPr>
          <w:rFonts w:ascii="Calibri" w:hAnsi="Calibri" w:cs="Calibri"/>
          <w:sz w:val="24"/>
          <w:szCs w:val="24"/>
        </w:rPr>
        <w:t xml:space="preserve">, </w:t>
      </w:r>
      <w:r w:rsidRPr="00E85747">
        <w:rPr>
          <w:rFonts w:ascii="Calibri" w:hAnsi="Calibri" w:cs="Calibri"/>
          <w:sz w:val="24"/>
          <w:szCs w:val="24"/>
        </w:rPr>
        <w:t>Denmark, Finland, France</w:t>
      </w:r>
      <w:r w:rsidRPr="00C5408D">
        <w:rPr>
          <w:rFonts w:ascii="Calibri" w:hAnsi="Calibri" w:cs="Calibri"/>
          <w:sz w:val="24"/>
          <w:szCs w:val="24"/>
        </w:rPr>
        <w:t xml:space="preserve">, </w:t>
      </w:r>
      <w:r w:rsidR="00E85747">
        <w:rPr>
          <w:rFonts w:ascii="Calibri" w:hAnsi="Calibri" w:cs="Calibri"/>
          <w:sz w:val="24"/>
          <w:szCs w:val="24"/>
        </w:rPr>
        <w:t xml:space="preserve">Germany, </w:t>
      </w:r>
      <w:r w:rsidRPr="00C5408D">
        <w:rPr>
          <w:rFonts w:ascii="Calibri" w:hAnsi="Calibri" w:cs="Calibri"/>
          <w:sz w:val="24"/>
          <w:szCs w:val="24"/>
        </w:rPr>
        <w:t xml:space="preserve">Greece, </w:t>
      </w:r>
      <w:r w:rsidRPr="00A8098B">
        <w:rPr>
          <w:rFonts w:ascii="Calibri" w:hAnsi="Calibri" w:cs="Calibri"/>
          <w:sz w:val="24"/>
          <w:szCs w:val="24"/>
        </w:rPr>
        <w:t xml:space="preserve">Hungary, </w:t>
      </w:r>
      <w:r w:rsidR="008D4024">
        <w:rPr>
          <w:rFonts w:ascii="Calibri" w:hAnsi="Calibri" w:cs="Calibri"/>
          <w:sz w:val="24"/>
          <w:szCs w:val="24"/>
        </w:rPr>
        <w:t xml:space="preserve">Iran, </w:t>
      </w:r>
      <w:r w:rsidRPr="00A8098B">
        <w:rPr>
          <w:rFonts w:ascii="Calibri" w:hAnsi="Calibri" w:cs="Calibri"/>
          <w:sz w:val="24"/>
          <w:szCs w:val="24"/>
        </w:rPr>
        <w:t>K</w:t>
      </w:r>
      <w:r w:rsidRPr="003A20F3">
        <w:rPr>
          <w:rFonts w:ascii="Calibri" w:hAnsi="Calibri" w:cs="Calibri"/>
          <w:sz w:val="24"/>
          <w:szCs w:val="24"/>
        </w:rPr>
        <w:t>azakhstan</w:t>
      </w:r>
      <w:r w:rsidRPr="004073A3">
        <w:rPr>
          <w:rFonts w:ascii="Calibri" w:hAnsi="Calibri" w:cs="Calibri"/>
          <w:sz w:val="24"/>
          <w:szCs w:val="24"/>
        </w:rPr>
        <w:t xml:space="preserve">, </w:t>
      </w:r>
      <w:r w:rsidR="007B56B4" w:rsidRPr="004073A3">
        <w:rPr>
          <w:rFonts w:ascii="Calibri" w:hAnsi="Calibri" w:cs="Calibri"/>
          <w:sz w:val="24"/>
          <w:szCs w:val="24"/>
        </w:rPr>
        <w:t>Kuwait</w:t>
      </w:r>
      <w:r w:rsidR="004073A3" w:rsidRPr="004073A3">
        <w:rPr>
          <w:rFonts w:ascii="Calibri" w:hAnsi="Calibri" w:cs="Calibri"/>
          <w:sz w:val="24"/>
          <w:szCs w:val="24"/>
        </w:rPr>
        <w:t xml:space="preserve">, </w:t>
      </w:r>
      <w:r w:rsidRPr="007B56B4">
        <w:rPr>
          <w:rFonts w:ascii="Calibri" w:hAnsi="Calibri" w:cs="Calibri"/>
          <w:sz w:val="24"/>
          <w:szCs w:val="24"/>
        </w:rPr>
        <w:t xml:space="preserve">Moldova, </w:t>
      </w:r>
      <w:r w:rsidR="00F97DEA" w:rsidRPr="00F97DEA">
        <w:rPr>
          <w:rFonts w:ascii="Calibri" w:hAnsi="Calibri" w:cs="Calibri"/>
          <w:sz w:val="24"/>
          <w:szCs w:val="24"/>
        </w:rPr>
        <w:t>Morocco</w:t>
      </w:r>
      <w:r w:rsidR="005D0867">
        <w:rPr>
          <w:rFonts w:ascii="Calibri" w:hAnsi="Calibri" w:cs="Calibri"/>
          <w:sz w:val="24"/>
          <w:szCs w:val="24"/>
        </w:rPr>
        <w:t>,</w:t>
      </w:r>
      <w:r w:rsidR="00F97DEA" w:rsidRPr="00F97DEA">
        <w:rPr>
          <w:rFonts w:ascii="Calibri" w:hAnsi="Calibri" w:cs="Calibri"/>
          <w:sz w:val="24"/>
          <w:szCs w:val="24"/>
        </w:rPr>
        <w:t xml:space="preserve"> </w:t>
      </w:r>
      <w:r w:rsidR="003A20F3" w:rsidRPr="007B56B4">
        <w:rPr>
          <w:rFonts w:ascii="Calibri" w:hAnsi="Calibri" w:cs="Calibri"/>
          <w:sz w:val="24"/>
          <w:szCs w:val="24"/>
        </w:rPr>
        <w:t>Netherlands</w:t>
      </w:r>
      <w:r w:rsidR="007E4002" w:rsidRPr="00A8098B">
        <w:rPr>
          <w:rFonts w:ascii="Calibri" w:hAnsi="Calibri" w:cs="Calibri"/>
          <w:sz w:val="24"/>
          <w:szCs w:val="24"/>
        </w:rPr>
        <w:t xml:space="preserve">, </w:t>
      </w:r>
      <w:r w:rsidRPr="001749D2">
        <w:rPr>
          <w:rFonts w:ascii="Calibri" w:hAnsi="Calibri" w:cs="Calibri"/>
          <w:sz w:val="24"/>
          <w:szCs w:val="24"/>
        </w:rPr>
        <w:t xml:space="preserve">Poland, Portugal, Romania, Russia, </w:t>
      </w:r>
      <w:r w:rsidR="006B4557" w:rsidRPr="001749D2">
        <w:rPr>
          <w:rFonts w:ascii="Calibri" w:hAnsi="Calibri" w:cs="Calibri"/>
          <w:sz w:val="24"/>
          <w:szCs w:val="24"/>
        </w:rPr>
        <w:t xml:space="preserve">Singapore (Indian), </w:t>
      </w:r>
      <w:r w:rsidR="00596AAA" w:rsidRPr="001749D2">
        <w:rPr>
          <w:rFonts w:ascii="Calibri" w:hAnsi="Calibri" w:cs="Calibri"/>
          <w:sz w:val="24"/>
          <w:szCs w:val="24"/>
        </w:rPr>
        <w:t>South Africa</w:t>
      </w:r>
      <w:r w:rsidR="007E06D7" w:rsidRPr="001749D2">
        <w:rPr>
          <w:rFonts w:ascii="Calibri" w:hAnsi="Calibri" w:cs="Calibri"/>
          <w:sz w:val="24"/>
          <w:szCs w:val="24"/>
        </w:rPr>
        <w:t xml:space="preserve"> (</w:t>
      </w:r>
      <w:r w:rsidR="00932F4D">
        <w:rPr>
          <w:rFonts w:ascii="Calibri" w:hAnsi="Calibri" w:cs="Calibri"/>
          <w:sz w:val="24"/>
          <w:szCs w:val="24"/>
        </w:rPr>
        <w:t>W</w:t>
      </w:r>
      <w:r w:rsidR="007E06D7" w:rsidRPr="001749D2">
        <w:rPr>
          <w:rFonts w:ascii="Calibri" w:hAnsi="Calibri" w:cs="Calibri"/>
          <w:sz w:val="24"/>
          <w:szCs w:val="24"/>
        </w:rPr>
        <w:t>hite</w:t>
      </w:r>
      <w:r w:rsidR="00932F4D">
        <w:rPr>
          <w:rFonts w:ascii="Calibri" w:hAnsi="Calibri" w:cs="Calibri"/>
          <w:sz w:val="24"/>
          <w:szCs w:val="24"/>
        </w:rPr>
        <w:t xml:space="preserve"> and Black</w:t>
      </w:r>
      <w:r w:rsidR="007E06D7" w:rsidRPr="001749D2">
        <w:rPr>
          <w:rFonts w:ascii="Calibri" w:hAnsi="Calibri" w:cs="Calibri"/>
          <w:sz w:val="24"/>
          <w:szCs w:val="24"/>
        </w:rPr>
        <w:t xml:space="preserve">), </w:t>
      </w:r>
      <w:r w:rsidRPr="001749D2">
        <w:rPr>
          <w:rFonts w:ascii="Calibri" w:hAnsi="Calibri" w:cs="Calibri"/>
          <w:sz w:val="24"/>
          <w:szCs w:val="24"/>
        </w:rPr>
        <w:t xml:space="preserve">Spain, Sweden, </w:t>
      </w:r>
      <w:r w:rsidR="00BD33E9" w:rsidRPr="00BD33E9">
        <w:rPr>
          <w:rFonts w:ascii="Calibri" w:hAnsi="Calibri" w:cs="Calibri"/>
          <w:sz w:val="24"/>
          <w:szCs w:val="24"/>
        </w:rPr>
        <w:t>Tunisia</w:t>
      </w:r>
      <w:r w:rsidR="00BD33E9">
        <w:rPr>
          <w:rFonts w:ascii="Calibri" w:hAnsi="Calibri" w:cs="Calibri"/>
          <w:sz w:val="24"/>
          <w:szCs w:val="24"/>
        </w:rPr>
        <w:t>,</w:t>
      </w:r>
      <w:r w:rsidR="00BD33E9" w:rsidRPr="00BD33E9">
        <w:rPr>
          <w:rFonts w:ascii="Calibri" w:hAnsi="Calibri" w:cs="Calibri"/>
          <w:sz w:val="24"/>
          <w:szCs w:val="24"/>
        </w:rPr>
        <w:t xml:space="preserve"> </w:t>
      </w:r>
      <w:r w:rsidRPr="001749D2">
        <w:rPr>
          <w:rFonts w:ascii="Calibri" w:hAnsi="Calibri" w:cs="Calibri"/>
          <w:sz w:val="24"/>
          <w:szCs w:val="24"/>
        </w:rPr>
        <w:t>Turkey, Ukraine, United</w:t>
      </w:r>
      <w:r w:rsidRPr="00C5408D">
        <w:rPr>
          <w:rFonts w:ascii="Calibri" w:hAnsi="Calibri" w:cs="Calibri"/>
          <w:sz w:val="24"/>
          <w:szCs w:val="24"/>
        </w:rPr>
        <w:t xml:space="preserve"> Kingdom, United States (Caucasian</w:t>
      </w:r>
      <w:r w:rsidR="008D4024">
        <w:rPr>
          <w:rFonts w:ascii="Calibri" w:hAnsi="Calibri" w:cs="Calibri"/>
          <w:sz w:val="24"/>
          <w:szCs w:val="24"/>
        </w:rPr>
        <w:t xml:space="preserve"> and Black</w:t>
      </w:r>
      <w:r w:rsidRPr="00C5408D">
        <w:rPr>
          <w:rFonts w:ascii="Calibri" w:hAnsi="Calibri" w:cs="Calibri"/>
          <w:sz w:val="24"/>
          <w:szCs w:val="24"/>
        </w:rPr>
        <w:t>)</w:t>
      </w:r>
      <w:r w:rsidR="00C5408D">
        <w:rPr>
          <w:rFonts w:ascii="Calibri" w:hAnsi="Calibri" w:cs="Calibri"/>
          <w:sz w:val="24"/>
          <w:szCs w:val="24"/>
        </w:rPr>
        <w:t xml:space="preserve"> and </w:t>
      </w:r>
      <w:r w:rsidR="001604C9" w:rsidRPr="00EC77F2">
        <w:rPr>
          <w:rFonts w:ascii="Calibri" w:hAnsi="Calibri" w:cs="Calibri"/>
          <w:sz w:val="24"/>
          <w:szCs w:val="24"/>
        </w:rPr>
        <w:t>Uzbekistan</w:t>
      </w:r>
      <w:r w:rsidRPr="00EC77F2">
        <w:rPr>
          <w:rFonts w:ascii="Calibri" w:hAnsi="Calibri" w:cs="Calibri"/>
          <w:sz w:val="24"/>
          <w:szCs w:val="24"/>
        </w:rPr>
        <w:t xml:space="preserve"> [</w:t>
      </w:r>
      <w:r w:rsidR="00230076">
        <w:rPr>
          <w:rFonts w:ascii="Calibri" w:hAnsi="Calibri" w:cs="Calibri"/>
          <w:sz w:val="24"/>
          <w:szCs w:val="24"/>
        </w:rPr>
        <w:t>19</w:t>
      </w:r>
      <w:r w:rsidR="00E35DAF" w:rsidRPr="00EC77F2">
        <w:rPr>
          <w:rFonts w:ascii="Calibri" w:hAnsi="Calibri" w:cs="Calibri"/>
          <w:sz w:val="24"/>
          <w:szCs w:val="24"/>
        </w:rPr>
        <w:t xml:space="preserve">, </w:t>
      </w:r>
      <w:r w:rsidR="00230076">
        <w:rPr>
          <w:rFonts w:ascii="Calibri" w:hAnsi="Calibri" w:cs="Calibri"/>
          <w:sz w:val="24"/>
          <w:szCs w:val="24"/>
        </w:rPr>
        <w:t>20</w:t>
      </w:r>
      <w:r w:rsidR="00E35DAF" w:rsidRPr="00EC77F2">
        <w:rPr>
          <w:rFonts w:ascii="Calibri" w:hAnsi="Calibri" w:cs="Calibri"/>
          <w:sz w:val="24"/>
          <w:szCs w:val="24"/>
        </w:rPr>
        <w:t>]</w:t>
      </w:r>
      <w:r w:rsidRPr="00EC77F2">
        <w:rPr>
          <w:rFonts w:ascii="Calibri" w:hAnsi="Calibri" w:cs="Calibri"/>
          <w:sz w:val="24"/>
          <w:szCs w:val="24"/>
        </w:rPr>
        <w:t>.</w:t>
      </w:r>
    </w:p>
    <w:p w14:paraId="132B940F" w14:textId="77777777" w:rsidR="006774AF" w:rsidRPr="00697181" w:rsidRDefault="006774AF" w:rsidP="0045248F">
      <w:pPr>
        <w:pStyle w:val="Heading1"/>
        <w:ind w:left="1134"/>
        <w:jc w:val="left"/>
        <w:rPr>
          <w:rFonts w:ascii="Calibri" w:eastAsia="Times New Roman" w:hAnsi="Calibri" w:cs="Calibri"/>
          <w:szCs w:val="28"/>
          <w:lang w:eastAsia="ru-RU"/>
        </w:rPr>
      </w:pPr>
      <w:r w:rsidRPr="00820B32">
        <w:rPr>
          <w:rFonts w:ascii="Calibri" w:eastAsia="Times New Roman" w:hAnsi="Calibri" w:cs="Calibri"/>
          <w:szCs w:val="28"/>
          <w:lang w:eastAsia="ru-RU"/>
        </w:rPr>
        <w:t>Results</w:t>
      </w:r>
    </w:p>
    <w:p w14:paraId="35DAC9B1" w14:textId="211C7183" w:rsidR="001D575C" w:rsidRDefault="008461F8" w:rsidP="0045248F">
      <w:pPr>
        <w:ind w:left="1134"/>
        <w:jc w:val="left"/>
        <w:rPr>
          <w:sz w:val="24"/>
          <w:szCs w:val="24"/>
          <w:lang w:eastAsia="ru-RU"/>
        </w:rPr>
      </w:pPr>
      <w:r w:rsidRPr="00EB647F">
        <w:rPr>
          <w:sz w:val="24"/>
          <w:szCs w:val="24"/>
          <w:lang w:eastAsia="ru-RU"/>
        </w:rPr>
        <w:t>Over</w:t>
      </w:r>
      <w:r w:rsidR="00304516" w:rsidRPr="00EB647F">
        <w:rPr>
          <w:sz w:val="24"/>
          <w:szCs w:val="24"/>
          <w:lang w:eastAsia="ru-RU"/>
        </w:rPr>
        <w:t xml:space="preserve"> the period of </w:t>
      </w:r>
      <w:r w:rsidR="001D70D1">
        <w:rPr>
          <w:sz w:val="24"/>
          <w:szCs w:val="24"/>
          <w:lang w:eastAsia="ru-RU"/>
        </w:rPr>
        <w:t>two</w:t>
      </w:r>
      <w:r w:rsidR="00BE3CD1" w:rsidRPr="00EB647F">
        <w:rPr>
          <w:sz w:val="24"/>
          <w:szCs w:val="24"/>
          <w:lang w:eastAsia="ru-RU"/>
        </w:rPr>
        <w:t xml:space="preserve"> year</w:t>
      </w:r>
      <w:r w:rsidR="001D70D1">
        <w:rPr>
          <w:sz w:val="24"/>
          <w:szCs w:val="24"/>
          <w:lang w:eastAsia="ru-RU"/>
        </w:rPr>
        <w:t>s</w:t>
      </w:r>
      <w:r w:rsidR="00BE3CD1" w:rsidRPr="00EB647F">
        <w:rPr>
          <w:sz w:val="24"/>
          <w:szCs w:val="24"/>
          <w:lang w:eastAsia="ru-RU"/>
        </w:rPr>
        <w:t xml:space="preserve">, </w:t>
      </w:r>
      <w:r w:rsidR="0021244D">
        <w:rPr>
          <w:sz w:val="24"/>
          <w:szCs w:val="24"/>
          <w:lang w:eastAsia="ru-RU"/>
        </w:rPr>
        <w:t>684</w:t>
      </w:r>
      <w:r w:rsidR="00BE3CD1" w:rsidRPr="00EB647F">
        <w:rPr>
          <w:sz w:val="24"/>
          <w:szCs w:val="24"/>
          <w:lang w:eastAsia="ru-RU"/>
        </w:rPr>
        <w:t xml:space="preserve"> low energy</w:t>
      </w:r>
      <w:r w:rsidR="00304516" w:rsidRPr="00EB647F">
        <w:rPr>
          <w:sz w:val="24"/>
          <w:szCs w:val="24"/>
          <w:lang w:eastAsia="ru-RU"/>
        </w:rPr>
        <w:t xml:space="preserve"> hip fractures</w:t>
      </w:r>
      <w:r w:rsidR="00A33E48" w:rsidRPr="00EB647F">
        <w:rPr>
          <w:sz w:val="24"/>
          <w:szCs w:val="24"/>
          <w:lang w:eastAsia="ru-RU"/>
        </w:rPr>
        <w:t xml:space="preserve"> were identified</w:t>
      </w:r>
      <w:r w:rsidR="00F07359" w:rsidRPr="00EB647F">
        <w:rPr>
          <w:sz w:val="24"/>
          <w:szCs w:val="24"/>
          <w:lang w:eastAsia="ru-RU"/>
        </w:rPr>
        <w:t xml:space="preserve"> in </w:t>
      </w:r>
      <w:r w:rsidR="0007339C" w:rsidRPr="00EB647F">
        <w:rPr>
          <w:sz w:val="24"/>
          <w:szCs w:val="24"/>
          <w:lang w:eastAsia="ru-RU"/>
        </w:rPr>
        <w:t>men (n=</w:t>
      </w:r>
      <w:r w:rsidR="00D04D21">
        <w:rPr>
          <w:sz w:val="24"/>
          <w:szCs w:val="24"/>
          <w:lang w:eastAsia="ru-RU"/>
        </w:rPr>
        <w:t>296</w:t>
      </w:r>
      <w:r w:rsidR="00097EA9" w:rsidRPr="00EB647F">
        <w:rPr>
          <w:sz w:val="24"/>
          <w:szCs w:val="24"/>
          <w:lang w:eastAsia="ru-RU"/>
        </w:rPr>
        <w:t>)</w:t>
      </w:r>
      <w:r w:rsidR="00AE2EF5" w:rsidRPr="00EB647F">
        <w:rPr>
          <w:sz w:val="24"/>
          <w:szCs w:val="24"/>
          <w:lang w:eastAsia="ru-RU"/>
        </w:rPr>
        <w:t xml:space="preserve"> and women</w:t>
      </w:r>
      <w:r w:rsidR="000F7498" w:rsidRPr="00EB647F">
        <w:rPr>
          <w:sz w:val="24"/>
          <w:szCs w:val="24"/>
          <w:lang w:eastAsia="ru-RU"/>
        </w:rPr>
        <w:t xml:space="preserve"> (n=</w:t>
      </w:r>
      <w:r w:rsidR="00304516" w:rsidRPr="00EB647F">
        <w:rPr>
          <w:sz w:val="24"/>
          <w:szCs w:val="24"/>
          <w:lang w:eastAsia="ru-RU"/>
        </w:rPr>
        <w:t xml:space="preserve"> </w:t>
      </w:r>
      <w:r w:rsidR="00D04D21">
        <w:rPr>
          <w:sz w:val="24"/>
          <w:szCs w:val="24"/>
          <w:lang w:eastAsia="ru-RU"/>
        </w:rPr>
        <w:t>3</w:t>
      </w:r>
      <w:r w:rsidR="00304516" w:rsidRPr="00EB647F">
        <w:rPr>
          <w:sz w:val="24"/>
          <w:szCs w:val="24"/>
          <w:lang w:eastAsia="ru-RU"/>
        </w:rPr>
        <w:t>88</w:t>
      </w:r>
      <w:r w:rsidR="009214B4" w:rsidRPr="00EB647F">
        <w:rPr>
          <w:sz w:val="24"/>
          <w:szCs w:val="24"/>
          <w:lang w:eastAsia="ru-RU"/>
        </w:rPr>
        <w:t>)</w:t>
      </w:r>
      <w:r w:rsidR="00304516" w:rsidRPr="00EB647F">
        <w:rPr>
          <w:sz w:val="24"/>
          <w:szCs w:val="24"/>
          <w:lang w:eastAsia="ru-RU"/>
        </w:rPr>
        <w:t xml:space="preserve"> </w:t>
      </w:r>
      <w:r w:rsidR="009214B4" w:rsidRPr="00EB647F">
        <w:rPr>
          <w:sz w:val="24"/>
          <w:szCs w:val="24"/>
          <w:lang w:eastAsia="ru-RU"/>
        </w:rPr>
        <w:t>age 4</w:t>
      </w:r>
      <w:r w:rsidR="00AE3AC2">
        <w:rPr>
          <w:sz w:val="24"/>
          <w:szCs w:val="24"/>
          <w:lang w:eastAsia="ru-RU"/>
        </w:rPr>
        <w:t>5</w:t>
      </w:r>
      <w:r w:rsidR="009214B4" w:rsidRPr="00EB647F">
        <w:rPr>
          <w:sz w:val="24"/>
          <w:szCs w:val="24"/>
          <w:lang w:eastAsia="ru-RU"/>
        </w:rPr>
        <w:t xml:space="preserve"> years or </w:t>
      </w:r>
      <w:r w:rsidR="00BD0C04" w:rsidRPr="00EB647F">
        <w:rPr>
          <w:sz w:val="24"/>
          <w:szCs w:val="24"/>
          <w:lang w:eastAsia="ru-RU"/>
        </w:rPr>
        <w:t xml:space="preserve">more. </w:t>
      </w:r>
      <w:r w:rsidR="00C4714D">
        <w:rPr>
          <w:sz w:val="24"/>
          <w:szCs w:val="24"/>
          <w:lang w:eastAsia="ru-RU"/>
        </w:rPr>
        <w:t xml:space="preserve"> </w:t>
      </w:r>
      <w:r w:rsidR="00126DF0">
        <w:rPr>
          <w:sz w:val="24"/>
          <w:szCs w:val="24"/>
          <w:lang w:eastAsia="ru-RU"/>
        </w:rPr>
        <w:t xml:space="preserve">Sites of fracture were neck of femur </w:t>
      </w:r>
      <w:r w:rsidR="00EC450F">
        <w:rPr>
          <w:sz w:val="24"/>
          <w:szCs w:val="24"/>
          <w:lang w:eastAsia="ru-RU"/>
        </w:rPr>
        <w:t xml:space="preserve">(43%), pertrochanteric (47%) and </w:t>
      </w:r>
      <w:r w:rsidR="004068DC">
        <w:rPr>
          <w:sz w:val="24"/>
          <w:szCs w:val="24"/>
          <w:lang w:eastAsia="ru-RU"/>
        </w:rPr>
        <w:t>subtrochanteric</w:t>
      </w:r>
      <w:r w:rsidR="00EC450F">
        <w:rPr>
          <w:sz w:val="24"/>
          <w:szCs w:val="24"/>
          <w:lang w:eastAsia="ru-RU"/>
        </w:rPr>
        <w:t xml:space="preserve"> (</w:t>
      </w:r>
      <w:r w:rsidR="004068DC">
        <w:rPr>
          <w:sz w:val="24"/>
          <w:szCs w:val="24"/>
          <w:lang w:eastAsia="ru-RU"/>
        </w:rPr>
        <w:t>10%).</w:t>
      </w:r>
    </w:p>
    <w:p w14:paraId="00CE20A7" w14:textId="087605C1" w:rsidR="00BA1513" w:rsidRPr="00EB647F" w:rsidRDefault="00BA1513" w:rsidP="0045248F">
      <w:pPr>
        <w:ind w:left="1134" w:right="-1"/>
        <w:jc w:val="left"/>
        <w:rPr>
          <w:sz w:val="24"/>
          <w:szCs w:val="24"/>
          <w:lang w:eastAsia="ru-RU"/>
        </w:rPr>
      </w:pPr>
      <w:r w:rsidRPr="00EB647F">
        <w:rPr>
          <w:sz w:val="24"/>
          <w:szCs w:val="24"/>
          <w:lang w:eastAsia="ru-RU"/>
        </w:rPr>
        <w:t>The crude annual incidence of low-energy hip fracture in individuals age 4</w:t>
      </w:r>
      <w:r w:rsidR="00EF3421">
        <w:rPr>
          <w:sz w:val="24"/>
          <w:szCs w:val="24"/>
          <w:lang w:eastAsia="ru-RU"/>
        </w:rPr>
        <w:t>5</w:t>
      </w:r>
      <w:r w:rsidRPr="00EB647F">
        <w:rPr>
          <w:sz w:val="24"/>
          <w:szCs w:val="24"/>
          <w:lang w:eastAsia="ru-RU"/>
        </w:rPr>
        <w:t xml:space="preserve"> years or more was </w:t>
      </w:r>
      <w:r w:rsidR="000C7B54">
        <w:rPr>
          <w:sz w:val="24"/>
          <w:szCs w:val="24"/>
          <w:lang w:eastAsia="ru-RU"/>
        </w:rPr>
        <w:t>77.5</w:t>
      </w:r>
      <w:r w:rsidRPr="00EB647F">
        <w:rPr>
          <w:sz w:val="24"/>
          <w:szCs w:val="24"/>
          <w:lang w:eastAsia="ru-RU"/>
        </w:rPr>
        <w:t xml:space="preserve">/100,000 in women, and </w:t>
      </w:r>
      <w:r w:rsidR="00427790">
        <w:rPr>
          <w:sz w:val="24"/>
          <w:szCs w:val="24"/>
          <w:lang w:eastAsia="ru-RU"/>
        </w:rPr>
        <w:t>56.8</w:t>
      </w:r>
      <w:r w:rsidRPr="00EB647F">
        <w:rPr>
          <w:sz w:val="24"/>
          <w:szCs w:val="24"/>
          <w:lang w:eastAsia="ru-RU"/>
        </w:rPr>
        <w:t>/100,000 in men (female/male ratio = 1.</w:t>
      </w:r>
      <w:r w:rsidR="0072194B">
        <w:rPr>
          <w:sz w:val="24"/>
          <w:szCs w:val="24"/>
          <w:lang w:eastAsia="ru-RU"/>
        </w:rPr>
        <w:t>4</w:t>
      </w:r>
      <w:r w:rsidRPr="00EB647F">
        <w:rPr>
          <w:sz w:val="24"/>
          <w:szCs w:val="24"/>
          <w:lang w:eastAsia="ru-RU"/>
        </w:rPr>
        <w:t>). Hip fracture incidence increased with the age up to the age of 90 years in both men and women (Table 1)</w:t>
      </w:r>
      <w:r w:rsidR="005441B3" w:rsidRPr="00EB647F">
        <w:rPr>
          <w:sz w:val="24"/>
          <w:szCs w:val="24"/>
          <w:lang w:eastAsia="ru-RU"/>
        </w:rPr>
        <w:t xml:space="preserve">.  </w:t>
      </w:r>
      <w:r w:rsidR="00D31604" w:rsidRPr="00D31604">
        <w:rPr>
          <w:sz w:val="24"/>
          <w:szCs w:val="24"/>
          <w:lang w:eastAsia="ru-RU"/>
        </w:rPr>
        <w:t>The incidence in women rose more steeply with age than in men, although not statistically significant. and Age-specific fracture rates were higher in women than in men from the age of 55 years although statistically significant only for age 55-59 years.</w:t>
      </w:r>
    </w:p>
    <w:p w14:paraId="3057BB20" w14:textId="77777777" w:rsidR="00DA2A3A" w:rsidRDefault="00DA2A3A" w:rsidP="009018FC">
      <w:pPr>
        <w:spacing w:line="276" w:lineRule="auto"/>
        <w:ind w:left="567"/>
        <w:rPr>
          <w:rFonts w:eastAsia="Times New Roman" w:cstheme="minorHAnsi"/>
          <w:b/>
          <w:bCs/>
          <w:sz w:val="22"/>
          <w:lang w:eastAsia="ru-RU"/>
        </w:rPr>
      </w:pPr>
    </w:p>
    <w:p w14:paraId="3109915F" w14:textId="2D223942" w:rsidR="007F3361" w:rsidRPr="00EB647F" w:rsidRDefault="007F3361" w:rsidP="009018FC">
      <w:pPr>
        <w:spacing w:line="276" w:lineRule="auto"/>
        <w:ind w:left="567"/>
        <w:rPr>
          <w:rFonts w:eastAsia="Times New Roman" w:cstheme="minorHAnsi"/>
          <w:sz w:val="22"/>
          <w:lang w:eastAsia="ru-RU"/>
        </w:rPr>
      </w:pPr>
      <w:r w:rsidRPr="00EB647F">
        <w:rPr>
          <w:rFonts w:eastAsia="Times New Roman" w:cstheme="minorHAnsi"/>
          <w:b/>
          <w:bCs/>
          <w:sz w:val="22"/>
          <w:lang w:eastAsia="ru-RU"/>
        </w:rPr>
        <w:t>Table 1</w:t>
      </w:r>
      <w:r w:rsidRPr="00EB647F">
        <w:rPr>
          <w:rFonts w:eastAsia="Times New Roman" w:cstheme="minorHAnsi"/>
          <w:sz w:val="22"/>
          <w:lang w:eastAsia="ru-RU"/>
        </w:rPr>
        <w:t xml:space="preserve"> Population at risk (201</w:t>
      </w:r>
      <w:r w:rsidR="00E51622">
        <w:rPr>
          <w:rFonts w:eastAsia="Times New Roman" w:cstheme="minorHAnsi"/>
          <w:sz w:val="22"/>
          <w:lang w:eastAsia="ru-RU"/>
        </w:rPr>
        <w:t>7</w:t>
      </w:r>
      <w:r w:rsidRPr="00EB647F">
        <w:rPr>
          <w:rFonts w:eastAsia="Times New Roman" w:cstheme="minorHAnsi"/>
          <w:sz w:val="22"/>
          <w:lang w:eastAsia="ru-RU"/>
        </w:rPr>
        <w:t xml:space="preserve">), number of hip fractures </w:t>
      </w:r>
      <w:r w:rsidR="0019744F" w:rsidRPr="00EB647F">
        <w:rPr>
          <w:rFonts w:eastAsia="Times New Roman" w:cstheme="minorHAnsi"/>
          <w:sz w:val="22"/>
          <w:lang w:eastAsia="ru-RU"/>
        </w:rPr>
        <w:t>(201</w:t>
      </w:r>
      <w:r w:rsidR="00777CFD">
        <w:rPr>
          <w:rFonts w:eastAsia="Times New Roman" w:cstheme="minorHAnsi"/>
          <w:sz w:val="22"/>
          <w:lang w:eastAsia="ru-RU"/>
        </w:rPr>
        <w:t>7</w:t>
      </w:r>
      <w:r w:rsidR="0019744F" w:rsidRPr="00EB647F">
        <w:rPr>
          <w:rFonts w:eastAsia="Times New Roman" w:cstheme="minorHAnsi"/>
          <w:sz w:val="22"/>
          <w:lang w:eastAsia="ru-RU"/>
        </w:rPr>
        <w:t>/1</w:t>
      </w:r>
      <w:r w:rsidR="00777CFD">
        <w:rPr>
          <w:rFonts w:eastAsia="Times New Roman" w:cstheme="minorHAnsi"/>
          <w:sz w:val="22"/>
          <w:lang w:eastAsia="ru-RU"/>
        </w:rPr>
        <w:t>8</w:t>
      </w:r>
      <w:r w:rsidR="0019744F" w:rsidRPr="00EB647F">
        <w:rPr>
          <w:rFonts w:eastAsia="Times New Roman" w:cstheme="minorHAnsi"/>
          <w:sz w:val="22"/>
          <w:lang w:eastAsia="ru-RU"/>
        </w:rPr>
        <w:t xml:space="preserve">) </w:t>
      </w:r>
      <w:r w:rsidRPr="00EB647F">
        <w:rPr>
          <w:rFonts w:eastAsia="Times New Roman" w:cstheme="minorHAnsi"/>
          <w:sz w:val="22"/>
          <w:lang w:eastAsia="ru-RU"/>
        </w:rPr>
        <w:t>and annual hip fracture incidence (per</w:t>
      </w:r>
      <w:r w:rsidR="00574420" w:rsidRPr="00EB647F">
        <w:rPr>
          <w:rFonts w:eastAsia="Times New Roman" w:cstheme="minorHAnsi"/>
          <w:sz w:val="22"/>
          <w:lang w:eastAsia="ru-RU"/>
        </w:rPr>
        <w:t xml:space="preserve"> </w:t>
      </w:r>
      <w:r w:rsidRPr="00EB647F">
        <w:rPr>
          <w:rFonts w:eastAsia="Times New Roman" w:cstheme="minorHAnsi"/>
          <w:sz w:val="22"/>
          <w:lang w:eastAsia="ru-RU"/>
        </w:rPr>
        <w:t>100,000) with 95% confidence intervals in the male (M) and female (F) population.</w:t>
      </w:r>
    </w:p>
    <w:tbl>
      <w:tblPr>
        <w:tblStyle w:val="TableGrid11"/>
        <w:tblW w:w="948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29"/>
        <w:gridCol w:w="1134"/>
        <w:gridCol w:w="851"/>
        <w:gridCol w:w="850"/>
        <w:gridCol w:w="1134"/>
        <w:gridCol w:w="1134"/>
        <w:gridCol w:w="1134"/>
        <w:gridCol w:w="1270"/>
      </w:tblGrid>
      <w:tr w:rsidR="00CD1127" w:rsidRPr="00EB647F" w14:paraId="59D8CF57" w14:textId="77777777" w:rsidTr="00BF0F97">
        <w:trPr>
          <w:trHeight w:val="397"/>
        </w:trPr>
        <w:tc>
          <w:tcPr>
            <w:tcW w:w="850" w:type="dxa"/>
          </w:tcPr>
          <w:p w14:paraId="478EEFCB"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Age</w:t>
            </w:r>
          </w:p>
        </w:tc>
        <w:tc>
          <w:tcPr>
            <w:tcW w:w="2263" w:type="dxa"/>
            <w:gridSpan w:val="2"/>
            <w:shd w:val="clear" w:color="000000" w:fill="FFFFFF"/>
          </w:tcPr>
          <w:p w14:paraId="51921F54"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Population</w:t>
            </w:r>
          </w:p>
        </w:tc>
        <w:tc>
          <w:tcPr>
            <w:tcW w:w="1701" w:type="dxa"/>
            <w:gridSpan w:val="2"/>
            <w:shd w:val="clear" w:color="000000" w:fill="FFFFFF"/>
          </w:tcPr>
          <w:p w14:paraId="6DC8B886" w14:textId="33BD0D8D"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Number of</w:t>
            </w:r>
          </w:p>
          <w:p w14:paraId="485BD2CF"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hip fractures</w:t>
            </w:r>
          </w:p>
        </w:tc>
        <w:tc>
          <w:tcPr>
            <w:tcW w:w="2268" w:type="dxa"/>
            <w:gridSpan w:val="2"/>
            <w:shd w:val="clear" w:color="000000" w:fill="FFFFFF"/>
          </w:tcPr>
          <w:p w14:paraId="05B318DC"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M</w:t>
            </w:r>
          </w:p>
        </w:tc>
        <w:tc>
          <w:tcPr>
            <w:tcW w:w="2404" w:type="dxa"/>
            <w:gridSpan w:val="2"/>
            <w:shd w:val="clear" w:color="000000" w:fill="FFFFFF"/>
          </w:tcPr>
          <w:p w14:paraId="42CD523D"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F</w:t>
            </w:r>
          </w:p>
        </w:tc>
      </w:tr>
      <w:tr w:rsidR="00CD1127" w:rsidRPr="00EB647F" w14:paraId="091D1271" w14:textId="77777777" w:rsidTr="00BF0F97">
        <w:trPr>
          <w:trHeight w:val="397"/>
        </w:trPr>
        <w:tc>
          <w:tcPr>
            <w:tcW w:w="850" w:type="dxa"/>
          </w:tcPr>
          <w:p w14:paraId="6D972CFF" w14:textId="77777777" w:rsidR="00CD1127" w:rsidRPr="00EB647F" w:rsidRDefault="00CD1127" w:rsidP="00110D8A">
            <w:pPr>
              <w:spacing w:line="276" w:lineRule="auto"/>
              <w:jc w:val="center"/>
              <w:rPr>
                <w:rFonts w:ascii="Calibri" w:hAnsi="Calibri" w:cs="Calibri"/>
                <w:sz w:val="20"/>
                <w:szCs w:val="20"/>
              </w:rPr>
            </w:pPr>
            <w:r w:rsidRPr="00EB647F">
              <w:rPr>
                <w:rFonts w:ascii="Calibri" w:hAnsi="Calibri" w:cs="Calibri"/>
                <w:sz w:val="20"/>
                <w:szCs w:val="20"/>
              </w:rPr>
              <w:t>(years)</w:t>
            </w:r>
          </w:p>
        </w:tc>
        <w:tc>
          <w:tcPr>
            <w:tcW w:w="1129" w:type="dxa"/>
            <w:shd w:val="clear" w:color="000000" w:fill="FFFFFF"/>
          </w:tcPr>
          <w:p w14:paraId="5BA61E28"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M</w:t>
            </w:r>
          </w:p>
        </w:tc>
        <w:tc>
          <w:tcPr>
            <w:tcW w:w="1134" w:type="dxa"/>
            <w:shd w:val="clear" w:color="000000" w:fill="FFFFFF"/>
          </w:tcPr>
          <w:p w14:paraId="0EDFD78D"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F</w:t>
            </w:r>
          </w:p>
        </w:tc>
        <w:tc>
          <w:tcPr>
            <w:tcW w:w="851" w:type="dxa"/>
            <w:shd w:val="clear" w:color="000000" w:fill="FFFFFF"/>
          </w:tcPr>
          <w:p w14:paraId="3C5CE8BB"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M</w:t>
            </w:r>
          </w:p>
        </w:tc>
        <w:tc>
          <w:tcPr>
            <w:tcW w:w="850" w:type="dxa"/>
            <w:shd w:val="clear" w:color="000000" w:fill="FFFFFF"/>
          </w:tcPr>
          <w:p w14:paraId="535923BA"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F</w:t>
            </w:r>
          </w:p>
        </w:tc>
        <w:tc>
          <w:tcPr>
            <w:tcW w:w="1134" w:type="dxa"/>
            <w:shd w:val="clear" w:color="000000" w:fill="FFFFFF"/>
          </w:tcPr>
          <w:p w14:paraId="1DBC6F96"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Incidence</w:t>
            </w:r>
          </w:p>
        </w:tc>
        <w:tc>
          <w:tcPr>
            <w:tcW w:w="1134" w:type="dxa"/>
            <w:shd w:val="clear" w:color="000000" w:fill="FFFFFF"/>
          </w:tcPr>
          <w:p w14:paraId="61119F3D"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95%CI</w:t>
            </w:r>
          </w:p>
        </w:tc>
        <w:tc>
          <w:tcPr>
            <w:tcW w:w="1134" w:type="dxa"/>
            <w:shd w:val="clear" w:color="000000" w:fill="FFFFFF"/>
          </w:tcPr>
          <w:p w14:paraId="7C16C784"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Incidence</w:t>
            </w:r>
          </w:p>
        </w:tc>
        <w:tc>
          <w:tcPr>
            <w:tcW w:w="1270" w:type="dxa"/>
            <w:shd w:val="clear" w:color="000000" w:fill="FFFFFF"/>
          </w:tcPr>
          <w:p w14:paraId="10F1036C" w14:textId="77777777" w:rsidR="00CD1127" w:rsidRPr="00D65DC4" w:rsidRDefault="00CD1127" w:rsidP="00110D8A">
            <w:pPr>
              <w:spacing w:line="276" w:lineRule="auto"/>
              <w:jc w:val="center"/>
              <w:rPr>
                <w:rFonts w:ascii="Calibri" w:hAnsi="Calibri" w:cs="Calibri"/>
                <w:sz w:val="20"/>
                <w:szCs w:val="20"/>
              </w:rPr>
            </w:pPr>
            <w:r w:rsidRPr="00D65DC4">
              <w:rPr>
                <w:rFonts w:ascii="Calibri" w:hAnsi="Calibri" w:cs="Calibri"/>
                <w:sz w:val="20"/>
                <w:szCs w:val="20"/>
              </w:rPr>
              <w:t>95%CI</w:t>
            </w:r>
          </w:p>
        </w:tc>
      </w:tr>
      <w:tr w:rsidR="0090135A" w:rsidRPr="00EB647F" w14:paraId="41345FCF" w14:textId="77777777" w:rsidTr="00BF0F97">
        <w:trPr>
          <w:trHeight w:val="397"/>
        </w:trPr>
        <w:tc>
          <w:tcPr>
            <w:tcW w:w="850" w:type="dxa"/>
            <w:shd w:val="clear" w:color="000000" w:fill="FFFFFF"/>
          </w:tcPr>
          <w:p w14:paraId="01C15F5C"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45-49</w:t>
            </w:r>
          </w:p>
        </w:tc>
        <w:tc>
          <w:tcPr>
            <w:tcW w:w="1129" w:type="dxa"/>
          </w:tcPr>
          <w:p w14:paraId="7273F0C3" w14:textId="4F8702B2" w:rsidR="0090135A" w:rsidRPr="00EB647F" w:rsidRDefault="004C1254" w:rsidP="00C6278D">
            <w:pPr>
              <w:spacing w:line="276" w:lineRule="auto"/>
              <w:jc w:val="center"/>
              <w:rPr>
                <w:rFonts w:ascii="Calibri" w:hAnsi="Calibri" w:cs="Calibri"/>
                <w:sz w:val="20"/>
                <w:szCs w:val="20"/>
              </w:rPr>
            </w:pPr>
            <w:r>
              <w:rPr>
                <w:rFonts w:ascii="Calibri" w:hAnsi="Calibri" w:cs="Calibri"/>
                <w:sz w:val="20"/>
                <w:szCs w:val="20"/>
              </w:rPr>
              <w:t>71,733</w:t>
            </w:r>
          </w:p>
        </w:tc>
        <w:tc>
          <w:tcPr>
            <w:tcW w:w="1134" w:type="dxa"/>
          </w:tcPr>
          <w:p w14:paraId="64E851D9" w14:textId="5EE8DCE4" w:rsidR="0090135A" w:rsidRPr="00EB647F" w:rsidRDefault="00145E9A" w:rsidP="00C6278D">
            <w:pPr>
              <w:spacing w:line="276" w:lineRule="auto"/>
              <w:jc w:val="center"/>
              <w:rPr>
                <w:rFonts w:ascii="Calibri" w:hAnsi="Calibri" w:cs="Calibri"/>
                <w:sz w:val="20"/>
                <w:szCs w:val="20"/>
              </w:rPr>
            </w:pPr>
            <w:r>
              <w:rPr>
                <w:rFonts w:ascii="Calibri" w:hAnsi="Calibri" w:cs="Calibri"/>
                <w:sz w:val="20"/>
                <w:szCs w:val="20"/>
              </w:rPr>
              <w:t>67</w:t>
            </w:r>
            <w:r w:rsidR="006C5B62">
              <w:rPr>
                <w:rFonts w:ascii="Calibri" w:hAnsi="Calibri" w:cs="Calibri"/>
                <w:sz w:val="20"/>
                <w:szCs w:val="20"/>
              </w:rPr>
              <w:t>,</w:t>
            </w:r>
            <w:r>
              <w:rPr>
                <w:rFonts w:ascii="Calibri" w:hAnsi="Calibri" w:cs="Calibri"/>
                <w:sz w:val="20"/>
                <w:szCs w:val="20"/>
              </w:rPr>
              <w:t>88</w:t>
            </w:r>
            <w:r w:rsidR="00ED4299">
              <w:rPr>
                <w:rFonts w:ascii="Calibri" w:hAnsi="Calibri" w:cs="Calibri"/>
                <w:sz w:val="20"/>
                <w:szCs w:val="20"/>
              </w:rPr>
              <w:t>8</w:t>
            </w:r>
          </w:p>
        </w:tc>
        <w:tc>
          <w:tcPr>
            <w:tcW w:w="851" w:type="dxa"/>
          </w:tcPr>
          <w:p w14:paraId="3F98DDCE" w14:textId="65C0572A" w:rsidR="0090135A" w:rsidRPr="00EB647F" w:rsidRDefault="0090135A" w:rsidP="0090135A">
            <w:pPr>
              <w:spacing w:line="276" w:lineRule="auto"/>
              <w:jc w:val="center"/>
              <w:rPr>
                <w:rFonts w:ascii="Calibri" w:hAnsi="Calibri" w:cs="Calibri"/>
                <w:sz w:val="20"/>
                <w:szCs w:val="20"/>
              </w:rPr>
            </w:pPr>
            <w:r w:rsidRPr="00CE4404">
              <w:rPr>
                <w:color w:val="000000" w:themeColor="text1"/>
                <w:sz w:val="18"/>
                <w:szCs w:val="18"/>
              </w:rPr>
              <w:t>4</w:t>
            </w:r>
          </w:p>
        </w:tc>
        <w:tc>
          <w:tcPr>
            <w:tcW w:w="850" w:type="dxa"/>
            <w:shd w:val="clear" w:color="auto" w:fill="auto"/>
          </w:tcPr>
          <w:p w14:paraId="6681F7DB" w14:textId="6AC00E01" w:rsidR="0090135A" w:rsidRPr="00EB647F" w:rsidRDefault="0090135A" w:rsidP="0090135A">
            <w:pPr>
              <w:spacing w:line="276" w:lineRule="auto"/>
              <w:jc w:val="center"/>
              <w:rPr>
                <w:rFonts w:ascii="Calibri" w:hAnsi="Calibri" w:cs="Calibri"/>
                <w:sz w:val="20"/>
                <w:szCs w:val="20"/>
              </w:rPr>
            </w:pPr>
            <w:r w:rsidRPr="003A5F60">
              <w:rPr>
                <w:rFonts w:ascii="Calibri" w:hAnsi="Calibri" w:cs="Calibri"/>
                <w:color w:val="000000" w:themeColor="text1"/>
                <w:sz w:val="18"/>
                <w:szCs w:val="18"/>
              </w:rPr>
              <w:t>3</w:t>
            </w:r>
          </w:p>
        </w:tc>
        <w:tc>
          <w:tcPr>
            <w:tcW w:w="1134" w:type="dxa"/>
          </w:tcPr>
          <w:p w14:paraId="230E8C77" w14:textId="1B251F12" w:rsidR="0090135A" w:rsidRPr="00EB647F" w:rsidRDefault="0090135A" w:rsidP="0090135A">
            <w:pPr>
              <w:spacing w:line="276" w:lineRule="auto"/>
              <w:jc w:val="center"/>
              <w:rPr>
                <w:rFonts w:ascii="Calibri" w:hAnsi="Calibri" w:cs="Calibri"/>
                <w:sz w:val="20"/>
                <w:szCs w:val="20"/>
              </w:rPr>
            </w:pPr>
            <w:r w:rsidRPr="003A5F60">
              <w:rPr>
                <w:color w:val="000000" w:themeColor="text1"/>
                <w:sz w:val="18"/>
                <w:szCs w:val="18"/>
              </w:rPr>
              <w:t>2.8</w:t>
            </w:r>
          </w:p>
        </w:tc>
        <w:tc>
          <w:tcPr>
            <w:tcW w:w="1134" w:type="dxa"/>
            <w:shd w:val="clear" w:color="000000" w:fill="FFFFFF"/>
          </w:tcPr>
          <w:p w14:paraId="002F6709" w14:textId="685EAD9B" w:rsidR="0090135A" w:rsidRPr="00EB647F" w:rsidRDefault="0090135A" w:rsidP="0090135A">
            <w:pPr>
              <w:spacing w:line="276" w:lineRule="auto"/>
              <w:jc w:val="center"/>
              <w:rPr>
                <w:rFonts w:ascii="Calibri" w:hAnsi="Calibri" w:cs="Calibri"/>
                <w:sz w:val="20"/>
                <w:szCs w:val="20"/>
              </w:rPr>
            </w:pPr>
            <w:r w:rsidRPr="003A5F60">
              <w:rPr>
                <w:color w:val="000000" w:themeColor="text1"/>
                <w:sz w:val="18"/>
                <w:szCs w:val="18"/>
              </w:rPr>
              <w:t>0.8-7.1</w:t>
            </w:r>
          </w:p>
        </w:tc>
        <w:tc>
          <w:tcPr>
            <w:tcW w:w="1134" w:type="dxa"/>
          </w:tcPr>
          <w:p w14:paraId="3590616B" w14:textId="7001A030" w:rsidR="0090135A" w:rsidRPr="00EB647F" w:rsidRDefault="0090135A" w:rsidP="0090135A">
            <w:pPr>
              <w:spacing w:line="276" w:lineRule="auto"/>
              <w:jc w:val="center"/>
              <w:rPr>
                <w:rFonts w:ascii="Calibri" w:hAnsi="Calibri" w:cs="Calibri"/>
                <w:sz w:val="20"/>
                <w:szCs w:val="20"/>
              </w:rPr>
            </w:pPr>
            <w:r w:rsidRPr="003A5F60">
              <w:rPr>
                <w:color w:val="000000" w:themeColor="text1"/>
                <w:sz w:val="18"/>
                <w:szCs w:val="18"/>
              </w:rPr>
              <w:t>2.2</w:t>
            </w:r>
          </w:p>
        </w:tc>
        <w:tc>
          <w:tcPr>
            <w:tcW w:w="1270" w:type="dxa"/>
            <w:shd w:val="clear" w:color="000000" w:fill="FFFFFF"/>
          </w:tcPr>
          <w:p w14:paraId="7EF61298" w14:textId="2E9AD67B" w:rsidR="0090135A" w:rsidRPr="00EB647F" w:rsidRDefault="0090135A" w:rsidP="0090135A">
            <w:pPr>
              <w:spacing w:line="276" w:lineRule="auto"/>
              <w:jc w:val="center"/>
              <w:rPr>
                <w:rFonts w:ascii="Calibri" w:hAnsi="Calibri" w:cs="Calibri"/>
                <w:sz w:val="20"/>
                <w:szCs w:val="20"/>
              </w:rPr>
            </w:pPr>
            <w:r w:rsidRPr="00A72AE6">
              <w:rPr>
                <w:rFonts w:ascii="Calibri" w:hAnsi="Calibri" w:cs="Calibri"/>
                <w:sz w:val="20"/>
                <w:szCs w:val="20"/>
              </w:rPr>
              <w:t>0.5-6.5</w:t>
            </w:r>
          </w:p>
        </w:tc>
      </w:tr>
      <w:tr w:rsidR="0090135A" w:rsidRPr="00EB647F" w14:paraId="5C99FDEF" w14:textId="77777777" w:rsidTr="00BF0F97">
        <w:trPr>
          <w:trHeight w:val="397"/>
        </w:trPr>
        <w:tc>
          <w:tcPr>
            <w:tcW w:w="850" w:type="dxa"/>
            <w:shd w:val="clear" w:color="000000" w:fill="FFFFFF"/>
          </w:tcPr>
          <w:p w14:paraId="114C5527"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50-54</w:t>
            </w:r>
          </w:p>
        </w:tc>
        <w:tc>
          <w:tcPr>
            <w:tcW w:w="1129" w:type="dxa"/>
          </w:tcPr>
          <w:p w14:paraId="386B818D" w14:textId="573EAD0C" w:rsidR="0090135A" w:rsidRPr="00EB647F" w:rsidRDefault="004C1254" w:rsidP="00C6278D">
            <w:pPr>
              <w:spacing w:line="276" w:lineRule="auto"/>
              <w:jc w:val="center"/>
              <w:rPr>
                <w:rFonts w:ascii="Calibri" w:hAnsi="Calibri" w:cs="Calibri"/>
                <w:sz w:val="20"/>
                <w:szCs w:val="20"/>
              </w:rPr>
            </w:pPr>
            <w:r>
              <w:rPr>
                <w:rFonts w:ascii="Calibri" w:hAnsi="Calibri" w:cs="Calibri"/>
                <w:sz w:val="20"/>
                <w:szCs w:val="20"/>
              </w:rPr>
              <w:t>57</w:t>
            </w:r>
            <w:r w:rsidR="006C5B62">
              <w:rPr>
                <w:rFonts w:ascii="Calibri" w:hAnsi="Calibri" w:cs="Calibri"/>
                <w:sz w:val="20"/>
                <w:szCs w:val="20"/>
              </w:rPr>
              <w:t>,</w:t>
            </w:r>
            <w:r>
              <w:rPr>
                <w:rFonts w:ascii="Calibri" w:hAnsi="Calibri" w:cs="Calibri"/>
                <w:sz w:val="20"/>
                <w:szCs w:val="20"/>
              </w:rPr>
              <w:t>212</w:t>
            </w:r>
          </w:p>
        </w:tc>
        <w:tc>
          <w:tcPr>
            <w:tcW w:w="1134" w:type="dxa"/>
          </w:tcPr>
          <w:p w14:paraId="0F55C389" w14:textId="692A80F4" w:rsidR="0090135A" w:rsidRPr="00EB647F" w:rsidRDefault="00145E9A" w:rsidP="00C6278D">
            <w:pPr>
              <w:spacing w:line="276" w:lineRule="auto"/>
              <w:jc w:val="center"/>
              <w:rPr>
                <w:rFonts w:ascii="Calibri" w:hAnsi="Calibri" w:cs="Calibri"/>
                <w:sz w:val="20"/>
                <w:szCs w:val="20"/>
              </w:rPr>
            </w:pPr>
            <w:r>
              <w:rPr>
                <w:rFonts w:ascii="Calibri" w:hAnsi="Calibri" w:cs="Calibri"/>
                <w:sz w:val="20"/>
                <w:szCs w:val="20"/>
              </w:rPr>
              <w:t>54</w:t>
            </w:r>
            <w:r w:rsidR="006C5B62">
              <w:rPr>
                <w:rFonts w:ascii="Calibri" w:hAnsi="Calibri" w:cs="Calibri"/>
                <w:sz w:val="20"/>
                <w:szCs w:val="20"/>
              </w:rPr>
              <w:t>,</w:t>
            </w:r>
            <w:r>
              <w:rPr>
                <w:rFonts w:ascii="Calibri" w:hAnsi="Calibri" w:cs="Calibri"/>
                <w:sz w:val="20"/>
                <w:szCs w:val="20"/>
              </w:rPr>
              <w:t>091</w:t>
            </w:r>
          </w:p>
        </w:tc>
        <w:tc>
          <w:tcPr>
            <w:tcW w:w="851" w:type="dxa"/>
          </w:tcPr>
          <w:p w14:paraId="683B12EB" w14:textId="1A823A0D" w:rsidR="0090135A" w:rsidRPr="00EB647F" w:rsidRDefault="0090135A" w:rsidP="0090135A">
            <w:pPr>
              <w:spacing w:line="276" w:lineRule="auto"/>
              <w:jc w:val="center"/>
              <w:rPr>
                <w:rFonts w:ascii="Calibri" w:hAnsi="Calibri" w:cs="Calibri"/>
                <w:sz w:val="20"/>
                <w:szCs w:val="20"/>
              </w:rPr>
            </w:pPr>
            <w:r w:rsidRPr="003A5F60">
              <w:rPr>
                <w:sz w:val="18"/>
                <w:szCs w:val="18"/>
              </w:rPr>
              <w:t>21</w:t>
            </w:r>
          </w:p>
        </w:tc>
        <w:tc>
          <w:tcPr>
            <w:tcW w:w="850" w:type="dxa"/>
            <w:shd w:val="clear" w:color="auto" w:fill="auto"/>
          </w:tcPr>
          <w:p w14:paraId="3D51AB65" w14:textId="6EF380C0" w:rsidR="0090135A" w:rsidRPr="00EB647F" w:rsidRDefault="0090135A" w:rsidP="0090135A">
            <w:pPr>
              <w:spacing w:line="276" w:lineRule="auto"/>
              <w:jc w:val="center"/>
              <w:rPr>
                <w:rFonts w:ascii="Calibri" w:hAnsi="Calibri" w:cs="Calibri"/>
                <w:sz w:val="20"/>
                <w:szCs w:val="20"/>
              </w:rPr>
            </w:pPr>
            <w:r w:rsidRPr="003A5F60">
              <w:rPr>
                <w:rFonts w:ascii="Calibri" w:hAnsi="Calibri" w:cs="Calibri"/>
                <w:sz w:val="18"/>
                <w:szCs w:val="18"/>
              </w:rPr>
              <w:t>18</w:t>
            </w:r>
          </w:p>
        </w:tc>
        <w:tc>
          <w:tcPr>
            <w:tcW w:w="1134" w:type="dxa"/>
          </w:tcPr>
          <w:p w14:paraId="01291C5C" w14:textId="5F713F2C" w:rsidR="0090135A" w:rsidRPr="00EB647F" w:rsidRDefault="0090135A" w:rsidP="0090135A">
            <w:pPr>
              <w:spacing w:line="276" w:lineRule="auto"/>
              <w:jc w:val="center"/>
              <w:rPr>
                <w:rFonts w:ascii="Calibri" w:hAnsi="Calibri" w:cs="Calibri"/>
                <w:sz w:val="20"/>
                <w:szCs w:val="20"/>
              </w:rPr>
            </w:pPr>
            <w:r w:rsidRPr="003A5F60">
              <w:rPr>
                <w:sz w:val="18"/>
                <w:szCs w:val="18"/>
              </w:rPr>
              <w:t>18</w:t>
            </w:r>
          </w:p>
        </w:tc>
        <w:tc>
          <w:tcPr>
            <w:tcW w:w="1134" w:type="dxa"/>
            <w:shd w:val="clear" w:color="000000" w:fill="FFFFFF"/>
          </w:tcPr>
          <w:p w14:paraId="2131A0A8" w14:textId="105734AD" w:rsidR="0090135A" w:rsidRPr="00EB647F" w:rsidRDefault="0090135A" w:rsidP="0090135A">
            <w:pPr>
              <w:spacing w:line="276" w:lineRule="auto"/>
              <w:jc w:val="center"/>
              <w:rPr>
                <w:rFonts w:ascii="Calibri" w:hAnsi="Calibri" w:cs="Calibri"/>
                <w:sz w:val="20"/>
                <w:szCs w:val="20"/>
              </w:rPr>
            </w:pPr>
            <w:r w:rsidRPr="000F4B20">
              <w:rPr>
                <w:rFonts w:ascii="Calibri" w:hAnsi="Calibri" w:cs="Calibri"/>
                <w:sz w:val="20"/>
                <w:szCs w:val="20"/>
              </w:rPr>
              <w:t>11-28</w:t>
            </w:r>
          </w:p>
        </w:tc>
        <w:tc>
          <w:tcPr>
            <w:tcW w:w="1134" w:type="dxa"/>
          </w:tcPr>
          <w:p w14:paraId="07ED1F75" w14:textId="48EB11B0" w:rsidR="0090135A" w:rsidRPr="004A5B9B" w:rsidRDefault="0090135A" w:rsidP="0090135A">
            <w:pPr>
              <w:spacing w:line="276" w:lineRule="auto"/>
              <w:jc w:val="center"/>
              <w:rPr>
                <w:rFonts w:ascii="Calibri" w:hAnsi="Calibri" w:cs="Calibri"/>
                <w:sz w:val="20"/>
                <w:szCs w:val="20"/>
              </w:rPr>
            </w:pPr>
            <w:r>
              <w:rPr>
                <w:sz w:val="18"/>
                <w:szCs w:val="18"/>
              </w:rPr>
              <w:t>17</w:t>
            </w:r>
          </w:p>
        </w:tc>
        <w:tc>
          <w:tcPr>
            <w:tcW w:w="1270" w:type="dxa"/>
            <w:shd w:val="clear" w:color="000000" w:fill="FFFFFF"/>
          </w:tcPr>
          <w:p w14:paraId="2EDC82FD" w14:textId="637D31DD"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9.9-26</w:t>
            </w:r>
          </w:p>
        </w:tc>
      </w:tr>
      <w:tr w:rsidR="0090135A" w:rsidRPr="00EB647F" w14:paraId="5BD87000" w14:textId="77777777" w:rsidTr="00BF0F97">
        <w:trPr>
          <w:trHeight w:val="397"/>
        </w:trPr>
        <w:tc>
          <w:tcPr>
            <w:tcW w:w="850" w:type="dxa"/>
            <w:shd w:val="clear" w:color="000000" w:fill="FFFFFF"/>
          </w:tcPr>
          <w:p w14:paraId="1AAFB01A"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55-59</w:t>
            </w:r>
          </w:p>
        </w:tc>
        <w:tc>
          <w:tcPr>
            <w:tcW w:w="1129" w:type="dxa"/>
          </w:tcPr>
          <w:p w14:paraId="61039163" w14:textId="1A81795B" w:rsidR="0090135A" w:rsidRPr="00EB647F" w:rsidRDefault="004C1254" w:rsidP="00C6278D">
            <w:pPr>
              <w:spacing w:line="276" w:lineRule="auto"/>
              <w:jc w:val="center"/>
              <w:rPr>
                <w:rFonts w:ascii="Calibri" w:hAnsi="Calibri" w:cs="Calibri"/>
                <w:sz w:val="20"/>
                <w:szCs w:val="20"/>
              </w:rPr>
            </w:pPr>
            <w:r>
              <w:rPr>
                <w:rFonts w:ascii="Calibri" w:hAnsi="Calibri" w:cs="Calibri"/>
                <w:sz w:val="20"/>
                <w:szCs w:val="20"/>
              </w:rPr>
              <w:t>44</w:t>
            </w:r>
            <w:r w:rsidR="006C5B62">
              <w:rPr>
                <w:rFonts w:ascii="Calibri" w:hAnsi="Calibri" w:cs="Calibri"/>
                <w:sz w:val="20"/>
                <w:szCs w:val="20"/>
              </w:rPr>
              <w:t>,</w:t>
            </w:r>
            <w:r>
              <w:rPr>
                <w:rFonts w:ascii="Calibri" w:hAnsi="Calibri" w:cs="Calibri"/>
                <w:sz w:val="20"/>
                <w:szCs w:val="20"/>
              </w:rPr>
              <w:t>624</w:t>
            </w:r>
          </w:p>
        </w:tc>
        <w:tc>
          <w:tcPr>
            <w:tcW w:w="1134" w:type="dxa"/>
          </w:tcPr>
          <w:p w14:paraId="60ED68CA" w14:textId="01D12040" w:rsidR="0090135A" w:rsidRPr="00EB647F" w:rsidRDefault="00145E9A" w:rsidP="00C6278D">
            <w:pPr>
              <w:spacing w:line="276" w:lineRule="auto"/>
              <w:jc w:val="center"/>
              <w:rPr>
                <w:rFonts w:ascii="Calibri" w:hAnsi="Calibri" w:cs="Calibri"/>
                <w:sz w:val="20"/>
                <w:szCs w:val="20"/>
              </w:rPr>
            </w:pPr>
            <w:r>
              <w:rPr>
                <w:rFonts w:ascii="Calibri" w:hAnsi="Calibri" w:cs="Calibri"/>
                <w:sz w:val="20"/>
                <w:szCs w:val="20"/>
              </w:rPr>
              <w:t>40</w:t>
            </w:r>
            <w:r w:rsidR="006C5B62">
              <w:rPr>
                <w:rFonts w:ascii="Calibri" w:hAnsi="Calibri" w:cs="Calibri"/>
                <w:sz w:val="20"/>
                <w:szCs w:val="20"/>
              </w:rPr>
              <w:t>,</w:t>
            </w:r>
            <w:r>
              <w:rPr>
                <w:rFonts w:ascii="Calibri" w:hAnsi="Calibri" w:cs="Calibri"/>
                <w:sz w:val="20"/>
                <w:szCs w:val="20"/>
              </w:rPr>
              <w:t>98</w:t>
            </w:r>
            <w:r w:rsidR="003B2A62">
              <w:rPr>
                <w:rFonts w:ascii="Calibri" w:hAnsi="Calibri" w:cs="Calibri"/>
                <w:sz w:val="20"/>
                <w:szCs w:val="20"/>
              </w:rPr>
              <w:t>7</w:t>
            </w:r>
          </w:p>
        </w:tc>
        <w:tc>
          <w:tcPr>
            <w:tcW w:w="851" w:type="dxa"/>
          </w:tcPr>
          <w:p w14:paraId="0EDA07D2" w14:textId="5A4409DB" w:rsidR="0090135A" w:rsidRPr="00EB647F" w:rsidRDefault="0090135A" w:rsidP="0090135A">
            <w:pPr>
              <w:spacing w:line="276" w:lineRule="auto"/>
              <w:jc w:val="center"/>
              <w:rPr>
                <w:rFonts w:ascii="Calibri" w:hAnsi="Calibri" w:cs="Calibri"/>
                <w:sz w:val="20"/>
                <w:szCs w:val="20"/>
              </w:rPr>
            </w:pPr>
            <w:r w:rsidRPr="003A5F60">
              <w:rPr>
                <w:sz w:val="18"/>
                <w:szCs w:val="18"/>
              </w:rPr>
              <w:t>19</w:t>
            </w:r>
          </w:p>
        </w:tc>
        <w:tc>
          <w:tcPr>
            <w:tcW w:w="850" w:type="dxa"/>
            <w:shd w:val="clear" w:color="auto" w:fill="auto"/>
          </w:tcPr>
          <w:p w14:paraId="5D6AAF1F" w14:textId="0F205541" w:rsidR="0090135A" w:rsidRPr="00EB647F" w:rsidRDefault="0090135A" w:rsidP="0090135A">
            <w:pPr>
              <w:spacing w:line="276" w:lineRule="auto"/>
              <w:jc w:val="center"/>
              <w:rPr>
                <w:rFonts w:ascii="Calibri" w:hAnsi="Calibri" w:cs="Calibri"/>
                <w:sz w:val="20"/>
                <w:szCs w:val="20"/>
              </w:rPr>
            </w:pPr>
            <w:r w:rsidRPr="003A5F60">
              <w:rPr>
                <w:rFonts w:ascii="Calibri" w:hAnsi="Calibri" w:cs="Calibri"/>
                <w:sz w:val="18"/>
                <w:szCs w:val="18"/>
              </w:rPr>
              <w:t>32</w:t>
            </w:r>
          </w:p>
        </w:tc>
        <w:tc>
          <w:tcPr>
            <w:tcW w:w="1134" w:type="dxa"/>
          </w:tcPr>
          <w:p w14:paraId="60CD1C11" w14:textId="16915700" w:rsidR="0090135A" w:rsidRPr="00EB647F" w:rsidRDefault="0090135A" w:rsidP="0090135A">
            <w:pPr>
              <w:spacing w:line="276" w:lineRule="auto"/>
              <w:jc w:val="center"/>
              <w:rPr>
                <w:rFonts w:ascii="Calibri" w:hAnsi="Calibri" w:cs="Calibri"/>
                <w:sz w:val="20"/>
                <w:szCs w:val="20"/>
              </w:rPr>
            </w:pPr>
            <w:r w:rsidRPr="003A5F60">
              <w:rPr>
                <w:sz w:val="18"/>
                <w:szCs w:val="18"/>
              </w:rPr>
              <w:t>21</w:t>
            </w:r>
          </w:p>
        </w:tc>
        <w:tc>
          <w:tcPr>
            <w:tcW w:w="1134" w:type="dxa"/>
            <w:shd w:val="clear" w:color="000000" w:fill="FFFFFF"/>
          </w:tcPr>
          <w:p w14:paraId="37BA8FEB" w14:textId="46E80CB9"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13-33</w:t>
            </w:r>
          </w:p>
        </w:tc>
        <w:tc>
          <w:tcPr>
            <w:tcW w:w="1134" w:type="dxa"/>
          </w:tcPr>
          <w:p w14:paraId="0B2FF8C0" w14:textId="096B5132" w:rsidR="0090135A" w:rsidRPr="00EB647F" w:rsidRDefault="0090135A" w:rsidP="0090135A">
            <w:pPr>
              <w:spacing w:line="276" w:lineRule="auto"/>
              <w:jc w:val="center"/>
              <w:rPr>
                <w:rFonts w:ascii="Calibri" w:hAnsi="Calibri" w:cs="Calibri"/>
                <w:sz w:val="20"/>
                <w:szCs w:val="20"/>
              </w:rPr>
            </w:pPr>
            <w:r w:rsidRPr="003A5F60">
              <w:rPr>
                <w:sz w:val="18"/>
                <w:szCs w:val="18"/>
              </w:rPr>
              <w:t>39</w:t>
            </w:r>
          </w:p>
        </w:tc>
        <w:tc>
          <w:tcPr>
            <w:tcW w:w="1270" w:type="dxa"/>
            <w:shd w:val="clear" w:color="000000" w:fill="FFFFFF"/>
          </w:tcPr>
          <w:p w14:paraId="4A669113" w14:textId="66B5A857"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27-55</w:t>
            </w:r>
          </w:p>
        </w:tc>
      </w:tr>
      <w:tr w:rsidR="0090135A" w:rsidRPr="00EB647F" w14:paraId="48CDED90" w14:textId="77777777" w:rsidTr="00BF0F97">
        <w:trPr>
          <w:trHeight w:val="397"/>
        </w:trPr>
        <w:tc>
          <w:tcPr>
            <w:tcW w:w="850" w:type="dxa"/>
            <w:shd w:val="clear" w:color="000000" w:fill="FFFFFF"/>
          </w:tcPr>
          <w:p w14:paraId="194D91A2"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60-64</w:t>
            </w:r>
          </w:p>
        </w:tc>
        <w:tc>
          <w:tcPr>
            <w:tcW w:w="1129" w:type="dxa"/>
          </w:tcPr>
          <w:p w14:paraId="4FD8C154" w14:textId="74196349" w:rsidR="0090135A" w:rsidRPr="00EB647F" w:rsidRDefault="004C1254" w:rsidP="00C6278D">
            <w:pPr>
              <w:spacing w:line="276" w:lineRule="auto"/>
              <w:jc w:val="center"/>
              <w:rPr>
                <w:rFonts w:ascii="Calibri" w:hAnsi="Calibri" w:cs="Calibri"/>
                <w:sz w:val="20"/>
                <w:szCs w:val="20"/>
              </w:rPr>
            </w:pPr>
            <w:r>
              <w:rPr>
                <w:rFonts w:ascii="Calibri" w:hAnsi="Calibri" w:cs="Calibri"/>
                <w:sz w:val="20"/>
                <w:szCs w:val="20"/>
              </w:rPr>
              <w:t>32</w:t>
            </w:r>
            <w:r w:rsidR="006C5B62">
              <w:rPr>
                <w:rFonts w:ascii="Calibri" w:hAnsi="Calibri" w:cs="Calibri"/>
                <w:sz w:val="20"/>
                <w:szCs w:val="20"/>
              </w:rPr>
              <w:t>,</w:t>
            </w:r>
            <w:r>
              <w:rPr>
                <w:rFonts w:ascii="Calibri" w:hAnsi="Calibri" w:cs="Calibri"/>
                <w:sz w:val="20"/>
                <w:szCs w:val="20"/>
              </w:rPr>
              <w:t>327</w:t>
            </w:r>
          </w:p>
        </w:tc>
        <w:tc>
          <w:tcPr>
            <w:tcW w:w="1134" w:type="dxa"/>
          </w:tcPr>
          <w:p w14:paraId="497D8650" w14:textId="02C278C0" w:rsidR="0090135A" w:rsidRPr="00EB647F" w:rsidRDefault="00145E9A" w:rsidP="00C6278D">
            <w:pPr>
              <w:spacing w:line="276" w:lineRule="auto"/>
              <w:jc w:val="center"/>
              <w:rPr>
                <w:rFonts w:ascii="Calibri" w:hAnsi="Calibri" w:cs="Calibri"/>
                <w:sz w:val="20"/>
                <w:szCs w:val="20"/>
              </w:rPr>
            </w:pPr>
            <w:r>
              <w:rPr>
                <w:rFonts w:ascii="Calibri" w:hAnsi="Calibri" w:cs="Calibri"/>
                <w:sz w:val="20"/>
                <w:szCs w:val="20"/>
              </w:rPr>
              <w:t>30</w:t>
            </w:r>
            <w:r w:rsidR="00572F57">
              <w:rPr>
                <w:rFonts w:ascii="Calibri" w:hAnsi="Calibri" w:cs="Calibri"/>
                <w:sz w:val="20"/>
                <w:szCs w:val="20"/>
              </w:rPr>
              <w:t>,24</w:t>
            </w:r>
            <w:r w:rsidR="00FA1EEE">
              <w:rPr>
                <w:rFonts w:ascii="Calibri" w:hAnsi="Calibri" w:cs="Calibri"/>
                <w:sz w:val="20"/>
                <w:szCs w:val="20"/>
              </w:rPr>
              <w:t>6</w:t>
            </w:r>
          </w:p>
        </w:tc>
        <w:tc>
          <w:tcPr>
            <w:tcW w:w="851" w:type="dxa"/>
          </w:tcPr>
          <w:p w14:paraId="6F9679E2" w14:textId="17C2B594" w:rsidR="0090135A" w:rsidRPr="00EB647F" w:rsidRDefault="0090135A" w:rsidP="0090135A">
            <w:pPr>
              <w:spacing w:line="276" w:lineRule="auto"/>
              <w:jc w:val="center"/>
              <w:rPr>
                <w:rFonts w:ascii="Calibri" w:hAnsi="Calibri" w:cs="Calibri"/>
                <w:sz w:val="20"/>
                <w:szCs w:val="20"/>
              </w:rPr>
            </w:pPr>
            <w:r w:rsidRPr="003A5F60">
              <w:rPr>
                <w:sz w:val="18"/>
                <w:szCs w:val="18"/>
              </w:rPr>
              <w:t>24</w:t>
            </w:r>
          </w:p>
        </w:tc>
        <w:tc>
          <w:tcPr>
            <w:tcW w:w="850" w:type="dxa"/>
            <w:shd w:val="clear" w:color="auto" w:fill="auto"/>
          </w:tcPr>
          <w:p w14:paraId="7ACED699" w14:textId="74938652" w:rsidR="0090135A" w:rsidRPr="00EB647F" w:rsidRDefault="0090135A" w:rsidP="0090135A">
            <w:pPr>
              <w:spacing w:line="276" w:lineRule="auto"/>
              <w:jc w:val="center"/>
              <w:rPr>
                <w:rFonts w:ascii="Calibri" w:hAnsi="Calibri" w:cs="Calibri"/>
                <w:sz w:val="20"/>
                <w:szCs w:val="20"/>
              </w:rPr>
            </w:pPr>
            <w:r w:rsidRPr="003A5F60">
              <w:rPr>
                <w:rFonts w:ascii="Calibri" w:hAnsi="Calibri" w:cs="Calibri"/>
                <w:sz w:val="18"/>
                <w:szCs w:val="18"/>
              </w:rPr>
              <w:t>33</w:t>
            </w:r>
          </w:p>
        </w:tc>
        <w:tc>
          <w:tcPr>
            <w:tcW w:w="1134" w:type="dxa"/>
          </w:tcPr>
          <w:p w14:paraId="6C0BA364" w14:textId="60C35092" w:rsidR="0090135A" w:rsidRPr="00EB647F" w:rsidRDefault="0090135A" w:rsidP="0090135A">
            <w:pPr>
              <w:spacing w:line="276" w:lineRule="auto"/>
              <w:jc w:val="center"/>
              <w:rPr>
                <w:rFonts w:ascii="Calibri" w:hAnsi="Calibri" w:cs="Calibri"/>
                <w:sz w:val="20"/>
                <w:szCs w:val="20"/>
              </w:rPr>
            </w:pPr>
            <w:r w:rsidRPr="003A5F60">
              <w:rPr>
                <w:sz w:val="18"/>
                <w:szCs w:val="18"/>
              </w:rPr>
              <w:t>37</w:t>
            </w:r>
          </w:p>
        </w:tc>
        <w:tc>
          <w:tcPr>
            <w:tcW w:w="1134" w:type="dxa"/>
            <w:shd w:val="clear" w:color="000000" w:fill="FFFFFF"/>
          </w:tcPr>
          <w:p w14:paraId="15881E41" w14:textId="4DCD0CFF"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24-55</w:t>
            </w:r>
          </w:p>
        </w:tc>
        <w:tc>
          <w:tcPr>
            <w:tcW w:w="1134" w:type="dxa"/>
          </w:tcPr>
          <w:p w14:paraId="21FD5EE2" w14:textId="759AD9AB" w:rsidR="0090135A" w:rsidRPr="005F3EDC" w:rsidRDefault="0090135A" w:rsidP="0090135A">
            <w:pPr>
              <w:spacing w:line="276" w:lineRule="auto"/>
              <w:jc w:val="center"/>
              <w:rPr>
                <w:rFonts w:ascii="Calibri" w:hAnsi="Calibri" w:cs="Calibri"/>
                <w:sz w:val="20"/>
                <w:szCs w:val="20"/>
              </w:rPr>
            </w:pPr>
            <w:r>
              <w:rPr>
                <w:sz w:val="18"/>
                <w:szCs w:val="18"/>
              </w:rPr>
              <w:t>55</w:t>
            </w:r>
          </w:p>
        </w:tc>
        <w:tc>
          <w:tcPr>
            <w:tcW w:w="1270" w:type="dxa"/>
            <w:shd w:val="clear" w:color="000000" w:fill="FFFFFF"/>
          </w:tcPr>
          <w:p w14:paraId="102DD195" w14:textId="79B531A6"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38-77</w:t>
            </w:r>
          </w:p>
        </w:tc>
      </w:tr>
      <w:tr w:rsidR="0090135A" w:rsidRPr="00EB647F" w14:paraId="5C7BF0B4" w14:textId="77777777" w:rsidTr="00BF0F97">
        <w:trPr>
          <w:trHeight w:val="397"/>
        </w:trPr>
        <w:tc>
          <w:tcPr>
            <w:tcW w:w="850" w:type="dxa"/>
            <w:shd w:val="clear" w:color="000000" w:fill="FFFFFF"/>
          </w:tcPr>
          <w:p w14:paraId="1F1F7C24"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65-69</w:t>
            </w:r>
          </w:p>
        </w:tc>
        <w:tc>
          <w:tcPr>
            <w:tcW w:w="1129" w:type="dxa"/>
          </w:tcPr>
          <w:p w14:paraId="15EA27DB" w14:textId="0D02CF73" w:rsidR="0090135A" w:rsidRPr="00EB647F" w:rsidRDefault="00872B15" w:rsidP="00C6278D">
            <w:pPr>
              <w:spacing w:line="276" w:lineRule="auto"/>
              <w:jc w:val="center"/>
              <w:rPr>
                <w:rFonts w:ascii="Calibri" w:hAnsi="Calibri" w:cs="Calibri"/>
                <w:sz w:val="20"/>
                <w:szCs w:val="20"/>
              </w:rPr>
            </w:pPr>
            <w:r>
              <w:rPr>
                <w:rFonts w:ascii="Calibri" w:hAnsi="Calibri" w:cs="Calibri"/>
                <w:sz w:val="20"/>
                <w:szCs w:val="20"/>
              </w:rPr>
              <w:t>19</w:t>
            </w:r>
            <w:r w:rsidR="006C5B62">
              <w:rPr>
                <w:rFonts w:ascii="Calibri" w:hAnsi="Calibri" w:cs="Calibri"/>
                <w:sz w:val="20"/>
                <w:szCs w:val="20"/>
              </w:rPr>
              <w:t>,</w:t>
            </w:r>
            <w:r>
              <w:rPr>
                <w:rFonts w:ascii="Calibri" w:hAnsi="Calibri" w:cs="Calibri"/>
                <w:sz w:val="20"/>
                <w:szCs w:val="20"/>
              </w:rPr>
              <w:t>670</w:t>
            </w:r>
          </w:p>
        </w:tc>
        <w:tc>
          <w:tcPr>
            <w:tcW w:w="1134" w:type="dxa"/>
          </w:tcPr>
          <w:p w14:paraId="5307A791" w14:textId="3985DBDF" w:rsidR="0090135A" w:rsidRPr="00EB647F" w:rsidRDefault="00572F57" w:rsidP="00C6278D">
            <w:pPr>
              <w:spacing w:line="276" w:lineRule="auto"/>
              <w:jc w:val="center"/>
              <w:rPr>
                <w:rFonts w:ascii="Calibri" w:hAnsi="Calibri" w:cs="Calibri"/>
                <w:sz w:val="20"/>
                <w:szCs w:val="20"/>
              </w:rPr>
            </w:pPr>
            <w:r>
              <w:rPr>
                <w:rFonts w:ascii="Calibri" w:hAnsi="Calibri" w:cs="Calibri"/>
                <w:sz w:val="20"/>
                <w:szCs w:val="20"/>
              </w:rPr>
              <w:t>20</w:t>
            </w:r>
            <w:r w:rsidR="006C5B62">
              <w:rPr>
                <w:rFonts w:ascii="Calibri" w:hAnsi="Calibri" w:cs="Calibri"/>
                <w:sz w:val="20"/>
                <w:szCs w:val="20"/>
              </w:rPr>
              <w:t>,</w:t>
            </w:r>
            <w:r>
              <w:rPr>
                <w:rFonts w:ascii="Calibri" w:hAnsi="Calibri" w:cs="Calibri"/>
                <w:sz w:val="20"/>
                <w:szCs w:val="20"/>
              </w:rPr>
              <w:t>8</w:t>
            </w:r>
            <w:r w:rsidR="00FA1EEE">
              <w:rPr>
                <w:rFonts w:ascii="Calibri" w:hAnsi="Calibri" w:cs="Calibri"/>
                <w:sz w:val="20"/>
                <w:szCs w:val="20"/>
              </w:rPr>
              <w:t>69</w:t>
            </w:r>
          </w:p>
        </w:tc>
        <w:tc>
          <w:tcPr>
            <w:tcW w:w="851" w:type="dxa"/>
          </w:tcPr>
          <w:p w14:paraId="67B4498E" w14:textId="15BD40CE" w:rsidR="0090135A" w:rsidRPr="00EB647F" w:rsidRDefault="0090135A" w:rsidP="0090135A">
            <w:pPr>
              <w:spacing w:line="276" w:lineRule="auto"/>
              <w:jc w:val="center"/>
              <w:rPr>
                <w:rFonts w:ascii="Calibri" w:hAnsi="Calibri" w:cs="Calibri"/>
                <w:sz w:val="20"/>
                <w:szCs w:val="20"/>
              </w:rPr>
            </w:pPr>
            <w:r w:rsidRPr="003A5F60">
              <w:rPr>
                <w:sz w:val="18"/>
                <w:szCs w:val="18"/>
              </w:rPr>
              <w:t>31</w:t>
            </w:r>
          </w:p>
        </w:tc>
        <w:tc>
          <w:tcPr>
            <w:tcW w:w="850" w:type="dxa"/>
            <w:shd w:val="clear" w:color="auto" w:fill="auto"/>
          </w:tcPr>
          <w:p w14:paraId="0A76AB4D" w14:textId="2008FC4D" w:rsidR="0090135A" w:rsidRPr="00EB647F" w:rsidRDefault="0090135A" w:rsidP="0090135A">
            <w:pPr>
              <w:spacing w:line="276" w:lineRule="auto"/>
              <w:jc w:val="center"/>
              <w:rPr>
                <w:rFonts w:ascii="Calibri" w:hAnsi="Calibri" w:cs="Calibri"/>
                <w:sz w:val="20"/>
                <w:szCs w:val="20"/>
              </w:rPr>
            </w:pPr>
            <w:r w:rsidRPr="003A5F60">
              <w:rPr>
                <w:rFonts w:ascii="Calibri" w:hAnsi="Calibri" w:cs="Calibri"/>
                <w:sz w:val="18"/>
                <w:szCs w:val="18"/>
              </w:rPr>
              <w:t>48</w:t>
            </w:r>
          </w:p>
        </w:tc>
        <w:tc>
          <w:tcPr>
            <w:tcW w:w="1134" w:type="dxa"/>
          </w:tcPr>
          <w:p w14:paraId="05964CDE" w14:textId="1BE88555" w:rsidR="0090135A" w:rsidRPr="00F10919" w:rsidRDefault="0090135A" w:rsidP="0090135A">
            <w:pPr>
              <w:spacing w:line="276" w:lineRule="auto"/>
              <w:jc w:val="center"/>
              <w:rPr>
                <w:rFonts w:ascii="Calibri" w:hAnsi="Calibri" w:cs="Calibri"/>
                <w:sz w:val="20"/>
                <w:szCs w:val="20"/>
              </w:rPr>
            </w:pPr>
            <w:r>
              <w:rPr>
                <w:sz w:val="18"/>
                <w:szCs w:val="18"/>
              </w:rPr>
              <w:t>79</w:t>
            </w:r>
          </w:p>
        </w:tc>
        <w:tc>
          <w:tcPr>
            <w:tcW w:w="1134" w:type="dxa"/>
            <w:shd w:val="clear" w:color="000000" w:fill="FFFFFF"/>
          </w:tcPr>
          <w:p w14:paraId="720F9459" w14:textId="28E0EF5A"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54-112</w:t>
            </w:r>
          </w:p>
        </w:tc>
        <w:tc>
          <w:tcPr>
            <w:tcW w:w="1134" w:type="dxa"/>
          </w:tcPr>
          <w:p w14:paraId="5ABB00E8" w14:textId="5E6D619F" w:rsidR="0090135A" w:rsidRPr="00EB647F" w:rsidRDefault="0090135A" w:rsidP="0090135A">
            <w:pPr>
              <w:jc w:val="center"/>
              <w:rPr>
                <w:rFonts w:ascii="Calibri" w:hAnsi="Calibri" w:cs="Calibri"/>
                <w:sz w:val="20"/>
                <w:szCs w:val="20"/>
              </w:rPr>
            </w:pPr>
            <w:r w:rsidRPr="003A5F60">
              <w:rPr>
                <w:sz w:val="18"/>
                <w:szCs w:val="18"/>
              </w:rPr>
              <w:t>115</w:t>
            </w:r>
          </w:p>
        </w:tc>
        <w:tc>
          <w:tcPr>
            <w:tcW w:w="1270" w:type="dxa"/>
            <w:shd w:val="clear" w:color="000000" w:fill="FFFFFF"/>
          </w:tcPr>
          <w:p w14:paraId="531EB7BF" w14:textId="71425720"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85-153</w:t>
            </w:r>
          </w:p>
        </w:tc>
      </w:tr>
      <w:tr w:rsidR="0090135A" w:rsidRPr="00EB647F" w14:paraId="2F2F37A2" w14:textId="77777777" w:rsidTr="00BF0F97">
        <w:trPr>
          <w:trHeight w:val="397"/>
        </w:trPr>
        <w:tc>
          <w:tcPr>
            <w:tcW w:w="850" w:type="dxa"/>
            <w:shd w:val="clear" w:color="000000" w:fill="FFFFFF"/>
          </w:tcPr>
          <w:p w14:paraId="19CE0CD3"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70-74</w:t>
            </w:r>
          </w:p>
        </w:tc>
        <w:tc>
          <w:tcPr>
            <w:tcW w:w="1129" w:type="dxa"/>
          </w:tcPr>
          <w:p w14:paraId="10CEAF8E" w14:textId="3FDD1FDB" w:rsidR="0090135A" w:rsidRPr="00EB647F" w:rsidRDefault="00872B15" w:rsidP="00C6278D">
            <w:pPr>
              <w:spacing w:line="276" w:lineRule="auto"/>
              <w:jc w:val="center"/>
              <w:rPr>
                <w:rFonts w:ascii="Calibri" w:hAnsi="Calibri" w:cs="Calibri"/>
                <w:sz w:val="20"/>
                <w:szCs w:val="20"/>
              </w:rPr>
            </w:pPr>
            <w:r>
              <w:rPr>
                <w:rFonts w:ascii="Calibri" w:hAnsi="Calibri" w:cs="Calibri"/>
                <w:sz w:val="20"/>
                <w:szCs w:val="20"/>
              </w:rPr>
              <w:t>14</w:t>
            </w:r>
            <w:r w:rsidR="006C5B62">
              <w:rPr>
                <w:rFonts w:ascii="Calibri" w:hAnsi="Calibri" w:cs="Calibri"/>
                <w:sz w:val="20"/>
                <w:szCs w:val="20"/>
              </w:rPr>
              <w:t>,</w:t>
            </w:r>
            <w:r>
              <w:rPr>
                <w:rFonts w:ascii="Calibri" w:hAnsi="Calibri" w:cs="Calibri"/>
                <w:sz w:val="20"/>
                <w:szCs w:val="20"/>
              </w:rPr>
              <w:t>356</w:t>
            </w:r>
          </w:p>
        </w:tc>
        <w:tc>
          <w:tcPr>
            <w:tcW w:w="1134" w:type="dxa"/>
          </w:tcPr>
          <w:p w14:paraId="64319733" w14:textId="7C306E32" w:rsidR="0090135A" w:rsidRPr="00EB647F" w:rsidRDefault="00572F57" w:rsidP="00C6278D">
            <w:pPr>
              <w:spacing w:line="276" w:lineRule="auto"/>
              <w:jc w:val="center"/>
              <w:rPr>
                <w:rFonts w:ascii="Calibri" w:hAnsi="Calibri" w:cs="Calibri"/>
                <w:sz w:val="20"/>
                <w:szCs w:val="20"/>
              </w:rPr>
            </w:pPr>
            <w:r>
              <w:rPr>
                <w:rFonts w:ascii="Calibri" w:hAnsi="Calibri" w:cs="Calibri"/>
                <w:sz w:val="20"/>
                <w:szCs w:val="20"/>
              </w:rPr>
              <w:t>14</w:t>
            </w:r>
            <w:r w:rsidR="006C5B62">
              <w:rPr>
                <w:rFonts w:ascii="Calibri" w:hAnsi="Calibri" w:cs="Calibri"/>
                <w:sz w:val="20"/>
                <w:szCs w:val="20"/>
              </w:rPr>
              <w:t>,</w:t>
            </w:r>
            <w:r>
              <w:rPr>
                <w:rFonts w:ascii="Calibri" w:hAnsi="Calibri" w:cs="Calibri"/>
                <w:sz w:val="20"/>
                <w:szCs w:val="20"/>
              </w:rPr>
              <w:t>739</w:t>
            </w:r>
          </w:p>
        </w:tc>
        <w:tc>
          <w:tcPr>
            <w:tcW w:w="851" w:type="dxa"/>
          </w:tcPr>
          <w:p w14:paraId="5D827DB5" w14:textId="7A45262E" w:rsidR="0090135A" w:rsidRPr="00EB647F" w:rsidRDefault="0090135A" w:rsidP="0090135A">
            <w:pPr>
              <w:spacing w:line="276" w:lineRule="auto"/>
              <w:jc w:val="center"/>
              <w:rPr>
                <w:rFonts w:ascii="Calibri" w:hAnsi="Calibri" w:cs="Calibri"/>
                <w:sz w:val="20"/>
                <w:szCs w:val="20"/>
              </w:rPr>
            </w:pPr>
            <w:r w:rsidRPr="00BC1191">
              <w:rPr>
                <w:sz w:val="18"/>
                <w:szCs w:val="18"/>
              </w:rPr>
              <w:t>46</w:t>
            </w:r>
          </w:p>
        </w:tc>
        <w:tc>
          <w:tcPr>
            <w:tcW w:w="850" w:type="dxa"/>
            <w:shd w:val="clear" w:color="auto" w:fill="auto"/>
          </w:tcPr>
          <w:p w14:paraId="721D5E18" w14:textId="5BAC1493" w:rsidR="0090135A" w:rsidRPr="00EB647F" w:rsidRDefault="0090135A" w:rsidP="0090135A">
            <w:pPr>
              <w:spacing w:line="276" w:lineRule="auto"/>
              <w:jc w:val="center"/>
              <w:rPr>
                <w:rFonts w:ascii="Calibri" w:hAnsi="Calibri" w:cs="Calibri"/>
                <w:sz w:val="20"/>
                <w:szCs w:val="20"/>
              </w:rPr>
            </w:pPr>
            <w:r w:rsidRPr="00BC1191">
              <w:rPr>
                <w:rFonts w:ascii="Calibri" w:hAnsi="Calibri" w:cs="Calibri"/>
                <w:sz w:val="18"/>
                <w:szCs w:val="18"/>
              </w:rPr>
              <w:t>65</w:t>
            </w:r>
          </w:p>
        </w:tc>
        <w:tc>
          <w:tcPr>
            <w:tcW w:w="1134" w:type="dxa"/>
          </w:tcPr>
          <w:p w14:paraId="6BAFBAA6" w14:textId="641A1F2A" w:rsidR="0090135A" w:rsidRPr="00EB647F" w:rsidRDefault="0090135A" w:rsidP="0090135A">
            <w:pPr>
              <w:jc w:val="center"/>
              <w:rPr>
                <w:rFonts w:ascii="Calibri" w:hAnsi="Calibri" w:cs="Calibri"/>
                <w:sz w:val="20"/>
                <w:szCs w:val="20"/>
              </w:rPr>
            </w:pPr>
            <w:r w:rsidRPr="00BC1191">
              <w:rPr>
                <w:sz w:val="18"/>
                <w:szCs w:val="18"/>
              </w:rPr>
              <w:t>160</w:t>
            </w:r>
          </w:p>
        </w:tc>
        <w:tc>
          <w:tcPr>
            <w:tcW w:w="1134" w:type="dxa"/>
            <w:shd w:val="clear" w:color="000000" w:fill="FFFFFF"/>
          </w:tcPr>
          <w:p w14:paraId="4F985CED" w14:textId="2AE08205"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117-214</w:t>
            </w:r>
          </w:p>
        </w:tc>
        <w:tc>
          <w:tcPr>
            <w:tcW w:w="1134" w:type="dxa"/>
          </w:tcPr>
          <w:p w14:paraId="2331DC39" w14:textId="05A3C572" w:rsidR="0090135A" w:rsidRPr="005F3EDC" w:rsidRDefault="0090135A" w:rsidP="0090135A">
            <w:pPr>
              <w:spacing w:line="276" w:lineRule="auto"/>
              <w:jc w:val="center"/>
              <w:rPr>
                <w:rFonts w:ascii="Calibri" w:hAnsi="Calibri" w:cs="Calibri"/>
                <w:sz w:val="20"/>
                <w:szCs w:val="20"/>
              </w:rPr>
            </w:pPr>
            <w:r>
              <w:rPr>
                <w:sz w:val="18"/>
                <w:szCs w:val="18"/>
              </w:rPr>
              <w:t>221</w:t>
            </w:r>
          </w:p>
        </w:tc>
        <w:tc>
          <w:tcPr>
            <w:tcW w:w="1270" w:type="dxa"/>
            <w:shd w:val="clear" w:color="000000" w:fill="FFFFFF"/>
          </w:tcPr>
          <w:p w14:paraId="4ADA2E4E" w14:textId="4FC57A0B"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170-281</w:t>
            </w:r>
          </w:p>
        </w:tc>
      </w:tr>
      <w:tr w:rsidR="0090135A" w:rsidRPr="00EB647F" w14:paraId="57F3320D" w14:textId="77777777" w:rsidTr="00BF0F97">
        <w:trPr>
          <w:trHeight w:val="397"/>
        </w:trPr>
        <w:tc>
          <w:tcPr>
            <w:tcW w:w="850" w:type="dxa"/>
            <w:shd w:val="clear" w:color="000000" w:fill="FFFFFF"/>
          </w:tcPr>
          <w:p w14:paraId="41761EC3"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75-79</w:t>
            </w:r>
          </w:p>
        </w:tc>
        <w:tc>
          <w:tcPr>
            <w:tcW w:w="1129" w:type="dxa"/>
          </w:tcPr>
          <w:p w14:paraId="6B8701AB" w14:textId="211BED6D" w:rsidR="0090135A" w:rsidRPr="00EB647F" w:rsidRDefault="00872B15" w:rsidP="00C6278D">
            <w:pPr>
              <w:spacing w:line="276" w:lineRule="auto"/>
              <w:jc w:val="center"/>
              <w:rPr>
                <w:rFonts w:ascii="Calibri" w:hAnsi="Calibri" w:cs="Calibri"/>
                <w:sz w:val="20"/>
                <w:szCs w:val="20"/>
              </w:rPr>
            </w:pPr>
            <w:r>
              <w:rPr>
                <w:rFonts w:ascii="Calibri" w:hAnsi="Calibri" w:cs="Calibri"/>
                <w:sz w:val="20"/>
                <w:szCs w:val="20"/>
              </w:rPr>
              <w:t>9</w:t>
            </w:r>
            <w:r w:rsidR="006C5B62">
              <w:rPr>
                <w:rFonts w:ascii="Calibri" w:hAnsi="Calibri" w:cs="Calibri"/>
                <w:sz w:val="20"/>
                <w:szCs w:val="20"/>
              </w:rPr>
              <w:t>,</w:t>
            </w:r>
            <w:r>
              <w:rPr>
                <w:rFonts w:ascii="Calibri" w:hAnsi="Calibri" w:cs="Calibri"/>
                <w:sz w:val="20"/>
                <w:szCs w:val="20"/>
              </w:rPr>
              <w:t>358</w:t>
            </w:r>
          </w:p>
        </w:tc>
        <w:tc>
          <w:tcPr>
            <w:tcW w:w="1134" w:type="dxa"/>
          </w:tcPr>
          <w:p w14:paraId="3557ED5D" w14:textId="69006DC5" w:rsidR="0090135A" w:rsidRPr="00EB647F" w:rsidRDefault="00572F57" w:rsidP="00C6278D">
            <w:pPr>
              <w:spacing w:line="276" w:lineRule="auto"/>
              <w:jc w:val="center"/>
              <w:rPr>
                <w:rFonts w:ascii="Calibri" w:hAnsi="Calibri" w:cs="Calibri"/>
                <w:sz w:val="20"/>
                <w:szCs w:val="20"/>
              </w:rPr>
            </w:pPr>
            <w:r>
              <w:rPr>
                <w:rFonts w:ascii="Calibri" w:hAnsi="Calibri" w:cs="Calibri"/>
                <w:sz w:val="20"/>
                <w:szCs w:val="20"/>
              </w:rPr>
              <w:t>9</w:t>
            </w:r>
            <w:r w:rsidR="006C5B62">
              <w:rPr>
                <w:rFonts w:ascii="Calibri" w:hAnsi="Calibri" w:cs="Calibri"/>
                <w:sz w:val="20"/>
                <w:szCs w:val="20"/>
              </w:rPr>
              <w:t>,</w:t>
            </w:r>
            <w:r>
              <w:rPr>
                <w:rFonts w:ascii="Calibri" w:hAnsi="Calibri" w:cs="Calibri"/>
                <w:sz w:val="20"/>
                <w:szCs w:val="20"/>
              </w:rPr>
              <w:t>552</w:t>
            </w:r>
          </w:p>
        </w:tc>
        <w:tc>
          <w:tcPr>
            <w:tcW w:w="851" w:type="dxa"/>
          </w:tcPr>
          <w:p w14:paraId="0939E686" w14:textId="4D864226" w:rsidR="0090135A" w:rsidRPr="00EB647F" w:rsidRDefault="0090135A" w:rsidP="0090135A">
            <w:pPr>
              <w:spacing w:line="276" w:lineRule="auto"/>
              <w:jc w:val="center"/>
              <w:rPr>
                <w:rFonts w:ascii="Calibri" w:hAnsi="Calibri" w:cs="Calibri"/>
                <w:sz w:val="20"/>
                <w:szCs w:val="20"/>
              </w:rPr>
            </w:pPr>
            <w:r w:rsidRPr="00BC1191">
              <w:rPr>
                <w:sz w:val="18"/>
                <w:szCs w:val="18"/>
              </w:rPr>
              <w:t>58</w:t>
            </w:r>
          </w:p>
        </w:tc>
        <w:tc>
          <w:tcPr>
            <w:tcW w:w="850" w:type="dxa"/>
            <w:shd w:val="clear" w:color="auto" w:fill="auto"/>
          </w:tcPr>
          <w:p w14:paraId="0D4D5F13" w14:textId="160761B0" w:rsidR="0090135A" w:rsidRPr="00EB647F" w:rsidRDefault="0090135A" w:rsidP="0090135A">
            <w:pPr>
              <w:spacing w:line="276" w:lineRule="auto"/>
              <w:jc w:val="center"/>
              <w:rPr>
                <w:rFonts w:ascii="Calibri" w:hAnsi="Calibri" w:cs="Calibri"/>
                <w:sz w:val="20"/>
                <w:szCs w:val="20"/>
              </w:rPr>
            </w:pPr>
            <w:r w:rsidRPr="00BC1191">
              <w:rPr>
                <w:rFonts w:ascii="Calibri" w:hAnsi="Calibri" w:cs="Calibri"/>
                <w:sz w:val="18"/>
                <w:szCs w:val="18"/>
              </w:rPr>
              <w:t>72</w:t>
            </w:r>
          </w:p>
        </w:tc>
        <w:tc>
          <w:tcPr>
            <w:tcW w:w="1134" w:type="dxa"/>
          </w:tcPr>
          <w:p w14:paraId="6C451ED0" w14:textId="5EE245B0" w:rsidR="0090135A" w:rsidRPr="00EB647F" w:rsidRDefault="0090135A" w:rsidP="0090135A">
            <w:pPr>
              <w:spacing w:line="276" w:lineRule="auto"/>
              <w:jc w:val="center"/>
              <w:rPr>
                <w:rFonts w:ascii="Calibri" w:hAnsi="Calibri" w:cs="Calibri"/>
                <w:sz w:val="20"/>
                <w:szCs w:val="20"/>
              </w:rPr>
            </w:pPr>
            <w:r>
              <w:rPr>
                <w:sz w:val="18"/>
                <w:szCs w:val="18"/>
              </w:rPr>
              <w:t>310</w:t>
            </w:r>
          </w:p>
        </w:tc>
        <w:tc>
          <w:tcPr>
            <w:tcW w:w="1134" w:type="dxa"/>
            <w:shd w:val="clear" w:color="000000" w:fill="FFFFFF"/>
          </w:tcPr>
          <w:p w14:paraId="32BBF345" w14:textId="3F5C4265"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235-401</w:t>
            </w:r>
          </w:p>
        </w:tc>
        <w:tc>
          <w:tcPr>
            <w:tcW w:w="1134" w:type="dxa"/>
          </w:tcPr>
          <w:p w14:paraId="6F707282" w14:textId="1EA418ED" w:rsidR="0090135A" w:rsidRPr="005F3EDC" w:rsidRDefault="0090135A" w:rsidP="0090135A">
            <w:pPr>
              <w:spacing w:line="276" w:lineRule="auto"/>
              <w:jc w:val="center"/>
              <w:rPr>
                <w:rFonts w:ascii="Calibri" w:hAnsi="Calibri" w:cs="Calibri"/>
                <w:sz w:val="20"/>
                <w:szCs w:val="20"/>
              </w:rPr>
            </w:pPr>
            <w:r>
              <w:rPr>
                <w:sz w:val="18"/>
                <w:szCs w:val="18"/>
              </w:rPr>
              <w:t>377</w:t>
            </w:r>
          </w:p>
        </w:tc>
        <w:tc>
          <w:tcPr>
            <w:tcW w:w="1270" w:type="dxa"/>
            <w:shd w:val="clear" w:color="000000" w:fill="FFFFFF"/>
          </w:tcPr>
          <w:p w14:paraId="47E5DA44" w14:textId="55CE3168"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295-475</w:t>
            </w:r>
          </w:p>
        </w:tc>
      </w:tr>
      <w:tr w:rsidR="0090135A" w:rsidRPr="00EB647F" w14:paraId="315263FD" w14:textId="77777777" w:rsidTr="00BF0F97">
        <w:trPr>
          <w:trHeight w:val="397"/>
        </w:trPr>
        <w:tc>
          <w:tcPr>
            <w:tcW w:w="850" w:type="dxa"/>
            <w:shd w:val="clear" w:color="000000" w:fill="FFFFFF"/>
          </w:tcPr>
          <w:p w14:paraId="27D40446" w14:textId="77777777" w:rsidR="0090135A" w:rsidRPr="00EB647F" w:rsidRDefault="0090135A" w:rsidP="0090135A">
            <w:pPr>
              <w:spacing w:line="276" w:lineRule="auto"/>
              <w:jc w:val="center"/>
              <w:rPr>
                <w:rFonts w:ascii="Calibri" w:hAnsi="Calibri" w:cs="Calibri"/>
                <w:sz w:val="20"/>
                <w:szCs w:val="20"/>
              </w:rPr>
            </w:pPr>
            <w:r w:rsidRPr="00EB647F">
              <w:rPr>
                <w:rFonts w:ascii="Calibri" w:hAnsi="Calibri" w:cs="Calibri"/>
                <w:sz w:val="20"/>
                <w:szCs w:val="20"/>
              </w:rPr>
              <w:t>80-84</w:t>
            </w:r>
          </w:p>
        </w:tc>
        <w:tc>
          <w:tcPr>
            <w:tcW w:w="1129" w:type="dxa"/>
          </w:tcPr>
          <w:p w14:paraId="0BB4CC52" w14:textId="617A32FE" w:rsidR="0090135A" w:rsidRPr="00EB647F" w:rsidRDefault="00872B15" w:rsidP="00C6278D">
            <w:pPr>
              <w:spacing w:line="276" w:lineRule="auto"/>
              <w:jc w:val="center"/>
              <w:rPr>
                <w:rFonts w:ascii="Calibri" w:hAnsi="Calibri" w:cs="Calibri"/>
                <w:sz w:val="20"/>
                <w:szCs w:val="20"/>
              </w:rPr>
            </w:pPr>
            <w:r>
              <w:rPr>
                <w:rFonts w:ascii="Calibri" w:hAnsi="Calibri" w:cs="Calibri"/>
                <w:sz w:val="20"/>
                <w:szCs w:val="20"/>
              </w:rPr>
              <w:t>11</w:t>
            </w:r>
            <w:r w:rsidR="006C5B62">
              <w:rPr>
                <w:rFonts w:ascii="Calibri" w:hAnsi="Calibri" w:cs="Calibri"/>
                <w:sz w:val="20"/>
                <w:szCs w:val="20"/>
              </w:rPr>
              <w:t>,</w:t>
            </w:r>
            <w:r>
              <w:rPr>
                <w:rFonts w:ascii="Calibri" w:hAnsi="Calibri" w:cs="Calibri"/>
                <w:sz w:val="20"/>
                <w:szCs w:val="20"/>
              </w:rPr>
              <w:t>17</w:t>
            </w:r>
            <w:r w:rsidR="008E4ADD">
              <w:rPr>
                <w:rFonts w:ascii="Calibri" w:hAnsi="Calibri" w:cs="Calibri"/>
                <w:sz w:val="20"/>
                <w:szCs w:val="20"/>
              </w:rPr>
              <w:t>3</w:t>
            </w:r>
          </w:p>
        </w:tc>
        <w:tc>
          <w:tcPr>
            <w:tcW w:w="1134" w:type="dxa"/>
          </w:tcPr>
          <w:p w14:paraId="320F25EE" w14:textId="50801746" w:rsidR="0090135A" w:rsidRPr="00EB647F" w:rsidRDefault="006C5B62" w:rsidP="00C6278D">
            <w:pPr>
              <w:spacing w:line="276" w:lineRule="auto"/>
              <w:jc w:val="center"/>
              <w:rPr>
                <w:rFonts w:ascii="Calibri" w:hAnsi="Calibri" w:cs="Calibri"/>
                <w:sz w:val="20"/>
                <w:szCs w:val="20"/>
              </w:rPr>
            </w:pPr>
            <w:r>
              <w:rPr>
                <w:rFonts w:ascii="Calibri" w:hAnsi="Calibri" w:cs="Calibri"/>
                <w:sz w:val="20"/>
                <w:szCs w:val="20"/>
              </w:rPr>
              <w:t>11,967</w:t>
            </w:r>
          </w:p>
        </w:tc>
        <w:tc>
          <w:tcPr>
            <w:tcW w:w="851" w:type="dxa"/>
          </w:tcPr>
          <w:p w14:paraId="0A2EE186" w14:textId="6EBBA4AF" w:rsidR="0090135A" w:rsidRPr="00234017" w:rsidRDefault="0090135A" w:rsidP="0090135A">
            <w:pPr>
              <w:spacing w:line="276" w:lineRule="auto"/>
              <w:jc w:val="center"/>
              <w:rPr>
                <w:rFonts w:ascii="Calibri" w:hAnsi="Calibri" w:cs="Calibri"/>
                <w:sz w:val="20"/>
                <w:szCs w:val="20"/>
              </w:rPr>
            </w:pPr>
            <w:r w:rsidRPr="00234017">
              <w:rPr>
                <w:sz w:val="18"/>
                <w:szCs w:val="18"/>
              </w:rPr>
              <w:t>93</w:t>
            </w:r>
          </w:p>
        </w:tc>
        <w:tc>
          <w:tcPr>
            <w:tcW w:w="850" w:type="dxa"/>
            <w:shd w:val="clear" w:color="auto" w:fill="auto"/>
          </w:tcPr>
          <w:p w14:paraId="438E7EC9" w14:textId="650127BA" w:rsidR="0090135A" w:rsidRPr="00234017" w:rsidRDefault="0090135A" w:rsidP="0090135A">
            <w:pPr>
              <w:spacing w:line="276" w:lineRule="auto"/>
              <w:jc w:val="center"/>
              <w:rPr>
                <w:rFonts w:ascii="Calibri" w:hAnsi="Calibri" w:cs="Calibri"/>
                <w:sz w:val="20"/>
                <w:szCs w:val="20"/>
              </w:rPr>
            </w:pPr>
            <w:r w:rsidRPr="00234017">
              <w:rPr>
                <w:rFonts w:ascii="Calibri" w:hAnsi="Calibri" w:cs="Calibri"/>
                <w:sz w:val="18"/>
                <w:szCs w:val="18"/>
              </w:rPr>
              <w:t>117</w:t>
            </w:r>
          </w:p>
        </w:tc>
        <w:tc>
          <w:tcPr>
            <w:tcW w:w="1134" w:type="dxa"/>
          </w:tcPr>
          <w:p w14:paraId="4CA2CC32" w14:textId="012CED21" w:rsidR="0090135A" w:rsidRPr="00234017" w:rsidRDefault="0090135A" w:rsidP="0090135A">
            <w:pPr>
              <w:jc w:val="center"/>
              <w:rPr>
                <w:rFonts w:ascii="Calibri" w:hAnsi="Calibri" w:cs="Calibri"/>
                <w:sz w:val="20"/>
                <w:szCs w:val="20"/>
              </w:rPr>
            </w:pPr>
            <w:r w:rsidRPr="00234017">
              <w:rPr>
                <w:sz w:val="18"/>
                <w:szCs w:val="18"/>
              </w:rPr>
              <w:t>416</w:t>
            </w:r>
          </w:p>
        </w:tc>
        <w:tc>
          <w:tcPr>
            <w:tcW w:w="1134" w:type="dxa"/>
            <w:shd w:val="clear" w:color="000000" w:fill="FFFFFF"/>
          </w:tcPr>
          <w:p w14:paraId="1C807894" w14:textId="32E03C2C"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336-510</w:t>
            </w:r>
          </w:p>
        </w:tc>
        <w:tc>
          <w:tcPr>
            <w:tcW w:w="1134" w:type="dxa"/>
          </w:tcPr>
          <w:p w14:paraId="079E7426" w14:textId="75384184" w:rsidR="0090135A" w:rsidRPr="005F3EDC" w:rsidRDefault="0090135A" w:rsidP="0090135A">
            <w:pPr>
              <w:spacing w:line="276" w:lineRule="auto"/>
              <w:jc w:val="center"/>
              <w:rPr>
                <w:rFonts w:ascii="Calibri" w:hAnsi="Calibri" w:cs="Calibri"/>
                <w:sz w:val="20"/>
                <w:szCs w:val="20"/>
              </w:rPr>
            </w:pPr>
            <w:r>
              <w:rPr>
                <w:sz w:val="18"/>
                <w:szCs w:val="18"/>
              </w:rPr>
              <w:t>489</w:t>
            </w:r>
          </w:p>
        </w:tc>
        <w:tc>
          <w:tcPr>
            <w:tcW w:w="1270" w:type="dxa"/>
            <w:shd w:val="clear" w:color="000000" w:fill="FFFFFF"/>
          </w:tcPr>
          <w:p w14:paraId="64DA99FD" w14:textId="703C5A76" w:rsidR="0090135A" w:rsidRPr="00EB647F" w:rsidRDefault="0090135A" w:rsidP="0090135A">
            <w:pPr>
              <w:spacing w:line="276" w:lineRule="auto"/>
              <w:jc w:val="center"/>
              <w:rPr>
                <w:rFonts w:ascii="Calibri" w:hAnsi="Calibri" w:cs="Calibri"/>
                <w:sz w:val="20"/>
                <w:szCs w:val="20"/>
              </w:rPr>
            </w:pPr>
            <w:r>
              <w:rPr>
                <w:rFonts w:ascii="Calibri" w:hAnsi="Calibri" w:cs="Calibri"/>
                <w:sz w:val="20"/>
                <w:szCs w:val="20"/>
              </w:rPr>
              <w:t>404-586</w:t>
            </w:r>
          </w:p>
        </w:tc>
      </w:tr>
      <w:tr w:rsidR="00A72AE6" w:rsidRPr="00EB647F" w14:paraId="0AD7CF66" w14:textId="77777777" w:rsidTr="00BF0F97">
        <w:trPr>
          <w:trHeight w:val="397"/>
        </w:trPr>
        <w:tc>
          <w:tcPr>
            <w:tcW w:w="850" w:type="dxa"/>
            <w:shd w:val="clear" w:color="000000" w:fill="FFFFFF"/>
          </w:tcPr>
          <w:p w14:paraId="4BAF5EC8" w14:textId="77777777" w:rsidR="00A72AE6" w:rsidRPr="00EB647F" w:rsidRDefault="00A72AE6" w:rsidP="00110D8A">
            <w:pPr>
              <w:spacing w:line="276" w:lineRule="auto"/>
              <w:jc w:val="center"/>
              <w:rPr>
                <w:rFonts w:ascii="Calibri" w:hAnsi="Calibri" w:cs="Calibri"/>
                <w:sz w:val="20"/>
                <w:szCs w:val="20"/>
              </w:rPr>
            </w:pPr>
          </w:p>
        </w:tc>
        <w:tc>
          <w:tcPr>
            <w:tcW w:w="1129" w:type="dxa"/>
          </w:tcPr>
          <w:p w14:paraId="21D3F520" w14:textId="1A0D63DD" w:rsidR="00A72AE6" w:rsidRPr="00EB647F" w:rsidRDefault="00A72AE6" w:rsidP="00110D8A">
            <w:pPr>
              <w:spacing w:line="276" w:lineRule="auto"/>
              <w:jc w:val="center"/>
              <w:rPr>
                <w:rFonts w:ascii="Calibri" w:hAnsi="Calibri" w:cs="Calibri"/>
                <w:sz w:val="20"/>
                <w:szCs w:val="20"/>
              </w:rPr>
            </w:pPr>
            <w:r w:rsidRPr="00EB647F">
              <w:rPr>
                <w:rFonts w:ascii="Calibri" w:hAnsi="Calibri" w:cs="Calibri"/>
                <w:sz w:val="20"/>
                <w:szCs w:val="20"/>
              </w:rPr>
              <w:fldChar w:fldCharType="begin"/>
            </w:r>
            <w:r w:rsidRPr="00EB647F">
              <w:rPr>
                <w:rFonts w:ascii="Calibri" w:hAnsi="Calibri" w:cs="Calibri"/>
                <w:sz w:val="20"/>
                <w:szCs w:val="20"/>
              </w:rPr>
              <w:instrText xml:space="preserve"> =SUM(ABOVE) </w:instrText>
            </w:r>
            <w:r w:rsidRPr="00EB647F">
              <w:rPr>
                <w:rFonts w:ascii="Calibri" w:hAnsi="Calibri" w:cs="Calibri"/>
                <w:sz w:val="20"/>
                <w:szCs w:val="20"/>
              </w:rPr>
              <w:fldChar w:fldCharType="separate"/>
            </w:r>
            <w:r w:rsidR="008E4ADD">
              <w:rPr>
                <w:rFonts w:ascii="Calibri" w:hAnsi="Calibri" w:cs="Calibri"/>
                <w:noProof/>
                <w:sz w:val="20"/>
                <w:szCs w:val="20"/>
              </w:rPr>
              <w:t>260,453</w:t>
            </w:r>
            <w:r w:rsidRPr="00EB647F">
              <w:rPr>
                <w:rFonts w:ascii="Calibri" w:hAnsi="Calibri" w:cs="Calibri"/>
                <w:sz w:val="20"/>
                <w:szCs w:val="20"/>
              </w:rPr>
              <w:fldChar w:fldCharType="end"/>
            </w:r>
          </w:p>
        </w:tc>
        <w:tc>
          <w:tcPr>
            <w:tcW w:w="1134" w:type="dxa"/>
          </w:tcPr>
          <w:p w14:paraId="5B6F97A0" w14:textId="4D64B43C" w:rsidR="00A72AE6" w:rsidRPr="00EB647F" w:rsidRDefault="00A72AE6" w:rsidP="00110D8A">
            <w:pPr>
              <w:spacing w:line="276" w:lineRule="auto"/>
              <w:jc w:val="center"/>
              <w:rPr>
                <w:rFonts w:ascii="Calibri" w:hAnsi="Calibri" w:cs="Calibri"/>
                <w:sz w:val="20"/>
                <w:szCs w:val="20"/>
              </w:rPr>
            </w:pPr>
            <w:r w:rsidRPr="00EB647F">
              <w:rPr>
                <w:rFonts w:ascii="Calibri" w:hAnsi="Calibri" w:cs="Calibri"/>
                <w:sz w:val="20"/>
                <w:szCs w:val="20"/>
              </w:rPr>
              <w:fldChar w:fldCharType="begin"/>
            </w:r>
            <w:r w:rsidRPr="00EB647F">
              <w:rPr>
                <w:rFonts w:ascii="Calibri" w:hAnsi="Calibri" w:cs="Calibri"/>
                <w:sz w:val="20"/>
                <w:szCs w:val="20"/>
              </w:rPr>
              <w:instrText xml:space="preserve"> =SUM(ABOVE) </w:instrText>
            </w:r>
            <w:r w:rsidRPr="00EB647F">
              <w:rPr>
                <w:rFonts w:ascii="Calibri" w:hAnsi="Calibri" w:cs="Calibri"/>
                <w:sz w:val="20"/>
                <w:szCs w:val="20"/>
              </w:rPr>
              <w:fldChar w:fldCharType="separate"/>
            </w:r>
            <w:r w:rsidR="00667326">
              <w:rPr>
                <w:rFonts w:ascii="Calibri" w:hAnsi="Calibri" w:cs="Calibri"/>
                <w:noProof/>
                <w:sz w:val="20"/>
                <w:szCs w:val="20"/>
              </w:rPr>
              <w:t>250,339</w:t>
            </w:r>
            <w:r w:rsidRPr="00EB647F">
              <w:rPr>
                <w:rFonts w:ascii="Calibri" w:hAnsi="Calibri" w:cs="Calibri"/>
                <w:sz w:val="20"/>
                <w:szCs w:val="20"/>
              </w:rPr>
              <w:fldChar w:fldCharType="end"/>
            </w:r>
          </w:p>
        </w:tc>
        <w:tc>
          <w:tcPr>
            <w:tcW w:w="851" w:type="dxa"/>
          </w:tcPr>
          <w:p w14:paraId="6318CE82" w14:textId="48374BD2" w:rsidR="00A72AE6" w:rsidRPr="00EB647F" w:rsidRDefault="00A72AE6" w:rsidP="00110D8A">
            <w:pPr>
              <w:spacing w:line="276" w:lineRule="auto"/>
              <w:jc w:val="center"/>
              <w:rPr>
                <w:rFonts w:ascii="Calibri" w:hAnsi="Calibri" w:cs="Calibri"/>
                <w:sz w:val="20"/>
                <w:szCs w:val="20"/>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296</w:t>
            </w:r>
            <w:r>
              <w:rPr>
                <w:sz w:val="18"/>
                <w:szCs w:val="18"/>
              </w:rPr>
              <w:fldChar w:fldCharType="end"/>
            </w:r>
          </w:p>
        </w:tc>
        <w:tc>
          <w:tcPr>
            <w:tcW w:w="850" w:type="dxa"/>
            <w:shd w:val="clear" w:color="000000" w:fill="FFFFFF"/>
          </w:tcPr>
          <w:p w14:paraId="49B734F5" w14:textId="70D46DDA" w:rsidR="00A72AE6" w:rsidRPr="00EB647F" w:rsidRDefault="00A72AE6" w:rsidP="00110D8A">
            <w:pPr>
              <w:spacing w:line="276" w:lineRule="auto"/>
              <w:jc w:val="center"/>
              <w:rPr>
                <w:rFonts w:ascii="Calibri" w:hAnsi="Calibri" w:cs="Calibri"/>
                <w:sz w:val="20"/>
                <w:szCs w:val="20"/>
              </w:rPr>
            </w:pPr>
            <w:r w:rsidRPr="00EB647F">
              <w:rPr>
                <w:rFonts w:ascii="Calibri" w:hAnsi="Calibri" w:cs="Calibri"/>
                <w:sz w:val="20"/>
                <w:szCs w:val="20"/>
              </w:rPr>
              <w:fldChar w:fldCharType="begin"/>
            </w:r>
            <w:r w:rsidRPr="00EB647F">
              <w:rPr>
                <w:rFonts w:ascii="Calibri" w:hAnsi="Calibri" w:cs="Calibri"/>
                <w:sz w:val="20"/>
                <w:szCs w:val="20"/>
              </w:rPr>
              <w:instrText xml:space="preserve"> =SUM(ABOVE) </w:instrText>
            </w:r>
            <w:r w:rsidRPr="00EB647F">
              <w:rPr>
                <w:rFonts w:ascii="Calibri" w:hAnsi="Calibri" w:cs="Calibri"/>
                <w:sz w:val="20"/>
                <w:szCs w:val="20"/>
              </w:rPr>
              <w:fldChar w:fldCharType="separate"/>
            </w:r>
            <w:r>
              <w:rPr>
                <w:rFonts w:ascii="Calibri" w:hAnsi="Calibri" w:cs="Calibri"/>
                <w:noProof/>
                <w:sz w:val="20"/>
                <w:szCs w:val="20"/>
              </w:rPr>
              <w:t>388</w:t>
            </w:r>
            <w:r w:rsidRPr="00EB647F">
              <w:rPr>
                <w:rFonts w:ascii="Calibri" w:hAnsi="Calibri" w:cs="Calibri"/>
                <w:sz w:val="20"/>
                <w:szCs w:val="20"/>
              </w:rPr>
              <w:fldChar w:fldCharType="end"/>
            </w:r>
          </w:p>
        </w:tc>
        <w:tc>
          <w:tcPr>
            <w:tcW w:w="1134" w:type="dxa"/>
            <w:shd w:val="clear" w:color="000000" w:fill="FFFFFF"/>
          </w:tcPr>
          <w:p w14:paraId="14776BC8" w14:textId="77777777" w:rsidR="00A72AE6" w:rsidRPr="00EB647F" w:rsidRDefault="00A72AE6" w:rsidP="00110D8A">
            <w:pPr>
              <w:spacing w:line="276" w:lineRule="auto"/>
              <w:jc w:val="center"/>
              <w:rPr>
                <w:rFonts w:ascii="Calibri" w:hAnsi="Calibri" w:cs="Calibri"/>
                <w:sz w:val="20"/>
                <w:szCs w:val="20"/>
              </w:rPr>
            </w:pPr>
          </w:p>
        </w:tc>
        <w:tc>
          <w:tcPr>
            <w:tcW w:w="1134" w:type="dxa"/>
            <w:shd w:val="clear" w:color="000000" w:fill="FFFFFF"/>
          </w:tcPr>
          <w:p w14:paraId="446E83CA" w14:textId="77777777" w:rsidR="00A72AE6" w:rsidRPr="00EB647F" w:rsidRDefault="00A72AE6" w:rsidP="00110D8A">
            <w:pPr>
              <w:spacing w:line="276" w:lineRule="auto"/>
              <w:jc w:val="center"/>
              <w:rPr>
                <w:rFonts w:ascii="Calibri" w:hAnsi="Calibri" w:cs="Calibri"/>
                <w:sz w:val="20"/>
                <w:szCs w:val="20"/>
              </w:rPr>
            </w:pPr>
          </w:p>
        </w:tc>
        <w:tc>
          <w:tcPr>
            <w:tcW w:w="1134" w:type="dxa"/>
            <w:shd w:val="clear" w:color="000000" w:fill="FFFFFF"/>
          </w:tcPr>
          <w:p w14:paraId="5EC2B5B2" w14:textId="77777777" w:rsidR="00A72AE6" w:rsidRPr="00EB647F" w:rsidRDefault="00A72AE6" w:rsidP="00110D8A">
            <w:pPr>
              <w:spacing w:line="276" w:lineRule="auto"/>
              <w:jc w:val="center"/>
              <w:rPr>
                <w:rFonts w:ascii="Calibri" w:hAnsi="Calibri" w:cs="Calibri"/>
                <w:sz w:val="20"/>
                <w:szCs w:val="20"/>
              </w:rPr>
            </w:pPr>
          </w:p>
        </w:tc>
        <w:tc>
          <w:tcPr>
            <w:tcW w:w="1270" w:type="dxa"/>
            <w:shd w:val="clear" w:color="000000" w:fill="FFFFFF"/>
          </w:tcPr>
          <w:p w14:paraId="6EC15B48" w14:textId="77777777" w:rsidR="00A72AE6" w:rsidRPr="00EB647F" w:rsidRDefault="00A72AE6" w:rsidP="00110D8A">
            <w:pPr>
              <w:spacing w:line="276" w:lineRule="auto"/>
              <w:jc w:val="center"/>
              <w:rPr>
                <w:rFonts w:ascii="Calibri" w:hAnsi="Calibri" w:cs="Calibri"/>
                <w:sz w:val="20"/>
                <w:szCs w:val="20"/>
              </w:rPr>
            </w:pPr>
          </w:p>
        </w:tc>
      </w:tr>
    </w:tbl>
    <w:p w14:paraId="418F26F8" w14:textId="16D2C168" w:rsidR="00BA1513" w:rsidRDefault="00BA1513" w:rsidP="004A584A">
      <w:pPr>
        <w:spacing w:line="276" w:lineRule="auto"/>
        <w:ind w:left="1560" w:right="1842"/>
        <w:jc w:val="left"/>
        <w:rPr>
          <w:sz w:val="24"/>
          <w:szCs w:val="24"/>
          <w:lang w:eastAsia="ru-RU"/>
        </w:rPr>
      </w:pPr>
    </w:p>
    <w:p w14:paraId="24A339C7" w14:textId="6C41F460" w:rsidR="009B0F56" w:rsidRDefault="00B13A6B" w:rsidP="00512252">
      <w:pPr>
        <w:keepNext/>
        <w:keepLines/>
        <w:spacing w:before="240" w:after="0" w:line="276" w:lineRule="auto"/>
        <w:ind w:left="1134" w:right="142"/>
        <w:jc w:val="left"/>
        <w:outlineLvl w:val="0"/>
        <w:rPr>
          <w:rFonts w:eastAsiaTheme="majorEastAsia" w:cstheme="minorHAnsi"/>
          <w:bCs/>
          <w:sz w:val="24"/>
          <w:szCs w:val="24"/>
        </w:rPr>
      </w:pPr>
      <w:r w:rsidRPr="00DA2A3A">
        <w:rPr>
          <w:rFonts w:eastAsiaTheme="majorEastAsia" w:cstheme="minorHAnsi"/>
          <w:bCs/>
          <w:sz w:val="24"/>
          <w:szCs w:val="24"/>
        </w:rPr>
        <w:t xml:space="preserve">The incidence </w:t>
      </w:r>
      <w:r w:rsidR="00CE46F7">
        <w:rPr>
          <w:rFonts w:eastAsiaTheme="majorEastAsia" w:cstheme="minorHAnsi"/>
          <w:bCs/>
          <w:sz w:val="24"/>
          <w:szCs w:val="24"/>
        </w:rPr>
        <w:t xml:space="preserve">of hip fracture </w:t>
      </w:r>
      <w:r w:rsidRPr="00DA2A3A">
        <w:rPr>
          <w:rFonts w:eastAsiaTheme="majorEastAsia" w:cstheme="minorHAnsi"/>
          <w:bCs/>
          <w:sz w:val="24"/>
          <w:szCs w:val="24"/>
        </w:rPr>
        <w:t xml:space="preserve">in Saudi </w:t>
      </w:r>
      <w:r w:rsidR="00CE46F7">
        <w:rPr>
          <w:rFonts w:eastAsiaTheme="majorEastAsia" w:cstheme="minorHAnsi"/>
          <w:bCs/>
          <w:sz w:val="24"/>
          <w:szCs w:val="24"/>
        </w:rPr>
        <w:t xml:space="preserve">Arabia </w:t>
      </w:r>
      <w:r w:rsidRPr="00DA2A3A">
        <w:rPr>
          <w:rFonts w:eastAsiaTheme="majorEastAsia" w:cstheme="minorHAnsi"/>
          <w:bCs/>
          <w:sz w:val="24"/>
          <w:szCs w:val="24"/>
        </w:rPr>
        <w:t xml:space="preserve">was compared with that from </w:t>
      </w:r>
      <w:bookmarkStart w:id="8" w:name="_Hlk55509510"/>
      <w:r w:rsidRPr="00DA2A3A">
        <w:rPr>
          <w:rFonts w:eastAsiaTheme="majorEastAsia" w:cstheme="minorHAnsi"/>
          <w:bCs/>
          <w:sz w:val="24"/>
          <w:szCs w:val="24"/>
        </w:rPr>
        <w:t>A</w:t>
      </w:r>
      <w:r w:rsidR="004A3437" w:rsidRPr="00DA2A3A">
        <w:rPr>
          <w:rFonts w:eastAsiaTheme="majorEastAsia" w:cstheme="minorHAnsi"/>
          <w:bCs/>
          <w:sz w:val="24"/>
          <w:szCs w:val="24"/>
        </w:rPr>
        <w:t>bu Dhabi and Kuwa</w:t>
      </w:r>
      <w:r w:rsidR="00005188" w:rsidRPr="00DA2A3A">
        <w:rPr>
          <w:rFonts w:eastAsiaTheme="majorEastAsia" w:cstheme="minorHAnsi"/>
          <w:bCs/>
          <w:sz w:val="24"/>
          <w:szCs w:val="24"/>
        </w:rPr>
        <w:t>i</w:t>
      </w:r>
      <w:r w:rsidR="004A3437" w:rsidRPr="00DA2A3A">
        <w:rPr>
          <w:rFonts w:eastAsiaTheme="majorEastAsia" w:cstheme="minorHAnsi"/>
          <w:bCs/>
          <w:sz w:val="24"/>
          <w:szCs w:val="24"/>
        </w:rPr>
        <w:t>t</w:t>
      </w:r>
      <w:r w:rsidR="00005188" w:rsidRPr="00DA2A3A">
        <w:rPr>
          <w:rFonts w:eastAsiaTheme="majorEastAsia" w:cstheme="minorHAnsi"/>
          <w:bCs/>
          <w:sz w:val="24"/>
          <w:szCs w:val="24"/>
        </w:rPr>
        <w:t xml:space="preserve"> </w:t>
      </w:r>
      <w:bookmarkEnd w:id="8"/>
      <w:r w:rsidR="00005188" w:rsidRPr="00DA2A3A">
        <w:rPr>
          <w:rFonts w:eastAsiaTheme="majorEastAsia" w:cstheme="minorHAnsi"/>
          <w:bCs/>
          <w:sz w:val="24"/>
          <w:szCs w:val="24"/>
        </w:rPr>
        <w:t>shown on a logarithmic scale</w:t>
      </w:r>
      <w:r w:rsidR="00914C20" w:rsidRPr="00DA2A3A">
        <w:rPr>
          <w:rFonts w:eastAsiaTheme="majorEastAsia" w:cstheme="minorHAnsi"/>
          <w:bCs/>
          <w:sz w:val="24"/>
          <w:szCs w:val="24"/>
        </w:rPr>
        <w:t xml:space="preserve"> in Figure </w:t>
      </w:r>
      <w:r w:rsidR="00512252">
        <w:rPr>
          <w:rFonts w:eastAsiaTheme="majorEastAsia" w:cstheme="minorHAnsi"/>
          <w:bCs/>
          <w:sz w:val="24"/>
          <w:szCs w:val="24"/>
        </w:rPr>
        <w:t>1</w:t>
      </w:r>
      <w:r w:rsidR="00914C20" w:rsidRPr="00DA2A3A">
        <w:rPr>
          <w:rFonts w:eastAsiaTheme="majorEastAsia" w:cstheme="minorHAnsi"/>
          <w:bCs/>
          <w:sz w:val="24"/>
          <w:szCs w:val="24"/>
        </w:rPr>
        <w:t xml:space="preserve">.  Hip fracture rates were rather comparable </w:t>
      </w:r>
      <w:r w:rsidR="004F42DE">
        <w:rPr>
          <w:rFonts w:eastAsiaTheme="majorEastAsia" w:cstheme="minorHAnsi"/>
          <w:bCs/>
          <w:sz w:val="24"/>
          <w:szCs w:val="24"/>
        </w:rPr>
        <w:t>between</w:t>
      </w:r>
      <w:r w:rsidR="00D513AE" w:rsidRPr="00DA2A3A">
        <w:rPr>
          <w:rFonts w:eastAsiaTheme="majorEastAsia" w:cstheme="minorHAnsi"/>
          <w:bCs/>
          <w:sz w:val="24"/>
          <w:szCs w:val="24"/>
        </w:rPr>
        <w:t xml:space="preserve"> these countries.</w:t>
      </w:r>
    </w:p>
    <w:p w14:paraId="2F193C72" w14:textId="5E3A8650" w:rsidR="00083CC1" w:rsidRPr="00DA2A3A" w:rsidRDefault="00083CC1" w:rsidP="00512252">
      <w:pPr>
        <w:keepNext/>
        <w:keepLines/>
        <w:spacing w:before="240" w:after="0" w:line="276" w:lineRule="auto"/>
        <w:ind w:left="1134" w:right="142"/>
        <w:jc w:val="left"/>
        <w:outlineLvl w:val="0"/>
        <w:rPr>
          <w:rFonts w:eastAsiaTheme="majorEastAsia" w:cstheme="minorHAnsi"/>
          <w:bCs/>
          <w:sz w:val="24"/>
          <w:szCs w:val="24"/>
        </w:rPr>
      </w:pPr>
      <w:r>
        <w:rPr>
          <w:noProof/>
          <w:lang w:eastAsia="en-GB"/>
        </w:rPr>
        <w:drawing>
          <wp:inline distT="0" distB="0" distL="0" distR="0" wp14:anchorId="063F8D86" wp14:editId="7B980337">
            <wp:extent cx="5133975" cy="2562073"/>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rcRect t="9550" r="12248" b="12599"/>
                    <a:stretch/>
                  </pic:blipFill>
                  <pic:spPr bwMode="auto">
                    <a:xfrm>
                      <a:off x="0" y="0"/>
                      <a:ext cx="5134279" cy="2562225"/>
                    </a:xfrm>
                    <a:prstGeom prst="rect">
                      <a:avLst/>
                    </a:prstGeom>
                    <a:ln>
                      <a:noFill/>
                    </a:ln>
                    <a:extLst>
                      <a:ext uri="{53640926-AAD7-44D8-BBD7-CCE9431645EC}">
                        <a14:shadowObscured xmlns:a14="http://schemas.microsoft.com/office/drawing/2010/main"/>
                      </a:ext>
                    </a:extLst>
                  </pic:spPr>
                </pic:pic>
              </a:graphicData>
            </a:graphic>
          </wp:inline>
        </w:drawing>
      </w:r>
    </w:p>
    <w:p w14:paraId="3895B81E" w14:textId="278175BE" w:rsidR="00537277" w:rsidRPr="00750DCF" w:rsidRDefault="00313F64" w:rsidP="004A32A0">
      <w:pPr>
        <w:keepNext/>
        <w:keepLines/>
        <w:spacing w:before="240" w:after="0" w:line="276" w:lineRule="auto"/>
        <w:ind w:left="1134" w:right="850"/>
        <w:jc w:val="left"/>
        <w:outlineLvl w:val="0"/>
        <w:rPr>
          <w:rFonts w:eastAsiaTheme="majorEastAsia" w:cstheme="minorHAnsi"/>
          <w:bCs/>
          <w:sz w:val="22"/>
          <w:highlight w:val="yellow"/>
        </w:rPr>
      </w:pPr>
      <w:r>
        <w:rPr>
          <w:rFonts w:eastAsiaTheme="majorEastAsia" w:cstheme="minorHAnsi"/>
          <w:b/>
          <w:sz w:val="22"/>
        </w:rPr>
        <w:t xml:space="preserve">Fig. </w:t>
      </w:r>
      <w:r w:rsidR="006C26C0">
        <w:rPr>
          <w:rFonts w:eastAsiaTheme="majorEastAsia" w:cstheme="minorHAnsi"/>
          <w:b/>
          <w:sz w:val="22"/>
        </w:rPr>
        <w:t>1</w:t>
      </w:r>
      <w:r>
        <w:rPr>
          <w:rFonts w:eastAsiaTheme="majorEastAsia" w:cstheme="minorHAnsi"/>
          <w:b/>
          <w:sz w:val="22"/>
        </w:rPr>
        <w:t xml:space="preserve"> </w:t>
      </w:r>
      <w:r w:rsidR="00537277" w:rsidRPr="00750DCF">
        <w:rPr>
          <w:rFonts w:eastAsiaTheme="majorEastAsia" w:cstheme="minorHAnsi"/>
          <w:bCs/>
          <w:sz w:val="22"/>
        </w:rPr>
        <w:t xml:space="preserve">The incidence of hip fracture by age </w:t>
      </w:r>
      <w:r w:rsidR="009D4197" w:rsidRPr="00750DCF">
        <w:rPr>
          <w:rFonts w:eastAsiaTheme="majorEastAsia" w:cstheme="minorHAnsi"/>
          <w:bCs/>
          <w:sz w:val="22"/>
        </w:rPr>
        <w:t xml:space="preserve">in men </w:t>
      </w:r>
      <w:r w:rsidR="00AF025E" w:rsidRPr="00750DCF">
        <w:rPr>
          <w:rFonts w:eastAsiaTheme="majorEastAsia" w:cstheme="minorHAnsi"/>
          <w:bCs/>
          <w:sz w:val="22"/>
        </w:rPr>
        <w:t>(</w:t>
      </w:r>
      <w:r w:rsidR="009D4197" w:rsidRPr="00750DCF">
        <w:rPr>
          <w:rFonts w:eastAsiaTheme="majorEastAsia" w:cstheme="minorHAnsi"/>
          <w:bCs/>
          <w:sz w:val="22"/>
        </w:rPr>
        <w:t>left panel</w:t>
      </w:r>
      <w:r w:rsidR="00AF025E" w:rsidRPr="00750DCF">
        <w:rPr>
          <w:rFonts w:eastAsiaTheme="majorEastAsia" w:cstheme="minorHAnsi"/>
          <w:bCs/>
          <w:sz w:val="22"/>
        </w:rPr>
        <w:t>)</w:t>
      </w:r>
      <w:r w:rsidR="009D4197" w:rsidRPr="00750DCF">
        <w:rPr>
          <w:rFonts w:eastAsiaTheme="majorEastAsia" w:cstheme="minorHAnsi"/>
          <w:bCs/>
          <w:sz w:val="22"/>
        </w:rPr>
        <w:t xml:space="preserve"> and women </w:t>
      </w:r>
      <w:r w:rsidR="00AF025E" w:rsidRPr="00750DCF">
        <w:rPr>
          <w:rFonts w:eastAsiaTheme="majorEastAsia" w:cstheme="minorHAnsi"/>
          <w:bCs/>
          <w:sz w:val="22"/>
        </w:rPr>
        <w:t>(</w:t>
      </w:r>
      <w:r w:rsidR="009D4197" w:rsidRPr="00750DCF">
        <w:rPr>
          <w:rFonts w:eastAsiaTheme="majorEastAsia" w:cstheme="minorHAnsi"/>
          <w:bCs/>
          <w:sz w:val="22"/>
        </w:rPr>
        <w:t>r</w:t>
      </w:r>
      <w:r w:rsidR="00AF025E" w:rsidRPr="00750DCF">
        <w:rPr>
          <w:rFonts w:eastAsiaTheme="majorEastAsia" w:cstheme="minorHAnsi"/>
          <w:bCs/>
          <w:sz w:val="22"/>
        </w:rPr>
        <w:t>i</w:t>
      </w:r>
      <w:r w:rsidR="009D4197" w:rsidRPr="00750DCF">
        <w:rPr>
          <w:rFonts w:eastAsiaTheme="majorEastAsia" w:cstheme="minorHAnsi"/>
          <w:bCs/>
          <w:sz w:val="22"/>
        </w:rPr>
        <w:t>ght panel)</w:t>
      </w:r>
      <w:r w:rsidR="00AF025E" w:rsidRPr="00750DCF">
        <w:rPr>
          <w:rFonts w:eastAsiaTheme="majorEastAsia" w:cstheme="minorHAnsi"/>
          <w:bCs/>
          <w:sz w:val="22"/>
        </w:rPr>
        <w:t xml:space="preserve"> </w:t>
      </w:r>
      <w:r w:rsidR="00537277" w:rsidRPr="00750DCF">
        <w:rPr>
          <w:rFonts w:eastAsiaTheme="majorEastAsia" w:cstheme="minorHAnsi"/>
          <w:bCs/>
          <w:sz w:val="22"/>
        </w:rPr>
        <w:t>in Saudi Arabia</w:t>
      </w:r>
      <w:r w:rsidR="00750DCF" w:rsidRPr="00750DCF">
        <w:rPr>
          <w:rFonts w:eastAsiaTheme="majorEastAsia" w:cstheme="minorHAnsi"/>
          <w:bCs/>
          <w:sz w:val="22"/>
        </w:rPr>
        <w:t xml:space="preserve">, Abu </w:t>
      </w:r>
      <w:r w:rsidR="00512252" w:rsidRPr="00750DCF">
        <w:rPr>
          <w:rFonts w:eastAsiaTheme="majorEastAsia" w:cstheme="minorHAnsi"/>
          <w:bCs/>
          <w:sz w:val="22"/>
        </w:rPr>
        <w:t>Dhabi,</w:t>
      </w:r>
      <w:r w:rsidR="00750DCF" w:rsidRPr="00750DCF">
        <w:rPr>
          <w:rFonts w:eastAsiaTheme="majorEastAsia" w:cstheme="minorHAnsi"/>
          <w:bCs/>
          <w:sz w:val="22"/>
        </w:rPr>
        <w:t xml:space="preserve"> and Kuwait</w:t>
      </w:r>
      <w:r w:rsidR="00157624">
        <w:rPr>
          <w:rFonts w:eastAsiaTheme="majorEastAsia" w:cstheme="minorHAnsi"/>
          <w:bCs/>
          <w:sz w:val="22"/>
        </w:rPr>
        <w:t xml:space="preserve"> on a logarithmic scale.</w:t>
      </w:r>
    </w:p>
    <w:p w14:paraId="7C32102C" w14:textId="77777777" w:rsidR="00512252" w:rsidRDefault="00512252" w:rsidP="004818A9">
      <w:pPr>
        <w:autoSpaceDE w:val="0"/>
        <w:autoSpaceDN w:val="0"/>
        <w:adjustRightInd w:val="0"/>
        <w:spacing w:after="120"/>
        <w:ind w:left="1134"/>
        <w:jc w:val="left"/>
        <w:rPr>
          <w:rFonts w:eastAsia="MS Mincho" w:cstheme="minorHAnsi"/>
          <w:color w:val="000000"/>
          <w:sz w:val="24"/>
          <w:szCs w:val="24"/>
          <w:lang w:eastAsia="ja-JP"/>
        </w:rPr>
      </w:pPr>
    </w:p>
    <w:p w14:paraId="613B5894" w14:textId="7C561206" w:rsidR="00CE0A20" w:rsidRPr="00EB647F" w:rsidRDefault="004818A9" w:rsidP="003A5F5C">
      <w:pPr>
        <w:autoSpaceDE w:val="0"/>
        <w:autoSpaceDN w:val="0"/>
        <w:adjustRightInd w:val="0"/>
        <w:spacing w:after="120"/>
        <w:ind w:left="1134"/>
        <w:jc w:val="left"/>
        <w:rPr>
          <w:rFonts w:ascii="Calibri" w:eastAsia="Calibri" w:hAnsi="Calibri" w:cs="Times New Roman"/>
          <w:sz w:val="20"/>
          <w:szCs w:val="20"/>
        </w:rPr>
      </w:pPr>
      <w:r w:rsidRPr="00F61CCA">
        <w:rPr>
          <w:rFonts w:eastAsia="MS Mincho" w:cstheme="minorHAnsi"/>
          <w:color w:val="000000"/>
          <w:sz w:val="24"/>
          <w:szCs w:val="24"/>
          <w:lang w:eastAsia="ja-JP"/>
        </w:rPr>
        <w:t xml:space="preserve">Assuming that the fracture rates in the </w:t>
      </w:r>
      <w:r w:rsidR="00260DCB" w:rsidRPr="00F61CCA">
        <w:rPr>
          <w:rFonts w:eastAsia="MS Mincho" w:cstheme="minorHAnsi"/>
          <w:color w:val="000000"/>
          <w:sz w:val="24"/>
          <w:szCs w:val="24"/>
          <w:lang w:eastAsia="ja-JP"/>
        </w:rPr>
        <w:t>areas surveyed</w:t>
      </w:r>
      <w:r w:rsidRPr="00F61CCA">
        <w:rPr>
          <w:rFonts w:eastAsia="MS Mincho" w:cstheme="minorHAnsi"/>
          <w:color w:val="000000"/>
          <w:sz w:val="24"/>
          <w:szCs w:val="24"/>
          <w:lang w:eastAsia="ja-JP"/>
        </w:rPr>
        <w:t xml:space="preserve"> were representative for the whole country, </w:t>
      </w:r>
      <w:r w:rsidR="00A81861" w:rsidRPr="00A81861">
        <w:rPr>
          <w:rFonts w:eastAsia="MS Mincho" w:cstheme="minorHAnsi"/>
          <w:color w:val="000000"/>
          <w:sz w:val="24"/>
          <w:szCs w:val="24"/>
          <w:lang w:eastAsia="ja-JP"/>
        </w:rPr>
        <w:t>the estimated number of hip fractures nationwide in persons over the age of 50 years for 2015 was 2,949 and is predicted to increase</w:t>
      </w:r>
      <w:r w:rsidR="009B366C">
        <w:rPr>
          <w:rFonts w:eastAsia="MS Mincho" w:cstheme="minorHAnsi"/>
          <w:color w:val="000000"/>
          <w:sz w:val="24"/>
          <w:szCs w:val="24"/>
          <w:lang w:eastAsia="ja-JP"/>
        </w:rPr>
        <w:t xml:space="preserve"> nearly 7-fold</w:t>
      </w:r>
      <w:r w:rsidR="00A81861" w:rsidRPr="00A81861">
        <w:rPr>
          <w:rFonts w:eastAsia="MS Mincho" w:cstheme="minorHAnsi"/>
          <w:color w:val="000000"/>
          <w:sz w:val="24"/>
          <w:szCs w:val="24"/>
          <w:lang w:eastAsia="ja-JP"/>
        </w:rPr>
        <w:t xml:space="preserve"> to </w:t>
      </w:r>
      <w:bookmarkStart w:id="9" w:name="_Hlk81304454"/>
      <w:r w:rsidR="00A81861" w:rsidRPr="00A81861">
        <w:rPr>
          <w:rFonts w:eastAsia="MS Mincho" w:cstheme="minorHAnsi"/>
          <w:color w:val="000000"/>
          <w:sz w:val="24"/>
          <w:szCs w:val="24"/>
          <w:lang w:eastAsia="ja-JP"/>
        </w:rPr>
        <w:t xml:space="preserve">20,328 </w:t>
      </w:r>
      <w:bookmarkEnd w:id="9"/>
      <w:r w:rsidR="00A81861" w:rsidRPr="00A81861">
        <w:rPr>
          <w:rFonts w:eastAsia="MS Mincho" w:cstheme="minorHAnsi"/>
          <w:color w:val="000000"/>
          <w:sz w:val="24"/>
          <w:szCs w:val="24"/>
          <w:lang w:eastAsia="ja-JP"/>
        </w:rPr>
        <w:t>in 2050</w:t>
      </w:r>
      <w:r w:rsidR="00620D49">
        <w:rPr>
          <w:rFonts w:eastAsia="MS Mincho" w:cstheme="minorHAnsi"/>
          <w:color w:val="000000"/>
          <w:sz w:val="24"/>
          <w:szCs w:val="24"/>
          <w:lang w:eastAsia="ja-JP"/>
        </w:rPr>
        <w:t xml:space="preserve"> (Table 2)</w:t>
      </w:r>
      <w:r w:rsidR="00A81861" w:rsidRPr="00A81861">
        <w:rPr>
          <w:rFonts w:eastAsia="MS Mincho" w:cstheme="minorHAnsi"/>
          <w:color w:val="000000"/>
          <w:sz w:val="24"/>
          <w:szCs w:val="24"/>
          <w:lang w:eastAsia="ja-JP"/>
        </w:rPr>
        <w:t>.</w:t>
      </w:r>
      <w:r w:rsidR="00CE2243" w:rsidRPr="00EB647F">
        <w:rPr>
          <w:rFonts w:ascii="Calibri" w:eastAsia="Calibri" w:hAnsi="Calibri" w:cs="Times New Roman"/>
          <w:sz w:val="20"/>
          <w:szCs w:val="20"/>
        </w:rPr>
        <w:t xml:space="preserve"> </w:t>
      </w:r>
    </w:p>
    <w:p w14:paraId="3FFD5D19" w14:textId="5BD45C46" w:rsidR="00620D49" w:rsidRPr="00EB647F" w:rsidRDefault="00620D49" w:rsidP="00F30943">
      <w:pPr>
        <w:spacing w:after="0" w:line="240" w:lineRule="auto"/>
        <w:ind w:left="1560" w:right="142"/>
        <w:jc w:val="left"/>
        <w:rPr>
          <w:rFonts w:ascii="Calibri" w:eastAsia="Calibri" w:hAnsi="Calibri" w:cs="Times New Roman"/>
          <w:sz w:val="20"/>
          <w:szCs w:val="20"/>
        </w:rPr>
      </w:pPr>
      <w:r w:rsidRPr="00EB647F">
        <w:rPr>
          <w:rFonts w:ascii="Calibri" w:eastAsia="Calibri" w:hAnsi="Calibri" w:cs="Times New Roman"/>
          <w:b/>
          <w:sz w:val="20"/>
          <w:szCs w:val="20"/>
        </w:rPr>
        <w:t>Table 2.</w:t>
      </w:r>
      <w:r w:rsidRPr="00EB647F">
        <w:rPr>
          <w:rFonts w:ascii="Calibri" w:eastAsia="Calibri" w:hAnsi="Calibri" w:cs="Times New Roman"/>
          <w:sz w:val="20"/>
          <w:szCs w:val="20"/>
        </w:rPr>
        <w:t xml:space="preserve"> Estimated total number of hip fractures in men and in women age 50 years or older in 2015 projected up to 2050 in </w:t>
      </w:r>
      <w:r w:rsidR="00CB5686">
        <w:rPr>
          <w:rFonts w:ascii="Calibri" w:eastAsia="Calibri" w:hAnsi="Calibri" w:cs="Times New Roman"/>
          <w:sz w:val="20"/>
          <w:szCs w:val="20"/>
        </w:rPr>
        <w:t>Saudi Arabia</w:t>
      </w:r>
      <w:r w:rsidRPr="00EB647F">
        <w:rPr>
          <w:rFonts w:ascii="Calibri" w:eastAsia="Calibri" w:hAnsi="Calibri" w:cs="Times New Roman"/>
          <w:sz w:val="20"/>
          <w:szCs w:val="20"/>
        </w:rPr>
        <w:t xml:space="preserve">. </w:t>
      </w:r>
    </w:p>
    <w:p w14:paraId="75E95E19" w14:textId="77777777" w:rsidR="00620D49" w:rsidRPr="00EB647F" w:rsidRDefault="00620D49" w:rsidP="00620D49">
      <w:pPr>
        <w:spacing w:after="0" w:line="240" w:lineRule="auto"/>
        <w:ind w:left="567" w:right="1275"/>
        <w:jc w:val="left"/>
        <w:rPr>
          <w:rFonts w:ascii="Calibri" w:eastAsia="Calibri" w:hAnsi="Calibri" w:cs="Times New Roman"/>
          <w:sz w:val="20"/>
          <w:szCs w:val="20"/>
        </w:rPr>
      </w:pPr>
    </w:p>
    <w:tbl>
      <w:tblPr>
        <w:tblStyle w:val="TableGrid3"/>
        <w:tblW w:w="7650" w:type="dxa"/>
        <w:tblInd w:w="1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2"/>
        <w:gridCol w:w="1162"/>
        <w:gridCol w:w="1163"/>
        <w:gridCol w:w="1162"/>
        <w:gridCol w:w="1163"/>
      </w:tblGrid>
      <w:tr w:rsidR="00620D49" w:rsidRPr="00EB647F" w14:paraId="2193D9AC" w14:textId="77777777" w:rsidTr="00F30943">
        <w:tc>
          <w:tcPr>
            <w:tcW w:w="1838" w:type="dxa"/>
            <w:tcBorders>
              <w:top w:val="single" w:sz="4" w:space="0" w:color="auto"/>
            </w:tcBorders>
          </w:tcPr>
          <w:p w14:paraId="14CBD301" w14:textId="77777777" w:rsidR="00620D49" w:rsidRPr="00EB647F" w:rsidRDefault="00620D49" w:rsidP="004B633E">
            <w:pPr>
              <w:spacing w:line="240" w:lineRule="auto"/>
              <w:jc w:val="left"/>
              <w:rPr>
                <w:rFonts w:ascii="Calibri" w:eastAsia="Calibri" w:hAnsi="Calibri" w:cs="Times New Roman"/>
                <w:sz w:val="22"/>
              </w:rPr>
            </w:pPr>
          </w:p>
        </w:tc>
        <w:tc>
          <w:tcPr>
            <w:tcW w:w="1162" w:type="dxa"/>
            <w:tcBorders>
              <w:top w:val="single" w:sz="4" w:space="0" w:color="auto"/>
              <w:bottom w:val="single" w:sz="4" w:space="0" w:color="auto"/>
            </w:tcBorders>
          </w:tcPr>
          <w:p w14:paraId="6A6A92D2"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2015</w:t>
            </w:r>
          </w:p>
        </w:tc>
        <w:tc>
          <w:tcPr>
            <w:tcW w:w="1162" w:type="dxa"/>
            <w:tcBorders>
              <w:top w:val="single" w:sz="4" w:space="0" w:color="auto"/>
              <w:bottom w:val="single" w:sz="4" w:space="0" w:color="auto"/>
            </w:tcBorders>
          </w:tcPr>
          <w:p w14:paraId="158F6ABE"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2020</w:t>
            </w:r>
          </w:p>
        </w:tc>
        <w:tc>
          <w:tcPr>
            <w:tcW w:w="1163" w:type="dxa"/>
            <w:tcBorders>
              <w:top w:val="single" w:sz="4" w:space="0" w:color="auto"/>
              <w:bottom w:val="single" w:sz="4" w:space="0" w:color="auto"/>
            </w:tcBorders>
          </w:tcPr>
          <w:p w14:paraId="39FEB671"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2030</w:t>
            </w:r>
          </w:p>
        </w:tc>
        <w:tc>
          <w:tcPr>
            <w:tcW w:w="1162" w:type="dxa"/>
            <w:tcBorders>
              <w:top w:val="single" w:sz="4" w:space="0" w:color="auto"/>
              <w:bottom w:val="single" w:sz="4" w:space="0" w:color="auto"/>
            </w:tcBorders>
          </w:tcPr>
          <w:p w14:paraId="7BA9E876"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2040</w:t>
            </w:r>
          </w:p>
        </w:tc>
        <w:tc>
          <w:tcPr>
            <w:tcW w:w="1163" w:type="dxa"/>
            <w:tcBorders>
              <w:top w:val="single" w:sz="4" w:space="0" w:color="auto"/>
              <w:bottom w:val="single" w:sz="4" w:space="0" w:color="auto"/>
            </w:tcBorders>
          </w:tcPr>
          <w:p w14:paraId="4047E7C9"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2050</w:t>
            </w:r>
          </w:p>
        </w:tc>
      </w:tr>
      <w:tr w:rsidR="00620D49" w:rsidRPr="00EB647F" w14:paraId="7667FF95" w14:textId="77777777" w:rsidTr="004B633E">
        <w:tc>
          <w:tcPr>
            <w:tcW w:w="1838" w:type="dxa"/>
          </w:tcPr>
          <w:p w14:paraId="3E709D48"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Men</w:t>
            </w:r>
          </w:p>
        </w:tc>
        <w:tc>
          <w:tcPr>
            <w:tcW w:w="1162" w:type="dxa"/>
          </w:tcPr>
          <w:p w14:paraId="014E9672" w14:textId="60E801CE" w:rsidR="00620D49" w:rsidRPr="00EB647F" w:rsidRDefault="00B91963" w:rsidP="004B633E">
            <w:pPr>
              <w:spacing w:line="240" w:lineRule="auto"/>
              <w:jc w:val="left"/>
              <w:rPr>
                <w:rFonts w:ascii="Calibri" w:eastAsia="Calibri" w:hAnsi="Calibri" w:cs="Times New Roman"/>
                <w:sz w:val="22"/>
              </w:rPr>
            </w:pPr>
            <w:r>
              <w:rPr>
                <w:rFonts w:ascii="Calibri" w:eastAsia="Calibri" w:hAnsi="Calibri" w:cs="Times New Roman"/>
                <w:sz w:val="22"/>
              </w:rPr>
              <w:t>1416</w:t>
            </w:r>
          </w:p>
        </w:tc>
        <w:tc>
          <w:tcPr>
            <w:tcW w:w="1162" w:type="dxa"/>
          </w:tcPr>
          <w:p w14:paraId="3EEE4B3C" w14:textId="67018CD9" w:rsidR="00620D49" w:rsidRPr="00EB647F" w:rsidRDefault="00A93513" w:rsidP="004B633E">
            <w:pPr>
              <w:spacing w:line="240" w:lineRule="auto"/>
              <w:jc w:val="left"/>
              <w:rPr>
                <w:rFonts w:ascii="Calibri" w:eastAsia="Calibri" w:hAnsi="Calibri" w:cs="Times New Roman"/>
                <w:sz w:val="22"/>
              </w:rPr>
            </w:pPr>
            <w:r>
              <w:rPr>
                <w:rFonts w:ascii="Calibri" w:eastAsia="Calibri" w:hAnsi="Calibri" w:cs="Times New Roman"/>
                <w:sz w:val="22"/>
              </w:rPr>
              <w:t>1870</w:t>
            </w:r>
          </w:p>
        </w:tc>
        <w:tc>
          <w:tcPr>
            <w:tcW w:w="1163" w:type="dxa"/>
          </w:tcPr>
          <w:p w14:paraId="56C92300" w14:textId="4C2D432E" w:rsidR="00620D49" w:rsidRPr="00EB647F" w:rsidRDefault="0007547C" w:rsidP="004B633E">
            <w:pPr>
              <w:spacing w:line="240" w:lineRule="auto"/>
              <w:jc w:val="left"/>
              <w:rPr>
                <w:rFonts w:ascii="Calibri" w:eastAsia="Calibri" w:hAnsi="Calibri" w:cs="Times New Roman"/>
                <w:sz w:val="22"/>
              </w:rPr>
            </w:pPr>
            <w:r>
              <w:rPr>
                <w:rFonts w:ascii="Calibri" w:eastAsia="Calibri" w:hAnsi="Calibri" w:cs="Times New Roman"/>
                <w:sz w:val="22"/>
              </w:rPr>
              <w:t>3633</w:t>
            </w:r>
          </w:p>
        </w:tc>
        <w:tc>
          <w:tcPr>
            <w:tcW w:w="1162" w:type="dxa"/>
          </w:tcPr>
          <w:p w14:paraId="7D509302" w14:textId="54B4AB13" w:rsidR="00620D49" w:rsidRPr="00EB647F" w:rsidRDefault="00C9034A" w:rsidP="004B633E">
            <w:pPr>
              <w:spacing w:line="240" w:lineRule="auto"/>
              <w:jc w:val="left"/>
              <w:rPr>
                <w:rFonts w:ascii="Calibri" w:eastAsia="Calibri" w:hAnsi="Calibri" w:cs="Times New Roman"/>
                <w:sz w:val="22"/>
              </w:rPr>
            </w:pPr>
            <w:r>
              <w:rPr>
                <w:rFonts w:ascii="Calibri" w:eastAsia="Calibri" w:hAnsi="Calibri" w:cs="Times New Roman"/>
                <w:sz w:val="22"/>
              </w:rPr>
              <w:t>6600</w:t>
            </w:r>
          </w:p>
        </w:tc>
        <w:tc>
          <w:tcPr>
            <w:tcW w:w="1163" w:type="dxa"/>
          </w:tcPr>
          <w:p w14:paraId="1724B608" w14:textId="506A494C" w:rsidR="00620D49" w:rsidRPr="00EB647F" w:rsidRDefault="00274E37" w:rsidP="004B633E">
            <w:pPr>
              <w:spacing w:line="240" w:lineRule="auto"/>
              <w:jc w:val="left"/>
              <w:rPr>
                <w:rFonts w:ascii="Calibri" w:eastAsia="Calibri" w:hAnsi="Calibri" w:cs="Times New Roman"/>
                <w:sz w:val="22"/>
              </w:rPr>
            </w:pPr>
            <w:r>
              <w:rPr>
                <w:rFonts w:ascii="Calibri" w:eastAsia="Calibri" w:hAnsi="Calibri" w:cs="Times New Roman"/>
                <w:sz w:val="22"/>
              </w:rPr>
              <w:t>10,109</w:t>
            </w:r>
          </w:p>
        </w:tc>
      </w:tr>
      <w:tr w:rsidR="00620D49" w:rsidRPr="00EB647F" w14:paraId="59B4122E" w14:textId="77777777" w:rsidTr="00AC64CC">
        <w:tc>
          <w:tcPr>
            <w:tcW w:w="1838" w:type="dxa"/>
          </w:tcPr>
          <w:p w14:paraId="0EC4FD8E"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Women</w:t>
            </w:r>
          </w:p>
        </w:tc>
        <w:tc>
          <w:tcPr>
            <w:tcW w:w="1162" w:type="dxa"/>
          </w:tcPr>
          <w:p w14:paraId="363FDEF8" w14:textId="7E5E7F84" w:rsidR="00620D49" w:rsidRPr="00EB647F" w:rsidRDefault="00B91963" w:rsidP="004B633E">
            <w:pPr>
              <w:spacing w:line="240" w:lineRule="auto"/>
              <w:jc w:val="left"/>
              <w:rPr>
                <w:rFonts w:ascii="Calibri" w:eastAsia="Calibri" w:hAnsi="Calibri" w:cs="Times New Roman"/>
                <w:sz w:val="22"/>
              </w:rPr>
            </w:pPr>
            <w:r>
              <w:rPr>
                <w:rFonts w:ascii="Calibri" w:eastAsia="Calibri" w:hAnsi="Calibri" w:cs="Times New Roman"/>
                <w:sz w:val="22"/>
              </w:rPr>
              <w:t>1533</w:t>
            </w:r>
          </w:p>
        </w:tc>
        <w:tc>
          <w:tcPr>
            <w:tcW w:w="1162" w:type="dxa"/>
          </w:tcPr>
          <w:p w14:paraId="4B599447" w14:textId="3FFFF076" w:rsidR="00620D49" w:rsidRPr="00EB647F" w:rsidRDefault="00A93513" w:rsidP="004B633E">
            <w:pPr>
              <w:spacing w:line="240" w:lineRule="auto"/>
              <w:jc w:val="left"/>
              <w:rPr>
                <w:rFonts w:ascii="Calibri" w:eastAsia="Calibri" w:hAnsi="Calibri" w:cs="Times New Roman"/>
                <w:sz w:val="22"/>
              </w:rPr>
            </w:pPr>
            <w:r>
              <w:rPr>
                <w:rFonts w:ascii="Calibri" w:eastAsia="Calibri" w:hAnsi="Calibri" w:cs="Times New Roman"/>
                <w:sz w:val="22"/>
              </w:rPr>
              <w:t>1907</w:t>
            </w:r>
          </w:p>
        </w:tc>
        <w:tc>
          <w:tcPr>
            <w:tcW w:w="1163" w:type="dxa"/>
          </w:tcPr>
          <w:p w14:paraId="469A4CDF" w14:textId="3B1FDB18" w:rsidR="00620D49" w:rsidRPr="00EB647F" w:rsidRDefault="0007547C" w:rsidP="004B633E">
            <w:pPr>
              <w:spacing w:line="240" w:lineRule="auto"/>
              <w:jc w:val="left"/>
              <w:rPr>
                <w:rFonts w:ascii="Calibri" w:eastAsia="Calibri" w:hAnsi="Calibri" w:cs="Times New Roman"/>
                <w:sz w:val="22"/>
              </w:rPr>
            </w:pPr>
            <w:r>
              <w:rPr>
                <w:rFonts w:ascii="Calibri" w:eastAsia="Calibri" w:hAnsi="Calibri" w:cs="Times New Roman"/>
                <w:sz w:val="22"/>
              </w:rPr>
              <w:t>3338</w:t>
            </w:r>
          </w:p>
        </w:tc>
        <w:tc>
          <w:tcPr>
            <w:tcW w:w="1162" w:type="dxa"/>
          </w:tcPr>
          <w:p w14:paraId="2883E220" w14:textId="54F382AD" w:rsidR="00620D49" w:rsidRPr="00EB647F" w:rsidRDefault="00C9034A" w:rsidP="004B633E">
            <w:pPr>
              <w:spacing w:line="240" w:lineRule="auto"/>
              <w:jc w:val="left"/>
              <w:rPr>
                <w:rFonts w:ascii="Calibri" w:eastAsia="Calibri" w:hAnsi="Calibri" w:cs="Times New Roman"/>
                <w:sz w:val="22"/>
              </w:rPr>
            </w:pPr>
            <w:r>
              <w:rPr>
                <w:rFonts w:ascii="Calibri" w:eastAsia="Calibri" w:hAnsi="Calibri" w:cs="Times New Roman"/>
                <w:sz w:val="22"/>
              </w:rPr>
              <w:t>6033</w:t>
            </w:r>
          </w:p>
        </w:tc>
        <w:tc>
          <w:tcPr>
            <w:tcW w:w="1163" w:type="dxa"/>
          </w:tcPr>
          <w:p w14:paraId="6686BAAB" w14:textId="7E3EBD5A" w:rsidR="00620D49" w:rsidRPr="00EB647F" w:rsidRDefault="00274E37" w:rsidP="004B633E">
            <w:pPr>
              <w:spacing w:line="240" w:lineRule="auto"/>
              <w:jc w:val="left"/>
              <w:rPr>
                <w:rFonts w:ascii="Calibri" w:eastAsia="Calibri" w:hAnsi="Calibri" w:cs="Times New Roman"/>
                <w:sz w:val="22"/>
              </w:rPr>
            </w:pPr>
            <w:r>
              <w:rPr>
                <w:rFonts w:ascii="Calibri" w:eastAsia="Calibri" w:hAnsi="Calibri" w:cs="Times New Roman"/>
                <w:sz w:val="22"/>
              </w:rPr>
              <w:t>10,219</w:t>
            </w:r>
          </w:p>
        </w:tc>
      </w:tr>
      <w:tr w:rsidR="00620D49" w:rsidRPr="00EB647F" w14:paraId="7C7E0312" w14:textId="77777777" w:rsidTr="00AC64CC">
        <w:tc>
          <w:tcPr>
            <w:tcW w:w="1838" w:type="dxa"/>
            <w:tcBorders>
              <w:bottom w:val="single" w:sz="4" w:space="0" w:color="auto"/>
            </w:tcBorders>
          </w:tcPr>
          <w:p w14:paraId="6C2A434D" w14:textId="77777777" w:rsidR="00620D49" w:rsidRPr="00EB647F" w:rsidRDefault="00620D49" w:rsidP="004B633E">
            <w:pPr>
              <w:spacing w:line="240" w:lineRule="auto"/>
              <w:jc w:val="left"/>
              <w:rPr>
                <w:rFonts w:ascii="Calibri" w:eastAsia="Calibri" w:hAnsi="Calibri" w:cs="Times New Roman"/>
                <w:sz w:val="22"/>
              </w:rPr>
            </w:pPr>
            <w:r w:rsidRPr="00EB647F">
              <w:rPr>
                <w:rFonts w:ascii="Calibri" w:eastAsia="Calibri" w:hAnsi="Calibri" w:cs="Times New Roman"/>
                <w:sz w:val="22"/>
              </w:rPr>
              <w:t>Men and women</w:t>
            </w:r>
          </w:p>
        </w:tc>
        <w:tc>
          <w:tcPr>
            <w:tcW w:w="1162" w:type="dxa"/>
            <w:tcBorders>
              <w:bottom w:val="single" w:sz="4" w:space="0" w:color="auto"/>
            </w:tcBorders>
          </w:tcPr>
          <w:p w14:paraId="2C64E3F3" w14:textId="6CB789AD" w:rsidR="00620D49" w:rsidRPr="00EB647F" w:rsidRDefault="00B91963" w:rsidP="004B633E">
            <w:pPr>
              <w:spacing w:line="240" w:lineRule="auto"/>
              <w:jc w:val="left"/>
              <w:rPr>
                <w:rFonts w:ascii="Calibri" w:eastAsia="Calibri" w:hAnsi="Calibri" w:cs="Times New Roman"/>
                <w:sz w:val="22"/>
              </w:rPr>
            </w:pPr>
            <w:r>
              <w:rPr>
                <w:rFonts w:ascii="Calibri" w:eastAsia="Calibri" w:hAnsi="Calibri" w:cs="Times New Roman"/>
                <w:sz w:val="22"/>
              </w:rPr>
              <w:t>2949</w:t>
            </w:r>
          </w:p>
        </w:tc>
        <w:tc>
          <w:tcPr>
            <w:tcW w:w="1162" w:type="dxa"/>
            <w:tcBorders>
              <w:bottom w:val="single" w:sz="4" w:space="0" w:color="auto"/>
            </w:tcBorders>
          </w:tcPr>
          <w:p w14:paraId="3589A83C" w14:textId="246E19EB" w:rsidR="00620D49" w:rsidRPr="00EB647F" w:rsidRDefault="00A93513" w:rsidP="004B633E">
            <w:pPr>
              <w:spacing w:line="240" w:lineRule="auto"/>
              <w:jc w:val="left"/>
              <w:rPr>
                <w:rFonts w:ascii="Calibri" w:eastAsia="Calibri" w:hAnsi="Calibri" w:cs="Times New Roman"/>
                <w:sz w:val="22"/>
              </w:rPr>
            </w:pPr>
            <w:r>
              <w:rPr>
                <w:rFonts w:ascii="Calibri" w:eastAsia="Calibri" w:hAnsi="Calibri" w:cs="Times New Roman"/>
                <w:sz w:val="22"/>
              </w:rPr>
              <w:t>3777</w:t>
            </w:r>
          </w:p>
        </w:tc>
        <w:tc>
          <w:tcPr>
            <w:tcW w:w="1163" w:type="dxa"/>
            <w:tcBorders>
              <w:bottom w:val="single" w:sz="4" w:space="0" w:color="auto"/>
            </w:tcBorders>
          </w:tcPr>
          <w:p w14:paraId="7D07E028" w14:textId="5D6A65FC" w:rsidR="00620D49" w:rsidRPr="00EB647F" w:rsidRDefault="0007547C" w:rsidP="004B633E">
            <w:pPr>
              <w:spacing w:line="240" w:lineRule="auto"/>
              <w:jc w:val="left"/>
              <w:rPr>
                <w:rFonts w:ascii="Calibri" w:eastAsia="Calibri" w:hAnsi="Calibri" w:cs="Times New Roman"/>
                <w:sz w:val="22"/>
              </w:rPr>
            </w:pPr>
            <w:r>
              <w:rPr>
                <w:rFonts w:ascii="Calibri" w:eastAsia="Calibri" w:hAnsi="Calibri" w:cs="Times New Roman"/>
                <w:sz w:val="22"/>
              </w:rPr>
              <w:t>6971</w:t>
            </w:r>
          </w:p>
        </w:tc>
        <w:tc>
          <w:tcPr>
            <w:tcW w:w="1162" w:type="dxa"/>
            <w:tcBorders>
              <w:bottom w:val="single" w:sz="4" w:space="0" w:color="auto"/>
            </w:tcBorders>
          </w:tcPr>
          <w:p w14:paraId="322F60FC" w14:textId="3DFB4EC7" w:rsidR="00620D49" w:rsidRPr="00EB647F" w:rsidRDefault="00C9034A" w:rsidP="004B633E">
            <w:pPr>
              <w:spacing w:line="240" w:lineRule="auto"/>
              <w:jc w:val="left"/>
              <w:rPr>
                <w:rFonts w:ascii="Calibri" w:eastAsia="Calibri" w:hAnsi="Calibri" w:cs="Times New Roman"/>
                <w:sz w:val="22"/>
              </w:rPr>
            </w:pPr>
            <w:r>
              <w:rPr>
                <w:rFonts w:ascii="Calibri" w:eastAsia="Calibri" w:hAnsi="Calibri" w:cs="Times New Roman"/>
                <w:sz w:val="22"/>
              </w:rPr>
              <w:t>12,633</w:t>
            </w:r>
          </w:p>
        </w:tc>
        <w:tc>
          <w:tcPr>
            <w:tcW w:w="1163" w:type="dxa"/>
            <w:tcBorders>
              <w:bottom w:val="single" w:sz="4" w:space="0" w:color="auto"/>
            </w:tcBorders>
          </w:tcPr>
          <w:p w14:paraId="5EA8602A" w14:textId="51D51D41" w:rsidR="00620D49" w:rsidRPr="00EB647F" w:rsidRDefault="00274E37" w:rsidP="004B633E">
            <w:pPr>
              <w:spacing w:line="240" w:lineRule="auto"/>
              <w:jc w:val="left"/>
              <w:rPr>
                <w:rFonts w:ascii="Calibri" w:eastAsia="Calibri" w:hAnsi="Calibri" w:cs="Times New Roman"/>
                <w:sz w:val="22"/>
              </w:rPr>
            </w:pPr>
            <w:r>
              <w:rPr>
                <w:rFonts w:ascii="Calibri" w:eastAsia="Calibri" w:hAnsi="Calibri" w:cs="Times New Roman"/>
                <w:sz w:val="22"/>
              </w:rPr>
              <w:t>20,328</w:t>
            </w:r>
          </w:p>
        </w:tc>
      </w:tr>
    </w:tbl>
    <w:p w14:paraId="446337BE" w14:textId="77777777" w:rsidR="00CE0A20" w:rsidRDefault="00CE0A20" w:rsidP="00E857BB">
      <w:pPr>
        <w:tabs>
          <w:tab w:val="left" w:pos="3060"/>
        </w:tabs>
        <w:spacing w:after="120" w:line="276" w:lineRule="auto"/>
        <w:ind w:left="567"/>
        <w:rPr>
          <w:rFonts w:eastAsia="MS Mincho" w:cstheme="minorHAnsi"/>
          <w:color w:val="000000"/>
          <w:sz w:val="24"/>
          <w:szCs w:val="24"/>
          <w:lang w:eastAsia="ja-JP"/>
        </w:rPr>
      </w:pPr>
    </w:p>
    <w:p w14:paraId="0EE06A3B" w14:textId="242883AD" w:rsidR="00E857BB" w:rsidRPr="00BD3912" w:rsidRDefault="003641AE" w:rsidP="009C0F58">
      <w:pPr>
        <w:tabs>
          <w:tab w:val="left" w:pos="3060"/>
        </w:tabs>
        <w:spacing w:after="120"/>
        <w:ind w:left="1134"/>
        <w:rPr>
          <w:rFonts w:ascii="Calibri" w:eastAsia="MS Mincho" w:hAnsi="Calibri" w:cs="Times New Roman"/>
          <w:i/>
          <w:iCs/>
          <w:sz w:val="24"/>
          <w:szCs w:val="24"/>
          <w:lang w:eastAsia="ja-JP"/>
        </w:rPr>
      </w:pPr>
      <w:r w:rsidRPr="00BD3912">
        <w:rPr>
          <w:rFonts w:eastAsia="MS Mincho" w:cstheme="minorHAnsi"/>
          <w:color w:val="000000"/>
          <w:sz w:val="24"/>
          <w:szCs w:val="24"/>
          <w:lang w:eastAsia="ja-JP"/>
        </w:rPr>
        <w:t xml:space="preserve">Probabilities of a </w:t>
      </w:r>
      <w:r w:rsidR="002F3051">
        <w:rPr>
          <w:rFonts w:eastAsia="MS Mincho" w:cstheme="minorHAnsi"/>
          <w:color w:val="000000"/>
          <w:sz w:val="24"/>
          <w:szCs w:val="24"/>
          <w:lang w:eastAsia="ja-JP"/>
        </w:rPr>
        <w:t xml:space="preserve">hip fracture and </w:t>
      </w:r>
      <w:r w:rsidRPr="00BD3912">
        <w:rPr>
          <w:rFonts w:eastAsia="MS Mincho" w:cstheme="minorHAnsi"/>
          <w:color w:val="000000"/>
          <w:sz w:val="24"/>
          <w:szCs w:val="24"/>
          <w:lang w:eastAsia="ja-JP"/>
        </w:rPr>
        <w:t>major osteoporotic fracture</w:t>
      </w:r>
      <w:r w:rsidR="002253DA" w:rsidRPr="00BD3912">
        <w:rPr>
          <w:rFonts w:eastAsia="MS Mincho" w:cstheme="minorHAnsi"/>
          <w:color w:val="000000"/>
          <w:sz w:val="24"/>
          <w:szCs w:val="24"/>
          <w:lang w:eastAsia="ja-JP"/>
        </w:rPr>
        <w:t xml:space="preserve"> a</w:t>
      </w:r>
      <w:r w:rsidR="00E418C1" w:rsidRPr="00BD3912">
        <w:rPr>
          <w:rFonts w:eastAsia="MS Mincho" w:cstheme="minorHAnsi"/>
          <w:color w:val="000000"/>
          <w:sz w:val="24"/>
          <w:szCs w:val="24"/>
          <w:lang w:eastAsia="ja-JP"/>
        </w:rPr>
        <w:t>r</w:t>
      </w:r>
      <w:r w:rsidR="002253DA" w:rsidRPr="00BD3912">
        <w:rPr>
          <w:rFonts w:eastAsia="MS Mincho" w:cstheme="minorHAnsi"/>
          <w:color w:val="000000"/>
          <w:sz w:val="24"/>
          <w:szCs w:val="24"/>
          <w:lang w:eastAsia="ja-JP"/>
        </w:rPr>
        <w:t xml:space="preserve">e shown for women in Figure </w:t>
      </w:r>
      <w:r w:rsidR="003238E7">
        <w:rPr>
          <w:rFonts w:eastAsia="MS Mincho" w:cstheme="minorHAnsi"/>
          <w:color w:val="000000"/>
          <w:sz w:val="24"/>
          <w:szCs w:val="24"/>
          <w:lang w:eastAsia="ja-JP"/>
        </w:rPr>
        <w:t>2</w:t>
      </w:r>
      <w:r w:rsidR="00683E24" w:rsidRPr="00BD3912">
        <w:rPr>
          <w:rFonts w:eastAsia="MS Mincho" w:cstheme="minorHAnsi"/>
          <w:color w:val="000000"/>
          <w:sz w:val="24"/>
          <w:szCs w:val="24"/>
          <w:lang w:eastAsia="ja-JP"/>
        </w:rPr>
        <w:t xml:space="preserve">.  </w:t>
      </w:r>
      <w:r w:rsidR="00E418C1" w:rsidRPr="00BD3912">
        <w:rPr>
          <w:rFonts w:eastAsia="MS Mincho" w:cstheme="minorHAnsi"/>
          <w:color w:val="000000"/>
          <w:sz w:val="24"/>
          <w:szCs w:val="24"/>
          <w:lang w:eastAsia="ja-JP"/>
        </w:rPr>
        <w:t>Probabilities</w:t>
      </w:r>
      <w:r w:rsidR="00683E24" w:rsidRPr="00BD3912">
        <w:rPr>
          <w:rFonts w:eastAsia="MS Mincho" w:cstheme="minorHAnsi"/>
          <w:color w:val="000000"/>
          <w:sz w:val="24"/>
          <w:szCs w:val="24"/>
          <w:lang w:eastAsia="ja-JP"/>
        </w:rPr>
        <w:t xml:space="preserve"> rose with age</w:t>
      </w:r>
      <w:r w:rsidR="00E418C1" w:rsidRPr="00BD3912">
        <w:rPr>
          <w:rFonts w:eastAsia="MS Mincho" w:cstheme="minorHAnsi"/>
          <w:color w:val="000000"/>
          <w:sz w:val="24"/>
          <w:szCs w:val="24"/>
          <w:lang w:eastAsia="ja-JP"/>
        </w:rPr>
        <w:t xml:space="preserve"> up to the </w:t>
      </w:r>
      <w:r w:rsidR="00247BD8" w:rsidRPr="00BD3912">
        <w:rPr>
          <w:rFonts w:eastAsia="MS Mincho" w:cstheme="minorHAnsi"/>
          <w:color w:val="000000"/>
          <w:sz w:val="24"/>
          <w:szCs w:val="24"/>
          <w:lang w:eastAsia="ja-JP"/>
        </w:rPr>
        <w:t>a</w:t>
      </w:r>
      <w:r w:rsidR="00E418C1" w:rsidRPr="00BD3912">
        <w:rPr>
          <w:rFonts w:eastAsia="MS Mincho" w:cstheme="minorHAnsi"/>
          <w:color w:val="000000"/>
          <w:sz w:val="24"/>
          <w:szCs w:val="24"/>
          <w:lang w:eastAsia="ja-JP"/>
        </w:rPr>
        <w:t xml:space="preserve">ge of 70 years and decreased </w:t>
      </w:r>
      <w:r w:rsidR="00E857BB" w:rsidRPr="00BD3912">
        <w:rPr>
          <w:rFonts w:eastAsia="MS Mincho" w:cstheme="minorHAnsi"/>
          <w:color w:val="000000"/>
          <w:sz w:val="24"/>
          <w:szCs w:val="24"/>
          <w:lang w:eastAsia="ja-JP"/>
        </w:rPr>
        <w:t>thereafter due</w:t>
      </w:r>
      <w:r w:rsidR="00247BD8" w:rsidRPr="00BD3912">
        <w:rPr>
          <w:rFonts w:eastAsia="MS Mincho" w:cstheme="minorHAnsi"/>
          <w:color w:val="000000"/>
          <w:sz w:val="24"/>
          <w:szCs w:val="24"/>
          <w:lang w:eastAsia="ja-JP"/>
        </w:rPr>
        <w:t xml:space="preserve"> to the competing effect of mortality</w:t>
      </w:r>
      <w:r w:rsidR="00A0248B" w:rsidRPr="00BD3912">
        <w:rPr>
          <w:rFonts w:eastAsia="MS Mincho" w:cstheme="minorHAnsi"/>
          <w:color w:val="000000"/>
          <w:sz w:val="24"/>
          <w:szCs w:val="24"/>
          <w:lang w:eastAsia="ja-JP"/>
        </w:rPr>
        <w:t>.</w:t>
      </w:r>
      <w:r w:rsidR="00E857BB" w:rsidRPr="00BD3912">
        <w:rPr>
          <w:rFonts w:ascii="Calibri" w:eastAsia="MS Mincho" w:hAnsi="Calibri" w:cs="Times New Roman"/>
          <w:i/>
          <w:iCs/>
          <w:sz w:val="24"/>
          <w:szCs w:val="24"/>
          <w:lang w:eastAsia="ja-JP"/>
        </w:rPr>
        <w:t xml:space="preserve"> </w:t>
      </w:r>
    </w:p>
    <w:p w14:paraId="061221AE" w14:textId="7A4C1F0D" w:rsidR="00A0248B" w:rsidRDefault="00A0248B" w:rsidP="002510CF">
      <w:pPr>
        <w:autoSpaceDE w:val="0"/>
        <w:autoSpaceDN w:val="0"/>
        <w:adjustRightInd w:val="0"/>
        <w:spacing w:after="120"/>
        <w:ind w:left="1134"/>
        <w:jc w:val="left"/>
        <w:rPr>
          <w:rFonts w:eastAsia="MS Mincho" w:cstheme="minorHAnsi"/>
          <w:color w:val="000000"/>
          <w:sz w:val="24"/>
          <w:szCs w:val="24"/>
          <w:lang w:eastAsia="ja-JP"/>
        </w:rPr>
      </w:pPr>
    </w:p>
    <w:p w14:paraId="56FF57EC" w14:textId="55975D72" w:rsidR="00E6393C" w:rsidRDefault="00E6393C" w:rsidP="002510CF">
      <w:pPr>
        <w:autoSpaceDE w:val="0"/>
        <w:autoSpaceDN w:val="0"/>
        <w:adjustRightInd w:val="0"/>
        <w:spacing w:after="120"/>
        <w:ind w:left="1134"/>
        <w:jc w:val="left"/>
        <w:rPr>
          <w:rFonts w:eastAsia="MS Mincho" w:cstheme="minorHAnsi"/>
          <w:b/>
          <w:bCs/>
          <w:color w:val="000000"/>
          <w:sz w:val="24"/>
          <w:szCs w:val="24"/>
          <w:lang w:eastAsia="ja-JP"/>
        </w:rPr>
      </w:pPr>
    </w:p>
    <w:p w14:paraId="117DD12E" w14:textId="6FA961B3" w:rsidR="000C01E6" w:rsidRDefault="000C01E6" w:rsidP="00690DAB">
      <w:pPr>
        <w:autoSpaceDE w:val="0"/>
        <w:autoSpaceDN w:val="0"/>
        <w:adjustRightInd w:val="0"/>
        <w:spacing w:after="120" w:line="276" w:lineRule="auto"/>
        <w:ind w:left="1134" w:right="1701"/>
        <w:jc w:val="left"/>
        <w:rPr>
          <w:rFonts w:eastAsia="MS Mincho" w:cstheme="minorHAnsi"/>
          <w:b/>
          <w:bCs/>
          <w:color w:val="000000"/>
          <w:sz w:val="24"/>
          <w:szCs w:val="24"/>
          <w:lang w:eastAsia="ja-JP"/>
        </w:rPr>
      </w:pPr>
      <w:r>
        <w:rPr>
          <w:noProof/>
          <w:lang w:eastAsia="en-GB"/>
        </w:rPr>
        <w:drawing>
          <wp:anchor distT="0" distB="0" distL="114300" distR="114300" simplePos="0" relativeHeight="251662336" behindDoc="0" locked="0" layoutInCell="1" allowOverlap="1" wp14:anchorId="50160058" wp14:editId="003514AE">
            <wp:simplePos x="0" y="0"/>
            <wp:positionH relativeFrom="column">
              <wp:posOffset>365760</wp:posOffset>
            </wp:positionH>
            <wp:positionV relativeFrom="paragraph">
              <wp:posOffset>1270</wp:posOffset>
            </wp:positionV>
            <wp:extent cx="5619750" cy="2838450"/>
            <wp:effectExtent l="0" t="0" r="0" b="0"/>
            <wp:wrapTopAndBottom/>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rcRect t="3184" r="3950" b="10573"/>
                    <a:stretch/>
                  </pic:blipFill>
                  <pic:spPr bwMode="auto">
                    <a:xfrm>
                      <a:off x="0" y="0"/>
                      <a:ext cx="5619750" cy="2838450"/>
                    </a:xfrm>
                    <a:prstGeom prst="rect">
                      <a:avLst/>
                    </a:prstGeom>
                    <a:ln>
                      <a:noFill/>
                    </a:ln>
                    <a:extLst>
                      <a:ext uri="{53640926-AAD7-44D8-BBD7-CCE9431645EC}">
                        <a14:shadowObscured xmlns:a14="http://schemas.microsoft.com/office/drawing/2010/main"/>
                      </a:ext>
                    </a:extLst>
                  </pic:spPr>
                </pic:pic>
              </a:graphicData>
            </a:graphic>
          </wp:anchor>
        </w:drawing>
      </w:r>
    </w:p>
    <w:p w14:paraId="7E2BD4C3" w14:textId="65A69B7E" w:rsidR="00A0248B" w:rsidRPr="00D975E5" w:rsidRDefault="00A0248B" w:rsidP="004E01F8">
      <w:pPr>
        <w:autoSpaceDE w:val="0"/>
        <w:autoSpaceDN w:val="0"/>
        <w:adjustRightInd w:val="0"/>
        <w:spacing w:after="120" w:line="276" w:lineRule="auto"/>
        <w:ind w:left="1134"/>
        <w:jc w:val="left"/>
        <w:rPr>
          <w:rFonts w:eastAsia="MS Mincho" w:cstheme="minorHAnsi"/>
          <w:b/>
          <w:bCs/>
          <w:color w:val="000000"/>
          <w:sz w:val="24"/>
          <w:szCs w:val="24"/>
          <w:lang w:eastAsia="ja-JP"/>
        </w:rPr>
      </w:pPr>
      <w:r w:rsidRPr="00D975E5">
        <w:rPr>
          <w:rFonts w:eastAsia="MS Mincho" w:cstheme="minorHAnsi"/>
          <w:b/>
          <w:bCs/>
          <w:color w:val="000000"/>
          <w:sz w:val="24"/>
          <w:szCs w:val="24"/>
          <w:lang w:eastAsia="ja-JP"/>
        </w:rPr>
        <w:t>Fi</w:t>
      </w:r>
      <w:r w:rsidR="00D975E5" w:rsidRPr="00D975E5">
        <w:rPr>
          <w:rFonts w:eastAsia="MS Mincho" w:cstheme="minorHAnsi"/>
          <w:b/>
          <w:bCs/>
          <w:color w:val="000000"/>
          <w:sz w:val="24"/>
          <w:szCs w:val="24"/>
          <w:lang w:eastAsia="ja-JP"/>
        </w:rPr>
        <w:t xml:space="preserve">g. </w:t>
      </w:r>
      <w:r w:rsidR="003238E7">
        <w:rPr>
          <w:rFonts w:eastAsia="MS Mincho" w:cstheme="minorHAnsi"/>
          <w:b/>
          <w:bCs/>
          <w:color w:val="000000"/>
          <w:sz w:val="24"/>
          <w:szCs w:val="24"/>
          <w:lang w:eastAsia="ja-JP"/>
        </w:rPr>
        <w:t>2</w:t>
      </w:r>
      <w:r w:rsidR="00447EB4" w:rsidRPr="00D975E5">
        <w:rPr>
          <w:rFonts w:eastAsia="MS Mincho" w:cstheme="minorHAnsi"/>
          <w:b/>
          <w:bCs/>
          <w:color w:val="000000"/>
          <w:sz w:val="24"/>
          <w:szCs w:val="24"/>
          <w:lang w:eastAsia="ja-JP"/>
        </w:rPr>
        <w:t xml:space="preserve"> </w:t>
      </w:r>
      <w:r w:rsidR="00447EB4" w:rsidRPr="003F4E25">
        <w:rPr>
          <w:rFonts w:eastAsia="MS Mincho" w:cstheme="minorHAnsi"/>
          <w:color w:val="000000"/>
          <w:sz w:val="24"/>
          <w:szCs w:val="24"/>
          <w:lang w:eastAsia="ja-JP"/>
        </w:rPr>
        <w:t>10</w:t>
      </w:r>
      <w:r w:rsidR="00B54761" w:rsidRPr="004B4363">
        <w:rPr>
          <w:rFonts w:eastAsia="MS Mincho" w:cstheme="minorHAnsi"/>
          <w:color w:val="000000"/>
          <w:sz w:val="22"/>
          <w:lang w:eastAsia="ja-JP"/>
        </w:rPr>
        <w:t>-year probability of a major osteoporotic fracture</w:t>
      </w:r>
      <w:r w:rsidR="004B4363" w:rsidRPr="004B4363">
        <w:rPr>
          <w:rFonts w:eastAsia="MS Mincho" w:cstheme="minorHAnsi"/>
          <w:color w:val="000000"/>
          <w:sz w:val="22"/>
          <w:lang w:eastAsia="ja-JP"/>
        </w:rPr>
        <w:t xml:space="preserve"> in women </w:t>
      </w:r>
      <w:r w:rsidR="004B4363">
        <w:rPr>
          <w:rFonts w:eastAsia="MS Mincho" w:cstheme="minorHAnsi"/>
          <w:color w:val="000000"/>
          <w:sz w:val="22"/>
          <w:lang w:eastAsia="ja-JP"/>
        </w:rPr>
        <w:t>by</w:t>
      </w:r>
      <w:r w:rsidR="004B4363" w:rsidRPr="004B4363">
        <w:rPr>
          <w:rFonts w:eastAsia="MS Mincho" w:cstheme="minorHAnsi"/>
          <w:color w:val="000000"/>
          <w:sz w:val="22"/>
          <w:lang w:eastAsia="ja-JP"/>
        </w:rPr>
        <w:t xml:space="preserve"> age</w:t>
      </w:r>
      <w:r w:rsidR="006F0261">
        <w:rPr>
          <w:rFonts w:eastAsia="MS Mincho" w:cstheme="minorHAnsi"/>
          <w:color w:val="000000"/>
          <w:sz w:val="22"/>
          <w:lang w:eastAsia="ja-JP"/>
        </w:rPr>
        <w:t xml:space="preserve">.  The </w:t>
      </w:r>
      <w:r w:rsidR="001D67C5">
        <w:rPr>
          <w:rFonts w:eastAsia="MS Mincho" w:cstheme="minorHAnsi"/>
          <w:color w:val="000000"/>
          <w:sz w:val="22"/>
          <w:lang w:eastAsia="ja-JP"/>
        </w:rPr>
        <w:t>solid</w:t>
      </w:r>
      <w:r w:rsidR="007F3AF6">
        <w:rPr>
          <w:rFonts w:eastAsia="MS Mincho" w:cstheme="minorHAnsi"/>
          <w:color w:val="000000"/>
          <w:sz w:val="22"/>
          <w:lang w:eastAsia="ja-JP"/>
        </w:rPr>
        <w:t xml:space="preserve"> </w:t>
      </w:r>
      <w:r w:rsidR="006F0261">
        <w:rPr>
          <w:rFonts w:eastAsia="MS Mincho" w:cstheme="minorHAnsi"/>
          <w:color w:val="000000"/>
          <w:sz w:val="22"/>
          <w:lang w:eastAsia="ja-JP"/>
        </w:rPr>
        <w:t xml:space="preserve">line shows probabilities in women </w:t>
      </w:r>
      <w:r w:rsidR="002F3CFC">
        <w:rPr>
          <w:rFonts w:eastAsia="MS Mincho" w:cstheme="minorHAnsi"/>
          <w:color w:val="000000"/>
          <w:sz w:val="22"/>
          <w:lang w:eastAsia="ja-JP"/>
        </w:rPr>
        <w:t>w</w:t>
      </w:r>
      <w:r w:rsidR="006F0261">
        <w:rPr>
          <w:rFonts w:eastAsia="MS Mincho" w:cstheme="minorHAnsi"/>
          <w:color w:val="000000"/>
          <w:sz w:val="22"/>
          <w:lang w:eastAsia="ja-JP"/>
        </w:rPr>
        <w:t xml:space="preserve">ith no </w:t>
      </w:r>
      <w:r w:rsidR="002F3CFC">
        <w:rPr>
          <w:rFonts w:eastAsia="MS Mincho" w:cstheme="minorHAnsi"/>
          <w:color w:val="000000"/>
          <w:sz w:val="22"/>
          <w:lang w:eastAsia="ja-JP"/>
        </w:rPr>
        <w:t xml:space="preserve">clinical risk factors and the </w:t>
      </w:r>
      <w:r w:rsidR="001D67C5">
        <w:rPr>
          <w:rFonts w:eastAsia="MS Mincho" w:cstheme="minorHAnsi"/>
          <w:color w:val="000000"/>
          <w:sz w:val="22"/>
          <w:lang w:eastAsia="ja-JP"/>
        </w:rPr>
        <w:t xml:space="preserve">dotted </w:t>
      </w:r>
      <w:r w:rsidR="002F3CFC">
        <w:rPr>
          <w:rFonts w:eastAsia="MS Mincho" w:cstheme="minorHAnsi"/>
          <w:color w:val="000000"/>
          <w:sz w:val="22"/>
          <w:lang w:eastAsia="ja-JP"/>
        </w:rPr>
        <w:t>line</w:t>
      </w:r>
      <w:r w:rsidR="002F3CFC" w:rsidRPr="002F3CFC">
        <w:rPr>
          <w:rFonts w:eastAsia="MS Mincho" w:cstheme="minorHAnsi"/>
          <w:color w:val="000000"/>
          <w:sz w:val="22"/>
          <w:lang w:eastAsia="ja-JP"/>
        </w:rPr>
        <w:t xml:space="preserve"> </w:t>
      </w:r>
      <w:r w:rsidR="002F3CFC">
        <w:rPr>
          <w:rFonts w:eastAsia="MS Mincho" w:cstheme="minorHAnsi"/>
          <w:color w:val="000000"/>
          <w:sz w:val="22"/>
          <w:lang w:eastAsia="ja-JP"/>
        </w:rPr>
        <w:t>shows probabilities in women with a prior fragility fracture</w:t>
      </w:r>
      <w:r w:rsidR="00956F13">
        <w:rPr>
          <w:rFonts w:eastAsia="MS Mincho" w:cstheme="minorHAnsi"/>
          <w:color w:val="000000"/>
          <w:sz w:val="22"/>
          <w:lang w:eastAsia="ja-JP"/>
        </w:rPr>
        <w:t>.  Body mass index was set at 25kg/</w:t>
      </w:r>
      <w:r w:rsidR="00447EB4">
        <w:rPr>
          <w:rFonts w:eastAsia="MS Mincho" w:cstheme="minorHAnsi"/>
          <w:color w:val="000000"/>
          <w:sz w:val="22"/>
          <w:lang w:eastAsia="ja-JP"/>
        </w:rPr>
        <w:t>m</w:t>
      </w:r>
      <w:r w:rsidR="00447EB4" w:rsidRPr="00447EB4">
        <w:rPr>
          <w:rFonts w:eastAsia="MS Mincho" w:cstheme="minorHAnsi"/>
          <w:color w:val="000000"/>
          <w:sz w:val="22"/>
          <w:vertAlign w:val="superscript"/>
          <w:lang w:eastAsia="ja-JP"/>
        </w:rPr>
        <w:t>2</w:t>
      </w:r>
      <w:r w:rsidR="00447EB4">
        <w:rPr>
          <w:rFonts w:eastAsia="MS Mincho" w:cstheme="minorHAnsi"/>
          <w:color w:val="000000"/>
          <w:sz w:val="22"/>
          <w:lang w:eastAsia="ja-JP"/>
        </w:rPr>
        <w:t>.</w:t>
      </w:r>
      <w:r w:rsidR="00956F13">
        <w:rPr>
          <w:rFonts w:eastAsia="MS Mincho" w:cstheme="minorHAnsi"/>
          <w:color w:val="000000"/>
          <w:sz w:val="22"/>
          <w:lang w:eastAsia="ja-JP"/>
        </w:rPr>
        <w:t xml:space="preserve"> </w:t>
      </w:r>
    </w:p>
    <w:p w14:paraId="639D6CA6" w14:textId="77777777" w:rsidR="00690DAB" w:rsidRDefault="00690DAB" w:rsidP="002510CF">
      <w:pPr>
        <w:autoSpaceDE w:val="0"/>
        <w:autoSpaceDN w:val="0"/>
        <w:adjustRightInd w:val="0"/>
        <w:spacing w:after="120"/>
        <w:ind w:left="1134"/>
        <w:jc w:val="left"/>
        <w:rPr>
          <w:rFonts w:eastAsia="MS Mincho" w:cstheme="minorHAnsi"/>
          <w:color w:val="000000"/>
          <w:sz w:val="24"/>
          <w:szCs w:val="24"/>
          <w:lang w:eastAsia="ja-JP"/>
        </w:rPr>
      </w:pPr>
    </w:p>
    <w:p w14:paraId="1806DE0B" w14:textId="208FAF39" w:rsidR="00A0248B" w:rsidRDefault="00D46584" w:rsidP="00C34952">
      <w:pPr>
        <w:autoSpaceDE w:val="0"/>
        <w:autoSpaceDN w:val="0"/>
        <w:adjustRightInd w:val="0"/>
        <w:spacing w:after="120"/>
        <w:ind w:left="1134"/>
        <w:jc w:val="left"/>
        <w:rPr>
          <w:rFonts w:eastAsia="MS Mincho" w:cstheme="minorHAnsi"/>
          <w:color w:val="000000"/>
          <w:sz w:val="24"/>
          <w:szCs w:val="24"/>
          <w:lang w:eastAsia="ja-JP"/>
        </w:rPr>
      </w:pPr>
      <w:r>
        <w:rPr>
          <w:rFonts w:eastAsia="MS Mincho" w:cstheme="minorHAnsi"/>
          <w:color w:val="000000"/>
          <w:sz w:val="24"/>
          <w:szCs w:val="24"/>
          <w:lang w:eastAsia="ja-JP"/>
        </w:rPr>
        <w:t>F</w:t>
      </w:r>
      <w:r w:rsidR="00690DAB">
        <w:rPr>
          <w:rFonts w:eastAsia="MS Mincho" w:cstheme="minorHAnsi"/>
          <w:color w:val="000000"/>
          <w:sz w:val="24"/>
          <w:szCs w:val="24"/>
          <w:lang w:eastAsia="ja-JP"/>
        </w:rPr>
        <w:t>r</w:t>
      </w:r>
      <w:r>
        <w:rPr>
          <w:rFonts w:eastAsia="MS Mincho" w:cstheme="minorHAnsi"/>
          <w:color w:val="000000"/>
          <w:sz w:val="24"/>
          <w:szCs w:val="24"/>
          <w:lang w:eastAsia="ja-JP"/>
        </w:rPr>
        <w:t>ac</w:t>
      </w:r>
      <w:r w:rsidR="00690DAB">
        <w:rPr>
          <w:rFonts w:eastAsia="MS Mincho" w:cstheme="minorHAnsi"/>
          <w:color w:val="000000"/>
          <w:sz w:val="24"/>
          <w:szCs w:val="24"/>
          <w:lang w:eastAsia="ja-JP"/>
        </w:rPr>
        <w:t xml:space="preserve">ture probabilities </w:t>
      </w:r>
      <w:r w:rsidR="007E159A">
        <w:rPr>
          <w:rFonts w:eastAsia="MS Mincho" w:cstheme="minorHAnsi"/>
          <w:color w:val="000000"/>
          <w:sz w:val="24"/>
          <w:szCs w:val="24"/>
          <w:lang w:eastAsia="ja-JP"/>
        </w:rPr>
        <w:t>in</w:t>
      </w:r>
      <w:r w:rsidR="005D357F">
        <w:rPr>
          <w:rFonts w:eastAsia="MS Mincho" w:cstheme="minorHAnsi"/>
          <w:color w:val="000000"/>
          <w:sz w:val="24"/>
          <w:szCs w:val="24"/>
          <w:lang w:eastAsia="ja-JP"/>
        </w:rPr>
        <w:t xml:space="preserve"> women with a prior fragility fracture</w:t>
      </w:r>
      <w:r w:rsidR="007E159A">
        <w:rPr>
          <w:rFonts w:eastAsia="MS Mincho" w:cstheme="minorHAnsi"/>
          <w:color w:val="000000"/>
          <w:sz w:val="24"/>
          <w:szCs w:val="24"/>
          <w:lang w:eastAsia="ja-JP"/>
        </w:rPr>
        <w:t xml:space="preserve"> are compared with those derived from the FRAX models </w:t>
      </w:r>
      <w:r w:rsidR="00C663B8">
        <w:rPr>
          <w:rFonts w:eastAsia="MS Mincho" w:cstheme="minorHAnsi"/>
          <w:color w:val="000000"/>
          <w:sz w:val="24"/>
          <w:szCs w:val="24"/>
          <w:lang w:eastAsia="ja-JP"/>
        </w:rPr>
        <w:t>for Kuwait and Abu Dhabi</w:t>
      </w:r>
      <w:r w:rsidR="00157318">
        <w:rPr>
          <w:rFonts w:eastAsia="MS Mincho" w:cstheme="minorHAnsi"/>
          <w:color w:val="000000"/>
          <w:sz w:val="24"/>
          <w:szCs w:val="24"/>
          <w:lang w:eastAsia="ja-JP"/>
        </w:rPr>
        <w:t xml:space="preserve"> in </w:t>
      </w:r>
      <w:r w:rsidR="002B35F2">
        <w:rPr>
          <w:rFonts w:eastAsia="MS Mincho" w:cstheme="minorHAnsi"/>
          <w:color w:val="000000"/>
          <w:sz w:val="24"/>
          <w:szCs w:val="24"/>
          <w:lang w:eastAsia="ja-JP"/>
        </w:rPr>
        <w:t xml:space="preserve">Figure </w:t>
      </w:r>
      <w:r w:rsidR="00755B80">
        <w:rPr>
          <w:rFonts w:eastAsia="MS Mincho" w:cstheme="minorHAnsi"/>
          <w:color w:val="000000"/>
          <w:sz w:val="24"/>
          <w:szCs w:val="24"/>
          <w:lang w:eastAsia="ja-JP"/>
        </w:rPr>
        <w:t>3</w:t>
      </w:r>
      <w:r w:rsidR="00C663B8">
        <w:rPr>
          <w:rFonts w:eastAsia="MS Mincho" w:cstheme="minorHAnsi"/>
          <w:color w:val="000000"/>
          <w:sz w:val="24"/>
          <w:szCs w:val="24"/>
          <w:lang w:eastAsia="ja-JP"/>
        </w:rPr>
        <w:t>.</w:t>
      </w:r>
      <w:r w:rsidR="008736E3">
        <w:rPr>
          <w:rFonts w:eastAsia="MS Mincho" w:cstheme="minorHAnsi"/>
          <w:color w:val="000000"/>
          <w:sz w:val="24"/>
          <w:szCs w:val="24"/>
          <w:lang w:eastAsia="ja-JP"/>
        </w:rPr>
        <w:t xml:space="preserve">  </w:t>
      </w:r>
      <w:r w:rsidR="00424050">
        <w:rPr>
          <w:rFonts w:eastAsia="MS Mincho" w:cstheme="minorHAnsi"/>
          <w:color w:val="000000"/>
          <w:sz w:val="24"/>
          <w:szCs w:val="24"/>
          <w:lang w:eastAsia="ja-JP"/>
        </w:rPr>
        <w:t>At younger ages</w:t>
      </w:r>
      <w:r w:rsidR="0098671C">
        <w:rPr>
          <w:rFonts w:eastAsia="MS Mincho" w:cstheme="minorHAnsi"/>
          <w:color w:val="000000"/>
          <w:sz w:val="24"/>
          <w:szCs w:val="24"/>
          <w:lang w:eastAsia="ja-JP"/>
        </w:rPr>
        <w:t xml:space="preserve"> fracture probabilities were rather similar between countries</w:t>
      </w:r>
      <w:r w:rsidR="0097060E">
        <w:rPr>
          <w:rFonts w:eastAsia="MS Mincho" w:cstheme="minorHAnsi"/>
          <w:color w:val="000000"/>
          <w:sz w:val="24"/>
          <w:szCs w:val="24"/>
          <w:lang w:eastAsia="ja-JP"/>
        </w:rPr>
        <w:t xml:space="preserve"> </w:t>
      </w:r>
      <w:r w:rsidR="00A57ED6">
        <w:rPr>
          <w:rFonts w:eastAsia="MS Mincho" w:cstheme="minorHAnsi"/>
          <w:color w:val="000000"/>
          <w:sz w:val="24"/>
          <w:szCs w:val="24"/>
          <w:lang w:eastAsia="ja-JP"/>
        </w:rPr>
        <w:t>but diverged markedly with age</w:t>
      </w:r>
      <w:r w:rsidR="00DF359B">
        <w:rPr>
          <w:rFonts w:eastAsia="MS Mincho" w:cstheme="minorHAnsi"/>
          <w:color w:val="000000"/>
          <w:sz w:val="24"/>
          <w:szCs w:val="24"/>
          <w:lang w:eastAsia="ja-JP"/>
        </w:rPr>
        <w:t xml:space="preserve">.  </w:t>
      </w:r>
      <w:r w:rsidR="008736E3">
        <w:rPr>
          <w:rFonts w:eastAsia="MS Mincho" w:cstheme="minorHAnsi"/>
          <w:color w:val="000000"/>
          <w:sz w:val="24"/>
          <w:szCs w:val="24"/>
          <w:lang w:eastAsia="ja-JP"/>
        </w:rPr>
        <w:t>For Kuwait, fracture probabilities increased</w:t>
      </w:r>
      <w:r w:rsidR="002B35F2">
        <w:rPr>
          <w:rFonts w:eastAsia="MS Mincho" w:cstheme="minorHAnsi"/>
          <w:color w:val="000000"/>
          <w:sz w:val="24"/>
          <w:szCs w:val="24"/>
          <w:lang w:eastAsia="ja-JP"/>
        </w:rPr>
        <w:t xml:space="preserve"> progressively with age</w:t>
      </w:r>
      <w:r w:rsidR="00000443">
        <w:rPr>
          <w:rFonts w:eastAsia="MS Mincho" w:cstheme="minorHAnsi"/>
          <w:color w:val="000000"/>
          <w:sz w:val="24"/>
          <w:szCs w:val="24"/>
          <w:lang w:eastAsia="ja-JP"/>
        </w:rPr>
        <w:t xml:space="preserve"> up to the age of 90</w:t>
      </w:r>
      <w:r w:rsidR="007E520A">
        <w:rPr>
          <w:rFonts w:eastAsia="MS Mincho" w:cstheme="minorHAnsi"/>
          <w:color w:val="000000"/>
          <w:sz w:val="24"/>
          <w:szCs w:val="24"/>
          <w:lang w:eastAsia="ja-JP"/>
        </w:rPr>
        <w:t xml:space="preserve"> years.  For </w:t>
      </w:r>
      <w:r w:rsidR="00C42C7C">
        <w:rPr>
          <w:rFonts w:eastAsia="MS Mincho" w:cstheme="minorHAnsi"/>
          <w:color w:val="000000"/>
          <w:sz w:val="24"/>
          <w:szCs w:val="24"/>
          <w:lang w:eastAsia="ja-JP"/>
        </w:rPr>
        <w:t>Abu</w:t>
      </w:r>
      <w:r w:rsidR="007E520A">
        <w:rPr>
          <w:rFonts w:eastAsia="MS Mincho" w:cstheme="minorHAnsi"/>
          <w:color w:val="000000"/>
          <w:sz w:val="24"/>
          <w:szCs w:val="24"/>
          <w:lang w:eastAsia="ja-JP"/>
        </w:rPr>
        <w:t xml:space="preserve"> Dhab</w:t>
      </w:r>
      <w:r w:rsidR="005F4CB9">
        <w:rPr>
          <w:rFonts w:eastAsia="MS Mincho" w:cstheme="minorHAnsi"/>
          <w:color w:val="000000"/>
          <w:sz w:val="24"/>
          <w:szCs w:val="24"/>
          <w:lang w:eastAsia="ja-JP"/>
        </w:rPr>
        <w:t>i, fracture probabilities increased up to the a</w:t>
      </w:r>
      <w:r w:rsidR="00F16424">
        <w:rPr>
          <w:rFonts w:eastAsia="MS Mincho" w:cstheme="minorHAnsi"/>
          <w:color w:val="000000"/>
          <w:sz w:val="24"/>
          <w:szCs w:val="24"/>
          <w:lang w:eastAsia="ja-JP"/>
        </w:rPr>
        <w:t>ge of 80 years.</w:t>
      </w:r>
      <w:r w:rsidR="005F4CB9">
        <w:rPr>
          <w:rFonts w:eastAsia="MS Mincho" w:cstheme="minorHAnsi"/>
          <w:color w:val="000000"/>
          <w:sz w:val="24"/>
          <w:szCs w:val="24"/>
          <w:lang w:eastAsia="ja-JP"/>
        </w:rPr>
        <w:t xml:space="preserve"> </w:t>
      </w:r>
      <w:r w:rsidR="00F16424">
        <w:rPr>
          <w:rFonts w:eastAsia="MS Mincho" w:cstheme="minorHAnsi"/>
          <w:color w:val="000000"/>
          <w:sz w:val="24"/>
          <w:szCs w:val="24"/>
          <w:lang w:eastAsia="ja-JP"/>
        </w:rPr>
        <w:t xml:space="preserve"> As noted above</w:t>
      </w:r>
      <w:r w:rsidR="00AE0E9C">
        <w:rPr>
          <w:rFonts w:eastAsia="MS Mincho" w:cstheme="minorHAnsi"/>
          <w:color w:val="000000"/>
          <w:sz w:val="24"/>
          <w:szCs w:val="24"/>
          <w:lang w:eastAsia="ja-JP"/>
        </w:rPr>
        <w:t>, probabilities in Saudi w</w:t>
      </w:r>
      <w:r w:rsidR="002D63ED">
        <w:rPr>
          <w:rFonts w:eastAsia="MS Mincho" w:cstheme="minorHAnsi"/>
          <w:color w:val="000000"/>
          <w:sz w:val="24"/>
          <w:szCs w:val="24"/>
          <w:lang w:eastAsia="ja-JP"/>
        </w:rPr>
        <w:t>o</w:t>
      </w:r>
      <w:r w:rsidR="00AE0E9C">
        <w:rPr>
          <w:rFonts w:eastAsia="MS Mincho" w:cstheme="minorHAnsi"/>
          <w:color w:val="000000"/>
          <w:sz w:val="24"/>
          <w:szCs w:val="24"/>
          <w:lang w:eastAsia="ja-JP"/>
        </w:rPr>
        <w:t xml:space="preserve">men reached a peak at the </w:t>
      </w:r>
      <w:r w:rsidR="002D63ED">
        <w:rPr>
          <w:rFonts w:eastAsia="MS Mincho" w:cstheme="minorHAnsi"/>
          <w:color w:val="000000"/>
          <w:sz w:val="24"/>
          <w:szCs w:val="24"/>
          <w:lang w:eastAsia="ja-JP"/>
        </w:rPr>
        <w:t xml:space="preserve">age of 70 years.  </w:t>
      </w:r>
      <w:r w:rsidR="00000443">
        <w:rPr>
          <w:rFonts w:eastAsia="MS Mincho" w:cstheme="minorHAnsi"/>
          <w:color w:val="000000"/>
          <w:sz w:val="24"/>
          <w:szCs w:val="24"/>
          <w:lang w:eastAsia="ja-JP"/>
        </w:rPr>
        <w:t xml:space="preserve"> </w:t>
      </w:r>
      <w:r w:rsidR="00157318">
        <w:rPr>
          <w:rFonts w:eastAsia="MS Mincho" w:cstheme="minorHAnsi"/>
          <w:color w:val="000000"/>
          <w:sz w:val="24"/>
          <w:szCs w:val="24"/>
          <w:lang w:eastAsia="ja-JP"/>
        </w:rPr>
        <w:t xml:space="preserve"> </w:t>
      </w:r>
      <w:r w:rsidR="00C663B8">
        <w:rPr>
          <w:rFonts w:eastAsia="MS Mincho" w:cstheme="minorHAnsi"/>
          <w:color w:val="000000"/>
          <w:sz w:val="24"/>
          <w:szCs w:val="24"/>
          <w:lang w:eastAsia="ja-JP"/>
        </w:rPr>
        <w:t xml:space="preserve">  </w:t>
      </w:r>
    </w:p>
    <w:p w14:paraId="7052C913" w14:textId="461A4F8B" w:rsidR="00D67F70" w:rsidRDefault="00634941" w:rsidP="00A720F3">
      <w:pPr>
        <w:keepNext/>
        <w:keepLines/>
        <w:spacing w:before="240" w:after="0" w:line="276" w:lineRule="auto"/>
        <w:ind w:left="1134" w:right="142"/>
        <w:jc w:val="left"/>
        <w:outlineLvl w:val="0"/>
        <w:rPr>
          <w:rFonts w:eastAsiaTheme="majorEastAsia" w:cstheme="minorHAnsi"/>
          <w:b/>
          <w:sz w:val="22"/>
        </w:rPr>
      </w:pPr>
      <w:r>
        <w:rPr>
          <w:noProof/>
          <w:lang w:eastAsia="en-GB"/>
        </w:rPr>
        <w:drawing>
          <wp:anchor distT="0" distB="0" distL="114300" distR="114300" simplePos="0" relativeHeight="251661312" behindDoc="0" locked="0" layoutInCell="1" allowOverlap="1" wp14:anchorId="2375C6B7" wp14:editId="43DEF58A">
            <wp:simplePos x="0" y="0"/>
            <wp:positionH relativeFrom="column">
              <wp:posOffset>408623</wp:posOffset>
            </wp:positionH>
            <wp:positionV relativeFrom="paragraph">
              <wp:posOffset>337185</wp:posOffset>
            </wp:positionV>
            <wp:extent cx="5276850" cy="2500312"/>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rcRect t="6801" r="9811" b="17230"/>
                    <a:stretch/>
                  </pic:blipFill>
                  <pic:spPr bwMode="auto">
                    <a:xfrm>
                      <a:off x="0" y="0"/>
                      <a:ext cx="5276850" cy="2500312"/>
                    </a:xfrm>
                    <a:prstGeom prst="rect">
                      <a:avLst/>
                    </a:prstGeom>
                    <a:ln>
                      <a:noFill/>
                    </a:ln>
                    <a:extLst>
                      <a:ext uri="{53640926-AAD7-44D8-BBD7-CCE9431645EC}">
                        <a14:shadowObscured xmlns:a14="http://schemas.microsoft.com/office/drawing/2010/main"/>
                      </a:ext>
                    </a:extLst>
                  </pic:spPr>
                </pic:pic>
              </a:graphicData>
            </a:graphic>
          </wp:anchor>
        </w:drawing>
      </w:r>
    </w:p>
    <w:p w14:paraId="04D216F1" w14:textId="50FD5A1D" w:rsidR="004C5666" w:rsidRDefault="00A720F3" w:rsidP="00A720F3">
      <w:pPr>
        <w:keepNext/>
        <w:keepLines/>
        <w:spacing w:before="240" w:after="0" w:line="276" w:lineRule="auto"/>
        <w:ind w:left="1134" w:right="142"/>
        <w:jc w:val="left"/>
        <w:outlineLvl w:val="0"/>
        <w:rPr>
          <w:rFonts w:eastAsiaTheme="majorEastAsia" w:cstheme="minorHAnsi"/>
          <w:sz w:val="22"/>
        </w:rPr>
      </w:pPr>
      <w:r w:rsidRPr="00EB647F">
        <w:rPr>
          <w:rFonts w:eastAsiaTheme="majorEastAsia" w:cstheme="minorHAnsi"/>
          <w:b/>
          <w:sz w:val="22"/>
        </w:rPr>
        <w:t xml:space="preserve">Fig. </w:t>
      </w:r>
      <w:r w:rsidR="00076919">
        <w:rPr>
          <w:rFonts w:eastAsiaTheme="majorEastAsia" w:cstheme="minorHAnsi"/>
          <w:b/>
          <w:sz w:val="22"/>
        </w:rPr>
        <w:t>3</w:t>
      </w:r>
      <w:r w:rsidRPr="00EB647F">
        <w:rPr>
          <w:rFonts w:eastAsiaTheme="majorEastAsia" w:cstheme="minorHAnsi"/>
          <w:sz w:val="22"/>
        </w:rPr>
        <w:t xml:space="preserve"> 10-year probability of a major osteoporotic fracture (left hand panel) and hip fracture (right) </w:t>
      </w:r>
      <w:bookmarkStart w:id="10" w:name="_Hlk1749373"/>
      <w:r w:rsidRPr="00EB647F">
        <w:rPr>
          <w:rFonts w:eastAsiaTheme="majorEastAsia" w:cstheme="minorHAnsi"/>
          <w:sz w:val="22"/>
        </w:rPr>
        <w:t xml:space="preserve">in women with a prior fracture by age </w:t>
      </w:r>
      <w:bookmarkEnd w:id="10"/>
      <w:r w:rsidRPr="00EB647F">
        <w:rPr>
          <w:rFonts w:eastAsiaTheme="majorEastAsia" w:cstheme="minorHAnsi"/>
          <w:sz w:val="22"/>
        </w:rPr>
        <w:t xml:space="preserve">from </w:t>
      </w:r>
      <w:r w:rsidR="007D51DA">
        <w:rPr>
          <w:rFonts w:eastAsiaTheme="majorEastAsia" w:cstheme="minorHAnsi"/>
          <w:sz w:val="22"/>
        </w:rPr>
        <w:t>Saudi</w:t>
      </w:r>
      <w:r w:rsidRPr="00EB647F">
        <w:rPr>
          <w:rFonts w:eastAsiaTheme="majorEastAsia" w:cstheme="minorHAnsi"/>
          <w:sz w:val="22"/>
        </w:rPr>
        <w:t xml:space="preserve">, </w:t>
      </w:r>
      <w:r w:rsidR="007D51DA">
        <w:rPr>
          <w:rFonts w:eastAsiaTheme="majorEastAsia" w:cstheme="minorHAnsi"/>
          <w:sz w:val="22"/>
        </w:rPr>
        <w:t>Kuwait</w:t>
      </w:r>
      <w:r w:rsidRPr="00EB647F">
        <w:rPr>
          <w:rFonts w:eastAsiaTheme="majorEastAsia" w:cstheme="minorHAnsi"/>
          <w:sz w:val="22"/>
        </w:rPr>
        <w:t xml:space="preserve"> and </w:t>
      </w:r>
      <w:r w:rsidR="007D51DA">
        <w:rPr>
          <w:rFonts w:eastAsiaTheme="majorEastAsia" w:cstheme="minorHAnsi"/>
          <w:sz w:val="22"/>
        </w:rPr>
        <w:t>Abu Dhabi</w:t>
      </w:r>
      <w:r w:rsidRPr="00EB647F">
        <w:rPr>
          <w:rFonts w:eastAsiaTheme="majorEastAsia" w:cstheme="minorHAnsi"/>
          <w:sz w:val="22"/>
        </w:rPr>
        <w:t>.  Body mass index set to 25kg/m</w:t>
      </w:r>
      <w:r w:rsidRPr="00EB647F">
        <w:rPr>
          <w:rFonts w:eastAsiaTheme="majorEastAsia" w:cstheme="minorHAnsi"/>
          <w:sz w:val="22"/>
          <w:vertAlign w:val="superscript"/>
        </w:rPr>
        <w:t>2</w:t>
      </w:r>
      <w:r w:rsidRPr="00EB647F">
        <w:rPr>
          <w:rFonts w:eastAsiaTheme="majorEastAsia" w:cstheme="minorHAnsi"/>
          <w:sz w:val="22"/>
        </w:rPr>
        <w:t>.</w:t>
      </w:r>
    </w:p>
    <w:p w14:paraId="5556DEA8" w14:textId="463F48A1" w:rsidR="00A720F3" w:rsidRPr="00EB647F" w:rsidRDefault="00A720F3" w:rsidP="00A720F3">
      <w:pPr>
        <w:keepNext/>
        <w:keepLines/>
        <w:spacing w:before="240" w:after="0" w:line="276" w:lineRule="auto"/>
        <w:ind w:left="1134" w:right="142"/>
        <w:jc w:val="left"/>
        <w:outlineLvl w:val="0"/>
        <w:rPr>
          <w:rFonts w:eastAsiaTheme="majorEastAsia" w:cstheme="minorHAnsi"/>
          <w:sz w:val="22"/>
        </w:rPr>
      </w:pPr>
      <w:r w:rsidRPr="00EB647F">
        <w:rPr>
          <w:rFonts w:eastAsiaTheme="majorEastAsia" w:cstheme="minorHAnsi"/>
          <w:sz w:val="22"/>
        </w:rPr>
        <w:t xml:space="preserve"> </w:t>
      </w:r>
    </w:p>
    <w:p w14:paraId="31EB4EE1" w14:textId="621EFABD" w:rsidR="00FB3187" w:rsidRPr="00EB647F" w:rsidRDefault="00FB3187" w:rsidP="00171DDC">
      <w:pPr>
        <w:autoSpaceDE w:val="0"/>
        <w:autoSpaceDN w:val="0"/>
        <w:adjustRightInd w:val="0"/>
        <w:spacing w:after="120"/>
        <w:ind w:left="1134"/>
        <w:jc w:val="left"/>
        <w:rPr>
          <w:rFonts w:eastAsia="MS Mincho" w:cstheme="minorHAnsi"/>
          <w:color w:val="000000"/>
          <w:sz w:val="24"/>
          <w:szCs w:val="24"/>
          <w:lang w:eastAsia="ja-JP"/>
        </w:rPr>
      </w:pPr>
      <w:r w:rsidRPr="00EB647F">
        <w:rPr>
          <w:rFonts w:eastAsia="MS Mincho" w:cstheme="minorHAnsi"/>
          <w:color w:val="000000"/>
          <w:sz w:val="24"/>
          <w:szCs w:val="24"/>
          <w:lang w:eastAsia="ja-JP"/>
        </w:rPr>
        <w:t xml:space="preserve">Lifetime probabilities for hip fracture are shown in Table </w:t>
      </w:r>
      <w:r w:rsidR="00EB6DE3">
        <w:rPr>
          <w:rFonts w:eastAsia="MS Mincho" w:cstheme="minorHAnsi"/>
          <w:color w:val="000000"/>
          <w:sz w:val="24"/>
          <w:szCs w:val="24"/>
          <w:lang w:eastAsia="ja-JP"/>
        </w:rPr>
        <w:t>3</w:t>
      </w:r>
      <w:r w:rsidRPr="00EB647F">
        <w:rPr>
          <w:rFonts w:eastAsia="MS Mincho" w:cstheme="minorHAnsi"/>
          <w:color w:val="000000"/>
          <w:sz w:val="24"/>
          <w:szCs w:val="24"/>
          <w:lang w:eastAsia="ja-JP"/>
        </w:rPr>
        <w:t>.</w:t>
      </w:r>
      <w:r w:rsidR="00A07203">
        <w:rPr>
          <w:rFonts w:eastAsia="MS Mincho" w:cstheme="minorHAnsi"/>
          <w:color w:val="000000"/>
          <w:sz w:val="24"/>
          <w:szCs w:val="24"/>
          <w:lang w:eastAsia="ja-JP"/>
        </w:rPr>
        <w:t xml:space="preserve">  </w:t>
      </w:r>
      <w:r w:rsidR="00DA739B">
        <w:rPr>
          <w:rFonts w:eastAsia="MS Mincho" w:cstheme="minorHAnsi"/>
          <w:color w:val="000000"/>
          <w:sz w:val="24"/>
          <w:szCs w:val="24"/>
          <w:lang w:eastAsia="ja-JP"/>
        </w:rPr>
        <w:t>For Saudi Arabia,</w:t>
      </w:r>
      <w:r w:rsidR="009E72AC">
        <w:rPr>
          <w:rFonts w:eastAsia="MS Mincho" w:cstheme="minorHAnsi"/>
          <w:color w:val="000000"/>
          <w:sz w:val="24"/>
          <w:szCs w:val="24"/>
          <w:lang w:eastAsia="ja-JP"/>
        </w:rPr>
        <w:t xml:space="preserve"> </w:t>
      </w:r>
      <w:r w:rsidR="00DA739B">
        <w:rPr>
          <w:rFonts w:eastAsia="MS Mincho" w:cstheme="minorHAnsi"/>
          <w:color w:val="000000"/>
          <w:sz w:val="24"/>
          <w:szCs w:val="24"/>
          <w:lang w:eastAsia="ja-JP"/>
        </w:rPr>
        <w:t xml:space="preserve">probabilities were </w:t>
      </w:r>
      <w:r w:rsidR="00C34783">
        <w:rPr>
          <w:rFonts w:eastAsia="MS Mincho" w:cstheme="minorHAnsi"/>
          <w:color w:val="000000"/>
          <w:sz w:val="24"/>
          <w:szCs w:val="24"/>
          <w:lang w:eastAsia="ja-JP"/>
        </w:rPr>
        <w:t>less than 1 in 20</w:t>
      </w:r>
      <w:r w:rsidR="00AC33AE">
        <w:rPr>
          <w:rFonts w:eastAsia="MS Mincho" w:cstheme="minorHAnsi"/>
          <w:color w:val="000000"/>
          <w:sz w:val="24"/>
          <w:szCs w:val="24"/>
          <w:lang w:eastAsia="ja-JP"/>
        </w:rPr>
        <w:t xml:space="preserve">, </w:t>
      </w:r>
      <w:r w:rsidR="00A2004E">
        <w:rPr>
          <w:rFonts w:eastAsia="MS Mincho" w:cstheme="minorHAnsi"/>
          <w:color w:val="000000"/>
          <w:sz w:val="24"/>
          <w:szCs w:val="24"/>
          <w:lang w:eastAsia="ja-JP"/>
        </w:rPr>
        <w:t xml:space="preserve">and similar to probabilities in </w:t>
      </w:r>
      <w:r w:rsidR="007A0F33">
        <w:rPr>
          <w:rFonts w:eastAsia="MS Mincho" w:cstheme="minorHAnsi"/>
          <w:color w:val="000000"/>
          <w:sz w:val="24"/>
          <w:szCs w:val="24"/>
          <w:lang w:eastAsia="ja-JP"/>
        </w:rPr>
        <w:t>So</w:t>
      </w:r>
      <w:r w:rsidR="006B3ABA">
        <w:rPr>
          <w:rFonts w:eastAsia="MS Mincho" w:cstheme="minorHAnsi"/>
          <w:color w:val="000000"/>
          <w:sz w:val="24"/>
          <w:szCs w:val="24"/>
          <w:lang w:eastAsia="ja-JP"/>
        </w:rPr>
        <w:t>u</w:t>
      </w:r>
      <w:r w:rsidR="007A0F33">
        <w:rPr>
          <w:rFonts w:eastAsia="MS Mincho" w:cstheme="minorHAnsi"/>
          <w:color w:val="000000"/>
          <w:sz w:val="24"/>
          <w:szCs w:val="24"/>
          <w:lang w:eastAsia="ja-JP"/>
        </w:rPr>
        <w:t xml:space="preserve">th African blacks and Morocco.  As might </w:t>
      </w:r>
      <w:r w:rsidR="00FB243E">
        <w:rPr>
          <w:rFonts w:eastAsia="MS Mincho" w:cstheme="minorHAnsi"/>
          <w:color w:val="000000"/>
          <w:sz w:val="24"/>
          <w:szCs w:val="24"/>
          <w:lang w:eastAsia="ja-JP"/>
        </w:rPr>
        <w:t xml:space="preserve">be expected </w:t>
      </w:r>
      <w:r w:rsidR="0048490D">
        <w:rPr>
          <w:rFonts w:eastAsia="MS Mincho" w:cstheme="minorHAnsi"/>
          <w:color w:val="000000"/>
          <w:sz w:val="24"/>
          <w:szCs w:val="24"/>
          <w:lang w:eastAsia="ja-JP"/>
        </w:rPr>
        <w:t xml:space="preserve">from the differences in mortality, </w:t>
      </w:r>
      <w:r w:rsidR="00FB243E">
        <w:rPr>
          <w:rFonts w:eastAsia="MS Mincho" w:cstheme="minorHAnsi"/>
          <w:color w:val="000000"/>
          <w:sz w:val="24"/>
          <w:szCs w:val="24"/>
          <w:lang w:eastAsia="ja-JP"/>
        </w:rPr>
        <w:t xml:space="preserve">probabilities were </w:t>
      </w:r>
      <w:r w:rsidR="008F5461">
        <w:rPr>
          <w:rFonts w:eastAsia="MS Mincho" w:cstheme="minorHAnsi"/>
          <w:color w:val="000000"/>
          <w:sz w:val="24"/>
          <w:szCs w:val="24"/>
          <w:lang w:eastAsia="ja-JP"/>
        </w:rPr>
        <w:t>approximately ha</w:t>
      </w:r>
      <w:r w:rsidR="004A67B0">
        <w:rPr>
          <w:rFonts w:eastAsia="MS Mincho" w:cstheme="minorHAnsi"/>
          <w:color w:val="000000"/>
          <w:sz w:val="24"/>
          <w:szCs w:val="24"/>
          <w:lang w:eastAsia="ja-JP"/>
        </w:rPr>
        <w:t>l</w:t>
      </w:r>
      <w:r w:rsidR="008F5461">
        <w:rPr>
          <w:rFonts w:eastAsia="MS Mincho" w:cstheme="minorHAnsi"/>
          <w:color w:val="000000"/>
          <w:sz w:val="24"/>
          <w:szCs w:val="24"/>
          <w:lang w:eastAsia="ja-JP"/>
        </w:rPr>
        <w:t xml:space="preserve">f that </w:t>
      </w:r>
      <w:r w:rsidR="004A67B0">
        <w:rPr>
          <w:rFonts w:eastAsia="MS Mincho" w:cstheme="minorHAnsi"/>
          <w:color w:val="000000"/>
          <w:sz w:val="24"/>
          <w:szCs w:val="24"/>
          <w:lang w:eastAsia="ja-JP"/>
        </w:rPr>
        <w:t xml:space="preserve">estimated for </w:t>
      </w:r>
      <w:r w:rsidR="0048490D">
        <w:rPr>
          <w:rFonts w:eastAsia="MS Mincho" w:cstheme="minorHAnsi"/>
          <w:color w:val="000000"/>
          <w:sz w:val="24"/>
          <w:szCs w:val="24"/>
          <w:lang w:eastAsia="ja-JP"/>
        </w:rPr>
        <w:t>Kuwai</w:t>
      </w:r>
      <w:r w:rsidR="00AE559F">
        <w:rPr>
          <w:rFonts w:eastAsia="MS Mincho" w:cstheme="minorHAnsi"/>
          <w:color w:val="000000"/>
          <w:sz w:val="24"/>
          <w:szCs w:val="24"/>
          <w:lang w:eastAsia="ja-JP"/>
        </w:rPr>
        <w:t>t</w:t>
      </w:r>
      <w:r w:rsidR="0048490D">
        <w:rPr>
          <w:rFonts w:eastAsia="MS Mincho" w:cstheme="minorHAnsi"/>
          <w:color w:val="000000"/>
          <w:sz w:val="24"/>
          <w:szCs w:val="24"/>
          <w:lang w:eastAsia="ja-JP"/>
        </w:rPr>
        <w:t xml:space="preserve"> and Abu Dhabi</w:t>
      </w:r>
      <w:r w:rsidR="00171DDC">
        <w:rPr>
          <w:rFonts w:eastAsia="MS Mincho" w:cstheme="minorHAnsi"/>
          <w:color w:val="000000"/>
          <w:sz w:val="24"/>
          <w:szCs w:val="24"/>
          <w:lang w:eastAsia="ja-JP"/>
        </w:rPr>
        <w:t>.</w:t>
      </w:r>
    </w:p>
    <w:p w14:paraId="6D7EDBA3" w14:textId="71668EFC" w:rsidR="00BC3D4C" w:rsidRPr="00BC3D4C" w:rsidRDefault="00BC3D4C" w:rsidP="00594F76">
      <w:pPr>
        <w:autoSpaceDE w:val="0"/>
        <w:autoSpaceDN w:val="0"/>
        <w:adjustRightInd w:val="0"/>
        <w:spacing w:after="120" w:line="276" w:lineRule="auto"/>
        <w:ind w:left="1276" w:right="1417"/>
        <w:jc w:val="left"/>
        <w:rPr>
          <w:rFonts w:ascii="Calibri" w:eastAsia="MS Mincho" w:hAnsi="Calibri" w:cs="Calibri"/>
          <w:color w:val="000000"/>
          <w:sz w:val="22"/>
          <w:lang w:eastAsia="ja-JP"/>
        </w:rPr>
      </w:pPr>
      <w:r w:rsidRPr="00BC3D4C">
        <w:rPr>
          <w:rFonts w:ascii="Calibri" w:eastAsia="MS Mincho" w:hAnsi="Calibri" w:cs="Calibri"/>
          <w:b/>
          <w:color w:val="000000"/>
          <w:sz w:val="22"/>
          <w:lang w:eastAsia="ja-JP"/>
        </w:rPr>
        <w:t xml:space="preserve">Table </w:t>
      </w:r>
      <w:r w:rsidR="00EB6DE3">
        <w:rPr>
          <w:rFonts w:ascii="Calibri" w:eastAsia="MS Mincho" w:hAnsi="Calibri" w:cs="Calibri"/>
          <w:b/>
          <w:color w:val="000000"/>
          <w:sz w:val="22"/>
          <w:lang w:eastAsia="ja-JP"/>
        </w:rPr>
        <w:t>3</w:t>
      </w:r>
      <w:r w:rsidRPr="00BC3D4C">
        <w:rPr>
          <w:rFonts w:ascii="Calibri" w:eastAsia="MS Mincho" w:hAnsi="Calibri" w:cs="Calibri"/>
          <w:b/>
          <w:color w:val="000000"/>
          <w:sz w:val="22"/>
          <w:lang w:eastAsia="ja-JP"/>
        </w:rPr>
        <w:t>.</w:t>
      </w:r>
      <w:r w:rsidRPr="00BC3D4C">
        <w:rPr>
          <w:rFonts w:ascii="Calibri" w:eastAsia="MS Mincho" w:hAnsi="Calibri" w:cs="Calibri"/>
          <w:color w:val="000000"/>
          <w:sz w:val="22"/>
          <w:lang w:eastAsia="ja-JP"/>
        </w:rPr>
        <w:t xml:space="preserve"> Life-time probability of hip fracture in the Qatari population at the age of 50 years compared with selected countries.  Data from [</w:t>
      </w:r>
      <w:r w:rsidR="00AE69F9">
        <w:rPr>
          <w:rFonts w:ascii="Calibri" w:eastAsia="MS Mincho" w:hAnsi="Calibri" w:cs="Calibri"/>
          <w:color w:val="000000"/>
          <w:sz w:val="22"/>
          <w:lang w:eastAsia="ja-JP"/>
        </w:rPr>
        <w:t xml:space="preserve">18] </w:t>
      </w:r>
      <w:r w:rsidRPr="00BC3D4C">
        <w:rPr>
          <w:rFonts w:ascii="Calibri" w:eastAsia="MS Mincho" w:hAnsi="Calibri" w:cs="Calibri"/>
          <w:color w:val="000000"/>
          <w:sz w:val="22"/>
          <w:lang w:eastAsia="ja-JP"/>
        </w:rPr>
        <w:t>unless otherwise indicated.</w:t>
      </w:r>
    </w:p>
    <w:tbl>
      <w:tblPr>
        <w:tblStyle w:val="TableGrid111"/>
        <w:tblW w:w="6276"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740"/>
        <w:gridCol w:w="2268"/>
      </w:tblGrid>
      <w:tr w:rsidR="00BC3D4C" w:rsidRPr="00BC3D4C" w14:paraId="201B8DD1" w14:textId="77777777" w:rsidTr="00C34952">
        <w:tc>
          <w:tcPr>
            <w:tcW w:w="2268" w:type="dxa"/>
            <w:tcBorders>
              <w:top w:val="single" w:sz="4" w:space="0" w:color="auto"/>
            </w:tcBorders>
          </w:tcPr>
          <w:p w14:paraId="36BCF586" w14:textId="77777777" w:rsidR="00BC3D4C" w:rsidRPr="00BC3D4C" w:rsidRDefault="00BC3D4C" w:rsidP="00BC3D4C">
            <w:pPr>
              <w:spacing w:line="256" w:lineRule="auto"/>
              <w:jc w:val="left"/>
              <w:rPr>
                <w:rFonts w:eastAsia="MS Mincho" w:cs="Calibri"/>
                <w:sz w:val="20"/>
                <w:lang w:eastAsia="ja-JP"/>
              </w:rPr>
            </w:pPr>
            <w:r w:rsidRPr="00BC3D4C">
              <w:rPr>
                <w:rFonts w:eastAsia="MS Mincho" w:cs="Calibri"/>
                <w:sz w:val="20"/>
                <w:lang w:eastAsia="ja-JP"/>
              </w:rPr>
              <w:t>Country</w:t>
            </w:r>
          </w:p>
        </w:tc>
        <w:tc>
          <w:tcPr>
            <w:tcW w:w="4008" w:type="dxa"/>
            <w:gridSpan w:val="2"/>
            <w:tcBorders>
              <w:top w:val="single" w:sz="4" w:space="0" w:color="auto"/>
              <w:bottom w:val="single" w:sz="4" w:space="0" w:color="auto"/>
            </w:tcBorders>
          </w:tcPr>
          <w:p w14:paraId="0A23F285" w14:textId="77777777" w:rsidR="00BC3D4C" w:rsidRPr="00BC3D4C" w:rsidRDefault="00BC3D4C" w:rsidP="00BC3D4C">
            <w:pPr>
              <w:spacing w:line="256" w:lineRule="auto"/>
              <w:jc w:val="center"/>
              <w:rPr>
                <w:rFonts w:eastAsia="MS Mincho" w:cs="Calibri"/>
                <w:sz w:val="20"/>
                <w:lang w:eastAsia="ja-JP"/>
              </w:rPr>
            </w:pPr>
            <w:r w:rsidRPr="00BC3D4C">
              <w:rPr>
                <w:rFonts w:eastAsia="MS Mincho" w:cs="Calibri"/>
                <w:sz w:val="20"/>
                <w:lang w:eastAsia="ja-JP"/>
              </w:rPr>
              <w:t>Life-time risk at 50 years (%)</w:t>
            </w:r>
          </w:p>
        </w:tc>
      </w:tr>
      <w:tr w:rsidR="00BC3D4C" w:rsidRPr="00BC3D4C" w14:paraId="05E6D365" w14:textId="77777777" w:rsidTr="00C34952">
        <w:tc>
          <w:tcPr>
            <w:tcW w:w="2268" w:type="dxa"/>
            <w:tcBorders>
              <w:bottom w:val="single" w:sz="4" w:space="0" w:color="auto"/>
            </w:tcBorders>
          </w:tcPr>
          <w:p w14:paraId="5C1C58ED" w14:textId="77777777" w:rsidR="00BC3D4C" w:rsidRPr="00BC3D4C" w:rsidRDefault="00BC3D4C" w:rsidP="00BC3D4C">
            <w:pPr>
              <w:spacing w:line="256" w:lineRule="auto"/>
              <w:jc w:val="left"/>
              <w:rPr>
                <w:rFonts w:eastAsia="MS Mincho" w:cs="Calibri"/>
                <w:sz w:val="20"/>
                <w:lang w:eastAsia="ja-JP"/>
              </w:rPr>
            </w:pPr>
          </w:p>
        </w:tc>
        <w:tc>
          <w:tcPr>
            <w:tcW w:w="1740" w:type="dxa"/>
            <w:tcBorders>
              <w:top w:val="single" w:sz="4" w:space="0" w:color="auto"/>
              <w:bottom w:val="single" w:sz="4" w:space="0" w:color="auto"/>
            </w:tcBorders>
          </w:tcPr>
          <w:p w14:paraId="468C594F" w14:textId="77777777" w:rsidR="00BC3D4C" w:rsidRPr="00BC3D4C" w:rsidRDefault="00BC3D4C" w:rsidP="00BC3D4C">
            <w:pPr>
              <w:spacing w:line="256" w:lineRule="auto"/>
              <w:jc w:val="center"/>
              <w:rPr>
                <w:rFonts w:eastAsia="MS Mincho" w:cs="Calibri"/>
                <w:sz w:val="20"/>
                <w:lang w:eastAsia="ja-JP"/>
              </w:rPr>
            </w:pPr>
            <w:r w:rsidRPr="00BC3D4C">
              <w:rPr>
                <w:rFonts w:eastAsia="MS Mincho" w:cs="Calibri"/>
                <w:sz w:val="20"/>
                <w:lang w:eastAsia="ja-JP"/>
              </w:rPr>
              <w:t>Women</w:t>
            </w:r>
          </w:p>
        </w:tc>
        <w:tc>
          <w:tcPr>
            <w:tcW w:w="2268" w:type="dxa"/>
            <w:tcBorders>
              <w:top w:val="single" w:sz="4" w:space="0" w:color="auto"/>
              <w:bottom w:val="single" w:sz="4" w:space="0" w:color="auto"/>
            </w:tcBorders>
          </w:tcPr>
          <w:p w14:paraId="114B040B" w14:textId="77777777" w:rsidR="00BC3D4C" w:rsidRPr="00BC3D4C" w:rsidRDefault="00BC3D4C" w:rsidP="00BC3D4C">
            <w:pPr>
              <w:spacing w:line="256" w:lineRule="auto"/>
              <w:jc w:val="center"/>
              <w:rPr>
                <w:rFonts w:eastAsia="MS Mincho" w:cs="Calibri"/>
                <w:sz w:val="20"/>
                <w:lang w:eastAsia="ja-JP"/>
              </w:rPr>
            </w:pPr>
            <w:r w:rsidRPr="00BC3D4C">
              <w:rPr>
                <w:rFonts w:eastAsia="MS Mincho" w:cs="Calibri"/>
                <w:sz w:val="20"/>
                <w:lang w:eastAsia="ja-JP"/>
              </w:rPr>
              <w:t>Men</w:t>
            </w:r>
          </w:p>
        </w:tc>
      </w:tr>
      <w:tr w:rsidR="00BC3D4C" w:rsidRPr="00BC3D4C" w14:paraId="1DB04AA4" w14:textId="77777777" w:rsidTr="00C34952">
        <w:tc>
          <w:tcPr>
            <w:tcW w:w="2268" w:type="dxa"/>
            <w:tcBorders>
              <w:top w:val="single" w:sz="4" w:space="0" w:color="auto"/>
            </w:tcBorders>
          </w:tcPr>
          <w:p w14:paraId="0348826B"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Sweden</w:t>
            </w:r>
          </w:p>
        </w:tc>
        <w:tc>
          <w:tcPr>
            <w:tcW w:w="1740" w:type="dxa"/>
            <w:tcBorders>
              <w:top w:val="single" w:sz="4" w:space="0" w:color="auto"/>
            </w:tcBorders>
          </w:tcPr>
          <w:p w14:paraId="0FBFE33E"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25.6</w:t>
            </w:r>
          </w:p>
        </w:tc>
        <w:tc>
          <w:tcPr>
            <w:tcW w:w="2268" w:type="dxa"/>
            <w:tcBorders>
              <w:top w:val="single" w:sz="4" w:space="0" w:color="auto"/>
            </w:tcBorders>
          </w:tcPr>
          <w:p w14:paraId="4F7D86FC"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11.0</w:t>
            </w:r>
          </w:p>
        </w:tc>
      </w:tr>
      <w:tr w:rsidR="00BC3D4C" w:rsidRPr="00BC3D4C" w14:paraId="6F2E45D4" w14:textId="77777777" w:rsidTr="00C34952">
        <w:tc>
          <w:tcPr>
            <w:tcW w:w="2268" w:type="dxa"/>
          </w:tcPr>
          <w:p w14:paraId="0F2C27EF"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South Africa (white)</w:t>
            </w:r>
          </w:p>
        </w:tc>
        <w:tc>
          <w:tcPr>
            <w:tcW w:w="1740" w:type="dxa"/>
          </w:tcPr>
          <w:p w14:paraId="2C04B1B3"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23.4</w:t>
            </w:r>
          </w:p>
        </w:tc>
        <w:tc>
          <w:tcPr>
            <w:tcW w:w="2268" w:type="dxa"/>
          </w:tcPr>
          <w:p w14:paraId="4B21EA81"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7.7</w:t>
            </w:r>
          </w:p>
        </w:tc>
      </w:tr>
      <w:tr w:rsidR="00BC3D4C" w:rsidRPr="00BC3D4C" w14:paraId="184FBBB6" w14:textId="77777777" w:rsidTr="00C34952">
        <w:tc>
          <w:tcPr>
            <w:tcW w:w="2268" w:type="dxa"/>
          </w:tcPr>
          <w:p w14:paraId="5D39D697" w14:textId="77777777" w:rsidR="00BC3D4C" w:rsidRPr="00BC3D4C" w:rsidRDefault="00BC3D4C" w:rsidP="00BC3D4C">
            <w:pPr>
              <w:spacing w:line="256" w:lineRule="auto"/>
              <w:jc w:val="left"/>
              <w:rPr>
                <w:rFonts w:cs="Calibri"/>
                <w:sz w:val="20"/>
              </w:rPr>
            </w:pPr>
            <w:r w:rsidRPr="00BC3D4C">
              <w:rPr>
                <w:rFonts w:eastAsia="Times New Roman" w:cs="Calibri"/>
                <w:sz w:val="20"/>
              </w:rPr>
              <w:t>Denmark</w:t>
            </w:r>
          </w:p>
        </w:tc>
        <w:tc>
          <w:tcPr>
            <w:tcW w:w="1740" w:type="dxa"/>
          </w:tcPr>
          <w:p w14:paraId="0EEA535F" w14:textId="77777777" w:rsidR="00BC3D4C" w:rsidRPr="00BC3D4C" w:rsidRDefault="00BC3D4C" w:rsidP="00BC3D4C">
            <w:pPr>
              <w:spacing w:line="256" w:lineRule="auto"/>
              <w:jc w:val="center"/>
              <w:rPr>
                <w:rFonts w:cs="Calibri"/>
                <w:sz w:val="20"/>
              </w:rPr>
            </w:pPr>
            <w:r w:rsidRPr="00BC3D4C">
              <w:rPr>
                <w:rFonts w:eastAsia="Times New Roman" w:cs="Calibri"/>
                <w:sz w:val="20"/>
              </w:rPr>
              <w:t>23.0</w:t>
            </w:r>
          </w:p>
        </w:tc>
        <w:tc>
          <w:tcPr>
            <w:tcW w:w="2268" w:type="dxa"/>
          </w:tcPr>
          <w:p w14:paraId="4E8D284C" w14:textId="77777777" w:rsidR="00BC3D4C" w:rsidRPr="00BC3D4C" w:rsidRDefault="00BC3D4C" w:rsidP="00BC3D4C">
            <w:pPr>
              <w:spacing w:line="256" w:lineRule="auto"/>
              <w:jc w:val="center"/>
              <w:rPr>
                <w:rFonts w:cs="Calibri"/>
                <w:sz w:val="20"/>
              </w:rPr>
            </w:pPr>
            <w:r w:rsidRPr="00BC3D4C">
              <w:rPr>
                <w:rFonts w:eastAsia="Times New Roman" w:cs="Calibri"/>
                <w:sz w:val="20"/>
              </w:rPr>
              <w:t>11.3</w:t>
            </w:r>
          </w:p>
        </w:tc>
      </w:tr>
      <w:tr w:rsidR="00BC3D4C" w:rsidRPr="00BC3D4C" w14:paraId="6418689D" w14:textId="77777777" w:rsidTr="00C34952">
        <w:tc>
          <w:tcPr>
            <w:tcW w:w="2268" w:type="dxa"/>
          </w:tcPr>
          <w:p w14:paraId="45E0EF43"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France</w:t>
            </w:r>
          </w:p>
        </w:tc>
        <w:tc>
          <w:tcPr>
            <w:tcW w:w="1740" w:type="dxa"/>
          </w:tcPr>
          <w:p w14:paraId="6147B561"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19.3</w:t>
            </w:r>
          </w:p>
        </w:tc>
        <w:tc>
          <w:tcPr>
            <w:tcW w:w="2268" w:type="dxa"/>
          </w:tcPr>
          <w:p w14:paraId="1706347D"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5.9</w:t>
            </w:r>
          </w:p>
        </w:tc>
      </w:tr>
      <w:tr w:rsidR="00BC3D4C" w:rsidRPr="00BC3D4C" w14:paraId="399D4808" w14:textId="77777777" w:rsidTr="00C34952">
        <w:tc>
          <w:tcPr>
            <w:tcW w:w="2268" w:type="dxa"/>
          </w:tcPr>
          <w:p w14:paraId="17723AA3" w14:textId="77777777" w:rsidR="00BC3D4C" w:rsidRPr="00BC3D4C" w:rsidRDefault="00BC3D4C" w:rsidP="00BC3D4C">
            <w:pPr>
              <w:spacing w:line="256" w:lineRule="auto"/>
              <w:jc w:val="left"/>
              <w:rPr>
                <w:rFonts w:cs="Calibri"/>
                <w:sz w:val="20"/>
              </w:rPr>
            </w:pPr>
            <w:r w:rsidRPr="00BC3D4C">
              <w:rPr>
                <w:rFonts w:eastAsia="Times New Roman" w:cs="Calibri"/>
                <w:sz w:val="20"/>
              </w:rPr>
              <w:t>China (Hong Kong)</w:t>
            </w:r>
          </w:p>
        </w:tc>
        <w:tc>
          <w:tcPr>
            <w:tcW w:w="1740" w:type="dxa"/>
          </w:tcPr>
          <w:p w14:paraId="14402C66" w14:textId="77777777" w:rsidR="00BC3D4C" w:rsidRPr="00BC3D4C" w:rsidRDefault="00BC3D4C" w:rsidP="00BC3D4C">
            <w:pPr>
              <w:spacing w:line="256" w:lineRule="auto"/>
              <w:jc w:val="center"/>
              <w:rPr>
                <w:rFonts w:cs="Calibri"/>
                <w:sz w:val="20"/>
              </w:rPr>
            </w:pPr>
            <w:r w:rsidRPr="00BC3D4C">
              <w:rPr>
                <w:rFonts w:eastAsia="Times New Roman" w:cs="Calibri"/>
                <w:sz w:val="20"/>
              </w:rPr>
              <w:t>17.7</w:t>
            </w:r>
          </w:p>
        </w:tc>
        <w:tc>
          <w:tcPr>
            <w:tcW w:w="2268" w:type="dxa"/>
          </w:tcPr>
          <w:p w14:paraId="7CF40CD5" w14:textId="77777777" w:rsidR="00BC3D4C" w:rsidRPr="00BC3D4C" w:rsidRDefault="00BC3D4C" w:rsidP="00BC3D4C">
            <w:pPr>
              <w:spacing w:line="256" w:lineRule="auto"/>
              <w:jc w:val="center"/>
              <w:rPr>
                <w:rFonts w:cs="Calibri"/>
                <w:sz w:val="20"/>
              </w:rPr>
            </w:pPr>
            <w:r w:rsidRPr="00BC3D4C">
              <w:rPr>
                <w:rFonts w:eastAsia="Times New Roman" w:cs="Calibri"/>
                <w:sz w:val="20"/>
              </w:rPr>
              <w:t>7.6</w:t>
            </w:r>
          </w:p>
        </w:tc>
      </w:tr>
      <w:tr w:rsidR="00BC3D4C" w:rsidRPr="00BC3D4C" w14:paraId="51BA0EC2" w14:textId="77777777" w:rsidTr="00C34952">
        <w:tc>
          <w:tcPr>
            <w:tcW w:w="2268" w:type="dxa"/>
          </w:tcPr>
          <w:p w14:paraId="61E13019"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USA (Caucasian)</w:t>
            </w:r>
          </w:p>
        </w:tc>
        <w:tc>
          <w:tcPr>
            <w:tcW w:w="1740" w:type="dxa"/>
          </w:tcPr>
          <w:p w14:paraId="16FF1D14"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16.1</w:t>
            </w:r>
          </w:p>
        </w:tc>
        <w:tc>
          <w:tcPr>
            <w:tcW w:w="2268" w:type="dxa"/>
          </w:tcPr>
          <w:p w14:paraId="540B549E"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7.5</w:t>
            </w:r>
          </w:p>
        </w:tc>
      </w:tr>
      <w:tr w:rsidR="00BC3D4C" w:rsidRPr="00BC3D4C" w14:paraId="296490D8" w14:textId="77777777" w:rsidTr="00C34952">
        <w:tc>
          <w:tcPr>
            <w:tcW w:w="2268" w:type="dxa"/>
          </w:tcPr>
          <w:p w14:paraId="69D50EC0" w14:textId="77777777" w:rsidR="00BC3D4C" w:rsidRPr="00BC3D4C" w:rsidRDefault="00BC3D4C" w:rsidP="00BC3D4C">
            <w:pPr>
              <w:spacing w:line="256" w:lineRule="auto"/>
              <w:jc w:val="left"/>
              <w:rPr>
                <w:rFonts w:cs="Calibri"/>
                <w:sz w:val="20"/>
              </w:rPr>
            </w:pPr>
            <w:r w:rsidRPr="00BC3D4C">
              <w:rPr>
                <w:rFonts w:eastAsia="Times New Roman" w:cs="Calibri"/>
                <w:sz w:val="20"/>
              </w:rPr>
              <w:t xml:space="preserve">Turkey </w:t>
            </w:r>
          </w:p>
        </w:tc>
        <w:tc>
          <w:tcPr>
            <w:tcW w:w="1740" w:type="dxa"/>
          </w:tcPr>
          <w:p w14:paraId="2DA3D9A2" w14:textId="77777777" w:rsidR="00BC3D4C" w:rsidRPr="00BC3D4C" w:rsidRDefault="00BC3D4C" w:rsidP="00BC3D4C">
            <w:pPr>
              <w:spacing w:line="256" w:lineRule="auto"/>
              <w:jc w:val="center"/>
              <w:rPr>
                <w:rFonts w:cs="Calibri"/>
                <w:sz w:val="20"/>
              </w:rPr>
            </w:pPr>
            <w:r w:rsidRPr="00BC3D4C">
              <w:rPr>
                <w:rFonts w:eastAsia="Times New Roman" w:cs="Calibri"/>
                <w:sz w:val="20"/>
              </w:rPr>
              <w:t>15.9</w:t>
            </w:r>
          </w:p>
        </w:tc>
        <w:tc>
          <w:tcPr>
            <w:tcW w:w="2268" w:type="dxa"/>
          </w:tcPr>
          <w:p w14:paraId="01E0D553" w14:textId="77777777" w:rsidR="00BC3D4C" w:rsidRPr="00BC3D4C" w:rsidRDefault="00BC3D4C" w:rsidP="00BC3D4C">
            <w:pPr>
              <w:spacing w:line="256" w:lineRule="auto"/>
              <w:jc w:val="center"/>
              <w:rPr>
                <w:rFonts w:cs="Calibri"/>
                <w:sz w:val="20"/>
              </w:rPr>
            </w:pPr>
            <w:r w:rsidRPr="00BC3D4C">
              <w:rPr>
                <w:rFonts w:eastAsia="Times New Roman" w:cs="Calibri"/>
                <w:sz w:val="20"/>
              </w:rPr>
              <w:t>3.6</w:t>
            </w:r>
          </w:p>
        </w:tc>
      </w:tr>
      <w:tr w:rsidR="00BC3D4C" w:rsidRPr="00BC3D4C" w14:paraId="503B7AB8" w14:textId="77777777" w:rsidTr="00C34952">
        <w:tc>
          <w:tcPr>
            <w:tcW w:w="2268" w:type="dxa"/>
          </w:tcPr>
          <w:p w14:paraId="12157116"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Canada</w:t>
            </w:r>
          </w:p>
        </w:tc>
        <w:tc>
          <w:tcPr>
            <w:tcW w:w="1740" w:type="dxa"/>
          </w:tcPr>
          <w:p w14:paraId="5BA00F77"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15.5</w:t>
            </w:r>
          </w:p>
        </w:tc>
        <w:tc>
          <w:tcPr>
            <w:tcW w:w="2268" w:type="dxa"/>
          </w:tcPr>
          <w:p w14:paraId="267E2418"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5.8</w:t>
            </w:r>
          </w:p>
        </w:tc>
      </w:tr>
      <w:tr w:rsidR="00BC3D4C" w:rsidRPr="00BC3D4C" w14:paraId="7E2BC624" w14:textId="77777777" w:rsidTr="00C34952">
        <w:tc>
          <w:tcPr>
            <w:tcW w:w="2268" w:type="dxa"/>
          </w:tcPr>
          <w:p w14:paraId="14DFC20F"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Greece</w:t>
            </w:r>
          </w:p>
        </w:tc>
        <w:tc>
          <w:tcPr>
            <w:tcW w:w="1740" w:type="dxa"/>
          </w:tcPr>
          <w:p w14:paraId="67246B6D"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15.4</w:t>
            </w:r>
          </w:p>
        </w:tc>
        <w:tc>
          <w:tcPr>
            <w:tcW w:w="2268" w:type="dxa"/>
          </w:tcPr>
          <w:p w14:paraId="7B3A145A"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6.8</w:t>
            </w:r>
          </w:p>
        </w:tc>
      </w:tr>
      <w:tr w:rsidR="00BC3D4C" w:rsidRPr="00BC3D4C" w14:paraId="1DF9D244" w14:textId="77777777" w:rsidTr="00C34952">
        <w:tc>
          <w:tcPr>
            <w:tcW w:w="2268" w:type="dxa"/>
          </w:tcPr>
          <w:p w14:paraId="705D403F" w14:textId="77777777" w:rsidR="00BC3D4C" w:rsidRPr="00BC3D4C" w:rsidRDefault="00BC3D4C" w:rsidP="00BC3D4C">
            <w:pPr>
              <w:spacing w:line="256" w:lineRule="auto"/>
              <w:jc w:val="left"/>
              <w:rPr>
                <w:rFonts w:eastAsia="Times New Roman" w:cs="Calibri"/>
                <w:sz w:val="20"/>
              </w:rPr>
            </w:pPr>
            <w:r w:rsidRPr="00BC3D4C">
              <w:rPr>
                <w:rFonts w:eastAsia="Times New Roman" w:cs="Calibri"/>
                <w:sz w:val="20"/>
                <w:lang w:val="sv-SE"/>
              </w:rPr>
              <w:t>Uzbekistan</w:t>
            </w:r>
          </w:p>
        </w:tc>
        <w:tc>
          <w:tcPr>
            <w:tcW w:w="1740" w:type="dxa"/>
          </w:tcPr>
          <w:p w14:paraId="4476A3C0" w14:textId="77777777" w:rsidR="00BC3D4C" w:rsidRPr="00BC3D4C" w:rsidRDefault="00BC3D4C" w:rsidP="00BC3D4C">
            <w:pPr>
              <w:spacing w:line="256" w:lineRule="auto"/>
              <w:jc w:val="center"/>
              <w:rPr>
                <w:rFonts w:eastAsia="Times New Roman" w:cs="Calibri"/>
                <w:sz w:val="20"/>
              </w:rPr>
            </w:pPr>
            <w:r w:rsidRPr="00BC3D4C">
              <w:rPr>
                <w:rFonts w:eastAsia="Times New Roman" w:cs="Calibri"/>
                <w:sz w:val="20"/>
                <w:lang w:val="sv-SE"/>
              </w:rPr>
              <w:t>14.7</w:t>
            </w:r>
          </w:p>
        </w:tc>
        <w:tc>
          <w:tcPr>
            <w:tcW w:w="2268" w:type="dxa"/>
          </w:tcPr>
          <w:p w14:paraId="1674E820" w14:textId="77777777" w:rsidR="00BC3D4C" w:rsidRPr="00BC3D4C" w:rsidRDefault="00BC3D4C" w:rsidP="00BC3D4C">
            <w:pPr>
              <w:spacing w:line="256" w:lineRule="auto"/>
              <w:jc w:val="center"/>
              <w:rPr>
                <w:rFonts w:eastAsia="Times New Roman" w:cs="Calibri"/>
                <w:sz w:val="20"/>
              </w:rPr>
            </w:pPr>
            <w:r w:rsidRPr="00BC3D4C">
              <w:rPr>
                <w:rFonts w:eastAsia="Times New Roman" w:cs="Calibri"/>
                <w:sz w:val="20"/>
                <w:lang w:val="sv-SE"/>
              </w:rPr>
              <w:t>8.7</w:t>
            </w:r>
          </w:p>
        </w:tc>
      </w:tr>
      <w:tr w:rsidR="00BC3D4C" w:rsidRPr="00BC3D4C" w14:paraId="5438AAE7" w14:textId="77777777" w:rsidTr="00C34952">
        <w:tc>
          <w:tcPr>
            <w:tcW w:w="2268" w:type="dxa"/>
          </w:tcPr>
          <w:p w14:paraId="14044EDA"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UK</w:t>
            </w:r>
          </w:p>
        </w:tc>
        <w:tc>
          <w:tcPr>
            <w:tcW w:w="1740" w:type="dxa"/>
          </w:tcPr>
          <w:p w14:paraId="0451B400"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14.4</w:t>
            </w:r>
          </w:p>
        </w:tc>
        <w:tc>
          <w:tcPr>
            <w:tcW w:w="2268" w:type="dxa"/>
          </w:tcPr>
          <w:p w14:paraId="4D731D52"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5.0</w:t>
            </w:r>
          </w:p>
        </w:tc>
      </w:tr>
      <w:tr w:rsidR="00BC3D4C" w:rsidRPr="00BC3D4C" w14:paraId="143AABA8" w14:textId="77777777" w:rsidTr="00C34952">
        <w:tc>
          <w:tcPr>
            <w:tcW w:w="2268" w:type="dxa"/>
          </w:tcPr>
          <w:p w14:paraId="1D015123"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Germany</w:t>
            </w:r>
          </w:p>
        </w:tc>
        <w:tc>
          <w:tcPr>
            <w:tcW w:w="1740" w:type="dxa"/>
          </w:tcPr>
          <w:p w14:paraId="569270CC"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14.2</w:t>
            </w:r>
          </w:p>
        </w:tc>
        <w:tc>
          <w:tcPr>
            <w:tcW w:w="2268" w:type="dxa"/>
          </w:tcPr>
          <w:p w14:paraId="4AFE2E15"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5.3</w:t>
            </w:r>
          </w:p>
        </w:tc>
      </w:tr>
      <w:tr w:rsidR="00BC3D4C" w:rsidRPr="00BC3D4C" w14:paraId="09F78855" w14:textId="77777777" w:rsidTr="00C34952">
        <w:tc>
          <w:tcPr>
            <w:tcW w:w="2268" w:type="dxa"/>
          </w:tcPr>
          <w:p w14:paraId="29D7FF35"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Portugal</w:t>
            </w:r>
          </w:p>
        </w:tc>
        <w:tc>
          <w:tcPr>
            <w:tcW w:w="1740" w:type="dxa"/>
          </w:tcPr>
          <w:p w14:paraId="5E66706A"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13.7</w:t>
            </w:r>
          </w:p>
        </w:tc>
        <w:tc>
          <w:tcPr>
            <w:tcW w:w="2268" w:type="dxa"/>
          </w:tcPr>
          <w:p w14:paraId="1AF37C62"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4.8</w:t>
            </w:r>
          </w:p>
        </w:tc>
      </w:tr>
      <w:tr w:rsidR="00BC3D4C" w:rsidRPr="00BC3D4C" w14:paraId="57484D1E" w14:textId="77777777" w:rsidTr="00C34952">
        <w:tc>
          <w:tcPr>
            <w:tcW w:w="2268" w:type="dxa"/>
          </w:tcPr>
          <w:p w14:paraId="7835D85A"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Finland</w:t>
            </w:r>
          </w:p>
        </w:tc>
        <w:tc>
          <w:tcPr>
            <w:tcW w:w="1740" w:type="dxa"/>
          </w:tcPr>
          <w:p w14:paraId="44B9ECBB"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12.9</w:t>
            </w:r>
          </w:p>
        </w:tc>
        <w:tc>
          <w:tcPr>
            <w:tcW w:w="2268" w:type="dxa"/>
          </w:tcPr>
          <w:p w14:paraId="2BBB9B79"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6.0</w:t>
            </w:r>
          </w:p>
        </w:tc>
      </w:tr>
      <w:tr w:rsidR="00BC3D4C" w:rsidRPr="00BC3D4C" w14:paraId="256B87AF" w14:textId="77777777" w:rsidTr="00C34952">
        <w:tc>
          <w:tcPr>
            <w:tcW w:w="2268" w:type="dxa"/>
          </w:tcPr>
          <w:p w14:paraId="0BC361C7"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Kazakhstan</w:t>
            </w:r>
          </w:p>
        </w:tc>
        <w:tc>
          <w:tcPr>
            <w:tcW w:w="1740" w:type="dxa"/>
          </w:tcPr>
          <w:p w14:paraId="618AB5A8"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12.6</w:t>
            </w:r>
          </w:p>
        </w:tc>
        <w:tc>
          <w:tcPr>
            <w:tcW w:w="2268" w:type="dxa"/>
          </w:tcPr>
          <w:p w14:paraId="2167C7DF"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6.0</w:t>
            </w:r>
          </w:p>
        </w:tc>
      </w:tr>
      <w:tr w:rsidR="00BC3D4C" w:rsidRPr="00BC3D4C" w14:paraId="79C9C273" w14:textId="77777777" w:rsidTr="00C34952">
        <w:tc>
          <w:tcPr>
            <w:tcW w:w="2268" w:type="dxa"/>
          </w:tcPr>
          <w:p w14:paraId="29411DF7"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Spain</w:t>
            </w:r>
          </w:p>
        </w:tc>
        <w:tc>
          <w:tcPr>
            <w:tcW w:w="1740" w:type="dxa"/>
          </w:tcPr>
          <w:p w14:paraId="42275AF5"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12.6</w:t>
            </w:r>
          </w:p>
        </w:tc>
        <w:tc>
          <w:tcPr>
            <w:tcW w:w="2268" w:type="dxa"/>
          </w:tcPr>
          <w:p w14:paraId="7AD934C1"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4.2</w:t>
            </w:r>
          </w:p>
        </w:tc>
      </w:tr>
      <w:tr w:rsidR="00BC3D4C" w:rsidRPr="00BC3D4C" w14:paraId="362B5EDC" w14:textId="77777777" w:rsidTr="00C34952">
        <w:tc>
          <w:tcPr>
            <w:tcW w:w="2268" w:type="dxa"/>
          </w:tcPr>
          <w:p w14:paraId="4C35BD2C"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Netherlands</w:t>
            </w:r>
          </w:p>
        </w:tc>
        <w:tc>
          <w:tcPr>
            <w:tcW w:w="1740" w:type="dxa"/>
          </w:tcPr>
          <w:p w14:paraId="44A72384"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12.5</w:t>
            </w:r>
          </w:p>
        </w:tc>
        <w:tc>
          <w:tcPr>
            <w:tcW w:w="2268" w:type="dxa"/>
          </w:tcPr>
          <w:p w14:paraId="5B0A5352"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5.4</w:t>
            </w:r>
          </w:p>
        </w:tc>
      </w:tr>
      <w:tr w:rsidR="00BC3D4C" w:rsidRPr="00BC3D4C" w14:paraId="7EF628EA" w14:textId="77777777" w:rsidTr="00C34952">
        <w:tc>
          <w:tcPr>
            <w:tcW w:w="2268" w:type="dxa"/>
          </w:tcPr>
          <w:p w14:paraId="38E2F13E"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 xml:space="preserve">Singapore (Indian) </w:t>
            </w:r>
          </w:p>
        </w:tc>
        <w:tc>
          <w:tcPr>
            <w:tcW w:w="1740" w:type="dxa"/>
          </w:tcPr>
          <w:p w14:paraId="754DB0C3"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12.5</w:t>
            </w:r>
          </w:p>
        </w:tc>
        <w:tc>
          <w:tcPr>
            <w:tcW w:w="2268" w:type="dxa"/>
          </w:tcPr>
          <w:p w14:paraId="40830F7E"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5.2</w:t>
            </w:r>
          </w:p>
        </w:tc>
      </w:tr>
      <w:tr w:rsidR="00BC3D4C" w:rsidRPr="00BC3D4C" w14:paraId="12FE6B9D" w14:textId="77777777" w:rsidTr="00C34952">
        <w:tc>
          <w:tcPr>
            <w:tcW w:w="2268" w:type="dxa"/>
          </w:tcPr>
          <w:p w14:paraId="448C9889"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Bulgaria</w:t>
            </w:r>
          </w:p>
        </w:tc>
        <w:tc>
          <w:tcPr>
            <w:tcW w:w="1740" w:type="dxa"/>
          </w:tcPr>
          <w:p w14:paraId="60C49F9A"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11.2</w:t>
            </w:r>
          </w:p>
        </w:tc>
        <w:tc>
          <w:tcPr>
            <w:tcW w:w="2268" w:type="dxa"/>
          </w:tcPr>
          <w:p w14:paraId="722BBCFF"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4.4</w:t>
            </w:r>
          </w:p>
        </w:tc>
      </w:tr>
      <w:tr w:rsidR="00F17040" w:rsidRPr="00BC3D4C" w14:paraId="1788346B" w14:textId="77777777" w:rsidTr="00C34952">
        <w:tc>
          <w:tcPr>
            <w:tcW w:w="2268" w:type="dxa"/>
          </w:tcPr>
          <w:p w14:paraId="3F6F0715" w14:textId="48EDCAF5" w:rsidR="00F17040" w:rsidRPr="00BC3D4C" w:rsidRDefault="00F17040" w:rsidP="00F17040">
            <w:pPr>
              <w:spacing w:line="256" w:lineRule="auto"/>
              <w:jc w:val="left"/>
              <w:rPr>
                <w:rFonts w:eastAsia="Times New Roman" w:cs="Calibri"/>
                <w:sz w:val="20"/>
              </w:rPr>
            </w:pPr>
            <w:r w:rsidRPr="00BC3D4C">
              <w:rPr>
                <w:rFonts w:eastAsia="Times New Roman" w:cs="Calibri"/>
                <w:sz w:val="20"/>
                <w:lang w:val="sv-SE"/>
              </w:rPr>
              <w:t>Qatar</w:t>
            </w:r>
            <w:r>
              <w:rPr>
                <w:rFonts w:eastAsia="Times New Roman" w:cs="Calibri"/>
                <w:sz w:val="20"/>
                <w:lang w:val="sv-SE"/>
              </w:rPr>
              <w:t xml:space="preserve"> </w:t>
            </w:r>
            <w:r w:rsidR="002F5F6B" w:rsidRPr="002F5F6B">
              <w:rPr>
                <w:rFonts w:eastAsia="Times New Roman" w:cs="Calibri"/>
                <w:sz w:val="20"/>
                <w:vertAlign w:val="superscript"/>
                <w:lang w:val="sv-SE"/>
              </w:rPr>
              <w:t>a</w:t>
            </w:r>
          </w:p>
        </w:tc>
        <w:tc>
          <w:tcPr>
            <w:tcW w:w="1740" w:type="dxa"/>
          </w:tcPr>
          <w:p w14:paraId="216F7BDC" w14:textId="4A036467" w:rsidR="00F17040" w:rsidRPr="00BC3D4C" w:rsidRDefault="00F17040" w:rsidP="00F17040">
            <w:pPr>
              <w:spacing w:line="256" w:lineRule="auto"/>
              <w:jc w:val="center"/>
              <w:rPr>
                <w:rFonts w:eastAsia="Times New Roman" w:cs="Calibri"/>
                <w:sz w:val="20"/>
              </w:rPr>
            </w:pPr>
            <w:r w:rsidRPr="00BC3D4C">
              <w:rPr>
                <w:rFonts w:eastAsia="Times New Roman" w:cs="Calibri"/>
                <w:sz w:val="20"/>
                <w:lang w:val="sv-SE"/>
              </w:rPr>
              <w:t>11.0</w:t>
            </w:r>
          </w:p>
        </w:tc>
        <w:tc>
          <w:tcPr>
            <w:tcW w:w="2268" w:type="dxa"/>
          </w:tcPr>
          <w:p w14:paraId="4CEF687C" w14:textId="7F2FAB6A" w:rsidR="00F17040" w:rsidRPr="00BC3D4C" w:rsidRDefault="00F17040" w:rsidP="00F17040">
            <w:pPr>
              <w:spacing w:line="256" w:lineRule="auto"/>
              <w:jc w:val="center"/>
              <w:rPr>
                <w:rFonts w:eastAsia="Times New Roman" w:cs="Calibri"/>
                <w:sz w:val="20"/>
              </w:rPr>
            </w:pPr>
            <w:r w:rsidRPr="00BC3D4C">
              <w:rPr>
                <w:rFonts w:eastAsia="Times New Roman" w:cs="Calibri"/>
                <w:sz w:val="20"/>
                <w:lang w:val="sv-SE"/>
              </w:rPr>
              <w:t>8.8</w:t>
            </w:r>
          </w:p>
        </w:tc>
      </w:tr>
      <w:tr w:rsidR="00BC3D4C" w:rsidRPr="00BC3D4C" w14:paraId="73A9251D" w14:textId="77777777" w:rsidTr="00C34952">
        <w:tc>
          <w:tcPr>
            <w:tcW w:w="2268" w:type="dxa"/>
          </w:tcPr>
          <w:p w14:paraId="45732BF1"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Hungary</w:t>
            </w:r>
          </w:p>
        </w:tc>
        <w:tc>
          <w:tcPr>
            <w:tcW w:w="1740" w:type="dxa"/>
          </w:tcPr>
          <w:p w14:paraId="6E69A872"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10.8</w:t>
            </w:r>
          </w:p>
        </w:tc>
        <w:tc>
          <w:tcPr>
            <w:tcW w:w="2268" w:type="dxa"/>
          </w:tcPr>
          <w:p w14:paraId="66700CD5"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4.2</w:t>
            </w:r>
          </w:p>
        </w:tc>
      </w:tr>
      <w:tr w:rsidR="00BC3D4C" w:rsidRPr="00BC3D4C" w14:paraId="51FE8863" w14:textId="77777777" w:rsidTr="00C34952">
        <w:tc>
          <w:tcPr>
            <w:tcW w:w="2268" w:type="dxa"/>
          </w:tcPr>
          <w:p w14:paraId="3B01AC4B"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 xml:space="preserve">Poland </w:t>
            </w:r>
          </w:p>
        </w:tc>
        <w:tc>
          <w:tcPr>
            <w:tcW w:w="1740" w:type="dxa"/>
          </w:tcPr>
          <w:p w14:paraId="4A3B7C4E"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10.1</w:t>
            </w:r>
          </w:p>
        </w:tc>
        <w:tc>
          <w:tcPr>
            <w:tcW w:w="2268" w:type="dxa"/>
          </w:tcPr>
          <w:p w14:paraId="671CABFA"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4.2</w:t>
            </w:r>
          </w:p>
        </w:tc>
      </w:tr>
      <w:tr w:rsidR="00BC3D4C" w:rsidRPr="00BC3D4C" w14:paraId="1CF01671" w14:textId="77777777" w:rsidTr="00C34952">
        <w:tc>
          <w:tcPr>
            <w:tcW w:w="2268" w:type="dxa"/>
          </w:tcPr>
          <w:p w14:paraId="2CC30D64"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 xml:space="preserve">Moldova </w:t>
            </w:r>
          </w:p>
        </w:tc>
        <w:tc>
          <w:tcPr>
            <w:tcW w:w="1740" w:type="dxa"/>
          </w:tcPr>
          <w:p w14:paraId="51E57D7C"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9.3</w:t>
            </w:r>
          </w:p>
        </w:tc>
        <w:tc>
          <w:tcPr>
            <w:tcW w:w="2268" w:type="dxa"/>
          </w:tcPr>
          <w:p w14:paraId="6C0BD4D0"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5.7</w:t>
            </w:r>
          </w:p>
        </w:tc>
      </w:tr>
      <w:tr w:rsidR="00BC3D4C" w:rsidRPr="00BC3D4C" w14:paraId="61131F32" w14:textId="77777777" w:rsidTr="00C34952">
        <w:tc>
          <w:tcPr>
            <w:tcW w:w="2268" w:type="dxa"/>
          </w:tcPr>
          <w:p w14:paraId="4199AFAA"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Kuwait</w:t>
            </w:r>
          </w:p>
        </w:tc>
        <w:tc>
          <w:tcPr>
            <w:tcW w:w="1740" w:type="dxa"/>
          </w:tcPr>
          <w:p w14:paraId="3FF4D297"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9.2</w:t>
            </w:r>
          </w:p>
        </w:tc>
        <w:tc>
          <w:tcPr>
            <w:tcW w:w="2268" w:type="dxa"/>
          </w:tcPr>
          <w:p w14:paraId="2E3FCFC9"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7.6</w:t>
            </w:r>
          </w:p>
        </w:tc>
      </w:tr>
      <w:tr w:rsidR="00BC3D4C" w:rsidRPr="00BC3D4C" w14:paraId="40F27406" w14:textId="77777777" w:rsidTr="00C34952">
        <w:tc>
          <w:tcPr>
            <w:tcW w:w="2268" w:type="dxa"/>
          </w:tcPr>
          <w:p w14:paraId="35A09E73"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Abu Dhabi</w:t>
            </w:r>
          </w:p>
        </w:tc>
        <w:tc>
          <w:tcPr>
            <w:tcW w:w="1740" w:type="dxa"/>
          </w:tcPr>
          <w:p w14:paraId="6DEB8115"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8.9</w:t>
            </w:r>
          </w:p>
        </w:tc>
        <w:tc>
          <w:tcPr>
            <w:tcW w:w="2268" w:type="dxa"/>
          </w:tcPr>
          <w:p w14:paraId="7EC404A0"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8.1</w:t>
            </w:r>
          </w:p>
        </w:tc>
      </w:tr>
      <w:tr w:rsidR="00BC3D4C" w:rsidRPr="00BC3D4C" w14:paraId="48AC2C39" w14:textId="77777777" w:rsidTr="00C34952">
        <w:tc>
          <w:tcPr>
            <w:tcW w:w="2268" w:type="dxa"/>
          </w:tcPr>
          <w:p w14:paraId="6F29D015"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Iran</w:t>
            </w:r>
          </w:p>
        </w:tc>
        <w:tc>
          <w:tcPr>
            <w:tcW w:w="1740" w:type="dxa"/>
          </w:tcPr>
          <w:p w14:paraId="3220A3D9"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8.3</w:t>
            </w:r>
          </w:p>
        </w:tc>
        <w:tc>
          <w:tcPr>
            <w:tcW w:w="2268" w:type="dxa"/>
          </w:tcPr>
          <w:p w14:paraId="293A9D2A"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5.5</w:t>
            </w:r>
          </w:p>
        </w:tc>
      </w:tr>
      <w:tr w:rsidR="00BC3D4C" w:rsidRPr="00BC3D4C" w14:paraId="3D5CF7E2" w14:textId="77777777" w:rsidTr="00C34952">
        <w:tc>
          <w:tcPr>
            <w:tcW w:w="2268" w:type="dxa"/>
          </w:tcPr>
          <w:p w14:paraId="102969FE" w14:textId="77777777" w:rsidR="00BC3D4C" w:rsidRPr="00BC3D4C" w:rsidRDefault="00BC3D4C" w:rsidP="00BC3D4C">
            <w:pPr>
              <w:spacing w:line="256" w:lineRule="auto"/>
              <w:jc w:val="left"/>
              <w:rPr>
                <w:rFonts w:eastAsia="MS Mincho" w:cs="Calibri"/>
                <w:sz w:val="20"/>
                <w:lang w:eastAsia="ja-JP"/>
              </w:rPr>
            </w:pPr>
            <w:r w:rsidRPr="00BC3D4C">
              <w:rPr>
                <w:rFonts w:eastAsia="Times New Roman" w:cs="Calibri"/>
                <w:sz w:val="20"/>
              </w:rPr>
              <w:t xml:space="preserve">Russia </w:t>
            </w:r>
          </w:p>
        </w:tc>
        <w:tc>
          <w:tcPr>
            <w:tcW w:w="1740" w:type="dxa"/>
          </w:tcPr>
          <w:p w14:paraId="1FD3DC3D"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7.7</w:t>
            </w:r>
          </w:p>
        </w:tc>
        <w:tc>
          <w:tcPr>
            <w:tcW w:w="2268" w:type="dxa"/>
          </w:tcPr>
          <w:p w14:paraId="1DB4D506" w14:textId="77777777" w:rsidR="00BC3D4C" w:rsidRPr="00BC3D4C" w:rsidRDefault="00BC3D4C" w:rsidP="00BC3D4C">
            <w:pPr>
              <w:spacing w:line="256" w:lineRule="auto"/>
              <w:jc w:val="center"/>
              <w:rPr>
                <w:rFonts w:eastAsia="MS Mincho" w:cs="Calibri"/>
                <w:sz w:val="20"/>
                <w:lang w:eastAsia="ja-JP"/>
              </w:rPr>
            </w:pPr>
            <w:r w:rsidRPr="00BC3D4C">
              <w:rPr>
                <w:rFonts w:eastAsia="Times New Roman" w:cs="Calibri"/>
                <w:sz w:val="20"/>
              </w:rPr>
              <w:t>3.8</w:t>
            </w:r>
          </w:p>
        </w:tc>
      </w:tr>
      <w:tr w:rsidR="00BC3D4C" w:rsidRPr="00BC3D4C" w14:paraId="15D76934" w14:textId="77777777" w:rsidTr="00C34952">
        <w:tc>
          <w:tcPr>
            <w:tcW w:w="2268" w:type="dxa"/>
          </w:tcPr>
          <w:p w14:paraId="329E757D" w14:textId="77777777" w:rsidR="00BC3D4C" w:rsidRPr="00BC3D4C" w:rsidRDefault="00BC3D4C" w:rsidP="00BC3D4C">
            <w:pPr>
              <w:spacing w:line="256" w:lineRule="auto"/>
              <w:jc w:val="left"/>
              <w:rPr>
                <w:rFonts w:eastAsia="Times New Roman" w:cs="Calibri"/>
                <w:sz w:val="20"/>
              </w:rPr>
            </w:pPr>
            <w:r w:rsidRPr="00BC3D4C">
              <w:rPr>
                <w:rFonts w:eastAsia="MS Mincho" w:cs="Calibri"/>
                <w:sz w:val="20"/>
                <w:lang w:eastAsia="ja-JP"/>
              </w:rPr>
              <w:t xml:space="preserve">Romania </w:t>
            </w:r>
          </w:p>
        </w:tc>
        <w:tc>
          <w:tcPr>
            <w:tcW w:w="1740" w:type="dxa"/>
          </w:tcPr>
          <w:p w14:paraId="040E14D4" w14:textId="77777777" w:rsidR="00BC3D4C" w:rsidRPr="00BC3D4C" w:rsidRDefault="00BC3D4C" w:rsidP="00BC3D4C">
            <w:pPr>
              <w:spacing w:line="256" w:lineRule="auto"/>
              <w:jc w:val="center"/>
              <w:rPr>
                <w:rFonts w:eastAsia="Times New Roman" w:cs="Calibri"/>
                <w:sz w:val="20"/>
              </w:rPr>
            </w:pPr>
            <w:r w:rsidRPr="00BC3D4C">
              <w:rPr>
                <w:rFonts w:eastAsia="MS Mincho" w:cs="Calibri"/>
                <w:sz w:val="20"/>
                <w:lang w:eastAsia="ja-JP"/>
              </w:rPr>
              <w:t>7.0</w:t>
            </w:r>
          </w:p>
        </w:tc>
        <w:tc>
          <w:tcPr>
            <w:tcW w:w="2268" w:type="dxa"/>
          </w:tcPr>
          <w:p w14:paraId="2B41C961" w14:textId="77777777" w:rsidR="00BC3D4C" w:rsidRPr="00BC3D4C" w:rsidRDefault="00BC3D4C" w:rsidP="00BC3D4C">
            <w:pPr>
              <w:spacing w:line="256" w:lineRule="auto"/>
              <w:jc w:val="center"/>
              <w:rPr>
                <w:rFonts w:eastAsia="Times New Roman" w:cs="Calibri"/>
                <w:sz w:val="20"/>
              </w:rPr>
            </w:pPr>
            <w:r w:rsidRPr="00BC3D4C">
              <w:rPr>
                <w:rFonts w:eastAsia="MS Mincho" w:cs="Calibri"/>
                <w:sz w:val="20"/>
                <w:lang w:eastAsia="ja-JP"/>
              </w:rPr>
              <w:t>3.8</w:t>
            </w:r>
          </w:p>
        </w:tc>
      </w:tr>
      <w:tr w:rsidR="00BC3D4C" w:rsidRPr="00BC3D4C" w14:paraId="6FFCF18F" w14:textId="77777777" w:rsidTr="00C34952">
        <w:tc>
          <w:tcPr>
            <w:tcW w:w="2268" w:type="dxa"/>
          </w:tcPr>
          <w:p w14:paraId="03EBB700" w14:textId="77777777" w:rsidR="00BC3D4C" w:rsidRPr="00BC3D4C" w:rsidRDefault="00BC3D4C" w:rsidP="00BC3D4C">
            <w:pPr>
              <w:spacing w:line="256" w:lineRule="auto"/>
              <w:jc w:val="left"/>
              <w:rPr>
                <w:rFonts w:eastAsia="MS Mincho" w:cs="Calibri"/>
                <w:sz w:val="20"/>
                <w:lang w:val="sv-SE" w:eastAsia="ja-JP"/>
              </w:rPr>
            </w:pPr>
            <w:r w:rsidRPr="00BC3D4C">
              <w:rPr>
                <w:rFonts w:eastAsia="MS Mincho" w:cs="Calibri"/>
                <w:sz w:val="20"/>
                <w:lang w:val="sv-SE" w:eastAsia="ja-JP"/>
              </w:rPr>
              <w:t>USA (black)</w:t>
            </w:r>
          </w:p>
        </w:tc>
        <w:tc>
          <w:tcPr>
            <w:tcW w:w="1740" w:type="dxa"/>
          </w:tcPr>
          <w:p w14:paraId="04D83CF1" w14:textId="77777777" w:rsidR="00BC3D4C" w:rsidRPr="00BC3D4C" w:rsidRDefault="00BC3D4C" w:rsidP="00BC3D4C">
            <w:pPr>
              <w:spacing w:line="256" w:lineRule="auto"/>
              <w:jc w:val="center"/>
              <w:rPr>
                <w:rFonts w:eastAsia="MS Mincho" w:cs="Calibri"/>
                <w:sz w:val="20"/>
                <w:lang w:val="sv-SE" w:eastAsia="ja-JP"/>
              </w:rPr>
            </w:pPr>
            <w:r w:rsidRPr="00BC3D4C">
              <w:rPr>
                <w:rFonts w:eastAsia="MS Mincho" w:cs="Calibri"/>
                <w:sz w:val="20"/>
                <w:lang w:val="sv-SE" w:eastAsia="ja-JP"/>
              </w:rPr>
              <w:t>5.9</w:t>
            </w:r>
          </w:p>
        </w:tc>
        <w:tc>
          <w:tcPr>
            <w:tcW w:w="2268" w:type="dxa"/>
          </w:tcPr>
          <w:p w14:paraId="76A69707" w14:textId="77777777" w:rsidR="00BC3D4C" w:rsidRPr="00BC3D4C" w:rsidRDefault="00BC3D4C" w:rsidP="00BC3D4C">
            <w:pPr>
              <w:spacing w:line="256" w:lineRule="auto"/>
              <w:jc w:val="center"/>
              <w:rPr>
                <w:rFonts w:eastAsia="MS Mincho" w:cs="Calibri"/>
                <w:sz w:val="20"/>
                <w:lang w:val="sv-SE" w:eastAsia="ja-JP"/>
              </w:rPr>
            </w:pPr>
            <w:r w:rsidRPr="00BC3D4C">
              <w:rPr>
                <w:rFonts w:eastAsia="MS Mincho" w:cs="Calibri"/>
                <w:sz w:val="20"/>
                <w:lang w:val="sv-SE" w:eastAsia="ja-JP"/>
              </w:rPr>
              <w:t>2.7</w:t>
            </w:r>
          </w:p>
        </w:tc>
      </w:tr>
      <w:tr w:rsidR="00BC3D4C" w:rsidRPr="00BC3D4C" w14:paraId="67989A44" w14:textId="77777777" w:rsidTr="00C34952">
        <w:tc>
          <w:tcPr>
            <w:tcW w:w="2268" w:type="dxa"/>
          </w:tcPr>
          <w:p w14:paraId="55CBEB44" w14:textId="77777777" w:rsidR="00BC3D4C" w:rsidRPr="00BC3D4C" w:rsidRDefault="00BC3D4C" w:rsidP="00BC3D4C">
            <w:pPr>
              <w:spacing w:line="256" w:lineRule="auto"/>
              <w:jc w:val="left"/>
              <w:rPr>
                <w:rFonts w:eastAsia="Times New Roman" w:cs="Calibri"/>
                <w:sz w:val="20"/>
              </w:rPr>
            </w:pPr>
            <w:r w:rsidRPr="00BC3D4C">
              <w:rPr>
                <w:rFonts w:eastAsia="Times New Roman" w:cs="Calibri"/>
                <w:sz w:val="20"/>
              </w:rPr>
              <w:t xml:space="preserve">Ukraine </w:t>
            </w:r>
          </w:p>
        </w:tc>
        <w:tc>
          <w:tcPr>
            <w:tcW w:w="1740" w:type="dxa"/>
          </w:tcPr>
          <w:p w14:paraId="0B0D7456" w14:textId="77777777" w:rsidR="00BC3D4C" w:rsidRPr="00BC3D4C" w:rsidRDefault="00BC3D4C" w:rsidP="00BC3D4C">
            <w:pPr>
              <w:spacing w:line="256" w:lineRule="auto"/>
              <w:jc w:val="center"/>
              <w:rPr>
                <w:rFonts w:eastAsia="Times New Roman" w:cs="Calibri"/>
                <w:sz w:val="20"/>
              </w:rPr>
            </w:pPr>
            <w:r w:rsidRPr="00BC3D4C">
              <w:rPr>
                <w:rFonts w:eastAsia="Times New Roman" w:cs="Calibri"/>
                <w:sz w:val="20"/>
              </w:rPr>
              <w:t>5.6</w:t>
            </w:r>
          </w:p>
        </w:tc>
        <w:tc>
          <w:tcPr>
            <w:tcW w:w="2268" w:type="dxa"/>
          </w:tcPr>
          <w:p w14:paraId="1E34B88C" w14:textId="77777777" w:rsidR="00BC3D4C" w:rsidRPr="00BC3D4C" w:rsidRDefault="00BC3D4C" w:rsidP="00BC3D4C">
            <w:pPr>
              <w:spacing w:line="256" w:lineRule="auto"/>
              <w:jc w:val="center"/>
              <w:rPr>
                <w:rFonts w:eastAsia="Times New Roman" w:cs="Calibri"/>
                <w:sz w:val="20"/>
              </w:rPr>
            </w:pPr>
            <w:r w:rsidRPr="00BC3D4C">
              <w:rPr>
                <w:rFonts w:eastAsia="Times New Roman" w:cs="Calibri"/>
                <w:sz w:val="20"/>
              </w:rPr>
              <w:t>2.9</w:t>
            </w:r>
          </w:p>
        </w:tc>
      </w:tr>
      <w:tr w:rsidR="00944478" w:rsidRPr="00BC3D4C" w14:paraId="7E4B99B9" w14:textId="77777777" w:rsidTr="00C34952">
        <w:tc>
          <w:tcPr>
            <w:tcW w:w="2268" w:type="dxa"/>
          </w:tcPr>
          <w:p w14:paraId="1991C332" w14:textId="5EA6372A" w:rsidR="00944478" w:rsidRPr="00BC3D4C" w:rsidRDefault="00944478" w:rsidP="00944478">
            <w:pPr>
              <w:spacing w:line="256" w:lineRule="auto"/>
              <w:jc w:val="left"/>
              <w:rPr>
                <w:rFonts w:eastAsia="Times New Roman" w:cs="Calibri"/>
                <w:sz w:val="20"/>
              </w:rPr>
            </w:pPr>
            <w:r w:rsidRPr="00BC3D4C">
              <w:rPr>
                <w:rFonts w:eastAsia="Times New Roman" w:cs="Calibri"/>
                <w:sz w:val="20"/>
                <w:lang w:val="sv-SE"/>
              </w:rPr>
              <w:t>Saudi Arabia</w:t>
            </w:r>
            <w:r>
              <w:rPr>
                <w:rFonts w:eastAsia="Times New Roman" w:cs="Calibri"/>
                <w:sz w:val="20"/>
                <w:lang w:val="sv-SE"/>
              </w:rPr>
              <w:t xml:space="preserve"> </w:t>
            </w:r>
            <w:r w:rsidR="002F5F6B">
              <w:rPr>
                <w:rFonts w:eastAsia="Times New Roman" w:cs="Calibri"/>
                <w:sz w:val="20"/>
                <w:vertAlign w:val="superscript"/>
                <w:lang w:val="sv-SE"/>
              </w:rPr>
              <w:t>b</w:t>
            </w:r>
          </w:p>
        </w:tc>
        <w:tc>
          <w:tcPr>
            <w:tcW w:w="1740" w:type="dxa"/>
          </w:tcPr>
          <w:p w14:paraId="07FA1BFA" w14:textId="2B6F7E0C" w:rsidR="00944478" w:rsidRPr="00BC3D4C" w:rsidRDefault="00944478" w:rsidP="00944478">
            <w:pPr>
              <w:spacing w:line="256" w:lineRule="auto"/>
              <w:jc w:val="center"/>
              <w:rPr>
                <w:rFonts w:eastAsia="Times New Roman" w:cs="Calibri"/>
                <w:sz w:val="20"/>
              </w:rPr>
            </w:pPr>
            <w:r w:rsidRPr="00BC3D4C">
              <w:rPr>
                <w:rFonts w:eastAsia="Times New Roman" w:cs="Calibri"/>
                <w:sz w:val="20"/>
                <w:lang w:val="sv-SE"/>
              </w:rPr>
              <w:t>4.6</w:t>
            </w:r>
          </w:p>
        </w:tc>
        <w:tc>
          <w:tcPr>
            <w:tcW w:w="2268" w:type="dxa"/>
          </w:tcPr>
          <w:p w14:paraId="211002E4" w14:textId="6F435950" w:rsidR="00944478" w:rsidRPr="00BC3D4C" w:rsidRDefault="00944478" w:rsidP="00944478">
            <w:pPr>
              <w:spacing w:line="256" w:lineRule="auto"/>
              <w:jc w:val="center"/>
              <w:rPr>
                <w:rFonts w:eastAsia="Times New Roman" w:cs="Calibri"/>
                <w:sz w:val="20"/>
              </w:rPr>
            </w:pPr>
            <w:r w:rsidRPr="00BC3D4C">
              <w:rPr>
                <w:rFonts w:eastAsia="Times New Roman" w:cs="Calibri"/>
                <w:sz w:val="20"/>
                <w:lang w:val="sv-SE"/>
              </w:rPr>
              <w:t>3.7</w:t>
            </w:r>
          </w:p>
        </w:tc>
      </w:tr>
      <w:tr w:rsidR="00BC3D4C" w:rsidRPr="00BC3D4C" w14:paraId="7AC65D0F" w14:textId="77777777" w:rsidTr="00C34952">
        <w:tc>
          <w:tcPr>
            <w:tcW w:w="2268" w:type="dxa"/>
          </w:tcPr>
          <w:p w14:paraId="64630083"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South Africa (Black)</w:t>
            </w:r>
          </w:p>
        </w:tc>
        <w:tc>
          <w:tcPr>
            <w:tcW w:w="1740" w:type="dxa"/>
          </w:tcPr>
          <w:p w14:paraId="45178B50"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4.5</w:t>
            </w:r>
          </w:p>
        </w:tc>
        <w:tc>
          <w:tcPr>
            <w:tcW w:w="2268" w:type="dxa"/>
          </w:tcPr>
          <w:p w14:paraId="33486137"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1.9</w:t>
            </w:r>
          </w:p>
        </w:tc>
      </w:tr>
      <w:tr w:rsidR="00BC3D4C" w:rsidRPr="00BC3D4C" w14:paraId="34BC96E2" w14:textId="77777777" w:rsidTr="00C34952">
        <w:tc>
          <w:tcPr>
            <w:tcW w:w="2268" w:type="dxa"/>
          </w:tcPr>
          <w:p w14:paraId="26ECFFBD"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Morocco</w:t>
            </w:r>
          </w:p>
        </w:tc>
        <w:tc>
          <w:tcPr>
            <w:tcW w:w="1740" w:type="dxa"/>
          </w:tcPr>
          <w:p w14:paraId="6D1BAFBA"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4.1</w:t>
            </w:r>
          </w:p>
        </w:tc>
        <w:tc>
          <w:tcPr>
            <w:tcW w:w="2268" w:type="dxa"/>
          </w:tcPr>
          <w:p w14:paraId="5A316A01"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3.1</w:t>
            </w:r>
          </w:p>
        </w:tc>
      </w:tr>
      <w:tr w:rsidR="00BC3D4C" w:rsidRPr="00BC3D4C" w14:paraId="6C85B8FE" w14:textId="77777777" w:rsidTr="00C34952">
        <w:tc>
          <w:tcPr>
            <w:tcW w:w="2268" w:type="dxa"/>
          </w:tcPr>
          <w:p w14:paraId="41F532DE"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Botswana</w:t>
            </w:r>
          </w:p>
        </w:tc>
        <w:tc>
          <w:tcPr>
            <w:tcW w:w="1740" w:type="dxa"/>
          </w:tcPr>
          <w:p w14:paraId="76AD5586"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1.1</w:t>
            </w:r>
          </w:p>
        </w:tc>
        <w:tc>
          <w:tcPr>
            <w:tcW w:w="2268" w:type="dxa"/>
          </w:tcPr>
          <w:p w14:paraId="72B6DE94"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1.4</w:t>
            </w:r>
          </w:p>
        </w:tc>
      </w:tr>
      <w:tr w:rsidR="00BC3D4C" w:rsidRPr="00BC3D4C" w14:paraId="6C43016B" w14:textId="77777777" w:rsidTr="00C34952">
        <w:tc>
          <w:tcPr>
            <w:tcW w:w="2268" w:type="dxa"/>
            <w:tcBorders>
              <w:bottom w:val="single" w:sz="4" w:space="0" w:color="auto"/>
            </w:tcBorders>
          </w:tcPr>
          <w:p w14:paraId="6116D165" w14:textId="77777777" w:rsidR="00BC3D4C" w:rsidRPr="00BC3D4C" w:rsidRDefault="00BC3D4C" w:rsidP="00BC3D4C">
            <w:pPr>
              <w:spacing w:line="256" w:lineRule="auto"/>
              <w:jc w:val="left"/>
              <w:rPr>
                <w:rFonts w:eastAsia="Times New Roman" w:cs="Calibri"/>
                <w:sz w:val="20"/>
                <w:lang w:val="sv-SE"/>
              </w:rPr>
            </w:pPr>
            <w:r w:rsidRPr="00BC3D4C">
              <w:rPr>
                <w:rFonts w:eastAsia="Times New Roman" w:cs="Calibri"/>
                <w:sz w:val="20"/>
                <w:lang w:val="sv-SE"/>
              </w:rPr>
              <w:t>Tunisia</w:t>
            </w:r>
          </w:p>
        </w:tc>
        <w:tc>
          <w:tcPr>
            <w:tcW w:w="1740" w:type="dxa"/>
            <w:tcBorders>
              <w:bottom w:val="single" w:sz="4" w:space="0" w:color="auto"/>
            </w:tcBorders>
          </w:tcPr>
          <w:p w14:paraId="436C09E6"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0.7</w:t>
            </w:r>
          </w:p>
        </w:tc>
        <w:tc>
          <w:tcPr>
            <w:tcW w:w="2268" w:type="dxa"/>
            <w:tcBorders>
              <w:bottom w:val="single" w:sz="4" w:space="0" w:color="auto"/>
            </w:tcBorders>
          </w:tcPr>
          <w:p w14:paraId="22C4A036" w14:textId="77777777" w:rsidR="00BC3D4C" w:rsidRPr="00BC3D4C" w:rsidRDefault="00BC3D4C" w:rsidP="00BC3D4C">
            <w:pPr>
              <w:spacing w:line="256" w:lineRule="auto"/>
              <w:jc w:val="center"/>
              <w:rPr>
                <w:rFonts w:eastAsia="Times New Roman" w:cs="Calibri"/>
                <w:sz w:val="20"/>
                <w:lang w:val="sv-SE"/>
              </w:rPr>
            </w:pPr>
            <w:r w:rsidRPr="00BC3D4C">
              <w:rPr>
                <w:rFonts w:eastAsia="Times New Roman" w:cs="Calibri"/>
                <w:sz w:val="20"/>
                <w:lang w:val="sv-SE"/>
              </w:rPr>
              <w:t>0.7</w:t>
            </w:r>
          </w:p>
        </w:tc>
      </w:tr>
      <w:tr w:rsidR="00CF16BF" w:rsidRPr="00BC3D4C" w14:paraId="7187F2AC" w14:textId="77777777" w:rsidTr="00C34952">
        <w:tc>
          <w:tcPr>
            <w:tcW w:w="2268" w:type="dxa"/>
            <w:tcBorders>
              <w:top w:val="single" w:sz="4" w:space="0" w:color="auto"/>
            </w:tcBorders>
          </w:tcPr>
          <w:p w14:paraId="37167C0E" w14:textId="3D39742C" w:rsidR="00CF16BF" w:rsidRPr="00BC3D4C" w:rsidRDefault="002F5F6B" w:rsidP="00BC3D4C">
            <w:pPr>
              <w:spacing w:line="256" w:lineRule="auto"/>
              <w:jc w:val="left"/>
              <w:rPr>
                <w:rFonts w:eastAsia="Times New Roman" w:cs="Calibri"/>
                <w:sz w:val="20"/>
                <w:lang w:val="sv-SE"/>
              </w:rPr>
            </w:pPr>
            <w:r w:rsidRPr="00667FAB">
              <w:rPr>
                <w:rFonts w:eastAsia="Times New Roman" w:cs="Calibri"/>
                <w:sz w:val="20"/>
                <w:vertAlign w:val="superscript"/>
                <w:lang w:val="sv-SE"/>
              </w:rPr>
              <w:t>a</w:t>
            </w:r>
            <w:r>
              <w:rPr>
                <w:rFonts w:eastAsia="Times New Roman" w:cs="Calibri"/>
                <w:sz w:val="20"/>
                <w:lang w:val="sv-SE"/>
              </w:rPr>
              <w:t xml:space="preserve"> </w:t>
            </w:r>
            <w:r w:rsidR="000B7208">
              <w:rPr>
                <w:rFonts w:eastAsia="Times New Roman" w:cs="Calibri"/>
                <w:sz w:val="20"/>
                <w:lang w:val="sv-SE"/>
              </w:rPr>
              <w:t>Johansson 2021</w:t>
            </w:r>
            <w:r w:rsidR="00AE69F9">
              <w:rPr>
                <w:rFonts w:eastAsia="Times New Roman" w:cs="Calibri"/>
                <w:sz w:val="20"/>
                <w:lang w:val="sv-SE"/>
              </w:rPr>
              <w:t xml:space="preserve"> [19]</w:t>
            </w:r>
            <w:r>
              <w:rPr>
                <w:rFonts w:eastAsia="Times New Roman" w:cs="Calibri"/>
                <w:sz w:val="20"/>
                <w:lang w:val="sv-SE"/>
              </w:rPr>
              <w:t xml:space="preserve"> </w:t>
            </w:r>
          </w:p>
        </w:tc>
        <w:tc>
          <w:tcPr>
            <w:tcW w:w="1740" w:type="dxa"/>
            <w:tcBorders>
              <w:top w:val="single" w:sz="4" w:space="0" w:color="auto"/>
            </w:tcBorders>
          </w:tcPr>
          <w:p w14:paraId="74A20298" w14:textId="77777777" w:rsidR="00CF16BF" w:rsidRPr="00BC3D4C" w:rsidRDefault="00CF16BF" w:rsidP="00BC3D4C">
            <w:pPr>
              <w:spacing w:line="256" w:lineRule="auto"/>
              <w:jc w:val="center"/>
              <w:rPr>
                <w:rFonts w:eastAsia="Times New Roman" w:cs="Calibri"/>
                <w:sz w:val="20"/>
                <w:lang w:val="sv-SE"/>
              </w:rPr>
            </w:pPr>
          </w:p>
        </w:tc>
        <w:tc>
          <w:tcPr>
            <w:tcW w:w="2268" w:type="dxa"/>
            <w:tcBorders>
              <w:top w:val="single" w:sz="4" w:space="0" w:color="auto"/>
            </w:tcBorders>
          </w:tcPr>
          <w:p w14:paraId="064A7570" w14:textId="77777777" w:rsidR="00CF16BF" w:rsidRPr="00BC3D4C" w:rsidRDefault="00CF16BF" w:rsidP="00BC3D4C">
            <w:pPr>
              <w:spacing w:line="256" w:lineRule="auto"/>
              <w:jc w:val="center"/>
              <w:rPr>
                <w:rFonts w:eastAsia="Times New Roman" w:cs="Calibri"/>
                <w:sz w:val="20"/>
                <w:lang w:val="sv-SE"/>
              </w:rPr>
            </w:pPr>
          </w:p>
        </w:tc>
      </w:tr>
      <w:tr w:rsidR="006F0364" w:rsidRPr="00BC3D4C" w14:paraId="6DDF3E80" w14:textId="77777777" w:rsidTr="00C34952">
        <w:tc>
          <w:tcPr>
            <w:tcW w:w="2268" w:type="dxa"/>
          </w:tcPr>
          <w:p w14:paraId="55CD3ED3" w14:textId="4DFE62FD" w:rsidR="006F0364" w:rsidRPr="00BC3D4C" w:rsidRDefault="00290DCC" w:rsidP="00BC3D4C">
            <w:pPr>
              <w:spacing w:line="256" w:lineRule="auto"/>
              <w:jc w:val="left"/>
              <w:rPr>
                <w:rFonts w:eastAsia="Times New Roman" w:cs="Calibri"/>
                <w:sz w:val="20"/>
                <w:lang w:val="sv-SE"/>
              </w:rPr>
            </w:pPr>
            <w:r w:rsidRPr="00667FAB">
              <w:rPr>
                <w:rFonts w:eastAsia="Times New Roman" w:cs="Calibri"/>
                <w:sz w:val="20"/>
                <w:vertAlign w:val="superscript"/>
                <w:lang w:val="sv-SE"/>
              </w:rPr>
              <w:t>b</w:t>
            </w:r>
            <w:r>
              <w:rPr>
                <w:rFonts w:eastAsia="Times New Roman" w:cs="Calibri"/>
                <w:sz w:val="20"/>
                <w:lang w:val="sv-SE"/>
              </w:rPr>
              <w:t xml:space="preserve">  Present study</w:t>
            </w:r>
          </w:p>
        </w:tc>
        <w:tc>
          <w:tcPr>
            <w:tcW w:w="1740" w:type="dxa"/>
          </w:tcPr>
          <w:p w14:paraId="3DF01293" w14:textId="77777777" w:rsidR="006F0364" w:rsidRPr="00BC3D4C" w:rsidRDefault="006F0364" w:rsidP="00BC3D4C">
            <w:pPr>
              <w:spacing w:line="256" w:lineRule="auto"/>
              <w:jc w:val="center"/>
              <w:rPr>
                <w:rFonts w:eastAsia="Times New Roman" w:cs="Calibri"/>
                <w:sz w:val="20"/>
                <w:lang w:val="sv-SE"/>
              </w:rPr>
            </w:pPr>
          </w:p>
        </w:tc>
        <w:tc>
          <w:tcPr>
            <w:tcW w:w="2268" w:type="dxa"/>
          </w:tcPr>
          <w:p w14:paraId="3E0556C9" w14:textId="77777777" w:rsidR="006F0364" w:rsidRPr="00BC3D4C" w:rsidRDefault="006F0364" w:rsidP="00BC3D4C">
            <w:pPr>
              <w:spacing w:line="256" w:lineRule="auto"/>
              <w:jc w:val="center"/>
              <w:rPr>
                <w:rFonts w:eastAsia="Times New Roman" w:cs="Calibri"/>
                <w:sz w:val="20"/>
                <w:lang w:val="sv-SE"/>
              </w:rPr>
            </w:pPr>
          </w:p>
        </w:tc>
      </w:tr>
    </w:tbl>
    <w:p w14:paraId="1867AD75" w14:textId="77777777" w:rsidR="00BC3D4C" w:rsidRPr="00BC3D4C" w:rsidRDefault="00BC3D4C" w:rsidP="00FB3187">
      <w:pPr>
        <w:autoSpaceDE w:val="0"/>
        <w:autoSpaceDN w:val="0"/>
        <w:adjustRightInd w:val="0"/>
        <w:spacing w:after="120" w:line="276" w:lineRule="auto"/>
        <w:ind w:left="1134"/>
        <w:jc w:val="left"/>
        <w:rPr>
          <w:rFonts w:eastAsia="MS Mincho" w:cstheme="minorHAnsi"/>
          <w:b/>
          <w:color w:val="000000"/>
          <w:sz w:val="22"/>
          <w:lang w:eastAsia="ja-JP"/>
        </w:rPr>
      </w:pPr>
    </w:p>
    <w:p w14:paraId="761E5426" w14:textId="77777777" w:rsidR="00FB3187" w:rsidRDefault="00FB3187" w:rsidP="00C83C6C">
      <w:pPr>
        <w:autoSpaceDE w:val="0"/>
        <w:autoSpaceDN w:val="0"/>
        <w:adjustRightInd w:val="0"/>
        <w:spacing w:after="120" w:line="276" w:lineRule="auto"/>
        <w:ind w:left="1134"/>
        <w:jc w:val="left"/>
        <w:rPr>
          <w:rFonts w:ascii="Arial" w:eastAsia="MS Mincho" w:hAnsi="Arial" w:cs="AdvTimes"/>
          <w:b/>
          <w:bCs/>
          <w:color w:val="000000"/>
          <w:sz w:val="20"/>
          <w:szCs w:val="20"/>
          <w:lang w:eastAsia="ja-JP"/>
        </w:rPr>
      </w:pPr>
    </w:p>
    <w:p w14:paraId="4ED172F4" w14:textId="2B567426" w:rsidR="00214CBE" w:rsidRDefault="00214CBE" w:rsidP="00214CBE">
      <w:pPr>
        <w:autoSpaceDE w:val="0"/>
        <w:autoSpaceDN w:val="0"/>
        <w:adjustRightInd w:val="0"/>
        <w:spacing w:after="120" w:line="276" w:lineRule="auto"/>
        <w:ind w:left="1134"/>
        <w:jc w:val="left"/>
        <w:rPr>
          <w:rFonts w:ascii="Arial" w:eastAsia="MS Mincho" w:hAnsi="Arial" w:cs="AdvTimes"/>
          <w:b/>
          <w:bCs/>
          <w:color w:val="000000"/>
          <w:sz w:val="20"/>
          <w:szCs w:val="20"/>
          <w:lang w:eastAsia="ja-JP"/>
        </w:rPr>
      </w:pPr>
      <w:r w:rsidRPr="00EB647F">
        <w:rPr>
          <w:rFonts w:ascii="Arial" w:eastAsia="MS Mincho" w:hAnsi="Arial" w:cs="AdvTimes"/>
          <w:b/>
          <w:bCs/>
          <w:color w:val="000000"/>
          <w:sz w:val="20"/>
          <w:szCs w:val="20"/>
          <w:lang w:eastAsia="ja-JP"/>
        </w:rPr>
        <w:t>Discussion</w:t>
      </w:r>
    </w:p>
    <w:p w14:paraId="5433D561" w14:textId="6591023C" w:rsidR="00214CBE" w:rsidRPr="00171DDC" w:rsidRDefault="00214CBE" w:rsidP="00171DDC">
      <w:pPr>
        <w:spacing w:after="0"/>
        <w:ind w:left="1134"/>
        <w:jc w:val="left"/>
        <w:rPr>
          <w:rFonts w:ascii="Calibri" w:eastAsia="Times New Roman" w:hAnsi="Calibri" w:cs="Calibri"/>
          <w:sz w:val="24"/>
          <w:szCs w:val="24"/>
          <w:lang w:eastAsia="ru-RU"/>
        </w:rPr>
      </w:pPr>
      <w:r w:rsidRPr="00171DDC">
        <w:rPr>
          <w:rFonts w:ascii="Calibri" w:eastAsia="Times New Roman" w:hAnsi="Calibri" w:cs="Calibri"/>
          <w:sz w:val="24"/>
          <w:szCs w:val="24"/>
          <w:lang w:eastAsia="ru-RU"/>
        </w:rPr>
        <w:t xml:space="preserve">This study documented the incidence of hip fracture in </w:t>
      </w:r>
      <w:r w:rsidR="00101BEE" w:rsidRPr="00171DDC">
        <w:rPr>
          <w:rFonts w:ascii="Calibri" w:eastAsia="Times New Roman" w:hAnsi="Calibri" w:cs="Calibri"/>
          <w:sz w:val="24"/>
          <w:szCs w:val="24"/>
          <w:lang w:eastAsia="ru-RU"/>
        </w:rPr>
        <w:t>a r</w:t>
      </w:r>
      <w:r w:rsidR="009D1F6A" w:rsidRPr="00171DDC">
        <w:rPr>
          <w:rFonts w:ascii="Calibri" w:eastAsia="Times New Roman" w:hAnsi="Calibri" w:cs="Calibri"/>
          <w:sz w:val="24"/>
          <w:szCs w:val="24"/>
          <w:lang w:eastAsia="ru-RU"/>
        </w:rPr>
        <w:t>epresentative sample of the population of Saudi Arabia</w:t>
      </w:r>
      <w:r w:rsidR="00613DC6" w:rsidRPr="00171DDC">
        <w:rPr>
          <w:rFonts w:ascii="Calibri" w:eastAsia="Times New Roman" w:hAnsi="Calibri" w:cs="Calibri"/>
          <w:sz w:val="24"/>
          <w:szCs w:val="24"/>
          <w:lang w:eastAsia="ru-RU"/>
        </w:rPr>
        <w:t>.</w:t>
      </w:r>
      <w:r w:rsidR="009D1F6A" w:rsidRPr="00171DDC">
        <w:rPr>
          <w:rFonts w:ascii="Calibri" w:eastAsia="Times New Roman" w:hAnsi="Calibri" w:cs="Calibri"/>
          <w:sz w:val="24"/>
          <w:szCs w:val="24"/>
          <w:lang w:eastAsia="ru-RU"/>
        </w:rPr>
        <w:t xml:space="preserve"> </w:t>
      </w:r>
      <w:r w:rsidRPr="00171DDC">
        <w:rPr>
          <w:rFonts w:ascii="Calibri" w:eastAsia="Times New Roman" w:hAnsi="Calibri" w:cs="Calibri"/>
          <w:sz w:val="24"/>
          <w:szCs w:val="24"/>
          <w:lang w:eastAsia="ru-RU"/>
        </w:rPr>
        <w:t xml:space="preserve"> As expected, hip fractures were more frequent in women than in men.  In both sexes, the incidence increased with age.  Assuming that the </w:t>
      </w:r>
      <w:r w:rsidR="006A38BB">
        <w:rPr>
          <w:rFonts w:ascii="Calibri" w:eastAsia="Times New Roman" w:hAnsi="Calibri" w:cs="Calibri"/>
          <w:sz w:val="24"/>
          <w:szCs w:val="24"/>
          <w:lang w:eastAsia="ru-RU"/>
        </w:rPr>
        <w:t>multi</w:t>
      </w:r>
      <w:r w:rsidRPr="00171DDC">
        <w:rPr>
          <w:rFonts w:ascii="Calibri" w:eastAsia="Times New Roman" w:hAnsi="Calibri" w:cs="Calibri"/>
          <w:sz w:val="24"/>
          <w:szCs w:val="24"/>
          <w:lang w:eastAsia="ru-RU"/>
        </w:rPr>
        <w:t xml:space="preserve">regional incidence was similar to the national incidence, </w:t>
      </w:r>
      <w:r w:rsidR="00221054" w:rsidRPr="00171DDC">
        <w:rPr>
          <w:rFonts w:ascii="Calibri" w:eastAsia="Times New Roman" w:hAnsi="Calibri" w:cs="Calibri"/>
          <w:sz w:val="24"/>
          <w:szCs w:val="24"/>
          <w:lang w:eastAsia="ru-RU"/>
        </w:rPr>
        <w:t>Saudi Arabia</w:t>
      </w:r>
      <w:r w:rsidRPr="00171DDC">
        <w:rPr>
          <w:rFonts w:ascii="Calibri" w:eastAsia="Times New Roman" w:hAnsi="Calibri" w:cs="Calibri"/>
          <w:sz w:val="24"/>
          <w:szCs w:val="24"/>
          <w:lang w:eastAsia="ru-RU"/>
        </w:rPr>
        <w:t xml:space="preserve"> belongs to the </w:t>
      </w:r>
      <w:r w:rsidR="00FB3A9B" w:rsidRPr="00171DDC">
        <w:rPr>
          <w:rFonts w:ascii="Calibri" w:eastAsia="Times New Roman" w:hAnsi="Calibri" w:cs="Calibri"/>
          <w:sz w:val="24"/>
          <w:szCs w:val="24"/>
          <w:lang w:eastAsia="ru-RU"/>
        </w:rPr>
        <w:t>low</w:t>
      </w:r>
      <w:r w:rsidRPr="00171DDC">
        <w:rPr>
          <w:rFonts w:ascii="Calibri" w:eastAsia="Times New Roman" w:hAnsi="Calibri" w:cs="Calibri"/>
          <w:sz w:val="24"/>
          <w:szCs w:val="24"/>
          <w:lang w:eastAsia="ru-RU"/>
        </w:rPr>
        <w:t>-risk countries for hip fracture for men and women [</w:t>
      </w:r>
      <w:r w:rsidR="00230076">
        <w:rPr>
          <w:rFonts w:ascii="Calibri" w:eastAsia="Times New Roman" w:hAnsi="Calibri" w:cs="Calibri"/>
          <w:sz w:val="24"/>
          <w:szCs w:val="24"/>
          <w:lang w:eastAsia="ru-RU"/>
        </w:rPr>
        <w:t>21</w:t>
      </w:r>
      <w:r w:rsidR="00AE69F9">
        <w:rPr>
          <w:rFonts w:ascii="Calibri" w:eastAsia="Times New Roman" w:hAnsi="Calibri" w:cs="Calibri"/>
          <w:sz w:val="24"/>
          <w:szCs w:val="24"/>
          <w:lang w:eastAsia="ru-RU"/>
        </w:rPr>
        <w:t>]</w:t>
      </w:r>
      <w:r w:rsidRPr="00171DDC">
        <w:rPr>
          <w:rFonts w:ascii="Calibri" w:eastAsia="Times New Roman" w:hAnsi="Calibri" w:cs="Calibri"/>
          <w:sz w:val="24"/>
          <w:szCs w:val="24"/>
          <w:lang w:eastAsia="ru-RU"/>
        </w:rPr>
        <w:t xml:space="preserve">. </w:t>
      </w:r>
      <w:r w:rsidR="00D47E6C" w:rsidRPr="00171DDC">
        <w:rPr>
          <w:rFonts w:ascii="Calibri" w:eastAsia="Times New Roman" w:hAnsi="Calibri" w:cs="Calibri"/>
          <w:sz w:val="24"/>
          <w:szCs w:val="24"/>
          <w:lang w:eastAsia="ru-RU"/>
        </w:rPr>
        <w:t>There are relatively few studies of fracture rates in Saudi Arabia [</w:t>
      </w:r>
      <w:r w:rsidR="00230076">
        <w:rPr>
          <w:rFonts w:ascii="Calibri" w:eastAsia="Times New Roman" w:hAnsi="Calibri" w:cs="Calibri"/>
          <w:sz w:val="24"/>
          <w:szCs w:val="24"/>
          <w:lang w:eastAsia="ru-RU"/>
        </w:rPr>
        <w:t>22</w:t>
      </w:r>
      <w:r w:rsidR="00AE69F9">
        <w:rPr>
          <w:rFonts w:ascii="Calibri" w:eastAsia="Times New Roman" w:hAnsi="Calibri" w:cs="Calibri"/>
          <w:sz w:val="24"/>
          <w:szCs w:val="24"/>
          <w:lang w:eastAsia="ru-RU"/>
        </w:rPr>
        <w:t>]</w:t>
      </w:r>
      <w:r w:rsidR="00D47E6C" w:rsidRPr="00171DDC">
        <w:rPr>
          <w:rFonts w:ascii="Calibri" w:eastAsia="Times New Roman" w:hAnsi="Calibri" w:cs="Calibri"/>
          <w:sz w:val="24"/>
          <w:szCs w:val="24"/>
          <w:lang w:eastAsia="ru-RU"/>
        </w:rPr>
        <w:t>.  In the case of hip fracture, these date from 1991 [</w:t>
      </w:r>
      <w:r w:rsidR="00230076">
        <w:rPr>
          <w:rFonts w:ascii="Calibri" w:eastAsia="Times New Roman" w:hAnsi="Calibri" w:cs="Calibri"/>
          <w:sz w:val="24"/>
          <w:szCs w:val="24"/>
          <w:lang w:eastAsia="ru-RU"/>
        </w:rPr>
        <w:t>23</w:t>
      </w:r>
      <w:r w:rsidR="00AE69F9">
        <w:rPr>
          <w:rFonts w:ascii="Calibri" w:eastAsia="Times New Roman" w:hAnsi="Calibri" w:cs="Calibri"/>
          <w:sz w:val="24"/>
          <w:szCs w:val="24"/>
          <w:lang w:eastAsia="ru-RU"/>
        </w:rPr>
        <w:t>]</w:t>
      </w:r>
      <w:r w:rsidR="00D47E6C" w:rsidRPr="00171DDC">
        <w:rPr>
          <w:rFonts w:ascii="Calibri" w:eastAsia="Times New Roman" w:hAnsi="Calibri" w:cs="Calibri"/>
          <w:sz w:val="24"/>
          <w:szCs w:val="24"/>
          <w:lang w:eastAsia="ru-RU"/>
        </w:rPr>
        <w:t xml:space="preserve">, </w:t>
      </w:r>
      <w:r w:rsidR="00D47E6C" w:rsidRPr="00EC77F2">
        <w:rPr>
          <w:rFonts w:ascii="Calibri" w:eastAsia="Times New Roman" w:hAnsi="Calibri" w:cs="Calibri"/>
          <w:sz w:val="24"/>
          <w:szCs w:val="24"/>
          <w:lang w:eastAsia="ru-RU"/>
        </w:rPr>
        <w:t>2007 [</w:t>
      </w:r>
      <w:r w:rsidR="00230076">
        <w:rPr>
          <w:rFonts w:ascii="Calibri" w:eastAsia="Times New Roman" w:hAnsi="Calibri" w:cs="Calibri"/>
          <w:sz w:val="24"/>
          <w:szCs w:val="24"/>
          <w:lang w:eastAsia="ru-RU"/>
        </w:rPr>
        <w:t>24</w:t>
      </w:r>
      <w:r w:rsidR="00AE69F9">
        <w:rPr>
          <w:rFonts w:ascii="Calibri" w:eastAsia="Times New Roman" w:hAnsi="Calibri" w:cs="Calibri"/>
          <w:sz w:val="24"/>
          <w:szCs w:val="24"/>
          <w:lang w:eastAsia="ru-RU"/>
        </w:rPr>
        <w:t xml:space="preserve">] </w:t>
      </w:r>
      <w:r w:rsidR="00D47E6C" w:rsidRPr="00171DDC">
        <w:rPr>
          <w:rFonts w:ascii="Calibri" w:eastAsia="Times New Roman" w:hAnsi="Calibri" w:cs="Calibri"/>
          <w:sz w:val="24"/>
          <w:szCs w:val="24"/>
          <w:lang w:eastAsia="ru-RU"/>
        </w:rPr>
        <w:t>and 2013 [</w:t>
      </w:r>
      <w:r w:rsidR="00230076">
        <w:rPr>
          <w:rFonts w:ascii="Calibri" w:eastAsia="Times New Roman" w:hAnsi="Calibri" w:cs="Calibri"/>
          <w:sz w:val="24"/>
          <w:szCs w:val="24"/>
          <w:lang w:eastAsia="ru-RU"/>
        </w:rPr>
        <w:t>25</w:t>
      </w:r>
      <w:r w:rsidR="00AE69F9">
        <w:rPr>
          <w:rFonts w:ascii="Calibri" w:eastAsia="Times New Roman" w:hAnsi="Calibri" w:cs="Calibri"/>
          <w:sz w:val="24"/>
          <w:szCs w:val="24"/>
          <w:lang w:eastAsia="ru-RU"/>
        </w:rPr>
        <w:t>]</w:t>
      </w:r>
      <w:r w:rsidR="00D47E6C" w:rsidRPr="00171DDC">
        <w:rPr>
          <w:rFonts w:ascii="Calibri" w:eastAsia="Times New Roman" w:hAnsi="Calibri" w:cs="Calibri"/>
          <w:sz w:val="24"/>
          <w:szCs w:val="24"/>
          <w:lang w:eastAsia="ru-RU"/>
        </w:rPr>
        <w:t>.  All were regional retrospective studies.  The most recent was a survey in 24 of 28 hospitals in the Eastern Province.</w:t>
      </w:r>
      <w:r w:rsidR="00B336A8" w:rsidRPr="00171DDC">
        <w:rPr>
          <w:rFonts w:ascii="Calibri" w:eastAsia="Times New Roman" w:hAnsi="Calibri" w:cs="Calibri"/>
          <w:sz w:val="24"/>
          <w:szCs w:val="24"/>
          <w:lang w:eastAsia="ru-RU"/>
        </w:rPr>
        <w:t xml:space="preserve">  </w:t>
      </w:r>
      <w:r w:rsidR="00BA2F96" w:rsidRPr="00171DDC">
        <w:rPr>
          <w:rFonts w:ascii="Calibri" w:eastAsia="Times New Roman" w:hAnsi="Calibri" w:cs="Calibri"/>
          <w:sz w:val="24"/>
          <w:szCs w:val="24"/>
          <w:lang w:eastAsia="ru-RU"/>
        </w:rPr>
        <w:t xml:space="preserve">Crude hip fracture rates were </w:t>
      </w:r>
      <w:r w:rsidR="00D52B15" w:rsidRPr="00171DDC">
        <w:rPr>
          <w:rFonts w:ascii="Calibri" w:eastAsia="Times New Roman" w:hAnsi="Calibri" w:cs="Calibri"/>
          <w:sz w:val="24"/>
          <w:szCs w:val="24"/>
          <w:lang w:eastAsia="ru-RU"/>
        </w:rPr>
        <w:t>approximately</w:t>
      </w:r>
      <w:r w:rsidR="00BA2F96" w:rsidRPr="00171DDC">
        <w:rPr>
          <w:rFonts w:ascii="Calibri" w:eastAsia="Times New Roman" w:hAnsi="Calibri" w:cs="Calibri"/>
          <w:sz w:val="24"/>
          <w:szCs w:val="24"/>
          <w:lang w:eastAsia="ru-RU"/>
        </w:rPr>
        <w:t xml:space="preserve"> 3-</w:t>
      </w:r>
      <w:r w:rsidR="00C752FF" w:rsidRPr="00171DDC">
        <w:rPr>
          <w:rFonts w:ascii="Calibri" w:eastAsia="Times New Roman" w:hAnsi="Calibri" w:cs="Calibri"/>
          <w:sz w:val="24"/>
          <w:szCs w:val="24"/>
          <w:lang w:eastAsia="ru-RU"/>
        </w:rPr>
        <w:t>fold higher in men and in women than in the present study.</w:t>
      </w:r>
      <w:r w:rsidR="00B336A8" w:rsidRPr="00171DDC">
        <w:rPr>
          <w:rFonts w:ascii="Calibri" w:eastAsia="Times New Roman" w:hAnsi="Calibri" w:cs="Calibri"/>
          <w:sz w:val="24"/>
          <w:szCs w:val="24"/>
          <w:lang w:eastAsia="ru-RU"/>
        </w:rPr>
        <w:t xml:space="preserve"> </w:t>
      </w:r>
      <w:r w:rsidR="00D52B15" w:rsidRPr="00171DDC">
        <w:rPr>
          <w:rFonts w:ascii="Calibri" w:eastAsia="Times New Roman" w:hAnsi="Calibri" w:cs="Calibri"/>
          <w:sz w:val="24"/>
          <w:szCs w:val="24"/>
          <w:lang w:eastAsia="ru-RU"/>
        </w:rPr>
        <w:t xml:space="preserve"> </w:t>
      </w:r>
      <w:r w:rsidR="002E3F59" w:rsidRPr="00171DDC">
        <w:rPr>
          <w:rFonts w:ascii="Calibri" w:eastAsia="Times New Roman" w:hAnsi="Calibri" w:cs="Calibri"/>
          <w:sz w:val="24"/>
          <w:szCs w:val="24"/>
          <w:lang w:eastAsia="ru-RU"/>
        </w:rPr>
        <w:t xml:space="preserve">Reasons for the disparity are </w:t>
      </w:r>
      <w:r w:rsidR="00635CB8" w:rsidRPr="00171DDC">
        <w:rPr>
          <w:rFonts w:ascii="Calibri" w:eastAsia="Times New Roman" w:hAnsi="Calibri" w:cs="Calibri"/>
          <w:sz w:val="24"/>
          <w:szCs w:val="24"/>
          <w:lang w:eastAsia="ru-RU"/>
        </w:rPr>
        <w:t>speculative, though the 2013 survey</w:t>
      </w:r>
      <w:r w:rsidR="00F26DB0" w:rsidRPr="00171DDC">
        <w:rPr>
          <w:rFonts w:ascii="Calibri" w:eastAsia="Times New Roman" w:hAnsi="Calibri" w:cs="Calibri"/>
          <w:sz w:val="24"/>
          <w:szCs w:val="24"/>
          <w:lang w:eastAsia="ru-RU"/>
        </w:rPr>
        <w:t xml:space="preserve"> would have captured the </w:t>
      </w:r>
      <w:r w:rsidR="006A38BB">
        <w:rPr>
          <w:rFonts w:ascii="Calibri" w:eastAsia="Times New Roman" w:hAnsi="Calibri" w:cs="Calibri"/>
          <w:sz w:val="24"/>
          <w:szCs w:val="24"/>
          <w:lang w:eastAsia="ru-RU"/>
        </w:rPr>
        <w:t xml:space="preserve">large </w:t>
      </w:r>
      <w:r w:rsidR="00F26DB0" w:rsidRPr="00171DDC">
        <w:rPr>
          <w:rFonts w:ascii="Calibri" w:eastAsia="Times New Roman" w:hAnsi="Calibri" w:cs="Calibri"/>
          <w:sz w:val="24"/>
          <w:szCs w:val="24"/>
          <w:lang w:eastAsia="ru-RU"/>
        </w:rPr>
        <w:t>expatr</w:t>
      </w:r>
      <w:r w:rsidR="00824369" w:rsidRPr="00171DDC">
        <w:rPr>
          <w:rFonts w:ascii="Calibri" w:eastAsia="Times New Roman" w:hAnsi="Calibri" w:cs="Calibri"/>
          <w:sz w:val="24"/>
          <w:szCs w:val="24"/>
          <w:lang w:eastAsia="ru-RU"/>
        </w:rPr>
        <w:t>iate as well as the indigenous population.</w:t>
      </w:r>
      <w:r w:rsidR="00D52B15" w:rsidRPr="00171DDC">
        <w:rPr>
          <w:rFonts w:ascii="Calibri" w:eastAsia="Times New Roman" w:hAnsi="Calibri" w:cs="Calibri"/>
          <w:sz w:val="24"/>
          <w:szCs w:val="24"/>
          <w:lang w:eastAsia="ru-RU"/>
        </w:rPr>
        <w:t xml:space="preserve"> </w:t>
      </w:r>
    </w:p>
    <w:p w14:paraId="638DC2CD" w14:textId="77777777" w:rsidR="00214CBE" w:rsidRPr="00171DDC" w:rsidRDefault="00214CBE" w:rsidP="00171DDC">
      <w:pPr>
        <w:spacing w:after="0"/>
        <w:ind w:left="1134"/>
        <w:jc w:val="left"/>
        <w:rPr>
          <w:rFonts w:ascii="Calibri" w:eastAsia="Times New Roman" w:hAnsi="Calibri" w:cs="Calibri"/>
          <w:sz w:val="24"/>
          <w:szCs w:val="24"/>
          <w:highlight w:val="yellow"/>
          <w:lang w:eastAsia="ru-RU"/>
        </w:rPr>
      </w:pPr>
      <w:r w:rsidRPr="00171DDC">
        <w:rPr>
          <w:rFonts w:ascii="Calibri" w:eastAsia="Times New Roman" w:hAnsi="Calibri" w:cs="Calibri"/>
          <w:sz w:val="24"/>
          <w:szCs w:val="24"/>
          <w:highlight w:val="yellow"/>
          <w:lang w:eastAsia="ru-RU"/>
        </w:rPr>
        <w:t xml:space="preserve">  </w:t>
      </w:r>
    </w:p>
    <w:p w14:paraId="50772723" w14:textId="3CA4E435" w:rsidR="00214CBE" w:rsidRPr="00171DDC" w:rsidRDefault="00214CBE" w:rsidP="00171DDC">
      <w:pPr>
        <w:spacing w:after="0"/>
        <w:ind w:left="1134"/>
        <w:jc w:val="left"/>
        <w:rPr>
          <w:rFonts w:ascii="Calibri" w:eastAsia="Times New Roman" w:hAnsi="Calibri" w:cs="Calibri"/>
          <w:sz w:val="24"/>
          <w:szCs w:val="24"/>
          <w:lang w:eastAsia="ru-RU"/>
        </w:rPr>
      </w:pPr>
      <w:r w:rsidRPr="00171DDC">
        <w:rPr>
          <w:rFonts w:ascii="Calibri" w:eastAsia="Times New Roman" w:hAnsi="Calibri" w:cs="Calibri"/>
          <w:sz w:val="24"/>
          <w:szCs w:val="24"/>
          <w:lang w:eastAsia="ru-RU"/>
        </w:rPr>
        <w:t xml:space="preserve">The number of hip fractures nationwide was estimated at </w:t>
      </w:r>
      <w:r w:rsidR="00050920" w:rsidRPr="00171DDC">
        <w:rPr>
          <w:rFonts w:ascii="Calibri" w:eastAsia="Times New Roman" w:hAnsi="Calibri" w:cs="Calibri"/>
          <w:sz w:val="24"/>
          <w:szCs w:val="24"/>
          <w:lang w:eastAsia="ru-RU"/>
        </w:rPr>
        <w:t>2,949</w:t>
      </w:r>
      <w:r w:rsidR="000172F4" w:rsidRPr="00171DDC">
        <w:rPr>
          <w:rFonts w:ascii="Calibri" w:eastAsia="Times New Roman" w:hAnsi="Calibri" w:cs="Calibri"/>
          <w:sz w:val="24"/>
          <w:szCs w:val="24"/>
          <w:lang w:eastAsia="ru-RU"/>
        </w:rPr>
        <w:t xml:space="preserve"> </w:t>
      </w:r>
      <w:r w:rsidRPr="00171DDC">
        <w:rPr>
          <w:rFonts w:ascii="Calibri" w:eastAsia="Times New Roman" w:hAnsi="Calibri" w:cs="Calibri"/>
          <w:sz w:val="24"/>
          <w:szCs w:val="24"/>
          <w:lang w:eastAsia="ru-RU"/>
        </w:rPr>
        <w:t>in 2015.</w:t>
      </w:r>
    </w:p>
    <w:p w14:paraId="06253C71" w14:textId="3FECE57F" w:rsidR="00214CBE" w:rsidRPr="00171DDC" w:rsidRDefault="00214CBE" w:rsidP="00171DDC">
      <w:pPr>
        <w:spacing w:after="0"/>
        <w:ind w:left="1134"/>
        <w:jc w:val="left"/>
        <w:rPr>
          <w:rFonts w:ascii="Calibri" w:eastAsia="Times New Roman" w:hAnsi="Calibri" w:cs="Calibri"/>
          <w:sz w:val="24"/>
          <w:szCs w:val="24"/>
          <w:lang w:eastAsia="ru-RU"/>
        </w:rPr>
      </w:pPr>
      <w:r w:rsidRPr="00171DDC">
        <w:rPr>
          <w:rFonts w:ascii="Calibri" w:eastAsia="Times New Roman" w:hAnsi="Calibri" w:cs="Calibri"/>
          <w:sz w:val="24"/>
          <w:szCs w:val="24"/>
          <w:lang w:eastAsia="ru-RU"/>
        </w:rPr>
        <w:t xml:space="preserve">Demographic projections indicate that fracture burden is </w:t>
      </w:r>
      <w:r w:rsidR="00DE6236" w:rsidRPr="00171DDC">
        <w:rPr>
          <w:rFonts w:ascii="Calibri" w:eastAsia="Times New Roman" w:hAnsi="Calibri" w:cs="Calibri"/>
          <w:sz w:val="24"/>
          <w:szCs w:val="24"/>
          <w:lang w:eastAsia="ru-RU"/>
        </w:rPr>
        <w:t>set</w:t>
      </w:r>
      <w:r w:rsidRPr="00171DDC">
        <w:rPr>
          <w:rFonts w:ascii="Calibri" w:eastAsia="Times New Roman" w:hAnsi="Calibri" w:cs="Calibri"/>
          <w:sz w:val="24"/>
          <w:szCs w:val="24"/>
          <w:lang w:eastAsia="ru-RU"/>
        </w:rPr>
        <w:t xml:space="preserve"> to increase markedly in the future.  It is estimated that the annual number of hip </w:t>
      </w:r>
      <w:r w:rsidR="006A38BB">
        <w:rPr>
          <w:rFonts w:ascii="Calibri" w:eastAsia="Times New Roman" w:hAnsi="Calibri" w:cs="Calibri"/>
          <w:sz w:val="24"/>
          <w:szCs w:val="24"/>
          <w:lang w:eastAsia="ru-RU"/>
        </w:rPr>
        <w:t xml:space="preserve">fractures </w:t>
      </w:r>
      <w:r w:rsidRPr="00171DDC">
        <w:rPr>
          <w:rFonts w:ascii="Calibri" w:eastAsia="Times New Roman" w:hAnsi="Calibri" w:cs="Calibri"/>
          <w:sz w:val="24"/>
          <w:szCs w:val="24"/>
          <w:lang w:eastAsia="ru-RU"/>
        </w:rPr>
        <w:t xml:space="preserve">will increase </w:t>
      </w:r>
      <w:r w:rsidR="00E4556F" w:rsidRPr="00171DDC">
        <w:rPr>
          <w:rFonts w:ascii="Calibri" w:eastAsia="Times New Roman" w:hAnsi="Calibri" w:cs="Calibri"/>
          <w:sz w:val="24"/>
          <w:szCs w:val="24"/>
          <w:lang w:eastAsia="ru-RU"/>
        </w:rPr>
        <w:t>nearly</w:t>
      </w:r>
      <w:r w:rsidR="000172F4" w:rsidRPr="00171DDC">
        <w:rPr>
          <w:rFonts w:ascii="Calibri" w:eastAsia="Times New Roman" w:hAnsi="Calibri" w:cs="Calibri"/>
          <w:sz w:val="24"/>
          <w:szCs w:val="24"/>
          <w:lang w:eastAsia="ru-RU"/>
        </w:rPr>
        <w:t xml:space="preserve"> 7</w:t>
      </w:r>
      <w:r w:rsidRPr="00171DDC">
        <w:rPr>
          <w:rFonts w:ascii="Calibri" w:eastAsia="Times New Roman" w:hAnsi="Calibri" w:cs="Calibri"/>
          <w:sz w:val="24"/>
          <w:szCs w:val="24"/>
          <w:lang w:eastAsia="ru-RU"/>
        </w:rPr>
        <w:t xml:space="preserve">-fold over 35 years. The prediction is relatively robust in that all individuals who will be </w:t>
      </w:r>
      <w:r w:rsidR="00D74161" w:rsidRPr="00171DDC">
        <w:rPr>
          <w:rFonts w:ascii="Calibri" w:eastAsia="Times New Roman" w:hAnsi="Calibri" w:cs="Calibri"/>
          <w:sz w:val="24"/>
          <w:szCs w:val="24"/>
          <w:lang w:eastAsia="ru-RU"/>
        </w:rPr>
        <w:t xml:space="preserve">at the </w:t>
      </w:r>
      <w:r w:rsidRPr="00171DDC">
        <w:rPr>
          <w:rFonts w:ascii="Calibri" w:eastAsia="Times New Roman" w:hAnsi="Calibri" w:cs="Calibri"/>
          <w:sz w:val="24"/>
          <w:szCs w:val="24"/>
          <w:lang w:eastAsia="ru-RU"/>
        </w:rPr>
        <w:t>age</w:t>
      </w:r>
      <w:r w:rsidR="00D74161" w:rsidRPr="00171DDC">
        <w:rPr>
          <w:rFonts w:ascii="Calibri" w:eastAsia="Times New Roman" w:hAnsi="Calibri" w:cs="Calibri"/>
          <w:sz w:val="24"/>
          <w:szCs w:val="24"/>
          <w:lang w:eastAsia="ru-RU"/>
        </w:rPr>
        <w:t>d of</w:t>
      </w:r>
      <w:r w:rsidRPr="00171DDC">
        <w:rPr>
          <w:rFonts w:ascii="Calibri" w:eastAsia="Times New Roman" w:hAnsi="Calibri" w:cs="Calibri"/>
          <w:sz w:val="24"/>
          <w:szCs w:val="24"/>
          <w:lang w:eastAsia="ru-RU"/>
        </w:rPr>
        <w:t xml:space="preserve"> 50 years or more in 2050 are currently adults. </w:t>
      </w:r>
      <w:r w:rsidR="006A38BB">
        <w:rPr>
          <w:rFonts w:ascii="Calibri" w:eastAsia="Times New Roman" w:hAnsi="Calibri" w:cs="Calibri"/>
          <w:sz w:val="24"/>
          <w:szCs w:val="24"/>
          <w:lang w:eastAsia="ru-RU"/>
        </w:rPr>
        <w:t xml:space="preserve"> </w:t>
      </w:r>
      <w:r w:rsidRPr="00171DDC">
        <w:rPr>
          <w:rFonts w:ascii="Calibri" w:eastAsia="Times New Roman" w:hAnsi="Calibri" w:cs="Calibri"/>
          <w:sz w:val="24"/>
          <w:szCs w:val="24"/>
          <w:lang w:eastAsia="ru-RU"/>
        </w:rPr>
        <w:t>However, these estimates may be conservative since they assume that the age- and sex-specific risk of hip fracture remains unchanged over this period.  If the age- and sex-specific incidence of hip fracture increases, as has been registered in several countries [</w:t>
      </w:r>
      <w:r w:rsidR="00230076">
        <w:rPr>
          <w:rFonts w:ascii="Calibri" w:eastAsia="Times New Roman" w:hAnsi="Calibri" w:cs="Calibri"/>
          <w:sz w:val="24"/>
          <w:szCs w:val="24"/>
          <w:lang w:eastAsia="ru-RU"/>
        </w:rPr>
        <w:t>26</w:t>
      </w:r>
      <w:r w:rsidR="00AE69F9">
        <w:rPr>
          <w:rFonts w:ascii="Calibri" w:eastAsia="Times New Roman" w:hAnsi="Calibri" w:cs="Calibri"/>
          <w:sz w:val="24"/>
          <w:szCs w:val="24"/>
          <w:lang w:eastAsia="ru-RU"/>
        </w:rPr>
        <w:t>]</w:t>
      </w:r>
      <w:r w:rsidRPr="00171DDC">
        <w:rPr>
          <w:rFonts w:ascii="Calibri" w:eastAsia="Times New Roman" w:hAnsi="Calibri" w:cs="Calibri"/>
          <w:sz w:val="24"/>
          <w:szCs w:val="24"/>
          <w:lang w:eastAsia="ru-RU"/>
        </w:rPr>
        <w:t>, then the number of fractures may be more than doubled</w:t>
      </w:r>
      <w:r w:rsidR="00FE45C5" w:rsidRPr="00171DDC">
        <w:rPr>
          <w:rFonts w:ascii="Calibri" w:eastAsia="Times New Roman" w:hAnsi="Calibri" w:cs="Calibri"/>
          <w:sz w:val="24"/>
          <w:szCs w:val="24"/>
          <w:lang w:eastAsia="ru-RU"/>
        </w:rPr>
        <w:t xml:space="preserve"> </w:t>
      </w:r>
      <w:r w:rsidR="001A012F" w:rsidRPr="00171DDC">
        <w:rPr>
          <w:rFonts w:ascii="Calibri" w:eastAsia="Times New Roman" w:hAnsi="Calibri" w:cs="Calibri"/>
          <w:sz w:val="24"/>
          <w:szCs w:val="24"/>
          <w:lang w:eastAsia="ru-RU"/>
        </w:rPr>
        <w:t>[</w:t>
      </w:r>
      <w:r w:rsidR="00230076">
        <w:rPr>
          <w:rFonts w:ascii="Calibri" w:eastAsia="Times New Roman" w:hAnsi="Calibri" w:cs="Calibri"/>
          <w:sz w:val="24"/>
          <w:szCs w:val="24"/>
          <w:lang w:eastAsia="ru-RU"/>
        </w:rPr>
        <w:t>27</w:t>
      </w:r>
      <w:r w:rsidR="001A012F" w:rsidRPr="00171DDC">
        <w:rPr>
          <w:rFonts w:ascii="Calibri" w:eastAsia="Times New Roman" w:hAnsi="Calibri" w:cs="Calibri"/>
          <w:sz w:val="24"/>
          <w:szCs w:val="24"/>
          <w:lang w:eastAsia="ru-RU"/>
        </w:rPr>
        <w:t>]</w:t>
      </w:r>
      <w:r w:rsidRPr="00171DDC">
        <w:rPr>
          <w:rFonts w:ascii="Calibri" w:eastAsia="Times New Roman" w:hAnsi="Calibri" w:cs="Calibri"/>
          <w:sz w:val="24"/>
          <w:szCs w:val="24"/>
          <w:lang w:eastAsia="ru-RU"/>
        </w:rPr>
        <w:t>.  Such projections are important for healthcare planning.</w:t>
      </w:r>
    </w:p>
    <w:p w14:paraId="11212DBB" w14:textId="77777777" w:rsidR="006F786B" w:rsidRPr="00171DDC" w:rsidRDefault="006F786B" w:rsidP="00171DDC">
      <w:pPr>
        <w:spacing w:after="0"/>
        <w:ind w:left="1134"/>
        <w:jc w:val="left"/>
        <w:rPr>
          <w:rFonts w:ascii="Calibri" w:eastAsia="Times New Roman" w:hAnsi="Calibri" w:cs="Calibri"/>
          <w:sz w:val="24"/>
          <w:szCs w:val="24"/>
          <w:lang w:eastAsia="ru-RU"/>
        </w:rPr>
      </w:pPr>
    </w:p>
    <w:p w14:paraId="5257E97F" w14:textId="49A9F645" w:rsidR="008D5980" w:rsidRPr="00171DDC" w:rsidRDefault="008D5980" w:rsidP="00171DDC">
      <w:pPr>
        <w:autoSpaceDE w:val="0"/>
        <w:autoSpaceDN w:val="0"/>
        <w:adjustRightInd w:val="0"/>
        <w:spacing w:after="120"/>
        <w:ind w:left="1134"/>
        <w:jc w:val="left"/>
        <w:rPr>
          <w:rFonts w:ascii="Calibri" w:eastAsia="MS Mincho" w:hAnsi="Calibri" w:cs="Calibri"/>
          <w:color w:val="000000"/>
          <w:sz w:val="24"/>
          <w:szCs w:val="24"/>
          <w:lang w:eastAsia="ja-JP"/>
        </w:rPr>
      </w:pPr>
      <w:r w:rsidRPr="00171DDC">
        <w:rPr>
          <w:rFonts w:ascii="Calibri" w:eastAsia="MS Mincho" w:hAnsi="Calibri" w:cs="Calibri"/>
          <w:color w:val="000000"/>
          <w:sz w:val="24"/>
          <w:szCs w:val="24"/>
          <w:lang w:eastAsia="ja-JP"/>
        </w:rPr>
        <w:t xml:space="preserve">The incidence of hip fracture is rather similar to that reported </w:t>
      </w:r>
      <w:r w:rsidR="00470FAF" w:rsidRPr="00171DDC">
        <w:rPr>
          <w:rFonts w:ascii="Calibri" w:eastAsia="MS Mincho" w:hAnsi="Calibri" w:cs="Calibri"/>
          <w:color w:val="000000"/>
          <w:sz w:val="24"/>
          <w:szCs w:val="24"/>
          <w:lang w:eastAsia="ja-JP"/>
        </w:rPr>
        <w:t>for Kuwait and Abu Dhabi</w:t>
      </w:r>
      <w:r w:rsidR="00345232" w:rsidRPr="00171DDC">
        <w:rPr>
          <w:rFonts w:ascii="Calibri" w:eastAsia="MS Mincho" w:hAnsi="Calibri" w:cs="Calibri"/>
          <w:color w:val="000000"/>
          <w:sz w:val="24"/>
          <w:szCs w:val="24"/>
          <w:lang w:eastAsia="ja-JP"/>
        </w:rPr>
        <w:t xml:space="preserve">.  There </w:t>
      </w:r>
      <w:r w:rsidR="00580973" w:rsidRPr="00171DDC">
        <w:rPr>
          <w:rFonts w:ascii="Calibri" w:eastAsia="MS Mincho" w:hAnsi="Calibri" w:cs="Calibri"/>
          <w:color w:val="000000"/>
          <w:sz w:val="24"/>
          <w:szCs w:val="24"/>
          <w:lang w:eastAsia="ja-JP"/>
        </w:rPr>
        <w:t>was</w:t>
      </w:r>
      <w:r w:rsidR="00345232" w:rsidRPr="00171DDC">
        <w:rPr>
          <w:rFonts w:ascii="Calibri" w:eastAsia="MS Mincho" w:hAnsi="Calibri" w:cs="Calibri"/>
          <w:color w:val="000000"/>
          <w:sz w:val="24"/>
          <w:szCs w:val="24"/>
          <w:lang w:eastAsia="ja-JP"/>
        </w:rPr>
        <w:t>, however</w:t>
      </w:r>
      <w:r w:rsidR="001E5ABC" w:rsidRPr="00171DDC">
        <w:rPr>
          <w:rFonts w:ascii="Calibri" w:eastAsia="MS Mincho" w:hAnsi="Calibri" w:cs="Calibri"/>
          <w:color w:val="000000"/>
          <w:sz w:val="24"/>
          <w:szCs w:val="24"/>
          <w:lang w:eastAsia="ja-JP"/>
        </w:rPr>
        <w:t>,</w:t>
      </w:r>
      <w:r w:rsidR="00345232" w:rsidRPr="00171DDC">
        <w:rPr>
          <w:rFonts w:ascii="Calibri" w:eastAsia="MS Mincho" w:hAnsi="Calibri" w:cs="Calibri"/>
          <w:color w:val="000000"/>
          <w:sz w:val="24"/>
          <w:szCs w:val="24"/>
          <w:lang w:eastAsia="ja-JP"/>
        </w:rPr>
        <w:t xml:space="preserve"> a ve</w:t>
      </w:r>
      <w:r w:rsidR="00580973" w:rsidRPr="00171DDC">
        <w:rPr>
          <w:rFonts w:ascii="Calibri" w:eastAsia="MS Mincho" w:hAnsi="Calibri" w:cs="Calibri"/>
          <w:color w:val="000000"/>
          <w:sz w:val="24"/>
          <w:szCs w:val="24"/>
          <w:lang w:eastAsia="ja-JP"/>
        </w:rPr>
        <w:t>r</w:t>
      </w:r>
      <w:r w:rsidR="00345232" w:rsidRPr="00171DDC">
        <w:rPr>
          <w:rFonts w:ascii="Calibri" w:eastAsia="MS Mincho" w:hAnsi="Calibri" w:cs="Calibri"/>
          <w:color w:val="000000"/>
          <w:sz w:val="24"/>
          <w:szCs w:val="24"/>
          <w:lang w:eastAsia="ja-JP"/>
        </w:rPr>
        <w:t xml:space="preserve">y marked </w:t>
      </w:r>
      <w:r w:rsidR="006F0E5F" w:rsidRPr="00171DDC">
        <w:rPr>
          <w:rFonts w:ascii="Calibri" w:eastAsia="MS Mincho" w:hAnsi="Calibri" w:cs="Calibri"/>
          <w:color w:val="000000"/>
          <w:sz w:val="24"/>
          <w:szCs w:val="24"/>
          <w:lang w:eastAsia="ja-JP"/>
        </w:rPr>
        <w:t xml:space="preserve">difference in fracture probability between the three countries.  The explanation for the difference lies in the </w:t>
      </w:r>
      <w:r w:rsidR="00F77D39" w:rsidRPr="00171DDC">
        <w:rPr>
          <w:rFonts w:ascii="Calibri" w:eastAsia="MS Mincho" w:hAnsi="Calibri" w:cs="Calibri"/>
          <w:color w:val="000000"/>
          <w:sz w:val="24"/>
          <w:szCs w:val="24"/>
          <w:lang w:eastAsia="ja-JP"/>
        </w:rPr>
        <w:t xml:space="preserve">assumptions for </w:t>
      </w:r>
      <w:r w:rsidR="001E5ABC" w:rsidRPr="00171DDC">
        <w:rPr>
          <w:rFonts w:ascii="Calibri" w:eastAsia="MS Mincho" w:hAnsi="Calibri" w:cs="Calibri"/>
          <w:color w:val="000000"/>
          <w:sz w:val="24"/>
          <w:szCs w:val="24"/>
          <w:lang w:eastAsia="ja-JP"/>
        </w:rPr>
        <w:t>mortality since</w:t>
      </w:r>
      <w:r w:rsidR="0094002B" w:rsidRPr="00171DDC">
        <w:rPr>
          <w:rFonts w:ascii="Calibri" w:eastAsia="MS Mincho" w:hAnsi="Calibri" w:cs="Calibri"/>
          <w:color w:val="000000"/>
          <w:sz w:val="24"/>
          <w:szCs w:val="24"/>
          <w:lang w:eastAsia="ja-JP"/>
        </w:rPr>
        <w:t xml:space="preserve"> fracture probability</w:t>
      </w:r>
      <w:r w:rsidR="00BA539F" w:rsidRPr="00171DDC">
        <w:rPr>
          <w:rFonts w:ascii="Calibri" w:eastAsia="MS Mincho" w:hAnsi="Calibri" w:cs="Calibri"/>
          <w:color w:val="000000"/>
          <w:sz w:val="24"/>
          <w:szCs w:val="24"/>
          <w:lang w:eastAsia="ja-JP"/>
        </w:rPr>
        <w:t xml:space="preserve"> </w:t>
      </w:r>
      <w:r w:rsidR="00DE3A0A" w:rsidRPr="00171DDC">
        <w:rPr>
          <w:rFonts w:ascii="Calibri" w:eastAsia="MS Mincho" w:hAnsi="Calibri" w:cs="Calibri"/>
          <w:color w:val="000000"/>
          <w:sz w:val="24"/>
          <w:szCs w:val="24"/>
          <w:lang w:eastAsia="ja-JP"/>
        </w:rPr>
        <w:t>integrates the fracture hazard with the competing effect of mortality.</w:t>
      </w:r>
      <w:r w:rsidR="002D3227" w:rsidRPr="00171DDC">
        <w:rPr>
          <w:rFonts w:ascii="Calibri" w:eastAsia="MS Mincho" w:hAnsi="Calibri" w:cs="Calibri"/>
          <w:color w:val="000000"/>
          <w:sz w:val="24"/>
          <w:szCs w:val="24"/>
          <w:lang w:eastAsia="ja-JP"/>
        </w:rPr>
        <w:t xml:space="preserve">  </w:t>
      </w:r>
      <w:r w:rsidR="007D16B1" w:rsidRPr="00171DDC">
        <w:rPr>
          <w:rFonts w:ascii="Calibri" w:eastAsia="MS Mincho" w:hAnsi="Calibri" w:cs="Calibri"/>
          <w:color w:val="000000"/>
          <w:sz w:val="24"/>
          <w:szCs w:val="24"/>
          <w:lang w:eastAsia="ja-JP"/>
        </w:rPr>
        <w:t>After the age of 70</w:t>
      </w:r>
      <w:r w:rsidR="00AC2EC5" w:rsidRPr="00171DDC">
        <w:rPr>
          <w:rFonts w:ascii="Calibri" w:eastAsia="MS Mincho" w:hAnsi="Calibri" w:cs="Calibri"/>
          <w:color w:val="000000"/>
          <w:sz w:val="24"/>
          <w:szCs w:val="24"/>
          <w:lang w:eastAsia="ja-JP"/>
        </w:rPr>
        <w:t xml:space="preserve"> years</w:t>
      </w:r>
      <w:r w:rsidR="007D16B1" w:rsidRPr="00171DDC">
        <w:rPr>
          <w:rFonts w:ascii="Calibri" w:eastAsia="MS Mincho" w:hAnsi="Calibri" w:cs="Calibri"/>
          <w:color w:val="000000"/>
          <w:sz w:val="24"/>
          <w:szCs w:val="24"/>
          <w:lang w:eastAsia="ja-JP"/>
        </w:rPr>
        <w:t xml:space="preserve">, the mortality estimates </w:t>
      </w:r>
      <w:r w:rsidR="00580973" w:rsidRPr="00171DDC">
        <w:rPr>
          <w:rFonts w:ascii="Calibri" w:eastAsia="MS Mincho" w:hAnsi="Calibri" w:cs="Calibri"/>
          <w:color w:val="000000"/>
          <w:sz w:val="24"/>
          <w:szCs w:val="24"/>
          <w:lang w:eastAsia="ja-JP"/>
        </w:rPr>
        <w:t>we</w:t>
      </w:r>
      <w:r w:rsidR="007D16B1" w:rsidRPr="00171DDC">
        <w:rPr>
          <w:rFonts w:ascii="Calibri" w:eastAsia="MS Mincho" w:hAnsi="Calibri" w:cs="Calibri"/>
          <w:color w:val="000000"/>
          <w:sz w:val="24"/>
          <w:szCs w:val="24"/>
          <w:lang w:eastAsia="ja-JP"/>
        </w:rPr>
        <w:t xml:space="preserve">re much higher </w:t>
      </w:r>
      <w:r w:rsidR="00116023" w:rsidRPr="00171DDC">
        <w:rPr>
          <w:rFonts w:ascii="Calibri" w:eastAsia="MS Mincho" w:hAnsi="Calibri" w:cs="Calibri"/>
          <w:color w:val="000000"/>
          <w:sz w:val="24"/>
          <w:szCs w:val="24"/>
          <w:lang w:eastAsia="ja-JP"/>
        </w:rPr>
        <w:t>in Sa</w:t>
      </w:r>
      <w:r w:rsidR="003005EC" w:rsidRPr="00171DDC">
        <w:rPr>
          <w:rFonts w:ascii="Calibri" w:eastAsia="MS Mincho" w:hAnsi="Calibri" w:cs="Calibri"/>
          <w:color w:val="000000"/>
          <w:sz w:val="24"/>
          <w:szCs w:val="24"/>
          <w:lang w:eastAsia="ja-JP"/>
        </w:rPr>
        <w:t>udi</w:t>
      </w:r>
      <w:r w:rsidR="00116023" w:rsidRPr="00171DDC">
        <w:rPr>
          <w:rFonts w:ascii="Calibri" w:eastAsia="MS Mincho" w:hAnsi="Calibri" w:cs="Calibri"/>
          <w:color w:val="000000"/>
          <w:sz w:val="24"/>
          <w:szCs w:val="24"/>
          <w:lang w:eastAsia="ja-JP"/>
        </w:rPr>
        <w:t xml:space="preserve"> nationals</w:t>
      </w:r>
      <w:r w:rsidR="004B779A" w:rsidRPr="00171DDC">
        <w:rPr>
          <w:rFonts w:ascii="Calibri" w:eastAsia="MS Mincho" w:hAnsi="Calibri" w:cs="Calibri"/>
          <w:color w:val="000000"/>
          <w:sz w:val="24"/>
          <w:szCs w:val="24"/>
          <w:lang w:eastAsia="ja-JP"/>
        </w:rPr>
        <w:t xml:space="preserve"> </w:t>
      </w:r>
      <w:r w:rsidR="007D16B1" w:rsidRPr="00171DDC">
        <w:rPr>
          <w:rFonts w:ascii="Calibri" w:eastAsia="MS Mincho" w:hAnsi="Calibri" w:cs="Calibri"/>
          <w:color w:val="000000"/>
          <w:sz w:val="24"/>
          <w:szCs w:val="24"/>
          <w:lang w:eastAsia="ja-JP"/>
        </w:rPr>
        <w:t xml:space="preserve">than for </w:t>
      </w:r>
      <w:r w:rsidR="00091E4F" w:rsidRPr="00171DDC">
        <w:rPr>
          <w:rFonts w:ascii="Calibri" w:eastAsia="MS Mincho" w:hAnsi="Calibri" w:cs="Calibri"/>
          <w:color w:val="000000"/>
          <w:sz w:val="24"/>
          <w:szCs w:val="24"/>
          <w:lang w:eastAsia="ja-JP"/>
        </w:rPr>
        <w:t xml:space="preserve">the </w:t>
      </w:r>
      <w:r w:rsidR="004B779A" w:rsidRPr="00171DDC">
        <w:rPr>
          <w:rFonts w:ascii="Calibri" w:eastAsia="MS Mincho" w:hAnsi="Calibri" w:cs="Calibri"/>
          <w:color w:val="000000"/>
          <w:sz w:val="24"/>
          <w:szCs w:val="24"/>
          <w:lang w:eastAsia="ja-JP"/>
        </w:rPr>
        <w:t xml:space="preserve">nationals of </w:t>
      </w:r>
      <w:r w:rsidR="004C730D" w:rsidRPr="00171DDC">
        <w:rPr>
          <w:rFonts w:ascii="Calibri" w:eastAsia="MS Mincho" w:hAnsi="Calibri" w:cs="Calibri"/>
          <w:color w:val="000000"/>
          <w:sz w:val="24"/>
          <w:szCs w:val="24"/>
          <w:lang w:eastAsia="ja-JP"/>
        </w:rPr>
        <w:t>Kuwait or Abu Dhabi</w:t>
      </w:r>
      <w:r w:rsidR="005C034A" w:rsidRPr="00171DDC">
        <w:rPr>
          <w:rFonts w:ascii="Calibri" w:eastAsia="MS Mincho" w:hAnsi="Calibri" w:cs="Calibri"/>
          <w:color w:val="000000"/>
          <w:sz w:val="24"/>
          <w:szCs w:val="24"/>
          <w:lang w:eastAsia="ja-JP"/>
        </w:rPr>
        <w:t>.  These observations emphasise the importance of the death hazard as well as the fracture hazard in the determination of fracture probability.</w:t>
      </w:r>
    </w:p>
    <w:p w14:paraId="07E5D98F" w14:textId="1DE60C32" w:rsidR="00A905DE" w:rsidRPr="00171DDC" w:rsidRDefault="00817F64" w:rsidP="00171DDC">
      <w:pPr>
        <w:autoSpaceDE w:val="0"/>
        <w:autoSpaceDN w:val="0"/>
        <w:adjustRightInd w:val="0"/>
        <w:spacing w:after="120"/>
        <w:ind w:left="1134"/>
        <w:jc w:val="left"/>
        <w:rPr>
          <w:rFonts w:ascii="Calibri" w:eastAsia="MS Mincho" w:hAnsi="Calibri" w:cs="Calibri"/>
          <w:color w:val="000000"/>
          <w:sz w:val="24"/>
          <w:szCs w:val="24"/>
          <w:lang w:eastAsia="ja-JP"/>
        </w:rPr>
      </w:pPr>
      <w:r w:rsidRPr="00171DDC">
        <w:rPr>
          <w:rFonts w:ascii="Calibri" w:eastAsia="MS Mincho" w:hAnsi="Calibri" w:cs="Calibri"/>
          <w:color w:val="000000"/>
          <w:sz w:val="24"/>
          <w:szCs w:val="24"/>
          <w:lang w:eastAsia="ja-JP"/>
        </w:rPr>
        <w:t xml:space="preserve">Whereas the </w:t>
      </w:r>
      <w:r w:rsidR="00D308B3" w:rsidRPr="00171DDC">
        <w:rPr>
          <w:rFonts w:ascii="Calibri" w:eastAsia="MS Mincho" w:hAnsi="Calibri" w:cs="Calibri"/>
          <w:color w:val="000000"/>
          <w:sz w:val="24"/>
          <w:szCs w:val="24"/>
          <w:lang w:eastAsia="ja-JP"/>
        </w:rPr>
        <w:t>Saudi</w:t>
      </w:r>
      <w:r w:rsidRPr="00171DDC">
        <w:rPr>
          <w:rFonts w:ascii="Calibri" w:eastAsia="MS Mincho" w:hAnsi="Calibri" w:cs="Calibri"/>
          <w:color w:val="000000"/>
          <w:sz w:val="24"/>
          <w:szCs w:val="24"/>
          <w:lang w:eastAsia="ja-JP"/>
        </w:rPr>
        <w:t xml:space="preserve"> FRAX model permits the assessment of fracture probability in </w:t>
      </w:r>
      <w:r w:rsidR="00D308B3" w:rsidRPr="00171DDC">
        <w:rPr>
          <w:rFonts w:ascii="Calibri" w:eastAsia="MS Mincho" w:hAnsi="Calibri" w:cs="Calibri"/>
          <w:color w:val="000000"/>
          <w:sz w:val="24"/>
          <w:szCs w:val="24"/>
          <w:lang w:eastAsia="ja-JP"/>
        </w:rPr>
        <w:t>Saudi</w:t>
      </w:r>
      <w:r w:rsidRPr="00171DDC">
        <w:rPr>
          <w:rFonts w:ascii="Calibri" w:eastAsia="MS Mincho" w:hAnsi="Calibri" w:cs="Calibri"/>
          <w:color w:val="000000"/>
          <w:sz w:val="24"/>
          <w:szCs w:val="24"/>
          <w:lang w:eastAsia="ja-JP"/>
        </w:rPr>
        <w:t xml:space="preserve"> citizens, the question arises of how to assess fracture risk in expatriates.  This community </w:t>
      </w:r>
      <w:r w:rsidR="00997056" w:rsidRPr="00171DDC">
        <w:rPr>
          <w:rFonts w:ascii="Calibri" w:eastAsia="MS Mincho" w:hAnsi="Calibri" w:cs="Calibri"/>
          <w:color w:val="000000"/>
          <w:sz w:val="24"/>
          <w:szCs w:val="24"/>
          <w:lang w:eastAsia="ja-JP"/>
        </w:rPr>
        <w:t>compris</w:t>
      </w:r>
      <w:r w:rsidR="00E65B75" w:rsidRPr="00171DDC">
        <w:rPr>
          <w:rFonts w:ascii="Calibri" w:eastAsia="MS Mincho" w:hAnsi="Calibri" w:cs="Calibri"/>
          <w:color w:val="000000"/>
          <w:sz w:val="24"/>
          <w:szCs w:val="24"/>
          <w:lang w:eastAsia="ja-JP"/>
        </w:rPr>
        <w:t>es</w:t>
      </w:r>
      <w:r w:rsidR="00D308B3" w:rsidRPr="00171DDC">
        <w:rPr>
          <w:rFonts w:ascii="Calibri" w:eastAsia="MS Mincho" w:hAnsi="Calibri" w:cs="Calibri"/>
          <w:color w:val="000000"/>
          <w:sz w:val="24"/>
          <w:szCs w:val="24"/>
          <w:lang w:eastAsia="ja-JP"/>
        </w:rPr>
        <w:t xml:space="preserve"> 38.3% of the total population, according to UN data </w:t>
      </w:r>
      <w:r w:rsidR="00AE69F9">
        <w:rPr>
          <w:rFonts w:ascii="Calibri" w:eastAsia="MS Mincho" w:hAnsi="Calibri" w:cs="Calibri"/>
          <w:color w:val="000000"/>
          <w:sz w:val="24"/>
          <w:szCs w:val="24"/>
          <w:lang w:eastAsia="ja-JP"/>
        </w:rPr>
        <w:t>for 2019 and</w:t>
      </w:r>
      <w:r w:rsidR="00997056" w:rsidRPr="00171DDC">
        <w:rPr>
          <w:rFonts w:ascii="Calibri" w:eastAsia="MS Mincho" w:hAnsi="Calibri" w:cs="Calibri"/>
          <w:color w:val="000000"/>
          <w:sz w:val="24"/>
          <w:szCs w:val="24"/>
          <w:lang w:eastAsia="ja-JP"/>
        </w:rPr>
        <w:t xml:space="preserve"> i</w:t>
      </w:r>
      <w:r w:rsidRPr="00171DDC">
        <w:rPr>
          <w:rFonts w:ascii="Calibri" w:eastAsia="MS Mincho" w:hAnsi="Calibri" w:cs="Calibri"/>
          <w:color w:val="000000"/>
          <w:sz w:val="24"/>
          <w:szCs w:val="24"/>
          <w:lang w:eastAsia="ja-JP"/>
        </w:rPr>
        <w:t>s ethnically very diverse</w:t>
      </w:r>
      <w:r w:rsidR="00AE69F9">
        <w:rPr>
          <w:rFonts w:ascii="Calibri" w:eastAsia="MS Mincho" w:hAnsi="Calibri" w:cs="Calibri"/>
          <w:color w:val="000000"/>
          <w:sz w:val="24"/>
          <w:szCs w:val="24"/>
          <w:lang w:eastAsia="ja-JP"/>
        </w:rPr>
        <w:t xml:space="preserve"> [</w:t>
      </w:r>
      <w:r w:rsidR="00230076">
        <w:rPr>
          <w:rFonts w:ascii="Calibri" w:eastAsia="MS Mincho" w:hAnsi="Calibri" w:cs="Calibri"/>
          <w:color w:val="000000"/>
          <w:sz w:val="24"/>
          <w:szCs w:val="24"/>
          <w:lang w:eastAsia="ja-JP"/>
        </w:rPr>
        <w:t>12</w:t>
      </w:r>
      <w:r w:rsidR="00AE69F9">
        <w:rPr>
          <w:rFonts w:ascii="Calibri" w:eastAsia="MS Mincho" w:hAnsi="Calibri" w:cs="Calibri"/>
          <w:color w:val="000000"/>
          <w:sz w:val="24"/>
          <w:szCs w:val="24"/>
          <w:lang w:eastAsia="ja-JP"/>
        </w:rPr>
        <w:t>]</w:t>
      </w:r>
      <w:r w:rsidR="00D62B4D" w:rsidRPr="00171DDC">
        <w:rPr>
          <w:rFonts w:ascii="Calibri" w:eastAsia="MS Mincho" w:hAnsi="Calibri" w:cs="Calibri"/>
          <w:color w:val="000000"/>
          <w:sz w:val="24"/>
          <w:szCs w:val="24"/>
          <w:lang w:eastAsia="ja-JP"/>
        </w:rPr>
        <w:t>. C</w:t>
      </w:r>
      <w:r w:rsidRPr="00171DDC">
        <w:rPr>
          <w:rFonts w:ascii="Calibri" w:eastAsia="MS Mincho" w:hAnsi="Calibri" w:cs="Calibri"/>
          <w:color w:val="000000"/>
          <w:sz w:val="24"/>
          <w:szCs w:val="24"/>
          <w:lang w:eastAsia="ja-JP"/>
        </w:rPr>
        <w:t>urrent evidence indicates that expatriates retain the risk characteristics of their country of origin [</w:t>
      </w:r>
      <w:r w:rsidR="00230076">
        <w:rPr>
          <w:rFonts w:ascii="Calibri" w:eastAsia="MS Mincho" w:hAnsi="Calibri" w:cs="Calibri"/>
          <w:color w:val="000000"/>
          <w:sz w:val="24"/>
          <w:szCs w:val="24"/>
          <w:lang w:eastAsia="ja-JP"/>
        </w:rPr>
        <w:t>28</w:t>
      </w:r>
      <w:r w:rsidR="00AE69F9">
        <w:rPr>
          <w:rFonts w:ascii="Calibri" w:eastAsia="MS Mincho" w:hAnsi="Calibri" w:cs="Calibri"/>
          <w:color w:val="000000"/>
          <w:sz w:val="24"/>
          <w:szCs w:val="24"/>
          <w:lang w:eastAsia="ja-JP"/>
        </w:rPr>
        <w:t xml:space="preserve">, </w:t>
      </w:r>
      <w:r w:rsidR="00230076">
        <w:rPr>
          <w:rFonts w:ascii="Calibri" w:eastAsia="MS Mincho" w:hAnsi="Calibri" w:cs="Calibri"/>
          <w:color w:val="000000"/>
          <w:sz w:val="24"/>
          <w:szCs w:val="24"/>
          <w:lang w:eastAsia="ja-JP"/>
        </w:rPr>
        <w:t>29</w:t>
      </w:r>
      <w:r w:rsidR="00AE69F9">
        <w:rPr>
          <w:rFonts w:ascii="Calibri" w:eastAsia="MS Mincho" w:hAnsi="Calibri" w:cs="Calibri"/>
          <w:color w:val="000000"/>
          <w:sz w:val="24"/>
          <w:szCs w:val="24"/>
          <w:lang w:eastAsia="ja-JP"/>
        </w:rPr>
        <w:t>]</w:t>
      </w:r>
      <w:r w:rsidRPr="00171DDC">
        <w:rPr>
          <w:rFonts w:ascii="Calibri" w:eastAsia="MS Mincho" w:hAnsi="Calibri" w:cs="Calibri"/>
          <w:color w:val="000000"/>
          <w:sz w:val="24"/>
          <w:szCs w:val="24"/>
          <w:lang w:eastAsia="ja-JP"/>
        </w:rPr>
        <w:t>, so should be assessed as such.</w:t>
      </w:r>
    </w:p>
    <w:p w14:paraId="5E599A5E" w14:textId="6D27CE16" w:rsidR="005C17A3" w:rsidRPr="00171DDC" w:rsidRDefault="005C17A3" w:rsidP="00171DDC">
      <w:pPr>
        <w:autoSpaceDE w:val="0"/>
        <w:autoSpaceDN w:val="0"/>
        <w:adjustRightInd w:val="0"/>
        <w:spacing w:after="120"/>
        <w:ind w:left="1134"/>
        <w:jc w:val="left"/>
        <w:rPr>
          <w:rFonts w:ascii="Calibri" w:eastAsia="MS Mincho" w:hAnsi="Calibri" w:cs="Calibri"/>
          <w:b/>
          <w:bCs/>
          <w:color w:val="000000"/>
          <w:sz w:val="20"/>
          <w:szCs w:val="20"/>
          <w:highlight w:val="yellow"/>
          <w:lang w:eastAsia="ja-JP"/>
        </w:rPr>
      </w:pPr>
    </w:p>
    <w:p w14:paraId="4EFD4905" w14:textId="4330670E" w:rsidR="00F20BF4" w:rsidRPr="00171DDC" w:rsidRDefault="003C088B" w:rsidP="00171DDC">
      <w:pPr>
        <w:tabs>
          <w:tab w:val="left" w:pos="7797"/>
        </w:tabs>
        <w:spacing w:after="200"/>
        <w:ind w:left="1134"/>
        <w:jc w:val="left"/>
        <w:rPr>
          <w:rFonts w:ascii="Calibri" w:eastAsia="Calibri" w:hAnsi="Calibri" w:cs="Calibri"/>
          <w:sz w:val="24"/>
          <w:szCs w:val="24"/>
          <w:lang w:eastAsia="ru-RU" w:bidi="lo-LA"/>
        </w:rPr>
      </w:pPr>
      <w:r w:rsidRPr="00171DDC">
        <w:rPr>
          <w:rFonts w:ascii="Calibri" w:eastAsia="Calibri" w:hAnsi="Calibri" w:cs="Calibri"/>
          <w:sz w:val="24"/>
          <w:szCs w:val="24"/>
          <w:lang w:eastAsia="ru-RU" w:bidi="lo-LA"/>
        </w:rPr>
        <w:t>A minority of countries that have a FRAX model also have robust information on the risk of other major osteoporotic fractures.</w:t>
      </w:r>
      <w:r w:rsidRPr="00171DDC">
        <w:rPr>
          <w:rFonts w:ascii="Calibri" w:eastAsia="Times New Roman" w:hAnsi="Calibri" w:cs="Calibri"/>
          <w:sz w:val="24"/>
          <w:szCs w:val="24"/>
          <w:lang w:eastAsia="ru-RU"/>
        </w:rPr>
        <w:t xml:space="preserve"> </w:t>
      </w:r>
      <w:r w:rsidRPr="00171DDC">
        <w:rPr>
          <w:rFonts w:ascii="Calibri" w:eastAsia="Calibri" w:hAnsi="Calibri" w:cs="Calibri"/>
          <w:sz w:val="24"/>
          <w:szCs w:val="24"/>
          <w:lang w:eastAsia="ru-RU" w:bidi="lo-LA"/>
        </w:rPr>
        <w:t>In the absence of such information, FRAX models are based on the assumption that the age- and sex-specific pattern of these fractures is similar to that observed in Malmo [</w:t>
      </w:r>
      <w:r w:rsidR="00230076">
        <w:rPr>
          <w:rFonts w:ascii="Calibri" w:eastAsia="Calibri" w:hAnsi="Calibri" w:cs="Calibri"/>
          <w:sz w:val="24"/>
          <w:szCs w:val="24"/>
          <w:lang w:eastAsia="ru-RU" w:bidi="lo-LA"/>
        </w:rPr>
        <w:t>14</w:t>
      </w:r>
      <w:r w:rsidR="000A69CF">
        <w:rPr>
          <w:rFonts w:ascii="Calibri" w:eastAsia="Calibri" w:hAnsi="Calibri" w:cs="Calibri"/>
          <w:sz w:val="24"/>
          <w:szCs w:val="24"/>
          <w:lang w:eastAsia="ru-RU" w:bidi="lo-LA"/>
        </w:rPr>
        <w:t>]</w:t>
      </w:r>
      <w:r w:rsidRPr="00171DDC">
        <w:rPr>
          <w:rFonts w:ascii="Calibri" w:eastAsia="Calibri" w:hAnsi="Calibri" w:cs="Calibri"/>
          <w:sz w:val="24"/>
          <w:szCs w:val="24"/>
          <w:lang w:eastAsia="ru-RU" w:bidi="lo-LA"/>
        </w:rPr>
        <w:t>.</w:t>
      </w:r>
      <w:r w:rsidRPr="00171DDC">
        <w:rPr>
          <w:rFonts w:ascii="Calibri" w:eastAsia="Times New Roman" w:hAnsi="Calibri" w:cs="Calibri"/>
          <w:sz w:val="24"/>
          <w:szCs w:val="24"/>
          <w:lang w:eastAsia="ru-RU"/>
        </w:rPr>
        <w:t xml:space="preserve"> As already noted, </w:t>
      </w:r>
      <w:r w:rsidRPr="00171DDC">
        <w:rPr>
          <w:rFonts w:ascii="Calibri" w:eastAsia="Calibri" w:hAnsi="Calibri" w:cs="Calibri"/>
          <w:sz w:val="24"/>
          <w:szCs w:val="24"/>
          <w:lang w:eastAsia="ru-RU" w:bidi="lo-LA"/>
        </w:rPr>
        <w:t>this assumption has been shown to be safe in studies reported from many countries [</w:t>
      </w:r>
      <w:r w:rsidR="00230076">
        <w:rPr>
          <w:rFonts w:ascii="Calibri" w:eastAsia="Calibri" w:hAnsi="Calibri" w:cs="Calibri"/>
          <w:sz w:val="24"/>
          <w:szCs w:val="24"/>
          <w:lang w:eastAsia="ru-RU" w:bidi="lo-LA"/>
        </w:rPr>
        <w:t>13</w:t>
      </w:r>
      <w:r w:rsidR="000A69CF">
        <w:rPr>
          <w:rFonts w:ascii="Calibri" w:eastAsia="Calibri" w:hAnsi="Calibri" w:cs="Calibri"/>
          <w:sz w:val="24"/>
          <w:szCs w:val="24"/>
          <w:lang w:eastAsia="ru-RU" w:bidi="lo-LA"/>
        </w:rPr>
        <w:t xml:space="preserve">, </w:t>
      </w:r>
      <w:r w:rsidR="00230076">
        <w:rPr>
          <w:rFonts w:ascii="Calibri" w:eastAsia="Calibri" w:hAnsi="Calibri" w:cs="Calibri"/>
          <w:sz w:val="24"/>
          <w:szCs w:val="24"/>
          <w:lang w:eastAsia="ru-RU" w:bidi="lo-LA"/>
        </w:rPr>
        <w:t>15</w:t>
      </w:r>
      <w:r w:rsidR="000A69CF">
        <w:rPr>
          <w:rFonts w:ascii="Calibri" w:eastAsia="Calibri" w:hAnsi="Calibri" w:cs="Calibri"/>
          <w:sz w:val="24"/>
          <w:szCs w:val="24"/>
          <w:lang w:eastAsia="ru-RU" w:bidi="lo-LA"/>
        </w:rPr>
        <w:t xml:space="preserve">, </w:t>
      </w:r>
      <w:r w:rsidR="00230076">
        <w:rPr>
          <w:rFonts w:ascii="Calibri" w:eastAsia="Calibri" w:hAnsi="Calibri" w:cs="Calibri"/>
          <w:sz w:val="24"/>
          <w:szCs w:val="24"/>
          <w:lang w:eastAsia="ru-RU" w:bidi="lo-LA"/>
        </w:rPr>
        <w:t>16</w:t>
      </w:r>
      <w:r w:rsidR="000A69CF">
        <w:rPr>
          <w:rFonts w:ascii="Calibri" w:eastAsia="Calibri" w:hAnsi="Calibri" w:cs="Calibri"/>
          <w:sz w:val="24"/>
          <w:szCs w:val="24"/>
          <w:lang w:eastAsia="ru-RU" w:bidi="lo-LA"/>
        </w:rPr>
        <w:t xml:space="preserve">, </w:t>
      </w:r>
      <w:r w:rsidR="00230076">
        <w:rPr>
          <w:rFonts w:ascii="Calibri" w:eastAsia="Calibri" w:hAnsi="Calibri" w:cs="Calibri"/>
          <w:sz w:val="24"/>
          <w:szCs w:val="24"/>
          <w:lang w:eastAsia="ru-RU" w:bidi="lo-LA"/>
        </w:rPr>
        <w:t>30</w:t>
      </w:r>
      <w:r w:rsidR="000A69CF" w:rsidRPr="00EC77F2">
        <w:rPr>
          <w:rFonts w:ascii="Calibri" w:eastAsia="Calibri" w:hAnsi="Calibri" w:cs="Calibri"/>
          <w:sz w:val="24"/>
          <w:szCs w:val="24"/>
          <w:lang w:eastAsia="ru-RU" w:bidi="lo-LA"/>
        </w:rPr>
        <w:t xml:space="preserve">, </w:t>
      </w:r>
      <w:r w:rsidR="00230076" w:rsidRPr="00EC77F2">
        <w:rPr>
          <w:rFonts w:ascii="Calibri" w:eastAsia="Calibri" w:hAnsi="Calibri" w:cs="Calibri"/>
          <w:sz w:val="24"/>
          <w:szCs w:val="24"/>
          <w:lang w:eastAsia="ru-RU" w:bidi="lo-LA"/>
        </w:rPr>
        <w:t>3</w:t>
      </w:r>
      <w:r w:rsidR="00230076">
        <w:rPr>
          <w:rFonts w:ascii="Calibri" w:eastAsia="Calibri" w:hAnsi="Calibri" w:cs="Calibri"/>
          <w:sz w:val="24"/>
          <w:szCs w:val="24"/>
          <w:lang w:eastAsia="ru-RU" w:bidi="lo-LA"/>
        </w:rPr>
        <w:t>1</w:t>
      </w:r>
      <w:r w:rsidR="000A69CF" w:rsidRPr="00EC77F2">
        <w:rPr>
          <w:rFonts w:ascii="Calibri" w:eastAsia="Calibri" w:hAnsi="Calibri" w:cs="Calibri"/>
          <w:sz w:val="24"/>
          <w:szCs w:val="24"/>
          <w:lang w:eastAsia="ru-RU" w:bidi="lo-LA"/>
        </w:rPr>
        <w:t xml:space="preserve">, </w:t>
      </w:r>
      <w:r w:rsidR="00230076" w:rsidRPr="00EC77F2">
        <w:rPr>
          <w:rFonts w:ascii="Calibri" w:eastAsia="Calibri" w:hAnsi="Calibri" w:cs="Calibri"/>
          <w:sz w:val="24"/>
          <w:szCs w:val="24"/>
          <w:lang w:eastAsia="ru-RU" w:bidi="lo-LA"/>
        </w:rPr>
        <w:t>3</w:t>
      </w:r>
      <w:r w:rsidR="00230076">
        <w:rPr>
          <w:rFonts w:ascii="Calibri" w:eastAsia="Calibri" w:hAnsi="Calibri" w:cs="Calibri"/>
          <w:sz w:val="24"/>
          <w:szCs w:val="24"/>
          <w:lang w:eastAsia="ru-RU" w:bidi="lo-LA"/>
        </w:rPr>
        <w:t>2</w:t>
      </w:r>
      <w:r w:rsidR="000A69CF" w:rsidRPr="00EC77F2">
        <w:rPr>
          <w:rFonts w:ascii="Calibri" w:eastAsia="Calibri" w:hAnsi="Calibri" w:cs="Calibri"/>
          <w:sz w:val="24"/>
          <w:szCs w:val="24"/>
          <w:lang w:eastAsia="ru-RU" w:bidi="lo-LA"/>
        </w:rPr>
        <w:t>]</w:t>
      </w:r>
      <w:r w:rsidRPr="00EC77F2">
        <w:rPr>
          <w:rFonts w:ascii="Calibri" w:eastAsia="Calibri" w:hAnsi="Calibri" w:cs="Calibri"/>
          <w:sz w:val="24"/>
          <w:szCs w:val="24"/>
          <w:lang w:eastAsia="ru-RU" w:bidi="lo-LA"/>
        </w:rPr>
        <w:t>, despite</w:t>
      </w:r>
      <w:r w:rsidRPr="00171DDC">
        <w:rPr>
          <w:rFonts w:ascii="Calibri" w:eastAsia="Calibri" w:hAnsi="Calibri" w:cs="Calibri"/>
          <w:sz w:val="24"/>
          <w:szCs w:val="24"/>
          <w:lang w:eastAsia="ru-RU" w:bidi="lo-LA"/>
        </w:rPr>
        <w:t xml:space="preserve"> differences in incidence between these countries [</w:t>
      </w:r>
      <w:r w:rsidR="00230076">
        <w:rPr>
          <w:rFonts w:ascii="Calibri" w:eastAsia="Calibri" w:hAnsi="Calibri" w:cs="Calibri"/>
          <w:sz w:val="24"/>
          <w:szCs w:val="24"/>
          <w:lang w:eastAsia="ru-RU" w:bidi="lo-LA"/>
        </w:rPr>
        <w:t>21</w:t>
      </w:r>
      <w:r w:rsidR="000A69CF">
        <w:rPr>
          <w:rFonts w:ascii="Calibri" w:eastAsia="Calibri" w:hAnsi="Calibri" w:cs="Calibri"/>
          <w:sz w:val="24"/>
          <w:szCs w:val="24"/>
          <w:lang w:eastAsia="ru-RU" w:bidi="lo-LA"/>
        </w:rPr>
        <w:t>]</w:t>
      </w:r>
      <w:r w:rsidRPr="00171DDC">
        <w:rPr>
          <w:rFonts w:ascii="Calibri" w:eastAsia="Calibri" w:hAnsi="Calibri" w:cs="Calibri"/>
          <w:sz w:val="24"/>
          <w:szCs w:val="24"/>
          <w:lang w:eastAsia="ru-RU" w:bidi="lo-LA"/>
        </w:rPr>
        <w:t xml:space="preserve">. This commonality of pattern is supported by register studies, which indicate that in those regions where hip fracture rates are high, so too is the risk of forearm fracture and spine fractures (requiring hospital </w:t>
      </w:r>
      <w:r w:rsidRPr="00EC77F2">
        <w:rPr>
          <w:rFonts w:ascii="Calibri" w:eastAsia="Calibri" w:hAnsi="Calibri" w:cs="Calibri"/>
          <w:sz w:val="24"/>
          <w:szCs w:val="24"/>
          <w:lang w:eastAsia="ru-RU" w:bidi="lo-LA"/>
        </w:rPr>
        <w:t>admission) [</w:t>
      </w:r>
      <w:r w:rsidR="00230076" w:rsidRPr="00EC77F2">
        <w:rPr>
          <w:rFonts w:ascii="Calibri" w:eastAsia="Calibri" w:hAnsi="Calibri" w:cs="Calibri"/>
          <w:sz w:val="24"/>
          <w:szCs w:val="24"/>
          <w:lang w:eastAsia="ru-RU" w:bidi="lo-LA"/>
        </w:rPr>
        <w:t>3</w:t>
      </w:r>
      <w:r w:rsidR="00230076">
        <w:rPr>
          <w:rFonts w:ascii="Calibri" w:eastAsia="Calibri" w:hAnsi="Calibri" w:cs="Calibri"/>
          <w:sz w:val="24"/>
          <w:szCs w:val="24"/>
          <w:lang w:eastAsia="ru-RU" w:bidi="lo-LA"/>
        </w:rPr>
        <w:t>3</w:t>
      </w:r>
      <w:r w:rsidR="000A69CF" w:rsidRPr="00EC77F2">
        <w:rPr>
          <w:rFonts w:ascii="Calibri" w:eastAsia="Calibri" w:hAnsi="Calibri" w:cs="Calibri"/>
          <w:sz w:val="24"/>
          <w:szCs w:val="24"/>
          <w:lang w:eastAsia="ru-RU" w:bidi="lo-LA"/>
        </w:rPr>
        <w:t xml:space="preserve">, </w:t>
      </w:r>
      <w:r w:rsidR="00230076" w:rsidRPr="00EC77F2">
        <w:rPr>
          <w:rFonts w:ascii="Calibri" w:eastAsia="Calibri" w:hAnsi="Calibri" w:cs="Calibri"/>
          <w:sz w:val="24"/>
          <w:szCs w:val="24"/>
          <w:lang w:eastAsia="ru-RU" w:bidi="lo-LA"/>
        </w:rPr>
        <w:t>3</w:t>
      </w:r>
      <w:r w:rsidR="00230076">
        <w:rPr>
          <w:rFonts w:ascii="Calibri" w:eastAsia="Calibri" w:hAnsi="Calibri" w:cs="Calibri"/>
          <w:sz w:val="24"/>
          <w:szCs w:val="24"/>
          <w:lang w:eastAsia="ru-RU" w:bidi="lo-LA"/>
        </w:rPr>
        <w:t>4</w:t>
      </w:r>
      <w:r w:rsidR="000A69CF" w:rsidRPr="00EC77F2">
        <w:rPr>
          <w:rFonts w:ascii="Calibri" w:eastAsia="Calibri" w:hAnsi="Calibri" w:cs="Calibri"/>
          <w:sz w:val="24"/>
          <w:szCs w:val="24"/>
          <w:lang w:eastAsia="ru-RU" w:bidi="lo-LA"/>
        </w:rPr>
        <w:t>]</w:t>
      </w:r>
      <w:r w:rsidRPr="00EC77F2">
        <w:rPr>
          <w:rFonts w:ascii="Calibri" w:eastAsia="Calibri" w:hAnsi="Calibri" w:cs="Calibri"/>
          <w:sz w:val="24"/>
          <w:szCs w:val="24"/>
          <w:lang w:eastAsia="ru-RU" w:bidi="lo-LA"/>
        </w:rPr>
        <w:t>.</w:t>
      </w:r>
      <w:r w:rsidRPr="00171DDC">
        <w:rPr>
          <w:rFonts w:ascii="Calibri" w:eastAsia="Calibri" w:hAnsi="Calibri" w:cs="Calibri"/>
          <w:sz w:val="24"/>
          <w:szCs w:val="24"/>
          <w:lang w:eastAsia="ru-RU" w:bidi="lo-LA"/>
        </w:rPr>
        <w:t xml:space="preserve"> </w:t>
      </w:r>
    </w:p>
    <w:p w14:paraId="6372C094" w14:textId="275C50DE" w:rsidR="00EE720C" w:rsidRPr="00171DDC" w:rsidRDefault="00EE720C" w:rsidP="00171DDC">
      <w:pPr>
        <w:spacing w:after="0"/>
        <w:ind w:left="1134"/>
        <w:jc w:val="left"/>
        <w:rPr>
          <w:rFonts w:ascii="Calibri" w:eastAsia="Times New Roman" w:hAnsi="Calibri" w:cs="Calibri"/>
          <w:color w:val="131413"/>
          <w:sz w:val="24"/>
          <w:szCs w:val="24"/>
          <w:lang w:val="en-US" w:eastAsia="ru-RU"/>
        </w:rPr>
      </w:pPr>
      <w:r w:rsidRPr="00EE720C">
        <w:rPr>
          <w:rFonts w:ascii="Calibri" w:eastAsia="Times New Roman" w:hAnsi="Calibri" w:cs="Calibri"/>
          <w:sz w:val="24"/>
          <w:szCs w:val="24"/>
          <w:lang w:val="en-US" w:eastAsia="ru-RU"/>
        </w:rPr>
        <w:t xml:space="preserve">The limitations of the present study relate predominately to the accuracy of the FRAX model.  This in turn is dependent on the accuracy of the fracture and death hazards used in the construction of the FRAX model.  Whereas death rates for the general population are likely to be robust, the hip fractures </w:t>
      </w:r>
      <w:r w:rsidR="00354517" w:rsidRPr="00171DDC">
        <w:rPr>
          <w:rFonts w:ascii="Calibri" w:eastAsia="Times New Roman" w:hAnsi="Calibri" w:cs="Calibri"/>
          <w:sz w:val="24"/>
          <w:szCs w:val="24"/>
          <w:lang w:val="en-US" w:eastAsia="ru-RU"/>
        </w:rPr>
        <w:t>were garnered fro</w:t>
      </w:r>
      <w:r w:rsidR="00965A5C" w:rsidRPr="00171DDC">
        <w:rPr>
          <w:rFonts w:ascii="Calibri" w:eastAsia="Times New Roman" w:hAnsi="Calibri" w:cs="Calibri"/>
          <w:sz w:val="24"/>
          <w:szCs w:val="24"/>
          <w:lang w:val="en-US" w:eastAsia="ru-RU"/>
        </w:rPr>
        <w:t>m approximately 12% o</w:t>
      </w:r>
      <w:r w:rsidR="00DE12A0" w:rsidRPr="00171DDC">
        <w:rPr>
          <w:rFonts w:ascii="Calibri" w:eastAsia="Times New Roman" w:hAnsi="Calibri" w:cs="Calibri"/>
          <w:sz w:val="24"/>
          <w:szCs w:val="24"/>
          <w:lang w:val="en-US" w:eastAsia="ru-RU"/>
        </w:rPr>
        <w:t xml:space="preserve">f the population at risk and, despite the </w:t>
      </w:r>
      <w:r w:rsidR="005577FB" w:rsidRPr="00171DDC">
        <w:rPr>
          <w:rFonts w:ascii="Calibri" w:eastAsia="Times New Roman" w:hAnsi="Calibri" w:cs="Calibri"/>
          <w:sz w:val="24"/>
          <w:szCs w:val="24"/>
          <w:lang w:val="en-US" w:eastAsia="ru-RU"/>
        </w:rPr>
        <w:t>care i</w:t>
      </w:r>
      <w:r w:rsidR="005475DB" w:rsidRPr="00171DDC">
        <w:rPr>
          <w:rFonts w:ascii="Calibri" w:eastAsia="Times New Roman" w:hAnsi="Calibri" w:cs="Calibri"/>
          <w:sz w:val="24"/>
          <w:szCs w:val="24"/>
          <w:lang w:val="en-US" w:eastAsia="ru-RU"/>
        </w:rPr>
        <w:t xml:space="preserve">n </w:t>
      </w:r>
      <w:r w:rsidR="00592CA7" w:rsidRPr="00171DDC">
        <w:rPr>
          <w:rFonts w:ascii="Calibri" w:eastAsia="Times New Roman" w:hAnsi="Calibri" w:cs="Calibri"/>
          <w:sz w:val="24"/>
          <w:szCs w:val="24"/>
          <w:lang w:val="en-US" w:eastAsia="ru-RU"/>
        </w:rPr>
        <w:t xml:space="preserve">site selection, may not </w:t>
      </w:r>
      <w:r w:rsidR="00FF22D3" w:rsidRPr="00171DDC">
        <w:rPr>
          <w:rFonts w:ascii="Calibri" w:eastAsia="Times New Roman" w:hAnsi="Calibri" w:cs="Calibri"/>
          <w:sz w:val="24"/>
          <w:szCs w:val="24"/>
          <w:lang w:val="en-US" w:eastAsia="ru-RU"/>
        </w:rPr>
        <w:t>be representative of the Kingdom</w:t>
      </w:r>
      <w:r w:rsidRPr="00EE720C">
        <w:rPr>
          <w:rFonts w:ascii="Calibri" w:eastAsia="Times New Roman" w:hAnsi="Calibri" w:cs="Calibri"/>
          <w:sz w:val="24"/>
          <w:szCs w:val="24"/>
          <w:lang w:val="en-US" w:eastAsia="ru-RU"/>
        </w:rPr>
        <w:t xml:space="preserve">.  </w:t>
      </w:r>
      <w:r w:rsidR="00066B67">
        <w:rPr>
          <w:rFonts w:ascii="Calibri" w:eastAsia="Times New Roman" w:hAnsi="Calibri" w:cs="Calibri"/>
          <w:sz w:val="24"/>
          <w:szCs w:val="24"/>
          <w:lang w:val="en-US" w:eastAsia="ru-RU"/>
        </w:rPr>
        <w:t>The 12</w:t>
      </w:r>
      <w:r w:rsidR="00E756E2">
        <w:rPr>
          <w:rFonts w:ascii="Calibri" w:eastAsia="Times New Roman" w:hAnsi="Calibri" w:cs="Calibri"/>
          <w:sz w:val="24"/>
          <w:szCs w:val="24"/>
          <w:lang w:val="en-US" w:eastAsia="ru-RU"/>
        </w:rPr>
        <w:t>% estimate was based on the number of orthopae</w:t>
      </w:r>
      <w:r w:rsidR="00CA415E">
        <w:rPr>
          <w:rFonts w:ascii="Calibri" w:eastAsia="Times New Roman" w:hAnsi="Calibri" w:cs="Calibri"/>
          <w:sz w:val="24"/>
          <w:szCs w:val="24"/>
          <w:lang w:val="en-US" w:eastAsia="ru-RU"/>
        </w:rPr>
        <w:t>d</w:t>
      </w:r>
      <w:r w:rsidR="00E756E2">
        <w:rPr>
          <w:rFonts w:ascii="Calibri" w:eastAsia="Times New Roman" w:hAnsi="Calibri" w:cs="Calibri"/>
          <w:sz w:val="24"/>
          <w:szCs w:val="24"/>
          <w:lang w:val="en-US" w:eastAsia="ru-RU"/>
        </w:rPr>
        <w:t>ic beds dealing with hip fracture and there is no certainty</w:t>
      </w:r>
      <w:r w:rsidR="00F733EA">
        <w:rPr>
          <w:rFonts w:ascii="Calibri" w:eastAsia="Times New Roman" w:hAnsi="Calibri" w:cs="Calibri"/>
          <w:sz w:val="24"/>
          <w:szCs w:val="24"/>
          <w:lang w:val="en-US" w:eastAsia="ru-RU"/>
        </w:rPr>
        <w:t xml:space="preserve"> that all facilities have an equal occupancy </w:t>
      </w:r>
      <w:r w:rsidR="005A730E">
        <w:rPr>
          <w:rFonts w:ascii="Calibri" w:eastAsia="Times New Roman" w:hAnsi="Calibri" w:cs="Calibri"/>
          <w:sz w:val="24"/>
          <w:szCs w:val="24"/>
          <w:lang w:val="en-US" w:eastAsia="ru-RU"/>
        </w:rPr>
        <w:t xml:space="preserve">of hip fracture cases. </w:t>
      </w:r>
      <w:r w:rsidR="00E756E2">
        <w:rPr>
          <w:rFonts w:ascii="Calibri" w:eastAsia="Times New Roman" w:hAnsi="Calibri" w:cs="Calibri"/>
          <w:sz w:val="24"/>
          <w:szCs w:val="24"/>
          <w:lang w:val="en-US" w:eastAsia="ru-RU"/>
        </w:rPr>
        <w:t xml:space="preserve"> </w:t>
      </w:r>
      <w:r w:rsidR="00FF22D3" w:rsidRPr="00171DDC">
        <w:rPr>
          <w:rFonts w:ascii="Calibri" w:eastAsia="Times New Roman" w:hAnsi="Calibri" w:cs="Calibri"/>
          <w:sz w:val="24"/>
          <w:szCs w:val="24"/>
          <w:lang w:val="en-US" w:eastAsia="ru-RU"/>
        </w:rPr>
        <w:t xml:space="preserve">It </w:t>
      </w:r>
      <w:r w:rsidR="001F26F8" w:rsidRPr="00171DDC">
        <w:rPr>
          <w:rFonts w:ascii="Calibri" w:eastAsia="Times New Roman" w:hAnsi="Calibri" w:cs="Calibri"/>
          <w:sz w:val="24"/>
          <w:szCs w:val="24"/>
          <w:lang w:val="en-US" w:eastAsia="ru-RU"/>
        </w:rPr>
        <w:t xml:space="preserve">may be relevant, however that hip fracture rates were rather similar to </w:t>
      </w:r>
      <w:r w:rsidR="005475DB" w:rsidRPr="00171DDC">
        <w:rPr>
          <w:rFonts w:ascii="Calibri" w:eastAsia="Times New Roman" w:hAnsi="Calibri" w:cs="Calibri"/>
          <w:sz w:val="24"/>
          <w:szCs w:val="24"/>
          <w:lang w:val="en-US" w:eastAsia="ru-RU"/>
        </w:rPr>
        <w:t xml:space="preserve">those seen in </w:t>
      </w:r>
      <w:r w:rsidR="005B38CE" w:rsidRPr="00171DDC">
        <w:rPr>
          <w:rFonts w:ascii="Calibri" w:eastAsia="Times New Roman" w:hAnsi="Calibri" w:cs="Calibri"/>
          <w:sz w:val="24"/>
          <w:szCs w:val="24"/>
          <w:lang w:val="en-US" w:eastAsia="ru-RU"/>
        </w:rPr>
        <w:t>the neighboring UAE and Kuwait</w:t>
      </w:r>
      <w:r w:rsidR="00A609F0" w:rsidRPr="00171DDC">
        <w:rPr>
          <w:rFonts w:ascii="Calibri" w:eastAsia="Times New Roman" w:hAnsi="Calibri" w:cs="Calibri"/>
          <w:sz w:val="24"/>
          <w:szCs w:val="24"/>
          <w:lang w:val="en-US" w:eastAsia="ru-RU"/>
        </w:rPr>
        <w:t xml:space="preserve">.  </w:t>
      </w:r>
      <w:r w:rsidRPr="00EE720C">
        <w:rPr>
          <w:rFonts w:ascii="Calibri" w:eastAsia="Times New Roman" w:hAnsi="Calibri" w:cs="Calibri"/>
          <w:sz w:val="24"/>
          <w:szCs w:val="24"/>
          <w:lang w:val="en-US" w:eastAsia="ru-RU"/>
        </w:rPr>
        <w:t xml:space="preserve">  It is relevant, however, that</w:t>
      </w:r>
      <w:r w:rsidRPr="00EE720C">
        <w:rPr>
          <w:rFonts w:ascii="Calibri" w:eastAsia="Times New Roman" w:hAnsi="Calibri" w:cs="Calibri"/>
          <w:color w:val="131413"/>
          <w:sz w:val="24"/>
          <w:szCs w:val="24"/>
          <w:lang w:val="en-US" w:eastAsia="ru-RU"/>
        </w:rPr>
        <w:t>, accuracy errors have little impact on the rank order with which the FRAX tool categorizes risk in a given population [</w:t>
      </w:r>
      <w:r w:rsidR="00230076">
        <w:rPr>
          <w:rFonts w:ascii="Calibri" w:eastAsia="Times New Roman" w:hAnsi="Calibri" w:cs="Calibri"/>
          <w:color w:val="131413"/>
          <w:sz w:val="24"/>
          <w:szCs w:val="24"/>
          <w:lang w:val="en-US" w:eastAsia="ru-RU"/>
        </w:rPr>
        <w:t>35</w:t>
      </w:r>
      <w:r w:rsidR="000A69CF">
        <w:rPr>
          <w:rFonts w:ascii="Calibri" w:eastAsia="Times New Roman" w:hAnsi="Calibri" w:cs="Calibri"/>
          <w:color w:val="131413"/>
          <w:sz w:val="24"/>
          <w:szCs w:val="24"/>
          <w:lang w:val="en-US" w:eastAsia="ru-RU"/>
        </w:rPr>
        <w:t>,</w:t>
      </w:r>
      <w:r w:rsidR="00230076">
        <w:rPr>
          <w:rFonts w:ascii="Calibri" w:eastAsia="Times New Roman" w:hAnsi="Calibri" w:cs="Calibri"/>
          <w:color w:val="131413"/>
          <w:sz w:val="24"/>
          <w:szCs w:val="24"/>
          <w:lang w:val="en-US" w:eastAsia="ru-RU"/>
        </w:rPr>
        <w:t>36</w:t>
      </w:r>
      <w:r w:rsidR="000A69CF">
        <w:rPr>
          <w:rFonts w:ascii="Calibri" w:eastAsia="Times New Roman" w:hAnsi="Calibri" w:cs="Calibri"/>
          <w:color w:val="131413"/>
          <w:sz w:val="24"/>
          <w:szCs w:val="24"/>
          <w:lang w:val="en-US" w:eastAsia="ru-RU"/>
        </w:rPr>
        <w:t xml:space="preserve">] </w:t>
      </w:r>
      <w:r w:rsidRPr="00EE720C">
        <w:rPr>
          <w:rFonts w:ascii="Calibri" w:eastAsia="Times New Roman" w:hAnsi="Calibri" w:cs="Calibri"/>
          <w:color w:val="131413"/>
          <w:sz w:val="24"/>
          <w:szCs w:val="24"/>
          <w:lang w:val="en-US" w:eastAsia="ru-RU"/>
        </w:rPr>
        <w:t>but they do change the absolute number generated and thus have implications where treatment guidelines are based on cost-effectiveness or the economic burden of disease.  In order to address these limitations, populations representative of the general population at risk would need to be studied prospectively, preferably over a 10-year time horizon.</w:t>
      </w:r>
    </w:p>
    <w:p w14:paraId="49A76B8B" w14:textId="36D5810C" w:rsidR="00586B70" w:rsidRPr="00171DDC" w:rsidRDefault="00586B70" w:rsidP="00171DDC">
      <w:pPr>
        <w:spacing w:after="0"/>
        <w:ind w:left="1134"/>
        <w:jc w:val="left"/>
        <w:rPr>
          <w:rFonts w:ascii="Calibri" w:eastAsia="Times New Roman" w:hAnsi="Calibri" w:cs="Calibri"/>
          <w:color w:val="131413"/>
          <w:sz w:val="24"/>
          <w:szCs w:val="24"/>
          <w:lang w:val="en-US" w:eastAsia="ru-RU"/>
        </w:rPr>
      </w:pPr>
    </w:p>
    <w:p w14:paraId="37C48320" w14:textId="2C1030AF" w:rsidR="00586B70" w:rsidRPr="00171DDC" w:rsidRDefault="00586B70" w:rsidP="00171DDC">
      <w:pPr>
        <w:spacing w:after="0"/>
        <w:ind w:left="1134"/>
        <w:jc w:val="left"/>
        <w:rPr>
          <w:rFonts w:ascii="Calibri" w:eastAsia="Times New Roman" w:hAnsi="Calibri" w:cs="Calibri"/>
          <w:color w:val="131413"/>
          <w:sz w:val="24"/>
          <w:szCs w:val="24"/>
          <w:lang w:val="en-US" w:eastAsia="ru-RU"/>
        </w:rPr>
      </w:pPr>
      <w:r w:rsidRPr="00171DDC">
        <w:rPr>
          <w:rFonts w:ascii="Calibri" w:eastAsia="Times New Roman" w:hAnsi="Calibri" w:cs="Calibri"/>
          <w:color w:val="131413"/>
          <w:sz w:val="24"/>
          <w:szCs w:val="24"/>
          <w:lang w:val="en-US" w:eastAsia="ru-RU"/>
        </w:rPr>
        <w:t>In summary, a FRAX model has been created for the Saudi Arabia based on a estimate of the incidence of low energy hip fractures</w:t>
      </w:r>
      <w:r w:rsidR="001047BB" w:rsidRPr="00171DDC">
        <w:rPr>
          <w:rFonts w:ascii="Calibri" w:eastAsia="Times New Roman" w:hAnsi="Calibri" w:cs="Calibri"/>
          <w:color w:val="131413"/>
          <w:sz w:val="24"/>
          <w:szCs w:val="24"/>
          <w:lang w:val="en-US" w:eastAsia="ru-RU"/>
        </w:rPr>
        <w:t xml:space="preserve"> in a subset of the </w:t>
      </w:r>
      <w:r w:rsidR="001131E1" w:rsidRPr="00171DDC">
        <w:rPr>
          <w:rFonts w:ascii="Calibri" w:eastAsia="Times New Roman" w:hAnsi="Calibri" w:cs="Calibri"/>
          <w:color w:val="131413"/>
          <w:sz w:val="24"/>
          <w:szCs w:val="24"/>
          <w:lang w:val="en-US" w:eastAsia="ru-RU"/>
        </w:rPr>
        <w:t>population</w:t>
      </w:r>
      <w:r w:rsidRPr="00171DDC">
        <w:rPr>
          <w:rFonts w:ascii="Calibri" w:eastAsia="Times New Roman" w:hAnsi="Calibri" w:cs="Calibri"/>
          <w:color w:val="131413"/>
          <w:sz w:val="24"/>
          <w:szCs w:val="24"/>
          <w:lang w:val="en-US" w:eastAsia="ru-RU"/>
        </w:rPr>
        <w:t xml:space="preserve">. The model should enhance accuracy of determining fracture probability among the </w:t>
      </w:r>
      <w:r w:rsidR="001131E1" w:rsidRPr="00171DDC">
        <w:rPr>
          <w:rFonts w:ascii="Calibri" w:eastAsia="Times New Roman" w:hAnsi="Calibri" w:cs="Calibri"/>
          <w:color w:val="131413"/>
          <w:sz w:val="24"/>
          <w:szCs w:val="24"/>
          <w:lang w:val="en-US" w:eastAsia="ru-RU"/>
        </w:rPr>
        <w:t>Saudi</w:t>
      </w:r>
      <w:r w:rsidRPr="00171DDC">
        <w:rPr>
          <w:rFonts w:ascii="Calibri" w:eastAsia="Times New Roman" w:hAnsi="Calibri" w:cs="Calibri"/>
          <w:color w:val="131413"/>
          <w:sz w:val="24"/>
          <w:szCs w:val="24"/>
          <w:lang w:val="en-US" w:eastAsia="ru-RU"/>
        </w:rPr>
        <w:t xml:space="preserve"> population and help to guide decisions about treatment.</w:t>
      </w:r>
      <w:r w:rsidR="002209D1" w:rsidRPr="00171DDC">
        <w:rPr>
          <w:rFonts w:ascii="Calibri" w:hAnsi="Calibri" w:cs="Calibri"/>
          <w:sz w:val="24"/>
          <w:szCs w:val="24"/>
        </w:rPr>
        <w:t xml:space="preserve"> </w:t>
      </w:r>
      <w:r w:rsidR="00823DCF" w:rsidRPr="00171DDC">
        <w:rPr>
          <w:rFonts w:ascii="Calibri" w:hAnsi="Calibri" w:cs="Calibri"/>
          <w:sz w:val="24"/>
          <w:szCs w:val="24"/>
        </w:rPr>
        <w:t>Indeed,</w:t>
      </w:r>
      <w:r w:rsidR="00823DCF" w:rsidRPr="00171DDC">
        <w:rPr>
          <w:rFonts w:ascii="Calibri" w:hAnsi="Calibri" w:cs="Calibri"/>
        </w:rPr>
        <w:t xml:space="preserve"> </w:t>
      </w:r>
      <w:r w:rsidR="00DA64D8" w:rsidRPr="00171DDC">
        <w:rPr>
          <w:rFonts w:ascii="Calibri" w:eastAsia="Times New Roman" w:hAnsi="Calibri" w:cs="Calibri"/>
          <w:color w:val="131413"/>
          <w:sz w:val="24"/>
          <w:szCs w:val="24"/>
          <w:lang w:val="en-US" w:eastAsia="ru-RU"/>
        </w:rPr>
        <w:t>probability-based</w:t>
      </w:r>
      <w:r w:rsidR="002209D1" w:rsidRPr="00171DDC">
        <w:rPr>
          <w:rFonts w:ascii="Calibri" w:eastAsia="Times New Roman" w:hAnsi="Calibri" w:cs="Calibri"/>
          <w:color w:val="131413"/>
          <w:sz w:val="24"/>
          <w:szCs w:val="24"/>
          <w:lang w:val="en-US" w:eastAsia="ru-RU"/>
        </w:rPr>
        <w:t xml:space="preserve"> assessment of fracture risk using age-specific intervention thresholds </w:t>
      </w:r>
      <w:r w:rsidR="00823DCF" w:rsidRPr="00171DDC">
        <w:rPr>
          <w:rFonts w:ascii="Calibri" w:eastAsia="Times New Roman" w:hAnsi="Calibri" w:cs="Calibri"/>
          <w:color w:val="131413"/>
          <w:sz w:val="24"/>
          <w:szCs w:val="24"/>
          <w:lang w:val="en-US" w:eastAsia="ru-RU"/>
        </w:rPr>
        <w:t>have been</w:t>
      </w:r>
      <w:r w:rsidR="002209D1" w:rsidRPr="00171DDC">
        <w:rPr>
          <w:rFonts w:ascii="Calibri" w:eastAsia="Times New Roman" w:hAnsi="Calibri" w:cs="Calibri"/>
          <w:color w:val="131413"/>
          <w:sz w:val="24"/>
          <w:szCs w:val="24"/>
          <w:lang w:val="en-US" w:eastAsia="ru-RU"/>
        </w:rPr>
        <w:t xml:space="preserve"> developed </w:t>
      </w:r>
      <w:r w:rsidR="00823DCF" w:rsidRPr="00171DDC">
        <w:rPr>
          <w:rFonts w:ascii="Calibri" w:eastAsia="Times New Roman" w:hAnsi="Calibri" w:cs="Calibri"/>
          <w:color w:val="131413"/>
          <w:sz w:val="24"/>
          <w:szCs w:val="24"/>
          <w:lang w:val="en-US" w:eastAsia="ru-RU"/>
        </w:rPr>
        <w:t xml:space="preserve">recently </w:t>
      </w:r>
      <w:r w:rsidR="002209D1" w:rsidRPr="00171DDC">
        <w:rPr>
          <w:rFonts w:ascii="Calibri" w:eastAsia="Times New Roman" w:hAnsi="Calibri" w:cs="Calibri"/>
          <w:color w:val="131413"/>
          <w:sz w:val="24"/>
          <w:szCs w:val="24"/>
          <w:lang w:val="en-US" w:eastAsia="ru-RU"/>
        </w:rPr>
        <w:t>for Saudi Arabia to help guide decisions about treatment</w:t>
      </w:r>
      <w:r w:rsidR="00823DCF" w:rsidRPr="00171DDC">
        <w:rPr>
          <w:rFonts w:ascii="Calibri" w:eastAsia="Times New Roman" w:hAnsi="Calibri" w:cs="Calibri"/>
          <w:color w:val="131413"/>
          <w:sz w:val="24"/>
          <w:szCs w:val="24"/>
          <w:lang w:val="en-US" w:eastAsia="ru-RU"/>
        </w:rPr>
        <w:t xml:space="preserve"> </w:t>
      </w:r>
      <w:r w:rsidR="0000481F" w:rsidRPr="00171DDC">
        <w:rPr>
          <w:rFonts w:ascii="Calibri" w:eastAsia="Times New Roman" w:hAnsi="Calibri" w:cs="Calibri"/>
          <w:color w:val="131413"/>
          <w:sz w:val="24"/>
          <w:szCs w:val="24"/>
          <w:lang w:val="en-US" w:eastAsia="ru-RU"/>
        </w:rPr>
        <w:t>[</w:t>
      </w:r>
      <w:r w:rsidR="00230076">
        <w:rPr>
          <w:rFonts w:ascii="Calibri" w:eastAsia="Times New Roman" w:hAnsi="Calibri" w:cs="Calibri"/>
          <w:color w:val="131413"/>
          <w:sz w:val="24"/>
          <w:szCs w:val="24"/>
          <w:lang w:val="en-US" w:eastAsia="ru-RU"/>
        </w:rPr>
        <w:t>37</w:t>
      </w:r>
      <w:r w:rsidR="000A69CF">
        <w:rPr>
          <w:rFonts w:ascii="Calibri" w:eastAsia="Times New Roman" w:hAnsi="Calibri" w:cs="Calibri"/>
          <w:color w:val="131413"/>
          <w:sz w:val="24"/>
          <w:szCs w:val="24"/>
          <w:lang w:val="en-US" w:eastAsia="ru-RU"/>
        </w:rPr>
        <w:t>]</w:t>
      </w:r>
      <w:r w:rsidR="002209D1" w:rsidRPr="00171DDC">
        <w:rPr>
          <w:rFonts w:ascii="Calibri" w:eastAsia="Times New Roman" w:hAnsi="Calibri" w:cs="Calibri"/>
          <w:color w:val="131413"/>
          <w:sz w:val="24"/>
          <w:szCs w:val="24"/>
          <w:lang w:val="en-US" w:eastAsia="ru-RU"/>
        </w:rPr>
        <w:t>.</w:t>
      </w:r>
    </w:p>
    <w:p w14:paraId="01497B5C" w14:textId="7B0E19E9" w:rsidR="007C6AF3" w:rsidRDefault="007C6AF3" w:rsidP="00286F2A">
      <w:pPr>
        <w:spacing w:after="0" w:line="276" w:lineRule="auto"/>
        <w:ind w:left="1134"/>
        <w:jc w:val="left"/>
        <w:rPr>
          <w:rFonts w:eastAsia="Times New Roman" w:cstheme="minorHAnsi"/>
          <w:color w:val="131413"/>
          <w:sz w:val="24"/>
          <w:szCs w:val="24"/>
          <w:lang w:val="en-US" w:eastAsia="ru-RU"/>
        </w:rPr>
      </w:pPr>
    </w:p>
    <w:p w14:paraId="794CE758" w14:textId="77777777" w:rsidR="007C6AF3" w:rsidRPr="007B646C" w:rsidRDefault="007C6AF3" w:rsidP="007C6AF3">
      <w:pPr>
        <w:spacing w:after="0" w:line="276" w:lineRule="auto"/>
        <w:ind w:left="1134"/>
        <w:jc w:val="left"/>
        <w:rPr>
          <w:rFonts w:eastAsia="Times New Roman" w:cstheme="minorHAnsi"/>
          <w:b/>
          <w:bCs/>
          <w:color w:val="131413"/>
          <w:sz w:val="24"/>
          <w:szCs w:val="24"/>
          <w:lang w:val="en-US" w:eastAsia="ru-RU"/>
        </w:rPr>
      </w:pPr>
      <w:r w:rsidRPr="007B646C">
        <w:rPr>
          <w:rFonts w:eastAsia="Times New Roman" w:cstheme="minorHAnsi"/>
          <w:b/>
          <w:bCs/>
          <w:color w:val="131413"/>
          <w:sz w:val="24"/>
          <w:szCs w:val="24"/>
          <w:lang w:val="en-US" w:eastAsia="ru-RU"/>
        </w:rPr>
        <w:t>Acknowledgements</w:t>
      </w:r>
    </w:p>
    <w:p w14:paraId="066D264B" w14:textId="2863D4B4" w:rsidR="006D2F23" w:rsidRPr="006D2F23" w:rsidRDefault="004B633E" w:rsidP="007C6AF3">
      <w:pPr>
        <w:spacing w:after="0" w:line="276" w:lineRule="auto"/>
        <w:ind w:left="1134"/>
        <w:jc w:val="left"/>
        <w:rPr>
          <w:rFonts w:eastAsia="Times New Roman" w:cstheme="minorHAnsi"/>
          <w:color w:val="131413"/>
          <w:sz w:val="24"/>
          <w:szCs w:val="24"/>
          <w:lang w:val="en-US" w:eastAsia="ru-RU"/>
        </w:rPr>
      </w:pPr>
      <w:r w:rsidRPr="007B646C">
        <w:rPr>
          <w:rFonts w:eastAsia="Times New Roman" w:cstheme="minorHAnsi"/>
          <w:color w:val="131413"/>
          <w:sz w:val="24"/>
          <w:szCs w:val="24"/>
          <w:lang w:val="en-US" w:eastAsia="ru-RU"/>
        </w:rPr>
        <w:t>The a</w:t>
      </w:r>
      <w:r w:rsidR="00062BC8" w:rsidRPr="007B646C">
        <w:rPr>
          <w:rFonts w:eastAsia="Times New Roman" w:cstheme="minorHAnsi"/>
          <w:color w:val="131413"/>
          <w:sz w:val="24"/>
          <w:szCs w:val="24"/>
          <w:lang w:val="en-US" w:eastAsia="ru-RU"/>
        </w:rPr>
        <w:t xml:space="preserve">uthors would like to thank all </w:t>
      </w:r>
      <w:r w:rsidRPr="007B646C">
        <w:rPr>
          <w:rFonts w:eastAsia="Times New Roman" w:cstheme="minorHAnsi"/>
          <w:color w:val="131413"/>
          <w:sz w:val="24"/>
          <w:szCs w:val="24"/>
          <w:lang w:val="en-US" w:eastAsia="ru-RU"/>
        </w:rPr>
        <w:t>staff of participating Hospitals in data collection and staff of the General Directorate for Health Programs and Chronic Diseases, Ministry of Health, Saudi Arabia</w:t>
      </w:r>
      <w:r w:rsidR="006D2F23" w:rsidRPr="007B646C">
        <w:rPr>
          <w:rFonts w:eastAsia="Times New Roman" w:cstheme="minorHAnsi"/>
          <w:color w:val="131413"/>
          <w:sz w:val="24"/>
          <w:szCs w:val="24"/>
          <w:lang w:val="en-US" w:eastAsia="ru-RU"/>
        </w:rPr>
        <w:t xml:space="preserve">.Sincere thanks to </w:t>
      </w:r>
      <w:r w:rsidR="00E84F12" w:rsidRPr="007B646C">
        <w:rPr>
          <w:rFonts w:eastAsia="Times New Roman" w:cstheme="minorHAnsi"/>
          <w:color w:val="131413"/>
          <w:sz w:val="24"/>
          <w:szCs w:val="24"/>
          <w:lang w:val="en-US" w:eastAsia="ru-RU"/>
        </w:rPr>
        <w:t>Li</w:t>
      </w:r>
      <w:r w:rsidR="00BC7D27" w:rsidRPr="007B646C">
        <w:rPr>
          <w:rFonts w:eastAsia="Times New Roman" w:cstheme="minorHAnsi"/>
          <w:color w:val="131413"/>
          <w:sz w:val="24"/>
          <w:szCs w:val="24"/>
          <w:lang w:val="en-US" w:eastAsia="ru-RU"/>
        </w:rPr>
        <w:t>lly</w:t>
      </w:r>
      <w:r w:rsidR="00E84F12" w:rsidRPr="007B646C">
        <w:rPr>
          <w:rFonts w:eastAsia="Times New Roman" w:cstheme="minorHAnsi"/>
          <w:color w:val="131413"/>
          <w:sz w:val="24"/>
          <w:szCs w:val="24"/>
          <w:lang w:val="en-US" w:eastAsia="ru-RU"/>
        </w:rPr>
        <w:t xml:space="preserve"> </w:t>
      </w:r>
      <w:r w:rsidR="006D2F23" w:rsidRPr="007B646C">
        <w:rPr>
          <w:rFonts w:eastAsia="Times New Roman" w:cstheme="minorHAnsi"/>
          <w:color w:val="131413"/>
          <w:sz w:val="24"/>
          <w:szCs w:val="24"/>
          <w:lang w:val="en-US" w:eastAsia="ru-RU"/>
        </w:rPr>
        <w:t>for supporting the Saudi FRAX Project with</w:t>
      </w:r>
      <w:r w:rsidR="00BC7D27" w:rsidRPr="007B646C">
        <w:rPr>
          <w:rFonts w:eastAsia="Times New Roman" w:cstheme="minorHAnsi"/>
          <w:color w:val="131413"/>
          <w:sz w:val="24"/>
          <w:szCs w:val="24"/>
          <w:lang w:val="en-US" w:eastAsia="ru-RU"/>
        </w:rPr>
        <w:t xml:space="preserve"> an</w:t>
      </w:r>
      <w:r w:rsidR="006D2F23" w:rsidRPr="007B646C">
        <w:rPr>
          <w:rFonts w:eastAsia="Times New Roman" w:cstheme="minorHAnsi"/>
          <w:color w:val="131413"/>
          <w:sz w:val="24"/>
          <w:szCs w:val="24"/>
          <w:lang w:val="en-US" w:eastAsia="ru-RU"/>
        </w:rPr>
        <w:t xml:space="preserve"> unrestricted Grant.</w:t>
      </w:r>
    </w:p>
    <w:p w14:paraId="065E8C80" w14:textId="54429F0F" w:rsidR="004B633E" w:rsidRPr="004B633E" w:rsidRDefault="004B633E" w:rsidP="004B633E">
      <w:pPr>
        <w:pStyle w:val="xmsonormal"/>
        <w:shd w:val="clear" w:color="auto" w:fill="FFFFFF"/>
        <w:spacing w:before="0" w:beforeAutospacing="0" w:after="0" w:afterAutospacing="0" w:line="235" w:lineRule="atLeast"/>
        <w:jc w:val="center"/>
        <w:rPr>
          <w:rFonts w:asciiTheme="minorHAnsi" w:hAnsiTheme="minorHAnsi" w:cstheme="minorHAnsi"/>
          <w:bdr w:val="none" w:sz="0" w:space="0" w:color="auto" w:frame="1"/>
          <w:shd w:val="clear" w:color="auto" w:fill="FFFFFF"/>
        </w:rPr>
      </w:pPr>
      <w:r>
        <w:rPr>
          <w:rFonts w:asciiTheme="minorHAnsi" w:hAnsiTheme="minorHAnsi" w:cstheme="minorHAnsi"/>
          <w:color w:val="131413"/>
          <w:lang w:eastAsia="ru-RU"/>
        </w:rPr>
        <w:t xml:space="preserve">                       </w:t>
      </w:r>
    </w:p>
    <w:p w14:paraId="300B621E" w14:textId="57051492" w:rsidR="007C6AF3" w:rsidRPr="005D326E" w:rsidRDefault="006D2F23" w:rsidP="006D2F23">
      <w:pPr>
        <w:spacing w:after="0" w:line="276" w:lineRule="auto"/>
        <w:jc w:val="left"/>
        <w:rPr>
          <w:rFonts w:eastAsia="Times New Roman" w:cstheme="minorHAnsi"/>
          <w:b/>
          <w:bCs/>
          <w:color w:val="131413"/>
          <w:sz w:val="24"/>
          <w:szCs w:val="24"/>
          <w:lang w:val="en-US" w:eastAsia="ru-RU"/>
        </w:rPr>
      </w:pPr>
      <w:r>
        <w:rPr>
          <w:rFonts w:eastAsia="Times New Roman" w:cstheme="minorHAnsi"/>
          <w:b/>
          <w:bCs/>
          <w:color w:val="131413"/>
          <w:sz w:val="24"/>
          <w:szCs w:val="24"/>
          <w:lang w:val="en-US" w:eastAsia="ru-RU"/>
        </w:rPr>
        <w:t xml:space="preserve">                    </w:t>
      </w:r>
      <w:r w:rsidR="007C6AF3" w:rsidRPr="005D326E">
        <w:rPr>
          <w:rFonts w:eastAsia="Times New Roman" w:cstheme="minorHAnsi"/>
          <w:b/>
          <w:bCs/>
          <w:color w:val="131413"/>
          <w:sz w:val="24"/>
          <w:szCs w:val="24"/>
          <w:lang w:val="en-US" w:eastAsia="ru-RU"/>
        </w:rPr>
        <w:t>Conflict of Interest</w:t>
      </w:r>
    </w:p>
    <w:p w14:paraId="67050744" w14:textId="5FA12BE7" w:rsidR="007C6AF3" w:rsidRPr="00EE720C" w:rsidRDefault="00F709D1" w:rsidP="007C6AF3">
      <w:pPr>
        <w:spacing w:after="0" w:line="276" w:lineRule="auto"/>
        <w:ind w:left="1134"/>
        <w:jc w:val="left"/>
        <w:rPr>
          <w:rFonts w:eastAsia="Times New Roman" w:cstheme="minorHAnsi"/>
          <w:color w:val="131413"/>
          <w:sz w:val="24"/>
          <w:szCs w:val="24"/>
          <w:lang w:val="en-US" w:eastAsia="ru-RU"/>
        </w:rPr>
      </w:pPr>
      <w:r>
        <w:rPr>
          <w:rFonts w:eastAsia="Times New Roman" w:cstheme="minorHAnsi"/>
          <w:color w:val="131413"/>
          <w:sz w:val="24"/>
          <w:szCs w:val="24"/>
          <w:lang w:val="en-US" w:eastAsia="ru-RU"/>
        </w:rPr>
        <w:t>Y</w:t>
      </w:r>
      <w:r w:rsidR="006A38BB">
        <w:rPr>
          <w:rFonts w:eastAsia="Times New Roman" w:cstheme="minorHAnsi"/>
          <w:color w:val="131413"/>
          <w:sz w:val="24"/>
          <w:szCs w:val="24"/>
          <w:lang w:val="en-US" w:eastAsia="ru-RU"/>
        </w:rPr>
        <w:t>A</w:t>
      </w:r>
      <w:r>
        <w:rPr>
          <w:rFonts w:eastAsia="Times New Roman" w:cstheme="minorHAnsi"/>
          <w:color w:val="131413"/>
          <w:sz w:val="24"/>
          <w:szCs w:val="24"/>
          <w:lang w:val="en-US" w:eastAsia="ru-RU"/>
        </w:rPr>
        <w:t>S</w:t>
      </w:r>
      <w:r w:rsidR="007C6AF3" w:rsidRPr="007C6AF3">
        <w:rPr>
          <w:rFonts w:eastAsia="Times New Roman" w:cstheme="minorHAnsi"/>
          <w:color w:val="131413"/>
          <w:sz w:val="24"/>
          <w:szCs w:val="24"/>
          <w:lang w:val="en-US" w:eastAsia="ru-RU"/>
        </w:rPr>
        <w:t xml:space="preserve">, </w:t>
      </w:r>
      <w:r w:rsidR="006A38BB">
        <w:rPr>
          <w:rFonts w:eastAsia="Times New Roman" w:cstheme="minorHAnsi"/>
          <w:color w:val="131413"/>
          <w:sz w:val="24"/>
          <w:szCs w:val="24"/>
          <w:lang w:val="en-US" w:eastAsia="ru-RU"/>
        </w:rPr>
        <w:t xml:space="preserve">RS, SAL YAN, </w:t>
      </w:r>
      <w:r>
        <w:rPr>
          <w:rFonts w:eastAsia="Times New Roman" w:cstheme="minorHAnsi"/>
          <w:color w:val="131413"/>
          <w:sz w:val="24"/>
          <w:szCs w:val="24"/>
          <w:lang w:val="en-US" w:eastAsia="ru-RU"/>
        </w:rPr>
        <w:t>LV</w:t>
      </w:r>
      <w:r w:rsidR="007C6AF3" w:rsidRPr="007C6AF3">
        <w:rPr>
          <w:rFonts w:eastAsia="Times New Roman" w:cstheme="minorHAnsi"/>
          <w:color w:val="131413"/>
          <w:sz w:val="24"/>
          <w:szCs w:val="24"/>
          <w:lang w:val="en-US" w:eastAsia="ru-RU"/>
        </w:rPr>
        <w:t xml:space="preserve">, </w:t>
      </w:r>
      <w:r>
        <w:rPr>
          <w:rFonts w:eastAsia="Times New Roman" w:cstheme="minorHAnsi"/>
          <w:color w:val="131413"/>
          <w:sz w:val="24"/>
          <w:szCs w:val="24"/>
          <w:lang w:val="en-US" w:eastAsia="ru-RU"/>
        </w:rPr>
        <w:t>EL</w:t>
      </w:r>
      <w:r w:rsidR="007C6AF3" w:rsidRPr="007C6AF3">
        <w:rPr>
          <w:rFonts w:eastAsia="Times New Roman" w:cstheme="minorHAnsi"/>
          <w:color w:val="131413"/>
          <w:sz w:val="24"/>
          <w:szCs w:val="24"/>
          <w:lang w:val="en-US" w:eastAsia="ru-RU"/>
        </w:rPr>
        <w:t xml:space="preserve">, </w:t>
      </w:r>
      <w:r w:rsidR="00564F3C">
        <w:rPr>
          <w:rFonts w:eastAsia="Times New Roman" w:cstheme="minorHAnsi"/>
          <w:color w:val="131413"/>
          <w:sz w:val="24"/>
          <w:szCs w:val="24"/>
          <w:lang w:val="en-US" w:eastAsia="ru-RU"/>
        </w:rPr>
        <w:t>ML</w:t>
      </w:r>
      <w:r w:rsidR="007C6AF3" w:rsidRPr="007C6AF3">
        <w:rPr>
          <w:rFonts w:eastAsia="Times New Roman" w:cstheme="minorHAnsi"/>
          <w:color w:val="131413"/>
          <w:sz w:val="24"/>
          <w:szCs w:val="24"/>
          <w:lang w:val="en-US" w:eastAsia="ru-RU"/>
        </w:rPr>
        <w:t xml:space="preserve">, NCH, EVM </w:t>
      </w:r>
      <w:r w:rsidR="00171DDC" w:rsidRPr="00171DDC">
        <w:rPr>
          <w:rFonts w:eastAsia="Times New Roman" w:cstheme="minorHAnsi"/>
          <w:color w:val="131413"/>
          <w:sz w:val="24"/>
          <w:szCs w:val="24"/>
          <w:lang w:val="en-US" w:eastAsia="ru-RU"/>
        </w:rPr>
        <w:t xml:space="preserve">HJ, </w:t>
      </w:r>
      <w:r w:rsidR="007C6AF3" w:rsidRPr="007C6AF3">
        <w:rPr>
          <w:rFonts w:eastAsia="Times New Roman" w:cstheme="minorHAnsi"/>
          <w:color w:val="131413"/>
          <w:sz w:val="24"/>
          <w:szCs w:val="24"/>
          <w:lang w:val="en-US" w:eastAsia="ru-RU"/>
        </w:rPr>
        <w:t xml:space="preserve">and JAK declare that they have no competing interests in relation to this paper. </w:t>
      </w:r>
      <w:r w:rsidR="00DA64D8">
        <w:rPr>
          <w:rFonts w:eastAsia="Times New Roman" w:cstheme="minorHAnsi"/>
          <w:color w:val="131413"/>
          <w:sz w:val="24"/>
          <w:szCs w:val="24"/>
          <w:lang w:val="en-US" w:eastAsia="ru-RU"/>
        </w:rPr>
        <w:t xml:space="preserve"> </w:t>
      </w:r>
      <w:r w:rsidR="007C6AF3" w:rsidRPr="007C6AF3">
        <w:rPr>
          <w:rFonts w:eastAsia="Times New Roman" w:cstheme="minorHAnsi"/>
          <w:color w:val="131413"/>
          <w:sz w:val="24"/>
          <w:szCs w:val="24"/>
          <w:lang w:val="en-US" w:eastAsia="ru-RU"/>
        </w:rPr>
        <w:t>HJ, NCH JAK are the architects of FRAX but have no financial interest.</w:t>
      </w:r>
    </w:p>
    <w:p w14:paraId="0000A411" w14:textId="77777777" w:rsidR="00EE720C" w:rsidRPr="00EE720C" w:rsidRDefault="00EE720C" w:rsidP="00286F2A">
      <w:pPr>
        <w:spacing w:after="0"/>
        <w:ind w:left="567"/>
        <w:rPr>
          <w:rFonts w:eastAsia="Calibri" w:cs="Times New Roman"/>
          <w:b/>
          <w:sz w:val="24"/>
          <w:szCs w:val="24"/>
          <w:lang w:val="en-US"/>
        </w:rPr>
      </w:pPr>
    </w:p>
    <w:p w14:paraId="5BC9EEA2" w14:textId="77777777" w:rsidR="00EE720C" w:rsidRDefault="00EE720C" w:rsidP="00A36ABA">
      <w:pPr>
        <w:spacing w:after="0"/>
        <w:ind w:left="567"/>
        <w:rPr>
          <w:rFonts w:eastAsia="Calibri" w:cs="Times New Roman"/>
          <w:b/>
          <w:sz w:val="24"/>
          <w:szCs w:val="24"/>
        </w:rPr>
      </w:pPr>
    </w:p>
    <w:p w14:paraId="5CA1FB82" w14:textId="6CD49C3C" w:rsidR="006774AF" w:rsidRPr="00B31ECB" w:rsidRDefault="006774AF" w:rsidP="00B31ECB">
      <w:pPr>
        <w:spacing w:after="0"/>
        <w:ind w:left="1134"/>
        <w:rPr>
          <w:rFonts w:eastAsia="Calibri" w:cs="Times New Roman"/>
          <w:b/>
          <w:szCs w:val="28"/>
        </w:rPr>
      </w:pPr>
      <w:r w:rsidRPr="00B31ECB">
        <w:rPr>
          <w:rFonts w:eastAsia="Calibri" w:cs="Times New Roman"/>
          <w:b/>
          <w:szCs w:val="28"/>
        </w:rPr>
        <w:t xml:space="preserve">References </w:t>
      </w:r>
    </w:p>
    <w:p w14:paraId="7C570F58" w14:textId="10F392B3" w:rsidR="006D0A6B" w:rsidRPr="00EB647F" w:rsidRDefault="006D0A6B" w:rsidP="006D0A6B">
      <w:pPr>
        <w:ind w:firstLine="284"/>
        <w:rPr>
          <w:rFonts w:cstheme="minorHAnsi"/>
          <w:color w:val="000000"/>
          <w:sz w:val="24"/>
          <w:szCs w:val="24"/>
          <w:highlight w:val="yellow"/>
          <w:lang w:eastAsia="ru-RU"/>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91"/>
      </w:tblGrid>
      <w:tr w:rsidR="000A69CF" w:rsidRPr="008956EB" w14:paraId="18D80165" w14:textId="77777777" w:rsidTr="00CC3BF2">
        <w:tc>
          <w:tcPr>
            <w:tcW w:w="709" w:type="dxa"/>
          </w:tcPr>
          <w:p w14:paraId="3C734736"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p>
        </w:tc>
        <w:tc>
          <w:tcPr>
            <w:tcW w:w="7791" w:type="dxa"/>
          </w:tcPr>
          <w:p w14:paraId="2D7FBF3B"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Norton N, Harvey NC, Jacobson T, Johansson H Lorentzon M, McCloskey EV, Willers C, Borgström F (2021) SCOPE 2021: a new scorecard for osteoporosis in Europe.  Archives of Osteoporosis 16: 82. doi.org/10.1007/s11657-020-00871-9</w:t>
            </w:r>
          </w:p>
        </w:tc>
      </w:tr>
      <w:tr w:rsidR="000A69CF" w:rsidRPr="008956EB" w14:paraId="60CF5DDE" w14:textId="77777777" w:rsidTr="00CC3BF2">
        <w:tc>
          <w:tcPr>
            <w:tcW w:w="709" w:type="dxa"/>
          </w:tcPr>
          <w:p w14:paraId="31BA33B1"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p>
        </w:tc>
        <w:tc>
          <w:tcPr>
            <w:tcW w:w="7791" w:type="dxa"/>
          </w:tcPr>
          <w:p w14:paraId="4F5DE963"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Johnell O and Kanis JA (2006) An estimate of the worldwide prevalence and disability associated with osteoporotic fractures. Osteoporos Int 17:1726-33.</w:t>
            </w:r>
          </w:p>
        </w:tc>
      </w:tr>
      <w:tr w:rsidR="000A69CF" w:rsidRPr="008956EB" w14:paraId="5156BC28" w14:textId="77777777" w:rsidTr="00CC3BF2">
        <w:tc>
          <w:tcPr>
            <w:tcW w:w="709" w:type="dxa"/>
          </w:tcPr>
          <w:p w14:paraId="0E5104DD"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p>
        </w:tc>
        <w:tc>
          <w:tcPr>
            <w:tcW w:w="7791" w:type="dxa"/>
          </w:tcPr>
          <w:p w14:paraId="55344563"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Borgström F, Karlsson L, Ortsäter G, Norton N, Halbout P, Cooper C, McCloskey EV, Harvey NC, Javaid K, Kanis JA for the International Osteoporosis Foundation (2020) Fragility fractures in Europe: Burden, management and opportunities.  Arch Osteoporos 15: 59. doi: 10.1007/s11657-020-0706-y.</w:t>
            </w:r>
          </w:p>
        </w:tc>
      </w:tr>
      <w:tr w:rsidR="000A69CF" w:rsidRPr="008956EB" w14:paraId="78CE830D" w14:textId="77777777" w:rsidTr="00CC3BF2">
        <w:tc>
          <w:tcPr>
            <w:tcW w:w="709" w:type="dxa"/>
          </w:tcPr>
          <w:p w14:paraId="077D3888"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4.</w:t>
            </w:r>
          </w:p>
        </w:tc>
        <w:tc>
          <w:tcPr>
            <w:tcW w:w="7791" w:type="dxa"/>
          </w:tcPr>
          <w:p w14:paraId="69EE5F65"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 DOI: 10.1007/s11657-013-0136-1.</w:t>
            </w:r>
          </w:p>
        </w:tc>
      </w:tr>
      <w:tr w:rsidR="000A69CF" w:rsidRPr="008956EB" w14:paraId="1DF592A9" w14:textId="77777777" w:rsidTr="00CC3BF2">
        <w:tc>
          <w:tcPr>
            <w:tcW w:w="709" w:type="dxa"/>
          </w:tcPr>
          <w:p w14:paraId="25867000"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5.</w:t>
            </w:r>
          </w:p>
        </w:tc>
        <w:tc>
          <w:tcPr>
            <w:tcW w:w="7791" w:type="dxa"/>
          </w:tcPr>
          <w:p w14:paraId="31838798"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0A69CF" w:rsidRPr="008956EB" w14:paraId="00B41B4F" w14:textId="77777777" w:rsidTr="00CC3BF2">
        <w:tc>
          <w:tcPr>
            <w:tcW w:w="709" w:type="dxa"/>
          </w:tcPr>
          <w:p w14:paraId="710818F6"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6.</w:t>
            </w:r>
          </w:p>
        </w:tc>
        <w:tc>
          <w:tcPr>
            <w:tcW w:w="7791" w:type="dxa"/>
          </w:tcPr>
          <w:p w14:paraId="5EB27EB7"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on behalf of the World Health Organization Scientific Group (2007) Assessment of osteoporosis at the primary healthcare level. Technical Report. WHO Collaborating Centre, University of Sheffield, UK. Available at . http://www.shef.ac.uk/FRAX/pdfs/WHO_Technical_Report.pdf. Accessed 26 Feb 2020</w:t>
            </w:r>
          </w:p>
        </w:tc>
      </w:tr>
      <w:tr w:rsidR="000A69CF" w:rsidRPr="008956EB" w14:paraId="16863D42" w14:textId="77777777" w:rsidTr="00CC3BF2">
        <w:tc>
          <w:tcPr>
            <w:tcW w:w="709" w:type="dxa"/>
          </w:tcPr>
          <w:p w14:paraId="18885D99"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7.</w:t>
            </w:r>
          </w:p>
        </w:tc>
        <w:tc>
          <w:tcPr>
            <w:tcW w:w="7791" w:type="dxa"/>
          </w:tcPr>
          <w:p w14:paraId="427B7D64" w14:textId="3A7C14E1" w:rsidR="000A69CF" w:rsidRPr="008956EB" w:rsidRDefault="00254F0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254F0F">
              <w:rPr>
                <w:rFonts w:ascii="Calibri" w:hAnsi="Calibri" w:cs="Calibri"/>
                <w:sz w:val="20"/>
                <w:szCs w:val="20"/>
              </w:rPr>
              <w:t xml:space="preserve">Kanis JA, Harvey NC, Cooper C, Johansson H, Oden A, McCloskey EV and The Advisory Board of the National Osteoporosis Guideline Group (2016)  A systematic review of intervention thresholds based on FRAX. A report prepared for the National Osteoporosis Guideline Group and the International Osteoporosis Foundation.  Archives of Osteoporosis 11:25.  </w:t>
            </w:r>
          </w:p>
        </w:tc>
      </w:tr>
      <w:tr w:rsidR="000A69CF" w:rsidRPr="008956EB" w14:paraId="7159DD52" w14:textId="77777777" w:rsidTr="00CC3BF2">
        <w:tc>
          <w:tcPr>
            <w:tcW w:w="709" w:type="dxa"/>
          </w:tcPr>
          <w:p w14:paraId="36E8D98E"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8.</w:t>
            </w:r>
          </w:p>
        </w:tc>
        <w:tc>
          <w:tcPr>
            <w:tcW w:w="7791" w:type="dxa"/>
          </w:tcPr>
          <w:p w14:paraId="1DEEE87E"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Odén A, McCloskey EV, Kanis JA, Harvey NC, Johansson H (2015) Burden of high fracture probability worldwide: secular increases 2010-2040. Osteoporos Int 26:2243–2248</w:t>
            </w:r>
          </w:p>
        </w:tc>
      </w:tr>
      <w:tr w:rsidR="000A69CF" w:rsidRPr="008956EB" w14:paraId="20D7BDED" w14:textId="77777777" w:rsidTr="00CC3BF2">
        <w:tc>
          <w:tcPr>
            <w:tcW w:w="709" w:type="dxa"/>
          </w:tcPr>
          <w:p w14:paraId="1F8C91CB" w14:textId="77777777" w:rsidR="000A69CF" w:rsidRPr="00EC77F2" w:rsidRDefault="000A69CF"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9.</w:t>
            </w:r>
          </w:p>
        </w:tc>
        <w:tc>
          <w:tcPr>
            <w:tcW w:w="7791" w:type="dxa"/>
          </w:tcPr>
          <w:p w14:paraId="6EC1EE16"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r w:rsidR="00230076" w:rsidRPr="008956EB" w14:paraId="26AF068B" w14:textId="77777777" w:rsidTr="00CC3BF2">
        <w:tc>
          <w:tcPr>
            <w:tcW w:w="709" w:type="dxa"/>
          </w:tcPr>
          <w:p w14:paraId="2A3D26B9" w14:textId="2FB77DA8" w:rsidR="00230076"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791" w:type="dxa"/>
          </w:tcPr>
          <w:p w14:paraId="07035A62" w14:textId="22A57293" w:rsidR="00230076" w:rsidRPr="00EF4770" w:rsidRDefault="00230076" w:rsidP="001E4CC7">
            <w:pPr>
              <w:spacing w:before="100" w:beforeAutospacing="1" w:after="100" w:afterAutospacing="1" w:line="240" w:lineRule="auto"/>
              <w:jc w:val="left"/>
              <w:rPr>
                <w:rFonts w:cstheme="minorHAnsi"/>
                <w:sz w:val="20"/>
                <w:szCs w:val="20"/>
              </w:rPr>
            </w:pPr>
            <w:r w:rsidRPr="00EF4770">
              <w:rPr>
                <w:rFonts w:cstheme="minorHAnsi"/>
                <w:color w:val="212121"/>
                <w:sz w:val="20"/>
                <w:szCs w:val="20"/>
                <w:shd w:val="clear" w:color="auto" w:fill="FFFFFF"/>
              </w:rPr>
              <w:t>Al-Saleh Y, Al-Daghri NM, Sabico S, Alessa T, Al Emadi S, Alawadi F, Al Qasaabi S, Alfutaisi A, Al Izzi M, Mukhaimer J, Suhaili AR, Reginster JY, Sulimani R</w:t>
            </w:r>
            <w:r>
              <w:rPr>
                <w:rFonts w:cstheme="minorHAnsi"/>
                <w:color w:val="212121"/>
                <w:sz w:val="20"/>
                <w:szCs w:val="20"/>
                <w:shd w:val="clear" w:color="auto" w:fill="FFFFFF"/>
                <w:lang w:val="en-US"/>
              </w:rPr>
              <w:t xml:space="preserve"> (2020)</w:t>
            </w:r>
            <w:r w:rsidRPr="00EF4770">
              <w:rPr>
                <w:rFonts w:cstheme="minorHAnsi"/>
                <w:color w:val="212121"/>
                <w:sz w:val="20"/>
                <w:szCs w:val="20"/>
                <w:shd w:val="clear" w:color="auto" w:fill="FFFFFF"/>
              </w:rPr>
              <w:t xml:space="preserve"> Diagnosis and management of osteoporosis in postmenopausal women in Gulf Cooperation Council (GCC) countries: consensus statement of the GCC countries' osteoporosis societies under the auspices of the European Society for Clinical and Economic Aspects of Osteoporosis and Osteoarthritis (ESCEO). Arch Osteoporos 15(1):109.</w:t>
            </w:r>
          </w:p>
        </w:tc>
      </w:tr>
      <w:tr w:rsidR="000A69CF" w:rsidRPr="008956EB" w14:paraId="11E00ECE" w14:textId="77777777" w:rsidTr="00CC3BF2">
        <w:tc>
          <w:tcPr>
            <w:tcW w:w="709" w:type="dxa"/>
          </w:tcPr>
          <w:p w14:paraId="0F9DF15C" w14:textId="35407B11"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7791" w:type="dxa"/>
          </w:tcPr>
          <w:p w14:paraId="39411C1B"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Central Intelligence Agency (2020) World Factbook https://www.cia.gov/library/publications/the-world-factbook/geos/sa.html.  Accessed 24 July 2021</w:t>
            </w:r>
          </w:p>
        </w:tc>
      </w:tr>
      <w:tr w:rsidR="000A69CF" w:rsidRPr="008956EB" w14:paraId="13D55C24" w14:textId="77777777" w:rsidTr="00CC3BF2">
        <w:tc>
          <w:tcPr>
            <w:tcW w:w="709" w:type="dxa"/>
          </w:tcPr>
          <w:p w14:paraId="5BA4A3E4" w14:textId="0CF4476D"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7791" w:type="dxa"/>
          </w:tcPr>
          <w:p w14:paraId="56303E5D" w14:textId="77777777" w:rsidR="000A69CF" w:rsidRPr="008956EB" w:rsidRDefault="000A69CF" w:rsidP="006A6879">
            <w:pPr>
              <w:spacing w:before="100" w:beforeAutospacing="1" w:after="100" w:afterAutospacing="1" w:line="240" w:lineRule="auto"/>
              <w:jc w:val="left"/>
              <w:rPr>
                <w:rFonts w:ascii="Calibri" w:hAnsi="Calibri" w:cs="Calibri"/>
                <w:sz w:val="20"/>
                <w:szCs w:val="20"/>
              </w:rPr>
            </w:pPr>
            <w:r w:rsidRPr="008956EB">
              <w:rPr>
                <w:rFonts w:ascii="Calibri" w:eastAsia="Calibri" w:hAnsi="Calibri" w:cs="Calibri"/>
                <w:bCs/>
                <w:sz w:val="20"/>
                <w:szCs w:val="20"/>
              </w:rPr>
              <w:t xml:space="preserve">United Nations (2019) Department of Economic and Social Affairs / Population Division. World Population Prospects </w:t>
            </w:r>
            <w:hyperlink r:id="rId16" w:history="1">
              <w:r w:rsidRPr="008956EB">
                <w:rPr>
                  <w:rFonts w:ascii="Calibri" w:eastAsia="Calibri" w:hAnsi="Calibri" w:cs="Calibri"/>
                  <w:bCs/>
                  <w:color w:val="0000FF"/>
                  <w:sz w:val="20"/>
                  <w:szCs w:val="20"/>
                  <w:u w:val="single"/>
                </w:rPr>
                <w:t>https://population.un.org/wpp/Download/Standard/Population/</w:t>
              </w:r>
            </w:hyperlink>
            <w:r w:rsidRPr="008956EB">
              <w:rPr>
                <w:rFonts w:ascii="Calibri" w:eastAsia="Calibri" w:hAnsi="Calibri" w:cs="Calibri"/>
                <w:bCs/>
                <w:sz w:val="20"/>
                <w:szCs w:val="20"/>
              </w:rPr>
              <w:t xml:space="preserve"> Accessed 11 Jan 2021</w:t>
            </w:r>
          </w:p>
        </w:tc>
      </w:tr>
      <w:tr w:rsidR="000A69CF" w:rsidRPr="008956EB" w14:paraId="27351B97" w14:textId="77777777" w:rsidTr="00CC3BF2">
        <w:tc>
          <w:tcPr>
            <w:tcW w:w="709" w:type="dxa"/>
          </w:tcPr>
          <w:p w14:paraId="7B3C8932" w14:textId="2D16D692"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7791" w:type="dxa"/>
          </w:tcPr>
          <w:p w14:paraId="5C68453D" w14:textId="77777777" w:rsidR="000A69CF" w:rsidRPr="008956EB" w:rsidRDefault="000A69CF" w:rsidP="006A6879">
            <w:pPr>
              <w:spacing w:before="100" w:beforeAutospacing="1" w:after="100" w:afterAutospacing="1" w:line="240" w:lineRule="auto"/>
              <w:jc w:val="left"/>
              <w:rPr>
                <w:rFonts w:ascii="Calibri" w:hAnsi="Calibri" w:cs="Calibri"/>
                <w:sz w:val="20"/>
                <w:szCs w:val="20"/>
              </w:rPr>
            </w:pPr>
            <w:r w:rsidRPr="008956EB">
              <w:rPr>
                <w:rFonts w:ascii="Calibri" w:eastAsia="Calibri" w:hAnsi="Calibri" w:cs="Calibri"/>
                <w:sz w:val="20"/>
                <w:szCs w:val="20"/>
              </w:rPr>
              <w:t>Zakroyeva A, Lesnyak O, Cazac V, Groppa L, Russu E, Chislari L, Rotaru L, Johansson H, Harvey NC, McCloskey E, Kanis JA (2020) Epidemiology of osteoporotic fracture in Moldova and development of a country specific FRAX model.  Arch Osteoporos.15: 13. doi.org/10.1007/s11657-019-0669-z.</w:t>
            </w:r>
          </w:p>
        </w:tc>
      </w:tr>
      <w:tr w:rsidR="000A69CF" w:rsidRPr="008956EB" w14:paraId="150328AB" w14:textId="77777777" w:rsidTr="00CC3BF2">
        <w:tc>
          <w:tcPr>
            <w:tcW w:w="709" w:type="dxa"/>
          </w:tcPr>
          <w:p w14:paraId="3B702EF2" w14:textId="753350FE"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7791" w:type="dxa"/>
          </w:tcPr>
          <w:p w14:paraId="59C5D181"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Odén  A, Johnell O, Jonsson B, de Laet C, Dawson A (2001) The burden of osteoporotic fractures: a method for setting intervention thresholds. Osteoporos Int 12:417–427</w:t>
            </w:r>
          </w:p>
        </w:tc>
      </w:tr>
      <w:tr w:rsidR="000A69CF" w:rsidRPr="008956EB" w14:paraId="3334E37D" w14:textId="77777777" w:rsidTr="00CC3BF2">
        <w:tc>
          <w:tcPr>
            <w:tcW w:w="709" w:type="dxa"/>
          </w:tcPr>
          <w:p w14:paraId="353BE3B1" w14:textId="4BAAF49A"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r>
              <w:rPr>
                <w:rFonts w:ascii="Calibri" w:eastAsia="Times New Roman" w:hAnsi="Calibri" w:cs="Calibri"/>
                <w:color w:val="000000"/>
                <w:sz w:val="20"/>
                <w:szCs w:val="20"/>
              </w:rPr>
              <w:t>5</w:t>
            </w:r>
            <w:r w:rsidR="000A69CF" w:rsidRPr="00EC77F2">
              <w:rPr>
                <w:rFonts w:ascii="Calibri" w:eastAsia="Times New Roman" w:hAnsi="Calibri" w:cs="Calibri"/>
                <w:color w:val="000000"/>
                <w:sz w:val="20"/>
                <w:szCs w:val="20"/>
              </w:rPr>
              <w:t>.</w:t>
            </w:r>
          </w:p>
          <w:p w14:paraId="559AC049" w14:textId="77777777" w:rsidR="000A69CF" w:rsidRPr="00EC77F2" w:rsidRDefault="000A69CF" w:rsidP="00EC77F2">
            <w:pPr>
              <w:jc w:val="right"/>
              <w:rPr>
                <w:rFonts w:ascii="Calibri" w:eastAsia="Times New Roman" w:hAnsi="Calibri" w:cs="Calibri"/>
                <w:sz w:val="20"/>
                <w:szCs w:val="20"/>
              </w:rPr>
            </w:pPr>
          </w:p>
        </w:tc>
        <w:tc>
          <w:tcPr>
            <w:tcW w:w="7791" w:type="dxa"/>
          </w:tcPr>
          <w:p w14:paraId="2CCF9932"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Siggeirsdottir K, Aspelund T, Johansson H, Gudmundsson EF, Mogensen B, Jonsson BY, Gudnason V, McCloskey E, Oden A, Sigurdsson G, Kanis JA (2014) The incidence of a first major osteoporotic fracture in Iceland and implications for FRAX. Osteoporos Int 25:2445–2451</w:t>
            </w:r>
          </w:p>
        </w:tc>
      </w:tr>
      <w:tr w:rsidR="000A69CF" w:rsidRPr="008956EB" w14:paraId="7055DADE" w14:textId="77777777" w:rsidTr="00CC3BF2">
        <w:tc>
          <w:tcPr>
            <w:tcW w:w="709" w:type="dxa"/>
          </w:tcPr>
          <w:p w14:paraId="0F080176" w14:textId="357C49C3"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r>
              <w:rPr>
                <w:rFonts w:ascii="Calibri" w:eastAsia="Times New Roman" w:hAnsi="Calibri" w:cs="Calibri"/>
                <w:color w:val="000000"/>
                <w:sz w:val="20"/>
                <w:szCs w:val="20"/>
              </w:rPr>
              <w:t>6</w:t>
            </w:r>
            <w:r w:rsidR="000A69CF" w:rsidRPr="00EC77F2">
              <w:rPr>
                <w:rFonts w:ascii="Calibri" w:eastAsia="Times New Roman" w:hAnsi="Calibri" w:cs="Calibri"/>
                <w:color w:val="000000"/>
                <w:sz w:val="20"/>
                <w:szCs w:val="20"/>
              </w:rPr>
              <w:t>.</w:t>
            </w:r>
          </w:p>
        </w:tc>
        <w:tc>
          <w:tcPr>
            <w:tcW w:w="7791" w:type="dxa"/>
          </w:tcPr>
          <w:p w14:paraId="412CD78C"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Lam A, LeslieWD, Lix LM, Yogendran M, Morin SN, Majumdar SR (2014) Major osteoporotic to hip fracture ratios in Canadian men and women with Swedish comparisons: a population-based analysis. J Bone Miner Res 29:1067–1073</w:t>
            </w:r>
          </w:p>
        </w:tc>
      </w:tr>
      <w:tr w:rsidR="000A69CF" w:rsidRPr="008956EB" w14:paraId="0AC8A9BB" w14:textId="77777777" w:rsidTr="00CC3BF2">
        <w:tc>
          <w:tcPr>
            <w:tcW w:w="709" w:type="dxa"/>
          </w:tcPr>
          <w:p w14:paraId="28BA5BA7" w14:textId="218FAC04"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r>
              <w:rPr>
                <w:rFonts w:ascii="Calibri" w:eastAsia="Times New Roman" w:hAnsi="Calibri" w:cs="Calibri"/>
                <w:color w:val="000000"/>
                <w:sz w:val="20"/>
                <w:szCs w:val="20"/>
              </w:rPr>
              <w:t>7</w:t>
            </w:r>
            <w:r w:rsidR="000A69CF" w:rsidRPr="00EC77F2">
              <w:rPr>
                <w:rFonts w:ascii="Calibri" w:eastAsia="Times New Roman" w:hAnsi="Calibri" w:cs="Calibri"/>
                <w:color w:val="000000"/>
                <w:sz w:val="20"/>
                <w:szCs w:val="20"/>
              </w:rPr>
              <w:t>.</w:t>
            </w:r>
          </w:p>
        </w:tc>
        <w:tc>
          <w:tcPr>
            <w:tcW w:w="7791" w:type="dxa"/>
          </w:tcPr>
          <w:p w14:paraId="105AE9D1"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General Authority for Statistics (2020) Household Health Survey, 2018 Kingdom of Saudi Arabia https://www.stats.gov.sa/en/search/type/mortality Accessed 5 November 2020</w:t>
            </w:r>
          </w:p>
        </w:tc>
      </w:tr>
      <w:tr w:rsidR="000A69CF" w:rsidRPr="008956EB" w14:paraId="7A6F35C9" w14:textId="77777777" w:rsidTr="00CC3BF2">
        <w:tc>
          <w:tcPr>
            <w:tcW w:w="709" w:type="dxa"/>
          </w:tcPr>
          <w:p w14:paraId="4F242441" w14:textId="1A018554"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r>
              <w:rPr>
                <w:rFonts w:ascii="Calibri" w:eastAsia="Times New Roman" w:hAnsi="Calibri" w:cs="Calibri"/>
                <w:color w:val="000000"/>
                <w:sz w:val="20"/>
                <w:szCs w:val="20"/>
              </w:rPr>
              <w:t>8</w:t>
            </w:r>
            <w:r w:rsidR="000A69CF" w:rsidRPr="00EC77F2">
              <w:rPr>
                <w:rFonts w:ascii="Calibri" w:eastAsia="Times New Roman" w:hAnsi="Calibri" w:cs="Calibri"/>
                <w:color w:val="000000"/>
                <w:sz w:val="20"/>
                <w:szCs w:val="20"/>
              </w:rPr>
              <w:t>.</w:t>
            </w:r>
          </w:p>
        </w:tc>
        <w:tc>
          <w:tcPr>
            <w:tcW w:w="7791" w:type="dxa"/>
          </w:tcPr>
          <w:p w14:paraId="388FA9BB"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Johnell O, De Laet C, Jonsson B, Oden A, Ogelsby AK (2002) International variations in hip fracture probabilities: implications for risk assessment. J Bone Miner Res 17:1237–1244</w:t>
            </w:r>
          </w:p>
        </w:tc>
      </w:tr>
      <w:tr w:rsidR="000A69CF" w:rsidRPr="008956EB" w14:paraId="0BAD5AA9" w14:textId="77777777" w:rsidTr="00CC3BF2">
        <w:tc>
          <w:tcPr>
            <w:tcW w:w="709" w:type="dxa"/>
          </w:tcPr>
          <w:p w14:paraId="176F4B78" w14:textId="7D74E1C1"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1</w:t>
            </w:r>
            <w:r>
              <w:rPr>
                <w:rFonts w:ascii="Calibri" w:eastAsia="Times New Roman" w:hAnsi="Calibri" w:cs="Calibri"/>
                <w:color w:val="000000"/>
                <w:sz w:val="20"/>
                <w:szCs w:val="20"/>
              </w:rPr>
              <w:t>9</w:t>
            </w:r>
            <w:r w:rsidR="000A69CF" w:rsidRPr="00EC77F2">
              <w:rPr>
                <w:rFonts w:ascii="Calibri" w:eastAsia="Times New Roman" w:hAnsi="Calibri" w:cs="Calibri"/>
                <w:color w:val="000000"/>
                <w:sz w:val="20"/>
                <w:szCs w:val="20"/>
              </w:rPr>
              <w:t>.</w:t>
            </w:r>
          </w:p>
        </w:tc>
        <w:tc>
          <w:tcPr>
            <w:tcW w:w="7791" w:type="dxa"/>
          </w:tcPr>
          <w:p w14:paraId="23AF005B"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Kebaetse M, Nkhwa S, Mogodi M, Masunge J, Gureja YP, Ramabu M, Mmopelwa T, Sharif I, Orford A, Johansson H, Harvey NC, McCloskey EV, Cauley JA, Kanis JA (2021) Epidemiology of hip fracture in Botswana.  Arc Osteoporos 16: 24 DOI: 10.1007/s11657-021-00885-x.</w:t>
            </w:r>
          </w:p>
        </w:tc>
      </w:tr>
      <w:tr w:rsidR="000A69CF" w:rsidRPr="008956EB" w14:paraId="707B2F6D" w14:textId="77777777" w:rsidTr="00CC3BF2">
        <w:tc>
          <w:tcPr>
            <w:tcW w:w="709" w:type="dxa"/>
          </w:tcPr>
          <w:p w14:paraId="147BB055" w14:textId="582373DF"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20</w:t>
            </w:r>
            <w:r w:rsidR="000A69CF" w:rsidRPr="00EC77F2">
              <w:rPr>
                <w:rFonts w:ascii="Calibri" w:eastAsia="Times New Roman" w:hAnsi="Calibri" w:cs="Calibri"/>
                <w:color w:val="000000"/>
                <w:sz w:val="20"/>
                <w:szCs w:val="20"/>
              </w:rPr>
              <w:t>.</w:t>
            </w:r>
          </w:p>
        </w:tc>
        <w:tc>
          <w:tcPr>
            <w:tcW w:w="7791" w:type="dxa"/>
          </w:tcPr>
          <w:p w14:paraId="6828636D" w14:textId="76A3D97D" w:rsidR="000A69CF" w:rsidRPr="0073458D" w:rsidRDefault="0073458D" w:rsidP="001E4CC7">
            <w:pPr>
              <w:spacing w:before="100" w:beforeAutospacing="1" w:after="100" w:afterAutospacing="1" w:line="240" w:lineRule="auto"/>
              <w:jc w:val="left"/>
              <w:rPr>
                <w:rFonts w:ascii="Calibri" w:hAnsi="Calibri" w:cs="Calibri"/>
                <w:sz w:val="20"/>
                <w:szCs w:val="20"/>
              </w:rPr>
            </w:pPr>
            <w:r w:rsidRPr="0073458D">
              <w:rPr>
                <w:rFonts w:ascii="Calibri" w:hAnsi="Calibri" w:cs="Calibri"/>
                <w:sz w:val="20"/>
                <w:szCs w:val="20"/>
              </w:rPr>
              <w:t>Johansson H, Harvey NC, Lorentzon M, Liu E, Vandenput L, McCloskey EV, Kanis JA (2021) Epidemiology of hip fracture and the development of a FRAX model for Qatar.  A report prepared for Dr Nabeel Abdulla</w:t>
            </w:r>
            <w:r>
              <w:rPr>
                <w:rFonts w:ascii="Calibri" w:hAnsi="Calibri" w:cs="Calibri"/>
                <w:sz w:val="20"/>
                <w:szCs w:val="20"/>
              </w:rPr>
              <w:t>.</w:t>
            </w:r>
          </w:p>
        </w:tc>
      </w:tr>
      <w:tr w:rsidR="000A69CF" w:rsidRPr="008956EB" w14:paraId="38B7D3DD" w14:textId="77777777" w:rsidTr="00CC3BF2">
        <w:tc>
          <w:tcPr>
            <w:tcW w:w="709" w:type="dxa"/>
          </w:tcPr>
          <w:p w14:paraId="40D758D7" w14:textId="06DB99D5"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1</w:t>
            </w:r>
            <w:r w:rsidR="000A69CF" w:rsidRPr="00EC77F2">
              <w:rPr>
                <w:rFonts w:ascii="Calibri" w:eastAsia="Times New Roman" w:hAnsi="Calibri" w:cs="Calibri"/>
                <w:color w:val="000000"/>
                <w:sz w:val="20"/>
                <w:szCs w:val="20"/>
              </w:rPr>
              <w:t>.</w:t>
            </w:r>
          </w:p>
        </w:tc>
        <w:tc>
          <w:tcPr>
            <w:tcW w:w="7791" w:type="dxa"/>
          </w:tcPr>
          <w:p w14:paraId="20780DD8"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Kanis JA, Odén A, McCloskey EV, Johansson H, Wahl D, Cyrus Cooper C on behalf of the IOF Working Group on Epidemiology and Quality of Life (2012) A systematic review of hip fracture incidence and probability of fracture worldwide. Osteoporosis International 23: 2239-2256.</w:t>
            </w:r>
          </w:p>
        </w:tc>
      </w:tr>
      <w:tr w:rsidR="000A69CF" w:rsidRPr="008956EB" w14:paraId="2E408A75" w14:textId="77777777" w:rsidTr="00CC3BF2">
        <w:tc>
          <w:tcPr>
            <w:tcW w:w="709" w:type="dxa"/>
          </w:tcPr>
          <w:p w14:paraId="7F478831" w14:textId="277CDF6D"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2</w:t>
            </w:r>
            <w:r w:rsidR="000A69CF" w:rsidRPr="00EC77F2">
              <w:rPr>
                <w:rFonts w:ascii="Calibri" w:eastAsia="Times New Roman" w:hAnsi="Calibri" w:cs="Calibri"/>
                <w:color w:val="000000"/>
                <w:sz w:val="20"/>
                <w:szCs w:val="20"/>
              </w:rPr>
              <w:t>.</w:t>
            </w:r>
          </w:p>
        </w:tc>
        <w:tc>
          <w:tcPr>
            <w:tcW w:w="7791" w:type="dxa"/>
          </w:tcPr>
          <w:p w14:paraId="7640C7DE"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Barake M, El Eid R, Ajjour S, Chakhtoura M, Meho L, Mahmoud T, Atieh J, Sibai AM, El-Hajj Fuleihan G (2021) Osteoporotic hip and vertebral fractures in the Arab region: a systematic review. Osteoporos Int 32: 1499-1515.</w:t>
            </w:r>
          </w:p>
        </w:tc>
      </w:tr>
      <w:tr w:rsidR="000A69CF" w:rsidRPr="008956EB" w14:paraId="7750364C" w14:textId="77777777" w:rsidTr="00CC3BF2">
        <w:tc>
          <w:tcPr>
            <w:tcW w:w="709" w:type="dxa"/>
          </w:tcPr>
          <w:p w14:paraId="7D0C7940" w14:textId="2A0BDCD4"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3</w:t>
            </w:r>
            <w:r w:rsidR="000A69CF" w:rsidRPr="00EC77F2">
              <w:rPr>
                <w:rFonts w:ascii="Calibri" w:eastAsia="Times New Roman" w:hAnsi="Calibri" w:cs="Calibri"/>
                <w:color w:val="000000"/>
                <w:sz w:val="20"/>
                <w:szCs w:val="20"/>
              </w:rPr>
              <w:t>.</w:t>
            </w:r>
          </w:p>
        </w:tc>
        <w:tc>
          <w:tcPr>
            <w:tcW w:w="7791" w:type="dxa"/>
          </w:tcPr>
          <w:p w14:paraId="629488C7"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al-Nuaim AR, Kremli M, al-Nuaim M, Sandkgi S (1995) Incidence of proximal femur fracture in an urbanized community in Saudi Arabia. Calcif Tissue Int 56: 536-8.</w:t>
            </w:r>
          </w:p>
        </w:tc>
      </w:tr>
      <w:tr w:rsidR="000A69CF" w:rsidRPr="008956EB" w14:paraId="4A72CC77" w14:textId="77777777" w:rsidTr="00CC3BF2">
        <w:tc>
          <w:tcPr>
            <w:tcW w:w="709" w:type="dxa"/>
          </w:tcPr>
          <w:p w14:paraId="5B3FF30D" w14:textId="0C83EEB0"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4</w:t>
            </w:r>
            <w:r w:rsidR="000A69CF" w:rsidRPr="00EC77F2">
              <w:rPr>
                <w:rFonts w:ascii="Calibri" w:eastAsia="Times New Roman" w:hAnsi="Calibri" w:cs="Calibri"/>
                <w:color w:val="000000"/>
                <w:sz w:val="20"/>
                <w:szCs w:val="20"/>
              </w:rPr>
              <w:t>.</w:t>
            </w:r>
          </w:p>
        </w:tc>
        <w:tc>
          <w:tcPr>
            <w:tcW w:w="7791" w:type="dxa"/>
          </w:tcPr>
          <w:p w14:paraId="3F5C13DD"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Bubshait D, Sadat-Ali M (2007) Economic implications of osteoporosis-related femoral fractures in Saudi Arabian society. Calcif Tissue Int 81: 455-8.</w:t>
            </w:r>
          </w:p>
        </w:tc>
      </w:tr>
      <w:tr w:rsidR="000A69CF" w:rsidRPr="008956EB" w14:paraId="3AE294BD" w14:textId="77777777" w:rsidTr="00CC3BF2">
        <w:tc>
          <w:tcPr>
            <w:tcW w:w="709" w:type="dxa"/>
          </w:tcPr>
          <w:p w14:paraId="311AE080" w14:textId="3C2DF4CE"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5</w:t>
            </w:r>
            <w:r w:rsidR="000A69CF" w:rsidRPr="00EC77F2">
              <w:rPr>
                <w:rFonts w:ascii="Calibri" w:eastAsia="Times New Roman" w:hAnsi="Calibri" w:cs="Calibri"/>
                <w:color w:val="000000"/>
                <w:sz w:val="20"/>
                <w:szCs w:val="20"/>
              </w:rPr>
              <w:t>.</w:t>
            </w:r>
          </w:p>
        </w:tc>
        <w:tc>
          <w:tcPr>
            <w:tcW w:w="7791" w:type="dxa"/>
          </w:tcPr>
          <w:p w14:paraId="6F235E39"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Sadat-Ali M, Al-Dakheel DA, Azam MQ, Al-Bluwi MT, Al-Farhan MF, AlAmer HA, Al-Meer Z, Al-Mohimeed A, Tabash IK, Karry MO, Rassasy YM, Baragaba MA, Amer AS, AlJawder A, Al-Bouri KM, ElTinay M, Badawi HA, Al-Othman AA, Tayara BK, Al-Faraidy MH, Amin AH (2015) Reassessment of osteoporosis-related femoral fractures and economic burden in Saudi Arabia. Arch Osteoporos   10:37. doi: 10.1007/s11657-015-0240-5.</w:t>
            </w:r>
          </w:p>
        </w:tc>
      </w:tr>
      <w:tr w:rsidR="000A69CF" w:rsidRPr="008956EB" w14:paraId="690C55CD" w14:textId="77777777" w:rsidTr="00CC3BF2">
        <w:tc>
          <w:tcPr>
            <w:tcW w:w="709" w:type="dxa"/>
          </w:tcPr>
          <w:p w14:paraId="2170DD05" w14:textId="008BB35B"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6</w:t>
            </w:r>
            <w:r w:rsidR="000A69CF" w:rsidRPr="00EC77F2">
              <w:rPr>
                <w:rFonts w:ascii="Calibri" w:eastAsia="Times New Roman" w:hAnsi="Calibri" w:cs="Calibri"/>
                <w:color w:val="000000"/>
                <w:sz w:val="20"/>
                <w:szCs w:val="20"/>
              </w:rPr>
              <w:t>.</w:t>
            </w:r>
          </w:p>
        </w:tc>
        <w:tc>
          <w:tcPr>
            <w:tcW w:w="7791" w:type="dxa"/>
          </w:tcPr>
          <w:p w14:paraId="01DBD1CD"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Cooper C, Cole ZA, Holroyd CR, Earl SC, Harvey NC, Dennison EM Melton LJ3, Cummings SR, Kanis JA and the IOF CSA Working Group on Fracture Epidemiology (2011) Secular trends in the incidence of hip and other osteoporotic fractures. Osteoporos Int 22:1277–1288</w:t>
            </w:r>
          </w:p>
        </w:tc>
      </w:tr>
      <w:tr w:rsidR="000A69CF" w:rsidRPr="008956EB" w14:paraId="361F2021" w14:textId="77777777" w:rsidTr="00CC3BF2">
        <w:tc>
          <w:tcPr>
            <w:tcW w:w="709" w:type="dxa"/>
          </w:tcPr>
          <w:p w14:paraId="19447963" w14:textId="41C9D2E0"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7</w:t>
            </w:r>
            <w:r w:rsidR="000A69CF" w:rsidRPr="00EC77F2">
              <w:rPr>
                <w:rFonts w:ascii="Calibri" w:eastAsia="Times New Roman" w:hAnsi="Calibri" w:cs="Calibri"/>
                <w:color w:val="000000"/>
                <w:sz w:val="20"/>
                <w:szCs w:val="20"/>
              </w:rPr>
              <w:t>.</w:t>
            </w:r>
          </w:p>
        </w:tc>
        <w:tc>
          <w:tcPr>
            <w:tcW w:w="7791" w:type="dxa"/>
          </w:tcPr>
          <w:p w14:paraId="72F18242"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Gullberg B, Johnell O, Kanis JA (1997) World-wide projections for hip fracture. Osteoporos Int 7: 407-413</w:t>
            </w:r>
          </w:p>
        </w:tc>
      </w:tr>
      <w:tr w:rsidR="000A69CF" w:rsidRPr="008956EB" w14:paraId="004D51AA" w14:textId="77777777" w:rsidTr="00CC3BF2">
        <w:tc>
          <w:tcPr>
            <w:tcW w:w="709" w:type="dxa"/>
          </w:tcPr>
          <w:p w14:paraId="63205918" w14:textId="6EF5CFE1"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8</w:t>
            </w:r>
            <w:r w:rsidR="000A69CF" w:rsidRPr="00EC77F2">
              <w:rPr>
                <w:rFonts w:ascii="Calibri" w:eastAsia="Times New Roman" w:hAnsi="Calibri" w:cs="Calibri"/>
                <w:color w:val="000000"/>
                <w:sz w:val="20"/>
                <w:szCs w:val="20"/>
              </w:rPr>
              <w:t>.</w:t>
            </w:r>
          </w:p>
        </w:tc>
        <w:tc>
          <w:tcPr>
            <w:tcW w:w="7791" w:type="dxa"/>
          </w:tcPr>
          <w:p w14:paraId="6B06D604" w14:textId="6BD465AE" w:rsidR="000A69CF" w:rsidRPr="00AE69F9" w:rsidRDefault="0073458D" w:rsidP="001E4CC7">
            <w:pPr>
              <w:spacing w:before="100" w:beforeAutospacing="1" w:after="100" w:afterAutospacing="1" w:line="240" w:lineRule="auto"/>
              <w:jc w:val="left"/>
              <w:rPr>
                <w:rFonts w:ascii="Calibri" w:hAnsi="Calibri" w:cs="Calibri"/>
                <w:sz w:val="20"/>
                <w:szCs w:val="20"/>
              </w:rPr>
            </w:pPr>
            <w:r w:rsidRPr="0073458D">
              <w:rPr>
                <w:rFonts w:ascii="Calibri" w:hAnsi="Calibri" w:cs="Calibri"/>
                <w:sz w:val="20"/>
                <w:szCs w:val="20"/>
              </w:rPr>
              <w:t>Johansson H, Odén A, Lorentzon M, McCloskey E, Harvey N, Kanis JA, Karlsson M Mellström D (2015) Is the Swedish FRAX model appropriate for Swedish immigrants? Osteoporos</w:t>
            </w:r>
            <w:r>
              <w:rPr>
                <w:rFonts w:ascii="Calibri" w:hAnsi="Calibri" w:cs="Calibri"/>
                <w:sz w:val="20"/>
                <w:szCs w:val="20"/>
              </w:rPr>
              <w:t xml:space="preserve"> </w:t>
            </w:r>
            <w:r w:rsidRPr="0073458D">
              <w:rPr>
                <w:rFonts w:ascii="Calibri" w:hAnsi="Calibri" w:cs="Calibri"/>
                <w:sz w:val="20"/>
                <w:szCs w:val="20"/>
              </w:rPr>
              <w:t>Int 26: 2617-2622.</w:t>
            </w:r>
          </w:p>
        </w:tc>
      </w:tr>
      <w:tr w:rsidR="000A69CF" w:rsidRPr="008956EB" w14:paraId="4A1099F0" w14:textId="77777777" w:rsidTr="00CC3BF2">
        <w:tc>
          <w:tcPr>
            <w:tcW w:w="709" w:type="dxa"/>
          </w:tcPr>
          <w:p w14:paraId="3142A420" w14:textId="6AF9B3A8"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2</w:t>
            </w:r>
            <w:r>
              <w:rPr>
                <w:rFonts w:ascii="Calibri" w:eastAsia="Times New Roman" w:hAnsi="Calibri" w:cs="Calibri"/>
                <w:color w:val="000000"/>
                <w:sz w:val="20"/>
                <w:szCs w:val="20"/>
              </w:rPr>
              <w:t>9</w:t>
            </w:r>
            <w:r w:rsidR="000A69CF" w:rsidRPr="00EC77F2">
              <w:rPr>
                <w:rFonts w:ascii="Calibri" w:eastAsia="Times New Roman" w:hAnsi="Calibri" w:cs="Calibri"/>
                <w:color w:val="000000"/>
                <w:sz w:val="20"/>
                <w:szCs w:val="20"/>
              </w:rPr>
              <w:t>.</w:t>
            </w:r>
          </w:p>
        </w:tc>
        <w:tc>
          <w:tcPr>
            <w:tcW w:w="7791" w:type="dxa"/>
          </w:tcPr>
          <w:p w14:paraId="649F3066" w14:textId="77777777" w:rsidR="000A69CF" w:rsidRPr="008956EB" w:rsidRDefault="000A69CF" w:rsidP="006A6879">
            <w:pPr>
              <w:spacing w:before="100" w:beforeAutospacing="1" w:after="100" w:afterAutospacing="1" w:line="240" w:lineRule="auto"/>
              <w:jc w:val="left"/>
              <w:rPr>
                <w:rFonts w:ascii="Calibri" w:eastAsia="Calibri" w:hAnsi="Calibri" w:cs="Calibri"/>
                <w:bCs/>
                <w:sz w:val="20"/>
                <w:szCs w:val="20"/>
              </w:rPr>
            </w:pPr>
            <w:r w:rsidRPr="00D913A9">
              <w:rPr>
                <w:rFonts w:ascii="Calibri" w:eastAsia="Calibri" w:hAnsi="Calibri" w:cs="Calibri"/>
                <w:bCs/>
                <w:sz w:val="20"/>
                <w:szCs w:val="20"/>
              </w:rPr>
              <w:t>Wändell P, Li X, Carlsson AC, Sundquist J, Sundquist K</w:t>
            </w:r>
            <w:r>
              <w:rPr>
                <w:rFonts w:ascii="Calibri" w:eastAsia="Calibri" w:hAnsi="Calibri" w:cs="Calibri"/>
                <w:bCs/>
                <w:sz w:val="20"/>
                <w:szCs w:val="20"/>
              </w:rPr>
              <w:t xml:space="preserve"> (2021) </w:t>
            </w:r>
            <w:r w:rsidRPr="00D913A9">
              <w:rPr>
                <w:rFonts w:ascii="Calibri" w:eastAsia="Calibri" w:hAnsi="Calibri" w:cs="Calibri"/>
                <w:bCs/>
                <w:sz w:val="20"/>
                <w:szCs w:val="20"/>
              </w:rPr>
              <w:t>Osteoporotic fractures in second-generation immigrants and Swedish natives. Osteoporos Int</w:t>
            </w:r>
            <w:r>
              <w:rPr>
                <w:rFonts w:ascii="Calibri" w:eastAsia="Calibri" w:hAnsi="Calibri" w:cs="Calibri"/>
                <w:bCs/>
                <w:sz w:val="20"/>
                <w:szCs w:val="20"/>
              </w:rPr>
              <w:t xml:space="preserve"> </w:t>
            </w:r>
            <w:r w:rsidRPr="00D913A9">
              <w:rPr>
                <w:rFonts w:ascii="Calibri" w:eastAsia="Calibri" w:hAnsi="Calibri" w:cs="Calibri"/>
                <w:bCs/>
                <w:sz w:val="20"/>
                <w:szCs w:val="20"/>
              </w:rPr>
              <w:t>32</w:t>
            </w:r>
            <w:r>
              <w:rPr>
                <w:rFonts w:ascii="Calibri" w:eastAsia="Calibri" w:hAnsi="Calibri" w:cs="Calibri"/>
                <w:bCs/>
                <w:sz w:val="20"/>
                <w:szCs w:val="20"/>
              </w:rPr>
              <w:t xml:space="preserve">: </w:t>
            </w:r>
            <w:r w:rsidRPr="00D913A9">
              <w:rPr>
                <w:rFonts w:ascii="Calibri" w:eastAsia="Calibri" w:hAnsi="Calibri" w:cs="Calibri"/>
                <w:bCs/>
                <w:sz w:val="20"/>
                <w:szCs w:val="20"/>
              </w:rPr>
              <w:t>1343-1350.</w:t>
            </w:r>
          </w:p>
        </w:tc>
      </w:tr>
      <w:tr w:rsidR="000A69CF" w:rsidRPr="008956EB" w14:paraId="40077535" w14:textId="77777777" w:rsidTr="00CC3BF2">
        <w:tc>
          <w:tcPr>
            <w:tcW w:w="709" w:type="dxa"/>
          </w:tcPr>
          <w:p w14:paraId="79EE60B4" w14:textId="4FED3A93"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30</w:t>
            </w:r>
            <w:r w:rsidR="000A69CF" w:rsidRPr="00EC77F2">
              <w:rPr>
                <w:rFonts w:ascii="Calibri" w:eastAsia="Times New Roman" w:hAnsi="Calibri" w:cs="Calibri"/>
                <w:color w:val="000000"/>
                <w:sz w:val="20"/>
                <w:szCs w:val="20"/>
              </w:rPr>
              <w:t>.</w:t>
            </w:r>
          </w:p>
        </w:tc>
        <w:tc>
          <w:tcPr>
            <w:tcW w:w="7791" w:type="dxa"/>
          </w:tcPr>
          <w:p w14:paraId="4900D566"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Melton LJ, Crowson CS, O’Fallon WM (1999) Fracture incidence in Olmsted County, Minnesota: comparison of urban and with rural rates and changes in urban rates over time. Osteoporos Int  9: 29–37.</w:t>
            </w:r>
          </w:p>
        </w:tc>
      </w:tr>
      <w:tr w:rsidR="000A69CF" w:rsidRPr="008956EB" w14:paraId="60AF4F67" w14:textId="77777777" w:rsidTr="00CC3BF2">
        <w:tc>
          <w:tcPr>
            <w:tcW w:w="709" w:type="dxa"/>
          </w:tcPr>
          <w:p w14:paraId="79285335" w14:textId="32752A89"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31</w:t>
            </w:r>
            <w:r w:rsidR="000A69CF" w:rsidRPr="00EC77F2">
              <w:rPr>
                <w:rFonts w:ascii="Calibri" w:eastAsia="Times New Roman" w:hAnsi="Calibri" w:cs="Calibri"/>
                <w:color w:val="000000"/>
                <w:sz w:val="20"/>
                <w:szCs w:val="20"/>
              </w:rPr>
              <w:t>.</w:t>
            </w:r>
          </w:p>
        </w:tc>
        <w:tc>
          <w:tcPr>
            <w:tcW w:w="7791" w:type="dxa"/>
          </w:tcPr>
          <w:p w14:paraId="1B0D1A1B" w14:textId="77777777" w:rsidR="000A69CF" w:rsidRPr="008956EB" w:rsidRDefault="000A69CF" w:rsidP="006A6879">
            <w:pPr>
              <w:spacing w:before="100" w:beforeAutospacing="1" w:after="100" w:afterAutospacing="1" w:line="240" w:lineRule="auto"/>
              <w:jc w:val="left"/>
              <w:rPr>
                <w:rFonts w:ascii="Calibri" w:hAnsi="Calibri" w:cs="Calibri"/>
                <w:sz w:val="20"/>
                <w:szCs w:val="20"/>
              </w:rPr>
            </w:pPr>
            <w:r w:rsidRPr="008956EB">
              <w:rPr>
                <w:rFonts w:ascii="Calibri" w:eastAsia="Calibri" w:hAnsi="Calibri" w:cs="Calibri"/>
                <w:sz w:val="20"/>
                <w:szCs w:val="20"/>
              </w:rPr>
              <w:t>Singer BR, McLauchlan CJ, Robinson CM, Christie J (1998) Epidemiology of fracture in 15.000 adults. The influence of age and gender. J Bone Joint Surg 80B: 234–8</w:t>
            </w:r>
          </w:p>
        </w:tc>
      </w:tr>
      <w:tr w:rsidR="000A69CF" w:rsidRPr="008956EB" w14:paraId="511B2B8A" w14:textId="77777777" w:rsidTr="00CC3BF2">
        <w:tc>
          <w:tcPr>
            <w:tcW w:w="709" w:type="dxa"/>
          </w:tcPr>
          <w:p w14:paraId="40861B34" w14:textId="65DF9176"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2</w:t>
            </w:r>
            <w:r w:rsidR="000A69CF" w:rsidRPr="00EC77F2">
              <w:rPr>
                <w:rFonts w:ascii="Calibri" w:eastAsia="Times New Roman" w:hAnsi="Calibri" w:cs="Calibri"/>
                <w:color w:val="000000"/>
                <w:sz w:val="20"/>
                <w:szCs w:val="20"/>
              </w:rPr>
              <w:t>.</w:t>
            </w:r>
          </w:p>
        </w:tc>
        <w:tc>
          <w:tcPr>
            <w:tcW w:w="7791" w:type="dxa"/>
          </w:tcPr>
          <w:p w14:paraId="73CE6C3C"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Sanders KM, Seeman E, Ugoni AM, Pasco JA, Martin TJ, Skoric B, Nicholson GC, Kotowicz MA (1999) Age- and gender speciﬁc rate of fractures in Australia: a population-based study. Osteoporos Int 10:2 40–7.</w:t>
            </w:r>
          </w:p>
        </w:tc>
      </w:tr>
      <w:tr w:rsidR="000A69CF" w:rsidRPr="008956EB" w14:paraId="5F09BA3F" w14:textId="77777777" w:rsidTr="00CC3BF2">
        <w:tc>
          <w:tcPr>
            <w:tcW w:w="709" w:type="dxa"/>
          </w:tcPr>
          <w:p w14:paraId="1A621CC9" w14:textId="641AF1CC"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3</w:t>
            </w:r>
            <w:r w:rsidR="000A69CF" w:rsidRPr="00EC77F2">
              <w:rPr>
                <w:rFonts w:ascii="Calibri" w:eastAsia="Times New Roman" w:hAnsi="Calibri" w:cs="Calibri"/>
                <w:color w:val="000000"/>
                <w:sz w:val="20"/>
                <w:szCs w:val="20"/>
              </w:rPr>
              <w:t>.</w:t>
            </w:r>
          </w:p>
        </w:tc>
        <w:tc>
          <w:tcPr>
            <w:tcW w:w="7791" w:type="dxa"/>
          </w:tcPr>
          <w:p w14:paraId="40F701B8"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Johnell O, Gullberg B, Kanis JA (1997) The hospital burden of vertebral fracture in Europe: a study of national register sources.  Osteoporos Int 7: 138-144</w:t>
            </w:r>
          </w:p>
        </w:tc>
      </w:tr>
      <w:tr w:rsidR="000A69CF" w:rsidRPr="008956EB" w14:paraId="1EC35A40" w14:textId="77777777" w:rsidTr="00CC3BF2">
        <w:tc>
          <w:tcPr>
            <w:tcW w:w="709" w:type="dxa"/>
          </w:tcPr>
          <w:p w14:paraId="133AEAE4" w14:textId="6625DF30"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4</w:t>
            </w:r>
            <w:r w:rsidR="000A69CF" w:rsidRPr="00EC77F2">
              <w:rPr>
                <w:rFonts w:ascii="Calibri" w:eastAsia="Times New Roman" w:hAnsi="Calibri" w:cs="Calibri"/>
                <w:color w:val="000000"/>
                <w:sz w:val="20"/>
                <w:szCs w:val="20"/>
              </w:rPr>
              <w:t>.</w:t>
            </w:r>
          </w:p>
        </w:tc>
        <w:tc>
          <w:tcPr>
            <w:tcW w:w="7791" w:type="dxa"/>
          </w:tcPr>
          <w:p w14:paraId="5651E4CC" w14:textId="77777777"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Melton LJ (1995) Epidemiology of fractures. In: Riggs BL, Melton LJ (eds) Osteoporosis: etiology, diagnosis and management, 2nd edn. Lippincott-Raven, Philadelphia, pp 225–227</w:t>
            </w:r>
          </w:p>
        </w:tc>
      </w:tr>
      <w:tr w:rsidR="000A69CF" w:rsidRPr="008956EB" w14:paraId="18DE4A85" w14:textId="77777777" w:rsidTr="00CC3BF2">
        <w:tc>
          <w:tcPr>
            <w:tcW w:w="709" w:type="dxa"/>
          </w:tcPr>
          <w:p w14:paraId="476A118E" w14:textId="6CDABB85"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5</w:t>
            </w:r>
          </w:p>
        </w:tc>
        <w:tc>
          <w:tcPr>
            <w:tcW w:w="7791" w:type="dxa"/>
          </w:tcPr>
          <w:p w14:paraId="4B30594A" w14:textId="3C21EFC9" w:rsidR="000A69CF" w:rsidRPr="000A69CF" w:rsidRDefault="0073458D" w:rsidP="001E4CC7">
            <w:pPr>
              <w:spacing w:before="100" w:beforeAutospacing="1" w:after="100" w:afterAutospacing="1" w:line="240" w:lineRule="auto"/>
              <w:jc w:val="left"/>
              <w:rPr>
                <w:rFonts w:ascii="Calibri" w:hAnsi="Calibri" w:cs="Calibri"/>
                <w:sz w:val="20"/>
                <w:szCs w:val="20"/>
              </w:rPr>
            </w:pPr>
            <w:r w:rsidRPr="0073458D">
              <w:rPr>
                <w:rFonts w:ascii="Calibri" w:hAnsi="Calibri" w:cs="Calibri"/>
                <w:sz w:val="20"/>
                <w:szCs w:val="20"/>
              </w:rPr>
              <w:t>Lesnyak O, Sahakyan S, Zakroyeva A, Bilezikian JP, Hutchings N, Galstyan R, Lebedev A, Johansson H, Harvey NC, McCloskey E, Kanis JA (2017) Epidemiology of fractures in Armenia: Development of a country-specific FRAX model and comparison to its surrogate. Arch Osteoporos</w:t>
            </w:r>
            <w:r w:rsidR="00156385">
              <w:rPr>
                <w:rFonts w:ascii="Calibri" w:hAnsi="Calibri" w:cs="Calibri"/>
                <w:sz w:val="20"/>
                <w:szCs w:val="20"/>
              </w:rPr>
              <w:t xml:space="preserve"> </w:t>
            </w:r>
            <w:r w:rsidRPr="0073458D">
              <w:rPr>
                <w:rFonts w:ascii="Calibri" w:hAnsi="Calibri" w:cs="Calibri"/>
                <w:sz w:val="20"/>
                <w:szCs w:val="20"/>
              </w:rPr>
              <w:t>12(1): 98. doi: 10.1007/s11657-017-0392-6.</w:t>
            </w:r>
          </w:p>
        </w:tc>
      </w:tr>
      <w:tr w:rsidR="000A69CF" w:rsidRPr="008956EB" w14:paraId="6F8C2D30" w14:textId="77777777" w:rsidTr="00CC3BF2">
        <w:tc>
          <w:tcPr>
            <w:tcW w:w="709" w:type="dxa"/>
          </w:tcPr>
          <w:p w14:paraId="22DD939B" w14:textId="4FB24960"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6</w:t>
            </w:r>
            <w:r w:rsidR="000A69CF" w:rsidRPr="00EC77F2">
              <w:rPr>
                <w:rFonts w:ascii="Calibri" w:eastAsia="Times New Roman" w:hAnsi="Calibri" w:cs="Calibri"/>
                <w:color w:val="000000"/>
                <w:sz w:val="20"/>
                <w:szCs w:val="20"/>
              </w:rPr>
              <w:t>.</w:t>
            </w:r>
          </w:p>
        </w:tc>
        <w:tc>
          <w:tcPr>
            <w:tcW w:w="7791" w:type="dxa"/>
          </w:tcPr>
          <w:p w14:paraId="29745922" w14:textId="0DDDF6D7" w:rsidR="000A69CF" w:rsidRPr="000A69CF" w:rsidRDefault="00156385" w:rsidP="001E4CC7">
            <w:pPr>
              <w:spacing w:before="100" w:beforeAutospacing="1" w:after="100" w:afterAutospacing="1" w:line="240" w:lineRule="auto"/>
              <w:jc w:val="left"/>
              <w:rPr>
                <w:rFonts w:ascii="Calibri" w:hAnsi="Calibri" w:cs="Calibri"/>
                <w:sz w:val="20"/>
                <w:szCs w:val="20"/>
              </w:rPr>
            </w:pPr>
            <w:r w:rsidRPr="00156385">
              <w:rPr>
                <w:rFonts w:ascii="Calibri" w:hAnsi="Calibri" w:cs="Calibri"/>
                <w:sz w:val="20"/>
                <w:szCs w:val="20"/>
              </w:rPr>
              <w:t>Kanis JA, Johansson H, Oden A, Dawson-Hughes B, Melton LJ 3rd, McCloskey EV (2010) The effects of a FRAX((R)) revision for the USA. Osteoporos Int 21: 35-40.</w:t>
            </w:r>
          </w:p>
        </w:tc>
      </w:tr>
      <w:tr w:rsidR="000A69CF" w:rsidRPr="008956EB" w14:paraId="1C7E1125" w14:textId="77777777" w:rsidTr="00CC3BF2">
        <w:tc>
          <w:tcPr>
            <w:tcW w:w="709" w:type="dxa"/>
          </w:tcPr>
          <w:p w14:paraId="6FAE8159" w14:textId="6EEDA668" w:rsidR="000A69CF" w:rsidRPr="00EC77F2" w:rsidRDefault="00230076" w:rsidP="00EC77F2">
            <w:pPr>
              <w:spacing w:before="100" w:beforeAutospacing="1" w:after="100" w:afterAutospacing="1" w:line="240" w:lineRule="auto"/>
              <w:jc w:val="right"/>
              <w:rPr>
                <w:rFonts w:ascii="Calibri" w:eastAsia="Times New Roman" w:hAnsi="Calibri" w:cs="Calibri"/>
                <w:color w:val="000000"/>
                <w:sz w:val="20"/>
                <w:szCs w:val="20"/>
              </w:rPr>
            </w:pPr>
            <w:r w:rsidRPr="00EC77F2">
              <w:rPr>
                <w:rFonts w:ascii="Calibri" w:eastAsia="Times New Roman" w:hAnsi="Calibri" w:cs="Calibri"/>
                <w:color w:val="000000"/>
                <w:sz w:val="20"/>
                <w:szCs w:val="20"/>
              </w:rPr>
              <w:t>3</w:t>
            </w:r>
            <w:r>
              <w:rPr>
                <w:rFonts w:ascii="Calibri" w:eastAsia="Times New Roman" w:hAnsi="Calibri" w:cs="Calibri"/>
                <w:color w:val="000000"/>
                <w:sz w:val="20"/>
                <w:szCs w:val="20"/>
              </w:rPr>
              <w:t>7</w:t>
            </w:r>
            <w:r w:rsidR="000A69CF" w:rsidRPr="00EC77F2">
              <w:rPr>
                <w:rFonts w:ascii="Calibri" w:eastAsia="Times New Roman" w:hAnsi="Calibri" w:cs="Calibri"/>
                <w:color w:val="000000"/>
                <w:sz w:val="20"/>
                <w:szCs w:val="20"/>
              </w:rPr>
              <w:t>.</w:t>
            </w:r>
          </w:p>
        </w:tc>
        <w:tc>
          <w:tcPr>
            <w:tcW w:w="7791" w:type="dxa"/>
          </w:tcPr>
          <w:p w14:paraId="14A5175D" w14:textId="29174AC1" w:rsidR="000A69CF" w:rsidRPr="008956EB" w:rsidRDefault="000A69CF" w:rsidP="001E4CC7">
            <w:pPr>
              <w:spacing w:before="100" w:beforeAutospacing="1" w:after="100" w:afterAutospacing="1" w:line="240" w:lineRule="auto"/>
              <w:jc w:val="left"/>
              <w:rPr>
                <w:rFonts w:ascii="Calibri" w:eastAsia="Times New Roman" w:hAnsi="Calibri" w:cs="Calibri"/>
                <w:color w:val="000000"/>
                <w:sz w:val="20"/>
                <w:szCs w:val="20"/>
                <w:highlight w:val="yellow"/>
              </w:rPr>
            </w:pPr>
            <w:r w:rsidRPr="008956EB">
              <w:rPr>
                <w:rFonts w:ascii="Calibri" w:hAnsi="Calibri" w:cs="Calibri"/>
                <w:sz w:val="20"/>
                <w:szCs w:val="20"/>
              </w:rPr>
              <w:t xml:space="preserve">Al-Daghri NM, Sabico S, Al-Saleh Y, Sulimani R, Aljohani NJ, Sheshah E, Alodhayani A, Harvey NC, Liu E, Lorentzon M, McCloskey EV, Vandenput L, Johansson H, Kanis JA (2021) The application of FRAX in Saudi Arabia.  </w:t>
            </w:r>
            <w:r w:rsidR="00156385" w:rsidRPr="00156385">
              <w:rPr>
                <w:rFonts w:ascii="Calibri" w:hAnsi="Calibri" w:cs="Calibri"/>
                <w:sz w:val="20"/>
                <w:szCs w:val="20"/>
              </w:rPr>
              <w:t>Arch Osteoporos</w:t>
            </w:r>
            <w:r w:rsidR="00F91F6B">
              <w:rPr>
                <w:rFonts w:ascii="Calibri" w:hAnsi="Calibri" w:cs="Calibri"/>
                <w:sz w:val="20"/>
                <w:szCs w:val="20"/>
              </w:rPr>
              <w:t xml:space="preserve"> </w:t>
            </w:r>
            <w:r w:rsidR="00F91F6B" w:rsidRPr="00F91F6B">
              <w:rPr>
                <w:rFonts w:ascii="Calibri" w:hAnsi="Calibri" w:cs="Calibri"/>
                <w:sz w:val="20"/>
                <w:szCs w:val="20"/>
              </w:rPr>
              <w:t xml:space="preserve">16: 166.  </w:t>
            </w:r>
            <w:r w:rsidR="00AA6F22">
              <w:rPr>
                <w:rFonts w:ascii="Calibri" w:hAnsi="Calibri" w:cs="Calibri"/>
                <w:sz w:val="20"/>
                <w:szCs w:val="20"/>
              </w:rPr>
              <w:t>d</w:t>
            </w:r>
            <w:r w:rsidR="00704692">
              <w:rPr>
                <w:rFonts w:ascii="Calibri" w:hAnsi="Calibri" w:cs="Calibri"/>
                <w:sz w:val="20"/>
                <w:szCs w:val="20"/>
              </w:rPr>
              <w:t>oi</w:t>
            </w:r>
            <w:r w:rsidR="0004563E">
              <w:rPr>
                <w:rFonts w:ascii="Calibri" w:hAnsi="Calibri" w:cs="Calibri"/>
                <w:sz w:val="20"/>
                <w:szCs w:val="20"/>
              </w:rPr>
              <w:t xml:space="preserve"> </w:t>
            </w:r>
            <w:r w:rsidR="00F91F6B" w:rsidRPr="00F91F6B">
              <w:rPr>
                <w:rFonts w:ascii="Calibri" w:hAnsi="Calibri" w:cs="Calibri"/>
                <w:sz w:val="20"/>
                <w:szCs w:val="20"/>
              </w:rPr>
              <w:t>10.1007/s11657-021-01024-2.</w:t>
            </w:r>
          </w:p>
        </w:tc>
      </w:tr>
    </w:tbl>
    <w:p w14:paraId="3DE22A6F" w14:textId="77777777" w:rsidR="006D0A6B" w:rsidRPr="00EB647F" w:rsidRDefault="006D0A6B" w:rsidP="006D0A6B">
      <w:pPr>
        <w:shd w:val="clear" w:color="auto" w:fill="FFFFFF"/>
        <w:spacing w:before="100" w:beforeAutospacing="1" w:after="100" w:afterAutospacing="1" w:line="240" w:lineRule="auto"/>
        <w:jc w:val="left"/>
        <w:rPr>
          <w:rFonts w:ascii="Arial" w:eastAsia="Times New Roman" w:hAnsi="Arial" w:cs="Arial"/>
          <w:color w:val="000000"/>
          <w:sz w:val="24"/>
          <w:szCs w:val="24"/>
          <w:highlight w:val="yellow"/>
          <w:lang w:eastAsia="ru-RU"/>
        </w:rPr>
      </w:pPr>
    </w:p>
    <w:p w14:paraId="6D14DA39" w14:textId="77777777" w:rsidR="006D0A6B" w:rsidRPr="00EB647F" w:rsidRDefault="006D0A6B" w:rsidP="006D0A6B">
      <w:pPr>
        <w:shd w:val="clear" w:color="auto" w:fill="FFFFFF"/>
        <w:spacing w:before="100" w:beforeAutospacing="1" w:after="100" w:afterAutospacing="1" w:line="240" w:lineRule="auto"/>
        <w:jc w:val="left"/>
        <w:rPr>
          <w:rFonts w:ascii="Arial" w:eastAsia="Times New Roman" w:hAnsi="Arial" w:cs="Arial"/>
          <w:color w:val="000000"/>
          <w:sz w:val="24"/>
          <w:szCs w:val="24"/>
          <w:highlight w:val="yellow"/>
          <w:lang w:eastAsia="ru-RU"/>
        </w:rPr>
      </w:pPr>
    </w:p>
    <w:p w14:paraId="4519AE48" w14:textId="77777777" w:rsidR="006774AF" w:rsidRPr="00EB647F" w:rsidRDefault="006774AF" w:rsidP="006774AF">
      <w:pPr>
        <w:spacing w:after="200"/>
        <w:ind w:firstLine="567"/>
        <w:rPr>
          <w:rFonts w:eastAsia="Times New Roman" w:cstheme="minorHAnsi"/>
          <w:sz w:val="24"/>
          <w:szCs w:val="24"/>
          <w:lang w:eastAsia="ru-RU"/>
        </w:rPr>
      </w:pPr>
    </w:p>
    <w:p w14:paraId="053FDD4C" w14:textId="77777777" w:rsidR="006774AF" w:rsidRPr="00EB647F" w:rsidRDefault="006774AF" w:rsidP="006774AF">
      <w:pPr>
        <w:spacing w:after="200"/>
        <w:ind w:firstLine="567"/>
        <w:rPr>
          <w:rFonts w:eastAsia="Times New Roman" w:cstheme="minorHAnsi"/>
          <w:sz w:val="24"/>
          <w:szCs w:val="24"/>
          <w:lang w:eastAsia="ru-RU"/>
        </w:rPr>
      </w:pPr>
    </w:p>
    <w:bookmarkEnd w:id="0"/>
    <w:p w14:paraId="3D3B5A4C" w14:textId="77777777" w:rsidR="009C52A3" w:rsidRPr="00EB647F" w:rsidRDefault="009C52A3">
      <w:pPr>
        <w:rPr>
          <w:sz w:val="24"/>
          <w:szCs w:val="24"/>
        </w:rPr>
      </w:pPr>
    </w:p>
    <w:sectPr w:rsidR="009C52A3" w:rsidRPr="00EB647F" w:rsidSect="00F21BF1">
      <w:footerReference w:type="default" r:id="rId17"/>
      <w:pgSz w:w="11906" w:h="16838"/>
      <w:pgMar w:top="1134"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2EBC4" w14:textId="77777777" w:rsidR="005609AF" w:rsidRDefault="005609AF" w:rsidP="00971575">
      <w:pPr>
        <w:spacing w:after="0" w:line="240" w:lineRule="auto"/>
      </w:pPr>
      <w:r>
        <w:separator/>
      </w:r>
    </w:p>
  </w:endnote>
  <w:endnote w:type="continuationSeparator" w:id="0">
    <w:p w14:paraId="2B363FC3" w14:textId="77777777" w:rsidR="005609AF" w:rsidRDefault="005609AF" w:rsidP="0097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686743"/>
      <w:docPartObj>
        <w:docPartGallery w:val="Page Numbers (Bottom of Page)"/>
        <w:docPartUnique/>
      </w:docPartObj>
    </w:sdtPr>
    <w:sdtEndPr/>
    <w:sdtContent>
      <w:p w14:paraId="168415A3" w14:textId="6D77BD93" w:rsidR="009D397B" w:rsidRDefault="009D397B">
        <w:pPr>
          <w:pStyle w:val="Footer"/>
          <w:jc w:val="right"/>
        </w:pPr>
        <w:r>
          <w:fldChar w:fldCharType="begin"/>
        </w:r>
        <w:r>
          <w:instrText>PAGE   \* MERGEFORMAT</w:instrText>
        </w:r>
        <w:r>
          <w:fldChar w:fldCharType="separate"/>
        </w:r>
        <w:r w:rsidR="00EA4526">
          <w:rPr>
            <w:noProof/>
          </w:rPr>
          <w:t>1</w:t>
        </w:r>
        <w:r>
          <w:fldChar w:fldCharType="end"/>
        </w:r>
      </w:p>
    </w:sdtContent>
  </w:sdt>
  <w:p w14:paraId="0F0D7A24" w14:textId="77777777" w:rsidR="009D397B" w:rsidRDefault="009D39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F4F36" w14:textId="77777777" w:rsidR="005609AF" w:rsidRDefault="005609AF" w:rsidP="00971575">
      <w:pPr>
        <w:spacing w:after="0" w:line="240" w:lineRule="auto"/>
      </w:pPr>
      <w:r>
        <w:separator/>
      </w:r>
    </w:p>
  </w:footnote>
  <w:footnote w:type="continuationSeparator" w:id="0">
    <w:p w14:paraId="7DAEB73A" w14:textId="77777777" w:rsidR="005609AF" w:rsidRDefault="005609AF" w:rsidP="00971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2365"/>
    <w:multiLevelType w:val="hybridMultilevel"/>
    <w:tmpl w:val="0520F8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1CAD5F83"/>
    <w:multiLevelType w:val="hybridMultilevel"/>
    <w:tmpl w:val="22AEDD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E53D7E"/>
    <w:multiLevelType w:val="hybridMultilevel"/>
    <w:tmpl w:val="435C8AD6"/>
    <w:lvl w:ilvl="0" w:tplc="0419000F">
      <w:start w:val="1"/>
      <w:numFmt w:val="decimal"/>
      <w:lvlText w:val="%1."/>
      <w:lvlJc w:val="left"/>
      <w:pPr>
        <w:ind w:left="720" w:hanging="360"/>
      </w:pPr>
      <w:rPr>
        <w:rFonts w:hint="default"/>
        <w:color w:val="auto"/>
      </w:rPr>
    </w:lvl>
    <w:lvl w:ilvl="1" w:tplc="AFCE001C">
      <w:start w:val="1"/>
      <w:numFmt w:val="lowerLetter"/>
      <w:lvlText w:val="%2."/>
      <w:lvlJc w:val="left"/>
      <w:pPr>
        <w:ind w:left="1440" w:hanging="360"/>
      </w:pPr>
      <w:rPr>
        <w:lang w:val="en-U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A2809"/>
    <w:multiLevelType w:val="multilevel"/>
    <w:tmpl w:val="49BAB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70F3A"/>
    <w:multiLevelType w:val="hybridMultilevel"/>
    <w:tmpl w:val="9F6A3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90768C"/>
    <w:multiLevelType w:val="multilevel"/>
    <w:tmpl w:val="3B96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53"/>
    <w:rsid w:val="00000443"/>
    <w:rsid w:val="00002906"/>
    <w:rsid w:val="00004323"/>
    <w:rsid w:val="0000481F"/>
    <w:rsid w:val="00004A0E"/>
    <w:rsid w:val="00005188"/>
    <w:rsid w:val="00005419"/>
    <w:rsid w:val="00006666"/>
    <w:rsid w:val="000074E8"/>
    <w:rsid w:val="0000763D"/>
    <w:rsid w:val="00010D35"/>
    <w:rsid w:val="00010EC6"/>
    <w:rsid w:val="0001149F"/>
    <w:rsid w:val="0001223B"/>
    <w:rsid w:val="000125A4"/>
    <w:rsid w:val="00015C6E"/>
    <w:rsid w:val="00016039"/>
    <w:rsid w:val="00016A89"/>
    <w:rsid w:val="000172F4"/>
    <w:rsid w:val="00020103"/>
    <w:rsid w:val="00020302"/>
    <w:rsid w:val="0002127D"/>
    <w:rsid w:val="0002189B"/>
    <w:rsid w:val="000218A7"/>
    <w:rsid w:val="00023DF8"/>
    <w:rsid w:val="0002491C"/>
    <w:rsid w:val="00025837"/>
    <w:rsid w:val="00026183"/>
    <w:rsid w:val="000276DA"/>
    <w:rsid w:val="0003025B"/>
    <w:rsid w:val="00030302"/>
    <w:rsid w:val="00031853"/>
    <w:rsid w:val="00031BCE"/>
    <w:rsid w:val="00031CBF"/>
    <w:rsid w:val="00032D59"/>
    <w:rsid w:val="00033514"/>
    <w:rsid w:val="0003353E"/>
    <w:rsid w:val="00036D6F"/>
    <w:rsid w:val="000412E6"/>
    <w:rsid w:val="000423C7"/>
    <w:rsid w:val="0004340D"/>
    <w:rsid w:val="00043C53"/>
    <w:rsid w:val="00044318"/>
    <w:rsid w:val="0004563E"/>
    <w:rsid w:val="00045EC7"/>
    <w:rsid w:val="00046581"/>
    <w:rsid w:val="00047287"/>
    <w:rsid w:val="00047E8C"/>
    <w:rsid w:val="00050682"/>
    <w:rsid w:val="00050920"/>
    <w:rsid w:val="00052137"/>
    <w:rsid w:val="00052232"/>
    <w:rsid w:val="00053AC7"/>
    <w:rsid w:val="0005488D"/>
    <w:rsid w:val="00055927"/>
    <w:rsid w:val="00055A4F"/>
    <w:rsid w:val="00060934"/>
    <w:rsid w:val="00061E14"/>
    <w:rsid w:val="00062BC8"/>
    <w:rsid w:val="00062F6F"/>
    <w:rsid w:val="000649E7"/>
    <w:rsid w:val="00064F0B"/>
    <w:rsid w:val="000660A7"/>
    <w:rsid w:val="000665AD"/>
    <w:rsid w:val="00066B67"/>
    <w:rsid w:val="000672B6"/>
    <w:rsid w:val="0007339C"/>
    <w:rsid w:val="00073AFD"/>
    <w:rsid w:val="000740E1"/>
    <w:rsid w:val="000742D7"/>
    <w:rsid w:val="000744C0"/>
    <w:rsid w:val="0007466A"/>
    <w:rsid w:val="00074CED"/>
    <w:rsid w:val="0007521E"/>
    <w:rsid w:val="0007547C"/>
    <w:rsid w:val="00076919"/>
    <w:rsid w:val="00076E3A"/>
    <w:rsid w:val="00077E9B"/>
    <w:rsid w:val="000806CF"/>
    <w:rsid w:val="00080D03"/>
    <w:rsid w:val="00080D4E"/>
    <w:rsid w:val="00081AA8"/>
    <w:rsid w:val="00081BBF"/>
    <w:rsid w:val="00082234"/>
    <w:rsid w:val="000830B7"/>
    <w:rsid w:val="000833A4"/>
    <w:rsid w:val="00083CC1"/>
    <w:rsid w:val="00083D0C"/>
    <w:rsid w:val="000841A9"/>
    <w:rsid w:val="00086206"/>
    <w:rsid w:val="00087C2C"/>
    <w:rsid w:val="00091743"/>
    <w:rsid w:val="000917A5"/>
    <w:rsid w:val="00091AAC"/>
    <w:rsid w:val="00091E4F"/>
    <w:rsid w:val="0009279B"/>
    <w:rsid w:val="00092C9D"/>
    <w:rsid w:val="0009392D"/>
    <w:rsid w:val="00093B4F"/>
    <w:rsid w:val="00093F65"/>
    <w:rsid w:val="0009448B"/>
    <w:rsid w:val="00094F0D"/>
    <w:rsid w:val="0009656B"/>
    <w:rsid w:val="00096AA1"/>
    <w:rsid w:val="00096E90"/>
    <w:rsid w:val="00097EA9"/>
    <w:rsid w:val="000A07F1"/>
    <w:rsid w:val="000A292D"/>
    <w:rsid w:val="000A2FB1"/>
    <w:rsid w:val="000A4A09"/>
    <w:rsid w:val="000A4AF1"/>
    <w:rsid w:val="000A4B4A"/>
    <w:rsid w:val="000A573D"/>
    <w:rsid w:val="000A59A5"/>
    <w:rsid w:val="000A69CF"/>
    <w:rsid w:val="000B01F7"/>
    <w:rsid w:val="000B18CC"/>
    <w:rsid w:val="000B414D"/>
    <w:rsid w:val="000B4C8D"/>
    <w:rsid w:val="000B589D"/>
    <w:rsid w:val="000B5BBA"/>
    <w:rsid w:val="000B7208"/>
    <w:rsid w:val="000B7FC3"/>
    <w:rsid w:val="000C01E6"/>
    <w:rsid w:val="000C3899"/>
    <w:rsid w:val="000C4BA7"/>
    <w:rsid w:val="000C5DD5"/>
    <w:rsid w:val="000C6D40"/>
    <w:rsid w:val="000C6DDA"/>
    <w:rsid w:val="000C7B54"/>
    <w:rsid w:val="000D1656"/>
    <w:rsid w:val="000D3193"/>
    <w:rsid w:val="000D3451"/>
    <w:rsid w:val="000D39D0"/>
    <w:rsid w:val="000D4003"/>
    <w:rsid w:val="000D4F0C"/>
    <w:rsid w:val="000D6172"/>
    <w:rsid w:val="000D726D"/>
    <w:rsid w:val="000D7807"/>
    <w:rsid w:val="000D7DA4"/>
    <w:rsid w:val="000E15D1"/>
    <w:rsid w:val="000E2495"/>
    <w:rsid w:val="000E2AEE"/>
    <w:rsid w:val="000E3C08"/>
    <w:rsid w:val="000E3E7F"/>
    <w:rsid w:val="000E542A"/>
    <w:rsid w:val="000F0ED7"/>
    <w:rsid w:val="000F29CC"/>
    <w:rsid w:val="000F30EA"/>
    <w:rsid w:val="000F4B20"/>
    <w:rsid w:val="000F56FD"/>
    <w:rsid w:val="000F6103"/>
    <w:rsid w:val="000F7498"/>
    <w:rsid w:val="000F7986"/>
    <w:rsid w:val="000F7BAB"/>
    <w:rsid w:val="00100FFB"/>
    <w:rsid w:val="001014FA"/>
    <w:rsid w:val="00101BEE"/>
    <w:rsid w:val="00102849"/>
    <w:rsid w:val="001029EF"/>
    <w:rsid w:val="001030D3"/>
    <w:rsid w:val="00103172"/>
    <w:rsid w:val="00103E83"/>
    <w:rsid w:val="001047BB"/>
    <w:rsid w:val="00104E02"/>
    <w:rsid w:val="00105FF9"/>
    <w:rsid w:val="00110A2E"/>
    <w:rsid w:val="00110D8A"/>
    <w:rsid w:val="00111AEB"/>
    <w:rsid w:val="00111E2C"/>
    <w:rsid w:val="0011255A"/>
    <w:rsid w:val="00112D9D"/>
    <w:rsid w:val="001131E1"/>
    <w:rsid w:val="00114B23"/>
    <w:rsid w:val="00114EE6"/>
    <w:rsid w:val="00115143"/>
    <w:rsid w:val="00115A53"/>
    <w:rsid w:val="00115C8C"/>
    <w:rsid w:val="00115F19"/>
    <w:rsid w:val="00116023"/>
    <w:rsid w:val="00117B72"/>
    <w:rsid w:val="001229E2"/>
    <w:rsid w:val="00126DF0"/>
    <w:rsid w:val="001271AE"/>
    <w:rsid w:val="00127610"/>
    <w:rsid w:val="00127CCB"/>
    <w:rsid w:val="0013027A"/>
    <w:rsid w:val="00130654"/>
    <w:rsid w:val="00130AF5"/>
    <w:rsid w:val="00130DCD"/>
    <w:rsid w:val="00131C11"/>
    <w:rsid w:val="001333A9"/>
    <w:rsid w:val="0013560D"/>
    <w:rsid w:val="00136B3F"/>
    <w:rsid w:val="001370EE"/>
    <w:rsid w:val="00141B83"/>
    <w:rsid w:val="00143A30"/>
    <w:rsid w:val="00145E9A"/>
    <w:rsid w:val="001509E3"/>
    <w:rsid w:val="001510A7"/>
    <w:rsid w:val="00151815"/>
    <w:rsid w:val="0015258F"/>
    <w:rsid w:val="00152EE7"/>
    <w:rsid w:val="001531ED"/>
    <w:rsid w:val="001532D2"/>
    <w:rsid w:val="001540E2"/>
    <w:rsid w:val="0015431A"/>
    <w:rsid w:val="0015470B"/>
    <w:rsid w:val="00155808"/>
    <w:rsid w:val="00156385"/>
    <w:rsid w:val="00156A94"/>
    <w:rsid w:val="00157318"/>
    <w:rsid w:val="00157624"/>
    <w:rsid w:val="001604C9"/>
    <w:rsid w:val="00161AAA"/>
    <w:rsid w:val="0016466B"/>
    <w:rsid w:val="001666A7"/>
    <w:rsid w:val="001708CF"/>
    <w:rsid w:val="001712DE"/>
    <w:rsid w:val="00171DDC"/>
    <w:rsid w:val="001749D2"/>
    <w:rsid w:val="0017505E"/>
    <w:rsid w:val="001754A5"/>
    <w:rsid w:val="0018120B"/>
    <w:rsid w:val="00181789"/>
    <w:rsid w:val="00182B85"/>
    <w:rsid w:val="00183385"/>
    <w:rsid w:val="0018521B"/>
    <w:rsid w:val="001861E5"/>
    <w:rsid w:val="00186484"/>
    <w:rsid w:val="00186D30"/>
    <w:rsid w:val="001912C2"/>
    <w:rsid w:val="00192267"/>
    <w:rsid w:val="001932FF"/>
    <w:rsid w:val="00193C3D"/>
    <w:rsid w:val="00194A64"/>
    <w:rsid w:val="00195603"/>
    <w:rsid w:val="00195F2C"/>
    <w:rsid w:val="0019686C"/>
    <w:rsid w:val="0019714D"/>
    <w:rsid w:val="0019744F"/>
    <w:rsid w:val="001A012F"/>
    <w:rsid w:val="001A08A1"/>
    <w:rsid w:val="001A1BBD"/>
    <w:rsid w:val="001A21A7"/>
    <w:rsid w:val="001A27AE"/>
    <w:rsid w:val="001A2878"/>
    <w:rsid w:val="001A3D1E"/>
    <w:rsid w:val="001A5E3C"/>
    <w:rsid w:val="001A5F21"/>
    <w:rsid w:val="001B3995"/>
    <w:rsid w:val="001B3B97"/>
    <w:rsid w:val="001B3DA5"/>
    <w:rsid w:val="001B7930"/>
    <w:rsid w:val="001C0246"/>
    <w:rsid w:val="001C2FA2"/>
    <w:rsid w:val="001C3FBA"/>
    <w:rsid w:val="001C62D4"/>
    <w:rsid w:val="001C6966"/>
    <w:rsid w:val="001C756C"/>
    <w:rsid w:val="001D04D6"/>
    <w:rsid w:val="001D0FF1"/>
    <w:rsid w:val="001D2C91"/>
    <w:rsid w:val="001D2E7E"/>
    <w:rsid w:val="001D31A4"/>
    <w:rsid w:val="001D546F"/>
    <w:rsid w:val="001D547F"/>
    <w:rsid w:val="001D575C"/>
    <w:rsid w:val="001D67C5"/>
    <w:rsid w:val="001D6CA5"/>
    <w:rsid w:val="001D70D1"/>
    <w:rsid w:val="001D7452"/>
    <w:rsid w:val="001E2980"/>
    <w:rsid w:val="001E4291"/>
    <w:rsid w:val="001E4CC7"/>
    <w:rsid w:val="001E5ABC"/>
    <w:rsid w:val="001E7B58"/>
    <w:rsid w:val="001F0F95"/>
    <w:rsid w:val="001F20A1"/>
    <w:rsid w:val="001F26F8"/>
    <w:rsid w:val="001F2E80"/>
    <w:rsid w:val="001F3809"/>
    <w:rsid w:val="001F3B99"/>
    <w:rsid w:val="001F3C6D"/>
    <w:rsid w:val="001F54F4"/>
    <w:rsid w:val="001F7594"/>
    <w:rsid w:val="00200079"/>
    <w:rsid w:val="0020032E"/>
    <w:rsid w:val="0020069E"/>
    <w:rsid w:val="00201852"/>
    <w:rsid w:val="00201BCF"/>
    <w:rsid w:val="00201DA3"/>
    <w:rsid w:val="0020242E"/>
    <w:rsid w:val="00202AFA"/>
    <w:rsid w:val="002030FF"/>
    <w:rsid w:val="00203E79"/>
    <w:rsid w:val="00204718"/>
    <w:rsid w:val="002079D0"/>
    <w:rsid w:val="00211AFA"/>
    <w:rsid w:val="0021244D"/>
    <w:rsid w:val="0021253C"/>
    <w:rsid w:val="002128D8"/>
    <w:rsid w:val="00213302"/>
    <w:rsid w:val="002135EA"/>
    <w:rsid w:val="00213659"/>
    <w:rsid w:val="002136A3"/>
    <w:rsid w:val="00213725"/>
    <w:rsid w:val="00214CBE"/>
    <w:rsid w:val="00214DD3"/>
    <w:rsid w:val="00215991"/>
    <w:rsid w:val="00216A62"/>
    <w:rsid w:val="00216D65"/>
    <w:rsid w:val="00216E9B"/>
    <w:rsid w:val="00217C7D"/>
    <w:rsid w:val="00217E97"/>
    <w:rsid w:val="002209D1"/>
    <w:rsid w:val="00221054"/>
    <w:rsid w:val="00221838"/>
    <w:rsid w:val="0022249B"/>
    <w:rsid w:val="00224555"/>
    <w:rsid w:val="002248F1"/>
    <w:rsid w:val="00224933"/>
    <w:rsid w:val="00224A94"/>
    <w:rsid w:val="002253DA"/>
    <w:rsid w:val="00225DA3"/>
    <w:rsid w:val="00227057"/>
    <w:rsid w:val="00230076"/>
    <w:rsid w:val="002326D5"/>
    <w:rsid w:val="00233E78"/>
    <w:rsid w:val="00234017"/>
    <w:rsid w:val="00234B5C"/>
    <w:rsid w:val="002352C6"/>
    <w:rsid w:val="002364F5"/>
    <w:rsid w:val="00237973"/>
    <w:rsid w:val="00237FD1"/>
    <w:rsid w:val="00240185"/>
    <w:rsid w:val="0024082B"/>
    <w:rsid w:val="002408D1"/>
    <w:rsid w:val="00241040"/>
    <w:rsid w:val="00241050"/>
    <w:rsid w:val="00245782"/>
    <w:rsid w:val="0024612F"/>
    <w:rsid w:val="00247BD8"/>
    <w:rsid w:val="0025024C"/>
    <w:rsid w:val="002506CD"/>
    <w:rsid w:val="002510CF"/>
    <w:rsid w:val="00251232"/>
    <w:rsid w:val="0025124C"/>
    <w:rsid w:val="002524D5"/>
    <w:rsid w:val="002533AE"/>
    <w:rsid w:val="002534D9"/>
    <w:rsid w:val="00253A33"/>
    <w:rsid w:val="00254380"/>
    <w:rsid w:val="00254D7B"/>
    <w:rsid w:val="00254F0F"/>
    <w:rsid w:val="00255A1C"/>
    <w:rsid w:val="00256842"/>
    <w:rsid w:val="00260DCB"/>
    <w:rsid w:val="00261120"/>
    <w:rsid w:val="00261EF5"/>
    <w:rsid w:val="00262B3F"/>
    <w:rsid w:val="002702CE"/>
    <w:rsid w:val="00270CED"/>
    <w:rsid w:val="0027495A"/>
    <w:rsid w:val="00274E37"/>
    <w:rsid w:val="002755AD"/>
    <w:rsid w:val="00276998"/>
    <w:rsid w:val="0027714E"/>
    <w:rsid w:val="00277418"/>
    <w:rsid w:val="0027768A"/>
    <w:rsid w:val="002806C3"/>
    <w:rsid w:val="00281449"/>
    <w:rsid w:val="002815ED"/>
    <w:rsid w:val="0028354B"/>
    <w:rsid w:val="00285BA9"/>
    <w:rsid w:val="00286F2A"/>
    <w:rsid w:val="00287014"/>
    <w:rsid w:val="0028742F"/>
    <w:rsid w:val="002878BB"/>
    <w:rsid w:val="0029044E"/>
    <w:rsid w:val="00290DCC"/>
    <w:rsid w:val="00292A4A"/>
    <w:rsid w:val="00292E07"/>
    <w:rsid w:val="00293BEE"/>
    <w:rsid w:val="00293EAD"/>
    <w:rsid w:val="00294C59"/>
    <w:rsid w:val="0029533D"/>
    <w:rsid w:val="00297CEB"/>
    <w:rsid w:val="002A238E"/>
    <w:rsid w:val="002A245E"/>
    <w:rsid w:val="002A262E"/>
    <w:rsid w:val="002A33DE"/>
    <w:rsid w:val="002A3B4A"/>
    <w:rsid w:val="002A45BD"/>
    <w:rsid w:val="002A5B79"/>
    <w:rsid w:val="002B1443"/>
    <w:rsid w:val="002B3091"/>
    <w:rsid w:val="002B35F2"/>
    <w:rsid w:val="002B3B02"/>
    <w:rsid w:val="002B416D"/>
    <w:rsid w:val="002B51F6"/>
    <w:rsid w:val="002B5538"/>
    <w:rsid w:val="002B6588"/>
    <w:rsid w:val="002C00CD"/>
    <w:rsid w:val="002C0E46"/>
    <w:rsid w:val="002C1459"/>
    <w:rsid w:val="002C17E9"/>
    <w:rsid w:val="002C1EC9"/>
    <w:rsid w:val="002C37B7"/>
    <w:rsid w:val="002C39E1"/>
    <w:rsid w:val="002C5C11"/>
    <w:rsid w:val="002C7118"/>
    <w:rsid w:val="002D0264"/>
    <w:rsid w:val="002D17FC"/>
    <w:rsid w:val="002D1D44"/>
    <w:rsid w:val="002D2F8D"/>
    <w:rsid w:val="002D3227"/>
    <w:rsid w:val="002D374B"/>
    <w:rsid w:val="002D5D63"/>
    <w:rsid w:val="002D63ED"/>
    <w:rsid w:val="002E1365"/>
    <w:rsid w:val="002E22CD"/>
    <w:rsid w:val="002E2A5D"/>
    <w:rsid w:val="002E3F59"/>
    <w:rsid w:val="002E4707"/>
    <w:rsid w:val="002E544B"/>
    <w:rsid w:val="002E6580"/>
    <w:rsid w:val="002F2777"/>
    <w:rsid w:val="002F3051"/>
    <w:rsid w:val="002F3CFC"/>
    <w:rsid w:val="002F42D6"/>
    <w:rsid w:val="002F5013"/>
    <w:rsid w:val="002F5F6B"/>
    <w:rsid w:val="002F6113"/>
    <w:rsid w:val="002F6B57"/>
    <w:rsid w:val="002F6EA3"/>
    <w:rsid w:val="003003FF"/>
    <w:rsid w:val="003005EC"/>
    <w:rsid w:val="00300956"/>
    <w:rsid w:val="00302961"/>
    <w:rsid w:val="00304516"/>
    <w:rsid w:val="00304998"/>
    <w:rsid w:val="00305CAF"/>
    <w:rsid w:val="003063AC"/>
    <w:rsid w:val="00306955"/>
    <w:rsid w:val="00310AE1"/>
    <w:rsid w:val="00312156"/>
    <w:rsid w:val="0031307E"/>
    <w:rsid w:val="00313F64"/>
    <w:rsid w:val="003145BC"/>
    <w:rsid w:val="00314733"/>
    <w:rsid w:val="00315996"/>
    <w:rsid w:val="00316C10"/>
    <w:rsid w:val="00316F22"/>
    <w:rsid w:val="00317318"/>
    <w:rsid w:val="0031790E"/>
    <w:rsid w:val="00317FE5"/>
    <w:rsid w:val="003238E7"/>
    <w:rsid w:val="00324350"/>
    <w:rsid w:val="003266C8"/>
    <w:rsid w:val="00326FA6"/>
    <w:rsid w:val="003274D3"/>
    <w:rsid w:val="00330261"/>
    <w:rsid w:val="00330501"/>
    <w:rsid w:val="003306A2"/>
    <w:rsid w:val="00332579"/>
    <w:rsid w:val="003329B0"/>
    <w:rsid w:val="00332AB1"/>
    <w:rsid w:val="0033406E"/>
    <w:rsid w:val="00336378"/>
    <w:rsid w:val="00337653"/>
    <w:rsid w:val="00340244"/>
    <w:rsid w:val="003414CC"/>
    <w:rsid w:val="00341DB2"/>
    <w:rsid w:val="003431EF"/>
    <w:rsid w:val="003442C2"/>
    <w:rsid w:val="00345232"/>
    <w:rsid w:val="00345A6F"/>
    <w:rsid w:val="003460DA"/>
    <w:rsid w:val="00346690"/>
    <w:rsid w:val="00350D7E"/>
    <w:rsid w:val="003516F1"/>
    <w:rsid w:val="00351AF4"/>
    <w:rsid w:val="003523B8"/>
    <w:rsid w:val="00353F3E"/>
    <w:rsid w:val="00354517"/>
    <w:rsid w:val="00355054"/>
    <w:rsid w:val="0035550E"/>
    <w:rsid w:val="003562DA"/>
    <w:rsid w:val="00356B09"/>
    <w:rsid w:val="003618B1"/>
    <w:rsid w:val="00362B5F"/>
    <w:rsid w:val="00362CC9"/>
    <w:rsid w:val="00363631"/>
    <w:rsid w:val="003637EE"/>
    <w:rsid w:val="003641AE"/>
    <w:rsid w:val="00364ADB"/>
    <w:rsid w:val="00364E93"/>
    <w:rsid w:val="00364FD5"/>
    <w:rsid w:val="00365D2E"/>
    <w:rsid w:val="0036650D"/>
    <w:rsid w:val="003676DE"/>
    <w:rsid w:val="00367837"/>
    <w:rsid w:val="003711BC"/>
    <w:rsid w:val="00372744"/>
    <w:rsid w:val="00374956"/>
    <w:rsid w:val="00375F4E"/>
    <w:rsid w:val="00381D33"/>
    <w:rsid w:val="003842FE"/>
    <w:rsid w:val="00384456"/>
    <w:rsid w:val="00387C6F"/>
    <w:rsid w:val="003912DA"/>
    <w:rsid w:val="003939A9"/>
    <w:rsid w:val="00395524"/>
    <w:rsid w:val="00395B39"/>
    <w:rsid w:val="0039774F"/>
    <w:rsid w:val="003A1933"/>
    <w:rsid w:val="003A20F3"/>
    <w:rsid w:val="003A2609"/>
    <w:rsid w:val="003A5C59"/>
    <w:rsid w:val="003A5F5C"/>
    <w:rsid w:val="003B01BE"/>
    <w:rsid w:val="003B116B"/>
    <w:rsid w:val="003B156B"/>
    <w:rsid w:val="003B2A62"/>
    <w:rsid w:val="003B3016"/>
    <w:rsid w:val="003B36AA"/>
    <w:rsid w:val="003B4201"/>
    <w:rsid w:val="003B4B0B"/>
    <w:rsid w:val="003B6489"/>
    <w:rsid w:val="003B6CBF"/>
    <w:rsid w:val="003B76F3"/>
    <w:rsid w:val="003C088B"/>
    <w:rsid w:val="003C0C8C"/>
    <w:rsid w:val="003C119E"/>
    <w:rsid w:val="003C22C0"/>
    <w:rsid w:val="003C552F"/>
    <w:rsid w:val="003C56B5"/>
    <w:rsid w:val="003C66E5"/>
    <w:rsid w:val="003C773C"/>
    <w:rsid w:val="003C7EF6"/>
    <w:rsid w:val="003D035C"/>
    <w:rsid w:val="003D0549"/>
    <w:rsid w:val="003D36DB"/>
    <w:rsid w:val="003D39B1"/>
    <w:rsid w:val="003D496A"/>
    <w:rsid w:val="003D6E47"/>
    <w:rsid w:val="003E0997"/>
    <w:rsid w:val="003E0B21"/>
    <w:rsid w:val="003E32F8"/>
    <w:rsid w:val="003E3C85"/>
    <w:rsid w:val="003E460F"/>
    <w:rsid w:val="003E49E4"/>
    <w:rsid w:val="003E552B"/>
    <w:rsid w:val="003E5D0A"/>
    <w:rsid w:val="003F1060"/>
    <w:rsid w:val="003F1188"/>
    <w:rsid w:val="003F4E25"/>
    <w:rsid w:val="003F6278"/>
    <w:rsid w:val="003F72DE"/>
    <w:rsid w:val="00401401"/>
    <w:rsid w:val="0040387F"/>
    <w:rsid w:val="00404748"/>
    <w:rsid w:val="00404A8D"/>
    <w:rsid w:val="00404E0A"/>
    <w:rsid w:val="004061B0"/>
    <w:rsid w:val="0040668A"/>
    <w:rsid w:val="00406784"/>
    <w:rsid w:val="004068DC"/>
    <w:rsid w:val="0040697D"/>
    <w:rsid w:val="004073A3"/>
    <w:rsid w:val="004102FA"/>
    <w:rsid w:val="0041145D"/>
    <w:rsid w:val="0041198A"/>
    <w:rsid w:val="00412FA8"/>
    <w:rsid w:val="004130E1"/>
    <w:rsid w:val="00414494"/>
    <w:rsid w:val="00416C86"/>
    <w:rsid w:val="00417555"/>
    <w:rsid w:val="00423ACA"/>
    <w:rsid w:val="00424050"/>
    <w:rsid w:val="00424713"/>
    <w:rsid w:val="004247E0"/>
    <w:rsid w:val="00425209"/>
    <w:rsid w:val="00425734"/>
    <w:rsid w:val="00425D10"/>
    <w:rsid w:val="00426435"/>
    <w:rsid w:val="004268DB"/>
    <w:rsid w:val="00427790"/>
    <w:rsid w:val="0043001B"/>
    <w:rsid w:val="00435C4C"/>
    <w:rsid w:val="0043694C"/>
    <w:rsid w:val="00436BF8"/>
    <w:rsid w:val="0043719E"/>
    <w:rsid w:val="00437DF7"/>
    <w:rsid w:val="0044045E"/>
    <w:rsid w:val="00441039"/>
    <w:rsid w:val="00441A20"/>
    <w:rsid w:val="0044220B"/>
    <w:rsid w:val="00442305"/>
    <w:rsid w:val="00443C04"/>
    <w:rsid w:val="00447EB4"/>
    <w:rsid w:val="0045248F"/>
    <w:rsid w:val="0045697B"/>
    <w:rsid w:val="0046189A"/>
    <w:rsid w:val="004630DB"/>
    <w:rsid w:val="0046369D"/>
    <w:rsid w:val="0046767D"/>
    <w:rsid w:val="004705B3"/>
    <w:rsid w:val="00470FAF"/>
    <w:rsid w:val="00472D7D"/>
    <w:rsid w:val="004757D2"/>
    <w:rsid w:val="00475927"/>
    <w:rsid w:val="004764D3"/>
    <w:rsid w:val="00477920"/>
    <w:rsid w:val="0047796F"/>
    <w:rsid w:val="004809B1"/>
    <w:rsid w:val="00480CFE"/>
    <w:rsid w:val="004815DC"/>
    <w:rsid w:val="004818A9"/>
    <w:rsid w:val="00483B02"/>
    <w:rsid w:val="0048490D"/>
    <w:rsid w:val="00485C89"/>
    <w:rsid w:val="00487DD0"/>
    <w:rsid w:val="00492B3F"/>
    <w:rsid w:val="004948B4"/>
    <w:rsid w:val="00494BC8"/>
    <w:rsid w:val="00495B76"/>
    <w:rsid w:val="004975B4"/>
    <w:rsid w:val="004A009E"/>
    <w:rsid w:val="004A06C7"/>
    <w:rsid w:val="004A1060"/>
    <w:rsid w:val="004A1549"/>
    <w:rsid w:val="004A1D5B"/>
    <w:rsid w:val="004A32A0"/>
    <w:rsid w:val="004A3437"/>
    <w:rsid w:val="004A3A8E"/>
    <w:rsid w:val="004A3F33"/>
    <w:rsid w:val="004A44CC"/>
    <w:rsid w:val="004A4BE1"/>
    <w:rsid w:val="004A584A"/>
    <w:rsid w:val="004A5B9B"/>
    <w:rsid w:val="004A6402"/>
    <w:rsid w:val="004A64B5"/>
    <w:rsid w:val="004A67B0"/>
    <w:rsid w:val="004A76D6"/>
    <w:rsid w:val="004A7CD3"/>
    <w:rsid w:val="004B0E04"/>
    <w:rsid w:val="004B243D"/>
    <w:rsid w:val="004B2730"/>
    <w:rsid w:val="004B3508"/>
    <w:rsid w:val="004B390A"/>
    <w:rsid w:val="004B4363"/>
    <w:rsid w:val="004B4454"/>
    <w:rsid w:val="004B4FED"/>
    <w:rsid w:val="004B633E"/>
    <w:rsid w:val="004B727A"/>
    <w:rsid w:val="004B779A"/>
    <w:rsid w:val="004C1254"/>
    <w:rsid w:val="004C1F61"/>
    <w:rsid w:val="004C3E46"/>
    <w:rsid w:val="004C4211"/>
    <w:rsid w:val="004C4F08"/>
    <w:rsid w:val="004C5666"/>
    <w:rsid w:val="004C66AB"/>
    <w:rsid w:val="004C730D"/>
    <w:rsid w:val="004D1441"/>
    <w:rsid w:val="004D15A4"/>
    <w:rsid w:val="004D2270"/>
    <w:rsid w:val="004D3BD3"/>
    <w:rsid w:val="004D40A0"/>
    <w:rsid w:val="004D4754"/>
    <w:rsid w:val="004D47C5"/>
    <w:rsid w:val="004D4B89"/>
    <w:rsid w:val="004D5D4E"/>
    <w:rsid w:val="004D5F11"/>
    <w:rsid w:val="004D66AD"/>
    <w:rsid w:val="004D73FE"/>
    <w:rsid w:val="004E01F8"/>
    <w:rsid w:val="004E05F3"/>
    <w:rsid w:val="004E0A4A"/>
    <w:rsid w:val="004E1B86"/>
    <w:rsid w:val="004E1BF7"/>
    <w:rsid w:val="004E1CAA"/>
    <w:rsid w:val="004E20C7"/>
    <w:rsid w:val="004E356B"/>
    <w:rsid w:val="004E3711"/>
    <w:rsid w:val="004F1F93"/>
    <w:rsid w:val="004F3000"/>
    <w:rsid w:val="004F3A7C"/>
    <w:rsid w:val="004F4182"/>
    <w:rsid w:val="004F42DE"/>
    <w:rsid w:val="004F52C2"/>
    <w:rsid w:val="004F6568"/>
    <w:rsid w:val="004F7914"/>
    <w:rsid w:val="005024D6"/>
    <w:rsid w:val="00504E09"/>
    <w:rsid w:val="00505198"/>
    <w:rsid w:val="005058B1"/>
    <w:rsid w:val="0050657B"/>
    <w:rsid w:val="005075BA"/>
    <w:rsid w:val="00512252"/>
    <w:rsid w:val="0051382B"/>
    <w:rsid w:val="00515080"/>
    <w:rsid w:val="0051545D"/>
    <w:rsid w:val="005161A7"/>
    <w:rsid w:val="00520868"/>
    <w:rsid w:val="00522FE1"/>
    <w:rsid w:val="00523B2C"/>
    <w:rsid w:val="00525D2B"/>
    <w:rsid w:val="00526E03"/>
    <w:rsid w:val="00530326"/>
    <w:rsid w:val="0053487F"/>
    <w:rsid w:val="0053555C"/>
    <w:rsid w:val="00535700"/>
    <w:rsid w:val="005366EC"/>
    <w:rsid w:val="00537277"/>
    <w:rsid w:val="0053790F"/>
    <w:rsid w:val="00540DB1"/>
    <w:rsid w:val="00541137"/>
    <w:rsid w:val="00542A59"/>
    <w:rsid w:val="005441B3"/>
    <w:rsid w:val="00544D53"/>
    <w:rsid w:val="005459DA"/>
    <w:rsid w:val="00545C35"/>
    <w:rsid w:val="00545C94"/>
    <w:rsid w:val="0054632F"/>
    <w:rsid w:val="005475DB"/>
    <w:rsid w:val="00550A00"/>
    <w:rsid w:val="005525D7"/>
    <w:rsid w:val="00552749"/>
    <w:rsid w:val="00554C09"/>
    <w:rsid w:val="00556A55"/>
    <w:rsid w:val="00557471"/>
    <w:rsid w:val="0055750D"/>
    <w:rsid w:val="005577FB"/>
    <w:rsid w:val="0056067D"/>
    <w:rsid w:val="005609AF"/>
    <w:rsid w:val="00560EAC"/>
    <w:rsid w:val="0056411E"/>
    <w:rsid w:val="005648AE"/>
    <w:rsid w:val="00564F3C"/>
    <w:rsid w:val="00566971"/>
    <w:rsid w:val="00566DCB"/>
    <w:rsid w:val="00572318"/>
    <w:rsid w:val="00572F57"/>
    <w:rsid w:val="00572F7A"/>
    <w:rsid w:val="00574420"/>
    <w:rsid w:val="005761CE"/>
    <w:rsid w:val="00576214"/>
    <w:rsid w:val="005774AE"/>
    <w:rsid w:val="005775DC"/>
    <w:rsid w:val="005802E9"/>
    <w:rsid w:val="00580527"/>
    <w:rsid w:val="00580973"/>
    <w:rsid w:val="00582555"/>
    <w:rsid w:val="00584678"/>
    <w:rsid w:val="00586B70"/>
    <w:rsid w:val="00586E53"/>
    <w:rsid w:val="00590C63"/>
    <w:rsid w:val="00590DCE"/>
    <w:rsid w:val="00592CA7"/>
    <w:rsid w:val="00593FE2"/>
    <w:rsid w:val="00594F76"/>
    <w:rsid w:val="00594FEB"/>
    <w:rsid w:val="00595882"/>
    <w:rsid w:val="00596AAA"/>
    <w:rsid w:val="00597580"/>
    <w:rsid w:val="00597E16"/>
    <w:rsid w:val="005A35F3"/>
    <w:rsid w:val="005A37A5"/>
    <w:rsid w:val="005A5BDE"/>
    <w:rsid w:val="005A67F7"/>
    <w:rsid w:val="005A6A95"/>
    <w:rsid w:val="005A6DE8"/>
    <w:rsid w:val="005A730E"/>
    <w:rsid w:val="005B1608"/>
    <w:rsid w:val="005B1780"/>
    <w:rsid w:val="005B26F7"/>
    <w:rsid w:val="005B2829"/>
    <w:rsid w:val="005B38CE"/>
    <w:rsid w:val="005B4B74"/>
    <w:rsid w:val="005B5AF1"/>
    <w:rsid w:val="005B5E6F"/>
    <w:rsid w:val="005B5FE9"/>
    <w:rsid w:val="005B6137"/>
    <w:rsid w:val="005B6CCE"/>
    <w:rsid w:val="005B7E6F"/>
    <w:rsid w:val="005C034A"/>
    <w:rsid w:val="005C03AC"/>
    <w:rsid w:val="005C04F3"/>
    <w:rsid w:val="005C05E5"/>
    <w:rsid w:val="005C0BCD"/>
    <w:rsid w:val="005C1600"/>
    <w:rsid w:val="005C17A3"/>
    <w:rsid w:val="005C3760"/>
    <w:rsid w:val="005C398F"/>
    <w:rsid w:val="005C59C9"/>
    <w:rsid w:val="005C5D97"/>
    <w:rsid w:val="005C64C5"/>
    <w:rsid w:val="005C67D0"/>
    <w:rsid w:val="005C728F"/>
    <w:rsid w:val="005D0415"/>
    <w:rsid w:val="005D0867"/>
    <w:rsid w:val="005D08AC"/>
    <w:rsid w:val="005D2360"/>
    <w:rsid w:val="005D2EC2"/>
    <w:rsid w:val="005D326E"/>
    <w:rsid w:val="005D357F"/>
    <w:rsid w:val="005D42F0"/>
    <w:rsid w:val="005D534A"/>
    <w:rsid w:val="005D5352"/>
    <w:rsid w:val="005E0218"/>
    <w:rsid w:val="005E088D"/>
    <w:rsid w:val="005E0B72"/>
    <w:rsid w:val="005E1A20"/>
    <w:rsid w:val="005E2055"/>
    <w:rsid w:val="005E2BF6"/>
    <w:rsid w:val="005E2EC7"/>
    <w:rsid w:val="005E4D88"/>
    <w:rsid w:val="005E67C9"/>
    <w:rsid w:val="005E71B1"/>
    <w:rsid w:val="005E74C3"/>
    <w:rsid w:val="005F15A1"/>
    <w:rsid w:val="005F1C8D"/>
    <w:rsid w:val="005F2DFB"/>
    <w:rsid w:val="005F3ECC"/>
    <w:rsid w:val="005F3EDC"/>
    <w:rsid w:val="005F43F4"/>
    <w:rsid w:val="005F4A7B"/>
    <w:rsid w:val="005F4CB9"/>
    <w:rsid w:val="005F6E13"/>
    <w:rsid w:val="00600066"/>
    <w:rsid w:val="00604E88"/>
    <w:rsid w:val="0060629E"/>
    <w:rsid w:val="006068F8"/>
    <w:rsid w:val="006069C5"/>
    <w:rsid w:val="006070B1"/>
    <w:rsid w:val="00610D24"/>
    <w:rsid w:val="00611E7D"/>
    <w:rsid w:val="006124E9"/>
    <w:rsid w:val="00613DC6"/>
    <w:rsid w:val="00614337"/>
    <w:rsid w:val="00615417"/>
    <w:rsid w:val="00615581"/>
    <w:rsid w:val="0061623C"/>
    <w:rsid w:val="006165A2"/>
    <w:rsid w:val="006172F6"/>
    <w:rsid w:val="00620A1D"/>
    <w:rsid w:val="00620D49"/>
    <w:rsid w:val="00620F90"/>
    <w:rsid w:val="006218C7"/>
    <w:rsid w:val="00623257"/>
    <w:rsid w:val="00623CA3"/>
    <w:rsid w:val="006247D8"/>
    <w:rsid w:val="006258AA"/>
    <w:rsid w:val="00625A6E"/>
    <w:rsid w:val="00625AE3"/>
    <w:rsid w:val="00630B87"/>
    <w:rsid w:val="00630DCC"/>
    <w:rsid w:val="0063142E"/>
    <w:rsid w:val="00632BB1"/>
    <w:rsid w:val="0063360F"/>
    <w:rsid w:val="00634941"/>
    <w:rsid w:val="00635CB8"/>
    <w:rsid w:val="00640DDD"/>
    <w:rsid w:val="00641BDA"/>
    <w:rsid w:val="00641D23"/>
    <w:rsid w:val="00642B77"/>
    <w:rsid w:val="006438C9"/>
    <w:rsid w:val="006446A3"/>
    <w:rsid w:val="0064564A"/>
    <w:rsid w:val="00645C74"/>
    <w:rsid w:val="00646DE0"/>
    <w:rsid w:val="006478B9"/>
    <w:rsid w:val="006510AF"/>
    <w:rsid w:val="00652D1B"/>
    <w:rsid w:val="0065534E"/>
    <w:rsid w:val="006560B2"/>
    <w:rsid w:val="0065684F"/>
    <w:rsid w:val="00664BD8"/>
    <w:rsid w:val="006672DE"/>
    <w:rsid w:val="00667326"/>
    <w:rsid w:val="006674FB"/>
    <w:rsid w:val="00667F8C"/>
    <w:rsid w:val="00667FAB"/>
    <w:rsid w:val="00667FED"/>
    <w:rsid w:val="006701E1"/>
    <w:rsid w:val="00671DB7"/>
    <w:rsid w:val="0067396C"/>
    <w:rsid w:val="006742D6"/>
    <w:rsid w:val="00674913"/>
    <w:rsid w:val="00674A3F"/>
    <w:rsid w:val="00674ED0"/>
    <w:rsid w:val="006774AF"/>
    <w:rsid w:val="006777D5"/>
    <w:rsid w:val="0068042F"/>
    <w:rsid w:val="0068139B"/>
    <w:rsid w:val="006834C1"/>
    <w:rsid w:val="00683AEF"/>
    <w:rsid w:val="00683D8A"/>
    <w:rsid w:val="00683E24"/>
    <w:rsid w:val="006846C2"/>
    <w:rsid w:val="00684A7A"/>
    <w:rsid w:val="00684E97"/>
    <w:rsid w:val="006856D8"/>
    <w:rsid w:val="006861CD"/>
    <w:rsid w:val="006872D1"/>
    <w:rsid w:val="00687930"/>
    <w:rsid w:val="00687E3C"/>
    <w:rsid w:val="00690B91"/>
    <w:rsid w:val="00690DAB"/>
    <w:rsid w:val="0069122F"/>
    <w:rsid w:val="00692E48"/>
    <w:rsid w:val="00697181"/>
    <w:rsid w:val="006974D8"/>
    <w:rsid w:val="0069762A"/>
    <w:rsid w:val="006A3005"/>
    <w:rsid w:val="006A3824"/>
    <w:rsid w:val="006A38BB"/>
    <w:rsid w:val="006A395A"/>
    <w:rsid w:val="006A47E2"/>
    <w:rsid w:val="006A550A"/>
    <w:rsid w:val="006A5D10"/>
    <w:rsid w:val="006A6879"/>
    <w:rsid w:val="006B24A2"/>
    <w:rsid w:val="006B3ABA"/>
    <w:rsid w:val="006B4557"/>
    <w:rsid w:val="006B4C99"/>
    <w:rsid w:val="006B5006"/>
    <w:rsid w:val="006B57FF"/>
    <w:rsid w:val="006B5E36"/>
    <w:rsid w:val="006B6775"/>
    <w:rsid w:val="006C03D6"/>
    <w:rsid w:val="006C26C0"/>
    <w:rsid w:val="006C2D1F"/>
    <w:rsid w:val="006C3479"/>
    <w:rsid w:val="006C5B62"/>
    <w:rsid w:val="006C697B"/>
    <w:rsid w:val="006C697E"/>
    <w:rsid w:val="006C728C"/>
    <w:rsid w:val="006D03E5"/>
    <w:rsid w:val="006D0871"/>
    <w:rsid w:val="006D0A6B"/>
    <w:rsid w:val="006D20CB"/>
    <w:rsid w:val="006D2F23"/>
    <w:rsid w:val="006D7FD6"/>
    <w:rsid w:val="006E1CFB"/>
    <w:rsid w:val="006E2AD9"/>
    <w:rsid w:val="006E2D35"/>
    <w:rsid w:val="006E315C"/>
    <w:rsid w:val="006E344F"/>
    <w:rsid w:val="006E3AE6"/>
    <w:rsid w:val="006E4436"/>
    <w:rsid w:val="006E487B"/>
    <w:rsid w:val="006E6BC9"/>
    <w:rsid w:val="006E6EA4"/>
    <w:rsid w:val="006E7BA0"/>
    <w:rsid w:val="006F0261"/>
    <w:rsid w:val="006F0364"/>
    <w:rsid w:val="006F059B"/>
    <w:rsid w:val="006F0E5F"/>
    <w:rsid w:val="006F2D10"/>
    <w:rsid w:val="006F479F"/>
    <w:rsid w:val="006F6484"/>
    <w:rsid w:val="006F77BB"/>
    <w:rsid w:val="006F786B"/>
    <w:rsid w:val="00700547"/>
    <w:rsid w:val="0070328E"/>
    <w:rsid w:val="00703536"/>
    <w:rsid w:val="00704692"/>
    <w:rsid w:val="00705642"/>
    <w:rsid w:val="00705CE1"/>
    <w:rsid w:val="00710947"/>
    <w:rsid w:val="00711557"/>
    <w:rsid w:val="00711B14"/>
    <w:rsid w:val="007142C6"/>
    <w:rsid w:val="007212BC"/>
    <w:rsid w:val="0072194B"/>
    <w:rsid w:val="00721EA2"/>
    <w:rsid w:val="00722540"/>
    <w:rsid w:val="00722E03"/>
    <w:rsid w:val="00723150"/>
    <w:rsid w:val="00725357"/>
    <w:rsid w:val="0072582B"/>
    <w:rsid w:val="007258D8"/>
    <w:rsid w:val="00726960"/>
    <w:rsid w:val="007270B9"/>
    <w:rsid w:val="00730D88"/>
    <w:rsid w:val="00732539"/>
    <w:rsid w:val="00732B8B"/>
    <w:rsid w:val="00733110"/>
    <w:rsid w:val="00733705"/>
    <w:rsid w:val="00733CAA"/>
    <w:rsid w:val="00733FEB"/>
    <w:rsid w:val="0073458D"/>
    <w:rsid w:val="00741DC7"/>
    <w:rsid w:val="00742048"/>
    <w:rsid w:val="007433D5"/>
    <w:rsid w:val="00744B57"/>
    <w:rsid w:val="007470F9"/>
    <w:rsid w:val="00750DCF"/>
    <w:rsid w:val="007554C8"/>
    <w:rsid w:val="00755B80"/>
    <w:rsid w:val="00757C05"/>
    <w:rsid w:val="00757FF7"/>
    <w:rsid w:val="00761285"/>
    <w:rsid w:val="007617EF"/>
    <w:rsid w:val="00762182"/>
    <w:rsid w:val="00762685"/>
    <w:rsid w:val="00762961"/>
    <w:rsid w:val="007642B5"/>
    <w:rsid w:val="007653D2"/>
    <w:rsid w:val="00765917"/>
    <w:rsid w:val="0076644F"/>
    <w:rsid w:val="00766951"/>
    <w:rsid w:val="0076698B"/>
    <w:rsid w:val="00766BE1"/>
    <w:rsid w:val="00770237"/>
    <w:rsid w:val="00771EFD"/>
    <w:rsid w:val="00772D93"/>
    <w:rsid w:val="007742D4"/>
    <w:rsid w:val="0077445D"/>
    <w:rsid w:val="00774BA0"/>
    <w:rsid w:val="00774C45"/>
    <w:rsid w:val="00774DF6"/>
    <w:rsid w:val="0077555B"/>
    <w:rsid w:val="00775566"/>
    <w:rsid w:val="007760E7"/>
    <w:rsid w:val="00777CFD"/>
    <w:rsid w:val="00780990"/>
    <w:rsid w:val="00785EA3"/>
    <w:rsid w:val="0079035F"/>
    <w:rsid w:val="007954FB"/>
    <w:rsid w:val="007A0EC9"/>
    <w:rsid w:val="007A0F33"/>
    <w:rsid w:val="007A1A27"/>
    <w:rsid w:val="007A1DC1"/>
    <w:rsid w:val="007A21B9"/>
    <w:rsid w:val="007A262B"/>
    <w:rsid w:val="007A515B"/>
    <w:rsid w:val="007A52EE"/>
    <w:rsid w:val="007A5924"/>
    <w:rsid w:val="007B01F8"/>
    <w:rsid w:val="007B0428"/>
    <w:rsid w:val="007B0FCE"/>
    <w:rsid w:val="007B27DB"/>
    <w:rsid w:val="007B44FC"/>
    <w:rsid w:val="007B4C18"/>
    <w:rsid w:val="007B56B4"/>
    <w:rsid w:val="007B5E35"/>
    <w:rsid w:val="007B646C"/>
    <w:rsid w:val="007B7851"/>
    <w:rsid w:val="007C32AA"/>
    <w:rsid w:val="007C33CE"/>
    <w:rsid w:val="007C44C9"/>
    <w:rsid w:val="007C56CE"/>
    <w:rsid w:val="007C57FC"/>
    <w:rsid w:val="007C6AF3"/>
    <w:rsid w:val="007C738A"/>
    <w:rsid w:val="007D16B1"/>
    <w:rsid w:val="007D1F3C"/>
    <w:rsid w:val="007D3349"/>
    <w:rsid w:val="007D5188"/>
    <w:rsid w:val="007D51DA"/>
    <w:rsid w:val="007D5445"/>
    <w:rsid w:val="007D779A"/>
    <w:rsid w:val="007D7D59"/>
    <w:rsid w:val="007E06D7"/>
    <w:rsid w:val="007E159A"/>
    <w:rsid w:val="007E2010"/>
    <w:rsid w:val="007E4002"/>
    <w:rsid w:val="007E473E"/>
    <w:rsid w:val="007E520A"/>
    <w:rsid w:val="007F1C5E"/>
    <w:rsid w:val="007F279D"/>
    <w:rsid w:val="007F27A5"/>
    <w:rsid w:val="007F3361"/>
    <w:rsid w:val="007F35B5"/>
    <w:rsid w:val="007F3AF6"/>
    <w:rsid w:val="007F3B61"/>
    <w:rsid w:val="007F6772"/>
    <w:rsid w:val="00800171"/>
    <w:rsid w:val="00801300"/>
    <w:rsid w:val="008020F6"/>
    <w:rsid w:val="0080226F"/>
    <w:rsid w:val="008034DE"/>
    <w:rsid w:val="008042FD"/>
    <w:rsid w:val="00804886"/>
    <w:rsid w:val="00805742"/>
    <w:rsid w:val="0081263C"/>
    <w:rsid w:val="008127DB"/>
    <w:rsid w:val="00813A41"/>
    <w:rsid w:val="00815A09"/>
    <w:rsid w:val="00816075"/>
    <w:rsid w:val="00816892"/>
    <w:rsid w:val="0081703C"/>
    <w:rsid w:val="008178E3"/>
    <w:rsid w:val="00817F64"/>
    <w:rsid w:val="00820B32"/>
    <w:rsid w:val="00820B9A"/>
    <w:rsid w:val="00823CD9"/>
    <w:rsid w:val="00823DCF"/>
    <w:rsid w:val="00824369"/>
    <w:rsid w:val="00827289"/>
    <w:rsid w:val="0083167D"/>
    <w:rsid w:val="00833005"/>
    <w:rsid w:val="00834B31"/>
    <w:rsid w:val="00836770"/>
    <w:rsid w:val="008379B5"/>
    <w:rsid w:val="0084188E"/>
    <w:rsid w:val="00842392"/>
    <w:rsid w:val="00842698"/>
    <w:rsid w:val="00844854"/>
    <w:rsid w:val="00844EE1"/>
    <w:rsid w:val="00844F7F"/>
    <w:rsid w:val="00845599"/>
    <w:rsid w:val="00845992"/>
    <w:rsid w:val="008461F8"/>
    <w:rsid w:val="00847A66"/>
    <w:rsid w:val="00850090"/>
    <w:rsid w:val="0085289A"/>
    <w:rsid w:val="00854D29"/>
    <w:rsid w:val="00860651"/>
    <w:rsid w:val="00861C1C"/>
    <w:rsid w:val="00864C37"/>
    <w:rsid w:val="00864D06"/>
    <w:rsid w:val="00866700"/>
    <w:rsid w:val="00871512"/>
    <w:rsid w:val="008719A6"/>
    <w:rsid w:val="00872990"/>
    <w:rsid w:val="00872B15"/>
    <w:rsid w:val="00872F62"/>
    <w:rsid w:val="008735D1"/>
    <w:rsid w:val="008736E3"/>
    <w:rsid w:val="00874FB4"/>
    <w:rsid w:val="00882AB1"/>
    <w:rsid w:val="008873CF"/>
    <w:rsid w:val="008875B2"/>
    <w:rsid w:val="008902C1"/>
    <w:rsid w:val="008927A3"/>
    <w:rsid w:val="00892AC2"/>
    <w:rsid w:val="00893E32"/>
    <w:rsid w:val="00894A51"/>
    <w:rsid w:val="00895382"/>
    <w:rsid w:val="008956EB"/>
    <w:rsid w:val="008966CA"/>
    <w:rsid w:val="0089744C"/>
    <w:rsid w:val="00897739"/>
    <w:rsid w:val="008A12D6"/>
    <w:rsid w:val="008A18F5"/>
    <w:rsid w:val="008A1A92"/>
    <w:rsid w:val="008A1ED6"/>
    <w:rsid w:val="008A2D6E"/>
    <w:rsid w:val="008A3425"/>
    <w:rsid w:val="008A3967"/>
    <w:rsid w:val="008A46FD"/>
    <w:rsid w:val="008A5B1C"/>
    <w:rsid w:val="008A67A2"/>
    <w:rsid w:val="008A682D"/>
    <w:rsid w:val="008A6D4F"/>
    <w:rsid w:val="008A7580"/>
    <w:rsid w:val="008B01E2"/>
    <w:rsid w:val="008B0C12"/>
    <w:rsid w:val="008B230C"/>
    <w:rsid w:val="008B23CC"/>
    <w:rsid w:val="008B4CC2"/>
    <w:rsid w:val="008B5A5C"/>
    <w:rsid w:val="008B6E9E"/>
    <w:rsid w:val="008C16C9"/>
    <w:rsid w:val="008C394A"/>
    <w:rsid w:val="008C4623"/>
    <w:rsid w:val="008C6F26"/>
    <w:rsid w:val="008C7C46"/>
    <w:rsid w:val="008D075C"/>
    <w:rsid w:val="008D193C"/>
    <w:rsid w:val="008D1BB2"/>
    <w:rsid w:val="008D27DA"/>
    <w:rsid w:val="008D4024"/>
    <w:rsid w:val="008D5980"/>
    <w:rsid w:val="008D67DF"/>
    <w:rsid w:val="008D6B5A"/>
    <w:rsid w:val="008D6BC2"/>
    <w:rsid w:val="008D75EE"/>
    <w:rsid w:val="008E0EB0"/>
    <w:rsid w:val="008E1232"/>
    <w:rsid w:val="008E252F"/>
    <w:rsid w:val="008E335F"/>
    <w:rsid w:val="008E4ADD"/>
    <w:rsid w:val="008E716B"/>
    <w:rsid w:val="008F1B58"/>
    <w:rsid w:val="008F210A"/>
    <w:rsid w:val="008F2332"/>
    <w:rsid w:val="008F5386"/>
    <w:rsid w:val="008F5461"/>
    <w:rsid w:val="008F572A"/>
    <w:rsid w:val="008F5DCF"/>
    <w:rsid w:val="008F7549"/>
    <w:rsid w:val="00900029"/>
    <w:rsid w:val="0090135A"/>
    <w:rsid w:val="009018FC"/>
    <w:rsid w:val="00901A76"/>
    <w:rsid w:val="0090272E"/>
    <w:rsid w:val="00902961"/>
    <w:rsid w:val="00902F6F"/>
    <w:rsid w:val="00903102"/>
    <w:rsid w:val="0090363F"/>
    <w:rsid w:val="00903DD6"/>
    <w:rsid w:val="00905B3C"/>
    <w:rsid w:val="009100E6"/>
    <w:rsid w:val="009106BC"/>
    <w:rsid w:val="00912125"/>
    <w:rsid w:val="00912FA1"/>
    <w:rsid w:val="009148E9"/>
    <w:rsid w:val="00914C20"/>
    <w:rsid w:val="00914CF3"/>
    <w:rsid w:val="00914F23"/>
    <w:rsid w:val="00916CC7"/>
    <w:rsid w:val="00916F63"/>
    <w:rsid w:val="0091773E"/>
    <w:rsid w:val="00917C74"/>
    <w:rsid w:val="0092032A"/>
    <w:rsid w:val="009214B4"/>
    <w:rsid w:val="00921DC7"/>
    <w:rsid w:val="00922308"/>
    <w:rsid w:val="00924023"/>
    <w:rsid w:val="00924D40"/>
    <w:rsid w:val="009306C2"/>
    <w:rsid w:val="009312F0"/>
    <w:rsid w:val="00931C28"/>
    <w:rsid w:val="00932147"/>
    <w:rsid w:val="00932972"/>
    <w:rsid w:val="00932F4D"/>
    <w:rsid w:val="00933A0F"/>
    <w:rsid w:val="00936CD0"/>
    <w:rsid w:val="0094002B"/>
    <w:rsid w:val="0094045B"/>
    <w:rsid w:val="00942402"/>
    <w:rsid w:val="00942C4D"/>
    <w:rsid w:val="0094375C"/>
    <w:rsid w:val="00943E25"/>
    <w:rsid w:val="0094402C"/>
    <w:rsid w:val="00944201"/>
    <w:rsid w:val="00944478"/>
    <w:rsid w:val="009448D0"/>
    <w:rsid w:val="00945515"/>
    <w:rsid w:val="0094689D"/>
    <w:rsid w:val="009469E2"/>
    <w:rsid w:val="00947893"/>
    <w:rsid w:val="009520AF"/>
    <w:rsid w:val="009525D9"/>
    <w:rsid w:val="00952DDC"/>
    <w:rsid w:val="009540B4"/>
    <w:rsid w:val="00956F13"/>
    <w:rsid w:val="00961ACC"/>
    <w:rsid w:val="00961C19"/>
    <w:rsid w:val="00961C51"/>
    <w:rsid w:val="00965A5C"/>
    <w:rsid w:val="0097050A"/>
    <w:rsid w:val="00970591"/>
    <w:rsid w:val="0097060E"/>
    <w:rsid w:val="00970F08"/>
    <w:rsid w:val="00971379"/>
    <w:rsid w:val="00971575"/>
    <w:rsid w:val="009724BC"/>
    <w:rsid w:val="0097285A"/>
    <w:rsid w:val="00974923"/>
    <w:rsid w:val="00974F73"/>
    <w:rsid w:val="009758F0"/>
    <w:rsid w:val="009761BD"/>
    <w:rsid w:val="00976525"/>
    <w:rsid w:val="00977860"/>
    <w:rsid w:val="00977CB7"/>
    <w:rsid w:val="00977F9B"/>
    <w:rsid w:val="00983359"/>
    <w:rsid w:val="00983F96"/>
    <w:rsid w:val="0098671C"/>
    <w:rsid w:val="00986F5B"/>
    <w:rsid w:val="0099059F"/>
    <w:rsid w:val="0099298C"/>
    <w:rsid w:val="009952EC"/>
    <w:rsid w:val="00995894"/>
    <w:rsid w:val="00997056"/>
    <w:rsid w:val="0099781B"/>
    <w:rsid w:val="00997ECE"/>
    <w:rsid w:val="009A057C"/>
    <w:rsid w:val="009A07CE"/>
    <w:rsid w:val="009A1891"/>
    <w:rsid w:val="009A2AFD"/>
    <w:rsid w:val="009A499F"/>
    <w:rsid w:val="009A5EEF"/>
    <w:rsid w:val="009A63C7"/>
    <w:rsid w:val="009A7A4F"/>
    <w:rsid w:val="009B0BDF"/>
    <w:rsid w:val="009B0F10"/>
    <w:rsid w:val="009B0F56"/>
    <w:rsid w:val="009B1F27"/>
    <w:rsid w:val="009B2F0D"/>
    <w:rsid w:val="009B329E"/>
    <w:rsid w:val="009B366C"/>
    <w:rsid w:val="009B3D15"/>
    <w:rsid w:val="009B536B"/>
    <w:rsid w:val="009B597E"/>
    <w:rsid w:val="009B5AC9"/>
    <w:rsid w:val="009B65B3"/>
    <w:rsid w:val="009B6967"/>
    <w:rsid w:val="009B7BC8"/>
    <w:rsid w:val="009C0745"/>
    <w:rsid w:val="009C0F58"/>
    <w:rsid w:val="009C4639"/>
    <w:rsid w:val="009C527C"/>
    <w:rsid w:val="009C52A3"/>
    <w:rsid w:val="009C60B2"/>
    <w:rsid w:val="009C6240"/>
    <w:rsid w:val="009C72BA"/>
    <w:rsid w:val="009C7549"/>
    <w:rsid w:val="009C788F"/>
    <w:rsid w:val="009C7C44"/>
    <w:rsid w:val="009D0070"/>
    <w:rsid w:val="009D1610"/>
    <w:rsid w:val="009D1F6A"/>
    <w:rsid w:val="009D397B"/>
    <w:rsid w:val="009D4197"/>
    <w:rsid w:val="009D53D4"/>
    <w:rsid w:val="009D5BE4"/>
    <w:rsid w:val="009D5EE6"/>
    <w:rsid w:val="009D75D8"/>
    <w:rsid w:val="009E1511"/>
    <w:rsid w:val="009E1D22"/>
    <w:rsid w:val="009E2B59"/>
    <w:rsid w:val="009E2BDB"/>
    <w:rsid w:val="009E3FC0"/>
    <w:rsid w:val="009E44F2"/>
    <w:rsid w:val="009E5106"/>
    <w:rsid w:val="009E72AC"/>
    <w:rsid w:val="009E7F71"/>
    <w:rsid w:val="009F0569"/>
    <w:rsid w:val="009F085A"/>
    <w:rsid w:val="009F4F5E"/>
    <w:rsid w:val="009F6A0A"/>
    <w:rsid w:val="00A0248B"/>
    <w:rsid w:val="00A028F9"/>
    <w:rsid w:val="00A0561C"/>
    <w:rsid w:val="00A0594A"/>
    <w:rsid w:val="00A07203"/>
    <w:rsid w:val="00A11D8A"/>
    <w:rsid w:val="00A12522"/>
    <w:rsid w:val="00A1512A"/>
    <w:rsid w:val="00A1569E"/>
    <w:rsid w:val="00A15C7D"/>
    <w:rsid w:val="00A1614E"/>
    <w:rsid w:val="00A2004E"/>
    <w:rsid w:val="00A20746"/>
    <w:rsid w:val="00A20E0F"/>
    <w:rsid w:val="00A22139"/>
    <w:rsid w:val="00A22BD6"/>
    <w:rsid w:val="00A22D8B"/>
    <w:rsid w:val="00A24387"/>
    <w:rsid w:val="00A24D9A"/>
    <w:rsid w:val="00A27241"/>
    <w:rsid w:val="00A273CE"/>
    <w:rsid w:val="00A30C9D"/>
    <w:rsid w:val="00A30F6F"/>
    <w:rsid w:val="00A33E48"/>
    <w:rsid w:val="00A351B0"/>
    <w:rsid w:val="00A353FF"/>
    <w:rsid w:val="00A36ABA"/>
    <w:rsid w:val="00A4223A"/>
    <w:rsid w:val="00A422BF"/>
    <w:rsid w:val="00A42634"/>
    <w:rsid w:val="00A42B44"/>
    <w:rsid w:val="00A443ED"/>
    <w:rsid w:val="00A44921"/>
    <w:rsid w:val="00A44D27"/>
    <w:rsid w:val="00A46108"/>
    <w:rsid w:val="00A4759E"/>
    <w:rsid w:val="00A51BE6"/>
    <w:rsid w:val="00A52069"/>
    <w:rsid w:val="00A520CB"/>
    <w:rsid w:val="00A5260E"/>
    <w:rsid w:val="00A52C4E"/>
    <w:rsid w:val="00A5612B"/>
    <w:rsid w:val="00A56FE7"/>
    <w:rsid w:val="00A57ED6"/>
    <w:rsid w:val="00A609F0"/>
    <w:rsid w:val="00A63830"/>
    <w:rsid w:val="00A63BED"/>
    <w:rsid w:val="00A662F0"/>
    <w:rsid w:val="00A66694"/>
    <w:rsid w:val="00A66EFA"/>
    <w:rsid w:val="00A672DD"/>
    <w:rsid w:val="00A710B2"/>
    <w:rsid w:val="00A7186F"/>
    <w:rsid w:val="00A720F3"/>
    <w:rsid w:val="00A72AE6"/>
    <w:rsid w:val="00A73113"/>
    <w:rsid w:val="00A73142"/>
    <w:rsid w:val="00A73649"/>
    <w:rsid w:val="00A75138"/>
    <w:rsid w:val="00A75672"/>
    <w:rsid w:val="00A758B5"/>
    <w:rsid w:val="00A8098B"/>
    <w:rsid w:val="00A81143"/>
    <w:rsid w:val="00A81861"/>
    <w:rsid w:val="00A81914"/>
    <w:rsid w:val="00A85ADD"/>
    <w:rsid w:val="00A86A81"/>
    <w:rsid w:val="00A902E4"/>
    <w:rsid w:val="00A905DE"/>
    <w:rsid w:val="00A914FC"/>
    <w:rsid w:val="00A91D96"/>
    <w:rsid w:val="00A92071"/>
    <w:rsid w:val="00A92BEF"/>
    <w:rsid w:val="00A93513"/>
    <w:rsid w:val="00A94D0A"/>
    <w:rsid w:val="00A96C07"/>
    <w:rsid w:val="00A97350"/>
    <w:rsid w:val="00A976D0"/>
    <w:rsid w:val="00A97990"/>
    <w:rsid w:val="00A97AF4"/>
    <w:rsid w:val="00A97EC6"/>
    <w:rsid w:val="00A97F56"/>
    <w:rsid w:val="00AA0603"/>
    <w:rsid w:val="00AA0F81"/>
    <w:rsid w:val="00AA1EF3"/>
    <w:rsid w:val="00AA2AF2"/>
    <w:rsid w:val="00AA348A"/>
    <w:rsid w:val="00AA455B"/>
    <w:rsid w:val="00AA5CAE"/>
    <w:rsid w:val="00AA6EDA"/>
    <w:rsid w:val="00AA6F22"/>
    <w:rsid w:val="00AA7AD7"/>
    <w:rsid w:val="00AB0E98"/>
    <w:rsid w:val="00AB300D"/>
    <w:rsid w:val="00AB311D"/>
    <w:rsid w:val="00AB3464"/>
    <w:rsid w:val="00AB3471"/>
    <w:rsid w:val="00AB5060"/>
    <w:rsid w:val="00AB5BC5"/>
    <w:rsid w:val="00AB65A1"/>
    <w:rsid w:val="00AB6889"/>
    <w:rsid w:val="00AB6A48"/>
    <w:rsid w:val="00AC1735"/>
    <w:rsid w:val="00AC1EE7"/>
    <w:rsid w:val="00AC24A0"/>
    <w:rsid w:val="00AC2EC5"/>
    <w:rsid w:val="00AC33AE"/>
    <w:rsid w:val="00AC4B4F"/>
    <w:rsid w:val="00AC64CC"/>
    <w:rsid w:val="00AD015B"/>
    <w:rsid w:val="00AD03D5"/>
    <w:rsid w:val="00AD03DC"/>
    <w:rsid w:val="00AD2200"/>
    <w:rsid w:val="00AD273B"/>
    <w:rsid w:val="00AD3267"/>
    <w:rsid w:val="00AD65A7"/>
    <w:rsid w:val="00AD7521"/>
    <w:rsid w:val="00AE00D0"/>
    <w:rsid w:val="00AE0E9C"/>
    <w:rsid w:val="00AE1F58"/>
    <w:rsid w:val="00AE2EF5"/>
    <w:rsid w:val="00AE3363"/>
    <w:rsid w:val="00AE38FA"/>
    <w:rsid w:val="00AE3AC2"/>
    <w:rsid w:val="00AE3AC3"/>
    <w:rsid w:val="00AE49B4"/>
    <w:rsid w:val="00AE559F"/>
    <w:rsid w:val="00AE69F9"/>
    <w:rsid w:val="00AE76A7"/>
    <w:rsid w:val="00AE76E8"/>
    <w:rsid w:val="00AF025E"/>
    <w:rsid w:val="00AF3691"/>
    <w:rsid w:val="00AF3CDA"/>
    <w:rsid w:val="00AF43C2"/>
    <w:rsid w:val="00AF4DBF"/>
    <w:rsid w:val="00AF5366"/>
    <w:rsid w:val="00AF5A75"/>
    <w:rsid w:val="00AF6190"/>
    <w:rsid w:val="00AF709B"/>
    <w:rsid w:val="00AF7210"/>
    <w:rsid w:val="00AF754F"/>
    <w:rsid w:val="00AF7851"/>
    <w:rsid w:val="00AF79AD"/>
    <w:rsid w:val="00B0076F"/>
    <w:rsid w:val="00B0237E"/>
    <w:rsid w:val="00B032CE"/>
    <w:rsid w:val="00B03884"/>
    <w:rsid w:val="00B07504"/>
    <w:rsid w:val="00B076E1"/>
    <w:rsid w:val="00B104F0"/>
    <w:rsid w:val="00B1062E"/>
    <w:rsid w:val="00B129AB"/>
    <w:rsid w:val="00B12FC9"/>
    <w:rsid w:val="00B13362"/>
    <w:rsid w:val="00B13A6B"/>
    <w:rsid w:val="00B149EA"/>
    <w:rsid w:val="00B17870"/>
    <w:rsid w:val="00B21408"/>
    <w:rsid w:val="00B243C2"/>
    <w:rsid w:val="00B26104"/>
    <w:rsid w:val="00B26725"/>
    <w:rsid w:val="00B26F7F"/>
    <w:rsid w:val="00B311CD"/>
    <w:rsid w:val="00B31ABC"/>
    <w:rsid w:val="00B31ECB"/>
    <w:rsid w:val="00B323EF"/>
    <w:rsid w:val="00B326EB"/>
    <w:rsid w:val="00B32E98"/>
    <w:rsid w:val="00B32F6C"/>
    <w:rsid w:val="00B336A8"/>
    <w:rsid w:val="00B33D4E"/>
    <w:rsid w:val="00B34495"/>
    <w:rsid w:val="00B416A8"/>
    <w:rsid w:val="00B4315D"/>
    <w:rsid w:val="00B43C07"/>
    <w:rsid w:val="00B4437D"/>
    <w:rsid w:val="00B443DC"/>
    <w:rsid w:val="00B45006"/>
    <w:rsid w:val="00B47286"/>
    <w:rsid w:val="00B506B5"/>
    <w:rsid w:val="00B50BB3"/>
    <w:rsid w:val="00B50DB8"/>
    <w:rsid w:val="00B54761"/>
    <w:rsid w:val="00B57799"/>
    <w:rsid w:val="00B57AEB"/>
    <w:rsid w:val="00B57F4F"/>
    <w:rsid w:val="00B62446"/>
    <w:rsid w:val="00B64754"/>
    <w:rsid w:val="00B649C4"/>
    <w:rsid w:val="00B65B84"/>
    <w:rsid w:val="00B6692C"/>
    <w:rsid w:val="00B670EA"/>
    <w:rsid w:val="00B67FCC"/>
    <w:rsid w:val="00B71211"/>
    <w:rsid w:val="00B71472"/>
    <w:rsid w:val="00B721DC"/>
    <w:rsid w:val="00B724A9"/>
    <w:rsid w:val="00B72967"/>
    <w:rsid w:val="00B72F27"/>
    <w:rsid w:val="00B760FC"/>
    <w:rsid w:val="00B76742"/>
    <w:rsid w:val="00B7790C"/>
    <w:rsid w:val="00B77EDA"/>
    <w:rsid w:val="00B800EC"/>
    <w:rsid w:val="00B80E4E"/>
    <w:rsid w:val="00B8138E"/>
    <w:rsid w:val="00B82D50"/>
    <w:rsid w:val="00B83B18"/>
    <w:rsid w:val="00B84C26"/>
    <w:rsid w:val="00B86658"/>
    <w:rsid w:val="00B91963"/>
    <w:rsid w:val="00B93673"/>
    <w:rsid w:val="00B94327"/>
    <w:rsid w:val="00B95843"/>
    <w:rsid w:val="00B9710E"/>
    <w:rsid w:val="00B97EE1"/>
    <w:rsid w:val="00B97F37"/>
    <w:rsid w:val="00BA028E"/>
    <w:rsid w:val="00BA0D88"/>
    <w:rsid w:val="00BA14AD"/>
    <w:rsid w:val="00BA1513"/>
    <w:rsid w:val="00BA15C6"/>
    <w:rsid w:val="00BA2F96"/>
    <w:rsid w:val="00BA344E"/>
    <w:rsid w:val="00BA3623"/>
    <w:rsid w:val="00BA4E55"/>
    <w:rsid w:val="00BA539F"/>
    <w:rsid w:val="00BA62EE"/>
    <w:rsid w:val="00BB0760"/>
    <w:rsid w:val="00BB24AB"/>
    <w:rsid w:val="00BB2535"/>
    <w:rsid w:val="00BB3EC2"/>
    <w:rsid w:val="00BB3FD9"/>
    <w:rsid w:val="00BC3998"/>
    <w:rsid w:val="00BC3D4C"/>
    <w:rsid w:val="00BC4230"/>
    <w:rsid w:val="00BC5181"/>
    <w:rsid w:val="00BC7AE1"/>
    <w:rsid w:val="00BC7D27"/>
    <w:rsid w:val="00BD0B1F"/>
    <w:rsid w:val="00BD0C04"/>
    <w:rsid w:val="00BD1517"/>
    <w:rsid w:val="00BD33E9"/>
    <w:rsid w:val="00BD3912"/>
    <w:rsid w:val="00BD7F0A"/>
    <w:rsid w:val="00BE2E20"/>
    <w:rsid w:val="00BE3CD1"/>
    <w:rsid w:val="00BE40AB"/>
    <w:rsid w:val="00BE42F1"/>
    <w:rsid w:val="00BE4C22"/>
    <w:rsid w:val="00BE5D87"/>
    <w:rsid w:val="00BE6E92"/>
    <w:rsid w:val="00BF0F97"/>
    <w:rsid w:val="00BF189A"/>
    <w:rsid w:val="00BF1B5B"/>
    <w:rsid w:val="00BF2920"/>
    <w:rsid w:val="00BF2B12"/>
    <w:rsid w:val="00BF387F"/>
    <w:rsid w:val="00BF48B0"/>
    <w:rsid w:val="00BF6F7F"/>
    <w:rsid w:val="00BF7285"/>
    <w:rsid w:val="00C01260"/>
    <w:rsid w:val="00C01AE9"/>
    <w:rsid w:val="00C025CF"/>
    <w:rsid w:val="00C06F65"/>
    <w:rsid w:val="00C100B6"/>
    <w:rsid w:val="00C1081E"/>
    <w:rsid w:val="00C14061"/>
    <w:rsid w:val="00C1493B"/>
    <w:rsid w:val="00C15CF6"/>
    <w:rsid w:val="00C15DA9"/>
    <w:rsid w:val="00C169D6"/>
    <w:rsid w:val="00C16F4D"/>
    <w:rsid w:val="00C178BE"/>
    <w:rsid w:val="00C17F6D"/>
    <w:rsid w:val="00C2059A"/>
    <w:rsid w:val="00C230A4"/>
    <w:rsid w:val="00C235E4"/>
    <w:rsid w:val="00C30E08"/>
    <w:rsid w:val="00C32D32"/>
    <w:rsid w:val="00C3314A"/>
    <w:rsid w:val="00C337A7"/>
    <w:rsid w:val="00C3419F"/>
    <w:rsid w:val="00C34783"/>
    <w:rsid w:val="00C34952"/>
    <w:rsid w:val="00C34AA5"/>
    <w:rsid w:val="00C3586B"/>
    <w:rsid w:val="00C35A5B"/>
    <w:rsid w:val="00C35AED"/>
    <w:rsid w:val="00C40C40"/>
    <w:rsid w:val="00C41291"/>
    <w:rsid w:val="00C41931"/>
    <w:rsid w:val="00C42C7C"/>
    <w:rsid w:val="00C433ED"/>
    <w:rsid w:val="00C44D88"/>
    <w:rsid w:val="00C45E6D"/>
    <w:rsid w:val="00C461C0"/>
    <w:rsid w:val="00C46AA1"/>
    <w:rsid w:val="00C4714D"/>
    <w:rsid w:val="00C474BE"/>
    <w:rsid w:val="00C476BE"/>
    <w:rsid w:val="00C50F30"/>
    <w:rsid w:val="00C513C0"/>
    <w:rsid w:val="00C51679"/>
    <w:rsid w:val="00C52191"/>
    <w:rsid w:val="00C528DA"/>
    <w:rsid w:val="00C52CCB"/>
    <w:rsid w:val="00C52CE6"/>
    <w:rsid w:val="00C53E01"/>
    <w:rsid w:val="00C5408D"/>
    <w:rsid w:val="00C54BB9"/>
    <w:rsid w:val="00C562D0"/>
    <w:rsid w:val="00C56D2E"/>
    <w:rsid w:val="00C575E9"/>
    <w:rsid w:val="00C607A8"/>
    <w:rsid w:val="00C6100F"/>
    <w:rsid w:val="00C6278D"/>
    <w:rsid w:val="00C63CE5"/>
    <w:rsid w:val="00C663B8"/>
    <w:rsid w:val="00C66A64"/>
    <w:rsid w:val="00C66E2C"/>
    <w:rsid w:val="00C67994"/>
    <w:rsid w:val="00C70021"/>
    <w:rsid w:val="00C701A3"/>
    <w:rsid w:val="00C73BAC"/>
    <w:rsid w:val="00C752FF"/>
    <w:rsid w:val="00C75EA2"/>
    <w:rsid w:val="00C76E4F"/>
    <w:rsid w:val="00C818A6"/>
    <w:rsid w:val="00C818C4"/>
    <w:rsid w:val="00C82623"/>
    <w:rsid w:val="00C835DE"/>
    <w:rsid w:val="00C83BDE"/>
    <w:rsid w:val="00C83C6C"/>
    <w:rsid w:val="00C85677"/>
    <w:rsid w:val="00C85AF0"/>
    <w:rsid w:val="00C85B95"/>
    <w:rsid w:val="00C86380"/>
    <w:rsid w:val="00C86716"/>
    <w:rsid w:val="00C87133"/>
    <w:rsid w:val="00C87144"/>
    <w:rsid w:val="00C87274"/>
    <w:rsid w:val="00C87F51"/>
    <w:rsid w:val="00C9034A"/>
    <w:rsid w:val="00C90563"/>
    <w:rsid w:val="00C92736"/>
    <w:rsid w:val="00C938EF"/>
    <w:rsid w:val="00C93FEB"/>
    <w:rsid w:val="00C957FE"/>
    <w:rsid w:val="00C96E86"/>
    <w:rsid w:val="00CA09BC"/>
    <w:rsid w:val="00CA1C4A"/>
    <w:rsid w:val="00CA220B"/>
    <w:rsid w:val="00CA29FE"/>
    <w:rsid w:val="00CA35DE"/>
    <w:rsid w:val="00CA415E"/>
    <w:rsid w:val="00CA458F"/>
    <w:rsid w:val="00CB162C"/>
    <w:rsid w:val="00CB517F"/>
    <w:rsid w:val="00CB5686"/>
    <w:rsid w:val="00CB72BF"/>
    <w:rsid w:val="00CC0513"/>
    <w:rsid w:val="00CC1954"/>
    <w:rsid w:val="00CC2391"/>
    <w:rsid w:val="00CC2518"/>
    <w:rsid w:val="00CC3480"/>
    <w:rsid w:val="00CC3BF2"/>
    <w:rsid w:val="00CC5C92"/>
    <w:rsid w:val="00CC677F"/>
    <w:rsid w:val="00CC6ED1"/>
    <w:rsid w:val="00CD1127"/>
    <w:rsid w:val="00CD12D9"/>
    <w:rsid w:val="00CD1C81"/>
    <w:rsid w:val="00CD2600"/>
    <w:rsid w:val="00CD29EE"/>
    <w:rsid w:val="00CD3E2D"/>
    <w:rsid w:val="00CD4BDF"/>
    <w:rsid w:val="00CD5140"/>
    <w:rsid w:val="00CE07F8"/>
    <w:rsid w:val="00CE0A20"/>
    <w:rsid w:val="00CE2243"/>
    <w:rsid w:val="00CE393E"/>
    <w:rsid w:val="00CE46F7"/>
    <w:rsid w:val="00CE5807"/>
    <w:rsid w:val="00CE7F9A"/>
    <w:rsid w:val="00CF16BF"/>
    <w:rsid w:val="00CF1D5A"/>
    <w:rsid w:val="00CF253A"/>
    <w:rsid w:val="00CF32E8"/>
    <w:rsid w:val="00CF3E71"/>
    <w:rsid w:val="00CF72F5"/>
    <w:rsid w:val="00D01145"/>
    <w:rsid w:val="00D020BA"/>
    <w:rsid w:val="00D0244B"/>
    <w:rsid w:val="00D03FF4"/>
    <w:rsid w:val="00D04582"/>
    <w:rsid w:val="00D04CE6"/>
    <w:rsid w:val="00D04D21"/>
    <w:rsid w:val="00D07018"/>
    <w:rsid w:val="00D07976"/>
    <w:rsid w:val="00D07D3E"/>
    <w:rsid w:val="00D109E3"/>
    <w:rsid w:val="00D14566"/>
    <w:rsid w:val="00D14A5A"/>
    <w:rsid w:val="00D169D5"/>
    <w:rsid w:val="00D17807"/>
    <w:rsid w:val="00D21FCD"/>
    <w:rsid w:val="00D22F27"/>
    <w:rsid w:val="00D23CE8"/>
    <w:rsid w:val="00D23FF1"/>
    <w:rsid w:val="00D24022"/>
    <w:rsid w:val="00D2515D"/>
    <w:rsid w:val="00D270D4"/>
    <w:rsid w:val="00D2722F"/>
    <w:rsid w:val="00D308B3"/>
    <w:rsid w:val="00D31604"/>
    <w:rsid w:val="00D32526"/>
    <w:rsid w:val="00D32CAA"/>
    <w:rsid w:val="00D352C5"/>
    <w:rsid w:val="00D3639F"/>
    <w:rsid w:val="00D36482"/>
    <w:rsid w:val="00D365C4"/>
    <w:rsid w:val="00D36CAB"/>
    <w:rsid w:val="00D45B5E"/>
    <w:rsid w:val="00D46321"/>
    <w:rsid w:val="00D46584"/>
    <w:rsid w:val="00D470A6"/>
    <w:rsid w:val="00D47E6C"/>
    <w:rsid w:val="00D513AE"/>
    <w:rsid w:val="00D525F1"/>
    <w:rsid w:val="00D52B15"/>
    <w:rsid w:val="00D52D4A"/>
    <w:rsid w:val="00D53CEA"/>
    <w:rsid w:val="00D55112"/>
    <w:rsid w:val="00D55B2D"/>
    <w:rsid w:val="00D60BC1"/>
    <w:rsid w:val="00D614C6"/>
    <w:rsid w:val="00D616E2"/>
    <w:rsid w:val="00D61C83"/>
    <w:rsid w:val="00D62B4D"/>
    <w:rsid w:val="00D62EAF"/>
    <w:rsid w:val="00D643FD"/>
    <w:rsid w:val="00D65DC4"/>
    <w:rsid w:val="00D66C3B"/>
    <w:rsid w:val="00D671F2"/>
    <w:rsid w:val="00D67F70"/>
    <w:rsid w:val="00D70E9E"/>
    <w:rsid w:val="00D71887"/>
    <w:rsid w:val="00D71B32"/>
    <w:rsid w:val="00D73923"/>
    <w:rsid w:val="00D73B5E"/>
    <w:rsid w:val="00D73EA3"/>
    <w:rsid w:val="00D74161"/>
    <w:rsid w:val="00D755B9"/>
    <w:rsid w:val="00D767DB"/>
    <w:rsid w:val="00D7738B"/>
    <w:rsid w:val="00D81592"/>
    <w:rsid w:val="00D824AE"/>
    <w:rsid w:val="00D838CF"/>
    <w:rsid w:val="00D913A9"/>
    <w:rsid w:val="00D91537"/>
    <w:rsid w:val="00D91F56"/>
    <w:rsid w:val="00D944B6"/>
    <w:rsid w:val="00D94C96"/>
    <w:rsid w:val="00D9547F"/>
    <w:rsid w:val="00D95F9F"/>
    <w:rsid w:val="00D9666E"/>
    <w:rsid w:val="00D975E5"/>
    <w:rsid w:val="00DA0257"/>
    <w:rsid w:val="00DA0808"/>
    <w:rsid w:val="00DA2A08"/>
    <w:rsid w:val="00DA2A3A"/>
    <w:rsid w:val="00DA2C76"/>
    <w:rsid w:val="00DA2F44"/>
    <w:rsid w:val="00DA32D8"/>
    <w:rsid w:val="00DA503A"/>
    <w:rsid w:val="00DA6334"/>
    <w:rsid w:val="00DA64D8"/>
    <w:rsid w:val="00DA6AC9"/>
    <w:rsid w:val="00DA739B"/>
    <w:rsid w:val="00DB00CA"/>
    <w:rsid w:val="00DB0A3A"/>
    <w:rsid w:val="00DB110C"/>
    <w:rsid w:val="00DB3DDC"/>
    <w:rsid w:val="00DC025C"/>
    <w:rsid w:val="00DC0312"/>
    <w:rsid w:val="00DC06B1"/>
    <w:rsid w:val="00DC1CDF"/>
    <w:rsid w:val="00DC3616"/>
    <w:rsid w:val="00DC4AEC"/>
    <w:rsid w:val="00DC6B2C"/>
    <w:rsid w:val="00DC73D8"/>
    <w:rsid w:val="00DD038F"/>
    <w:rsid w:val="00DD0BB4"/>
    <w:rsid w:val="00DD2857"/>
    <w:rsid w:val="00DD4F6A"/>
    <w:rsid w:val="00DD7598"/>
    <w:rsid w:val="00DD7A8F"/>
    <w:rsid w:val="00DE01ED"/>
    <w:rsid w:val="00DE12A0"/>
    <w:rsid w:val="00DE1BC4"/>
    <w:rsid w:val="00DE22BA"/>
    <w:rsid w:val="00DE25D8"/>
    <w:rsid w:val="00DE3196"/>
    <w:rsid w:val="00DE3A0A"/>
    <w:rsid w:val="00DE537C"/>
    <w:rsid w:val="00DE5C2A"/>
    <w:rsid w:val="00DE6236"/>
    <w:rsid w:val="00DE65C4"/>
    <w:rsid w:val="00DF0A46"/>
    <w:rsid w:val="00DF0BE7"/>
    <w:rsid w:val="00DF288B"/>
    <w:rsid w:val="00DF2AC2"/>
    <w:rsid w:val="00DF359B"/>
    <w:rsid w:val="00DF3723"/>
    <w:rsid w:val="00DF389A"/>
    <w:rsid w:val="00E00C7B"/>
    <w:rsid w:val="00E03261"/>
    <w:rsid w:val="00E03377"/>
    <w:rsid w:val="00E0369F"/>
    <w:rsid w:val="00E037FD"/>
    <w:rsid w:val="00E059A0"/>
    <w:rsid w:val="00E0747C"/>
    <w:rsid w:val="00E1076D"/>
    <w:rsid w:val="00E12631"/>
    <w:rsid w:val="00E132F3"/>
    <w:rsid w:val="00E13826"/>
    <w:rsid w:val="00E13ACE"/>
    <w:rsid w:val="00E14CD1"/>
    <w:rsid w:val="00E1578E"/>
    <w:rsid w:val="00E17075"/>
    <w:rsid w:val="00E17C9D"/>
    <w:rsid w:val="00E213E0"/>
    <w:rsid w:val="00E26724"/>
    <w:rsid w:val="00E275F9"/>
    <w:rsid w:val="00E30402"/>
    <w:rsid w:val="00E31112"/>
    <w:rsid w:val="00E31401"/>
    <w:rsid w:val="00E32C38"/>
    <w:rsid w:val="00E33444"/>
    <w:rsid w:val="00E34985"/>
    <w:rsid w:val="00E35A85"/>
    <w:rsid w:val="00E35DAF"/>
    <w:rsid w:val="00E371C6"/>
    <w:rsid w:val="00E40239"/>
    <w:rsid w:val="00E40D78"/>
    <w:rsid w:val="00E410DC"/>
    <w:rsid w:val="00E4111B"/>
    <w:rsid w:val="00E418C1"/>
    <w:rsid w:val="00E4277F"/>
    <w:rsid w:val="00E43442"/>
    <w:rsid w:val="00E43ADE"/>
    <w:rsid w:val="00E440BF"/>
    <w:rsid w:val="00E4556F"/>
    <w:rsid w:val="00E46D68"/>
    <w:rsid w:val="00E47DA8"/>
    <w:rsid w:val="00E500D2"/>
    <w:rsid w:val="00E51622"/>
    <w:rsid w:val="00E51CDB"/>
    <w:rsid w:val="00E54047"/>
    <w:rsid w:val="00E54530"/>
    <w:rsid w:val="00E55EE8"/>
    <w:rsid w:val="00E567E8"/>
    <w:rsid w:val="00E57CF8"/>
    <w:rsid w:val="00E6393C"/>
    <w:rsid w:val="00E63B10"/>
    <w:rsid w:val="00E63BE7"/>
    <w:rsid w:val="00E650E7"/>
    <w:rsid w:val="00E65411"/>
    <w:rsid w:val="00E65546"/>
    <w:rsid w:val="00E65B75"/>
    <w:rsid w:val="00E66106"/>
    <w:rsid w:val="00E6788B"/>
    <w:rsid w:val="00E67C5D"/>
    <w:rsid w:val="00E703F5"/>
    <w:rsid w:val="00E71336"/>
    <w:rsid w:val="00E725B2"/>
    <w:rsid w:val="00E73D55"/>
    <w:rsid w:val="00E74164"/>
    <w:rsid w:val="00E744C8"/>
    <w:rsid w:val="00E756E2"/>
    <w:rsid w:val="00E75EC5"/>
    <w:rsid w:val="00E77FAE"/>
    <w:rsid w:val="00E80685"/>
    <w:rsid w:val="00E80967"/>
    <w:rsid w:val="00E82DA0"/>
    <w:rsid w:val="00E82F34"/>
    <w:rsid w:val="00E838EC"/>
    <w:rsid w:val="00E84F12"/>
    <w:rsid w:val="00E85747"/>
    <w:rsid w:val="00E857BB"/>
    <w:rsid w:val="00E85F89"/>
    <w:rsid w:val="00E8627B"/>
    <w:rsid w:val="00E86C34"/>
    <w:rsid w:val="00E8704D"/>
    <w:rsid w:val="00E9066E"/>
    <w:rsid w:val="00E907B1"/>
    <w:rsid w:val="00E914CF"/>
    <w:rsid w:val="00E919CC"/>
    <w:rsid w:val="00E92100"/>
    <w:rsid w:val="00E9212C"/>
    <w:rsid w:val="00E9293D"/>
    <w:rsid w:val="00E92E8E"/>
    <w:rsid w:val="00E9319D"/>
    <w:rsid w:val="00E94432"/>
    <w:rsid w:val="00E94BFE"/>
    <w:rsid w:val="00E95E37"/>
    <w:rsid w:val="00EA135D"/>
    <w:rsid w:val="00EA1BDB"/>
    <w:rsid w:val="00EA2211"/>
    <w:rsid w:val="00EA2FAB"/>
    <w:rsid w:val="00EA3E89"/>
    <w:rsid w:val="00EA43A4"/>
    <w:rsid w:val="00EA4526"/>
    <w:rsid w:val="00EA4938"/>
    <w:rsid w:val="00EB3600"/>
    <w:rsid w:val="00EB4B11"/>
    <w:rsid w:val="00EB539C"/>
    <w:rsid w:val="00EB647F"/>
    <w:rsid w:val="00EB6DE3"/>
    <w:rsid w:val="00EB74F4"/>
    <w:rsid w:val="00EB76A6"/>
    <w:rsid w:val="00EC12A6"/>
    <w:rsid w:val="00EC2751"/>
    <w:rsid w:val="00EC2782"/>
    <w:rsid w:val="00EC2C23"/>
    <w:rsid w:val="00EC450F"/>
    <w:rsid w:val="00EC48A7"/>
    <w:rsid w:val="00EC5C9B"/>
    <w:rsid w:val="00EC7133"/>
    <w:rsid w:val="00EC77F2"/>
    <w:rsid w:val="00EC7E3D"/>
    <w:rsid w:val="00ED1713"/>
    <w:rsid w:val="00ED1ADB"/>
    <w:rsid w:val="00ED4299"/>
    <w:rsid w:val="00ED48B2"/>
    <w:rsid w:val="00ED4D21"/>
    <w:rsid w:val="00EE2E42"/>
    <w:rsid w:val="00EE4511"/>
    <w:rsid w:val="00EE5DE1"/>
    <w:rsid w:val="00EE720C"/>
    <w:rsid w:val="00EE76B9"/>
    <w:rsid w:val="00EF06AC"/>
    <w:rsid w:val="00EF11CF"/>
    <w:rsid w:val="00EF247F"/>
    <w:rsid w:val="00EF3421"/>
    <w:rsid w:val="00EF3493"/>
    <w:rsid w:val="00EF3F90"/>
    <w:rsid w:val="00EF4770"/>
    <w:rsid w:val="00EF4BA9"/>
    <w:rsid w:val="00EF7D0A"/>
    <w:rsid w:val="00F0256A"/>
    <w:rsid w:val="00F03967"/>
    <w:rsid w:val="00F03A48"/>
    <w:rsid w:val="00F03D57"/>
    <w:rsid w:val="00F0411A"/>
    <w:rsid w:val="00F046D3"/>
    <w:rsid w:val="00F04C77"/>
    <w:rsid w:val="00F05439"/>
    <w:rsid w:val="00F05A24"/>
    <w:rsid w:val="00F05CB3"/>
    <w:rsid w:val="00F07359"/>
    <w:rsid w:val="00F07B45"/>
    <w:rsid w:val="00F10919"/>
    <w:rsid w:val="00F11797"/>
    <w:rsid w:val="00F13473"/>
    <w:rsid w:val="00F144E8"/>
    <w:rsid w:val="00F150DC"/>
    <w:rsid w:val="00F16424"/>
    <w:rsid w:val="00F17040"/>
    <w:rsid w:val="00F20BF4"/>
    <w:rsid w:val="00F21BF1"/>
    <w:rsid w:val="00F23DA7"/>
    <w:rsid w:val="00F23F6F"/>
    <w:rsid w:val="00F242DA"/>
    <w:rsid w:val="00F24332"/>
    <w:rsid w:val="00F2581F"/>
    <w:rsid w:val="00F26DB0"/>
    <w:rsid w:val="00F30943"/>
    <w:rsid w:val="00F3215F"/>
    <w:rsid w:val="00F35C4E"/>
    <w:rsid w:val="00F35C66"/>
    <w:rsid w:val="00F3645B"/>
    <w:rsid w:val="00F375F5"/>
    <w:rsid w:val="00F375F7"/>
    <w:rsid w:val="00F40E41"/>
    <w:rsid w:val="00F417B7"/>
    <w:rsid w:val="00F417BF"/>
    <w:rsid w:val="00F419B0"/>
    <w:rsid w:val="00F4237F"/>
    <w:rsid w:val="00F42C4F"/>
    <w:rsid w:val="00F4404D"/>
    <w:rsid w:val="00F44AC9"/>
    <w:rsid w:val="00F46F35"/>
    <w:rsid w:val="00F47453"/>
    <w:rsid w:val="00F50554"/>
    <w:rsid w:val="00F509EA"/>
    <w:rsid w:val="00F51622"/>
    <w:rsid w:val="00F51AF3"/>
    <w:rsid w:val="00F539DA"/>
    <w:rsid w:val="00F53AFA"/>
    <w:rsid w:val="00F53CB1"/>
    <w:rsid w:val="00F601AB"/>
    <w:rsid w:val="00F60F31"/>
    <w:rsid w:val="00F61298"/>
    <w:rsid w:val="00F61B72"/>
    <w:rsid w:val="00F61CCA"/>
    <w:rsid w:val="00F64187"/>
    <w:rsid w:val="00F64454"/>
    <w:rsid w:val="00F64550"/>
    <w:rsid w:val="00F6509D"/>
    <w:rsid w:val="00F65A32"/>
    <w:rsid w:val="00F6720F"/>
    <w:rsid w:val="00F709D1"/>
    <w:rsid w:val="00F70D05"/>
    <w:rsid w:val="00F71E78"/>
    <w:rsid w:val="00F7224F"/>
    <w:rsid w:val="00F72B63"/>
    <w:rsid w:val="00F7331E"/>
    <w:rsid w:val="00F733EA"/>
    <w:rsid w:val="00F75C75"/>
    <w:rsid w:val="00F76A6E"/>
    <w:rsid w:val="00F7758A"/>
    <w:rsid w:val="00F77D39"/>
    <w:rsid w:val="00F8129A"/>
    <w:rsid w:val="00F81823"/>
    <w:rsid w:val="00F81C01"/>
    <w:rsid w:val="00F838E5"/>
    <w:rsid w:val="00F848B1"/>
    <w:rsid w:val="00F86284"/>
    <w:rsid w:val="00F86CDD"/>
    <w:rsid w:val="00F870AA"/>
    <w:rsid w:val="00F870BB"/>
    <w:rsid w:val="00F87374"/>
    <w:rsid w:val="00F913C2"/>
    <w:rsid w:val="00F91F6B"/>
    <w:rsid w:val="00F9335B"/>
    <w:rsid w:val="00F9464C"/>
    <w:rsid w:val="00F95A24"/>
    <w:rsid w:val="00F95C88"/>
    <w:rsid w:val="00F96F93"/>
    <w:rsid w:val="00F9703C"/>
    <w:rsid w:val="00F97854"/>
    <w:rsid w:val="00F97DEA"/>
    <w:rsid w:val="00FA0C9F"/>
    <w:rsid w:val="00FA1EEE"/>
    <w:rsid w:val="00FA2141"/>
    <w:rsid w:val="00FA33CC"/>
    <w:rsid w:val="00FA4E86"/>
    <w:rsid w:val="00FA6996"/>
    <w:rsid w:val="00FA7A91"/>
    <w:rsid w:val="00FB1355"/>
    <w:rsid w:val="00FB243E"/>
    <w:rsid w:val="00FB3187"/>
    <w:rsid w:val="00FB3A9B"/>
    <w:rsid w:val="00FB4260"/>
    <w:rsid w:val="00FB4BBD"/>
    <w:rsid w:val="00FB68E0"/>
    <w:rsid w:val="00FC01B1"/>
    <w:rsid w:val="00FC4D2D"/>
    <w:rsid w:val="00FC594D"/>
    <w:rsid w:val="00FC6863"/>
    <w:rsid w:val="00FC70A0"/>
    <w:rsid w:val="00FC7F71"/>
    <w:rsid w:val="00FD0DE8"/>
    <w:rsid w:val="00FD135C"/>
    <w:rsid w:val="00FD29F8"/>
    <w:rsid w:val="00FD3210"/>
    <w:rsid w:val="00FD4024"/>
    <w:rsid w:val="00FD5971"/>
    <w:rsid w:val="00FE0300"/>
    <w:rsid w:val="00FE2763"/>
    <w:rsid w:val="00FE2AE9"/>
    <w:rsid w:val="00FE30BE"/>
    <w:rsid w:val="00FE3161"/>
    <w:rsid w:val="00FE45C5"/>
    <w:rsid w:val="00FE5B73"/>
    <w:rsid w:val="00FE7C47"/>
    <w:rsid w:val="00FF06C4"/>
    <w:rsid w:val="00FF223B"/>
    <w:rsid w:val="00FF22D3"/>
    <w:rsid w:val="00FF28E2"/>
    <w:rsid w:val="00FF2CF7"/>
    <w:rsid w:val="00FF3E22"/>
    <w:rsid w:val="00FF40E0"/>
    <w:rsid w:val="00FF71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A58F"/>
  <w15:chartTrackingRefBased/>
  <w15:docId w15:val="{5CD3DAB7-D62A-4E39-83DA-D83BBE69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4AF"/>
    <w:pPr>
      <w:spacing w:line="360" w:lineRule="auto"/>
      <w:jc w:val="both"/>
    </w:pPr>
    <w:rPr>
      <w:sz w:val="28"/>
      <w:lang w:val="en-GB"/>
    </w:rPr>
  </w:style>
  <w:style w:type="paragraph" w:styleId="Heading1">
    <w:name w:val="heading 1"/>
    <w:basedOn w:val="Normal"/>
    <w:next w:val="Normal"/>
    <w:link w:val="Heading1Char"/>
    <w:uiPriority w:val="9"/>
    <w:qFormat/>
    <w:rsid w:val="006774AF"/>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677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27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AF"/>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774AF"/>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unhideWhenUsed/>
    <w:rsid w:val="006774AF"/>
    <w:rPr>
      <w:sz w:val="16"/>
      <w:szCs w:val="16"/>
    </w:rPr>
  </w:style>
  <w:style w:type="paragraph" w:styleId="CommentText">
    <w:name w:val="annotation text"/>
    <w:basedOn w:val="Normal"/>
    <w:link w:val="CommentTextChar"/>
    <w:uiPriority w:val="99"/>
    <w:semiHidden/>
    <w:unhideWhenUsed/>
    <w:rsid w:val="006774A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rsid w:val="006774AF"/>
    <w:rPr>
      <w:rFonts w:ascii="Times New Roman" w:eastAsia="Times New Roman" w:hAnsi="Times New Roman" w:cs="Times New Roman"/>
      <w:sz w:val="20"/>
      <w:szCs w:val="20"/>
      <w:lang w:eastAsia="ru-RU"/>
    </w:rPr>
  </w:style>
  <w:style w:type="character" w:customStyle="1" w:styleId="highlight">
    <w:name w:val="highlight"/>
    <w:basedOn w:val="DefaultParagraphFont"/>
    <w:rsid w:val="006774AF"/>
  </w:style>
  <w:style w:type="paragraph" w:styleId="BalloonText">
    <w:name w:val="Balloon Text"/>
    <w:basedOn w:val="Normal"/>
    <w:link w:val="BalloonTextChar"/>
    <w:uiPriority w:val="99"/>
    <w:semiHidden/>
    <w:unhideWhenUsed/>
    <w:rsid w:val="00677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AF"/>
    <w:rPr>
      <w:rFonts w:ascii="Segoe UI" w:hAnsi="Segoe UI" w:cs="Segoe UI"/>
      <w:sz w:val="18"/>
      <w:szCs w:val="18"/>
    </w:rPr>
  </w:style>
  <w:style w:type="paragraph" w:styleId="EndnoteText">
    <w:name w:val="endnote text"/>
    <w:basedOn w:val="Normal"/>
    <w:link w:val="EndnoteTextChar"/>
    <w:uiPriority w:val="99"/>
    <w:semiHidden/>
    <w:unhideWhenUsed/>
    <w:rsid w:val="006774AF"/>
    <w:pPr>
      <w:spacing w:after="0" w:line="240" w:lineRule="auto"/>
    </w:pPr>
    <w:rPr>
      <w:rFonts w:eastAsiaTheme="minorEastAsia"/>
      <w:sz w:val="20"/>
      <w:szCs w:val="20"/>
      <w:lang w:eastAsia="ru-RU"/>
    </w:rPr>
  </w:style>
  <w:style w:type="character" w:customStyle="1" w:styleId="EndnoteTextChar">
    <w:name w:val="Endnote Text Char"/>
    <w:basedOn w:val="DefaultParagraphFont"/>
    <w:link w:val="EndnoteText"/>
    <w:uiPriority w:val="99"/>
    <w:semiHidden/>
    <w:rsid w:val="006774AF"/>
    <w:rPr>
      <w:rFonts w:eastAsiaTheme="minorEastAsia"/>
      <w:sz w:val="20"/>
      <w:szCs w:val="20"/>
      <w:lang w:eastAsia="ru-RU"/>
    </w:rPr>
  </w:style>
  <w:style w:type="character" w:styleId="EndnoteReference">
    <w:name w:val="endnote reference"/>
    <w:basedOn w:val="DefaultParagraphFont"/>
    <w:uiPriority w:val="99"/>
    <w:semiHidden/>
    <w:unhideWhenUsed/>
    <w:rsid w:val="006774AF"/>
    <w:rPr>
      <w:vertAlign w:val="superscript"/>
    </w:rPr>
  </w:style>
  <w:style w:type="character" w:styleId="Hyperlink">
    <w:name w:val="Hyperlink"/>
    <w:basedOn w:val="DefaultParagraphFont"/>
    <w:uiPriority w:val="99"/>
    <w:unhideWhenUsed/>
    <w:rsid w:val="006774AF"/>
    <w:rPr>
      <w:color w:val="0000FF"/>
      <w:u w:val="single"/>
    </w:rPr>
  </w:style>
  <w:style w:type="table" w:styleId="TableGrid">
    <w:name w:val="Table Grid"/>
    <w:basedOn w:val="TableNormal"/>
    <w:uiPriority w:val="39"/>
    <w:rsid w:val="006774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774AF"/>
    <w:rPr>
      <w:b/>
      <w:bCs/>
    </w:rPr>
  </w:style>
  <w:style w:type="character" w:customStyle="1" w:styleId="gt-baf-cell">
    <w:name w:val="gt-baf-cell"/>
    <w:basedOn w:val="DefaultParagraphFont"/>
    <w:rsid w:val="006774AF"/>
  </w:style>
  <w:style w:type="paragraph" w:styleId="NormalWeb">
    <w:name w:val="Normal (Web)"/>
    <w:basedOn w:val="Normal"/>
    <w:uiPriority w:val="99"/>
    <w:unhideWhenUsed/>
    <w:rsid w:val="006774AF"/>
    <w:pPr>
      <w:spacing w:before="100" w:beforeAutospacing="1" w:after="0" w:line="240" w:lineRule="auto"/>
      <w:ind w:firstLine="709"/>
    </w:pPr>
    <w:rPr>
      <w:rFonts w:ascii="Arial" w:eastAsia="Times New Roman" w:hAnsi="Arial" w:cs="Times New Roman"/>
      <w:sz w:val="22"/>
      <w:szCs w:val="24"/>
      <w:lang w:val="en-US" w:bidi="lo-LA"/>
    </w:rPr>
  </w:style>
  <w:style w:type="paragraph" w:styleId="ListParagraph">
    <w:name w:val="List Paragraph"/>
    <w:basedOn w:val="Normal"/>
    <w:uiPriority w:val="34"/>
    <w:qFormat/>
    <w:rsid w:val="006774AF"/>
    <w:pPr>
      <w:spacing w:after="200" w:line="276" w:lineRule="auto"/>
      <w:ind w:left="720" w:firstLine="709"/>
      <w:jc w:val="left"/>
    </w:pPr>
    <w:rPr>
      <w:rFonts w:ascii="Calibri" w:eastAsia="Times New Roman" w:hAnsi="Calibri" w:cs="Calibri"/>
      <w:sz w:val="22"/>
    </w:rPr>
  </w:style>
  <w:style w:type="character" w:customStyle="1" w:styleId="tlid-translation">
    <w:name w:val="tlid-translation"/>
    <w:basedOn w:val="DefaultParagraphFont"/>
    <w:rsid w:val="006774AF"/>
  </w:style>
  <w:style w:type="character" w:customStyle="1" w:styleId="gt-baf-back">
    <w:name w:val="gt-baf-back"/>
    <w:basedOn w:val="DefaultParagraphFont"/>
    <w:rsid w:val="00CD1C81"/>
  </w:style>
  <w:style w:type="paragraph" w:customStyle="1" w:styleId="nova-e-listitem">
    <w:name w:val="nova-e-list__item"/>
    <w:basedOn w:val="Normal"/>
    <w:rsid w:val="00365D2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E4277F"/>
    <w:rPr>
      <w:color w:val="605E5C"/>
      <w:shd w:val="clear" w:color="auto" w:fill="E1DFDD"/>
    </w:rPr>
  </w:style>
  <w:style w:type="character" w:customStyle="1" w:styleId="Heading3Char">
    <w:name w:val="Heading 3 Char"/>
    <w:basedOn w:val="DefaultParagraphFont"/>
    <w:link w:val="Heading3"/>
    <w:uiPriority w:val="9"/>
    <w:semiHidden/>
    <w:rsid w:val="00E4277F"/>
    <w:rPr>
      <w:rFonts w:asciiTheme="majorHAnsi" w:eastAsiaTheme="majorEastAsia" w:hAnsiTheme="majorHAnsi" w:cstheme="majorBidi"/>
      <w:color w:val="1F3763" w:themeColor="accent1" w:themeShade="7F"/>
      <w:sz w:val="24"/>
      <w:szCs w:val="24"/>
    </w:rPr>
  </w:style>
  <w:style w:type="paragraph" w:customStyle="1" w:styleId="large-font">
    <w:name w:val="large-font"/>
    <w:basedOn w:val="Normal"/>
    <w:rsid w:val="00E4277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NoSpacing">
    <w:name w:val="No Spacing"/>
    <w:uiPriority w:val="1"/>
    <w:qFormat/>
    <w:rsid w:val="00AB3471"/>
    <w:pPr>
      <w:spacing w:after="0" w:line="240" w:lineRule="auto"/>
      <w:jc w:val="both"/>
    </w:pPr>
    <w:rPr>
      <w:sz w:val="28"/>
    </w:rPr>
  </w:style>
  <w:style w:type="paragraph" w:styleId="Header">
    <w:name w:val="header"/>
    <w:basedOn w:val="Normal"/>
    <w:link w:val="HeaderChar"/>
    <w:uiPriority w:val="99"/>
    <w:unhideWhenUsed/>
    <w:rsid w:val="0097157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1575"/>
    <w:rPr>
      <w:sz w:val="28"/>
    </w:rPr>
  </w:style>
  <w:style w:type="paragraph" w:styleId="Footer">
    <w:name w:val="footer"/>
    <w:basedOn w:val="Normal"/>
    <w:link w:val="FooterChar"/>
    <w:uiPriority w:val="99"/>
    <w:unhideWhenUsed/>
    <w:rsid w:val="0097157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1575"/>
    <w:rPr>
      <w:sz w:val="28"/>
    </w:rPr>
  </w:style>
  <w:style w:type="table" w:customStyle="1" w:styleId="TableGrid1">
    <w:name w:val="Table Grid1"/>
    <w:basedOn w:val="TableNormal"/>
    <w:next w:val="TableGrid"/>
    <w:uiPriority w:val="59"/>
    <w:rsid w:val="0024018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3B10"/>
    <w:rPr>
      <w:color w:val="954F72" w:themeColor="followedHyperlink"/>
      <w:u w:val="single"/>
    </w:rPr>
  </w:style>
  <w:style w:type="character" w:customStyle="1" w:styleId="cs1-format">
    <w:name w:val="cs1-format"/>
    <w:basedOn w:val="DefaultParagraphFont"/>
    <w:rsid w:val="00860651"/>
  </w:style>
  <w:style w:type="paragraph" w:styleId="CommentSubject">
    <w:name w:val="annotation subject"/>
    <w:basedOn w:val="CommentText"/>
    <w:next w:val="CommentText"/>
    <w:link w:val="CommentSubjectChar"/>
    <w:uiPriority w:val="99"/>
    <w:semiHidden/>
    <w:unhideWhenUsed/>
    <w:rsid w:val="00E55EE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5EE8"/>
    <w:rPr>
      <w:rFonts w:ascii="Times New Roman" w:eastAsia="Times New Roman" w:hAnsi="Times New Roman" w:cs="Times New Roman"/>
      <w:b/>
      <w:bCs/>
      <w:sz w:val="20"/>
      <w:szCs w:val="20"/>
      <w:lang w:eastAsia="ru-RU"/>
    </w:rPr>
  </w:style>
  <w:style w:type="character" w:customStyle="1" w:styleId="UnresolvedMention2">
    <w:name w:val="Unresolved Mention2"/>
    <w:basedOn w:val="DefaultParagraphFont"/>
    <w:uiPriority w:val="99"/>
    <w:semiHidden/>
    <w:unhideWhenUsed/>
    <w:rsid w:val="00C528DA"/>
    <w:rPr>
      <w:color w:val="605E5C"/>
      <w:shd w:val="clear" w:color="auto" w:fill="E1DFDD"/>
    </w:rPr>
  </w:style>
  <w:style w:type="table" w:customStyle="1" w:styleId="TableGrid2">
    <w:name w:val="Table Grid2"/>
    <w:basedOn w:val="TableNormal"/>
    <w:next w:val="TableGrid"/>
    <w:uiPriority w:val="39"/>
    <w:rsid w:val="008A7580"/>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D112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53CB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6A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662F0"/>
    <w:rPr>
      <w:color w:val="605E5C"/>
      <w:shd w:val="clear" w:color="auto" w:fill="E1DFDD"/>
    </w:rPr>
  </w:style>
  <w:style w:type="table" w:customStyle="1" w:styleId="TableGrid12">
    <w:name w:val="Table Grid12"/>
    <w:basedOn w:val="TableNormal"/>
    <w:next w:val="TableGrid"/>
    <w:uiPriority w:val="39"/>
    <w:rsid w:val="001F20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857BB"/>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F7D0A"/>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44FC"/>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697E"/>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FA7A91"/>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39361">
      <w:bodyDiv w:val="1"/>
      <w:marLeft w:val="0"/>
      <w:marRight w:val="0"/>
      <w:marTop w:val="0"/>
      <w:marBottom w:val="0"/>
      <w:divBdr>
        <w:top w:val="none" w:sz="0" w:space="0" w:color="auto"/>
        <w:left w:val="none" w:sz="0" w:space="0" w:color="auto"/>
        <w:bottom w:val="none" w:sz="0" w:space="0" w:color="auto"/>
        <w:right w:val="none" w:sz="0" w:space="0" w:color="auto"/>
      </w:divBdr>
    </w:div>
    <w:div w:id="353002181">
      <w:bodyDiv w:val="1"/>
      <w:marLeft w:val="0"/>
      <w:marRight w:val="0"/>
      <w:marTop w:val="0"/>
      <w:marBottom w:val="0"/>
      <w:divBdr>
        <w:top w:val="none" w:sz="0" w:space="0" w:color="auto"/>
        <w:left w:val="none" w:sz="0" w:space="0" w:color="auto"/>
        <w:bottom w:val="none" w:sz="0" w:space="0" w:color="auto"/>
        <w:right w:val="none" w:sz="0" w:space="0" w:color="auto"/>
      </w:divBdr>
      <w:divsChild>
        <w:div w:id="1753697977">
          <w:marLeft w:val="0"/>
          <w:marRight w:val="0"/>
          <w:marTop w:val="0"/>
          <w:marBottom w:val="150"/>
          <w:divBdr>
            <w:top w:val="none" w:sz="0" w:space="0" w:color="auto"/>
            <w:left w:val="none" w:sz="0" w:space="0" w:color="auto"/>
            <w:bottom w:val="none" w:sz="0" w:space="0" w:color="auto"/>
            <w:right w:val="none" w:sz="0" w:space="0" w:color="auto"/>
          </w:divBdr>
        </w:div>
        <w:div w:id="1504739197">
          <w:marLeft w:val="0"/>
          <w:marRight w:val="0"/>
          <w:marTop w:val="0"/>
          <w:marBottom w:val="225"/>
          <w:divBdr>
            <w:top w:val="none" w:sz="0" w:space="0" w:color="auto"/>
            <w:left w:val="none" w:sz="0" w:space="0" w:color="auto"/>
            <w:bottom w:val="none" w:sz="0" w:space="0" w:color="auto"/>
            <w:right w:val="none" w:sz="0" w:space="0" w:color="auto"/>
          </w:divBdr>
          <w:divsChild>
            <w:div w:id="957952593">
              <w:marLeft w:val="0"/>
              <w:marRight w:val="0"/>
              <w:marTop w:val="0"/>
              <w:marBottom w:val="0"/>
              <w:divBdr>
                <w:top w:val="none" w:sz="0" w:space="0" w:color="auto"/>
                <w:left w:val="none" w:sz="0" w:space="0" w:color="auto"/>
                <w:bottom w:val="none" w:sz="0" w:space="0" w:color="auto"/>
                <w:right w:val="none" w:sz="0" w:space="0" w:color="auto"/>
              </w:divBdr>
              <w:divsChild>
                <w:div w:id="1710911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06352246">
      <w:bodyDiv w:val="1"/>
      <w:marLeft w:val="0"/>
      <w:marRight w:val="0"/>
      <w:marTop w:val="0"/>
      <w:marBottom w:val="0"/>
      <w:divBdr>
        <w:top w:val="none" w:sz="0" w:space="0" w:color="auto"/>
        <w:left w:val="none" w:sz="0" w:space="0" w:color="auto"/>
        <w:bottom w:val="none" w:sz="0" w:space="0" w:color="auto"/>
        <w:right w:val="none" w:sz="0" w:space="0" w:color="auto"/>
      </w:divBdr>
    </w:div>
    <w:div w:id="658458247">
      <w:bodyDiv w:val="1"/>
      <w:marLeft w:val="0"/>
      <w:marRight w:val="0"/>
      <w:marTop w:val="0"/>
      <w:marBottom w:val="0"/>
      <w:divBdr>
        <w:top w:val="none" w:sz="0" w:space="0" w:color="auto"/>
        <w:left w:val="none" w:sz="0" w:space="0" w:color="auto"/>
        <w:bottom w:val="none" w:sz="0" w:space="0" w:color="auto"/>
        <w:right w:val="none" w:sz="0" w:space="0" w:color="auto"/>
      </w:divBdr>
    </w:div>
    <w:div w:id="1070613493">
      <w:bodyDiv w:val="1"/>
      <w:marLeft w:val="0"/>
      <w:marRight w:val="0"/>
      <w:marTop w:val="0"/>
      <w:marBottom w:val="0"/>
      <w:divBdr>
        <w:top w:val="none" w:sz="0" w:space="0" w:color="auto"/>
        <w:left w:val="none" w:sz="0" w:space="0" w:color="auto"/>
        <w:bottom w:val="none" w:sz="0" w:space="0" w:color="auto"/>
        <w:right w:val="none" w:sz="0" w:space="0" w:color="auto"/>
      </w:divBdr>
    </w:div>
    <w:div w:id="1075906149">
      <w:bodyDiv w:val="1"/>
      <w:marLeft w:val="0"/>
      <w:marRight w:val="0"/>
      <w:marTop w:val="0"/>
      <w:marBottom w:val="0"/>
      <w:divBdr>
        <w:top w:val="none" w:sz="0" w:space="0" w:color="auto"/>
        <w:left w:val="none" w:sz="0" w:space="0" w:color="auto"/>
        <w:bottom w:val="none" w:sz="0" w:space="0" w:color="auto"/>
        <w:right w:val="none" w:sz="0" w:space="0" w:color="auto"/>
      </w:divBdr>
    </w:div>
    <w:div w:id="1094518547">
      <w:bodyDiv w:val="1"/>
      <w:marLeft w:val="0"/>
      <w:marRight w:val="0"/>
      <w:marTop w:val="0"/>
      <w:marBottom w:val="0"/>
      <w:divBdr>
        <w:top w:val="none" w:sz="0" w:space="0" w:color="auto"/>
        <w:left w:val="none" w:sz="0" w:space="0" w:color="auto"/>
        <w:bottom w:val="none" w:sz="0" w:space="0" w:color="auto"/>
        <w:right w:val="none" w:sz="0" w:space="0" w:color="auto"/>
      </w:divBdr>
      <w:divsChild>
        <w:div w:id="1806466435">
          <w:marLeft w:val="0"/>
          <w:marRight w:val="0"/>
          <w:marTop w:val="90"/>
          <w:marBottom w:val="90"/>
          <w:divBdr>
            <w:top w:val="none" w:sz="0" w:space="0" w:color="auto"/>
            <w:left w:val="none" w:sz="0" w:space="0" w:color="auto"/>
            <w:bottom w:val="none" w:sz="0" w:space="0" w:color="auto"/>
            <w:right w:val="none" w:sz="0" w:space="0" w:color="auto"/>
          </w:divBdr>
        </w:div>
      </w:divsChild>
    </w:div>
    <w:div w:id="1363899081">
      <w:bodyDiv w:val="1"/>
      <w:marLeft w:val="0"/>
      <w:marRight w:val="0"/>
      <w:marTop w:val="0"/>
      <w:marBottom w:val="0"/>
      <w:divBdr>
        <w:top w:val="none" w:sz="0" w:space="0" w:color="auto"/>
        <w:left w:val="none" w:sz="0" w:space="0" w:color="auto"/>
        <w:bottom w:val="none" w:sz="0" w:space="0" w:color="auto"/>
        <w:right w:val="none" w:sz="0" w:space="0" w:color="auto"/>
      </w:divBdr>
    </w:div>
    <w:div w:id="1378360501">
      <w:bodyDiv w:val="1"/>
      <w:marLeft w:val="0"/>
      <w:marRight w:val="0"/>
      <w:marTop w:val="0"/>
      <w:marBottom w:val="0"/>
      <w:divBdr>
        <w:top w:val="none" w:sz="0" w:space="0" w:color="auto"/>
        <w:left w:val="none" w:sz="0" w:space="0" w:color="auto"/>
        <w:bottom w:val="none" w:sz="0" w:space="0" w:color="auto"/>
        <w:right w:val="none" w:sz="0" w:space="0" w:color="auto"/>
      </w:divBdr>
    </w:div>
    <w:div w:id="1383166424">
      <w:bodyDiv w:val="1"/>
      <w:marLeft w:val="0"/>
      <w:marRight w:val="0"/>
      <w:marTop w:val="0"/>
      <w:marBottom w:val="0"/>
      <w:divBdr>
        <w:top w:val="none" w:sz="0" w:space="0" w:color="auto"/>
        <w:left w:val="none" w:sz="0" w:space="0" w:color="auto"/>
        <w:bottom w:val="none" w:sz="0" w:space="0" w:color="auto"/>
        <w:right w:val="none" w:sz="0" w:space="0" w:color="auto"/>
      </w:divBdr>
    </w:div>
    <w:div w:id="1510952025">
      <w:bodyDiv w:val="1"/>
      <w:marLeft w:val="0"/>
      <w:marRight w:val="0"/>
      <w:marTop w:val="0"/>
      <w:marBottom w:val="0"/>
      <w:divBdr>
        <w:top w:val="none" w:sz="0" w:space="0" w:color="auto"/>
        <w:left w:val="none" w:sz="0" w:space="0" w:color="auto"/>
        <w:bottom w:val="none" w:sz="0" w:space="0" w:color="auto"/>
        <w:right w:val="none" w:sz="0" w:space="0" w:color="auto"/>
      </w:divBdr>
    </w:div>
    <w:div w:id="1536310033">
      <w:bodyDiv w:val="1"/>
      <w:marLeft w:val="0"/>
      <w:marRight w:val="0"/>
      <w:marTop w:val="0"/>
      <w:marBottom w:val="0"/>
      <w:divBdr>
        <w:top w:val="none" w:sz="0" w:space="0" w:color="auto"/>
        <w:left w:val="none" w:sz="0" w:space="0" w:color="auto"/>
        <w:bottom w:val="none" w:sz="0" w:space="0" w:color="auto"/>
        <w:right w:val="none" w:sz="0" w:space="0" w:color="auto"/>
      </w:divBdr>
    </w:div>
    <w:div w:id="1808891722">
      <w:bodyDiv w:val="1"/>
      <w:marLeft w:val="0"/>
      <w:marRight w:val="0"/>
      <w:marTop w:val="0"/>
      <w:marBottom w:val="0"/>
      <w:divBdr>
        <w:top w:val="none" w:sz="0" w:space="0" w:color="auto"/>
        <w:left w:val="none" w:sz="0" w:space="0" w:color="auto"/>
        <w:bottom w:val="none" w:sz="0" w:space="0" w:color="auto"/>
        <w:right w:val="none" w:sz="0" w:space="0" w:color="auto"/>
      </w:divBdr>
    </w:div>
    <w:div w:id="18798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omary@moh.gov.sa" TargetMode="Externa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pulation.un.org/wpp/Download/Standard/Popu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j.pontefract@sheffield.ac.uk"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8000-7BC9-49F3-8D81-0CDC264D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5410</Words>
  <Characters>30841</Characters>
  <Application>Microsoft Office Word</Application>
  <DocSecurity>4</DocSecurity>
  <Lines>257</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Karen Drake</cp:lastModifiedBy>
  <cp:revision>2</cp:revision>
  <dcterms:created xsi:type="dcterms:W3CDTF">2022-04-07T11:48:00Z</dcterms:created>
  <dcterms:modified xsi:type="dcterms:W3CDTF">2022-04-07T11:48:00Z</dcterms:modified>
</cp:coreProperties>
</file>