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9595" w14:textId="77777777" w:rsidR="00950D1E" w:rsidRPr="00DF38C8" w:rsidRDefault="002A455B" w:rsidP="0058677A">
      <w:pPr>
        <w:jc w:val="both"/>
        <w:rPr>
          <w:b/>
          <w:bCs/>
          <w:sz w:val="36"/>
          <w:szCs w:val="36"/>
          <w:lang w:val="en-US"/>
        </w:rPr>
      </w:pPr>
      <w:bookmarkStart w:id="0" w:name="_Hlk84340861"/>
      <w:r w:rsidRPr="00DF38C8">
        <w:rPr>
          <w:b/>
          <w:bCs/>
          <w:sz w:val="36"/>
          <w:szCs w:val="36"/>
          <w:lang w:val="en-US"/>
        </w:rPr>
        <w:t>Framing Pape</w:t>
      </w:r>
      <w:r w:rsidR="00950D1E" w:rsidRPr="00DF38C8">
        <w:rPr>
          <w:b/>
          <w:bCs/>
          <w:sz w:val="36"/>
          <w:szCs w:val="36"/>
          <w:lang w:val="en-US"/>
        </w:rPr>
        <w:t>r</w:t>
      </w:r>
    </w:p>
    <w:p w14:paraId="0CEF65C5" w14:textId="4064BE8B" w:rsidR="00035B4E" w:rsidRPr="00DF38C8" w:rsidRDefault="00035B4E" w:rsidP="0058677A">
      <w:pPr>
        <w:jc w:val="both"/>
        <w:rPr>
          <w:b/>
          <w:bCs/>
          <w:sz w:val="36"/>
          <w:szCs w:val="36"/>
          <w:lang w:val="en-US"/>
        </w:rPr>
      </w:pPr>
      <w:r w:rsidRPr="00DF38C8">
        <w:rPr>
          <w:b/>
          <w:bCs/>
          <w:sz w:val="36"/>
          <w:szCs w:val="36"/>
          <w:lang w:val="en-US"/>
        </w:rPr>
        <w:t xml:space="preserve">Mainstreaming human rights in participatory urban regeneration involving sustainable communities in Ireland </w:t>
      </w:r>
    </w:p>
    <w:p w14:paraId="13CABB1B" w14:textId="73EEC005" w:rsidR="001D3D0A" w:rsidRPr="00DF38C8" w:rsidRDefault="00005BF7" w:rsidP="0058677A">
      <w:pPr>
        <w:jc w:val="both"/>
        <w:rPr>
          <w:b/>
          <w:bCs/>
          <w:sz w:val="24"/>
          <w:szCs w:val="24"/>
          <w:lang w:val="en-US"/>
        </w:rPr>
      </w:pPr>
      <w:r>
        <w:rPr>
          <w:b/>
          <w:bCs/>
          <w:sz w:val="24"/>
          <w:szCs w:val="24"/>
          <w:lang w:val="en-US"/>
        </w:rPr>
        <w:t>14</w:t>
      </w:r>
      <w:r w:rsidRPr="00DF38C8">
        <w:rPr>
          <w:b/>
          <w:bCs/>
          <w:sz w:val="24"/>
          <w:szCs w:val="24"/>
          <w:lang w:val="en-US"/>
        </w:rPr>
        <w:t xml:space="preserve"> </w:t>
      </w:r>
      <w:r w:rsidR="00843FB6" w:rsidRPr="00DF38C8">
        <w:rPr>
          <w:b/>
          <w:bCs/>
          <w:sz w:val="24"/>
          <w:szCs w:val="24"/>
          <w:lang w:val="en-US"/>
        </w:rPr>
        <w:t>January 2022</w:t>
      </w:r>
    </w:p>
    <w:p w14:paraId="58043412" w14:textId="5EB76681" w:rsidR="002A455B" w:rsidRPr="00DF38C8" w:rsidRDefault="002A455B" w:rsidP="0058677A">
      <w:pPr>
        <w:jc w:val="both"/>
        <w:rPr>
          <w:b/>
          <w:bCs/>
          <w:sz w:val="24"/>
          <w:szCs w:val="24"/>
          <w:lang w:val="en-US"/>
        </w:rPr>
      </w:pPr>
      <w:r w:rsidRPr="00DF38C8">
        <w:rPr>
          <w:b/>
          <w:bCs/>
          <w:sz w:val="24"/>
          <w:szCs w:val="24"/>
          <w:lang w:val="en-US"/>
        </w:rPr>
        <w:t>Dr Mark Jordan</w:t>
      </w:r>
    </w:p>
    <w:p w14:paraId="70797624" w14:textId="7EB643F4" w:rsidR="003D1E42" w:rsidRPr="00DF38C8" w:rsidRDefault="003D1E42" w:rsidP="0058677A">
      <w:pPr>
        <w:jc w:val="both"/>
        <w:rPr>
          <w:b/>
          <w:bCs/>
          <w:sz w:val="24"/>
          <w:szCs w:val="24"/>
          <w:lang w:val="en-US"/>
        </w:rPr>
      </w:pPr>
    </w:p>
    <w:p w14:paraId="3159D1AA" w14:textId="77777777" w:rsidR="003D1E42" w:rsidRPr="00DF38C8" w:rsidRDefault="003D1E42" w:rsidP="0058677A">
      <w:pPr>
        <w:jc w:val="both"/>
        <w:rPr>
          <w:b/>
          <w:bCs/>
          <w:sz w:val="24"/>
          <w:szCs w:val="24"/>
          <w:lang w:val="en-US"/>
        </w:rPr>
      </w:pPr>
    </w:p>
    <w:p w14:paraId="425D35AC" w14:textId="0CE0DA0F" w:rsidR="002A455B" w:rsidRPr="00DF38C8" w:rsidRDefault="002A455B" w:rsidP="0058677A">
      <w:pPr>
        <w:jc w:val="both"/>
        <w:rPr>
          <w:b/>
          <w:bCs/>
          <w:sz w:val="24"/>
          <w:szCs w:val="24"/>
          <w:lang w:val="en-US"/>
        </w:rPr>
      </w:pPr>
    </w:p>
    <w:tbl>
      <w:tblPr>
        <w:tblStyle w:val="TableGrid"/>
        <w:tblpPr w:leftFromText="180" w:rightFromText="180" w:vertAnchor="text" w:horzAnchor="margin" w:tblpY="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A455B" w:rsidRPr="00DF38C8" w14:paraId="67B35987" w14:textId="77777777" w:rsidTr="00621B92">
        <w:tc>
          <w:tcPr>
            <w:tcW w:w="4508" w:type="dxa"/>
          </w:tcPr>
          <w:p w14:paraId="4544C4B1" w14:textId="77777777" w:rsidR="002A455B" w:rsidRPr="00DF38C8" w:rsidRDefault="002A455B" w:rsidP="00621B92">
            <w:pPr>
              <w:rPr>
                <w:rFonts w:cstheme="minorHAnsi"/>
                <w:sz w:val="24"/>
                <w:szCs w:val="24"/>
              </w:rPr>
            </w:pPr>
            <w:r w:rsidRPr="00DF38C8">
              <w:rPr>
                <w:b/>
                <w:bCs/>
                <w:noProof/>
                <w:sz w:val="24"/>
                <w:szCs w:val="24"/>
                <w:lang w:val="en-US"/>
              </w:rPr>
              <w:drawing>
                <wp:inline distT="0" distB="0" distL="0" distR="0" wp14:anchorId="667E7B57" wp14:editId="2BB883D6">
                  <wp:extent cx="1524000" cy="1615818"/>
                  <wp:effectExtent l="0" t="0" r="0" b="381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2490" cy="1646024"/>
                          </a:xfrm>
                          <a:prstGeom prst="rect">
                            <a:avLst/>
                          </a:prstGeom>
                        </pic:spPr>
                      </pic:pic>
                    </a:graphicData>
                  </a:graphic>
                </wp:inline>
              </w:drawing>
            </w:r>
          </w:p>
          <w:p w14:paraId="63C0174E" w14:textId="43523EEC" w:rsidR="002D7811" w:rsidRPr="00DF38C8" w:rsidRDefault="002D7811" w:rsidP="00621B92">
            <w:pPr>
              <w:rPr>
                <w:rFonts w:cstheme="minorHAnsi"/>
                <w:sz w:val="24"/>
                <w:szCs w:val="24"/>
              </w:rPr>
            </w:pPr>
          </w:p>
        </w:tc>
        <w:tc>
          <w:tcPr>
            <w:tcW w:w="4508" w:type="dxa"/>
          </w:tcPr>
          <w:p w14:paraId="5B4B02B2" w14:textId="77777777" w:rsidR="002A455B" w:rsidRPr="00DF38C8" w:rsidRDefault="002A455B" w:rsidP="00621B92">
            <w:pPr>
              <w:rPr>
                <w:rFonts w:cstheme="minorHAnsi"/>
                <w:sz w:val="24"/>
                <w:szCs w:val="24"/>
              </w:rPr>
            </w:pPr>
            <w:r w:rsidRPr="00DF38C8">
              <w:rPr>
                <w:b/>
                <w:bCs/>
                <w:noProof/>
                <w:sz w:val="24"/>
                <w:szCs w:val="24"/>
                <w:lang w:val="en-US"/>
              </w:rPr>
              <w:drawing>
                <wp:inline distT="0" distB="0" distL="0" distR="0" wp14:anchorId="6AF5E9D7" wp14:editId="22D62825">
                  <wp:extent cx="2018207" cy="1343025"/>
                  <wp:effectExtent l="0" t="0" r="127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022775" cy="1346065"/>
                          </a:xfrm>
                          <a:prstGeom prst="rect">
                            <a:avLst/>
                          </a:prstGeom>
                        </pic:spPr>
                      </pic:pic>
                    </a:graphicData>
                  </a:graphic>
                </wp:inline>
              </w:drawing>
            </w:r>
          </w:p>
        </w:tc>
      </w:tr>
      <w:tr w:rsidR="002D7811" w:rsidRPr="00DF38C8" w14:paraId="2D41D445" w14:textId="77777777" w:rsidTr="00621B92">
        <w:tc>
          <w:tcPr>
            <w:tcW w:w="4508" w:type="dxa"/>
          </w:tcPr>
          <w:p w14:paraId="0F4924C4" w14:textId="77777777" w:rsidR="002D7811" w:rsidRPr="00DF38C8" w:rsidRDefault="002D7811" w:rsidP="00621B92">
            <w:pPr>
              <w:rPr>
                <w:b/>
                <w:bCs/>
                <w:noProof/>
                <w:sz w:val="24"/>
                <w:szCs w:val="24"/>
                <w:lang w:val="en-US"/>
              </w:rPr>
            </w:pPr>
            <w:r w:rsidRPr="00DF38C8">
              <w:rPr>
                <w:b/>
                <w:bCs/>
                <w:noProof/>
                <w:sz w:val="24"/>
                <w:szCs w:val="24"/>
                <w:lang w:val="en-US"/>
              </w:rPr>
              <w:drawing>
                <wp:inline distT="0" distB="0" distL="0" distR="0" wp14:anchorId="06CA5106" wp14:editId="1A931651">
                  <wp:extent cx="2613232" cy="8001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620304" cy="802265"/>
                          </a:xfrm>
                          <a:prstGeom prst="rect">
                            <a:avLst/>
                          </a:prstGeom>
                        </pic:spPr>
                      </pic:pic>
                    </a:graphicData>
                  </a:graphic>
                </wp:inline>
              </w:drawing>
            </w:r>
          </w:p>
          <w:p w14:paraId="17A34A47" w14:textId="77777777" w:rsidR="002D7811" w:rsidRPr="00DF38C8" w:rsidRDefault="002D7811" w:rsidP="00621B92">
            <w:pPr>
              <w:rPr>
                <w:b/>
                <w:bCs/>
                <w:noProof/>
                <w:sz w:val="24"/>
                <w:szCs w:val="24"/>
                <w:lang w:val="en-US"/>
              </w:rPr>
            </w:pPr>
          </w:p>
          <w:p w14:paraId="3DCE4CAB" w14:textId="77777777" w:rsidR="002D7811" w:rsidRPr="00DF38C8" w:rsidRDefault="002D7811" w:rsidP="00621B92">
            <w:pPr>
              <w:rPr>
                <w:b/>
                <w:bCs/>
                <w:noProof/>
                <w:sz w:val="24"/>
                <w:szCs w:val="24"/>
                <w:lang w:val="en-US"/>
              </w:rPr>
            </w:pPr>
          </w:p>
          <w:p w14:paraId="239D2A9D" w14:textId="0B257670" w:rsidR="002D7811" w:rsidRPr="00DF38C8" w:rsidRDefault="00005BF7" w:rsidP="00621B92">
            <w:pPr>
              <w:rPr>
                <w:b/>
                <w:bCs/>
                <w:noProof/>
                <w:sz w:val="24"/>
                <w:szCs w:val="24"/>
                <w:lang w:val="en-US"/>
              </w:rPr>
            </w:pPr>
            <w:r>
              <w:rPr>
                <w:b/>
                <w:bCs/>
                <w:noProof/>
                <w:sz w:val="24"/>
                <w:szCs w:val="24"/>
                <w:lang w:val="en-US"/>
              </w:rPr>
              <w:drawing>
                <wp:inline distT="0" distB="0" distL="0" distR="0" wp14:anchorId="429AA6CD" wp14:editId="6D98D97F">
                  <wp:extent cx="2198902" cy="104357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1168" cy="1077869"/>
                          </a:xfrm>
                          <a:prstGeom prst="rect">
                            <a:avLst/>
                          </a:prstGeom>
                        </pic:spPr>
                      </pic:pic>
                    </a:graphicData>
                  </a:graphic>
                </wp:inline>
              </w:drawing>
            </w:r>
          </w:p>
        </w:tc>
        <w:tc>
          <w:tcPr>
            <w:tcW w:w="4508" w:type="dxa"/>
          </w:tcPr>
          <w:p w14:paraId="5F7882E1" w14:textId="00DECF3F" w:rsidR="002D7811" w:rsidRPr="00DF38C8" w:rsidRDefault="002D7811" w:rsidP="00621B92">
            <w:pPr>
              <w:rPr>
                <w:b/>
                <w:bCs/>
                <w:noProof/>
                <w:sz w:val="24"/>
                <w:szCs w:val="24"/>
                <w:lang w:val="en-US"/>
              </w:rPr>
            </w:pPr>
            <w:r w:rsidRPr="00DF38C8">
              <w:rPr>
                <w:b/>
                <w:bCs/>
                <w:noProof/>
                <w:sz w:val="24"/>
                <w:szCs w:val="24"/>
                <w:lang w:val="en-US"/>
              </w:rPr>
              <w:drawing>
                <wp:inline distT="0" distB="0" distL="0" distR="0" wp14:anchorId="7EC163B9" wp14:editId="6AA0DB15">
                  <wp:extent cx="1703027" cy="1703027"/>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711707" cy="1711707"/>
                          </a:xfrm>
                          <a:prstGeom prst="rect">
                            <a:avLst/>
                          </a:prstGeom>
                        </pic:spPr>
                      </pic:pic>
                    </a:graphicData>
                  </a:graphic>
                </wp:inline>
              </w:drawing>
            </w:r>
          </w:p>
        </w:tc>
      </w:tr>
      <w:tr w:rsidR="002D7811" w:rsidRPr="00DF38C8" w14:paraId="4BE0F866" w14:textId="77777777" w:rsidTr="00F61C00">
        <w:tc>
          <w:tcPr>
            <w:tcW w:w="9016" w:type="dxa"/>
            <w:gridSpan w:val="2"/>
          </w:tcPr>
          <w:p w14:paraId="732775D9" w14:textId="30B2EE88" w:rsidR="002D7811" w:rsidRPr="00DF38C8" w:rsidRDefault="002D7811" w:rsidP="00621B92">
            <w:pPr>
              <w:rPr>
                <w:b/>
                <w:bCs/>
                <w:noProof/>
                <w:sz w:val="24"/>
                <w:szCs w:val="24"/>
                <w:lang w:val="en-US"/>
              </w:rPr>
            </w:pPr>
          </w:p>
        </w:tc>
      </w:tr>
    </w:tbl>
    <w:p w14:paraId="291A2B5F" w14:textId="6BFE9EA5" w:rsidR="002A455B" w:rsidRPr="00DF38C8" w:rsidRDefault="002A455B" w:rsidP="0058677A">
      <w:pPr>
        <w:jc w:val="both"/>
        <w:rPr>
          <w:b/>
          <w:bCs/>
          <w:sz w:val="24"/>
          <w:szCs w:val="24"/>
          <w:lang w:val="en-US"/>
        </w:rPr>
      </w:pPr>
    </w:p>
    <w:p w14:paraId="2219168E" w14:textId="77777777" w:rsidR="002A455B" w:rsidRPr="00DF38C8" w:rsidRDefault="002A455B" w:rsidP="0058677A">
      <w:pPr>
        <w:jc w:val="both"/>
        <w:rPr>
          <w:b/>
          <w:bCs/>
          <w:sz w:val="24"/>
          <w:szCs w:val="24"/>
          <w:lang w:val="en-US"/>
        </w:rPr>
      </w:pPr>
    </w:p>
    <w:p w14:paraId="336F9836" w14:textId="72C92D10" w:rsidR="002A455B" w:rsidRPr="00DF38C8" w:rsidRDefault="002A455B" w:rsidP="0058677A">
      <w:pPr>
        <w:jc w:val="both"/>
        <w:rPr>
          <w:b/>
          <w:bCs/>
          <w:sz w:val="24"/>
          <w:szCs w:val="24"/>
          <w:lang w:val="en-US"/>
        </w:rPr>
      </w:pPr>
    </w:p>
    <w:bookmarkEnd w:id="0"/>
    <w:p w14:paraId="70EE5A18" w14:textId="2E600EC5" w:rsidR="002A455B" w:rsidRPr="00DF38C8" w:rsidRDefault="002A455B" w:rsidP="002D7811">
      <w:pPr>
        <w:jc w:val="both"/>
        <w:rPr>
          <w:b/>
          <w:bCs/>
          <w:sz w:val="24"/>
          <w:szCs w:val="24"/>
        </w:rPr>
      </w:pPr>
      <w:r w:rsidRPr="00DF38C8">
        <w:rPr>
          <w:b/>
          <w:bCs/>
          <w:noProof/>
          <w:sz w:val="24"/>
          <w:szCs w:val="24"/>
          <w:lang w:val="en-US"/>
        </w:rPr>
        <w:drawing>
          <wp:inline distT="0" distB="0" distL="0" distR="0" wp14:anchorId="5205A36B" wp14:editId="6A20640B">
            <wp:extent cx="5731510" cy="104744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1047440"/>
                    </a:xfrm>
                    <a:prstGeom prst="rect">
                      <a:avLst/>
                    </a:prstGeom>
                  </pic:spPr>
                </pic:pic>
              </a:graphicData>
            </a:graphic>
          </wp:inline>
        </w:drawing>
      </w:r>
      <w:r w:rsidRPr="00DF38C8">
        <w:rPr>
          <w:b/>
          <w:bCs/>
          <w:sz w:val="24"/>
          <w:szCs w:val="24"/>
        </w:rPr>
        <w:br w:type="page"/>
      </w:r>
    </w:p>
    <w:p w14:paraId="4AC42166" w14:textId="687E72D3" w:rsidR="007364FA" w:rsidRPr="00DF38C8" w:rsidRDefault="00820D54" w:rsidP="0058677A">
      <w:pPr>
        <w:jc w:val="both"/>
        <w:rPr>
          <w:sz w:val="24"/>
          <w:szCs w:val="24"/>
          <w:lang w:val="en-GB"/>
        </w:rPr>
      </w:pPr>
      <w:r w:rsidRPr="00DF38C8">
        <w:rPr>
          <w:sz w:val="24"/>
          <w:szCs w:val="24"/>
        </w:rPr>
        <w:lastRenderedPageBreak/>
        <w:t>This</w:t>
      </w:r>
      <w:r w:rsidR="00DB7756" w:rsidRPr="00DF38C8">
        <w:rPr>
          <w:sz w:val="24"/>
          <w:szCs w:val="24"/>
        </w:rPr>
        <w:t xml:space="preserve"> framing </w:t>
      </w:r>
      <w:r w:rsidRPr="00DF38C8">
        <w:rPr>
          <w:sz w:val="24"/>
          <w:szCs w:val="24"/>
        </w:rPr>
        <w:t xml:space="preserve"> paper was </w:t>
      </w:r>
      <w:r w:rsidR="00843FB6" w:rsidRPr="00DF38C8">
        <w:rPr>
          <w:sz w:val="24"/>
          <w:szCs w:val="24"/>
        </w:rPr>
        <w:t xml:space="preserve">written by Dr Mark Jordan, University of Southampton. It was </w:t>
      </w:r>
      <w:r w:rsidRPr="00DF38C8">
        <w:rPr>
          <w:sz w:val="24"/>
          <w:szCs w:val="24"/>
        </w:rPr>
        <w:t xml:space="preserve">commissioned by Dolphin House Community Development Association as part of </w:t>
      </w:r>
      <w:r w:rsidR="00013544" w:rsidRPr="00DF38C8">
        <w:rPr>
          <w:sz w:val="24"/>
          <w:szCs w:val="24"/>
        </w:rPr>
        <w:t xml:space="preserve">their </w:t>
      </w:r>
      <w:r w:rsidR="00DB7756" w:rsidRPr="00DF38C8">
        <w:rPr>
          <w:sz w:val="24"/>
          <w:szCs w:val="24"/>
        </w:rPr>
        <w:t>Dolphin</w:t>
      </w:r>
      <w:r w:rsidR="00013544" w:rsidRPr="00DF38C8">
        <w:rPr>
          <w:sz w:val="24"/>
          <w:szCs w:val="24"/>
        </w:rPr>
        <w:t xml:space="preserve"> House Regeneration access to Rights Project, funded by the Irish Human Rights </w:t>
      </w:r>
      <w:r w:rsidR="00DB7756" w:rsidRPr="00DF38C8">
        <w:rPr>
          <w:sz w:val="24"/>
          <w:szCs w:val="24"/>
        </w:rPr>
        <w:t xml:space="preserve"> and Equality Commission. </w:t>
      </w:r>
      <w:r w:rsidR="00DF591D" w:rsidRPr="00DF38C8">
        <w:rPr>
          <w:sz w:val="24"/>
          <w:szCs w:val="24"/>
        </w:rPr>
        <w:t xml:space="preserve">It </w:t>
      </w:r>
      <w:r w:rsidR="00DF591D" w:rsidRPr="00DF38C8">
        <w:rPr>
          <w:sz w:val="24"/>
          <w:szCs w:val="24"/>
          <w:lang w:val="en-GB"/>
        </w:rPr>
        <w:t xml:space="preserve">explains how adopting a Human Rights Based Approach (HRBA) to regeneration provides a means of fulfilling Ireland’s human rights obligations and supporting the development of sustainable communities. The paper explains how this approach can provide </w:t>
      </w:r>
      <w:r w:rsidR="00DF591D" w:rsidRPr="00DF38C8">
        <w:rPr>
          <w:sz w:val="24"/>
          <w:szCs w:val="24"/>
          <w:lang w:val="en-US"/>
        </w:rPr>
        <w:t>practical solutions where conflicts arise over</w:t>
      </w:r>
      <w:r w:rsidR="00DF591D" w:rsidRPr="00DF38C8">
        <w:rPr>
          <w:sz w:val="24"/>
          <w:szCs w:val="24"/>
          <w:lang w:val="en-GB"/>
        </w:rPr>
        <w:t xml:space="preserve"> planning policy, housing conditions, access to services, community safety and sustainability.</w:t>
      </w:r>
      <w:r w:rsidR="000B3768" w:rsidRPr="00DF38C8">
        <w:rPr>
          <w:sz w:val="24"/>
          <w:szCs w:val="24"/>
          <w:lang w:val="en-GB"/>
        </w:rPr>
        <w:t xml:space="preserve"> </w:t>
      </w:r>
    </w:p>
    <w:p w14:paraId="75FD3F8C" w14:textId="390DF590" w:rsidR="00035B4E" w:rsidRPr="00DF38C8" w:rsidRDefault="00035B4E" w:rsidP="0058677A">
      <w:pPr>
        <w:jc w:val="both"/>
        <w:rPr>
          <w:b/>
          <w:bCs/>
          <w:sz w:val="24"/>
          <w:szCs w:val="24"/>
        </w:rPr>
      </w:pPr>
      <w:r w:rsidRPr="00DF38C8">
        <w:rPr>
          <w:b/>
          <w:bCs/>
          <w:sz w:val="24"/>
          <w:szCs w:val="24"/>
        </w:rPr>
        <w:t xml:space="preserve">Introduction </w:t>
      </w:r>
    </w:p>
    <w:p w14:paraId="5D5EA404" w14:textId="2A18E1E2" w:rsidR="00FD0557" w:rsidRPr="00DF38C8" w:rsidRDefault="00C02CB2" w:rsidP="0058677A">
      <w:pPr>
        <w:jc w:val="both"/>
        <w:rPr>
          <w:sz w:val="24"/>
          <w:szCs w:val="24"/>
        </w:rPr>
      </w:pPr>
      <w:r w:rsidRPr="00DF38C8">
        <w:rPr>
          <w:sz w:val="24"/>
          <w:szCs w:val="24"/>
        </w:rPr>
        <w:t>Urban renewal and regeneration policies have a</w:t>
      </w:r>
      <w:r w:rsidR="00013DBA" w:rsidRPr="00DF38C8">
        <w:rPr>
          <w:sz w:val="24"/>
          <w:szCs w:val="24"/>
        </w:rPr>
        <w:t xml:space="preserve"> major</w:t>
      </w:r>
      <w:r w:rsidRPr="00DF38C8">
        <w:rPr>
          <w:sz w:val="24"/>
          <w:szCs w:val="24"/>
        </w:rPr>
        <w:t xml:space="preserve"> impact on </w:t>
      </w:r>
      <w:r w:rsidR="00013DBA" w:rsidRPr="00DF38C8">
        <w:rPr>
          <w:sz w:val="24"/>
          <w:szCs w:val="24"/>
        </w:rPr>
        <w:t xml:space="preserve">affected </w:t>
      </w:r>
      <w:r w:rsidRPr="00DF38C8">
        <w:rPr>
          <w:sz w:val="24"/>
          <w:szCs w:val="24"/>
        </w:rPr>
        <w:t>residents, their homes and communities</w:t>
      </w:r>
      <w:r w:rsidR="000B3768" w:rsidRPr="00DF38C8">
        <w:rPr>
          <w:sz w:val="24"/>
          <w:szCs w:val="24"/>
        </w:rPr>
        <w:t xml:space="preserve">. </w:t>
      </w:r>
      <w:r w:rsidR="00FD0557" w:rsidRPr="00DF38C8">
        <w:rPr>
          <w:sz w:val="24"/>
          <w:szCs w:val="24"/>
        </w:rPr>
        <w:t>Regeneration engages a range of significant human rights issues relating, in particular, to housing and living conditions, access to services, safety, sustainable communities, participation and social inclusion.</w:t>
      </w:r>
      <w:bookmarkStart w:id="1" w:name="_Hlk84405952"/>
      <w:r w:rsidR="00FD0557" w:rsidRPr="00DF38C8">
        <w:rPr>
          <w:sz w:val="24"/>
          <w:szCs w:val="24"/>
        </w:rPr>
        <w:t xml:space="preserve"> </w:t>
      </w:r>
      <w:bookmarkEnd w:id="1"/>
      <w:r w:rsidR="00FD0557" w:rsidRPr="00DF38C8">
        <w:rPr>
          <w:sz w:val="24"/>
          <w:szCs w:val="24"/>
        </w:rPr>
        <w:t>Although Ireland has accepted various legal and political obligations to mainstream human rights and increase effective participation at each level of government, regeneration projects have tended to be “property led” and there has been little recognition of the human rights of residents in the design and implementation of such policies.</w:t>
      </w:r>
      <w:r w:rsidR="00FD0557" w:rsidRPr="00DF38C8">
        <w:rPr>
          <w:rStyle w:val="FootnoteReference"/>
          <w:sz w:val="24"/>
          <w:szCs w:val="24"/>
        </w:rPr>
        <w:footnoteReference w:id="1"/>
      </w:r>
      <w:r w:rsidR="00FD0557" w:rsidRPr="00DF38C8">
        <w:rPr>
          <w:sz w:val="24"/>
          <w:szCs w:val="24"/>
        </w:rPr>
        <w:t xml:space="preserve"> This paper outlines a potential HRBA </w:t>
      </w:r>
      <w:r w:rsidR="00FD0557" w:rsidRPr="00DF38C8">
        <w:rPr>
          <w:sz w:val="24"/>
          <w:szCs w:val="24"/>
          <w:lang w:val="en-GB"/>
        </w:rPr>
        <w:t xml:space="preserve">to regeneration </w:t>
      </w:r>
      <w:r w:rsidR="00843FB6" w:rsidRPr="00DF38C8">
        <w:rPr>
          <w:sz w:val="24"/>
          <w:szCs w:val="24"/>
          <w:lang w:val="en-GB"/>
        </w:rPr>
        <w:t>which</w:t>
      </w:r>
      <w:r w:rsidR="00FD0557" w:rsidRPr="00DF38C8">
        <w:rPr>
          <w:sz w:val="24"/>
          <w:szCs w:val="24"/>
          <w:lang w:val="en-GB"/>
        </w:rPr>
        <w:t xml:space="preserve"> places residents’ at the heart of regeneration pro</w:t>
      </w:r>
      <w:r w:rsidR="003D1E42" w:rsidRPr="00DF38C8">
        <w:rPr>
          <w:sz w:val="24"/>
          <w:szCs w:val="24"/>
          <w:lang w:val="en-GB"/>
        </w:rPr>
        <w:t>jects</w:t>
      </w:r>
      <w:r w:rsidR="00FD0557" w:rsidRPr="00DF38C8">
        <w:rPr>
          <w:sz w:val="24"/>
          <w:szCs w:val="24"/>
          <w:lang w:val="en-GB"/>
        </w:rPr>
        <w:t xml:space="preserve"> and which </w:t>
      </w:r>
      <w:r w:rsidR="00213DC8" w:rsidRPr="00DF38C8">
        <w:rPr>
          <w:sz w:val="24"/>
          <w:szCs w:val="24"/>
          <w:lang w:val="en-GB"/>
        </w:rPr>
        <w:t xml:space="preserve">offers </w:t>
      </w:r>
      <w:r w:rsidR="00FD0557" w:rsidRPr="00DF38C8">
        <w:rPr>
          <w:sz w:val="24"/>
          <w:szCs w:val="24"/>
          <w:lang w:val="en-GB"/>
        </w:rPr>
        <w:t xml:space="preserve">a means of developing practical solutions to longstanding challenges associated with regeneration in an Irish context. The paper begins by </w:t>
      </w:r>
      <w:r w:rsidR="00843FB6" w:rsidRPr="00DF38C8">
        <w:rPr>
          <w:sz w:val="24"/>
          <w:szCs w:val="24"/>
          <w:lang w:val="en-GB"/>
        </w:rPr>
        <w:t>outlining</w:t>
      </w:r>
      <w:r w:rsidR="00FD0557" w:rsidRPr="00DF38C8">
        <w:rPr>
          <w:sz w:val="24"/>
          <w:szCs w:val="24"/>
          <w:lang w:val="en-GB"/>
        </w:rPr>
        <w:t xml:space="preserve"> the regeneration of local authority estates within a broader context. Ireland’s obligations to</w:t>
      </w:r>
      <w:r w:rsidR="00FD0557" w:rsidRPr="00DF38C8">
        <w:rPr>
          <w:b/>
          <w:bCs/>
          <w:sz w:val="24"/>
          <w:szCs w:val="24"/>
        </w:rPr>
        <w:t xml:space="preserve"> </w:t>
      </w:r>
      <w:r w:rsidR="00FD0557" w:rsidRPr="00DF38C8">
        <w:rPr>
          <w:sz w:val="24"/>
          <w:szCs w:val="24"/>
        </w:rPr>
        <w:t xml:space="preserve">mainstream human rights and participation in regeneration projects are then outlined. The paper then explains some key features of a HRBA to regeneration that could </w:t>
      </w:r>
      <w:r w:rsidR="00FD0557" w:rsidRPr="00DF38C8">
        <w:rPr>
          <w:sz w:val="24"/>
          <w:szCs w:val="24"/>
          <w:lang w:val="en-GB"/>
        </w:rPr>
        <w:t>fulfil Ireland’s human rights obligations and support the development of sustainable communities.</w:t>
      </w:r>
      <w:r w:rsidR="00FD0557" w:rsidRPr="00DF38C8">
        <w:rPr>
          <w:sz w:val="24"/>
          <w:szCs w:val="24"/>
        </w:rPr>
        <w:t xml:space="preserve"> In the final section, the paper outlines </w:t>
      </w:r>
      <w:r w:rsidR="00213DC8" w:rsidRPr="00DF38C8">
        <w:rPr>
          <w:sz w:val="24"/>
          <w:szCs w:val="24"/>
        </w:rPr>
        <w:t xml:space="preserve">a case study that illustrates </w:t>
      </w:r>
      <w:r w:rsidR="00FD0557" w:rsidRPr="00DF38C8">
        <w:rPr>
          <w:sz w:val="24"/>
          <w:szCs w:val="24"/>
        </w:rPr>
        <w:t xml:space="preserve">how a HRBA could be integrated into </w:t>
      </w:r>
      <w:r w:rsidR="00213DC8" w:rsidRPr="00DF38C8">
        <w:rPr>
          <w:sz w:val="24"/>
          <w:szCs w:val="24"/>
        </w:rPr>
        <w:t>an ongoing</w:t>
      </w:r>
      <w:r w:rsidR="00FD0557" w:rsidRPr="00DF38C8">
        <w:rPr>
          <w:sz w:val="24"/>
          <w:szCs w:val="24"/>
        </w:rPr>
        <w:t xml:space="preserve"> regeneration project in Ireland.</w:t>
      </w:r>
    </w:p>
    <w:p w14:paraId="524E0280" w14:textId="5433EE29" w:rsidR="00035B4E" w:rsidRPr="00DF38C8" w:rsidRDefault="007364FA" w:rsidP="0058677A">
      <w:pPr>
        <w:jc w:val="both"/>
        <w:rPr>
          <w:b/>
          <w:bCs/>
          <w:sz w:val="24"/>
          <w:szCs w:val="24"/>
        </w:rPr>
      </w:pPr>
      <w:r w:rsidRPr="00DF38C8">
        <w:rPr>
          <w:b/>
          <w:bCs/>
          <w:sz w:val="24"/>
          <w:szCs w:val="24"/>
        </w:rPr>
        <w:t>1</w:t>
      </w:r>
      <w:r w:rsidR="00950D1E" w:rsidRPr="00DF38C8">
        <w:rPr>
          <w:b/>
          <w:bCs/>
          <w:sz w:val="24"/>
          <w:szCs w:val="24"/>
        </w:rPr>
        <w:t>.</w:t>
      </w:r>
      <w:r w:rsidRPr="00DF38C8">
        <w:rPr>
          <w:b/>
          <w:bCs/>
          <w:sz w:val="24"/>
          <w:szCs w:val="24"/>
        </w:rPr>
        <w:t xml:space="preserve"> </w:t>
      </w:r>
      <w:r w:rsidR="00035B4E" w:rsidRPr="00DF38C8">
        <w:rPr>
          <w:b/>
          <w:bCs/>
          <w:sz w:val="24"/>
          <w:szCs w:val="24"/>
        </w:rPr>
        <w:t xml:space="preserve">Regeneration of local authority estates </w:t>
      </w:r>
    </w:p>
    <w:p w14:paraId="4497A043" w14:textId="2DC4FDB8" w:rsidR="006A1748" w:rsidRPr="00DF38C8" w:rsidRDefault="00E70910" w:rsidP="0058677A">
      <w:pPr>
        <w:jc w:val="both"/>
        <w:rPr>
          <w:sz w:val="24"/>
          <w:szCs w:val="24"/>
        </w:rPr>
      </w:pPr>
      <w:r w:rsidRPr="00DF38C8">
        <w:rPr>
          <w:sz w:val="24"/>
          <w:szCs w:val="24"/>
        </w:rPr>
        <w:t>T</w:t>
      </w:r>
      <w:r w:rsidR="00E641BB" w:rsidRPr="00DF38C8">
        <w:rPr>
          <w:sz w:val="24"/>
          <w:szCs w:val="24"/>
        </w:rPr>
        <w:t xml:space="preserve">he regeneration of local authority estates has been a central aspect of </w:t>
      </w:r>
      <w:r w:rsidR="004375EE" w:rsidRPr="00DF38C8">
        <w:rPr>
          <w:sz w:val="24"/>
          <w:szCs w:val="24"/>
        </w:rPr>
        <w:t>Irish</w:t>
      </w:r>
      <w:r w:rsidR="00E641BB" w:rsidRPr="00DF38C8">
        <w:rPr>
          <w:sz w:val="24"/>
          <w:szCs w:val="24"/>
        </w:rPr>
        <w:t xml:space="preserve"> social housing policy</w:t>
      </w:r>
      <w:r w:rsidRPr="00DF38C8">
        <w:rPr>
          <w:sz w:val="24"/>
          <w:szCs w:val="24"/>
        </w:rPr>
        <w:t xml:space="preserve"> for over four decades. However, d</w:t>
      </w:r>
      <w:r w:rsidR="00E641BB" w:rsidRPr="00DF38C8">
        <w:rPr>
          <w:sz w:val="24"/>
          <w:szCs w:val="24"/>
        </w:rPr>
        <w:t xml:space="preserve">espite the status of regeneration in </w:t>
      </w:r>
      <w:r w:rsidR="004375EE" w:rsidRPr="00DF38C8">
        <w:rPr>
          <w:sz w:val="24"/>
          <w:szCs w:val="24"/>
        </w:rPr>
        <w:t>Irish</w:t>
      </w:r>
      <w:r w:rsidR="00171F2A" w:rsidRPr="00DF38C8">
        <w:rPr>
          <w:sz w:val="24"/>
          <w:szCs w:val="24"/>
        </w:rPr>
        <w:t xml:space="preserve"> </w:t>
      </w:r>
      <w:r w:rsidR="00E641BB" w:rsidRPr="00DF38C8">
        <w:rPr>
          <w:sz w:val="24"/>
          <w:szCs w:val="24"/>
        </w:rPr>
        <w:t>housing policy, there is “no national policy statement in relation to local authority housing estate regeneration”.</w:t>
      </w:r>
      <w:r w:rsidR="00E641BB" w:rsidRPr="00DF38C8">
        <w:rPr>
          <w:rStyle w:val="FootnoteReference"/>
          <w:sz w:val="24"/>
          <w:szCs w:val="24"/>
        </w:rPr>
        <w:footnoteReference w:id="2"/>
      </w:r>
      <w:r w:rsidR="00E641BB" w:rsidRPr="00DF38C8">
        <w:rPr>
          <w:sz w:val="24"/>
          <w:szCs w:val="24"/>
        </w:rPr>
        <w:t xml:space="preserve"> </w:t>
      </w:r>
      <w:r w:rsidR="00171F2A" w:rsidRPr="00DF38C8">
        <w:rPr>
          <w:sz w:val="24"/>
          <w:szCs w:val="24"/>
        </w:rPr>
        <w:t>Instead,</w:t>
      </w:r>
      <w:r w:rsidR="00E641BB" w:rsidRPr="00DF38C8">
        <w:rPr>
          <w:sz w:val="24"/>
          <w:szCs w:val="24"/>
        </w:rPr>
        <w:t xml:space="preserve"> </w:t>
      </w:r>
      <w:r w:rsidR="00B54FCF" w:rsidRPr="00DF38C8">
        <w:rPr>
          <w:sz w:val="24"/>
          <w:szCs w:val="24"/>
        </w:rPr>
        <w:t xml:space="preserve">regeneration tends be </w:t>
      </w:r>
      <w:r w:rsidR="00171F2A" w:rsidRPr="00DF38C8">
        <w:rPr>
          <w:sz w:val="24"/>
          <w:szCs w:val="24"/>
        </w:rPr>
        <w:t>presented</w:t>
      </w:r>
      <w:r w:rsidR="00B54FCF" w:rsidRPr="00DF38C8">
        <w:rPr>
          <w:sz w:val="24"/>
          <w:szCs w:val="24"/>
        </w:rPr>
        <w:t xml:space="preserve"> as a means of delivering </w:t>
      </w:r>
      <w:r w:rsidR="004A28B5" w:rsidRPr="00DF38C8">
        <w:rPr>
          <w:sz w:val="24"/>
          <w:szCs w:val="24"/>
        </w:rPr>
        <w:t>other</w:t>
      </w:r>
      <w:r w:rsidR="00B54FCF" w:rsidRPr="00DF38C8">
        <w:rPr>
          <w:sz w:val="24"/>
          <w:szCs w:val="24"/>
        </w:rPr>
        <w:t xml:space="preserve"> policies </w:t>
      </w:r>
      <w:r w:rsidR="00171F2A" w:rsidRPr="00DF38C8">
        <w:rPr>
          <w:sz w:val="24"/>
          <w:szCs w:val="24"/>
        </w:rPr>
        <w:t>including supporting the housing market</w:t>
      </w:r>
      <w:r w:rsidR="004A28B5" w:rsidRPr="00DF38C8">
        <w:rPr>
          <w:sz w:val="24"/>
          <w:szCs w:val="24"/>
        </w:rPr>
        <w:t xml:space="preserve"> by</w:t>
      </w:r>
      <w:r w:rsidR="00171F2A" w:rsidRPr="00DF38C8">
        <w:rPr>
          <w:sz w:val="24"/>
          <w:szCs w:val="24"/>
        </w:rPr>
        <w:t xml:space="preserve"> increasing</w:t>
      </w:r>
      <w:r w:rsidR="00B54FCF" w:rsidRPr="00DF38C8">
        <w:rPr>
          <w:sz w:val="24"/>
          <w:szCs w:val="24"/>
        </w:rPr>
        <w:t xml:space="preserve"> housing supply, </w:t>
      </w:r>
      <w:r w:rsidR="00171F2A" w:rsidRPr="00DF38C8">
        <w:rPr>
          <w:sz w:val="24"/>
          <w:szCs w:val="24"/>
        </w:rPr>
        <w:t>reducing</w:t>
      </w:r>
      <w:r w:rsidR="00B54FCF" w:rsidRPr="00DF38C8">
        <w:rPr>
          <w:sz w:val="24"/>
          <w:szCs w:val="24"/>
        </w:rPr>
        <w:t xml:space="preserve"> </w:t>
      </w:r>
      <w:r w:rsidR="00171F2A" w:rsidRPr="00DF38C8">
        <w:rPr>
          <w:sz w:val="24"/>
          <w:szCs w:val="24"/>
        </w:rPr>
        <w:t xml:space="preserve">housing </w:t>
      </w:r>
      <w:r w:rsidR="00B54FCF" w:rsidRPr="00DF38C8">
        <w:rPr>
          <w:sz w:val="24"/>
          <w:szCs w:val="24"/>
        </w:rPr>
        <w:t>vacancy, creating mixe</w:t>
      </w:r>
      <w:r w:rsidR="00171F2A" w:rsidRPr="00DF38C8">
        <w:rPr>
          <w:sz w:val="24"/>
          <w:szCs w:val="24"/>
        </w:rPr>
        <w:t>d tenures</w:t>
      </w:r>
      <w:r w:rsidR="00B54FCF" w:rsidRPr="00DF38C8">
        <w:rPr>
          <w:sz w:val="24"/>
          <w:szCs w:val="24"/>
        </w:rPr>
        <w:t>, renew</w:t>
      </w:r>
      <w:r w:rsidR="00E641BB" w:rsidRPr="00DF38C8">
        <w:rPr>
          <w:sz w:val="24"/>
          <w:szCs w:val="24"/>
        </w:rPr>
        <w:t>ing</w:t>
      </w:r>
      <w:r w:rsidR="00B54FCF" w:rsidRPr="00DF38C8">
        <w:rPr>
          <w:sz w:val="24"/>
          <w:szCs w:val="24"/>
        </w:rPr>
        <w:t xml:space="preserve"> cities</w:t>
      </w:r>
      <w:r w:rsidR="004375EE" w:rsidRPr="00DF38C8">
        <w:rPr>
          <w:sz w:val="24"/>
          <w:szCs w:val="24"/>
        </w:rPr>
        <w:t>,</w:t>
      </w:r>
      <w:r w:rsidR="00171F2A" w:rsidRPr="00DF38C8">
        <w:rPr>
          <w:sz w:val="24"/>
          <w:szCs w:val="24"/>
        </w:rPr>
        <w:t xml:space="preserve"> developing sustainable communities</w:t>
      </w:r>
      <w:r w:rsidR="004375EE" w:rsidRPr="00DF38C8">
        <w:rPr>
          <w:sz w:val="24"/>
          <w:szCs w:val="24"/>
        </w:rPr>
        <w:t xml:space="preserve"> and</w:t>
      </w:r>
      <w:r w:rsidR="00B54FCF" w:rsidRPr="00DF38C8">
        <w:rPr>
          <w:sz w:val="24"/>
          <w:szCs w:val="24"/>
        </w:rPr>
        <w:t xml:space="preserve"> </w:t>
      </w:r>
      <w:r w:rsidR="00171F2A" w:rsidRPr="00DF38C8">
        <w:rPr>
          <w:sz w:val="24"/>
          <w:szCs w:val="24"/>
        </w:rPr>
        <w:t>meeting</w:t>
      </w:r>
      <w:r w:rsidR="00B54FCF" w:rsidRPr="00DF38C8">
        <w:rPr>
          <w:sz w:val="24"/>
          <w:szCs w:val="24"/>
        </w:rPr>
        <w:t xml:space="preserve"> environmental obligations</w:t>
      </w:r>
      <w:r w:rsidR="00171F2A" w:rsidRPr="00DF38C8">
        <w:rPr>
          <w:sz w:val="24"/>
          <w:szCs w:val="24"/>
        </w:rPr>
        <w:t>.</w:t>
      </w:r>
      <w:r w:rsidR="00171F2A" w:rsidRPr="00DF38C8">
        <w:rPr>
          <w:rStyle w:val="FootnoteReference"/>
          <w:sz w:val="24"/>
          <w:szCs w:val="24"/>
        </w:rPr>
        <w:footnoteReference w:id="3"/>
      </w:r>
      <w:r w:rsidR="00B54FCF" w:rsidRPr="00DF38C8">
        <w:rPr>
          <w:sz w:val="24"/>
          <w:szCs w:val="24"/>
        </w:rPr>
        <w:t xml:space="preserve"> </w:t>
      </w:r>
    </w:p>
    <w:p w14:paraId="35271128" w14:textId="77777777" w:rsidR="00213DC8" w:rsidRPr="00DF38C8" w:rsidRDefault="00DA5AA8" w:rsidP="0058677A">
      <w:pPr>
        <w:jc w:val="both"/>
        <w:rPr>
          <w:sz w:val="24"/>
          <w:szCs w:val="24"/>
        </w:rPr>
      </w:pPr>
      <w:r w:rsidRPr="00DF38C8">
        <w:rPr>
          <w:sz w:val="24"/>
          <w:szCs w:val="24"/>
        </w:rPr>
        <w:t>Government guidance has identified that r</w:t>
      </w:r>
      <w:r w:rsidR="00E641BB" w:rsidRPr="00DF38C8">
        <w:rPr>
          <w:sz w:val="24"/>
          <w:szCs w:val="24"/>
        </w:rPr>
        <w:t>egeneration</w:t>
      </w:r>
      <w:r w:rsidR="00171F2A" w:rsidRPr="00DF38C8">
        <w:rPr>
          <w:sz w:val="24"/>
          <w:szCs w:val="24"/>
        </w:rPr>
        <w:t xml:space="preserve"> </w:t>
      </w:r>
      <w:r w:rsidRPr="00DF38C8">
        <w:rPr>
          <w:sz w:val="24"/>
          <w:szCs w:val="24"/>
        </w:rPr>
        <w:t xml:space="preserve">involves </w:t>
      </w:r>
      <w:r w:rsidR="00E641BB" w:rsidRPr="00DF38C8">
        <w:rPr>
          <w:sz w:val="24"/>
          <w:szCs w:val="24"/>
        </w:rPr>
        <w:t>two dimensions</w:t>
      </w:r>
      <w:r w:rsidRPr="00DF38C8">
        <w:rPr>
          <w:sz w:val="24"/>
          <w:szCs w:val="24"/>
        </w:rPr>
        <w:t>: “</w:t>
      </w:r>
      <w:r w:rsidR="00E641BB" w:rsidRPr="00DF38C8">
        <w:rPr>
          <w:i/>
          <w:iCs/>
          <w:sz w:val="24"/>
          <w:szCs w:val="24"/>
        </w:rPr>
        <w:t xml:space="preserve">First, it has a physical dimension, addressing the regeneration of the housing stock and the built environment. Second, it has a social dimension, addressing the regeneration of the social </w:t>
      </w:r>
      <w:r w:rsidR="00E641BB" w:rsidRPr="00DF38C8">
        <w:rPr>
          <w:i/>
          <w:iCs/>
          <w:sz w:val="24"/>
          <w:szCs w:val="24"/>
        </w:rPr>
        <w:lastRenderedPageBreak/>
        <w:t>infrastructure through, for example, community development, tenant participation and/or estate management</w:t>
      </w:r>
      <w:r w:rsidR="00E641BB" w:rsidRPr="00DF38C8">
        <w:rPr>
          <w:sz w:val="24"/>
          <w:szCs w:val="24"/>
        </w:rPr>
        <w:t>.”</w:t>
      </w:r>
      <w:r w:rsidR="009B0544" w:rsidRPr="00DF38C8">
        <w:rPr>
          <w:rStyle w:val="FootnoteReference"/>
          <w:sz w:val="24"/>
          <w:szCs w:val="24"/>
        </w:rPr>
        <w:footnoteReference w:id="4"/>
      </w:r>
      <w:r w:rsidR="00171F2A" w:rsidRPr="00DF38C8">
        <w:rPr>
          <w:sz w:val="24"/>
          <w:szCs w:val="24"/>
        </w:rPr>
        <w:t xml:space="preserve"> </w:t>
      </w:r>
      <w:r w:rsidR="008859AD" w:rsidRPr="00DF38C8">
        <w:rPr>
          <w:sz w:val="24"/>
          <w:szCs w:val="24"/>
        </w:rPr>
        <w:t>There is no doubt that many local authority and civil society efforts have been made which effectively addressed social exclusion and other social issues, and their work has been extremely valuable. H</w:t>
      </w:r>
      <w:r w:rsidR="006A1748" w:rsidRPr="00DF38C8">
        <w:rPr>
          <w:sz w:val="24"/>
          <w:szCs w:val="24"/>
        </w:rPr>
        <w:t xml:space="preserve">owever, </w:t>
      </w:r>
      <w:r w:rsidR="008859AD" w:rsidRPr="00DF38C8">
        <w:rPr>
          <w:sz w:val="24"/>
          <w:szCs w:val="24"/>
        </w:rPr>
        <w:t xml:space="preserve">structurally, </w:t>
      </w:r>
      <w:r w:rsidR="00E70910" w:rsidRPr="00DF38C8">
        <w:rPr>
          <w:sz w:val="24"/>
          <w:szCs w:val="24"/>
        </w:rPr>
        <w:t>r</w:t>
      </w:r>
      <w:r w:rsidR="00171F2A" w:rsidRPr="00DF38C8">
        <w:rPr>
          <w:sz w:val="24"/>
          <w:szCs w:val="24"/>
        </w:rPr>
        <w:t xml:space="preserve">egeneration projects have </w:t>
      </w:r>
      <w:r w:rsidR="006A1748" w:rsidRPr="00DF38C8">
        <w:rPr>
          <w:sz w:val="24"/>
          <w:szCs w:val="24"/>
        </w:rPr>
        <w:t xml:space="preserve">tended to be </w:t>
      </w:r>
      <w:r w:rsidR="00A47FE4" w:rsidRPr="00DF38C8">
        <w:rPr>
          <w:sz w:val="24"/>
          <w:szCs w:val="24"/>
        </w:rPr>
        <w:t>“property led”</w:t>
      </w:r>
      <w:r w:rsidR="00171F2A" w:rsidRPr="00DF38C8">
        <w:rPr>
          <w:sz w:val="24"/>
          <w:szCs w:val="24"/>
        </w:rPr>
        <w:t xml:space="preserve"> and there has been</w:t>
      </w:r>
      <w:r w:rsidR="006A1748" w:rsidRPr="00DF38C8">
        <w:rPr>
          <w:sz w:val="24"/>
          <w:szCs w:val="24"/>
        </w:rPr>
        <w:t xml:space="preserve"> </w:t>
      </w:r>
      <w:r w:rsidR="003D7CA4" w:rsidRPr="00DF38C8">
        <w:rPr>
          <w:sz w:val="24"/>
          <w:szCs w:val="24"/>
        </w:rPr>
        <w:t>much less</w:t>
      </w:r>
      <w:r w:rsidRPr="00DF38C8">
        <w:rPr>
          <w:sz w:val="24"/>
          <w:szCs w:val="24"/>
        </w:rPr>
        <w:t xml:space="preserve"> </w:t>
      </w:r>
      <w:r w:rsidR="001510D0" w:rsidRPr="00DF38C8">
        <w:rPr>
          <w:sz w:val="24"/>
          <w:szCs w:val="24"/>
        </w:rPr>
        <w:t>emphasis place</w:t>
      </w:r>
      <w:r w:rsidR="003D7CA4" w:rsidRPr="00DF38C8">
        <w:rPr>
          <w:sz w:val="24"/>
          <w:szCs w:val="24"/>
        </w:rPr>
        <w:t>d</w:t>
      </w:r>
      <w:r w:rsidR="001510D0" w:rsidRPr="00DF38C8">
        <w:rPr>
          <w:sz w:val="24"/>
          <w:szCs w:val="24"/>
        </w:rPr>
        <w:t xml:space="preserve"> </w:t>
      </w:r>
      <w:r w:rsidR="004375EE" w:rsidRPr="00DF38C8">
        <w:rPr>
          <w:sz w:val="24"/>
          <w:szCs w:val="24"/>
        </w:rPr>
        <w:t>on</w:t>
      </w:r>
      <w:r w:rsidR="00A47FE4" w:rsidRPr="00DF38C8">
        <w:rPr>
          <w:sz w:val="24"/>
          <w:szCs w:val="24"/>
        </w:rPr>
        <w:t xml:space="preserve"> </w:t>
      </w:r>
      <w:r w:rsidR="00B54FCF" w:rsidRPr="00DF38C8">
        <w:rPr>
          <w:sz w:val="24"/>
          <w:szCs w:val="24"/>
        </w:rPr>
        <w:t xml:space="preserve">social </w:t>
      </w:r>
      <w:r w:rsidRPr="00DF38C8">
        <w:rPr>
          <w:sz w:val="24"/>
          <w:szCs w:val="24"/>
        </w:rPr>
        <w:t>regeneration</w:t>
      </w:r>
      <w:r w:rsidR="001510D0" w:rsidRPr="00DF38C8">
        <w:rPr>
          <w:sz w:val="24"/>
          <w:szCs w:val="24"/>
        </w:rPr>
        <w:t xml:space="preserve"> e.g. adequate facilities for young people and children</w:t>
      </w:r>
      <w:r w:rsidR="00171F2A" w:rsidRPr="00DF38C8">
        <w:rPr>
          <w:sz w:val="24"/>
          <w:szCs w:val="24"/>
        </w:rPr>
        <w:t>.</w:t>
      </w:r>
      <w:r w:rsidR="00E70910" w:rsidRPr="00DF38C8">
        <w:rPr>
          <w:sz w:val="24"/>
          <w:szCs w:val="24"/>
        </w:rPr>
        <w:t xml:space="preserve"> </w:t>
      </w:r>
      <w:r w:rsidR="004A28B5" w:rsidRPr="00DF38C8">
        <w:rPr>
          <w:sz w:val="24"/>
          <w:szCs w:val="24"/>
        </w:rPr>
        <w:t xml:space="preserve">This has inhibited regeneration projects </w:t>
      </w:r>
      <w:r w:rsidR="006A1748" w:rsidRPr="00DF38C8">
        <w:rPr>
          <w:sz w:val="24"/>
          <w:szCs w:val="24"/>
        </w:rPr>
        <w:t>from</w:t>
      </w:r>
      <w:r w:rsidR="004A28B5" w:rsidRPr="00DF38C8">
        <w:rPr>
          <w:sz w:val="24"/>
          <w:szCs w:val="24"/>
        </w:rPr>
        <w:t xml:space="preserve"> address</w:t>
      </w:r>
      <w:r w:rsidR="006A1748" w:rsidRPr="00DF38C8">
        <w:rPr>
          <w:sz w:val="24"/>
          <w:szCs w:val="24"/>
        </w:rPr>
        <w:t>ing</w:t>
      </w:r>
      <w:r w:rsidR="004A28B5" w:rsidRPr="00DF38C8">
        <w:rPr>
          <w:sz w:val="24"/>
          <w:szCs w:val="24"/>
        </w:rPr>
        <w:t xml:space="preserve"> </w:t>
      </w:r>
      <w:r w:rsidR="006A1748" w:rsidRPr="00DF38C8">
        <w:rPr>
          <w:sz w:val="24"/>
          <w:szCs w:val="24"/>
        </w:rPr>
        <w:t>“</w:t>
      </w:r>
      <w:r w:rsidR="004A28B5" w:rsidRPr="00DF38C8">
        <w:rPr>
          <w:sz w:val="24"/>
          <w:szCs w:val="24"/>
        </w:rPr>
        <w:t>the social and economic problems affecting estates</w:t>
      </w:r>
      <w:r w:rsidR="006A1748" w:rsidRPr="00DF38C8">
        <w:rPr>
          <w:sz w:val="24"/>
          <w:szCs w:val="24"/>
        </w:rPr>
        <w:t>”</w:t>
      </w:r>
      <w:r w:rsidR="004A28B5" w:rsidRPr="00DF38C8">
        <w:rPr>
          <w:sz w:val="24"/>
          <w:szCs w:val="24"/>
        </w:rPr>
        <w:t xml:space="preserve"> or improv</w:t>
      </w:r>
      <w:r w:rsidR="006A1748" w:rsidRPr="00DF38C8">
        <w:rPr>
          <w:sz w:val="24"/>
          <w:szCs w:val="24"/>
        </w:rPr>
        <w:t>ing</w:t>
      </w:r>
      <w:r w:rsidR="004A28B5" w:rsidRPr="00DF38C8">
        <w:rPr>
          <w:sz w:val="24"/>
          <w:szCs w:val="24"/>
        </w:rPr>
        <w:t xml:space="preserve"> </w:t>
      </w:r>
      <w:r w:rsidR="006A1748" w:rsidRPr="00DF38C8">
        <w:rPr>
          <w:sz w:val="24"/>
          <w:szCs w:val="24"/>
        </w:rPr>
        <w:t>“</w:t>
      </w:r>
      <w:r w:rsidR="004A28B5" w:rsidRPr="00DF38C8">
        <w:rPr>
          <w:sz w:val="24"/>
          <w:szCs w:val="24"/>
        </w:rPr>
        <w:t>other aspects of residents’ quality of life in the long-term”.</w:t>
      </w:r>
      <w:r w:rsidR="004A28B5" w:rsidRPr="00DF38C8">
        <w:rPr>
          <w:rStyle w:val="FootnoteReference"/>
          <w:sz w:val="24"/>
          <w:szCs w:val="24"/>
        </w:rPr>
        <w:footnoteReference w:id="5"/>
      </w:r>
      <w:r w:rsidR="004A28B5" w:rsidRPr="00DF38C8">
        <w:rPr>
          <w:sz w:val="24"/>
          <w:szCs w:val="24"/>
        </w:rPr>
        <w:t xml:space="preserve"> </w:t>
      </w:r>
    </w:p>
    <w:p w14:paraId="4890B313" w14:textId="36C9E959" w:rsidR="008859AD" w:rsidRPr="00DF38C8" w:rsidRDefault="008859AD" w:rsidP="0058677A">
      <w:pPr>
        <w:jc w:val="both"/>
        <w:rPr>
          <w:sz w:val="24"/>
          <w:szCs w:val="24"/>
        </w:rPr>
      </w:pPr>
      <w:r w:rsidRPr="00DF38C8">
        <w:rPr>
          <w:sz w:val="24"/>
          <w:szCs w:val="24"/>
        </w:rPr>
        <w:t xml:space="preserve">There is often a failure to recognise the value of existing community networks, support, integration and sustainability. International experience, particularly from the US has shown that many well-meaning regeneration projects have in fact destroyed the very communities they were intended to serve. The development and maintenance </w:t>
      </w:r>
      <w:r w:rsidR="00A60C1B" w:rsidRPr="00DF38C8">
        <w:rPr>
          <w:sz w:val="24"/>
          <w:szCs w:val="24"/>
        </w:rPr>
        <w:t>o</w:t>
      </w:r>
      <w:r w:rsidRPr="00DF38C8">
        <w:rPr>
          <w:sz w:val="24"/>
          <w:szCs w:val="24"/>
        </w:rPr>
        <w:t>f a sustainable community requires a high level of State support and services, but also a recognition of it</w:t>
      </w:r>
      <w:r w:rsidR="00976908" w:rsidRPr="00DF38C8">
        <w:rPr>
          <w:sz w:val="24"/>
          <w:szCs w:val="24"/>
        </w:rPr>
        <w:t>s</w:t>
      </w:r>
      <w:r w:rsidRPr="00DF38C8">
        <w:rPr>
          <w:sz w:val="24"/>
          <w:szCs w:val="24"/>
        </w:rPr>
        <w:t xml:space="preserve"> worth. In fact, the costs involved in re-creating a safe and sustainable community destroyed by poor regeneration is enormous, and cannot even be quantified in the costs for regeneration projects.  </w:t>
      </w:r>
    </w:p>
    <w:p w14:paraId="50CC6739" w14:textId="4DB3AA90" w:rsidR="00035B4E" w:rsidRPr="00DF38C8" w:rsidRDefault="00AB2375" w:rsidP="0058677A">
      <w:pPr>
        <w:jc w:val="both"/>
        <w:rPr>
          <w:sz w:val="24"/>
          <w:szCs w:val="24"/>
        </w:rPr>
      </w:pPr>
      <w:r w:rsidRPr="00DF38C8">
        <w:rPr>
          <w:sz w:val="24"/>
          <w:szCs w:val="24"/>
        </w:rPr>
        <w:t>M</w:t>
      </w:r>
      <w:r w:rsidR="00E70910" w:rsidRPr="00DF38C8">
        <w:rPr>
          <w:sz w:val="24"/>
          <w:szCs w:val="24"/>
        </w:rPr>
        <w:t>any regeneration projects were paused, scaled back or significantly changed in response to the financial crisis in 2008. However, the Government has recently committed</w:t>
      </w:r>
      <w:r w:rsidR="00A47FE4" w:rsidRPr="00DF38C8">
        <w:rPr>
          <w:sz w:val="24"/>
          <w:szCs w:val="24"/>
        </w:rPr>
        <w:t xml:space="preserve"> to re-commencing</w:t>
      </w:r>
      <w:r w:rsidR="00E70910" w:rsidRPr="00DF38C8">
        <w:rPr>
          <w:sz w:val="24"/>
          <w:szCs w:val="24"/>
        </w:rPr>
        <w:t xml:space="preserve"> and </w:t>
      </w:r>
      <w:r w:rsidR="00A47FE4" w:rsidRPr="00DF38C8">
        <w:rPr>
          <w:sz w:val="24"/>
          <w:szCs w:val="24"/>
        </w:rPr>
        <w:t xml:space="preserve">expanding regeneration programmes as part of </w:t>
      </w:r>
      <w:r w:rsidR="00024726" w:rsidRPr="00DF38C8">
        <w:rPr>
          <w:sz w:val="24"/>
          <w:szCs w:val="24"/>
        </w:rPr>
        <w:t xml:space="preserve">its </w:t>
      </w:r>
      <w:r w:rsidR="00A47FE4" w:rsidRPr="00DF38C8">
        <w:rPr>
          <w:sz w:val="24"/>
          <w:szCs w:val="24"/>
        </w:rPr>
        <w:t xml:space="preserve">response to </w:t>
      </w:r>
      <w:r w:rsidR="00024726" w:rsidRPr="00DF38C8">
        <w:rPr>
          <w:sz w:val="24"/>
          <w:szCs w:val="24"/>
        </w:rPr>
        <w:t xml:space="preserve">a </w:t>
      </w:r>
      <w:r w:rsidR="00A47FE4" w:rsidRPr="00DF38C8">
        <w:rPr>
          <w:sz w:val="24"/>
          <w:szCs w:val="24"/>
        </w:rPr>
        <w:t>growing housing crisis</w:t>
      </w:r>
      <w:r w:rsidR="00E70910" w:rsidRPr="00DF38C8">
        <w:rPr>
          <w:sz w:val="24"/>
          <w:szCs w:val="24"/>
        </w:rPr>
        <w:t>.</w:t>
      </w:r>
      <w:r w:rsidR="006A1748" w:rsidRPr="00DF38C8">
        <w:rPr>
          <w:sz w:val="24"/>
          <w:szCs w:val="24"/>
        </w:rPr>
        <w:t xml:space="preserve"> </w:t>
      </w:r>
    </w:p>
    <w:p w14:paraId="478F5170" w14:textId="67447AA7" w:rsidR="00035B4E" w:rsidRPr="00DF38C8" w:rsidRDefault="007364FA" w:rsidP="0058677A">
      <w:pPr>
        <w:jc w:val="both"/>
        <w:rPr>
          <w:b/>
          <w:bCs/>
          <w:sz w:val="24"/>
          <w:szCs w:val="24"/>
        </w:rPr>
      </w:pPr>
      <w:r w:rsidRPr="00DF38C8">
        <w:rPr>
          <w:b/>
          <w:bCs/>
          <w:sz w:val="24"/>
          <w:szCs w:val="24"/>
        </w:rPr>
        <w:t>2</w:t>
      </w:r>
      <w:r w:rsidR="00950D1E" w:rsidRPr="00DF38C8">
        <w:rPr>
          <w:b/>
          <w:bCs/>
          <w:sz w:val="24"/>
          <w:szCs w:val="24"/>
        </w:rPr>
        <w:t>.</w:t>
      </w:r>
      <w:r w:rsidRPr="00DF38C8">
        <w:rPr>
          <w:b/>
          <w:bCs/>
          <w:sz w:val="24"/>
          <w:szCs w:val="24"/>
        </w:rPr>
        <w:t xml:space="preserve"> </w:t>
      </w:r>
      <w:r w:rsidR="001510D0" w:rsidRPr="00DF38C8">
        <w:rPr>
          <w:b/>
          <w:bCs/>
          <w:sz w:val="24"/>
          <w:szCs w:val="24"/>
        </w:rPr>
        <w:t>Ireland’s</w:t>
      </w:r>
      <w:r w:rsidR="00035B4E" w:rsidRPr="00DF38C8">
        <w:rPr>
          <w:b/>
          <w:bCs/>
          <w:sz w:val="24"/>
          <w:szCs w:val="24"/>
        </w:rPr>
        <w:t xml:space="preserve"> obligations to mainstream human rights</w:t>
      </w:r>
      <w:r w:rsidR="00C02CB2" w:rsidRPr="00DF38C8">
        <w:rPr>
          <w:b/>
          <w:bCs/>
          <w:sz w:val="24"/>
          <w:szCs w:val="24"/>
        </w:rPr>
        <w:t xml:space="preserve"> </w:t>
      </w:r>
      <w:r w:rsidR="004375EE" w:rsidRPr="00DF38C8">
        <w:rPr>
          <w:b/>
          <w:bCs/>
          <w:sz w:val="24"/>
          <w:szCs w:val="24"/>
        </w:rPr>
        <w:t xml:space="preserve">and participation </w:t>
      </w:r>
      <w:r w:rsidRPr="00DF38C8">
        <w:rPr>
          <w:b/>
          <w:bCs/>
          <w:sz w:val="24"/>
          <w:szCs w:val="24"/>
        </w:rPr>
        <w:t>in regeneration projects</w:t>
      </w:r>
    </w:p>
    <w:p w14:paraId="4F164AFF" w14:textId="5D99388F" w:rsidR="001510D0" w:rsidRPr="00DF38C8" w:rsidRDefault="009F03F9" w:rsidP="0058677A">
      <w:pPr>
        <w:jc w:val="both"/>
        <w:rPr>
          <w:sz w:val="24"/>
          <w:szCs w:val="24"/>
        </w:rPr>
      </w:pPr>
      <w:bookmarkStart w:id="2" w:name="_Hlk84576090"/>
      <w:r w:rsidRPr="00DF38C8">
        <w:rPr>
          <w:sz w:val="24"/>
          <w:szCs w:val="24"/>
        </w:rPr>
        <w:t xml:space="preserve">Ireland has accepted various legal and political obligations to mainstream human rights and increase participation at every level of government. These </w:t>
      </w:r>
      <w:r w:rsidR="000754A8" w:rsidRPr="00DF38C8">
        <w:rPr>
          <w:sz w:val="24"/>
          <w:szCs w:val="24"/>
        </w:rPr>
        <w:t xml:space="preserve">national and international </w:t>
      </w:r>
      <w:r w:rsidRPr="00DF38C8">
        <w:rPr>
          <w:sz w:val="24"/>
          <w:szCs w:val="24"/>
        </w:rPr>
        <w:t xml:space="preserve">obligations are particularly relevant in </w:t>
      </w:r>
      <w:r w:rsidR="008859AD" w:rsidRPr="00DF38C8">
        <w:rPr>
          <w:sz w:val="24"/>
          <w:szCs w:val="24"/>
        </w:rPr>
        <w:t xml:space="preserve">housing </w:t>
      </w:r>
      <w:r w:rsidRPr="00DF38C8">
        <w:rPr>
          <w:sz w:val="24"/>
          <w:szCs w:val="24"/>
        </w:rPr>
        <w:t xml:space="preserve">regeneration projects because it is through </w:t>
      </w:r>
      <w:r w:rsidRPr="00DF38C8">
        <w:rPr>
          <w:sz w:val="24"/>
          <w:szCs w:val="24"/>
          <w:lang w:val="en-GB"/>
        </w:rPr>
        <w:t xml:space="preserve">the implementation of public policies at a local level that human rights </w:t>
      </w:r>
      <w:r w:rsidR="00A14D47" w:rsidRPr="00DF38C8">
        <w:rPr>
          <w:sz w:val="24"/>
          <w:szCs w:val="24"/>
          <w:lang w:val="en-GB"/>
        </w:rPr>
        <w:t xml:space="preserve">and commitments to meaningful participation </w:t>
      </w:r>
      <w:r w:rsidRPr="00DF38C8">
        <w:rPr>
          <w:sz w:val="24"/>
          <w:szCs w:val="24"/>
          <w:lang w:val="en-GB"/>
        </w:rPr>
        <w:t xml:space="preserve">are </w:t>
      </w:r>
      <w:r w:rsidRPr="00DF38C8">
        <w:rPr>
          <w:sz w:val="24"/>
          <w:szCs w:val="24"/>
        </w:rPr>
        <w:t>fulfilled.</w:t>
      </w:r>
      <w:r w:rsidRPr="00DF38C8">
        <w:rPr>
          <w:rStyle w:val="FootnoteReference"/>
          <w:sz w:val="24"/>
          <w:szCs w:val="24"/>
        </w:rPr>
        <w:footnoteReference w:id="6"/>
      </w:r>
      <w:r w:rsidR="00085B82" w:rsidRPr="00DF38C8">
        <w:rPr>
          <w:sz w:val="24"/>
          <w:szCs w:val="24"/>
        </w:rPr>
        <w:t xml:space="preserve"> </w:t>
      </w:r>
    </w:p>
    <w:bookmarkEnd w:id="2"/>
    <w:p w14:paraId="068CA8D1" w14:textId="1CB76E58" w:rsidR="001510D0" w:rsidRPr="00DF38C8" w:rsidRDefault="001510D0" w:rsidP="0058677A">
      <w:pPr>
        <w:jc w:val="both"/>
        <w:rPr>
          <w:i/>
          <w:iCs/>
          <w:sz w:val="24"/>
          <w:szCs w:val="24"/>
        </w:rPr>
      </w:pPr>
      <w:r w:rsidRPr="00DF38C8">
        <w:rPr>
          <w:i/>
          <w:iCs/>
          <w:sz w:val="24"/>
          <w:szCs w:val="24"/>
        </w:rPr>
        <w:t xml:space="preserve">National obligations </w:t>
      </w:r>
    </w:p>
    <w:p w14:paraId="7B505971" w14:textId="0A794A4E" w:rsidR="00975136" w:rsidRPr="00DF38C8" w:rsidRDefault="00194236" w:rsidP="0058677A">
      <w:pPr>
        <w:jc w:val="both"/>
        <w:rPr>
          <w:sz w:val="24"/>
          <w:szCs w:val="24"/>
        </w:rPr>
      </w:pPr>
      <w:bookmarkStart w:id="3" w:name="_Hlk84577318"/>
      <w:r w:rsidRPr="00DF38C8">
        <w:rPr>
          <w:sz w:val="24"/>
          <w:szCs w:val="24"/>
        </w:rPr>
        <w:t>Irish law places obligations on</w:t>
      </w:r>
      <w:r w:rsidR="00005BF7">
        <w:rPr>
          <w:sz w:val="24"/>
          <w:szCs w:val="24"/>
        </w:rPr>
        <w:t xml:space="preserve"> public bodies, including local authorities and Departments of State,</w:t>
      </w:r>
      <w:r w:rsidR="00005BF7">
        <w:rPr>
          <w:rStyle w:val="FootnoteReference"/>
          <w:sz w:val="24"/>
          <w:szCs w:val="24"/>
        </w:rPr>
        <w:footnoteReference w:id="7"/>
      </w:r>
      <w:r w:rsidR="00005BF7">
        <w:rPr>
          <w:sz w:val="24"/>
          <w:szCs w:val="24"/>
        </w:rPr>
        <w:t xml:space="preserve"> </w:t>
      </w:r>
      <w:r w:rsidRPr="00DF38C8">
        <w:rPr>
          <w:sz w:val="24"/>
          <w:szCs w:val="24"/>
        </w:rPr>
        <w:t>to promote effective participation</w:t>
      </w:r>
      <w:r w:rsidRPr="00DF38C8">
        <w:rPr>
          <w:rStyle w:val="FootnoteReference"/>
          <w:sz w:val="24"/>
          <w:szCs w:val="24"/>
        </w:rPr>
        <w:footnoteReference w:id="8"/>
      </w:r>
      <w:r w:rsidRPr="00DF38C8">
        <w:rPr>
          <w:sz w:val="24"/>
          <w:szCs w:val="24"/>
        </w:rPr>
        <w:t xml:space="preserve"> and protect the human rights of those to whom they provide services.</w:t>
      </w:r>
      <w:r w:rsidRPr="00DF38C8">
        <w:rPr>
          <w:rStyle w:val="FootnoteReference"/>
          <w:sz w:val="24"/>
          <w:szCs w:val="24"/>
        </w:rPr>
        <w:footnoteReference w:id="9"/>
      </w:r>
      <w:r w:rsidRPr="00DF38C8">
        <w:rPr>
          <w:sz w:val="24"/>
          <w:szCs w:val="24"/>
        </w:rPr>
        <w:t xml:space="preserve"> This means that when </w:t>
      </w:r>
      <w:r w:rsidR="00B42C0E">
        <w:rPr>
          <w:sz w:val="24"/>
          <w:szCs w:val="24"/>
        </w:rPr>
        <w:t>public bodies</w:t>
      </w:r>
      <w:r w:rsidR="00B42C0E" w:rsidRPr="00DF38C8">
        <w:rPr>
          <w:sz w:val="24"/>
          <w:szCs w:val="24"/>
        </w:rPr>
        <w:t xml:space="preserve"> </w:t>
      </w:r>
      <w:r w:rsidRPr="00DF38C8">
        <w:rPr>
          <w:sz w:val="24"/>
          <w:szCs w:val="24"/>
        </w:rPr>
        <w:t xml:space="preserve">undertake regeneration projects </w:t>
      </w:r>
      <w:r w:rsidRPr="00DF38C8">
        <w:rPr>
          <w:sz w:val="24"/>
          <w:szCs w:val="24"/>
        </w:rPr>
        <w:lastRenderedPageBreak/>
        <w:t xml:space="preserve">they must provide individuals and communities affected with opportunities for meaningful participation in the design and implementation of such projects. Furthermore, they must carry out their housing functions in a way that protects the human rights </w:t>
      </w:r>
      <w:r w:rsidR="00C94733" w:rsidRPr="00DF38C8">
        <w:rPr>
          <w:sz w:val="24"/>
          <w:szCs w:val="24"/>
        </w:rPr>
        <w:t>of</w:t>
      </w:r>
      <w:r w:rsidRPr="00DF38C8">
        <w:rPr>
          <w:sz w:val="24"/>
          <w:szCs w:val="24"/>
        </w:rPr>
        <w:t xml:space="preserve"> individuals and communities in their area, as provided in the international human rights treaties which Ireland has ratified</w:t>
      </w:r>
      <w:r w:rsidR="009B4F39" w:rsidRPr="00DF38C8">
        <w:rPr>
          <w:sz w:val="24"/>
          <w:szCs w:val="24"/>
        </w:rPr>
        <w:t xml:space="preserve"> (outlined below)</w:t>
      </w:r>
      <w:r w:rsidRPr="00DF38C8">
        <w:rPr>
          <w:sz w:val="24"/>
          <w:szCs w:val="24"/>
        </w:rPr>
        <w:t xml:space="preserve">. These legal obligations </w:t>
      </w:r>
      <w:r w:rsidR="00975136" w:rsidRPr="00DF38C8">
        <w:rPr>
          <w:sz w:val="24"/>
          <w:szCs w:val="24"/>
        </w:rPr>
        <w:t xml:space="preserve">are bolstered by </w:t>
      </w:r>
      <w:r w:rsidRPr="00DF38C8">
        <w:rPr>
          <w:sz w:val="24"/>
          <w:szCs w:val="24"/>
        </w:rPr>
        <w:t xml:space="preserve">political commitments </w:t>
      </w:r>
      <w:r w:rsidR="00975136" w:rsidRPr="00DF38C8">
        <w:rPr>
          <w:sz w:val="24"/>
          <w:szCs w:val="24"/>
        </w:rPr>
        <w:t xml:space="preserve">made by successive Irish Governments </w:t>
      </w:r>
      <w:r w:rsidRPr="00DF38C8">
        <w:rPr>
          <w:sz w:val="24"/>
          <w:szCs w:val="24"/>
        </w:rPr>
        <w:t xml:space="preserve">that regeneration projects </w:t>
      </w:r>
      <w:r w:rsidR="00975136" w:rsidRPr="00DF38C8">
        <w:rPr>
          <w:sz w:val="24"/>
          <w:szCs w:val="24"/>
        </w:rPr>
        <w:t>should be</w:t>
      </w:r>
      <w:r w:rsidRPr="00DF38C8">
        <w:rPr>
          <w:sz w:val="24"/>
          <w:szCs w:val="24"/>
        </w:rPr>
        <w:t xml:space="preserve"> undertaken in a way that </w:t>
      </w:r>
      <w:r w:rsidR="00A14D47" w:rsidRPr="00DF38C8">
        <w:rPr>
          <w:sz w:val="24"/>
          <w:szCs w:val="24"/>
        </w:rPr>
        <w:t xml:space="preserve">recognises the importance of both material and social regeneration in </w:t>
      </w:r>
      <w:r w:rsidRPr="00DF38C8">
        <w:rPr>
          <w:sz w:val="24"/>
          <w:szCs w:val="24"/>
        </w:rPr>
        <w:t>crea</w:t>
      </w:r>
      <w:r w:rsidR="00A14D47" w:rsidRPr="00DF38C8">
        <w:rPr>
          <w:sz w:val="24"/>
          <w:szCs w:val="24"/>
        </w:rPr>
        <w:t>ting</w:t>
      </w:r>
      <w:r w:rsidRPr="00DF38C8">
        <w:rPr>
          <w:sz w:val="24"/>
          <w:szCs w:val="24"/>
        </w:rPr>
        <w:t xml:space="preserve"> sustainable communities.</w:t>
      </w:r>
      <w:r w:rsidR="00975136" w:rsidRPr="00DF38C8">
        <w:rPr>
          <w:rStyle w:val="FootnoteReference"/>
          <w:sz w:val="24"/>
          <w:szCs w:val="24"/>
        </w:rPr>
        <w:footnoteReference w:id="10"/>
      </w:r>
      <w:r w:rsidRPr="00DF38C8">
        <w:rPr>
          <w:sz w:val="24"/>
          <w:szCs w:val="24"/>
        </w:rPr>
        <w:t xml:space="preserve"> This has been “an enduring goal” of Irish housing policy in recent decades </w:t>
      </w:r>
      <w:r w:rsidR="00975136" w:rsidRPr="00DF38C8">
        <w:rPr>
          <w:sz w:val="24"/>
          <w:szCs w:val="24"/>
        </w:rPr>
        <w:t xml:space="preserve">and it has been replicated in </w:t>
      </w:r>
      <w:r w:rsidR="006A2C94" w:rsidRPr="00DF38C8">
        <w:rPr>
          <w:sz w:val="24"/>
          <w:szCs w:val="24"/>
        </w:rPr>
        <w:t>national</w:t>
      </w:r>
      <w:r w:rsidRPr="00DF38C8">
        <w:rPr>
          <w:sz w:val="24"/>
          <w:szCs w:val="24"/>
        </w:rPr>
        <w:t xml:space="preserve"> </w:t>
      </w:r>
      <w:r w:rsidR="00005BF7">
        <w:rPr>
          <w:sz w:val="24"/>
          <w:szCs w:val="24"/>
        </w:rPr>
        <w:t xml:space="preserve">Departmental </w:t>
      </w:r>
      <w:r w:rsidRPr="00DF38C8">
        <w:rPr>
          <w:sz w:val="24"/>
          <w:szCs w:val="24"/>
        </w:rPr>
        <w:t>guidance on regeneration</w:t>
      </w:r>
      <w:r w:rsidR="00975136" w:rsidRPr="00DF38C8">
        <w:rPr>
          <w:rStyle w:val="FootnoteReference"/>
          <w:sz w:val="24"/>
          <w:szCs w:val="24"/>
        </w:rPr>
        <w:footnoteReference w:id="11"/>
      </w:r>
      <w:r w:rsidRPr="00DF38C8">
        <w:rPr>
          <w:sz w:val="24"/>
          <w:szCs w:val="24"/>
        </w:rPr>
        <w:t xml:space="preserve"> </w:t>
      </w:r>
      <w:r w:rsidR="00975136" w:rsidRPr="00DF38C8">
        <w:rPr>
          <w:sz w:val="24"/>
          <w:szCs w:val="24"/>
        </w:rPr>
        <w:t>and in local authority development plans.</w:t>
      </w:r>
      <w:r w:rsidR="00975136" w:rsidRPr="00DF38C8">
        <w:rPr>
          <w:rStyle w:val="FootnoteReference"/>
          <w:sz w:val="24"/>
          <w:szCs w:val="24"/>
        </w:rPr>
        <w:footnoteReference w:id="12"/>
      </w:r>
      <w:r w:rsidR="00613DF6" w:rsidRPr="00DF38C8">
        <w:rPr>
          <w:sz w:val="24"/>
          <w:szCs w:val="24"/>
        </w:rPr>
        <w:t xml:space="preserve"> The current State Housing Plan – </w:t>
      </w:r>
      <w:r w:rsidR="00613DF6" w:rsidRPr="00DF38C8">
        <w:rPr>
          <w:i/>
          <w:iCs/>
          <w:sz w:val="24"/>
          <w:szCs w:val="24"/>
        </w:rPr>
        <w:t>Housing for All</w:t>
      </w:r>
      <w:r w:rsidR="00613DF6" w:rsidRPr="00DF38C8">
        <w:rPr>
          <w:sz w:val="24"/>
          <w:szCs w:val="24"/>
        </w:rPr>
        <w:t xml:space="preserve"> (2021)(p. 122) states: </w:t>
      </w:r>
    </w:p>
    <w:p w14:paraId="6930BF7D" w14:textId="761AE80C" w:rsidR="00613DF6" w:rsidRPr="00DF38C8" w:rsidRDefault="00613DF6" w:rsidP="00E424A0">
      <w:pPr>
        <w:autoSpaceDE w:val="0"/>
        <w:autoSpaceDN w:val="0"/>
        <w:adjustRightInd w:val="0"/>
        <w:spacing w:after="0" w:line="240" w:lineRule="auto"/>
        <w:ind w:left="720"/>
        <w:rPr>
          <w:sz w:val="24"/>
          <w:szCs w:val="24"/>
        </w:rPr>
      </w:pPr>
      <w:r w:rsidRPr="00DF38C8">
        <w:rPr>
          <w:rFonts w:ascii="_ï'51∑˛" w:hAnsi="_ï'51∑˛" w:cs="_ï'51∑˛"/>
          <w:i/>
          <w:iCs/>
          <w:sz w:val="24"/>
          <w:szCs w:val="24"/>
          <w:lang w:val="en-GB"/>
        </w:rPr>
        <w:t>The creation of sustainable communities has been an enduring goal of housing policy in recent decades. Sustainable communities are places where people want to live and work. They meet the diverse needs of existing and future residents, are sensitive to their environment and contribute to high quality of life. They are safe and inclusive, well planned, and offer equality of opportunity and good services for all</w:t>
      </w:r>
      <w:r w:rsidRPr="00DF38C8">
        <w:rPr>
          <w:rFonts w:ascii="_ï'51∑˛" w:hAnsi="_ï'51∑˛" w:cs="_ï'51∑˛"/>
          <w:sz w:val="24"/>
          <w:szCs w:val="24"/>
          <w:lang w:val="en-GB"/>
        </w:rPr>
        <w:t>.</w:t>
      </w:r>
    </w:p>
    <w:bookmarkEnd w:id="3"/>
    <w:p w14:paraId="1DE716FA" w14:textId="77777777" w:rsidR="00353953" w:rsidRPr="00DF38C8" w:rsidRDefault="00353953" w:rsidP="0058677A">
      <w:pPr>
        <w:jc w:val="both"/>
        <w:rPr>
          <w:i/>
          <w:iCs/>
          <w:sz w:val="24"/>
          <w:szCs w:val="24"/>
        </w:rPr>
      </w:pPr>
    </w:p>
    <w:p w14:paraId="26D4A3FC" w14:textId="64F4C99A" w:rsidR="001510D0" w:rsidRPr="00DF38C8" w:rsidRDefault="001510D0" w:rsidP="0058677A">
      <w:pPr>
        <w:jc w:val="both"/>
        <w:rPr>
          <w:i/>
          <w:iCs/>
          <w:sz w:val="24"/>
          <w:szCs w:val="24"/>
        </w:rPr>
      </w:pPr>
      <w:r w:rsidRPr="00DF38C8">
        <w:rPr>
          <w:i/>
          <w:iCs/>
          <w:sz w:val="24"/>
          <w:szCs w:val="24"/>
        </w:rPr>
        <w:t xml:space="preserve">International </w:t>
      </w:r>
      <w:r w:rsidR="00975136" w:rsidRPr="00DF38C8">
        <w:rPr>
          <w:i/>
          <w:iCs/>
          <w:sz w:val="24"/>
          <w:szCs w:val="24"/>
        </w:rPr>
        <w:t xml:space="preserve">obligations </w:t>
      </w:r>
    </w:p>
    <w:p w14:paraId="50B34583" w14:textId="42ECC87D" w:rsidR="008374EB" w:rsidRPr="00DF38C8" w:rsidRDefault="00585010" w:rsidP="00585010">
      <w:pPr>
        <w:jc w:val="both"/>
        <w:rPr>
          <w:sz w:val="24"/>
          <w:szCs w:val="24"/>
          <w:lang w:val="en-GB"/>
        </w:rPr>
      </w:pPr>
      <w:r w:rsidRPr="00DF38C8">
        <w:rPr>
          <w:sz w:val="24"/>
          <w:szCs w:val="24"/>
          <w:lang w:val="en-GB"/>
        </w:rPr>
        <w:t>Ireland has accepted obligations in international law to protect, respect and promote human rights at a national, regional and local level.</w:t>
      </w:r>
      <w:r w:rsidR="00005BF7">
        <w:rPr>
          <w:rStyle w:val="FootnoteReference"/>
          <w:sz w:val="24"/>
          <w:szCs w:val="24"/>
          <w:lang w:val="en-GB"/>
        </w:rPr>
        <w:footnoteReference w:id="13"/>
      </w:r>
      <w:r w:rsidRPr="00DF38C8">
        <w:rPr>
          <w:sz w:val="24"/>
          <w:szCs w:val="24"/>
          <w:lang w:val="en-GB"/>
        </w:rPr>
        <w:t xml:space="preserve"> These treaties establish the rights of individuals and impose obligations on states to protect, fulfil and promote such rights. Many of the rights contained in these treaties are relevant to urban renewal and regeneration, </w:t>
      </w:r>
      <w:r w:rsidR="008859AD" w:rsidRPr="00DF38C8">
        <w:rPr>
          <w:sz w:val="24"/>
          <w:szCs w:val="24"/>
          <w:lang w:val="en-GB"/>
        </w:rPr>
        <w:t xml:space="preserve">but </w:t>
      </w:r>
      <w:r w:rsidRPr="00DF38C8">
        <w:rPr>
          <w:sz w:val="24"/>
          <w:szCs w:val="24"/>
          <w:lang w:val="en-GB"/>
        </w:rPr>
        <w:t xml:space="preserve">the right to </w:t>
      </w:r>
      <w:r w:rsidR="00024726" w:rsidRPr="00DF38C8">
        <w:rPr>
          <w:sz w:val="24"/>
          <w:szCs w:val="24"/>
          <w:lang w:val="en-GB"/>
        </w:rPr>
        <w:t xml:space="preserve">adequate </w:t>
      </w:r>
      <w:r w:rsidRPr="00DF38C8">
        <w:rPr>
          <w:sz w:val="24"/>
          <w:szCs w:val="24"/>
          <w:lang w:val="en-GB"/>
        </w:rPr>
        <w:t xml:space="preserve">housing </w:t>
      </w:r>
      <w:r w:rsidR="00024726" w:rsidRPr="00DF38C8">
        <w:rPr>
          <w:sz w:val="24"/>
          <w:szCs w:val="24"/>
          <w:lang w:val="en-GB"/>
        </w:rPr>
        <w:t>is</w:t>
      </w:r>
      <w:r w:rsidRPr="00DF38C8">
        <w:rPr>
          <w:sz w:val="24"/>
          <w:szCs w:val="24"/>
          <w:lang w:val="en-GB"/>
        </w:rPr>
        <w:t xml:space="preserve"> particularly significant in this context. </w:t>
      </w:r>
    </w:p>
    <w:p w14:paraId="30D51B51" w14:textId="2EB074F4" w:rsidR="00DB768A" w:rsidRPr="00DF38C8" w:rsidRDefault="008374EB" w:rsidP="00DB768A">
      <w:pPr>
        <w:jc w:val="both"/>
        <w:rPr>
          <w:sz w:val="24"/>
          <w:szCs w:val="24"/>
          <w:lang w:val="en-GB"/>
        </w:rPr>
      </w:pPr>
      <w:r w:rsidRPr="00DF38C8">
        <w:rPr>
          <w:sz w:val="24"/>
          <w:szCs w:val="24"/>
          <w:lang w:val="en-GB"/>
        </w:rPr>
        <w:t>The Republic of Ireland has accepted and ratified the International Covenant on Economic, Social and Cultural Rights (ICESCR) and the European Social Charter. Under Article 11 of the ICESCR, the Republic of Ireland has accepted an obligation to ensure an adequate standard of living “including adequate food, clothing and housing, and the continuous improvement of living conditions". Housing is treated as a discrete right derived from Article 11.</w:t>
      </w:r>
      <w:r w:rsidRPr="00DF38C8">
        <w:rPr>
          <w:sz w:val="24"/>
          <w:szCs w:val="24"/>
          <w:vertAlign w:val="superscript"/>
          <w:lang w:val="en-GB"/>
        </w:rPr>
        <w:footnoteReference w:id="14"/>
      </w:r>
      <w:r w:rsidR="00DB768A" w:rsidRPr="00DF38C8">
        <w:rPr>
          <w:sz w:val="24"/>
          <w:szCs w:val="24"/>
          <w:lang w:val="en-GB"/>
        </w:rPr>
        <w:t xml:space="preserve"> </w:t>
      </w:r>
      <w:r w:rsidRPr="00DF38C8">
        <w:rPr>
          <w:sz w:val="24"/>
          <w:szCs w:val="24"/>
          <w:lang w:val="en-GB"/>
        </w:rPr>
        <w:t>In General Comment 4, the</w:t>
      </w:r>
      <w:r w:rsidR="00DB768A" w:rsidRPr="00DF38C8">
        <w:rPr>
          <w:sz w:val="24"/>
          <w:szCs w:val="24"/>
          <w:lang w:val="en-GB"/>
        </w:rPr>
        <w:t xml:space="preserve"> UN Committee on Economic Social and Cultural Rights</w:t>
      </w:r>
      <w:r w:rsidRPr="00DF38C8">
        <w:rPr>
          <w:sz w:val="24"/>
          <w:szCs w:val="24"/>
          <w:lang w:val="en-GB"/>
        </w:rPr>
        <w:t xml:space="preserve"> outlined seven essential elements which must be present in order for housing to be considered adequate and for the right to housing to be enjoyed e.g. security of tenure, affordability</w:t>
      </w:r>
      <w:r w:rsidR="00AA3D0A" w:rsidRPr="00DF38C8">
        <w:rPr>
          <w:sz w:val="24"/>
          <w:szCs w:val="24"/>
          <w:lang w:val="en-GB"/>
        </w:rPr>
        <w:t>, safe and habitable</w:t>
      </w:r>
      <w:r w:rsidRPr="00DF38C8">
        <w:rPr>
          <w:sz w:val="24"/>
          <w:szCs w:val="24"/>
          <w:lang w:val="en-GB"/>
        </w:rPr>
        <w:t>. Within each element, there “are a set of highly specific sub-elements”.</w:t>
      </w:r>
      <w:r w:rsidRPr="00DF38C8">
        <w:rPr>
          <w:sz w:val="24"/>
          <w:szCs w:val="24"/>
          <w:vertAlign w:val="superscript"/>
          <w:lang w:val="en-GB"/>
        </w:rPr>
        <w:footnoteReference w:id="15"/>
      </w:r>
      <w:r w:rsidRPr="00DF38C8">
        <w:rPr>
          <w:sz w:val="24"/>
          <w:szCs w:val="24"/>
          <w:lang w:val="en-GB"/>
        </w:rPr>
        <w:t xml:space="preserve"> </w:t>
      </w:r>
      <w:r w:rsidR="00DB768A" w:rsidRPr="00DF38C8">
        <w:rPr>
          <w:sz w:val="24"/>
          <w:szCs w:val="24"/>
          <w:lang w:val="en-GB"/>
        </w:rPr>
        <w:t xml:space="preserve">Under the </w:t>
      </w:r>
      <w:r w:rsidR="00DB768A" w:rsidRPr="00DF38C8">
        <w:rPr>
          <w:sz w:val="24"/>
          <w:szCs w:val="24"/>
          <w:lang w:val="en-GB"/>
        </w:rPr>
        <w:lastRenderedPageBreak/>
        <w:t>ICESCR Ireland has accepted an obligation to “take appropriate steps” towards the progressive realisation of the right to adequate housing.</w:t>
      </w:r>
      <w:r w:rsidR="00DB768A" w:rsidRPr="00DF38C8">
        <w:rPr>
          <w:sz w:val="24"/>
          <w:szCs w:val="24"/>
          <w:vertAlign w:val="superscript"/>
          <w:lang w:val="en-GB"/>
        </w:rPr>
        <w:footnoteReference w:id="16"/>
      </w:r>
      <w:r w:rsidR="00DB768A" w:rsidRPr="00DF38C8">
        <w:rPr>
          <w:sz w:val="24"/>
          <w:szCs w:val="24"/>
          <w:lang w:val="en-GB"/>
        </w:rPr>
        <w:t xml:space="preserve"> This requires the state to show that measures being taken are “sufficient to realise the right for every individual in the shortest possible time in accordance with the maximum of available resources.”.</w:t>
      </w:r>
      <w:r w:rsidR="00DB768A" w:rsidRPr="00DF38C8">
        <w:rPr>
          <w:sz w:val="24"/>
          <w:szCs w:val="24"/>
          <w:vertAlign w:val="superscript"/>
          <w:lang w:val="en-GB"/>
        </w:rPr>
        <w:footnoteReference w:id="17"/>
      </w:r>
    </w:p>
    <w:p w14:paraId="63D05FED" w14:textId="0C9DAAA2" w:rsidR="00950D1E" w:rsidRPr="00DF38C8" w:rsidRDefault="005D0E0D" w:rsidP="00950D1E">
      <w:pPr>
        <w:jc w:val="both"/>
        <w:rPr>
          <w:rFonts w:cstheme="minorHAnsi"/>
          <w:sz w:val="24"/>
          <w:szCs w:val="24"/>
          <w:lang w:val="en-GB"/>
        </w:rPr>
      </w:pPr>
      <w:r w:rsidRPr="00DF38C8">
        <w:rPr>
          <w:sz w:val="24"/>
          <w:szCs w:val="24"/>
          <w:lang w:val="en-GB"/>
        </w:rPr>
        <w:t xml:space="preserve">The right to housing is also recognised in a number of articles of the European Social Charter </w:t>
      </w:r>
      <w:r w:rsidR="008374EB" w:rsidRPr="00DF38C8">
        <w:rPr>
          <w:sz w:val="24"/>
          <w:szCs w:val="24"/>
          <w:lang w:val="en-GB"/>
        </w:rPr>
        <w:t xml:space="preserve">which </w:t>
      </w:r>
      <w:r w:rsidRPr="00DF38C8">
        <w:rPr>
          <w:sz w:val="24"/>
          <w:szCs w:val="24"/>
          <w:lang w:val="en-GB"/>
        </w:rPr>
        <w:t>Ireland has accepted and ratified. In particular, Article 16 RESC imposes obligations on Ireland to promote the provision of an adequate supply of housing for families, take the needs of families into account in housing policies and ensure that existing housing be of an adequate standard and include essential services.</w:t>
      </w:r>
      <w:r w:rsidR="00595D4B" w:rsidRPr="00DF38C8">
        <w:rPr>
          <w:sz w:val="24"/>
          <w:szCs w:val="24"/>
          <w:lang w:val="en-GB"/>
        </w:rPr>
        <w:t xml:space="preserve"> </w:t>
      </w:r>
      <w:r w:rsidR="00950D1E" w:rsidRPr="00DF38C8">
        <w:rPr>
          <w:sz w:val="24"/>
          <w:szCs w:val="24"/>
          <w:lang w:val="en-GB"/>
        </w:rPr>
        <w:t>This is not simply a rhetorical commitment. I</w:t>
      </w:r>
      <w:r w:rsidRPr="00DF38C8">
        <w:rPr>
          <w:sz w:val="24"/>
          <w:szCs w:val="24"/>
          <w:lang w:val="en-GB"/>
        </w:rPr>
        <w:t xml:space="preserve">n </w:t>
      </w:r>
      <w:r w:rsidRPr="00DF38C8">
        <w:rPr>
          <w:rFonts w:cstheme="minorHAnsi"/>
          <w:i/>
          <w:iCs/>
          <w:sz w:val="24"/>
          <w:szCs w:val="24"/>
        </w:rPr>
        <w:t>International Human Rights Federation (FIDH) v. Ireland</w:t>
      </w:r>
      <w:r w:rsidRPr="00DF38C8">
        <w:rPr>
          <w:rFonts w:cstheme="minorHAnsi"/>
          <w:sz w:val="24"/>
          <w:szCs w:val="24"/>
        </w:rPr>
        <w:t>, Complaint No. 110/2014 (</w:t>
      </w:r>
      <w:r w:rsidRPr="00DF38C8">
        <w:rPr>
          <w:rFonts w:cstheme="minorHAnsi"/>
          <w:i/>
          <w:iCs/>
          <w:sz w:val="24"/>
          <w:szCs w:val="24"/>
        </w:rPr>
        <w:t xml:space="preserve">FIDH v. Ireland) </w:t>
      </w:r>
      <w:r w:rsidRPr="00DF38C8">
        <w:rPr>
          <w:rFonts w:cstheme="minorHAnsi"/>
          <w:sz w:val="24"/>
          <w:szCs w:val="24"/>
        </w:rPr>
        <w:t>the European Committee of Social Rights (</w:t>
      </w:r>
      <w:r w:rsidR="009B0544" w:rsidRPr="00DF38C8">
        <w:rPr>
          <w:rFonts w:cstheme="minorHAnsi"/>
          <w:sz w:val="24"/>
          <w:szCs w:val="24"/>
        </w:rPr>
        <w:t>‘</w:t>
      </w:r>
      <w:r w:rsidRPr="00DF38C8">
        <w:rPr>
          <w:rFonts w:cstheme="minorHAnsi"/>
          <w:sz w:val="24"/>
          <w:szCs w:val="24"/>
        </w:rPr>
        <w:t>the Committee</w:t>
      </w:r>
      <w:r w:rsidR="009B0544" w:rsidRPr="00DF38C8">
        <w:rPr>
          <w:rFonts w:cstheme="minorHAnsi"/>
          <w:sz w:val="24"/>
          <w:szCs w:val="24"/>
        </w:rPr>
        <w:t>’</w:t>
      </w:r>
      <w:r w:rsidRPr="00DF38C8">
        <w:rPr>
          <w:rFonts w:cstheme="minorHAnsi"/>
          <w:sz w:val="24"/>
          <w:szCs w:val="24"/>
        </w:rPr>
        <w:t xml:space="preserve">) </w:t>
      </w:r>
      <w:r w:rsidR="00950D1E" w:rsidRPr="00DF38C8">
        <w:rPr>
          <w:rFonts w:cstheme="minorHAnsi"/>
          <w:sz w:val="24"/>
          <w:szCs w:val="24"/>
          <w:lang w:val="en-GB"/>
        </w:rPr>
        <w:t>found that a significant number of families living in Local Authority Housing in Ireland reside in poor housing conditions amounting to housing that is inadequate in nature.</w:t>
      </w:r>
      <w:r w:rsidR="00950D1E" w:rsidRPr="00DF38C8">
        <w:rPr>
          <w:rFonts w:cstheme="minorHAnsi"/>
          <w:sz w:val="24"/>
          <w:szCs w:val="24"/>
          <w:vertAlign w:val="superscript"/>
          <w:lang w:val="en-GB"/>
        </w:rPr>
        <w:footnoteReference w:id="18"/>
      </w:r>
      <w:r w:rsidR="00950D1E" w:rsidRPr="00DF38C8">
        <w:rPr>
          <w:rFonts w:cstheme="minorHAnsi"/>
          <w:sz w:val="24"/>
          <w:szCs w:val="24"/>
          <w:lang w:val="en-GB"/>
        </w:rPr>
        <w:t xml:space="preserve"> The Committee found that persistent conditions like sewage invasions, contaminated water, dampness and mould go “to the core of what adequate housing means.”</w:t>
      </w:r>
      <w:r w:rsidR="00950D1E" w:rsidRPr="00DF38C8">
        <w:rPr>
          <w:rFonts w:cstheme="minorHAnsi"/>
          <w:sz w:val="24"/>
          <w:szCs w:val="24"/>
          <w:vertAlign w:val="superscript"/>
          <w:lang w:val="en-GB"/>
        </w:rPr>
        <w:footnoteReference w:id="19"/>
      </w:r>
      <w:r w:rsidR="00950D1E" w:rsidRPr="00DF38C8">
        <w:rPr>
          <w:rFonts w:cstheme="minorHAnsi"/>
          <w:sz w:val="24"/>
          <w:szCs w:val="24"/>
          <w:lang w:val="en-GB"/>
        </w:rPr>
        <w:t xml:space="preserve"> The inadequate housing conditions at the centre of this case have not </w:t>
      </w:r>
      <w:r w:rsidR="00DB768A" w:rsidRPr="00DF38C8">
        <w:rPr>
          <w:rFonts w:cstheme="minorHAnsi"/>
          <w:sz w:val="24"/>
          <w:szCs w:val="24"/>
          <w:lang w:val="en-GB"/>
        </w:rPr>
        <w:t xml:space="preserve">yet </w:t>
      </w:r>
      <w:r w:rsidR="00950D1E" w:rsidRPr="00DF38C8">
        <w:rPr>
          <w:rFonts w:cstheme="minorHAnsi"/>
          <w:sz w:val="24"/>
          <w:szCs w:val="24"/>
          <w:lang w:val="en-GB"/>
        </w:rPr>
        <w:t>been addressed and, as the Committee</w:t>
      </w:r>
      <w:r w:rsidR="00DB768A" w:rsidRPr="00DF38C8">
        <w:rPr>
          <w:rFonts w:cstheme="minorHAnsi"/>
          <w:sz w:val="24"/>
          <w:szCs w:val="24"/>
          <w:lang w:val="en-GB"/>
        </w:rPr>
        <w:t xml:space="preserve"> </w:t>
      </w:r>
      <w:r w:rsidR="00950D1E" w:rsidRPr="00DF38C8">
        <w:rPr>
          <w:rFonts w:cstheme="minorHAnsi"/>
          <w:sz w:val="24"/>
          <w:szCs w:val="24"/>
          <w:lang w:val="en-GB"/>
        </w:rPr>
        <w:t>have repeatedly determined, Ireland remains in violation of Article 16</w:t>
      </w:r>
      <w:r w:rsidR="00DB768A" w:rsidRPr="00DF38C8">
        <w:rPr>
          <w:rFonts w:cstheme="minorHAnsi"/>
          <w:sz w:val="24"/>
          <w:szCs w:val="24"/>
          <w:lang w:val="en-GB"/>
        </w:rPr>
        <w:t xml:space="preserve">. </w:t>
      </w:r>
    </w:p>
    <w:p w14:paraId="1EBBA4CB" w14:textId="3812102B" w:rsidR="00FC04E2" w:rsidRPr="00DF38C8" w:rsidRDefault="00FC04E2" w:rsidP="00FC04E2">
      <w:pPr>
        <w:jc w:val="both"/>
        <w:rPr>
          <w:rFonts w:cstheme="minorHAnsi"/>
          <w:sz w:val="24"/>
          <w:szCs w:val="24"/>
        </w:rPr>
      </w:pPr>
      <w:r w:rsidRPr="00DF38C8">
        <w:rPr>
          <w:rFonts w:cstheme="minorHAnsi"/>
          <w:sz w:val="24"/>
          <w:szCs w:val="24"/>
        </w:rPr>
        <w:t xml:space="preserve">The Committee have made clear that when </w:t>
      </w:r>
      <w:r w:rsidR="00213DC8" w:rsidRPr="00DF38C8">
        <w:rPr>
          <w:rFonts w:cstheme="minorHAnsi"/>
          <w:sz w:val="24"/>
          <w:szCs w:val="24"/>
        </w:rPr>
        <w:t xml:space="preserve">realising </w:t>
      </w:r>
      <w:r w:rsidRPr="00DF38C8">
        <w:rPr>
          <w:rFonts w:cstheme="minorHAnsi"/>
          <w:sz w:val="24"/>
          <w:szCs w:val="24"/>
        </w:rPr>
        <w:t>one of the rights in question is exceptionally complex and particularly expensive to implement, states party must take steps to achieve the objectives of the Charter within a reasonable time, with measurable progress and making maximum use of available resources.</w:t>
      </w:r>
      <w:r w:rsidRPr="00DF38C8">
        <w:rPr>
          <w:rStyle w:val="FootnoteReference"/>
          <w:rFonts w:cstheme="minorHAnsi"/>
          <w:sz w:val="24"/>
          <w:szCs w:val="24"/>
        </w:rPr>
        <w:footnoteReference w:id="20"/>
      </w:r>
      <w:r w:rsidRPr="00DF38C8">
        <w:rPr>
          <w:rFonts w:cstheme="minorHAnsi"/>
          <w:sz w:val="24"/>
          <w:szCs w:val="24"/>
        </w:rPr>
        <w:t xml:space="preserve"> Obligations under the Charter, while not imposing an “obligation of results” </w:t>
      </w:r>
      <w:r w:rsidR="009B0544" w:rsidRPr="00DF38C8">
        <w:rPr>
          <w:rFonts w:cstheme="minorHAnsi"/>
          <w:sz w:val="24"/>
          <w:szCs w:val="24"/>
        </w:rPr>
        <w:t>require governments to</w:t>
      </w:r>
      <w:r w:rsidRPr="00DF38C8">
        <w:rPr>
          <w:rFonts w:cstheme="minorHAnsi"/>
          <w:sz w:val="24"/>
          <w:szCs w:val="24"/>
        </w:rPr>
        <w:t xml:space="preserve"> take a “practical and effective, rather than purely theoretical form”.</w:t>
      </w:r>
      <w:r w:rsidRPr="00DF38C8">
        <w:rPr>
          <w:rStyle w:val="FootnoteReference"/>
          <w:rFonts w:cstheme="minorHAnsi"/>
          <w:sz w:val="24"/>
          <w:szCs w:val="24"/>
        </w:rPr>
        <w:footnoteReference w:id="21"/>
      </w:r>
      <w:r w:rsidRPr="00DF38C8">
        <w:rPr>
          <w:rFonts w:cstheme="minorHAnsi"/>
          <w:sz w:val="24"/>
          <w:szCs w:val="24"/>
        </w:rPr>
        <w:t xml:space="preserve"> For the situation to be compatible with the Charter, the Irish State must:</w:t>
      </w:r>
    </w:p>
    <w:p w14:paraId="1FADBCAA" w14:textId="77777777" w:rsidR="00FC04E2" w:rsidRPr="00DF38C8" w:rsidRDefault="00FC04E2" w:rsidP="00FC04E2">
      <w:pPr>
        <w:pStyle w:val="ListParagraph"/>
        <w:numPr>
          <w:ilvl w:val="0"/>
          <w:numId w:val="6"/>
        </w:numPr>
        <w:spacing w:line="240" w:lineRule="auto"/>
        <w:jc w:val="both"/>
        <w:rPr>
          <w:rFonts w:cstheme="minorHAnsi"/>
          <w:sz w:val="24"/>
          <w:szCs w:val="24"/>
        </w:rPr>
      </w:pPr>
      <w:r w:rsidRPr="00DF38C8">
        <w:rPr>
          <w:rFonts w:cstheme="minorHAnsi"/>
          <w:sz w:val="24"/>
          <w:szCs w:val="24"/>
        </w:rPr>
        <w:t xml:space="preserve">adopt the necessary legal, financial and operational means of ensuring steady progress towards achieving the goals laid down by the Charter; </w:t>
      </w:r>
    </w:p>
    <w:p w14:paraId="672B9315" w14:textId="77777777" w:rsidR="00FC04E2" w:rsidRPr="00DF38C8" w:rsidRDefault="00FC04E2" w:rsidP="00FC04E2">
      <w:pPr>
        <w:pStyle w:val="ListParagraph"/>
        <w:numPr>
          <w:ilvl w:val="0"/>
          <w:numId w:val="6"/>
        </w:numPr>
        <w:spacing w:line="240" w:lineRule="auto"/>
        <w:jc w:val="both"/>
        <w:rPr>
          <w:rFonts w:cstheme="minorHAnsi"/>
          <w:sz w:val="24"/>
          <w:szCs w:val="24"/>
        </w:rPr>
      </w:pPr>
      <w:r w:rsidRPr="00DF38C8">
        <w:rPr>
          <w:rFonts w:cstheme="minorHAnsi"/>
          <w:sz w:val="24"/>
          <w:szCs w:val="24"/>
        </w:rPr>
        <w:t xml:space="preserve">maintain meaningful statistics on needs, resources and results; </w:t>
      </w:r>
    </w:p>
    <w:p w14:paraId="0DB677DB" w14:textId="77777777" w:rsidR="00FC04E2" w:rsidRPr="00DF38C8" w:rsidRDefault="00FC04E2" w:rsidP="00FC04E2">
      <w:pPr>
        <w:pStyle w:val="ListParagraph"/>
        <w:numPr>
          <w:ilvl w:val="0"/>
          <w:numId w:val="6"/>
        </w:numPr>
        <w:spacing w:line="240" w:lineRule="auto"/>
        <w:jc w:val="both"/>
        <w:rPr>
          <w:rFonts w:cstheme="minorHAnsi"/>
          <w:sz w:val="24"/>
          <w:szCs w:val="24"/>
        </w:rPr>
      </w:pPr>
      <w:r w:rsidRPr="00DF38C8">
        <w:rPr>
          <w:rFonts w:cstheme="minorHAnsi"/>
          <w:sz w:val="24"/>
          <w:szCs w:val="24"/>
        </w:rPr>
        <w:t xml:space="preserve">undertake regular reviews of the impact of the strategies adopted; </w:t>
      </w:r>
    </w:p>
    <w:p w14:paraId="2C20BD43" w14:textId="77777777" w:rsidR="00FC04E2" w:rsidRPr="00DF38C8" w:rsidRDefault="00FC04E2" w:rsidP="00FC04E2">
      <w:pPr>
        <w:pStyle w:val="ListParagraph"/>
        <w:numPr>
          <w:ilvl w:val="0"/>
          <w:numId w:val="6"/>
        </w:numPr>
        <w:spacing w:line="240" w:lineRule="auto"/>
        <w:jc w:val="both"/>
        <w:rPr>
          <w:rFonts w:cstheme="minorHAnsi"/>
          <w:sz w:val="24"/>
          <w:szCs w:val="24"/>
        </w:rPr>
      </w:pPr>
      <w:r w:rsidRPr="00DF38C8">
        <w:rPr>
          <w:rFonts w:cstheme="minorHAnsi"/>
          <w:sz w:val="24"/>
          <w:szCs w:val="24"/>
        </w:rPr>
        <w:t xml:space="preserve">establish a timetable and not defer indefinitely the deadline for achieving the objectives of each stage; </w:t>
      </w:r>
    </w:p>
    <w:p w14:paraId="7F098FB9" w14:textId="03034CF3" w:rsidR="00FC04E2" w:rsidRPr="00DF38C8" w:rsidRDefault="00FC04E2" w:rsidP="00FC04E2">
      <w:pPr>
        <w:pStyle w:val="ListParagraph"/>
        <w:numPr>
          <w:ilvl w:val="0"/>
          <w:numId w:val="6"/>
        </w:numPr>
        <w:spacing w:line="240" w:lineRule="auto"/>
        <w:jc w:val="both"/>
        <w:rPr>
          <w:rFonts w:cstheme="minorHAnsi"/>
          <w:sz w:val="24"/>
          <w:szCs w:val="24"/>
        </w:rPr>
      </w:pPr>
      <w:r w:rsidRPr="00DF38C8">
        <w:rPr>
          <w:rFonts w:cstheme="minorHAnsi"/>
          <w:sz w:val="24"/>
          <w:szCs w:val="24"/>
        </w:rPr>
        <w:t>pay close attention to the impact of the policies adopted on each of the categories of persons concerned, particularly the most vulnerable.</w:t>
      </w:r>
    </w:p>
    <w:p w14:paraId="4B60B694" w14:textId="314A7BDC" w:rsidR="00210583" w:rsidRPr="00DF38C8" w:rsidRDefault="00210583" w:rsidP="005D0E0D">
      <w:pPr>
        <w:jc w:val="both"/>
        <w:rPr>
          <w:rFonts w:cstheme="minorHAnsi"/>
          <w:i/>
          <w:iCs/>
          <w:sz w:val="24"/>
          <w:szCs w:val="24"/>
        </w:rPr>
      </w:pPr>
      <w:r w:rsidRPr="00DF38C8">
        <w:rPr>
          <w:rFonts w:cstheme="minorHAnsi"/>
          <w:i/>
          <w:iCs/>
          <w:sz w:val="24"/>
          <w:szCs w:val="24"/>
        </w:rPr>
        <w:t xml:space="preserve">Mainstreaming the right to housing in regeneration projects </w:t>
      </w:r>
    </w:p>
    <w:p w14:paraId="1BBD9BF8" w14:textId="19B4EB22" w:rsidR="00585010" w:rsidRPr="00DF38C8" w:rsidRDefault="00585010" w:rsidP="00585010">
      <w:pPr>
        <w:jc w:val="both"/>
        <w:rPr>
          <w:sz w:val="24"/>
          <w:szCs w:val="24"/>
          <w:lang w:val="en-GB"/>
        </w:rPr>
      </w:pPr>
      <w:r w:rsidRPr="00DF38C8">
        <w:rPr>
          <w:sz w:val="24"/>
          <w:szCs w:val="24"/>
          <w:lang w:val="en-GB"/>
        </w:rPr>
        <w:lastRenderedPageBreak/>
        <w:t xml:space="preserve">The right to housing </w:t>
      </w:r>
      <w:r w:rsidR="005D0E0D" w:rsidRPr="00DF38C8">
        <w:rPr>
          <w:sz w:val="24"/>
          <w:szCs w:val="24"/>
          <w:lang w:val="en-GB"/>
        </w:rPr>
        <w:t xml:space="preserve">can </w:t>
      </w:r>
      <w:r w:rsidRPr="00DF38C8">
        <w:rPr>
          <w:sz w:val="24"/>
          <w:szCs w:val="24"/>
          <w:lang w:val="en-GB"/>
        </w:rPr>
        <w:t>serve</w:t>
      </w:r>
      <w:r w:rsidR="00024726" w:rsidRPr="00DF38C8">
        <w:rPr>
          <w:sz w:val="24"/>
          <w:szCs w:val="24"/>
          <w:lang w:val="en-GB"/>
        </w:rPr>
        <w:t>, at least,</w:t>
      </w:r>
      <w:r w:rsidRPr="00DF38C8">
        <w:rPr>
          <w:sz w:val="24"/>
          <w:szCs w:val="24"/>
          <w:lang w:val="en-GB"/>
        </w:rPr>
        <w:t xml:space="preserve"> four functions whe</w:t>
      </w:r>
      <w:r w:rsidR="000754A8" w:rsidRPr="00DF38C8">
        <w:rPr>
          <w:sz w:val="24"/>
          <w:szCs w:val="24"/>
          <w:lang w:val="en-GB"/>
        </w:rPr>
        <w:t>re</w:t>
      </w:r>
      <w:r w:rsidRPr="00DF38C8">
        <w:rPr>
          <w:sz w:val="24"/>
          <w:szCs w:val="24"/>
          <w:lang w:val="en-GB"/>
        </w:rPr>
        <w:t xml:space="preserve"> local authorities undertake regeneration projects. First, it provide</w:t>
      </w:r>
      <w:r w:rsidR="00210583" w:rsidRPr="00DF38C8">
        <w:rPr>
          <w:sz w:val="24"/>
          <w:szCs w:val="24"/>
          <w:lang w:val="en-GB"/>
        </w:rPr>
        <w:t>s</w:t>
      </w:r>
      <w:r w:rsidRPr="00DF38C8">
        <w:rPr>
          <w:sz w:val="24"/>
          <w:szCs w:val="24"/>
          <w:lang w:val="en-GB"/>
        </w:rPr>
        <w:t xml:space="preserve"> minimum human rights standards which all public bodies must meet when undertaking regeneration projects. In order for housing to be adequate, it must, at a minimum, be secure, affordable, habitable and be facilitated by appropriate services, facilities and infrastructure.</w:t>
      </w:r>
      <w:r w:rsidRPr="00DF38C8">
        <w:rPr>
          <w:rStyle w:val="FootnoteReference"/>
          <w:sz w:val="24"/>
          <w:szCs w:val="24"/>
          <w:lang w:val="en-GB"/>
        </w:rPr>
        <w:footnoteReference w:id="22"/>
      </w:r>
      <w:r w:rsidRPr="00DF38C8">
        <w:rPr>
          <w:sz w:val="24"/>
          <w:szCs w:val="24"/>
          <w:lang w:val="en-GB"/>
        </w:rPr>
        <w:t xml:space="preserve"> Second, </w:t>
      </w:r>
      <w:r w:rsidR="00210583" w:rsidRPr="00DF38C8">
        <w:rPr>
          <w:sz w:val="24"/>
          <w:szCs w:val="24"/>
          <w:lang w:val="en-GB"/>
        </w:rPr>
        <w:t>it sets</w:t>
      </w:r>
      <w:r w:rsidRPr="00DF38C8">
        <w:rPr>
          <w:sz w:val="24"/>
          <w:szCs w:val="24"/>
          <w:lang w:val="en-GB"/>
        </w:rPr>
        <w:t xml:space="preserve"> the values that must guide the treatment of individuals and communities in regeneration projects i.e. equality, non-discrimination, and participation. Third, it imposes obligations on local authorities to empower residents to participate in the design and implementation of regeneration projects. Finally, it provides a framework for resolving technical or policy conflicts that may arise in regeneration projects. </w:t>
      </w:r>
    </w:p>
    <w:p w14:paraId="54153A0E" w14:textId="19932A78" w:rsidR="00585010" w:rsidRPr="00DF38C8" w:rsidRDefault="00585010" w:rsidP="00585010">
      <w:pPr>
        <w:jc w:val="both"/>
        <w:rPr>
          <w:b/>
          <w:bCs/>
          <w:sz w:val="24"/>
          <w:szCs w:val="24"/>
        </w:rPr>
      </w:pPr>
      <w:r w:rsidRPr="00DF38C8">
        <w:rPr>
          <w:sz w:val="24"/>
          <w:szCs w:val="24"/>
          <w:lang w:val="en-GB"/>
        </w:rPr>
        <w:t>These human rights obligations are complemented by a number of international political commitments which Irish governments have accepted. Ireland has committed to achieving a number o</w:t>
      </w:r>
      <w:r w:rsidRPr="00DF38C8">
        <w:rPr>
          <w:sz w:val="24"/>
          <w:szCs w:val="24"/>
        </w:rPr>
        <w:t>f Sustainable Development Goals as part of the United Nations 2030 Agenda.</w:t>
      </w:r>
      <w:r w:rsidR="00005BF7">
        <w:rPr>
          <w:rStyle w:val="FootnoteReference"/>
          <w:sz w:val="24"/>
          <w:szCs w:val="24"/>
        </w:rPr>
        <w:footnoteReference w:id="23"/>
      </w:r>
      <w:r w:rsidRPr="00DF38C8">
        <w:rPr>
          <w:sz w:val="24"/>
          <w:szCs w:val="24"/>
        </w:rPr>
        <w:t xml:space="preserve"> Of particular relevance to regeneration projects is Goal 11 under which Ireland has committed to making cities and human settlements inclusive, safe, resilient and sustainable.</w:t>
      </w:r>
      <w:r w:rsidRPr="00DF38C8">
        <w:rPr>
          <w:rStyle w:val="FootnoteReference"/>
          <w:sz w:val="24"/>
          <w:szCs w:val="24"/>
        </w:rPr>
        <w:footnoteReference w:id="24"/>
      </w:r>
      <w:r w:rsidRPr="00DF38C8">
        <w:rPr>
          <w:sz w:val="24"/>
          <w:szCs w:val="24"/>
        </w:rPr>
        <w:t xml:space="preserve"> To help States realise these commitments, the UN has developed the New Urban Agenda (2016) which sets global standards of achievement in sustainable urban development. This guidance document makes clear that sustainable urban development is firmly grounded in human rights and that </w:t>
      </w:r>
      <w:r w:rsidRPr="00DF38C8">
        <w:rPr>
          <w:sz w:val="24"/>
          <w:szCs w:val="24"/>
          <w:lang w:val="en-GB"/>
        </w:rPr>
        <w:t>the</w:t>
      </w:r>
      <w:r w:rsidRPr="00DF38C8">
        <w:rPr>
          <w:sz w:val="24"/>
          <w:szCs w:val="24"/>
        </w:rPr>
        <w:t xml:space="preserve"> realization of the human right to adequate housing of all urban residents is a prerequisite to de</w:t>
      </w:r>
      <w:r w:rsidR="000754A8" w:rsidRPr="00DF38C8">
        <w:rPr>
          <w:sz w:val="24"/>
          <w:szCs w:val="24"/>
        </w:rPr>
        <w:t>veloping</w:t>
      </w:r>
      <w:r w:rsidRPr="00DF38C8">
        <w:rPr>
          <w:sz w:val="24"/>
          <w:szCs w:val="24"/>
        </w:rPr>
        <w:t xml:space="preserve"> inclusive and sustainable communities</w:t>
      </w:r>
      <w:r w:rsidRPr="00DF38C8">
        <w:rPr>
          <w:b/>
          <w:bCs/>
          <w:sz w:val="24"/>
          <w:szCs w:val="24"/>
        </w:rPr>
        <w:t xml:space="preserve">. </w:t>
      </w:r>
    </w:p>
    <w:p w14:paraId="2ACA6D32" w14:textId="492237C0" w:rsidR="00035B4E" w:rsidRPr="00DF38C8" w:rsidRDefault="007364FA" w:rsidP="0058677A">
      <w:pPr>
        <w:jc w:val="both"/>
        <w:rPr>
          <w:b/>
          <w:bCs/>
          <w:sz w:val="24"/>
          <w:szCs w:val="24"/>
        </w:rPr>
      </w:pPr>
      <w:r w:rsidRPr="00DF38C8">
        <w:rPr>
          <w:b/>
          <w:bCs/>
          <w:sz w:val="24"/>
          <w:szCs w:val="24"/>
        </w:rPr>
        <w:t>3</w:t>
      </w:r>
      <w:r w:rsidR="00950D1E" w:rsidRPr="00DF38C8">
        <w:rPr>
          <w:b/>
          <w:bCs/>
          <w:sz w:val="24"/>
          <w:szCs w:val="24"/>
        </w:rPr>
        <w:t>.</w:t>
      </w:r>
      <w:r w:rsidRPr="00DF38C8">
        <w:rPr>
          <w:b/>
          <w:bCs/>
          <w:sz w:val="24"/>
          <w:szCs w:val="24"/>
        </w:rPr>
        <w:t xml:space="preserve"> A Human Rights Based Approach </w:t>
      </w:r>
      <w:r w:rsidR="00035B4E" w:rsidRPr="00DF38C8">
        <w:rPr>
          <w:b/>
          <w:bCs/>
          <w:sz w:val="24"/>
          <w:szCs w:val="24"/>
        </w:rPr>
        <w:t xml:space="preserve">to regeneration </w:t>
      </w:r>
    </w:p>
    <w:p w14:paraId="5BA781CD" w14:textId="382592D9" w:rsidR="006F2368" w:rsidRPr="00DF38C8" w:rsidRDefault="009E2AB3" w:rsidP="009E2AB3">
      <w:pPr>
        <w:jc w:val="both"/>
        <w:rPr>
          <w:sz w:val="24"/>
          <w:szCs w:val="24"/>
          <w:lang w:val="en-GB"/>
        </w:rPr>
      </w:pPr>
      <w:r w:rsidRPr="00DF38C8">
        <w:rPr>
          <w:sz w:val="24"/>
          <w:szCs w:val="24"/>
          <w:lang w:val="en-GB"/>
        </w:rPr>
        <w:t xml:space="preserve">Adopting a Human Rights Based Approach (HRBA) to regeneration provides a means of fulfilling Ireland’s human rights obligations and supporting the development of sustainable communities. </w:t>
      </w:r>
      <w:r w:rsidR="006F2368" w:rsidRPr="00DF38C8">
        <w:rPr>
          <w:sz w:val="24"/>
          <w:szCs w:val="24"/>
          <w:lang w:val="en-GB"/>
        </w:rPr>
        <w:t xml:space="preserve">The HRBA is a conceptual framework directed towards protecting human rights, based on international human rights standards. </w:t>
      </w:r>
      <w:r w:rsidR="00024726" w:rsidRPr="00DF38C8">
        <w:rPr>
          <w:sz w:val="24"/>
          <w:szCs w:val="24"/>
          <w:lang w:val="en-GB"/>
        </w:rPr>
        <w:t>T</w:t>
      </w:r>
      <w:r w:rsidR="006F2368" w:rsidRPr="00DF38C8">
        <w:rPr>
          <w:sz w:val="24"/>
          <w:szCs w:val="24"/>
          <w:lang w:val="en-GB"/>
        </w:rPr>
        <w:t xml:space="preserve">his approach puts human rights and corresponding state obligations at the heart of regeneration policy and </w:t>
      </w:r>
      <w:r w:rsidR="00576F7D" w:rsidRPr="00DF38C8">
        <w:rPr>
          <w:sz w:val="24"/>
          <w:szCs w:val="24"/>
          <w:lang w:val="en-GB"/>
        </w:rPr>
        <w:t xml:space="preserve">it </w:t>
      </w:r>
      <w:r w:rsidR="006F2368" w:rsidRPr="00DF38C8">
        <w:rPr>
          <w:sz w:val="24"/>
          <w:szCs w:val="24"/>
          <w:lang w:val="en-GB"/>
        </w:rPr>
        <w:t xml:space="preserve">can be used to empower residents and local communities to participate in decision-making processes and hold duty-bearers accountable. </w:t>
      </w:r>
    </w:p>
    <w:p w14:paraId="755F1CEC" w14:textId="7C71D929" w:rsidR="00DD3556" w:rsidRPr="00DF38C8" w:rsidRDefault="006F2368" w:rsidP="00DD3556">
      <w:pPr>
        <w:jc w:val="both"/>
        <w:rPr>
          <w:sz w:val="24"/>
          <w:szCs w:val="24"/>
          <w:lang w:val="en-GB"/>
        </w:rPr>
      </w:pPr>
      <w:r w:rsidRPr="00DF38C8">
        <w:rPr>
          <w:sz w:val="24"/>
          <w:szCs w:val="24"/>
          <w:lang w:val="en-GB"/>
        </w:rPr>
        <w:t xml:space="preserve">As </w:t>
      </w:r>
      <w:r w:rsidR="00DD3556" w:rsidRPr="00DF38C8">
        <w:rPr>
          <w:sz w:val="24"/>
          <w:szCs w:val="24"/>
          <w:lang w:val="en-GB"/>
        </w:rPr>
        <w:t>Maxi Ussar explains</w:t>
      </w:r>
      <w:r w:rsidRPr="00DF38C8">
        <w:rPr>
          <w:sz w:val="24"/>
          <w:szCs w:val="24"/>
          <w:lang w:val="en-GB"/>
        </w:rPr>
        <w:t>, at its core</w:t>
      </w:r>
      <w:r w:rsidR="00DD3556" w:rsidRPr="00DF38C8">
        <w:rPr>
          <w:sz w:val="24"/>
          <w:szCs w:val="24"/>
          <w:lang w:val="en-GB"/>
        </w:rPr>
        <w:t xml:space="preserve"> the HRBA </w:t>
      </w:r>
      <w:r w:rsidR="00C134E8" w:rsidRPr="00DF38C8">
        <w:rPr>
          <w:sz w:val="24"/>
          <w:szCs w:val="24"/>
          <w:lang w:val="en-GB"/>
        </w:rPr>
        <w:t>i</w:t>
      </w:r>
      <w:r w:rsidR="00DD3556" w:rsidRPr="00DF38C8">
        <w:rPr>
          <w:sz w:val="24"/>
          <w:szCs w:val="24"/>
          <w:lang w:val="en-GB"/>
        </w:rPr>
        <w:t>s “</w:t>
      </w:r>
      <w:r w:rsidR="00DD3556" w:rsidRPr="00DF38C8">
        <w:rPr>
          <w:i/>
          <w:iCs/>
          <w:sz w:val="24"/>
          <w:szCs w:val="24"/>
          <w:lang w:val="en-GB"/>
        </w:rPr>
        <w:t>a framework for analysing development challenges and for planning meaningful responses. It provides a ‘lens’ for looking at specific situations that leads to a comprehensive understanding of problems to be addressed and facilitates the identification of effective, inclusive and sustainable solutions to those problems. The HRBA is therefore a tool for looking at development and for doing development</w:t>
      </w:r>
      <w:r w:rsidR="00DD3556" w:rsidRPr="00DF38C8">
        <w:rPr>
          <w:sz w:val="24"/>
          <w:szCs w:val="24"/>
          <w:lang w:val="en-GB"/>
        </w:rPr>
        <w:t>.”</w:t>
      </w:r>
      <w:r w:rsidRPr="00DF38C8">
        <w:rPr>
          <w:rStyle w:val="FootnoteReference"/>
          <w:sz w:val="24"/>
          <w:szCs w:val="24"/>
          <w:lang w:val="en-GB"/>
        </w:rPr>
        <w:footnoteReference w:id="25"/>
      </w:r>
    </w:p>
    <w:p w14:paraId="0C9BD001" w14:textId="147F6740" w:rsidR="00C134E8" w:rsidRPr="00DF38C8" w:rsidRDefault="009E2AB3" w:rsidP="009E2AB3">
      <w:pPr>
        <w:jc w:val="both"/>
        <w:rPr>
          <w:sz w:val="24"/>
          <w:szCs w:val="24"/>
          <w:lang w:val="en-GB"/>
        </w:rPr>
      </w:pPr>
      <w:r w:rsidRPr="00DF38C8">
        <w:rPr>
          <w:sz w:val="24"/>
          <w:szCs w:val="24"/>
          <w:lang w:val="en-GB"/>
        </w:rPr>
        <w:lastRenderedPageBreak/>
        <w:t xml:space="preserve">A </w:t>
      </w:r>
      <w:r w:rsidR="00DD3556" w:rsidRPr="00DF38C8">
        <w:rPr>
          <w:sz w:val="24"/>
          <w:szCs w:val="24"/>
          <w:lang w:val="en-GB"/>
        </w:rPr>
        <w:t>HRBA</w:t>
      </w:r>
      <w:r w:rsidRPr="00DF38C8">
        <w:rPr>
          <w:sz w:val="24"/>
          <w:szCs w:val="24"/>
          <w:lang w:val="en-GB"/>
        </w:rPr>
        <w:t xml:space="preserve"> </w:t>
      </w:r>
      <w:r w:rsidRPr="00DF38C8">
        <w:rPr>
          <w:sz w:val="24"/>
          <w:szCs w:val="24"/>
        </w:rPr>
        <w:t>involves</w:t>
      </w:r>
      <w:r w:rsidR="00DD3556" w:rsidRPr="00DF38C8">
        <w:rPr>
          <w:sz w:val="24"/>
          <w:szCs w:val="24"/>
        </w:rPr>
        <w:t xml:space="preserve"> identifying rights holders and duty bearers in a specific </w:t>
      </w:r>
      <w:r w:rsidR="006F2368" w:rsidRPr="00DF38C8">
        <w:rPr>
          <w:sz w:val="24"/>
          <w:szCs w:val="24"/>
        </w:rPr>
        <w:t xml:space="preserve">urban renewal or regeneration </w:t>
      </w:r>
      <w:r w:rsidR="00DD3556" w:rsidRPr="00DF38C8">
        <w:rPr>
          <w:sz w:val="24"/>
          <w:szCs w:val="24"/>
        </w:rPr>
        <w:t xml:space="preserve">context. </w:t>
      </w:r>
      <w:r w:rsidR="006F2368" w:rsidRPr="00DF38C8">
        <w:rPr>
          <w:sz w:val="24"/>
          <w:szCs w:val="24"/>
        </w:rPr>
        <w:t xml:space="preserve">Once identified as rights holders, residents </w:t>
      </w:r>
      <w:r w:rsidR="00DD3556" w:rsidRPr="00DF38C8">
        <w:rPr>
          <w:sz w:val="24"/>
          <w:szCs w:val="24"/>
        </w:rPr>
        <w:t xml:space="preserve">in a regeneration project should be </w:t>
      </w:r>
      <w:r w:rsidRPr="00DF38C8">
        <w:rPr>
          <w:sz w:val="24"/>
          <w:szCs w:val="24"/>
        </w:rPr>
        <w:t>empower</w:t>
      </w:r>
      <w:r w:rsidR="006F2368" w:rsidRPr="00DF38C8">
        <w:rPr>
          <w:sz w:val="24"/>
          <w:szCs w:val="24"/>
        </w:rPr>
        <w:t>ed</w:t>
      </w:r>
      <w:r w:rsidRPr="00DF38C8">
        <w:rPr>
          <w:sz w:val="24"/>
          <w:szCs w:val="24"/>
        </w:rPr>
        <w:t xml:space="preserve"> to know and claim their rights and increasing the ability and accountability of individuals and local authorities who are responsible for respecting, protecting and fulfilling rights. </w:t>
      </w:r>
      <w:r w:rsidRPr="00DF38C8">
        <w:rPr>
          <w:sz w:val="24"/>
          <w:szCs w:val="24"/>
          <w:lang w:val="en-GB"/>
        </w:rPr>
        <w:t xml:space="preserve">This approach shifts the focus to looking at regeneration as a process that should empower people and communities through an inclusive and participatory approach focused on rights rather than needs. </w:t>
      </w:r>
    </w:p>
    <w:p w14:paraId="705CABE8" w14:textId="1083A9B0" w:rsidR="009E2AB3" w:rsidRPr="00DF38C8" w:rsidRDefault="009E2AB3" w:rsidP="009E2AB3">
      <w:pPr>
        <w:jc w:val="both"/>
        <w:rPr>
          <w:rFonts w:cstheme="minorHAnsi"/>
          <w:sz w:val="24"/>
          <w:szCs w:val="24"/>
        </w:rPr>
      </w:pPr>
      <w:r w:rsidRPr="00DF38C8">
        <w:rPr>
          <w:rFonts w:cstheme="minorHAnsi"/>
          <w:sz w:val="24"/>
          <w:szCs w:val="24"/>
        </w:rPr>
        <w:t xml:space="preserve">There is growing recognition that such approaches offer a means of challenging duty bearers </w:t>
      </w:r>
      <w:r w:rsidR="00D91624">
        <w:rPr>
          <w:rFonts w:cstheme="minorHAnsi"/>
          <w:sz w:val="24"/>
          <w:szCs w:val="24"/>
        </w:rPr>
        <w:t>public bodies</w:t>
      </w:r>
      <w:r w:rsidR="004A0900">
        <w:rPr>
          <w:rFonts w:cstheme="minorHAnsi"/>
          <w:sz w:val="24"/>
          <w:szCs w:val="24"/>
        </w:rPr>
        <w:t xml:space="preserve"> </w:t>
      </w:r>
      <w:r w:rsidRPr="00DF38C8">
        <w:rPr>
          <w:rFonts w:cstheme="minorHAnsi"/>
          <w:sz w:val="24"/>
          <w:szCs w:val="24"/>
        </w:rPr>
        <w:t>to break with stigmatising attitudes to residents and instead recognise</w:t>
      </w:r>
      <w:r w:rsidR="00C134E8" w:rsidRPr="00DF38C8">
        <w:rPr>
          <w:rFonts w:cstheme="minorHAnsi"/>
          <w:sz w:val="24"/>
          <w:szCs w:val="24"/>
        </w:rPr>
        <w:t xml:space="preserve"> their </w:t>
      </w:r>
      <w:r w:rsidRPr="00DF38C8">
        <w:rPr>
          <w:rFonts w:cstheme="minorHAnsi"/>
          <w:sz w:val="24"/>
          <w:szCs w:val="24"/>
        </w:rPr>
        <w:t>right to meaningful participation in key decisions relating to the design and implementation of regeneration projects.</w:t>
      </w:r>
      <w:r w:rsidR="00D91624">
        <w:rPr>
          <w:rFonts w:cstheme="minorHAnsi"/>
          <w:sz w:val="24"/>
          <w:szCs w:val="24"/>
        </w:rPr>
        <w:t xml:space="preserve"> </w:t>
      </w:r>
      <w:r w:rsidRPr="00DF38C8">
        <w:rPr>
          <w:rFonts w:cstheme="minorHAnsi"/>
          <w:sz w:val="24"/>
          <w:szCs w:val="24"/>
        </w:rPr>
        <w:t xml:space="preserve"> Various advocates for a human rights based approach to protecting the human right to housing have emphasised the PANEL principles as a means of explaining in concrete terms what a human rights based approach means in practice (see PANEL principles below).</w:t>
      </w:r>
      <w:r w:rsidRPr="00DF38C8">
        <w:rPr>
          <w:rStyle w:val="FootnoteReference"/>
          <w:rFonts w:cstheme="minorHAnsi"/>
          <w:sz w:val="24"/>
          <w:szCs w:val="24"/>
        </w:rPr>
        <w:footnoteReference w:id="26"/>
      </w:r>
    </w:p>
    <w:tbl>
      <w:tblPr>
        <w:tblStyle w:val="TableGrid"/>
        <w:tblW w:w="0" w:type="auto"/>
        <w:tblLook w:val="04A0" w:firstRow="1" w:lastRow="0" w:firstColumn="1" w:lastColumn="0" w:noHBand="0" w:noVBand="1"/>
      </w:tblPr>
      <w:tblGrid>
        <w:gridCol w:w="1700"/>
        <w:gridCol w:w="7226"/>
      </w:tblGrid>
      <w:tr w:rsidR="00AF46BB" w:rsidRPr="00DF38C8" w14:paraId="072D5F94" w14:textId="4FACEB45" w:rsidTr="00E424A0">
        <w:tc>
          <w:tcPr>
            <w:tcW w:w="1700" w:type="dxa"/>
          </w:tcPr>
          <w:p w14:paraId="2E3BE489" w14:textId="77777777" w:rsidR="00AF46BB" w:rsidRPr="00DF38C8" w:rsidRDefault="00AF46BB" w:rsidP="00D52D76">
            <w:pPr>
              <w:jc w:val="both"/>
              <w:rPr>
                <w:rFonts w:cstheme="minorHAnsi"/>
                <w:b/>
                <w:bCs/>
                <w:sz w:val="24"/>
                <w:szCs w:val="24"/>
              </w:rPr>
            </w:pPr>
            <w:bookmarkStart w:id="6" w:name="_Hlk84684886"/>
            <w:r w:rsidRPr="00DF38C8">
              <w:rPr>
                <w:rFonts w:cstheme="minorHAnsi"/>
                <w:b/>
                <w:bCs/>
                <w:sz w:val="24"/>
                <w:szCs w:val="24"/>
              </w:rPr>
              <w:t xml:space="preserve">Participation </w:t>
            </w:r>
          </w:p>
        </w:tc>
        <w:tc>
          <w:tcPr>
            <w:tcW w:w="7226" w:type="dxa"/>
          </w:tcPr>
          <w:p w14:paraId="4ABB1BFC" w14:textId="4BA95738" w:rsidR="00AF46BB" w:rsidRPr="00DF38C8" w:rsidRDefault="00AF46BB" w:rsidP="00D52D76">
            <w:pPr>
              <w:jc w:val="both"/>
              <w:rPr>
                <w:rFonts w:cstheme="minorHAnsi"/>
                <w:sz w:val="24"/>
                <w:szCs w:val="24"/>
              </w:rPr>
            </w:pPr>
            <w:r w:rsidRPr="00DF38C8">
              <w:rPr>
                <w:rFonts w:cstheme="minorHAnsi"/>
                <w:sz w:val="24"/>
                <w:szCs w:val="24"/>
                <w:lang w:val="en"/>
              </w:rPr>
              <w:t xml:space="preserve">Residents should be involved in decisions that affect their rights  </w:t>
            </w:r>
          </w:p>
        </w:tc>
      </w:tr>
      <w:tr w:rsidR="00AF46BB" w:rsidRPr="00DF38C8" w14:paraId="3C5D1F03" w14:textId="7449C30F" w:rsidTr="00E424A0">
        <w:tc>
          <w:tcPr>
            <w:tcW w:w="1700" w:type="dxa"/>
          </w:tcPr>
          <w:p w14:paraId="72B859C0" w14:textId="77777777" w:rsidR="00AF46BB" w:rsidRPr="00DF38C8" w:rsidRDefault="00AF46BB" w:rsidP="00D52D76">
            <w:pPr>
              <w:jc w:val="both"/>
              <w:rPr>
                <w:rFonts w:cstheme="minorHAnsi"/>
                <w:b/>
                <w:bCs/>
                <w:sz w:val="24"/>
                <w:szCs w:val="24"/>
              </w:rPr>
            </w:pPr>
            <w:r w:rsidRPr="00DF38C8">
              <w:rPr>
                <w:rFonts w:cstheme="minorHAnsi"/>
                <w:b/>
                <w:bCs/>
                <w:sz w:val="24"/>
                <w:szCs w:val="24"/>
              </w:rPr>
              <w:t xml:space="preserve">Accountability </w:t>
            </w:r>
          </w:p>
        </w:tc>
        <w:tc>
          <w:tcPr>
            <w:tcW w:w="7226" w:type="dxa"/>
          </w:tcPr>
          <w:p w14:paraId="2558024E" w14:textId="26117651" w:rsidR="00AF46BB" w:rsidRPr="00DF38C8" w:rsidRDefault="00D91624" w:rsidP="00D52D76">
            <w:pPr>
              <w:jc w:val="both"/>
              <w:rPr>
                <w:rFonts w:cstheme="minorHAnsi"/>
                <w:sz w:val="24"/>
                <w:szCs w:val="24"/>
              </w:rPr>
            </w:pPr>
            <w:r>
              <w:rPr>
                <w:rFonts w:cstheme="minorHAnsi"/>
                <w:sz w:val="24"/>
                <w:szCs w:val="24"/>
                <w:lang w:val="en"/>
              </w:rPr>
              <w:t>Public bodies (relevant government departments and local</w:t>
            </w:r>
            <w:r w:rsidRPr="00DF38C8">
              <w:rPr>
                <w:rFonts w:cstheme="minorHAnsi"/>
                <w:sz w:val="24"/>
                <w:szCs w:val="24"/>
                <w:lang w:val="en"/>
              </w:rPr>
              <w:t xml:space="preserve"> </w:t>
            </w:r>
            <w:r w:rsidR="00AF46BB" w:rsidRPr="00DF38C8">
              <w:rPr>
                <w:rFonts w:cstheme="minorHAnsi"/>
                <w:sz w:val="24"/>
                <w:szCs w:val="24"/>
                <w:lang w:val="en"/>
              </w:rPr>
              <w:t>authorities</w:t>
            </w:r>
            <w:r>
              <w:rPr>
                <w:rFonts w:cstheme="minorHAnsi"/>
                <w:sz w:val="24"/>
                <w:szCs w:val="24"/>
                <w:lang w:val="en"/>
              </w:rPr>
              <w:t>)</w:t>
            </w:r>
            <w:r w:rsidR="00AF46BB" w:rsidRPr="00DF38C8">
              <w:rPr>
                <w:rFonts w:cstheme="minorHAnsi"/>
                <w:sz w:val="24"/>
                <w:szCs w:val="24"/>
                <w:lang w:val="en"/>
              </w:rPr>
              <w:t xml:space="preserve"> should monitor how resident’s rights are being impacted by regeneration projects. There must be remedies when things go wrong</w:t>
            </w:r>
          </w:p>
        </w:tc>
      </w:tr>
      <w:tr w:rsidR="00AF46BB" w:rsidRPr="00DF38C8" w14:paraId="4A7E53E8" w14:textId="701F16B0" w:rsidTr="00E424A0">
        <w:tc>
          <w:tcPr>
            <w:tcW w:w="1700" w:type="dxa"/>
          </w:tcPr>
          <w:p w14:paraId="5B7B842A" w14:textId="77777777" w:rsidR="00AF46BB" w:rsidRPr="00DF38C8" w:rsidRDefault="00AF46BB" w:rsidP="00D52D76">
            <w:pPr>
              <w:jc w:val="both"/>
              <w:rPr>
                <w:rFonts w:cstheme="minorHAnsi"/>
                <w:b/>
                <w:bCs/>
                <w:sz w:val="24"/>
                <w:szCs w:val="24"/>
              </w:rPr>
            </w:pPr>
            <w:r w:rsidRPr="00DF38C8">
              <w:rPr>
                <w:rFonts w:cstheme="minorHAnsi"/>
                <w:b/>
                <w:bCs/>
                <w:sz w:val="24"/>
                <w:szCs w:val="24"/>
              </w:rPr>
              <w:t>Non-discrimination</w:t>
            </w:r>
          </w:p>
        </w:tc>
        <w:tc>
          <w:tcPr>
            <w:tcW w:w="7226" w:type="dxa"/>
          </w:tcPr>
          <w:p w14:paraId="2C8A2370" w14:textId="2F0F9C0B" w:rsidR="00AF46BB" w:rsidRPr="00DF38C8" w:rsidRDefault="00AF46BB" w:rsidP="00D52D76">
            <w:pPr>
              <w:jc w:val="both"/>
              <w:rPr>
                <w:rFonts w:cstheme="minorHAnsi"/>
                <w:sz w:val="24"/>
                <w:szCs w:val="24"/>
              </w:rPr>
            </w:pPr>
            <w:r w:rsidRPr="00DF38C8">
              <w:rPr>
                <w:rFonts w:cstheme="minorHAnsi"/>
                <w:sz w:val="24"/>
                <w:szCs w:val="24"/>
                <w:lang w:val="en"/>
              </w:rPr>
              <w:t>Nobody should be treated unfairly because of their age, gender, ethnicity, disability, religion or belief, sexual orientation, gender identity or any other personal characteristic . Residents who face the biggest barriers to realising their rights in regeneration projects should be prioritised when it comes to taking action</w:t>
            </w:r>
          </w:p>
        </w:tc>
      </w:tr>
      <w:tr w:rsidR="00AF46BB" w:rsidRPr="00DF38C8" w14:paraId="277FF42E" w14:textId="36D8F64E" w:rsidTr="00E424A0">
        <w:tc>
          <w:tcPr>
            <w:tcW w:w="1700" w:type="dxa"/>
          </w:tcPr>
          <w:p w14:paraId="6B65CB69" w14:textId="77777777" w:rsidR="00AF46BB" w:rsidRPr="00DF38C8" w:rsidRDefault="00AF46BB" w:rsidP="00D52D76">
            <w:pPr>
              <w:jc w:val="both"/>
              <w:rPr>
                <w:rFonts w:cstheme="minorHAnsi"/>
                <w:sz w:val="24"/>
                <w:szCs w:val="24"/>
              </w:rPr>
            </w:pPr>
            <w:r w:rsidRPr="00DF38C8">
              <w:rPr>
                <w:rFonts w:cstheme="minorHAnsi"/>
                <w:b/>
                <w:bCs/>
                <w:sz w:val="24"/>
                <w:szCs w:val="24"/>
              </w:rPr>
              <w:t>Empowerment</w:t>
            </w:r>
          </w:p>
        </w:tc>
        <w:tc>
          <w:tcPr>
            <w:tcW w:w="7226" w:type="dxa"/>
          </w:tcPr>
          <w:p w14:paraId="3B397D12" w14:textId="06F4CFCE" w:rsidR="00AF46BB" w:rsidRPr="00DF38C8" w:rsidRDefault="00AF46BB" w:rsidP="00D52D76">
            <w:pPr>
              <w:jc w:val="both"/>
              <w:rPr>
                <w:rFonts w:cstheme="minorHAnsi"/>
                <w:sz w:val="24"/>
                <w:szCs w:val="24"/>
                <w:lang w:val="en"/>
              </w:rPr>
            </w:pPr>
            <w:r w:rsidRPr="00DF38C8">
              <w:rPr>
                <w:rFonts w:cstheme="minorHAnsi"/>
                <w:sz w:val="24"/>
                <w:szCs w:val="24"/>
                <w:lang w:val="en"/>
              </w:rPr>
              <w:t xml:space="preserve">Residents and local communities should be empowered to know and claim their rights. As duty bearers, </w:t>
            </w:r>
            <w:r w:rsidR="00D91624">
              <w:rPr>
                <w:rFonts w:cstheme="minorHAnsi"/>
                <w:sz w:val="24"/>
                <w:szCs w:val="24"/>
                <w:lang w:val="en"/>
              </w:rPr>
              <w:t>public bodies</w:t>
            </w:r>
            <w:r w:rsidRPr="00DF38C8">
              <w:rPr>
                <w:rFonts w:cstheme="minorHAnsi"/>
                <w:sz w:val="24"/>
                <w:szCs w:val="24"/>
                <w:lang w:val="en"/>
              </w:rPr>
              <w:t xml:space="preserve"> must support residents and local communities in taking an active role in shaping the design and implementation of regeneration projects which affect their lives, homes and communities</w:t>
            </w:r>
          </w:p>
        </w:tc>
      </w:tr>
      <w:tr w:rsidR="00AF46BB" w:rsidRPr="00DF38C8" w14:paraId="298ECB54" w14:textId="5EB8E04B" w:rsidTr="00E424A0">
        <w:trPr>
          <w:trHeight w:val="732"/>
        </w:trPr>
        <w:tc>
          <w:tcPr>
            <w:tcW w:w="1700" w:type="dxa"/>
          </w:tcPr>
          <w:p w14:paraId="72C75DFA" w14:textId="77777777" w:rsidR="00AF46BB" w:rsidRPr="00DF38C8" w:rsidRDefault="00AF46BB" w:rsidP="00D52D76">
            <w:pPr>
              <w:jc w:val="both"/>
              <w:rPr>
                <w:rFonts w:cstheme="minorHAnsi"/>
                <w:b/>
                <w:bCs/>
                <w:sz w:val="24"/>
                <w:szCs w:val="24"/>
              </w:rPr>
            </w:pPr>
            <w:r w:rsidRPr="00DF38C8">
              <w:rPr>
                <w:rFonts w:cstheme="minorHAnsi"/>
                <w:b/>
                <w:bCs/>
                <w:sz w:val="24"/>
                <w:szCs w:val="24"/>
              </w:rPr>
              <w:t xml:space="preserve">Legality </w:t>
            </w:r>
          </w:p>
        </w:tc>
        <w:tc>
          <w:tcPr>
            <w:tcW w:w="7226" w:type="dxa"/>
          </w:tcPr>
          <w:p w14:paraId="656D34C8" w14:textId="70D5187D" w:rsidR="00AF46BB" w:rsidRPr="00DF38C8" w:rsidRDefault="00AF46BB" w:rsidP="00D52D76">
            <w:pPr>
              <w:jc w:val="both"/>
              <w:rPr>
                <w:rFonts w:cstheme="minorHAnsi"/>
                <w:sz w:val="24"/>
                <w:szCs w:val="24"/>
              </w:rPr>
            </w:pPr>
            <w:bookmarkStart w:id="7" w:name="_Hlk70509528"/>
            <w:r w:rsidRPr="00DF38C8">
              <w:rPr>
                <w:rFonts w:cstheme="minorHAnsi"/>
                <w:sz w:val="24"/>
                <w:szCs w:val="24"/>
                <w:lang w:val="en"/>
              </w:rPr>
              <w:t>National and local regeneration policy should be grounded in the human rights that are set out in domestic and international law</w:t>
            </w:r>
            <w:bookmarkEnd w:id="7"/>
          </w:p>
        </w:tc>
      </w:tr>
      <w:bookmarkEnd w:id="6"/>
    </w:tbl>
    <w:p w14:paraId="5C2F5CCD" w14:textId="77777777" w:rsidR="00DB768A" w:rsidRPr="00DF38C8" w:rsidRDefault="00DB768A" w:rsidP="0058677A">
      <w:pPr>
        <w:jc w:val="both"/>
        <w:rPr>
          <w:b/>
          <w:bCs/>
          <w:sz w:val="24"/>
          <w:szCs w:val="24"/>
        </w:rPr>
      </w:pPr>
    </w:p>
    <w:p w14:paraId="15DFCABA" w14:textId="50C7F600" w:rsidR="00B10A32" w:rsidRPr="00DF38C8" w:rsidRDefault="007364FA" w:rsidP="0058677A">
      <w:pPr>
        <w:jc w:val="both"/>
        <w:rPr>
          <w:b/>
          <w:bCs/>
          <w:sz w:val="24"/>
          <w:szCs w:val="24"/>
        </w:rPr>
      </w:pPr>
      <w:r w:rsidRPr="00DF38C8">
        <w:rPr>
          <w:b/>
          <w:bCs/>
          <w:sz w:val="24"/>
          <w:szCs w:val="24"/>
        </w:rPr>
        <w:t>4</w:t>
      </w:r>
      <w:r w:rsidR="00950D1E" w:rsidRPr="00DF38C8">
        <w:rPr>
          <w:b/>
          <w:bCs/>
          <w:sz w:val="24"/>
          <w:szCs w:val="24"/>
        </w:rPr>
        <w:t>.</w:t>
      </w:r>
      <w:r w:rsidRPr="00DF38C8">
        <w:rPr>
          <w:b/>
          <w:bCs/>
          <w:sz w:val="24"/>
          <w:szCs w:val="24"/>
        </w:rPr>
        <w:t xml:space="preserve"> </w:t>
      </w:r>
      <w:r w:rsidR="002B0447" w:rsidRPr="00DF38C8">
        <w:rPr>
          <w:b/>
          <w:bCs/>
          <w:sz w:val="24"/>
          <w:szCs w:val="24"/>
        </w:rPr>
        <w:t xml:space="preserve">Case study: </w:t>
      </w:r>
      <w:r w:rsidR="00035B4E" w:rsidRPr="00DF38C8">
        <w:rPr>
          <w:b/>
          <w:bCs/>
          <w:sz w:val="24"/>
          <w:szCs w:val="24"/>
        </w:rPr>
        <w:t xml:space="preserve">Integrating a HRBA </w:t>
      </w:r>
      <w:r w:rsidR="00210583" w:rsidRPr="00DF38C8">
        <w:rPr>
          <w:b/>
          <w:bCs/>
          <w:sz w:val="24"/>
          <w:szCs w:val="24"/>
        </w:rPr>
        <w:t xml:space="preserve">in </w:t>
      </w:r>
      <w:r w:rsidR="00E52E56" w:rsidRPr="00DF38C8">
        <w:rPr>
          <w:b/>
          <w:bCs/>
          <w:sz w:val="24"/>
          <w:szCs w:val="24"/>
        </w:rPr>
        <w:t xml:space="preserve">an </w:t>
      </w:r>
      <w:r w:rsidR="00210583" w:rsidRPr="00DF38C8">
        <w:rPr>
          <w:b/>
          <w:bCs/>
          <w:sz w:val="24"/>
          <w:szCs w:val="24"/>
        </w:rPr>
        <w:t xml:space="preserve">existing local authority regeneration project </w:t>
      </w:r>
    </w:p>
    <w:p w14:paraId="51DA557F" w14:textId="0E2A9453" w:rsidR="00D536B9" w:rsidRPr="00DF38C8" w:rsidRDefault="00E55075" w:rsidP="00137774">
      <w:pPr>
        <w:jc w:val="both"/>
        <w:rPr>
          <w:rFonts w:cstheme="minorHAnsi"/>
          <w:sz w:val="24"/>
          <w:szCs w:val="24"/>
        </w:rPr>
      </w:pPr>
      <w:bookmarkStart w:id="8" w:name="_Hlk92361636"/>
      <w:r w:rsidRPr="00DF38C8">
        <w:rPr>
          <w:sz w:val="24"/>
          <w:szCs w:val="24"/>
          <w:lang w:val="en-GB"/>
        </w:rPr>
        <w:t xml:space="preserve">In </w:t>
      </w:r>
      <w:r w:rsidRPr="00DF38C8">
        <w:rPr>
          <w:i/>
          <w:iCs/>
          <w:sz w:val="24"/>
          <w:szCs w:val="24"/>
          <w:lang w:val="en-GB"/>
        </w:rPr>
        <w:t xml:space="preserve">FIDH v Ireland </w:t>
      </w:r>
      <w:r w:rsidRPr="00DF38C8">
        <w:rPr>
          <w:sz w:val="24"/>
          <w:szCs w:val="24"/>
          <w:lang w:val="en-GB"/>
        </w:rPr>
        <w:t xml:space="preserve">the European Committee of Social Rights </w:t>
      </w:r>
      <w:r w:rsidRPr="00DF38C8">
        <w:rPr>
          <w:rFonts w:cstheme="minorHAnsi"/>
          <w:sz w:val="24"/>
          <w:szCs w:val="24"/>
        </w:rPr>
        <w:t>found that a significant number of families living in Local Authority housing in Ireland reside in poor housing conditions amounting to housing that is inadequate in nature.</w:t>
      </w:r>
      <w:r w:rsidRPr="00DF38C8">
        <w:rPr>
          <w:rFonts w:cstheme="minorHAnsi"/>
          <w:sz w:val="24"/>
          <w:szCs w:val="24"/>
          <w:vertAlign w:val="superscript"/>
        </w:rPr>
        <w:footnoteReference w:id="27"/>
      </w:r>
      <w:r w:rsidRPr="00DF38C8">
        <w:rPr>
          <w:rFonts w:cstheme="minorHAnsi"/>
          <w:sz w:val="24"/>
          <w:szCs w:val="24"/>
        </w:rPr>
        <w:t xml:space="preserve"> The Committee found that persistent conditions like sewage invasions, contaminated water, dampness and mould go “to the core of what adequate housing means.”</w:t>
      </w:r>
      <w:r w:rsidRPr="00DF38C8">
        <w:rPr>
          <w:rFonts w:cstheme="minorHAnsi"/>
          <w:sz w:val="24"/>
          <w:szCs w:val="24"/>
          <w:vertAlign w:val="superscript"/>
        </w:rPr>
        <w:footnoteReference w:id="28"/>
      </w:r>
      <w:r w:rsidRPr="00DF38C8">
        <w:rPr>
          <w:rFonts w:cstheme="minorHAnsi"/>
          <w:sz w:val="24"/>
          <w:szCs w:val="24"/>
        </w:rPr>
        <w:t xml:space="preserve"> Over the past three decades </w:t>
      </w:r>
      <w:r w:rsidR="004312AB" w:rsidRPr="00DF38C8">
        <w:rPr>
          <w:rFonts w:cstheme="minorHAnsi"/>
          <w:sz w:val="24"/>
          <w:szCs w:val="24"/>
        </w:rPr>
        <w:t xml:space="preserve">regeneration has been </w:t>
      </w:r>
      <w:r w:rsidRPr="00DF38C8">
        <w:rPr>
          <w:rFonts w:cstheme="minorHAnsi"/>
          <w:sz w:val="24"/>
          <w:szCs w:val="24"/>
        </w:rPr>
        <w:t xml:space="preserve">one </w:t>
      </w:r>
      <w:r w:rsidRPr="00DF38C8">
        <w:rPr>
          <w:rFonts w:cstheme="minorHAnsi"/>
          <w:sz w:val="24"/>
          <w:szCs w:val="24"/>
        </w:rPr>
        <w:lastRenderedPageBreak/>
        <w:t xml:space="preserve">of the main policy responses of the Irish government to poor housing conditions of local authority estates. However, as noted above, </w:t>
      </w:r>
      <w:r w:rsidR="004312AB" w:rsidRPr="00DF38C8">
        <w:rPr>
          <w:rFonts w:cstheme="minorHAnsi"/>
          <w:sz w:val="24"/>
          <w:szCs w:val="24"/>
        </w:rPr>
        <w:t xml:space="preserve">various </w:t>
      </w:r>
      <w:r w:rsidRPr="00DF38C8">
        <w:rPr>
          <w:rFonts w:cstheme="minorHAnsi"/>
          <w:sz w:val="24"/>
          <w:szCs w:val="24"/>
        </w:rPr>
        <w:t xml:space="preserve">regeneration projects have fallen short in delivering safe and sustainable communities. </w:t>
      </w:r>
    </w:p>
    <w:p w14:paraId="4A827467" w14:textId="76499F42" w:rsidR="00B17230" w:rsidRPr="00DF38C8" w:rsidRDefault="004312AB" w:rsidP="00137774">
      <w:pPr>
        <w:jc w:val="both"/>
        <w:rPr>
          <w:sz w:val="24"/>
          <w:szCs w:val="24"/>
        </w:rPr>
      </w:pPr>
      <w:bookmarkStart w:id="9" w:name="_Hlk92361654"/>
      <w:bookmarkEnd w:id="8"/>
      <w:r w:rsidRPr="00DF38C8">
        <w:rPr>
          <w:rFonts w:cstheme="minorHAnsi"/>
          <w:sz w:val="24"/>
          <w:szCs w:val="24"/>
        </w:rPr>
        <w:t xml:space="preserve">One of the challenges facing residents, civil society groups and local authorities </w:t>
      </w:r>
      <w:r w:rsidR="00784C53" w:rsidRPr="00DF38C8">
        <w:rPr>
          <w:rFonts w:cstheme="minorHAnsi"/>
          <w:sz w:val="24"/>
          <w:szCs w:val="24"/>
        </w:rPr>
        <w:t xml:space="preserve">in ongoing regeneration projects </w:t>
      </w:r>
      <w:r w:rsidRPr="00DF38C8">
        <w:rPr>
          <w:rFonts w:cstheme="minorHAnsi"/>
          <w:sz w:val="24"/>
          <w:szCs w:val="24"/>
        </w:rPr>
        <w:t>stems from the fact that r</w:t>
      </w:r>
      <w:r w:rsidRPr="00DF38C8">
        <w:rPr>
          <w:sz w:val="24"/>
          <w:szCs w:val="24"/>
        </w:rPr>
        <w:t>egeneration is not an event but a process that is likely to take up to 15 years or more to complete. During that time, it is likely that there will be changes in the planning processes and in the local, regional and national political context. These changes can have a significant impact on existing regeneration programmes. This can undermine residents’ trust in the regeneration process and increase tensions between residents, civil society groups and local authorities. For local authorities, such changes present real administrative challenges that can put greater pressure on workers</w:t>
      </w:r>
      <w:r w:rsidR="00322743" w:rsidRPr="00DF38C8">
        <w:rPr>
          <w:sz w:val="24"/>
          <w:szCs w:val="24"/>
        </w:rPr>
        <w:t xml:space="preserve"> and resources</w:t>
      </w:r>
      <w:r w:rsidRPr="00DF38C8">
        <w:rPr>
          <w:sz w:val="24"/>
          <w:szCs w:val="24"/>
        </w:rPr>
        <w:t>.</w:t>
      </w:r>
      <w:bookmarkEnd w:id="9"/>
    </w:p>
    <w:p w14:paraId="6836C4F1" w14:textId="22352CD4" w:rsidR="00784C53" w:rsidRPr="00DF38C8" w:rsidRDefault="00784C53" w:rsidP="00784C53">
      <w:pPr>
        <w:jc w:val="both"/>
        <w:rPr>
          <w:rFonts w:cstheme="minorHAnsi"/>
          <w:sz w:val="24"/>
          <w:szCs w:val="24"/>
        </w:rPr>
      </w:pPr>
      <w:r w:rsidRPr="00DF38C8">
        <w:rPr>
          <w:rFonts w:cstheme="minorHAnsi"/>
          <w:sz w:val="24"/>
          <w:szCs w:val="24"/>
        </w:rPr>
        <w:t xml:space="preserve">The following case study outlines how a HRBA could be integrated into an ongoing regeneration project of a </w:t>
      </w:r>
      <w:r w:rsidR="00B833D8">
        <w:rPr>
          <w:rFonts w:cstheme="minorHAnsi"/>
          <w:sz w:val="24"/>
          <w:szCs w:val="24"/>
        </w:rPr>
        <w:t>‘typical’</w:t>
      </w:r>
      <w:r w:rsidR="00B833D8" w:rsidRPr="00DF38C8">
        <w:rPr>
          <w:rFonts w:cstheme="minorHAnsi"/>
          <w:sz w:val="24"/>
          <w:szCs w:val="24"/>
        </w:rPr>
        <w:t xml:space="preserve"> </w:t>
      </w:r>
      <w:r w:rsidRPr="00DF38C8">
        <w:rPr>
          <w:rFonts w:cstheme="minorHAnsi"/>
          <w:sz w:val="24"/>
          <w:szCs w:val="24"/>
        </w:rPr>
        <w:t>local authority housing estate in Ireland which is faced with changes in national planning policy</w:t>
      </w:r>
      <w:r w:rsidR="00213DC8" w:rsidRPr="00DF38C8">
        <w:rPr>
          <w:rFonts w:cstheme="minorHAnsi"/>
          <w:sz w:val="24"/>
          <w:szCs w:val="24"/>
        </w:rPr>
        <w:t xml:space="preserve"> that were unanticipated at the beginning of the regeneration project</w:t>
      </w:r>
      <w:r w:rsidRPr="00DF38C8">
        <w:rPr>
          <w:rFonts w:cstheme="minorHAnsi"/>
          <w:sz w:val="24"/>
          <w:szCs w:val="24"/>
        </w:rPr>
        <w:t>.</w:t>
      </w:r>
      <w:r w:rsidR="004A0900">
        <w:rPr>
          <w:rStyle w:val="FootnoteReference"/>
          <w:rFonts w:cstheme="minorHAnsi"/>
          <w:sz w:val="24"/>
          <w:szCs w:val="24"/>
        </w:rPr>
        <w:footnoteReference w:id="29"/>
      </w:r>
      <w:r w:rsidRPr="00DF38C8">
        <w:rPr>
          <w:rFonts w:cstheme="minorHAnsi"/>
          <w:sz w:val="24"/>
          <w:szCs w:val="24"/>
        </w:rPr>
        <w:t xml:space="preserve"> The example has been used in order to illustrate how a HRBA can respond to the real challenges that can arise in contemporary regeneration projects. Furthermore, the example illustrates how a HRBA offers a potential model of best practice for developing practical solutions for common problems, while at the same time providing a means for local authorities to meet their national and international obligations to respect the human rights of residents (see section 2 above).</w:t>
      </w:r>
    </w:p>
    <w:p w14:paraId="3839FBB8" w14:textId="3399A0D2" w:rsidR="00137774" w:rsidRPr="00DF38C8" w:rsidRDefault="00137774" w:rsidP="00681F67">
      <w:pPr>
        <w:jc w:val="both"/>
        <w:rPr>
          <w:i/>
          <w:iCs/>
          <w:sz w:val="24"/>
          <w:szCs w:val="24"/>
          <w:lang w:val="en-GB"/>
        </w:rPr>
      </w:pPr>
      <w:bookmarkStart w:id="10" w:name="_Hlk92365650"/>
      <w:r w:rsidRPr="00DF38C8">
        <w:rPr>
          <w:i/>
          <w:iCs/>
          <w:sz w:val="24"/>
          <w:szCs w:val="24"/>
          <w:lang w:val="en-GB"/>
        </w:rPr>
        <w:t xml:space="preserve">Integrating a Human Rights Based Approach </w:t>
      </w:r>
    </w:p>
    <w:bookmarkEnd w:id="10"/>
    <w:p w14:paraId="6C22AD27" w14:textId="37487ABA" w:rsidR="00D91624" w:rsidRDefault="00322743" w:rsidP="00322743">
      <w:pPr>
        <w:jc w:val="both"/>
        <w:rPr>
          <w:sz w:val="24"/>
          <w:szCs w:val="24"/>
        </w:rPr>
      </w:pPr>
      <w:r w:rsidRPr="00DF38C8">
        <w:rPr>
          <w:sz w:val="24"/>
          <w:szCs w:val="24"/>
        </w:rPr>
        <w:t xml:space="preserve">A Human Rights Based Approach requires, as a first step, that </w:t>
      </w:r>
      <w:r w:rsidR="0070685F">
        <w:rPr>
          <w:sz w:val="24"/>
          <w:szCs w:val="24"/>
          <w:lang w:val="en-GB"/>
        </w:rPr>
        <w:t xml:space="preserve"> relevant</w:t>
      </w:r>
      <w:r w:rsidR="00B833D8">
        <w:rPr>
          <w:sz w:val="24"/>
          <w:szCs w:val="24"/>
          <w:lang w:val="en-GB"/>
        </w:rPr>
        <w:t xml:space="preserve"> public bodies must</w:t>
      </w:r>
      <w:r w:rsidRPr="00DF38C8">
        <w:rPr>
          <w:sz w:val="24"/>
          <w:szCs w:val="24"/>
        </w:rPr>
        <w:t xml:space="preserve"> recognise residents as holders of human rights</w:t>
      </w:r>
      <w:r w:rsidR="00B833D8">
        <w:rPr>
          <w:sz w:val="24"/>
          <w:szCs w:val="24"/>
        </w:rPr>
        <w:t>. This includes</w:t>
      </w:r>
      <w:r w:rsidR="0070685F">
        <w:rPr>
          <w:sz w:val="24"/>
          <w:szCs w:val="24"/>
        </w:rPr>
        <w:t xml:space="preserve"> </w:t>
      </w:r>
      <w:r w:rsidRPr="00DF38C8">
        <w:rPr>
          <w:sz w:val="24"/>
          <w:szCs w:val="24"/>
        </w:rPr>
        <w:t xml:space="preserve">the right to adequate housing </w:t>
      </w:r>
      <w:r w:rsidR="00B833D8">
        <w:rPr>
          <w:sz w:val="24"/>
          <w:szCs w:val="24"/>
        </w:rPr>
        <w:t>that is set out</w:t>
      </w:r>
      <w:r w:rsidRPr="00DF38C8">
        <w:rPr>
          <w:sz w:val="24"/>
          <w:szCs w:val="24"/>
        </w:rPr>
        <w:t xml:space="preserve"> in international law</w:t>
      </w:r>
      <w:r w:rsidR="00B833D8">
        <w:rPr>
          <w:sz w:val="24"/>
          <w:szCs w:val="24"/>
        </w:rPr>
        <w:t xml:space="preserve"> and which has been accepted by Ireland</w:t>
      </w:r>
      <w:r w:rsidRPr="00DF38C8">
        <w:rPr>
          <w:sz w:val="24"/>
          <w:szCs w:val="24"/>
        </w:rPr>
        <w:t xml:space="preserve">. The regeneration project should, at a minimum, ensure that all housing is adequate, suitable, has access to appropriate infrastructure and services, and residents enjoy the right to meaningful participation in key decision affecting their homes and communities. </w:t>
      </w:r>
    </w:p>
    <w:p w14:paraId="4FC74542" w14:textId="624A7E15" w:rsidR="00B833D8" w:rsidRDefault="007F467A" w:rsidP="0070685F">
      <w:pPr>
        <w:jc w:val="both"/>
        <w:rPr>
          <w:sz w:val="24"/>
          <w:szCs w:val="24"/>
        </w:rPr>
      </w:pPr>
      <w:r>
        <w:rPr>
          <w:sz w:val="24"/>
          <w:szCs w:val="24"/>
        </w:rPr>
        <w:t>S</w:t>
      </w:r>
      <w:r w:rsidRPr="00D72B05">
        <w:rPr>
          <w:sz w:val="24"/>
          <w:szCs w:val="24"/>
        </w:rPr>
        <w:t>tates employ different national, regional and local actors, including local authorities and government departments, in</w:t>
      </w:r>
      <w:r>
        <w:rPr>
          <w:sz w:val="24"/>
          <w:szCs w:val="24"/>
        </w:rPr>
        <w:t xml:space="preserve"> designing and implementing regeneration programmes.</w:t>
      </w:r>
      <w:r w:rsidR="0070685F">
        <w:rPr>
          <w:sz w:val="24"/>
          <w:szCs w:val="24"/>
        </w:rPr>
        <w:t xml:space="preserve"> In international law, </w:t>
      </w:r>
      <w:r w:rsidR="00B833D8">
        <w:rPr>
          <w:sz w:val="24"/>
          <w:szCs w:val="24"/>
        </w:rPr>
        <w:t xml:space="preserve">it is </w:t>
      </w:r>
      <w:r w:rsidR="00D72B05">
        <w:rPr>
          <w:sz w:val="24"/>
          <w:szCs w:val="24"/>
        </w:rPr>
        <w:t xml:space="preserve">the State </w:t>
      </w:r>
      <w:r w:rsidR="00D72B05" w:rsidRPr="00D72B05">
        <w:rPr>
          <w:sz w:val="24"/>
          <w:szCs w:val="24"/>
        </w:rPr>
        <w:t xml:space="preserve">which </w:t>
      </w:r>
      <w:r>
        <w:rPr>
          <w:sz w:val="24"/>
          <w:szCs w:val="24"/>
        </w:rPr>
        <w:t>is the ultimate duty bearer and has</w:t>
      </w:r>
      <w:r w:rsidR="00D72B05" w:rsidRPr="00D72B05">
        <w:rPr>
          <w:sz w:val="24"/>
          <w:szCs w:val="24"/>
        </w:rPr>
        <w:t xml:space="preserve"> responsibility to ensure</w:t>
      </w:r>
      <w:r>
        <w:rPr>
          <w:sz w:val="24"/>
          <w:szCs w:val="24"/>
        </w:rPr>
        <w:t xml:space="preserve"> human</w:t>
      </w:r>
      <w:r w:rsidR="00D72B05" w:rsidRPr="00D72B05">
        <w:rPr>
          <w:sz w:val="24"/>
          <w:szCs w:val="24"/>
        </w:rPr>
        <w:t xml:space="preserve"> rights are re</w:t>
      </w:r>
      <w:r w:rsidR="0070685F">
        <w:rPr>
          <w:sz w:val="24"/>
          <w:szCs w:val="24"/>
        </w:rPr>
        <w:t>alised</w:t>
      </w:r>
      <w:r w:rsidR="00B833D8">
        <w:rPr>
          <w:sz w:val="24"/>
          <w:szCs w:val="24"/>
        </w:rPr>
        <w:t>.</w:t>
      </w:r>
      <w:r w:rsidR="00B833D8">
        <w:rPr>
          <w:rStyle w:val="FootnoteReference"/>
          <w:sz w:val="24"/>
          <w:szCs w:val="24"/>
        </w:rPr>
        <w:footnoteReference w:id="30"/>
      </w:r>
      <w:r w:rsidR="00B833D8">
        <w:rPr>
          <w:sz w:val="24"/>
          <w:szCs w:val="24"/>
        </w:rPr>
        <w:t xml:space="preserve"> However, </w:t>
      </w:r>
      <w:r w:rsidR="0070685F">
        <w:rPr>
          <w:sz w:val="24"/>
          <w:szCs w:val="24"/>
        </w:rPr>
        <w:t xml:space="preserve">the obligations to respect, protect, and fulfil the right to housing of residents in regeneration projects extends to all public bodies </w:t>
      </w:r>
      <w:r w:rsidR="0070685F">
        <w:rPr>
          <w:sz w:val="24"/>
          <w:szCs w:val="24"/>
          <w:lang w:val="en-GB"/>
        </w:rPr>
        <w:t xml:space="preserve">which exercise functions that may impact on regeneration policy and practice. This includes </w:t>
      </w:r>
      <w:r w:rsidR="00D72B05">
        <w:rPr>
          <w:sz w:val="24"/>
          <w:szCs w:val="24"/>
        </w:rPr>
        <w:t>the Department of Housing, Local Government and Heritage</w:t>
      </w:r>
      <w:r w:rsidR="0070685F">
        <w:rPr>
          <w:sz w:val="24"/>
          <w:szCs w:val="24"/>
        </w:rPr>
        <w:t>, local authorities and any other relevant public body.</w:t>
      </w:r>
    </w:p>
    <w:p w14:paraId="4410B8ED" w14:textId="5ED3DC3F" w:rsidR="00322743" w:rsidRPr="00DF38C8" w:rsidRDefault="00322743" w:rsidP="00322743">
      <w:pPr>
        <w:jc w:val="both"/>
        <w:rPr>
          <w:sz w:val="24"/>
          <w:szCs w:val="24"/>
        </w:rPr>
      </w:pPr>
      <w:r w:rsidRPr="00DF38C8">
        <w:rPr>
          <w:sz w:val="24"/>
          <w:szCs w:val="24"/>
        </w:rPr>
        <w:t xml:space="preserve">Once identified as such, the focus shifts to the actions which </w:t>
      </w:r>
      <w:r w:rsidRPr="00DF38C8">
        <w:rPr>
          <w:sz w:val="24"/>
          <w:szCs w:val="24"/>
          <w:lang w:val="en-GB"/>
        </w:rPr>
        <w:t xml:space="preserve">the duty bearer </w:t>
      </w:r>
      <w:r w:rsidRPr="00DF38C8">
        <w:rPr>
          <w:sz w:val="24"/>
          <w:szCs w:val="24"/>
        </w:rPr>
        <w:t xml:space="preserve">must take in order to protect, fulfil and promote the human rights of residents. The following table outlines </w:t>
      </w:r>
      <w:r w:rsidRPr="00DF38C8">
        <w:rPr>
          <w:sz w:val="24"/>
          <w:szCs w:val="24"/>
        </w:rPr>
        <w:lastRenderedPageBreak/>
        <w:t xml:space="preserve">how the PANEL principles could be used to integrate a HRBA in a </w:t>
      </w:r>
      <w:r w:rsidR="00B833D8">
        <w:rPr>
          <w:sz w:val="24"/>
          <w:szCs w:val="24"/>
        </w:rPr>
        <w:t>‘typical’</w:t>
      </w:r>
      <w:r w:rsidR="00B833D8" w:rsidRPr="00DF38C8">
        <w:rPr>
          <w:sz w:val="24"/>
          <w:szCs w:val="24"/>
        </w:rPr>
        <w:t xml:space="preserve"> </w:t>
      </w:r>
      <w:r w:rsidRPr="00DF38C8">
        <w:rPr>
          <w:sz w:val="24"/>
          <w:szCs w:val="24"/>
        </w:rPr>
        <w:t xml:space="preserve">local authority housing estate that is currently undergoing regeneration. In this particular example, national planning policy has changed in a material way </w:t>
      </w:r>
      <w:r w:rsidR="00213DC8" w:rsidRPr="00DF38C8">
        <w:rPr>
          <w:sz w:val="24"/>
          <w:szCs w:val="24"/>
        </w:rPr>
        <w:t>which</w:t>
      </w:r>
      <w:r w:rsidRPr="00DF38C8">
        <w:rPr>
          <w:sz w:val="24"/>
          <w:szCs w:val="24"/>
        </w:rPr>
        <w:t xml:space="preserve"> has implications for </w:t>
      </w:r>
      <w:r w:rsidR="00213DC8" w:rsidRPr="00DF38C8">
        <w:rPr>
          <w:sz w:val="24"/>
          <w:szCs w:val="24"/>
        </w:rPr>
        <w:t>the</w:t>
      </w:r>
      <w:r w:rsidRPr="00DF38C8">
        <w:rPr>
          <w:sz w:val="24"/>
          <w:szCs w:val="24"/>
        </w:rPr>
        <w:t xml:space="preserve"> project.</w:t>
      </w:r>
      <w:r w:rsidR="009A49DD" w:rsidRPr="00DF38C8">
        <w:rPr>
          <w:sz w:val="24"/>
          <w:szCs w:val="24"/>
        </w:rPr>
        <w:t xml:space="preserve"> </w:t>
      </w:r>
    </w:p>
    <w:p w14:paraId="7F30DFEB" w14:textId="77777777" w:rsidR="00322743" w:rsidRPr="00DF38C8" w:rsidRDefault="00322743" w:rsidP="00322743">
      <w:pPr>
        <w:jc w:val="both"/>
        <w:rPr>
          <w:sz w:val="24"/>
          <w:szCs w:val="24"/>
        </w:rPr>
      </w:pPr>
    </w:p>
    <w:tbl>
      <w:tblPr>
        <w:tblStyle w:val="TableGrid"/>
        <w:tblW w:w="9351" w:type="dxa"/>
        <w:tblLook w:val="04A0" w:firstRow="1" w:lastRow="0" w:firstColumn="1" w:lastColumn="0" w:noHBand="0" w:noVBand="1"/>
      </w:tblPr>
      <w:tblGrid>
        <w:gridCol w:w="1700"/>
        <w:gridCol w:w="7651"/>
      </w:tblGrid>
      <w:tr w:rsidR="00792491" w:rsidRPr="00DF38C8" w14:paraId="637041E6" w14:textId="77777777" w:rsidTr="00792491">
        <w:tc>
          <w:tcPr>
            <w:tcW w:w="1700" w:type="dxa"/>
          </w:tcPr>
          <w:p w14:paraId="4F4C41D3" w14:textId="21AAFE06" w:rsidR="00792491" w:rsidRPr="00DF38C8" w:rsidRDefault="00792491" w:rsidP="00BA7685">
            <w:pPr>
              <w:jc w:val="both"/>
              <w:rPr>
                <w:rFonts w:cstheme="minorHAnsi"/>
                <w:b/>
                <w:bCs/>
                <w:sz w:val="24"/>
                <w:szCs w:val="24"/>
              </w:rPr>
            </w:pPr>
            <w:bookmarkStart w:id="11" w:name="_Hlk92365665"/>
            <w:r w:rsidRPr="00DF38C8">
              <w:rPr>
                <w:rFonts w:cstheme="minorHAnsi"/>
                <w:b/>
                <w:bCs/>
                <w:sz w:val="24"/>
                <w:szCs w:val="24"/>
              </w:rPr>
              <w:t xml:space="preserve">Participation </w:t>
            </w:r>
          </w:p>
        </w:tc>
        <w:tc>
          <w:tcPr>
            <w:tcW w:w="7651" w:type="dxa"/>
          </w:tcPr>
          <w:p w14:paraId="51A974B9" w14:textId="572524DE" w:rsidR="00792491" w:rsidRPr="00DF38C8" w:rsidRDefault="0070685F" w:rsidP="00BA7685">
            <w:pPr>
              <w:rPr>
                <w:rFonts w:cstheme="minorHAnsi"/>
                <w:sz w:val="24"/>
                <w:szCs w:val="24"/>
                <w:lang w:val="en"/>
              </w:rPr>
            </w:pPr>
            <w:r>
              <w:rPr>
                <w:rFonts w:cstheme="minorHAnsi"/>
                <w:sz w:val="24"/>
                <w:szCs w:val="24"/>
                <w:lang w:val="en"/>
              </w:rPr>
              <w:t xml:space="preserve">The </w:t>
            </w:r>
            <w:r>
              <w:rPr>
                <w:sz w:val="24"/>
                <w:szCs w:val="24"/>
              </w:rPr>
              <w:t>Department of Housing, Local Government and Heritage</w:t>
            </w:r>
            <w:r w:rsidRPr="00DF38C8">
              <w:rPr>
                <w:rFonts w:cstheme="minorHAnsi"/>
                <w:sz w:val="24"/>
                <w:szCs w:val="24"/>
                <w:lang w:val="en"/>
              </w:rPr>
              <w:t xml:space="preserve"> </w:t>
            </w:r>
            <w:r>
              <w:rPr>
                <w:rFonts w:cstheme="minorHAnsi"/>
                <w:sz w:val="24"/>
                <w:szCs w:val="24"/>
                <w:lang w:val="en"/>
              </w:rPr>
              <w:t>and l</w:t>
            </w:r>
            <w:r w:rsidR="00E06981" w:rsidRPr="00DF38C8">
              <w:rPr>
                <w:rFonts w:cstheme="minorHAnsi"/>
                <w:sz w:val="24"/>
                <w:szCs w:val="24"/>
                <w:lang w:val="en"/>
              </w:rPr>
              <w:t xml:space="preserve">ocal authorities must provide residents and local communities with opportunities for meaningful participation in the design and implementation of regeneration projects. </w:t>
            </w:r>
            <w:r w:rsidR="00792491" w:rsidRPr="00DF38C8">
              <w:rPr>
                <w:rFonts w:cstheme="minorHAnsi"/>
                <w:sz w:val="24"/>
                <w:szCs w:val="24"/>
                <w:lang w:val="en"/>
              </w:rPr>
              <w:t>The duty</w:t>
            </w:r>
            <w:r w:rsidR="00322743" w:rsidRPr="00DF38C8">
              <w:rPr>
                <w:rFonts w:cstheme="minorHAnsi"/>
                <w:sz w:val="24"/>
                <w:szCs w:val="24"/>
                <w:lang w:val="en"/>
              </w:rPr>
              <w:t xml:space="preserve"> on </w:t>
            </w:r>
            <w:r>
              <w:rPr>
                <w:rFonts w:cstheme="minorHAnsi"/>
                <w:sz w:val="24"/>
                <w:szCs w:val="24"/>
                <w:lang w:val="en"/>
              </w:rPr>
              <w:t>public bodies</w:t>
            </w:r>
            <w:r w:rsidR="00792491" w:rsidRPr="00DF38C8">
              <w:rPr>
                <w:rFonts w:cstheme="minorHAnsi"/>
                <w:sz w:val="24"/>
                <w:szCs w:val="24"/>
                <w:lang w:val="en"/>
              </w:rPr>
              <w:t xml:space="preserve"> to provide opportunities for meaningful participation is particularly important where technical or policy conflicts arise in a regeneration project. </w:t>
            </w:r>
            <w:r w:rsidR="00322743" w:rsidRPr="00DF38C8">
              <w:rPr>
                <w:rFonts w:cstheme="minorHAnsi"/>
                <w:sz w:val="24"/>
                <w:szCs w:val="24"/>
                <w:lang w:val="en"/>
              </w:rPr>
              <w:t>Where material changes in planning policy occur</w:t>
            </w:r>
            <w:r w:rsidR="00404452">
              <w:rPr>
                <w:rFonts w:cstheme="minorHAnsi"/>
                <w:sz w:val="24"/>
                <w:szCs w:val="24"/>
                <w:lang w:val="en"/>
              </w:rPr>
              <w:t xml:space="preserve">, </w:t>
            </w:r>
            <w:r w:rsidR="00404452">
              <w:rPr>
                <w:sz w:val="24"/>
                <w:szCs w:val="24"/>
              </w:rPr>
              <w:t>Department of Housing, Local Government and Heritage should work with</w:t>
            </w:r>
            <w:r w:rsidR="00792491" w:rsidRPr="00DF38C8">
              <w:rPr>
                <w:rFonts w:cstheme="minorHAnsi"/>
                <w:sz w:val="24"/>
                <w:szCs w:val="24"/>
                <w:lang w:val="en"/>
              </w:rPr>
              <w:t>local authorities</w:t>
            </w:r>
            <w:r w:rsidR="00404452">
              <w:rPr>
                <w:rFonts w:cstheme="minorHAnsi"/>
                <w:sz w:val="24"/>
                <w:szCs w:val="24"/>
                <w:lang w:val="en"/>
              </w:rPr>
              <w:t xml:space="preserve"> to ensure that residents, and representative associations, are</w:t>
            </w:r>
            <w:r w:rsidR="00792491" w:rsidRPr="00DF38C8">
              <w:rPr>
                <w:rFonts w:cstheme="minorHAnsi"/>
                <w:sz w:val="24"/>
                <w:szCs w:val="24"/>
                <w:lang w:val="en"/>
              </w:rPr>
              <w:t>:</w:t>
            </w:r>
          </w:p>
          <w:p w14:paraId="0D9C7FBD" w14:textId="47044931" w:rsidR="00792491" w:rsidRPr="00DF38C8" w:rsidRDefault="00792491" w:rsidP="00792491">
            <w:pPr>
              <w:pStyle w:val="ListParagraph"/>
              <w:numPr>
                <w:ilvl w:val="0"/>
                <w:numId w:val="7"/>
              </w:numPr>
              <w:rPr>
                <w:rFonts w:cstheme="minorHAnsi"/>
                <w:sz w:val="24"/>
                <w:szCs w:val="24"/>
                <w:lang w:val="en"/>
              </w:rPr>
            </w:pPr>
            <w:r w:rsidRPr="00DF38C8">
              <w:rPr>
                <w:rFonts w:cstheme="minorHAnsi"/>
                <w:sz w:val="24"/>
                <w:szCs w:val="24"/>
                <w:lang w:val="en"/>
              </w:rPr>
              <w:t>alert</w:t>
            </w:r>
            <w:r w:rsidR="00404452">
              <w:rPr>
                <w:rFonts w:cstheme="minorHAnsi"/>
                <w:sz w:val="24"/>
                <w:szCs w:val="24"/>
                <w:lang w:val="en"/>
              </w:rPr>
              <w:t>ed</w:t>
            </w:r>
            <w:r w:rsidRPr="00DF38C8">
              <w:rPr>
                <w:rFonts w:cstheme="minorHAnsi"/>
                <w:sz w:val="24"/>
                <w:szCs w:val="24"/>
                <w:lang w:val="en"/>
              </w:rPr>
              <w:t xml:space="preserve"> to likely changes in national planning policy as soon as possible so that they have adequate notice of the changes;</w:t>
            </w:r>
          </w:p>
          <w:p w14:paraId="1830CE80" w14:textId="5300CEE3" w:rsidR="00792491" w:rsidRPr="00DF38C8" w:rsidRDefault="00792491" w:rsidP="00792491">
            <w:pPr>
              <w:pStyle w:val="ListParagraph"/>
              <w:numPr>
                <w:ilvl w:val="0"/>
                <w:numId w:val="7"/>
              </w:numPr>
              <w:rPr>
                <w:rFonts w:cstheme="minorHAnsi"/>
                <w:sz w:val="24"/>
                <w:szCs w:val="24"/>
                <w:lang w:val="en"/>
              </w:rPr>
            </w:pPr>
            <w:r w:rsidRPr="00DF38C8">
              <w:rPr>
                <w:rFonts w:cstheme="minorHAnsi"/>
                <w:sz w:val="24"/>
                <w:szCs w:val="24"/>
                <w:lang w:val="en"/>
              </w:rPr>
              <w:t>provide</w:t>
            </w:r>
            <w:r w:rsidR="00404452">
              <w:rPr>
                <w:rFonts w:cstheme="minorHAnsi"/>
                <w:sz w:val="24"/>
                <w:szCs w:val="24"/>
                <w:lang w:val="en"/>
              </w:rPr>
              <w:t>d</w:t>
            </w:r>
            <w:r w:rsidRPr="00DF38C8">
              <w:rPr>
                <w:rFonts w:cstheme="minorHAnsi"/>
                <w:sz w:val="24"/>
                <w:szCs w:val="24"/>
                <w:lang w:val="en"/>
              </w:rPr>
              <w:t xml:space="preserve">  with opportunities to raise concerns and get answers to their questions about any material changes in planning policy;</w:t>
            </w:r>
            <w:r w:rsidR="00213DC8" w:rsidRPr="00DF38C8">
              <w:rPr>
                <w:rFonts w:cstheme="minorHAnsi"/>
                <w:sz w:val="24"/>
                <w:szCs w:val="24"/>
                <w:lang w:val="en"/>
              </w:rPr>
              <w:t xml:space="preserve"> and how they may be affected</w:t>
            </w:r>
          </w:p>
          <w:p w14:paraId="507A73E6" w14:textId="13EA905D" w:rsidR="00792491" w:rsidRPr="00DF38C8" w:rsidRDefault="00404452" w:rsidP="00792491">
            <w:pPr>
              <w:pStyle w:val="ListParagraph"/>
              <w:numPr>
                <w:ilvl w:val="0"/>
                <w:numId w:val="7"/>
              </w:numPr>
              <w:rPr>
                <w:rFonts w:cstheme="minorHAnsi"/>
                <w:sz w:val="24"/>
                <w:szCs w:val="24"/>
                <w:lang w:val="en"/>
              </w:rPr>
            </w:pPr>
            <w:r>
              <w:rPr>
                <w:rFonts w:cstheme="minorHAnsi"/>
                <w:sz w:val="24"/>
                <w:szCs w:val="24"/>
                <w:lang w:val="en"/>
              </w:rPr>
              <w:t xml:space="preserve">provided with </w:t>
            </w:r>
            <w:r w:rsidRPr="00DF38C8">
              <w:rPr>
                <w:rFonts w:cstheme="minorHAnsi"/>
                <w:sz w:val="24"/>
                <w:szCs w:val="24"/>
                <w:lang w:val="en"/>
              </w:rPr>
              <w:t xml:space="preserve">meaningful </w:t>
            </w:r>
            <w:r>
              <w:rPr>
                <w:rFonts w:cstheme="minorHAnsi"/>
                <w:sz w:val="24"/>
                <w:szCs w:val="24"/>
                <w:lang w:val="en"/>
              </w:rPr>
              <w:t xml:space="preserve">opportunities to develop </w:t>
            </w:r>
            <w:r w:rsidR="00213DC8" w:rsidRPr="00DF38C8">
              <w:rPr>
                <w:rFonts w:cstheme="minorHAnsi"/>
                <w:sz w:val="24"/>
                <w:szCs w:val="24"/>
                <w:lang w:val="en"/>
              </w:rPr>
              <w:t>alternative courses of action for responding to the changes in planning policy</w:t>
            </w:r>
          </w:p>
          <w:p w14:paraId="6EE6F0F7" w14:textId="77777777" w:rsidR="00252568" w:rsidRDefault="00252568" w:rsidP="00213DC8">
            <w:pPr>
              <w:rPr>
                <w:rFonts w:cstheme="minorHAnsi"/>
                <w:sz w:val="24"/>
                <w:szCs w:val="24"/>
                <w:lang w:val="en"/>
              </w:rPr>
            </w:pPr>
          </w:p>
          <w:p w14:paraId="23468530" w14:textId="3446FFF8" w:rsidR="009A49DD" w:rsidRPr="00DF38C8" w:rsidRDefault="000252AF" w:rsidP="00213DC8">
            <w:pPr>
              <w:rPr>
                <w:rFonts w:cstheme="minorHAnsi"/>
                <w:sz w:val="24"/>
                <w:szCs w:val="24"/>
                <w:lang w:val="en"/>
              </w:rPr>
            </w:pPr>
            <w:r w:rsidRPr="00DF38C8">
              <w:rPr>
                <w:rFonts w:cstheme="minorHAnsi"/>
                <w:sz w:val="24"/>
                <w:szCs w:val="24"/>
                <w:lang w:val="en"/>
              </w:rPr>
              <w:t>The right of residents to</w:t>
            </w:r>
            <w:r w:rsidR="00E06981" w:rsidRPr="00DF38C8">
              <w:rPr>
                <w:rFonts w:cstheme="minorHAnsi"/>
                <w:sz w:val="24"/>
                <w:szCs w:val="24"/>
                <w:lang w:val="en"/>
              </w:rPr>
              <w:t xml:space="preserve"> </w:t>
            </w:r>
            <w:r w:rsidR="00792491" w:rsidRPr="00DF38C8">
              <w:rPr>
                <w:rFonts w:cstheme="minorHAnsi"/>
                <w:sz w:val="24"/>
                <w:szCs w:val="24"/>
                <w:lang w:val="en"/>
              </w:rPr>
              <w:t>meaningful participation</w:t>
            </w:r>
            <w:r w:rsidRPr="00DF38C8">
              <w:rPr>
                <w:rFonts w:cstheme="minorHAnsi"/>
                <w:sz w:val="24"/>
                <w:szCs w:val="24"/>
                <w:lang w:val="en"/>
              </w:rPr>
              <w:t xml:space="preserve"> should be</w:t>
            </w:r>
            <w:r w:rsidR="00792491" w:rsidRPr="00DF38C8">
              <w:rPr>
                <w:rFonts w:cstheme="minorHAnsi"/>
                <w:sz w:val="24"/>
                <w:szCs w:val="24"/>
                <w:lang w:val="en"/>
              </w:rPr>
              <w:t xml:space="preserve"> the basis for developing sustainable solutions to technical or policy conflicts. </w:t>
            </w:r>
            <w:r w:rsidR="00404452">
              <w:rPr>
                <w:rFonts w:cstheme="minorHAnsi"/>
                <w:sz w:val="24"/>
                <w:szCs w:val="24"/>
                <w:lang w:val="en"/>
              </w:rPr>
              <w:t xml:space="preserve">The </w:t>
            </w:r>
            <w:r w:rsidR="00404452">
              <w:rPr>
                <w:sz w:val="24"/>
                <w:szCs w:val="24"/>
              </w:rPr>
              <w:t>Department of Housing, Local Government and Heritage should work with</w:t>
            </w:r>
            <w:r w:rsidR="00404452" w:rsidRPr="00DF38C8">
              <w:rPr>
                <w:rFonts w:cstheme="minorHAnsi"/>
                <w:sz w:val="24"/>
                <w:szCs w:val="24"/>
                <w:lang w:val="en"/>
              </w:rPr>
              <w:t xml:space="preserve"> </w:t>
            </w:r>
            <w:r w:rsidR="00404452">
              <w:rPr>
                <w:rFonts w:cstheme="minorHAnsi"/>
                <w:sz w:val="24"/>
                <w:szCs w:val="24"/>
                <w:lang w:val="en"/>
              </w:rPr>
              <w:t>l</w:t>
            </w:r>
            <w:r w:rsidR="00792491" w:rsidRPr="00DF38C8">
              <w:rPr>
                <w:rFonts w:cstheme="minorHAnsi"/>
                <w:sz w:val="24"/>
                <w:szCs w:val="24"/>
                <w:lang w:val="en"/>
              </w:rPr>
              <w:t xml:space="preserve">ocal authorities </w:t>
            </w:r>
            <w:r w:rsidR="00404452">
              <w:rPr>
                <w:rFonts w:cstheme="minorHAnsi"/>
                <w:sz w:val="24"/>
                <w:szCs w:val="24"/>
                <w:lang w:val="en"/>
              </w:rPr>
              <w:t xml:space="preserve">to ensure that public bodies </w:t>
            </w:r>
            <w:r w:rsidR="00792491" w:rsidRPr="00DF38C8">
              <w:rPr>
                <w:rFonts w:cstheme="minorHAnsi"/>
                <w:sz w:val="24"/>
                <w:szCs w:val="24"/>
                <w:lang w:val="en"/>
              </w:rPr>
              <w:t xml:space="preserve">engage with residents to develop sustainable solutions that take account of </w:t>
            </w:r>
            <w:r w:rsidR="00404452">
              <w:rPr>
                <w:rFonts w:cstheme="minorHAnsi"/>
                <w:sz w:val="24"/>
                <w:szCs w:val="24"/>
                <w:lang w:val="en"/>
              </w:rPr>
              <w:t>resident’s</w:t>
            </w:r>
            <w:r w:rsidR="00404452" w:rsidRPr="00DF38C8">
              <w:rPr>
                <w:rFonts w:cstheme="minorHAnsi"/>
                <w:sz w:val="24"/>
                <w:szCs w:val="24"/>
                <w:lang w:val="en"/>
              </w:rPr>
              <w:t xml:space="preserve"> </w:t>
            </w:r>
            <w:r w:rsidR="00792491" w:rsidRPr="00DF38C8">
              <w:rPr>
                <w:rFonts w:cstheme="minorHAnsi"/>
                <w:sz w:val="24"/>
                <w:szCs w:val="24"/>
                <w:lang w:val="en"/>
              </w:rPr>
              <w:t>concerns</w:t>
            </w:r>
            <w:r w:rsidR="00E06981" w:rsidRPr="00DF38C8">
              <w:rPr>
                <w:rFonts w:cstheme="minorHAnsi"/>
                <w:sz w:val="24"/>
                <w:szCs w:val="24"/>
                <w:lang w:val="en"/>
              </w:rPr>
              <w:t xml:space="preserve"> about the impact of changes in planning policy on the regeneration project</w:t>
            </w:r>
            <w:r w:rsidR="00792491" w:rsidRPr="00DF38C8">
              <w:rPr>
                <w:rFonts w:cstheme="minorHAnsi"/>
                <w:sz w:val="24"/>
                <w:szCs w:val="24"/>
                <w:lang w:val="en"/>
              </w:rPr>
              <w:t xml:space="preserve">. </w:t>
            </w:r>
            <w:r w:rsidR="00E06981" w:rsidRPr="00DF38C8">
              <w:rPr>
                <w:rFonts w:cstheme="minorHAnsi"/>
                <w:sz w:val="24"/>
                <w:szCs w:val="24"/>
                <w:lang w:val="en"/>
              </w:rPr>
              <w:t>For example,</w:t>
            </w:r>
            <w:r w:rsidRPr="00DF38C8">
              <w:rPr>
                <w:rFonts w:cstheme="minorHAnsi"/>
                <w:sz w:val="24"/>
                <w:szCs w:val="24"/>
                <w:lang w:val="en"/>
              </w:rPr>
              <w:t xml:space="preserve"> changes in planning policy</w:t>
            </w:r>
            <w:r w:rsidR="00792491" w:rsidRPr="00DF38C8">
              <w:rPr>
                <w:rFonts w:cstheme="minorHAnsi"/>
                <w:sz w:val="24"/>
                <w:szCs w:val="24"/>
                <w:lang w:val="en"/>
              </w:rPr>
              <w:t xml:space="preserve"> </w:t>
            </w:r>
            <w:r w:rsidRPr="00DF38C8">
              <w:rPr>
                <w:rFonts w:cstheme="minorHAnsi"/>
                <w:sz w:val="24"/>
                <w:szCs w:val="24"/>
                <w:lang w:val="en"/>
              </w:rPr>
              <w:t xml:space="preserve">may </w:t>
            </w:r>
            <w:r w:rsidR="00792491" w:rsidRPr="00DF38C8">
              <w:rPr>
                <w:rFonts w:cstheme="minorHAnsi"/>
                <w:sz w:val="24"/>
                <w:szCs w:val="24"/>
                <w:lang w:val="en"/>
              </w:rPr>
              <w:t xml:space="preserve">place additional pressures on </w:t>
            </w:r>
            <w:r w:rsidRPr="00DF38C8">
              <w:rPr>
                <w:rFonts w:cstheme="minorHAnsi"/>
                <w:sz w:val="24"/>
                <w:szCs w:val="24"/>
                <w:lang w:val="en"/>
              </w:rPr>
              <w:t xml:space="preserve">a regeneration </w:t>
            </w:r>
            <w:r w:rsidR="00E06981" w:rsidRPr="00DF38C8">
              <w:rPr>
                <w:rFonts w:cstheme="minorHAnsi"/>
                <w:sz w:val="24"/>
                <w:szCs w:val="24"/>
                <w:lang w:val="en"/>
              </w:rPr>
              <w:t>project and require that additional funds are raised locally</w:t>
            </w:r>
            <w:r w:rsidRPr="00DF38C8">
              <w:rPr>
                <w:rFonts w:cstheme="minorHAnsi"/>
                <w:sz w:val="24"/>
                <w:szCs w:val="24"/>
                <w:lang w:val="en"/>
              </w:rPr>
              <w:t xml:space="preserve"> to provide facilities for children and young people. While selling public lands to raise funds is sometimes presented as a solution, local authorities should take account of more sustainable alternatives </w:t>
            </w:r>
            <w:r w:rsidR="00213DC8" w:rsidRPr="00DF38C8">
              <w:rPr>
                <w:rFonts w:cstheme="minorHAnsi"/>
                <w:sz w:val="24"/>
                <w:szCs w:val="24"/>
                <w:lang w:val="en"/>
              </w:rPr>
              <w:t xml:space="preserve">that may be </w:t>
            </w:r>
            <w:r w:rsidRPr="00DF38C8">
              <w:rPr>
                <w:rFonts w:cstheme="minorHAnsi"/>
                <w:sz w:val="24"/>
                <w:szCs w:val="24"/>
                <w:lang w:val="en"/>
              </w:rPr>
              <w:t xml:space="preserve">proposed by residents </w:t>
            </w:r>
            <w:r w:rsidR="006C434A" w:rsidRPr="00DF38C8">
              <w:rPr>
                <w:rFonts w:cstheme="minorHAnsi"/>
                <w:sz w:val="24"/>
                <w:szCs w:val="24"/>
                <w:lang w:val="en"/>
              </w:rPr>
              <w:t>such as</w:t>
            </w:r>
            <w:r w:rsidR="00792491" w:rsidRPr="00DF38C8">
              <w:rPr>
                <w:rFonts w:cstheme="minorHAnsi"/>
                <w:sz w:val="24"/>
                <w:szCs w:val="24"/>
                <w:lang w:val="en"/>
              </w:rPr>
              <w:t xml:space="preserve"> leasing</w:t>
            </w:r>
            <w:r w:rsidRPr="00DF38C8">
              <w:rPr>
                <w:rFonts w:cstheme="minorHAnsi"/>
                <w:sz w:val="24"/>
                <w:szCs w:val="24"/>
                <w:lang w:val="en"/>
              </w:rPr>
              <w:t xml:space="preserve"> public</w:t>
            </w:r>
            <w:r w:rsidR="00792491" w:rsidRPr="00DF38C8">
              <w:rPr>
                <w:rFonts w:cstheme="minorHAnsi"/>
                <w:sz w:val="24"/>
                <w:szCs w:val="24"/>
                <w:lang w:val="en"/>
              </w:rPr>
              <w:t xml:space="preserve"> land</w:t>
            </w:r>
            <w:r w:rsidR="009A49DD" w:rsidRPr="00DF38C8">
              <w:rPr>
                <w:rFonts w:cstheme="minorHAnsi"/>
                <w:sz w:val="24"/>
                <w:szCs w:val="24"/>
                <w:lang w:val="en"/>
              </w:rPr>
              <w:t>.</w:t>
            </w:r>
            <w:r w:rsidR="00792491" w:rsidRPr="00DF38C8">
              <w:rPr>
                <w:rStyle w:val="FootnoteReference"/>
                <w:rFonts w:cstheme="minorHAnsi"/>
                <w:sz w:val="24"/>
                <w:szCs w:val="24"/>
                <w:lang w:val="en"/>
              </w:rPr>
              <w:footnoteReference w:id="31"/>
            </w:r>
            <w:r w:rsidR="00792491" w:rsidRPr="00DF38C8">
              <w:rPr>
                <w:rFonts w:cstheme="minorHAnsi"/>
                <w:sz w:val="24"/>
                <w:szCs w:val="24"/>
                <w:lang w:val="en"/>
              </w:rPr>
              <w:t xml:space="preserve"> </w:t>
            </w:r>
          </w:p>
        </w:tc>
      </w:tr>
      <w:tr w:rsidR="00792491" w:rsidRPr="00DF38C8" w14:paraId="3B6813C7" w14:textId="77777777" w:rsidTr="00792491">
        <w:tc>
          <w:tcPr>
            <w:tcW w:w="1700" w:type="dxa"/>
          </w:tcPr>
          <w:p w14:paraId="649D0EFC" w14:textId="77777777" w:rsidR="00792491" w:rsidRPr="00DF38C8" w:rsidRDefault="00792491" w:rsidP="00BA7685">
            <w:pPr>
              <w:jc w:val="both"/>
              <w:rPr>
                <w:rFonts w:cstheme="minorHAnsi"/>
                <w:b/>
                <w:bCs/>
                <w:sz w:val="24"/>
                <w:szCs w:val="24"/>
              </w:rPr>
            </w:pPr>
            <w:r w:rsidRPr="00DF38C8">
              <w:rPr>
                <w:rFonts w:cstheme="minorHAnsi"/>
                <w:b/>
                <w:bCs/>
                <w:sz w:val="24"/>
                <w:szCs w:val="24"/>
              </w:rPr>
              <w:t xml:space="preserve">Accountability </w:t>
            </w:r>
          </w:p>
        </w:tc>
        <w:tc>
          <w:tcPr>
            <w:tcW w:w="7651" w:type="dxa"/>
          </w:tcPr>
          <w:p w14:paraId="690D399C" w14:textId="711D1AE4" w:rsidR="00792491" w:rsidRPr="00DF38C8" w:rsidRDefault="00404452" w:rsidP="009A49DD">
            <w:pPr>
              <w:rPr>
                <w:rFonts w:cstheme="minorHAnsi"/>
                <w:sz w:val="24"/>
                <w:szCs w:val="24"/>
                <w:lang w:val="en"/>
              </w:rPr>
            </w:pPr>
            <w:r>
              <w:rPr>
                <w:rFonts w:cstheme="minorHAnsi"/>
                <w:sz w:val="24"/>
                <w:szCs w:val="24"/>
                <w:lang w:val="en"/>
              </w:rPr>
              <w:t xml:space="preserve">The </w:t>
            </w:r>
            <w:r>
              <w:rPr>
                <w:sz w:val="24"/>
                <w:szCs w:val="24"/>
              </w:rPr>
              <w:t>Department of Housing, Local Government and Heritage</w:t>
            </w:r>
            <w:r w:rsidRPr="00DF38C8">
              <w:rPr>
                <w:rFonts w:cstheme="minorHAnsi"/>
                <w:sz w:val="24"/>
                <w:szCs w:val="24"/>
                <w:lang w:val="en"/>
              </w:rPr>
              <w:t xml:space="preserve"> </w:t>
            </w:r>
            <w:r>
              <w:rPr>
                <w:rFonts w:cstheme="minorHAnsi"/>
                <w:sz w:val="24"/>
                <w:szCs w:val="24"/>
                <w:lang w:val="en"/>
              </w:rPr>
              <w:t>and the</w:t>
            </w:r>
            <w:r w:rsidR="00252568">
              <w:rPr>
                <w:rFonts w:cstheme="minorHAnsi"/>
                <w:sz w:val="24"/>
                <w:szCs w:val="24"/>
                <w:lang w:val="en"/>
              </w:rPr>
              <w:t xml:space="preserve"> </w:t>
            </w:r>
            <w:r>
              <w:rPr>
                <w:rFonts w:cstheme="minorHAnsi"/>
                <w:sz w:val="24"/>
                <w:szCs w:val="24"/>
                <w:lang w:val="en"/>
              </w:rPr>
              <w:t>l</w:t>
            </w:r>
            <w:r w:rsidR="00792491" w:rsidRPr="00DF38C8">
              <w:rPr>
                <w:rFonts w:cstheme="minorHAnsi"/>
                <w:sz w:val="24"/>
                <w:szCs w:val="24"/>
                <w:lang w:val="en"/>
              </w:rPr>
              <w:t>ocal authorit</w:t>
            </w:r>
            <w:r>
              <w:rPr>
                <w:rFonts w:cstheme="minorHAnsi"/>
                <w:sz w:val="24"/>
                <w:szCs w:val="24"/>
                <w:lang w:val="en"/>
              </w:rPr>
              <w:t>y</w:t>
            </w:r>
            <w:r w:rsidR="00252568">
              <w:rPr>
                <w:rFonts w:cstheme="minorHAnsi"/>
                <w:sz w:val="24"/>
                <w:szCs w:val="24"/>
                <w:lang w:val="en"/>
              </w:rPr>
              <w:t xml:space="preserve"> </w:t>
            </w:r>
            <w:r w:rsidR="00792491" w:rsidRPr="00DF38C8">
              <w:rPr>
                <w:rFonts w:cstheme="minorHAnsi"/>
                <w:sz w:val="24"/>
                <w:szCs w:val="24"/>
                <w:lang w:val="en"/>
              </w:rPr>
              <w:t xml:space="preserve">should monitor how resident’s rights </w:t>
            </w:r>
            <w:r w:rsidR="009A49DD" w:rsidRPr="00DF38C8">
              <w:rPr>
                <w:rFonts w:cstheme="minorHAnsi"/>
                <w:sz w:val="24"/>
                <w:szCs w:val="24"/>
                <w:lang w:val="en"/>
              </w:rPr>
              <w:t>will be</w:t>
            </w:r>
            <w:r w:rsidR="00792491" w:rsidRPr="00DF38C8">
              <w:rPr>
                <w:rFonts w:cstheme="minorHAnsi"/>
                <w:sz w:val="24"/>
                <w:szCs w:val="24"/>
                <w:lang w:val="en"/>
              </w:rPr>
              <w:t xml:space="preserve"> </w:t>
            </w:r>
            <w:r w:rsidR="009A49DD" w:rsidRPr="00DF38C8">
              <w:rPr>
                <w:rFonts w:cstheme="minorHAnsi"/>
                <w:sz w:val="24"/>
                <w:szCs w:val="24"/>
                <w:lang w:val="en"/>
              </w:rPr>
              <w:t>affected</w:t>
            </w:r>
            <w:r w:rsidR="00792491" w:rsidRPr="00DF38C8">
              <w:rPr>
                <w:rFonts w:cstheme="minorHAnsi"/>
                <w:sz w:val="24"/>
                <w:szCs w:val="24"/>
                <w:lang w:val="en"/>
              </w:rPr>
              <w:t xml:space="preserve"> by </w:t>
            </w:r>
            <w:r w:rsidR="009A49DD" w:rsidRPr="00DF38C8">
              <w:rPr>
                <w:rFonts w:cstheme="minorHAnsi"/>
                <w:sz w:val="24"/>
                <w:szCs w:val="24"/>
                <w:lang w:val="en"/>
              </w:rPr>
              <w:t xml:space="preserve">changes in planning policy that may impact on </w:t>
            </w:r>
            <w:r w:rsidR="00792491" w:rsidRPr="00DF38C8">
              <w:rPr>
                <w:rFonts w:cstheme="minorHAnsi"/>
                <w:sz w:val="24"/>
                <w:szCs w:val="24"/>
                <w:lang w:val="en"/>
              </w:rPr>
              <w:t xml:space="preserve">regeneration projects. Where </w:t>
            </w:r>
            <w:r w:rsidR="009A49DD" w:rsidRPr="00DF38C8">
              <w:rPr>
                <w:rFonts w:cstheme="minorHAnsi"/>
                <w:sz w:val="24"/>
                <w:szCs w:val="24"/>
                <w:lang w:val="en"/>
              </w:rPr>
              <w:t xml:space="preserve">changes in planning policy have material impacts on regeneration projects, </w:t>
            </w:r>
            <w:r>
              <w:rPr>
                <w:rFonts w:cstheme="minorHAnsi"/>
                <w:sz w:val="24"/>
                <w:szCs w:val="24"/>
                <w:lang w:val="en"/>
              </w:rPr>
              <w:t>all relevant public bodies</w:t>
            </w:r>
            <w:r w:rsidR="00792491" w:rsidRPr="00DF38C8">
              <w:rPr>
                <w:rFonts w:cstheme="minorHAnsi"/>
                <w:sz w:val="24"/>
                <w:szCs w:val="24"/>
                <w:lang w:val="en"/>
              </w:rPr>
              <w:t xml:space="preserve"> should make clear to residents how it will ensure that it will realize its other obligations to protect residents’ right to housing and </w:t>
            </w:r>
            <w:r w:rsidR="009A49DD" w:rsidRPr="00DF38C8">
              <w:rPr>
                <w:rFonts w:cstheme="minorHAnsi"/>
                <w:sz w:val="24"/>
                <w:szCs w:val="24"/>
                <w:lang w:val="en"/>
              </w:rPr>
              <w:t xml:space="preserve">to </w:t>
            </w:r>
            <w:r w:rsidR="00792491" w:rsidRPr="00DF38C8">
              <w:rPr>
                <w:rFonts w:cstheme="minorHAnsi"/>
                <w:sz w:val="24"/>
                <w:szCs w:val="24"/>
                <w:lang w:val="en"/>
              </w:rPr>
              <w:t>develop sustainable communities</w:t>
            </w:r>
            <w:r w:rsidR="009A49DD" w:rsidRPr="00DF38C8">
              <w:rPr>
                <w:rFonts w:cstheme="minorHAnsi"/>
                <w:sz w:val="24"/>
                <w:szCs w:val="24"/>
                <w:lang w:val="en"/>
              </w:rPr>
              <w:t>.</w:t>
            </w:r>
          </w:p>
        </w:tc>
      </w:tr>
      <w:tr w:rsidR="00792491" w:rsidRPr="00DF38C8" w14:paraId="7383BC3D" w14:textId="77777777" w:rsidTr="00792491">
        <w:tc>
          <w:tcPr>
            <w:tcW w:w="1700" w:type="dxa"/>
          </w:tcPr>
          <w:p w14:paraId="22CB87AC" w14:textId="77777777" w:rsidR="00792491" w:rsidRPr="00DF38C8" w:rsidRDefault="00792491" w:rsidP="00BA7685">
            <w:pPr>
              <w:jc w:val="both"/>
              <w:rPr>
                <w:rFonts w:cstheme="minorHAnsi"/>
                <w:b/>
                <w:bCs/>
                <w:sz w:val="24"/>
                <w:szCs w:val="24"/>
              </w:rPr>
            </w:pPr>
            <w:r w:rsidRPr="00DF38C8">
              <w:rPr>
                <w:rFonts w:cstheme="minorHAnsi"/>
                <w:b/>
                <w:bCs/>
                <w:sz w:val="24"/>
                <w:szCs w:val="24"/>
              </w:rPr>
              <w:t>Non-discrimination</w:t>
            </w:r>
          </w:p>
        </w:tc>
        <w:tc>
          <w:tcPr>
            <w:tcW w:w="7651" w:type="dxa"/>
          </w:tcPr>
          <w:p w14:paraId="7B93E34B" w14:textId="497161F9" w:rsidR="00792491" w:rsidRPr="00DF38C8" w:rsidRDefault="00404452" w:rsidP="00BA7685">
            <w:pPr>
              <w:rPr>
                <w:rFonts w:cstheme="minorHAnsi"/>
                <w:sz w:val="24"/>
                <w:szCs w:val="24"/>
              </w:rPr>
            </w:pPr>
            <w:r>
              <w:rPr>
                <w:rFonts w:cstheme="minorHAnsi"/>
                <w:sz w:val="24"/>
                <w:szCs w:val="24"/>
              </w:rPr>
              <w:t>Public bodies</w:t>
            </w:r>
            <w:r w:rsidR="00845924" w:rsidRPr="00DF38C8">
              <w:rPr>
                <w:rFonts w:cstheme="minorHAnsi"/>
                <w:sz w:val="24"/>
                <w:szCs w:val="24"/>
              </w:rPr>
              <w:t xml:space="preserve"> must ensure that nobody</w:t>
            </w:r>
            <w:r w:rsidR="00845924" w:rsidRPr="00DF38C8">
              <w:rPr>
                <w:rFonts w:cstheme="minorHAnsi"/>
                <w:sz w:val="24"/>
                <w:szCs w:val="24"/>
                <w:lang w:val="en"/>
              </w:rPr>
              <w:t xml:space="preserve"> is treated unfairly because of their age, gender, ethnicity, disability, religion or belief, sexual orientation, gender identity or any other personal characteristic. </w:t>
            </w:r>
            <w:r>
              <w:rPr>
                <w:rFonts w:cstheme="minorHAnsi"/>
                <w:sz w:val="24"/>
                <w:szCs w:val="24"/>
                <w:lang w:val="en"/>
              </w:rPr>
              <w:t xml:space="preserve">The </w:t>
            </w:r>
            <w:r>
              <w:rPr>
                <w:sz w:val="24"/>
                <w:szCs w:val="24"/>
              </w:rPr>
              <w:t>Department of Housing, Local Government and Heritage</w:t>
            </w:r>
            <w:r w:rsidRPr="00DF38C8">
              <w:rPr>
                <w:rFonts w:cstheme="minorHAnsi"/>
                <w:sz w:val="24"/>
                <w:szCs w:val="24"/>
                <w:lang w:val="en"/>
              </w:rPr>
              <w:t xml:space="preserve"> </w:t>
            </w:r>
            <w:r>
              <w:rPr>
                <w:rFonts w:cstheme="minorHAnsi"/>
                <w:sz w:val="24"/>
                <w:szCs w:val="24"/>
                <w:lang w:val="en"/>
              </w:rPr>
              <w:t xml:space="preserve">and the </w:t>
            </w:r>
            <w:r>
              <w:rPr>
                <w:rFonts w:cstheme="minorHAnsi"/>
                <w:sz w:val="24"/>
                <w:szCs w:val="24"/>
              </w:rPr>
              <w:t>l</w:t>
            </w:r>
            <w:r w:rsidR="00792491" w:rsidRPr="00DF38C8">
              <w:rPr>
                <w:rFonts w:cstheme="minorHAnsi"/>
                <w:sz w:val="24"/>
                <w:szCs w:val="24"/>
              </w:rPr>
              <w:t>ocal authorit</w:t>
            </w:r>
            <w:r>
              <w:rPr>
                <w:rFonts w:cstheme="minorHAnsi"/>
                <w:sz w:val="24"/>
                <w:szCs w:val="24"/>
              </w:rPr>
              <w:t>y</w:t>
            </w:r>
            <w:r w:rsidR="00792491" w:rsidRPr="00DF38C8">
              <w:rPr>
                <w:rFonts w:cstheme="minorHAnsi"/>
                <w:sz w:val="24"/>
                <w:szCs w:val="24"/>
              </w:rPr>
              <w:t xml:space="preserve"> must </w:t>
            </w:r>
            <w:r w:rsidR="00792491" w:rsidRPr="00DF38C8">
              <w:rPr>
                <w:rFonts w:cstheme="minorHAnsi"/>
                <w:sz w:val="24"/>
                <w:szCs w:val="24"/>
              </w:rPr>
              <w:lastRenderedPageBreak/>
              <w:t xml:space="preserve">ensure that both the public sector equality duty and participation duty are reflected in the design and implementation of </w:t>
            </w:r>
            <w:r w:rsidR="000D2715" w:rsidRPr="00DF38C8">
              <w:rPr>
                <w:rFonts w:cstheme="minorHAnsi"/>
                <w:sz w:val="24"/>
                <w:szCs w:val="24"/>
              </w:rPr>
              <w:t xml:space="preserve">the </w:t>
            </w:r>
            <w:r w:rsidR="00792491" w:rsidRPr="00DF38C8">
              <w:rPr>
                <w:rFonts w:cstheme="minorHAnsi"/>
                <w:sz w:val="24"/>
                <w:szCs w:val="24"/>
              </w:rPr>
              <w:t xml:space="preserve">regeneration project. </w:t>
            </w:r>
            <w:r w:rsidR="009A49DD" w:rsidRPr="00DF38C8">
              <w:rPr>
                <w:rFonts w:cstheme="minorHAnsi"/>
                <w:sz w:val="24"/>
                <w:szCs w:val="24"/>
              </w:rPr>
              <w:t xml:space="preserve">These duties are particularly important where unforeseen changes in planning policy have a material impact on </w:t>
            </w:r>
            <w:r w:rsidR="006C434A" w:rsidRPr="00DF38C8">
              <w:rPr>
                <w:rFonts w:cstheme="minorHAnsi"/>
                <w:sz w:val="24"/>
                <w:szCs w:val="24"/>
              </w:rPr>
              <w:t xml:space="preserve">ongoing </w:t>
            </w:r>
            <w:r w:rsidR="009A49DD" w:rsidRPr="00DF38C8">
              <w:rPr>
                <w:rFonts w:cstheme="minorHAnsi"/>
                <w:sz w:val="24"/>
                <w:szCs w:val="24"/>
              </w:rPr>
              <w:t>regeneration projects.</w:t>
            </w:r>
            <w:r w:rsidR="006C434A" w:rsidRPr="00DF38C8">
              <w:rPr>
                <w:rFonts w:cstheme="minorHAnsi"/>
                <w:sz w:val="24"/>
                <w:szCs w:val="24"/>
              </w:rPr>
              <w:t xml:space="preserve"> These duties require that </w:t>
            </w:r>
            <w:r w:rsidR="006C434A" w:rsidRPr="00DF38C8">
              <w:rPr>
                <w:rFonts w:cstheme="minorHAnsi"/>
                <w:sz w:val="24"/>
                <w:szCs w:val="24"/>
                <w:lang w:val="en"/>
              </w:rPr>
              <w:t xml:space="preserve">residents who face the biggest barriers to realising their rights in regeneration projects and who may be particularly impacted by changes in planning policy should be prioritised. </w:t>
            </w:r>
            <w:r w:rsidR="00792491" w:rsidRPr="00DF38C8">
              <w:rPr>
                <w:rFonts w:cstheme="minorHAnsi"/>
                <w:sz w:val="24"/>
                <w:szCs w:val="24"/>
              </w:rPr>
              <w:t xml:space="preserve"> </w:t>
            </w:r>
          </w:p>
        </w:tc>
      </w:tr>
      <w:tr w:rsidR="00792491" w:rsidRPr="00DF38C8" w14:paraId="53768D0D" w14:textId="77777777" w:rsidTr="00792491">
        <w:tc>
          <w:tcPr>
            <w:tcW w:w="1700" w:type="dxa"/>
          </w:tcPr>
          <w:p w14:paraId="1FD96414" w14:textId="77777777" w:rsidR="00792491" w:rsidRPr="00DF38C8" w:rsidRDefault="00792491" w:rsidP="00BA7685">
            <w:pPr>
              <w:jc w:val="both"/>
              <w:rPr>
                <w:rFonts w:cstheme="minorHAnsi"/>
                <w:sz w:val="24"/>
                <w:szCs w:val="24"/>
              </w:rPr>
            </w:pPr>
            <w:r w:rsidRPr="00DF38C8">
              <w:rPr>
                <w:rFonts w:cstheme="minorHAnsi"/>
                <w:b/>
                <w:bCs/>
                <w:sz w:val="24"/>
                <w:szCs w:val="24"/>
              </w:rPr>
              <w:lastRenderedPageBreak/>
              <w:t>Empowerment</w:t>
            </w:r>
          </w:p>
        </w:tc>
        <w:tc>
          <w:tcPr>
            <w:tcW w:w="7651" w:type="dxa"/>
          </w:tcPr>
          <w:p w14:paraId="1F3F1E35" w14:textId="0ECF533E" w:rsidR="00792491" w:rsidRPr="00DF38C8" w:rsidRDefault="00404452" w:rsidP="00845924">
            <w:pPr>
              <w:rPr>
                <w:rFonts w:cstheme="minorHAnsi"/>
                <w:sz w:val="24"/>
                <w:szCs w:val="24"/>
                <w:lang w:val="en-GB"/>
              </w:rPr>
            </w:pPr>
            <w:r>
              <w:rPr>
                <w:rFonts w:cstheme="minorHAnsi"/>
                <w:sz w:val="24"/>
                <w:szCs w:val="24"/>
                <w:lang w:val="en"/>
              </w:rPr>
              <w:t xml:space="preserve">The </w:t>
            </w:r>
            <w:r>
              <w:rPr>
                <w:sz w:val="24"/>
                <w:szCs w:val="24"/>
              </w:rPr>
              <w:t>Department of Housing, Local Government and Heritage</w:t>
            </w:r>
            <w:r w:rsidRPr="00DF38C8">
              <w:rPr>
                <w:rFonts w:cstheme="minorHAnsi"/>
                <w:sz w:val="24"/>
                <w:szCs w:val="24"/>
                <w:lang w:val="en"/>
              </w:rPr>
              <w:t xml:space="preserve"> </w:t>
            </w:r>
            <w:r>
              <w:rPr>
                <w:rFonts w:cstheme="minorHAnsi"/>
                <w:sz w:val="24"/>
                <w:szCs w:val="24"/>
                <w:lang w:val="en"/>
              </w:rPr>
              <w:t>should work with l</w:t>
            </w:r>
            <w:r w:rsidR="00845924" w:rsidRPr="00DF38C8">
              <w:rPr>
                <w:rFonts w:cstheme="minorHAnsi"/>
                <w:sz w:val="24"/>
                <w:szCs w:val="24"/>
                <w:lang w:val="en"/>
              </w:rPr>
              <w:t xml:space="preserve">ocal authorities </w:t>
            </w:r>
            <w:r>
              <w:rPr>
                <w:rFonts w:cstheme="minorHAnsi"/>
                <w:sz w:val="24"/>
                <w:szCs w:val="24"/>
                <w:lang w:val="en"/>
              </w:rPr>
              <w:t>in order to</w:t>
            </w:r>
            <w:r w:rsidRPr="00DF38C8">
              <w:rPr>
                <w:rFonts w:cstheme="minorHAnsi"/>
                <w:sz w:val="24"/>
                <w:szCs w:val="24"/>
                <w:lang w:val="en"/>
              </w:rPr>
              <w:t xml:space="preserve"> </w:t>
            </w:r>
            <w:r w:rsidR="00845924" w:rsidRPr="00DF38C8">
              <w:rPr>
                <w:rFonts w:cstheme="minorHAnsi"/>
                <w:sz w:val="24"/>
                <w:szCs w:val="24"/>
                <w:lang w:val="en"/>
              </w:rPr>
              <w:t>ensure that residents</w:t>
            </w:r>
            <w:r w:rsidR="00792491" w:rsidRPr="00DF38C8">
              <w:rPr>
                <w:rFonts w:cstheme="minorHAnsi"/>
                <w:sz w:val="24"/>
                <w:szCs w:val="24"/>
                <w:lang w:val="en"/>
              </w:rPr>
              <w:t xml:space="preserve"> understand their rights, and</w:t>
            </w:r>
            <w:r>
              <w:rPr>
                <w:rFonts w:cstheme="minorHAnsi"/>
                <w:sz w:val="24"/>
                <w:szCs w:val="24"/>
                <w:lang w:val="en"/>
              </w:rPr>
              <w:t xml:space="preserve"> are</w:t>
            </w:r>
            <w:r w:rsidR="00792491" w:rsidRPr="00DF38C8">
              <w:rPr>
                <w:rFonts w:cstheme="minorHAnsi"/>
                <w:sz w:val="24"/>
                <w:szCs w:val="24"/>
                <w:lang w:val="en"/>
              </w:rPr>
              <w:t xml:space="preserve"> fully supported to take part in developing policy and practices which affect their lives</w:t>
            </w:r>
            <w:r w:rsidR="00845924" w:rsidRPr="00DF38C8">
              <w:rPr>
                <w:rFonts w:cstheme="minorHAnsi"/>
                <w:sz w:val="24"/>
                <w:szCs w:val="24"/>
                <w:lang w:val="en"/>
              </w:rPr>
              <w:t xml:space="preserve">, homes, and local communities. </w:t>
            </w:r>
            <w:r w:rsidR="00792491" w:rsidRPr="00DF38C8">
              <w:rPr>
                <w:rFonts w:cstheme="minorHAnsi"/>
                <w:sz w:val="24"/>
                <w:szCs w:val="24"/>
                <w:lang w:val="en"/>
              </w:rPr>
              <w:t xml:space="preserve">As duty bearers, </w:t>
            </w:r>
            <w:r>
              <w:rPr>
                <w:rFonts w:cstheme="minorHAnsi"/>
                <w:sz w:val="24"/>
                <w:szCs w:val="24"/>
                <w:lang w:val="en"/>
              </w:rPr>
              <w:t>public bodies</w:t>
            </w:r>
            <w:r w:rsidR="00792491" w:rsidRPr="00DF38C8">
              <w:rPr>
                <w:rFonts w:cstheme="minorHAnsi"/>
                <w:sz w:val="24"/>
                <w:szCs w:val="24"/>
                <w:lang w:val="en"/>
              </w:rPr>
              <w:t xml:space="preserve"> must support residents and local communities in taking an active role in shaping the design and implementation of regeneration projects. </w:t>
            </w:r>
            <w:r w:rsidR="00845924" w:rsidRPr="00DF38C8">
              <w:rPr>
                <w:rFonts w:cstheme="minorHAnsi"/>
                <w:sz w:val="24"/>
                <w:szCs w:val="24"/>
                <w:lang w:val="en"/>
              </w:rPr>
              <w:t xml:space="preserve">Where changes in planning policy impact on regeneration policy, </w:t>
            </w:r>
            <w:r>
              <w:rPr>
                <w:rFonts w:cstheme="minorHAnsi"/>
                <w:sz w:val="24"/>
                <w:szCs w:val="24"/>
                <w:lang w:val="en"/>
              </w:rPr>
              <w:t>public bodies</w:t>
            </w:r>
            <w:r w:rsidR="00845924" w:rsidRPr="00DF38C8">
              <w:rPr>
                <w:rFonts w:cstheme="minorHAnsi"/>
                <w:sz w:val="24"/>
                <w:szCs w:val="24"/>
                <w:lang w:val="en"/>
              </w:rPr>
              <w:t xml:space="preserve"> must empower residents to take an active part in shaping how these changes impact on the regeneration project. By empowering residents, </w:t>
            </w:r>
            <w:r>
              <w:rPr>
                <w:rFonts w:cstheme="minorHAnsi"/>
                <w:sz w:val="24"/>
                <w:szCs w:val="24"/>
                <w:lang w:val="en"/>
              </w:rPr>
              <w:t>public bodies</w:t>
            </w:r>
            <w:r w:rsidR="00845924" w:rsidRPr="00DF38C8">
              <w:rPr>
                <w:rFonts w:cstheme="minorHAnsi"/>
                <w:sz w:val="24"/>
                <w:szCs w:val="24"/>
                <w:lang w:val="en"/>
              </w:rPr>
              <w:t xml:space="preserve"> play a vital role in supporting residents in holding the duty bearer </w:t>
            </w:r>
            <w:r w:rsidR="00792491" w:rsidRPr="00DF38C8">
              <w:rPr>
                <w:rFonts w:cstheme="minorHAnsi"/>
                <w:sz w:val="24"/>
                <w:szCs w:val="24"/>
                <w:lang w:val="en-GB"/>
              </w:rPr>
              <w:t>account in fulfilling their human rights obligations</w:t>
            </w:r>
            <w:r w:rsidR="00845924" w:rsidRPr="00DF38C8">
              <w:rPr>
                <w:rFonts w:cstheme="minorHAnsi"/>
                <w:sz w:val="24"/>
                <w:szCs w:val="24"/>
                <w:lang w:val="en-GB"/>
              </w:rPr>
              <w:t>.</w:t>
            </w:r>
          </w:p>
        </w:tc>
      </w:tr>
      <w:tr w:rsidR="00792491" w:rsidRPr="00DF38C8" w14:paraId="21C8C94D" w14:textId="77777777" w:rsidTr="00792491">
        <w:trPr>
          <w:trHeight w:val="732"/>
        </w:trPr>
        <w:tc>
          <w:tcPr>
            <w:tcW w:w="1700" w:type="dxa"/>
          </w:tcPr>
          <w:p w14:paraId="060E159A" w14:textId="77777777" w:rsidR="00792491" w:rsidRPr="00DF38C8" w:rsidRDefault="00792491" w:rsidP="00BA7685">
            <w:pPr>
              <w:jc w:val="both"/>
              <w:rPr>
                <w:rFonts w:cstheme="minorHAnsi"/>
                <w:b/>
                <w:bCs/>
                <w:sz w:val="24"/>
                <w:szCs w:val="24"/>
              </w:rPr>
            </w:pPr>
            <w:r w:rsidRPr="00DF38C8">
              <w:rPr>
                <w:rFonts w:cstheme="minorHAnsi"/>
                <w:b/>
                <w:bCs/>
                <w:sz w:val="24"/>
                <w:szCs w:val="24"/>
              </w:rPr>
              <w:t xml:space="preserve">Legality </w:t>
            </w:r>
          </w:p>
        </w:tc>
        <w:tc>
          <w:tcPr>
            <w:tcW w:w="7651" w:type="dxa"/>
          </w:tcPr>
          <w:p w14:paraId="3A77D23A" w14:textId="6973A3DB" w:rsidR="00792491" w:rsidRPr="00DF38C8" w:rsidRDefault="00404452" w:rsidP="009B0544">
            <w:pPr>
              <w:rPr>
                <w:rFonts w:cstheme="minorHAnsi"/>
                <w:sz w:val="24"/>
                <w:szCs w:val="24"/>
                <w:lang w:val="en"/>
              </w:rPr>
            </w:pPr>
            <w:r>
              <w:rPr>
                <w:rFonts w:cstheme="minorHAnsi"/>
                <w:sz w:val="24"/>
                <w:szCs w:val="24"/>
                <w:lang w:val="en"/>
              </w:rPr>
              <w:t>Public bodies</w:t>
            </w:r>
            <w:r w:rsidR="00845924" w:rsidRPr="00DF38C8">
              <w:rPr>
                <w:rFonts w:cstheme="minorHAnsi"/>
                <w:sz w:val="24"/>
                <w:szCs w:val="24"/>
                <w:lang w:val="en"/>
              </w:rPr>
              <w:t xml:space="preserve"> must ensure that regeneration plans and policies are </w:t>
            </w:r>
            <w:r w:rsidR="00792491" w:rsidRPr="00DF38C8">
              <w:rPr>
                <w:rFonts w:cstheme="minorHAnsi"/>
                <w:sz w:val="24"/>
                <w:szCs w:val="24"/>
                <w:lang w:val="en"/>
              </w:rPr>
              <w:t>grounded in the human rights that are set out in domestic and international law.</w:t>
            </w:r>
            <w:r w:rsidR="00784C53" w:rsidRPr="00DF38C8">
              <w:rPr>
                <w:rStyle w:val="FootnoteReference"/>
                <w:rFonts w:cstheme="minorHAnsi"/>
                <w:sz w:val="24"/>
                <w:szCs w:val="24"/>
                <w:lang w:val="en"/>
              </w:rPr>
              <w:footnoteReference w:id="32"/>
            </w:r>
            <w:r w:rsidR="00792491" w:rsidRPr="00DF38C8">
              <w:rPr>
                <w:rFonts w:cstheme="minorHAnsi"/>
                <w:sz w:val="24"/>
                <w:szCs w:val="24"/>
                <w:lang w:val="en"/>
              </w:rPr>
              <w:t xml:space="preserve"> In particular, </w:t>
            </w:r>
            <w:r w:rsidR="00845924" w:rsidRPr="00DF38C8">
              <w:rPr>
                <w:rFonts w:cstheme="minorHAnsi"/>
                <w:sz w:val="24"/>
                <w:szCs w:val="24"/>
                <w:lang w:val="en"/>
              </w:rPr>
              <w:t>the</w:t>
            </w:r>
            <w:r w:rsidR="00BB6F31">
              <w:rPr>
                <w:rFonts w:cstheme="minorHAnsi"/>
                <w:sz w:val="24"/>
                <w:szCs w:val="24"/>
                <w:lang w:val="en"/>
              </w:rPr>
              <w:t xml:space="preserve"> </w:t>
            </w:r>
            <w:r w:rsidR="00BB6F31">
              <w:rPr>
                <w:sz w:val="24"/>
                <w:szCs w:val="24"/>
              </w:rPr>
              <w:t>Department of Housing and the</w:t>
            </w:r>
            <w:r w:rsidR="00845924" w:rsidRPr="00DF38C8">
              <w:rPr>
                <w:rFonts w:cstheme="minorHAnsi"/>
                <w:sz w:val="24"/>
                <w:szCs w:val="24"/>
                <w:lang w:val="en"/>
              </w:rPr>
              <w:t xml:space="preserve"> local authority</w:t>
            </w:r>
            <w:r w:rsidR="00792491" w:rsidRPr="00DF38C8">
              <w:rPr>
                <w:rFonts w:cstheme="minorHAnsi"/>
                <w:sz w:val="24"/>
                <w:szCs w:val="24"/>
                <w:lang w:val="en"/>
              </w:rPr>
              <w:t xml:space="preserve"> must </w:t>
            </w:r>
            <w:r w:rsidR="009029A5" w:rsidRPr="00DF38C8">
              <w:rPr>
                <w:rFonts w:cstheme="minorHAnsi"/>
                <w:sz w:val="24"/>
                <w:szCs w:val="24"/>
                <w:lang w:val="en"/>
              </w:rPr>
              <w:t xml:space="preserve">demonstrate how </w:t>
            </w:r>
            <w:r w:rsidR="00BB6F31">
              <w:rPr>
                <w:rFonts w:cstheme="minorHAnsi"/>
                <w:sz w:val="24"/>
                <w:szCs w:val="24"/>
                <w:lang w:val="en"/>
              </w:rPr>
              <w:t>they are</w:t>
            </w:r>
            <w:r w:rsidR="009029A5" w:rsidRPr="00DF38C8">
              <w:rPr>
                <w:rFonts w:cstheme="minorHAnsi"/>
                <w:sz w:val="24"/>
                <w:szCs w:val="24"/>
                <w:lang w:val="en"/>
              </w:rPr>
              <w:t xml:space="preserve"> realising</w:t>
            </w:r>
            <w:r w:rsidR="00792491" w:rsidRPr="00DF38C8">
              <w:rPr>
                <w:rFonts w:cstheme="minorHAnsi"/>
                <w:sz w:val="24"/>
                <w:szCs w:val="24"/>
                <w:lang w:val="en"/>
              </w:rPr>
              <w:t xml:space="preserve"> residents human right to housing and Ireland’s commitment to develop sustainable communities as part of the UN Sustainable Development Goals. In doing so, </w:t>
            </w:r>
            <w:r w:rsidR="00BB6F31">
              <w:rPr>
                <w:rFonts w:cstheme="minorHAnsi"/>
                <w:sz w:val="24"/>
                <w:szCs w:val="24"/>
                <w:lang w:val="en"/>
              </w:rPr>
              <w:t xml:space="preserve">they </w:t>
            </w:r>
            <w:r w:rsidR="00792491" w:rsidRPr="00DF38C8">
              <w:rPr>
                <w:rFonts w:cstheme="minorHAnsi"/>
                <w:sz w:val="24"/>
                <w:szCs w:val="24"/>
                <w:lang w:val="en"/>
              </w:rPr>
              <w:t xml:space="preserve">must </w:t>
            </w:r>
            <w:r w:rsidR="009029A5" w:rsidRPr="00DF38C8">
              <w:rPr>
                <w:rFonts w:cstheme="minorHAnsi"/>
                <w:sz w:val="24"/>
                <w:szCs w:val="24"/>
                <w:lang w:val="en"/>
              </w:rPr>
              <w:t xml:space="preserve">demonstrate how </w:t>
            </w:r>
            <w:r w:rsidR="00BB6F31">
              <w:rPr>
                <w:rFonts w:cstheme="minorHAnsi"/>
                <w:sz w:val="24"/>
                <w:szCs w:val="24"/>
                <w:lang w:val="en"/>
              </w:rPr>
              <w:t>they are</w:t>
            </w:r>
            <w:r w:rsidR="009029A5" w:rsidRPr="00DF38C8">
              <w:rPr>
                <w:rFonts w:cstheme="minorHAnsi"/>
                <w:sz w:val="24"/>
                <w:szCs w:val="24"/>
                <w:lang w:val="en"/>
              </w:rPr>
              <w:t xml:space="preserve"> taking</w:t>
            </w:r>
            <w:r w:rsidR="00792491" w:rsidRPr="00DF38C8">
              <w:rPr>
                <w:rFonts w:cstheme="minorHAnsi"/>
                <w:sz w:val="24"/>
                <w:szCs w:val="24"/>
                <w:lang w:val="en"/>
              </w:rPr>
              <w:t xml:space="preserve"> account of national good practice guidelines on regeneration which emphasize the importance of social regeneration (ie the provision of adequate facilities for children and young people) in developing sustainable communities. </w:t>
            </w:r>
          </w:p>
        </w:tc>
      </w:tr>
      <w:bookmarkEnd w:id="11"/>
    </w:tbl>
    <w:p w14:paraId="747C424B" w14:textId="77777777" w:rsidR="00C226B5" w:rsidRPr="00DF38C8" w:rsidRDefault="00C226B5" w:rsidP="005462A6">
      <w:pPr>
        <w:jc w:val="both"/>
        <w:rPr>
          <w:sz w:val="24"/>
          <w:szCs w:val="24"/>
        </w:rPr>
      </w:pPr>
    </w:p>
    <w:p w14:paraId="4A2F4AA6" w14:textId="499CD026" w:rsidR="00035B4E" w:rsidRPr="00DF38C8" w:rsidRDefault="00035B4E" w:rsidP="0058677A">
      <w:pPr>
        <w:jc w:val="both"/>
        <w:rPr>
          <w:b/>
          <w:bCs/>
          <w:sz w:val="24"/>
          <w:szCs w:val="24"/>
        </w:rPr>
      </w:pPr>
      <w:r w:rsidRPr="00DF38C8">
        <w:rPr>
          <w:b/>
          <w:bCs/>
          <w:sz w:val="24"/>
          <w:szCs w:val="24"/>
        </w:rPr>
        <w:t>Conclusion</w:t>
      </w:r>
    </w:p>
    <w:p w14:paraId="471836A8" w14:textId="4C366DA8" w:rsidR="003D7CA4" w:rsidRPr="00DF38C8" w:rsidRDefault="007E05FA" w:rsidP="00347607">
      <w:pPr>
        <w:jc w:val="both"/>
        <w:rPr>
          <w:sz w:val="24"/>
          <w:szCs w:val="24"/>
        </w:rPr>
      </w:pPr>
      <w:r w:rsidRPr="00DF38C8">
        <w:rPr>
          <w:sz w:val="24"/>
          <w:szCs w:val="24"/>
        </w:rPr>
        <w:t>The centrality of human rights and inclusivity to effective urban renewal and regeneration policies and the development of sustainable communities is widely recognised internationally.</w:t>
      </w:r>
      <w:r w:rsidRPr="00DF38C8">
        <w:rPr>
          <w:rStyle w:val="FootnoteReference"/>
          <w:sz w:val="24"/>
          <w:szCs w:val="24"/>
        </w:rPr>
        <w:footnoteReference w:id="33"/>
      </w:r>
      <w:r w:rsidRPr="00DF38C8">
        <w:rPr>
          <w:sz w:val="24"/>
          <w:szCs w:val="24"/>
        </w:rPr>
        <w:t xml:space="preserve"> Ireland has accepted numerous obligation</w:t>
      </w:r>
      <w:r w:rsidR="00B463DF" w:rsidRPr="00DF38C8">
        <w:rPr>
          <w:sz w:val="24"/>
          <w:szCs w:val="24"/>
        </w:rPr>
        <w:t>s</w:t>
      </w:r>
      <w:r w:rsidRPr="00DF38C8">
        <w:rPr>
          <w:sz w:val="24"/>
          <w:szCs w:val="24"/>
        </w:rPr>
        <w:t xml:space="preserve"> internationally to</w:t>
      </w:r>
      <w:r w:rsidR="00347607" w:rsidRPr="00DF38C8">
        <w:rPr>
          <w:sz w:val="24"/>
          <w:szCs w:val="24"/>
        </w:rPr>
        <w:t xml:space="preserve"> protect, fulfil and </w:t>
      </w:r>
      <w:r w:rsidR="00024726" w:rsidRPr="00DF38C8">
        <w:rPr>
          <w:sz w:val="24"/>
          <w:szCs w:val="24"/>
        </w:rPr>
        <w:t>promote</w:t>
      </w:r>
      <w:r w:rsidR="00347607" w:rsidRPr="00DF38C8">
        <w:rPr>
          <w:sz w:val="24"/>
          <w:szCs w:val="24"/>
        </w:rPr>
        <w:t xml:space="preserve"> the human rights </w:t>
      </w:r>
      <w:r w:rsidRPr="00DF38C8">
        <w:rPr>
          <w:sz w:val="24"/>
          <w:szCs w:val="24"/>
        </w:rPr>
        <w:t xml:space="preserve">of residents and has committed itself to developing sustainable communities, as part of the UN Sustainable Development Goals. </w:t>
      </w:r>
      <w:r w:rsidR="00347607" w:rsidRPr="00DF38C8">
        <w:rPr>
          <w:sz w:val="24"/>
          <w:szCs w:val="24"/>
        </w:rPr>
        <w:t xml:space="preserve">These </w:t>
      </w:r>
      <w:r w:rsidRPr="00DF38C8">
        <w:rPr>
          <w:sz w:val="24"/>
          <w:szCs w:val="24"/>
        </w:rPr>
        <w:t>international commitments are reinforced by national legal and political commitments to mainstream human rights and increase participation at every level of government</w:t>
      </w:r>
      <w:r w:rsidR="00347607" w:rsidRPr="00DF38C8">
        <w:rPr>
          <w:sz w:val="24"/>
          <w:szCs w:val="24"/>
        </w:rPr>
        <w:t xml:space="preserve">. </w:t>
      </w:r>
      <w:r w:rsidR="000E5CA5">
        <w:rPr>
          <w:sz w:val="24"/>
          <w:szCs w:val="24"/>
        </w:rPr>
        <w:t>A</w:t>
      </w:r>
      <w:r w:rsidR="000E5CA5" w:rsidRPr="00DF38C8">
        <w:rPr>
          <w:sz w:val="24"/>
          <w:szCs w:val="24"/>
        </w:rPr>
        <w:t xml:space="preserve">s public bodies, </w:t>
      </w:r>
      <w:r w:rsidR="000E5CA5">
        <w:rPr>
          <w:rFonts w:cstheme="minorHAnsi"/>
          <w:sz w:val="24"/>
          <w:szCs w:val="24"/>
          <w:lang w:val="en"/>
        </w:rPr>
        <w:t xml:space="preserve">the </w:t>
      </w:r>
      <w:r w:rsidR="000E5CA5">
        <w:rPr>
          <w:sz w:val="24"/>
          <w:szCs w:val="24"/>
        </w:rPr>
        <w:t>Department of Housing, Local Government and Heritage</w:t>
      </w:r>
      <w:r w:rsidR="000E5CA5" w:rsidRPr="00DF38C8">
        <w:rPr>
          <w:rFonts w:cstheme="minorHAnsi"/>
          <w:sz w:val="24"/>
          <w:szCs w:val="24"/>
          <w:lang w:val="en"/>
        </w:rPr>
        <w:t xml:space="preserve"> </w:t>
      </w:r>
      <w:r w:rsidR="000E5CA5">
        <w:rPr>
          <w:rFonts w:cstheme="minorHAnsi"/>
          <w:sz w:val="24"/>
          <w:szCs w:val="24"/>
          <w:lang w:val="en"/>
        </w:rPr>
        <w:t xml:space="preserve">and </w:t>
      </w:r>
      <w:r w:rsidR="000E5CA5">
        <w:rPr>
          <w:sz w:val="24"/>
          <w:szCs w:val="24"/>
        </w:rPr>
        <w:t>l</w:t>
      </w:r>
      <w:r w:rsidRPr="00DF38C8">
        <w:rPr>
          <w:sz w:val="24"/>
          <w:szCs w:val="24"/>
        </w:rPr>
        <w:t xml:space="preserve">ocal authorities, </w:t>
      </w:r>
      <w:r w:rsidR="00024726" w:rsidRPr="00DF38C8">
        <w:rPr>
          <w:sz w:val="24"/>
          <w:szCs w:val="24"/>
        </w:rPr>
        <w:t>must</w:t>
      </w:r>
      <w:r w:rsidRPr="00DF38C8">
        <w:rPr>
          <w:sz w:val="24"/>
          <w:szCs w:val="24"/>
        </w:rPr>
        <w:t xml:space="preserve"> take account </w:t>
      </w:r>
      <w:r w:rsidR="00347607" w:rsidRPr="00DF38C8">
        <w:rPr>
          <w:sz w:val="24"/>
          <w:szCs w:val="24"/>
        </w:rPr>
        <w:t>of</w:t>
      </w:r>
      <w:r w:rsidRPr="00DF38C8">
        <w:rPr>
          <w:sz w:val="24"/>
          <w:szCs w:val="24"/>
        </w:rPr>
        <w:t xml:space="preserve"> these </w:t>
      </w:r>
      <w:r w:rsidR="00024726" w:rsidRPr="00DF38C8">
        <w:rPr>
          <w:sz w:val="24"/>
          <w:szCs w:val="24"/>
        </w:rPr>
        <w:t xml:space="preserve">obligations </w:t>
      </w:r>
      <w:r w:rsidR="00AF6C41" w:rsidRPr="00DF38C8">
        <w:rPr>
          <w:sz w:val="24"/>
          <w:szCs w:val="24"/>
        </w:rPr>
        <w:t xml:space="preserve">when undertaking </w:t>
      </w:r>
      <w:r w:rsidR="00024726" w:rsidRPr="00DF38C8">
        <w:rPr>
          <w:sz w:val="24"/>
          <w:szCs w:val="24"/>
        </w:rPr>
        <w:t>regeneration projects</w:t>
      </w:r>
      <w:r w:rsidR="00AF6C41" w:rsidRPr="00DF38C8">
        <w:rPr>
          <w:sz w:val="24"/>
          <w:szCs w:val="24"/>
        </w:rPr>
        <w:t>. This is vitally important</w:t>
      </w:r>
      <w:r w:rsidR="00024726" w:rsidRPr="00DF38C8">
        <w:rPr>
          <w:sz w:val="24"/>
          <w:szCs w:val="24"/>
        </w:rPr>
        <w:t xml:space="preserve"> </w:t>
      </w:r>
      <w:r w:rsidRPr="00DF38C8">
        <w:rPr>
          <w:sz w:val="24"/>
          <w:szCs w:val="24"/>
        </w:rPr>
        <w:t xml:space="preserve">because it is through the implementation of public policy at a local level that </w:t>
      </w:r>
      <w:r w:rsidR="00347607" w:rsidRPr="00DF38C8">
        <w:rPr>
          <w:sz w:val="24"/>
          <w:szCs w:val="24"/>
        </w:rPr>
        <w:lastRenderedPageBreak/>
        <w:t>human rights</w:t>
      </w:r>
      <w:r w:rsidRPr="00DF38C8">
        <w:rPr>
          <w:sz w:val="24"/>
          <w:szCs w:val="24"/>
        </w:rPr>
        <w:t xml:space="preserve"> are realised</w:t>
      </w:r>
      <w:r w:rsidR="00347607" w:rsidRPr="00DF38C8">
        <w:rPr>
          <w:sz w:val="24"/>
          <w:szCs w:val="24"/>
        </w:rPr>
        <w:t xml:space="preserve">. </w:t>
      </w:r>
      <w:r w:rsidRPr="00DF38C8">
        <w:rPr>
          <w:sz w:val="24"/>
          <w:szCs w:val="24"/>
        </w:rPr>
        <w:t xml:space="preserve">This framing paper has explained how these international and national commitments can be realised in regeneration projects. </w:t>
      </w:r>
      <w:r w:rsidR="00AF6C41" w:rsidRPr="00DF38C8">
        <w:rPr>
          <w:sz w:val="24"/>
          <w:szCs w:val="24"/>
        </w:rPr>
        <w:t>B</w:t>
      </w:r>
      <w:r w:rsidRPr="00DF38C8">
        <w:rPr>
          <w:sz w:val="24"/>
          <w:szCs w:val="24"/>
        </w:rPr>
        <w:t>y adopting a human rights based approach to regeneration</w:t>
      </w:r>
      <w:r w:rsidR="00AF6C41" w:rsidRPr="00DF38C8">
        <w:rPr>
          <w:sz w:val="24"/>
          <w:szCs w:val="24"/>
        </w:rPr>
        <w:t>,</w:t>
      </w:r>
      <w:r w:rsidRPr="00DF38C8">
        <w:rPr>
          <w:sz w:val="24"/>
          <w:szCs w:val="24"/>
        </w:rPr>
        <w:t xml:space="preserve"> </w:t>
      </w:r>
      <w:r w:rsidR="006E2630">
        <w:rPr>
          <w:sz w:val="24"/>
          <w:szCs w:val="24"/>
        </w:rPr>
        <w:t>public bodies</w:t>
      </w:r>
      <w:r w:rsidRPr="00DF38C8">
        <w:rPr>
          <w:sz w:val="24"/>
          <w:szCs w:val="24"/>
        </w:rPr>
        <w:t xml:space="preserve"> can fulfil </w:t>
      </w:r>
      <w:r w:rsidR="006E2630">
        <w:rPr>
          <w:sz w:val="24"/>
          <w:szCs w:val="24"/>
        </w:rPr>
        <w:t>their</w:t>
      </w:r>
      <w:r w:rsidR="006E2630" w:rsidRPr="00DF38C8">
        <w:rPr>
          <w:sz w:val="24"/>
          <w:szCs w:val="24"/>
        </w:rPr>
        <w:t xml:space="preserve"> </w:t>
      </w:r>
      <w:r w:rsidRPr="00DF38C8">
        <w:rPr>
          <w:sz w:val="24"/>
          <w:szCs w:val="24"/>
        </w:rPr>
        <w:t xml:space="preserve">commitments, respect residents </w:t>
      </w:r>
      <w:r w:rsidR="00347607" w:rsidRPr="00DF38C8">
        <w:rPr>
          <w:sz w:val="24"/>
          <w:szCs w:val="24"/>
        </w:rPr>
        <w:t>human rights</w:t>
      </w:r>
      <w:r w:rsidRPr="00DF38C8">
        <w:rPr>
          <w:sz w:val="24"/>
          <w:szCs w:val="24"/>
        </w:rPr>
        <w:t xml:space="preserve"> and meet </w:t>
      </w:r>
      <w:r w:rsidR="006E2630">
        <w:rPr>
          <w:sz w:val="24"/>
          <w:szCs w:val="24"/>
        </w:rPr>
        <w:t>their</w:t>
      </w:r>
      <w:r w:rsidR="006E2630" w:rsidRPr="00DF38C8">
        <w:rPr>
          <w:sz w:val="24"/>
          <w:szCs w:val="24"/>
        </w:rPr>
        <w:t xml:space="preserve"> </w:t>
      </w:r>
      <w:r w:rsidRPr="00DF38C8">
        <w:rPr>
          <w:sz w:val="24"/>
          <w:szCs w:val="24"/>
        </w:rPr>
        <w:t>obligations to develop sustainable communities</w:t>
      </w:r>
      <w:r w:rsidR="00347607" w:rsidRPr="00DF38C8">
        <w:rPr>
          <w:sz w:val="24"/>
          <w:szCs w:val="24"/>
        </w:rPr>
        <w:t xml:space="preserve">. </w:t>
      </w:r>
    </w:p>
    <w:p w14:paraId="64528034" w14:textId="3818BB64" w:rsidR="00233D36" w:rsidRPr="00DF38C8" w:rsidRDefault="00233D36" w:rsidP="0058677A">
      <w:pPr>
        <w:jc w:val="both"/>
        <w:rPr>
          <w:b/>
          <w:bCs/>
          <w:sz w:val="24"/>
          <w:szCs w:val="24"/>
        </w:rPr>
      </w:pPr>
      <w:r w:rsidRPr="00DF38C8">
        <w:rPr>
          <w:b/>
          <w:bCs/>
          <w:sz w:val="24"/>
          <w:szCs w:val="24"/>
        </w:rPr>
        <w:t xml:space="preserve">References </w:t>
      </w:r>
    </w:p>
    <w:p w14:paraId="01A28192" w14:textId="1806F771" w:rsidR="001B38DB" w:rsidRPr="00DF38C8" w:rsidRDefault="001B38DB" w:rsidP="001B38DB">
      <w:pPr>
        <w:jc w:val="both"/>
        <w:rPr>
          <w:sz w:val="24"/>
          <w:szCs w:val="24"/>
        </w:rPr>
      </w:pPr>
      <w:r w:rsidRPr="00DF38C8">
        <w:rPr>
          <w:sz w:val="24"/>
          <w:szCs w:val="24"/>
        </w:rPr>
        <w:t xml:space="preserve">Citizens Information Board, </w:t>
      </w:r>
      <w:r w:rsidRPr="00DF38C8">
        <w:rPr>
          <w:i/>
          <w:iCs/>
          <w:sz w:val="24"/>
          <w:szCs w:val="24"/>
        </w:rPr>
        <w:t xml:space="preserve">Briefing on the Local Government Reform Act 2014 Volume 41: Issue 5 </w:t>
      </w:r>
      <w:r w:rsidRPr="00DF38C8">
        <w:rPr>
          <w:sz w:val="24"/>
          <w:szCs w:val="24"/>
        </w:rPr>
        <w:t>(Citizens Information, 2014)</w:t>
      </w:r>
    </w:p>
    <w:p w14:paraId="1548B071" w14:textId="77777777" w:rsidR="001B38DB" w:rsidRPr="00DF38C8" w:rsidRDefault="001B38DB" w:rsidP="001B38DB">
      <w:pPr>
        <w:jc w:val="both"/>
        <w:rPr>
          <w:sz w:val="24"/>
          <w:szCs w:val="24"/>
        </w:rPr>
      </w:pPr>
      <w:r w:rsidRPr="00DF38C8">
        <w:rPr>
          <w:sz w:val="24"/>
          <w:szCs w:val="24"/>
        </w:rPr>
        <w:t>Community Action Network, A Place Called Home: The Story of a Campaign for Housing Human Rights (Community Action Network, 2017)</w:t>
      </w:r>
    </w:p>
    <w:p w14:paraId="3C9D4FEB" w14:textId="77777777" w:rsidR="001B38DB" w:rsidRPr="00DF38C8" w:rsidRDefault="001B38DB" w:rsidP="001B38DB">
      <w:pPr>
        <w:jc w:val="both"/>
        <w:rPr>
          <w:sz w:val="24"/>
          <w:szCs w:val="24"/>
        </w:rPr>
      </w:pPr>
      <w:bookmarkStart w:id="12" w:name="_Hlk84837327"/>
      <w:r w:rsidRPr="00DF38C8">
        <w:rPr>
          <w:sz w:val="24"/>
          <w:szCs w:val="24"/>
        </w:rPr>
        <w:t xml:space="preserve">Department of Housing, Local Government and Heritage, </w:t>
      </w:r>
      <w:r w:rsidRPr="00DF38C8">
        <w:rPr>
          <w:i/>
          <w:iCs/>
          <w:sz w:val="24"/>
          <w:szCs w:val="24"/>
        </w:rPr>
        <w:t xml:space="preserve">Housing for All </w:t>
      </w:r>
      <w:r w:rsidRPr="00DF38C8">
        <w:rPr>
          <w:sz w:val="24"/>
          <w:szCs w:val="24"/>
        </w:rPr>
        <w:t>(Government of Ireland, 2021)</w:t>
      </w:r>
    </w:p>
    <w:bookmarkEnd w:id="12"/>
    <w:p w14:paraId="46D5F63E" w14:textId="77777777" w:rsidR="001B38DB" w:rsidRPr="00DF38C8" w:rsidRDefault="001B38DB" w:rsidP="001B38DB">
      <w:pPr>
        <w:rPr>
          <w:sz w:val="24"/>
          <w:szCs w:val="24"/>
        </w:rPr>
      </w:pPr>
      <w:r w:rsidRPr="00DF38C8">
        <w:rPr>
          <w:sz w:val="24"/>
          <w:szCs w:val="24"/>
        </w:rPr>
        <w:t xml:space="preserve">Department of Housing, Planning and Local Government, </w:t>
      </w:r>
      <w:r w:rsidRPr="00DF38C8">
        <w:rPr>
          <w:i/>
          <w:iCs/>
          <w:sz w:val="24"/>
          <w:szCs w:val="24"/>
        </w:rPr>
        <w:t>National Development Plan 2021-2030</w:t>
      </w:r>
      <w:r w:rsidRPr="00DF38C8">
        <w:rPr>
          <w:sz w:val="24"/>
          <w:szCs w:val="24"/>
        </w:rPr>
        <w:t xml:space="preserve"> (Government of Ireland, 2018)</w:t>
      </w:r>
    </w:p>
    <w:p w14:paraId="19548FB4" w14:textId="77777777" w:rsidR="001B38DB" w:rsidRPr="00DF38C8" w:rsidRDefault="001B38DB" w:rsidP="001B38DB">
      <w:pPr>
        <w:rPr>
          <w:sz w:val="24"/>
          <w:szCs w:val="24"/>
        </w:rPr>
      </w:pPr>
      <w:bookmarkStart w:id="13" w:name="_Hlk84505872"/>
      <w:r w:rsidRPr="00DF38C8">
        <w:rPr>
          <w:sz w:val="24"/>
          <w:szCs w:val="24"/>
        </w:rPr>
        <w:t xml:space="preserve">Department of Public Expenditure and Reform, </w:t>
      </w:r>
      <w:r w:rsidRPr="00DF38C8">
        <w:rPr>
          <w:i/>
          <w:iCs/>
          <w:sz w:val="24"/>
          <w:szCs w:val="24"/>
        </w:rPr>
        <w:t>Project Ireland 2040 National Planning Framework</w:t>
      </w:r>
      <w:r w:rsidRPr="00DF38C8">
        <w:rPr>
          <w:sz w:val="24"/>
          <w:szCs w:val="24"/>
        </w:rPr>
        <w:t xml:space="preserve"> </w:t>
      </w:r>
      <w:bookmarkEnd w:id="13"/>
      <w:r w:rsidRPr="00DF38C8">
        <w:rPr>
          <w:sz w:val="24"/>
          <w:szCs w:val="24"/>
        </w:rPr>
        <w:t>(Government of Ireland, 2018)</w:t>
      </w:r>
    </w:p>
    <w:p w14:paraId="5C19A470" w14:textId="77777777" w:rsidR="001B38DB" w:rsidRPr="00DF38C8" w:rsidRDefault="001B38DB" w:rsidP="001B38DB">
      <w:pPr>
        <w:rPr>
          <w:sz w:val="24"/>
          <w:szCs w:val="24"/>
        </w:rPr>
      </w:pPr>
      <w:r w:rsidRPr="00DF38C8">
        <w:rPr>
          <w:sz w:val="24"/>
          <w:szCs w:val="24"/>
        </w:rPr>
        <w:t xml:space="preserve">Department of Housing, Planning and Local Government, </w:t>
      </w:r>
      <w:r w:rsidRPr="00DF38C8">
        <w:rPr>
          <w:i/>
          <w:iCs/>
          <w:sz w:val="24"/>
          <w:szCs w:val="24"/>
        </w:rPr>
        <w:t>Urban Development and Building Heights – Guidelines for Planning Authorities</w:t>
      </w:r>
      <w:r w:rsidRPr="00DF38C8">
        <w:rPr>
          <w:sz w:val="24"/>
          <w:szCs w:val="24"/>
        </w:rPr>
        <w:t xml:space="preserve"> (Government of Ireland, 2018)</w:t>
      </w:r>
    </w:p>
    <w:p w14:paraId="2445D5B7" w14:textId="77777777" w:rsidR="001B38DB" w:rsidRPr="00DF38C8" w:rsidRDefault="001B38DB" w:rsidP="001B38DB">
      <w:pPr>
        <w:jc w:val="both"/>
        <w:rPr>
          <w:sz w:val="24"/>
          <w:szCs w:val="24"/>
        </w:rPr>
      </w:pPr>
      <w:r w:rsidRPr="00DF38C8">
        <w:rPr>
          <w:sz w:val="24"/>
          <w:szCs w:val="24"/>
        </w:rPr>
        <w:t xml:space="preserve">Department of the Environment, Heritage and Local Government, </w:t>
      </w:r>
      <w:r w:rsidRPr="00DF38C8">
        <w:rPr>
          <w:i/>
          <w:iCs/>
          <w:sz w:val="24"/>
          <w:szCs w:val="24"/>
        </w:rPr>
        <w:t>Delivering Homes, Sustaining Communities – Statement on Housing Policy</w:t>
      </w:r>
      <w:r w:rsidRPr="00DF38C8">
        <w:rPr>
          <w:sz w:val="24"/>
          <w:szCs w:val="24"/>
        </w:rPr>
        <w:t xml:space="preserve"> (Government of Ireland, 2007)</w:t>
      </w:r>
    </w:p>
    <w:p w14:paraId="41A73ACF" w14:textId="77777777" w:rsidR="001B38DB" w:rsidRPr="00DF38C8" w:rsidRDefault="001B38DB" w:rsidP="001B38DB">
      <w:pPr>
        <w:rPr>
          <w:rFonts w:cstheme="minorHAnsi"/>
          <w:sz w:val="24"/>
          <w:szCs w:val="24"/>
        </w:rPr>
      </w:pPr>
      <w:r w:rsidRPr="00DF38C8">
        <w:rPr>
          <w:rFonts w:cstheme="minorHAnsi"/>
          <w:sz w:val="24"/>
          <w:szCs w:val="24"/>
        </w:rPr>
        <w:t xml:space="preserve">Department of the Environment, Heritage and Local Government, </w:t>
      </w:r>
      <w:r w:rsidRPr="00DF38C8">
        <w:rPr>
          <w:rFonts w:cstheme="minorHAnsi"/>
          <w:i/>
          <w:iCs/>
          <w:sz w:val="24"/>
          <w:szCs w:val="24"/>
        </w:rPr>
        <w:t>Quality Housing for Sustainable Communities</w:t>
      </w:r>
      <w:r w:rsidRPr="00DF38C8">
        <w:rPr>
          <w:rFonts w:cstheme="minorHAnsi"/>
          <w:sz w:val="24"/>
          <w:szCs w:val="24"/>
        </w:rPr>
        <w:t xml:space="preserve"> (Government of Ireland, 2007)</w:t>
      </w:r>
    </w:p>
    <w:p w14:paraId="649EA434" w14:textId="77777777" w:rsidR="001B38DB" w:rsidRPr="00DF38C8" w:rsidRDefault="001B38DB" w:rsidP="001B38DB">
      <w:pPr>
        <w:jc w:val="both"/>
        <w:rPr>
          <w:sz w:val="24"/>
          <w:szCs w:val="24"/>
        </w:rPr>
      </w:pPr>
      <w:r w:rsidRPr="00DF38C8">
        <w:rPr>
          <w:sz w:val="24"/>
          <w:szCs w:val="24"/>
        </w:rPr>
        <w:t xml:space="preserve">Dublin City Council, </w:t>
      </w:r>
      <w:r w:rsidRPr="00DF38C8">
        <w:rPr>
          <w:i/>
          <w:iCs/>
          <w:sz w:val="24"/>
          <w:szCs w:val="24"/>
        </w:rPr>
        <w:t xml:space="preserve">Dublin City Development Plan 2016 – 2022 </w:t>
      </w:r>
      <w:r w:rsidRPr="00DF38C8">
        <w:rPr>
          <w:sz w:val="24"/>
          <w:szCs w:val="24"/>
        </w:rPr>
        <w:t>(Dublin City Council, 2016)</w:t>
      </w:r>
    </w:p>
    <w:p w14:paraId="0ECFEA3B" w14:textId="77777777" w:rsidR="001B38DB" w:rsidRPr="00DF38C8" w:rsidRDefault="001B38DB" w:rsidP="001B38DB">
      <w:pPr>
        <w:rPr>
          <w:sz w:val="24"/>
          <w:szCs w:val="24"/>
        </w:rPr>
      </w:pPr>
      <w:r w:rsidRPr="00DF38C8">
        <w:rPr>
          <w:sz w:val="24"/>
          <w:szCs w:val="24"/>
        </w:rPr>
        <w:t xml:space="preserve">Irish Human Rights and Equality Commission (IHREC), </w:t>
      </w:r>
      <w:r w:rsidRPr="00DF38C8">
        <w:rPr>
          <w:i/>
          <w:iCs/>
          <w:sz w:val="24"/>
          <w:szCs w:val="24"/>
        </w:rPr>
        <w:t>Implementing the Public Sector Equality and Human Rights Duty</w:t>
      </w:r>
      <w:r w:rsidRPr="00DF38C8">
        <w:rPr>
          <w:sz w:val="24"/>
          <w:szCs w:val="24"/>
        </w:rPr>
        <w:t xml:space="preserve"> (IHREC, 2019)</w:t>
      </w:r>
    </w:p>
    <w:p w14:paraId="18CA2353" w14:textId="77777777" w:rsidR="001B38DB" w:rsidRPr="00DF38C8" w:rsidRDefault="001B38DB" w:rsidP="001B38DB">
      <w:pPr>
        <w:jc w:val="both"/>
        <w:rPr>
          <w:sz w:val="24"/>
          <w:szCs w:val="24"/>
        </w:rPr>
      </w:pPr>
      <w:r w:rsidRPr="00DF38C8">
        <w:rPr>
          <w:sz w:val="24"/>
          <w:szCs w:val="24"/>
        </w:rPr>
        <w:t xml:space="preserve">Kasey Treadwell Shine and Michelle Norris, </w:t>
      </w:r>
      <w:r w:rsidRPr="00DF38C8">
        <w:rPr>
          <w:i/>
          <w:iCs/>
          <w:sz w:val="24"/>
          <w:szCs w:val="24"/>
        </w:rPr>
        <w:t>Good Practice Guidelines Regenerating Estates Rebuilding Vibrant Communities</w:t>
      </w:r>
      <w:r w:rsidRPr="00DF38C8">
        <w:rPr>
          <w:sz w:val="24"/>
          <w:szCs w:val="24"/>
        </w:rPr>
        <w:t xml:space="preserve"> (Centre for Housing Research, 2006)</w:t>
      </w:r>
    </w:p>
    <w:p w14:paraId="1DB9DB01" w14:textId="77777777" w:rsidR="001B38DB" w:rsidRPr="00DF38C8" w:rsidRDefault="001B38DB" w:rsidP="001B38DB">
      <w:pPr>
        <w:jc w:val="both"/>
        <w:rPr>
          <w:sz w:val="24"/>
          <w:szCs w:val="24"/>
        </w:rPr>
      </w:pPr>
      <w:r w:rsidRPr="00DF38C8">
        <w:rPr>
          <w:sz w:val="24"/>
          <w:szCs w:val="24"/>
        </w:rPr>
        <w:t xml:space="preserve">Kasey Treadwell Shine and Michelle Norris, </w:t>
      </w:r>
      <w:r w:rsidRPr="00DF38C8">
        <w:rPr>
          <w:i/>
          <w:iCs/>
          <w:sz w:val="24"/>
          <w:szCs w:val="24"/>
        </w:rPr>
        <w:t>Regenerating Local Authority Housing Estates Review of Policy and Practices</w:t>
      </w:r>
      <w:r w:rsidRPr="00DF38C8">
        <w:rPr>
          <w:sz w:val="24"/>
          <w:szCs w:val="24"/>
        </w:rPr>
        <w:t xml:space="preserve"> (Centre for Housing Research, 2006)</w:t>
      </w:r>
    </w:p>
    <w:p w14:paraId="1A108931" w14:textId="14907857" w:rsidR="001B38DB" w:rsidRPr="00DF38C8" w:rsidRDefault="001B38DB" w:rsidP="001B38DB">
      <w:pPr>
        <w:jc w:val="both"/>
        <w:rPr>
          <w:sz w:val="24"/>
          <w:szCs w:val="24"/>
        </w:rPr>
      </w:pPr>
      <w:r w:rsidRPr="00DF38C8">
        <w:rPr>
          <w:sz w:val="24"/>
          <w:szCs w:val="24"/>
        </w:rPr>
        <w:t xml:space="preserve">Maxi Ussar, </w:t>
      </w:r>
      <w:r w:rsidRPr="00DF38C8">
        <w:rPr>
          <w:i/>
          <w:iCs/>
          <w:sz w:val="24"/>
          <w:szCs w:val="24"/>
        </w:rPr>
        <w:t>The Human Rights-based Approach: A More Effective Framework for International Development Policies in New EU Member States</w:t>
      </w:r>
      <w:r w:rsidRPr="00DF38C8">
        <w:rPr>
          <w:sz w:val="24"/>
          <w:szCs w:val="24"/>
        </w:rPr>
        <w:t xml:space="preserve"> (Minority Rights Group International, 2011)</w:t>
      </w:r>
    </w:p>
    <w:p w14:paraId="03CBEE90" w14:textId="77777777" w:rsidR="007E4C39" w:rsidRPr="00DF38C8" w:rsidRDefault="007E4C39" w:rsidP="007E4C39">
      <w:pPr>
        <w:jc w:val="both"/>
        <w:rPr>
          <w:sz w:val="24"/>
          <w:szCs w:val="24"/>
        </w:rPr>
      </w:pPr>
      <w:r w:rsidRPr="00DF38C8">
        <w:rPr>
          <w:sz w:val="24"/>
          <w:szCs w:val="24"/>
        </w:rPr>
        <w:t xml:space="preserve">Michelle Norris, Menelaos Gkartzios, and Dermot Coates, </w:t>
      </w:r>
      <w:r w:rsidRPr="00DF38C8">
        <w:rPr>
          <w:i/>
          <w:iCs/>
          <w:sz w:val="24"/>
          <w:szCs w:val="24"/>
        </w:rPr>
        <w:t xml:space="preserve">Property-led urban, town and rural regeneration in Ireland: positive and perverse outcomes in different implementation contexts </w:t>
      </w:r>
      <w:r w:rsidRPr="00DF38C8">
        <w:rPr>
          <w:sz w:val="24"/>
          <w:szCs w:val="24"/>
        </w:rPr>
        <w:t xml:space="preserve">(UCD Geary WP2013/11 June 2013) </w:t>
      </w:r>
    </w:p>
    <w:p w14:paraId="04FF529B" w14:textId="2E9BC5E8" w:rsidR="001B38DB" w:rsidRPr="00DF38C8" w:rsidRDefault="001B38DB" w:rsidP="001B38DB">
      <w:pPr>
        <w:jc w:val="both"/>
        <w:rPr>
          <w:sz w:val="24"/>
          <w:szCs w:val="24"/>
        </w:rPr>
      </w:pPr>
      <w:r w:rsidRPr="00DF38C8">
        <w:rPr>
          <w:sz w:val="24"/>
          <w:szCs w:val="24"/>
        </w:rPr>
        <w:t xml:space="preserve">UN Development Programme, </w:t>
      </w:r>
      <w:r w:rsidRPr="00DF38C8">
        <w:rPr>
          <w:i/>
          <w:iCs/>
          <w:sz w:val="24"/>
          <w:szCs w:val="24"/>
        </w:rPr>
        <w:t xml:space="preserve">Guide for Local Planning from a Human Rights-based Approach </w:t>
      </w:r>
      <w:r w:rsidRPr="00DF38C8">
        <w:rPr>
          <w:sz w:val="24"/>
          <w:szCs w:val="24"/>
        </w:rPr>
        <w:t>(United Nations, 2011)</w:t>
      </w:r>
    </w:p>
    <w:p w14:paraId="034B46C1" w14:textId="77777777" w:rsidR="00347607" w:rsidRPr="00DF38C8" w:rsidRDefault="00347607" w:rsidP="00347607">
      <w:pPr>
        <w:jc w:val="both"/>
        <w:rPr>
          <w:sz w:val="24"/>
          <w:szCs w:val="24"/>
        </w:rPr>
      </w:pPr>
      <w:r w:rsidRPr="00DF38C8">
        <w:rPr>
          <w:sz w:val="24"/>
          <w:szCs w:val="24"/>
        </w:rPr>
        <w:lastRenderedPageBreak/>
        <w:t>UN Economic Commission for Europe,</w:t>
      </w:r>
      <w:r w:rsidRPr="00DF38C8">
        <w:rPr>
          <w:i/>
          <w:iCs/>
          <w:sz w:val="24"/>
          <w:szCs w:val="24"/>
        </w:rPr>
        <w:t xml:space="preserve">  #</w:t>
      </w:r>
      <w:r w:rsidRPr="00DF38C8">
        <w:rPr>
          <w:i/>
          <w:iCs/>
          <w:sz w:val="24"/>
          <w:szCs w:val="24"/>
          <w:lang w:val="en-GB"/>
        </w:rPr>
        <w:t>Housing2030</w:t>
      </w:r>
      <w:r w:rsidRPr="00DF38C8">
        <w:rPr>
          <w:sz w:val="24"/>
          <w:szCs w:val="24"/>
          <w:lang w:val="en-GB"/>
        </w:rPr>
        <w:t xml:space="preserve"> (UN, 2021).</w:t>
      </w:r>
    </w:p>
    <w:p w14:paraId="7B717C28" w14:textId="07B5412D" w:rsidR="001B38DB" w:rsidRPr="00DF38C8" w:rsidRDefault="00347607" w:rsidP="001B38DB">
      <w:pPr>
        <w:jc w:val="both"/>
        <w:rPr>
          <w:sz w:val="24"/>
          <w:szCs w:val="24"/>
        </w:rPr>
      </w:pPr>
      <w:r w:rsidRPr="00DF38C8">
        <w:rPr>
          <w:sz w:val="24"/>
          <w:szCs w:val="24"/>
        </w:rPr>
        <w:t>U</w:t>
      </w:r>
      <w:r w:rsidR="001B38DB" w:rsidRPr="00DF38C8">
        <w:rPr>
          <w:sz w:val="24"/>
          <w:szCs w:val="24"/>
        </w:rPr>
        <w:t>N Habitat, Human Rights in Cities Handbook Series: The Human Rights-Based Approach to Housing and Slum Upgrading (United Nations, 2017)</w:t>
      </w:r>
    </w:p>
    <w:p w14:paraId="769CCEB3" w14:textId="77777777" w:rsidR="001B38DB" w:rsidRPr="00DF38C8" w:rsidRDefault="001B38DB" w:rsidP="001B38DB">
      <w:pPr>
        <w:jc w:val="both"/>
        <w:rPr>
          <w:sz w:val="24"/>
          <w:szCs w:val="24"/>
        </w:rPr>
      </w:pPr>
      <w:r w:rsidRPr="00DF38C8">
        <w:rPr>
          <w:sz w:val="24"/>
          <w:szCs w:val="24"/>
        </w:rPr>
        <w:t xml:space="preserve">UN Habitat, </w:t>
      </w:r>
      <w:r w:rsidRPr="00DF38C8">
        <w:rPr>
          <w:i/>
          <w:iCs/>
          <w:sz w:val="24"/>
          <w:szCs w:val="24"/>
        </w:rPr>
        <w:t>Human rights, rule of law and the new urban agenda, Urban Legal Case Studies Vol 11</w:t>
      </w:r>
      <w:r w:rsidRPr="00DF38C8">
        <w:rPr>
          <w:sz w:val="24"/>
          <w:szCs w:val="24"/>
        </w:rPr>
        <w:t xml:space="preserve"> (United Nations, 2020)</w:t>
      </w:r>
    </w:p>
    <w:p w14:paraId="1B3CCA4B" w14:textId="77777777" w:rsidR="001B38DB" w:rsidRPr="00DF38C8" w:rsidRDefault="001B38DB" w:rsidP="001B38DB">
      <w:pPr>
        <w:jc w:val="both"/>
        <w:rPr>
          <w:sz w:val="24"/>
          <w:szCs w:val="24"/>
        </w:rPr>
      </w:pPr>
      <w:r w:rsidRPr="00DF38C8">
        <w:rPr>
          <w:sz w:val="24"/>
          <w:szCs w:val="24"/>
        </w:rPr>
        <w:t>UN Habitat, The New Urban Agenda (United Nations, 2020)</w:t>
      </w:r>
    </w:p>
    <w:p w14:paraId="3F0C6DC5" w14:textId="77777777" w:rsidR="001B38DB" w:rsidRPr="00DF38C8" w:rsidRDefault="001B38DB" w:rsidP="001B38DB">
      <w:pPr>
        <w:jc w:val="both"/>
        <w:rPr>
          <w:sz w:val="24"/>
          <w:szCs w:val="24"/>
        </w:rPr>
      </w:pPr>
      <w:r w:rsidRPr="00DF38C8">
        <w:rPr>
          <w:sz w:val="24"/>
          <w:szCs w:val="24"/>
        </w:rPr>
        <w:t xml:space="preserve">UN Special Rapporteur, </w:t>
      </w:r>
      <w:r w:rsidRPr="00DF38C8">
        <w:rPr>
          <w:i/>
          <w:iCs/>
          <w:sz w:val="24"/>
          <w:szCs w:val="24"/>
        </w:rPr>
        <w:t xml:space="preserve">Report of the Special Rapporteur on adequate housing as a component of the right to an adequate standard of living, and on the right to non-discrimination in this context </w:t>
      </w:r>
      <w:r w:rsidRPr="00DF38C8">
        <w:rPr>
          <w:sz w:val="24"/>
          <w:szCs w:val="24"/>
        </w:rPr>
        <w:t xml:space="preserve">(UN, 2015) </w:t>
      </w:r>
    </w:p>
    <w:p w14:paraId="7E0FF043" w14:textId="631E717C" w:rsidR="00162D35" w:rsidRPr="00DF38C8" w:rsidRDefault="00162D35" w:rsidP="00162D35">
      <w:pPr>
        <w:rPr>
          <w:rFonts w:cstheme="minorHAnsi"/>
          <w:sz w:val="24"/>
          <w:szCs w:val="24"/>
        </w:rPr>
      </w:pPr>
      <w:r w:rsidRPr="00DF38C8">
        <w:rPr>
          <w:rFonts w:cstheme="minorHAnsi"/>
          <w:sz w:val="24"/>
          <w:szCs w:val="24"/>
        </w:rPr>
        <w:t xml:space="preserve">Scottish Human Rights Commission, </w:t>
      </w:r>
      <w:r w:rsidRPr="00DF38C8">
        <w:rPr>
          <w:rFonts w:cstheme="minorHAnsi"/>
          <w:i/>
          <w:iCs/>
          <w:sz w:val="24"/>
          <w:szCs w:val="24"/>
        </w:rPr>
        <w:t>Review of the Scottish Social Housing Charter 2016</w:t>
      </w:r>
      <w:r w:rsidRPr="00DF38C8">
        <w:rPr>
          <w:rFonts w:cstheme="minorHAnsi"/>
          <w:sz w:val="24"/>
          <w:szCs w:val="24"/>
        </w:rPr>
        <w:t xml:space="preserve"> (Scottish Human Rights Commission, 2016)</w:t>
      </w:r>
    </w:p>
    <w:p w14:paraId="21F49510" w14:textId="3F0759AF" w:rsidR="002A455B" w:rsidRPr="00DF38C8" w:rsidRDefault="002A455B" w:rsidP="00162D35">
      <w:pPr>
        <w:rPr>
          <w:rFonts w:cstheme="minorHAnsi"/>
          <w:sz w:val="24"/>
          <w:szCs w:val="24"/>
        </w:rPr>
      </w:pPr>
    </w:p>
    <w:p w14:paraId="1808645F" w14:textId="3F3CC183" w:rsidR="002A455B" w:rsidRPr="00DF38C8" w:rsidRDefault="002A455B" w:rsidP="00162D35">
      <w:pPr>
        <w:rPr>
          <w:rFonts w:cstheme="minorHAnsi"/>
          <w:sz w:val="24"/>
          <w:szCs w:val="24"/>
        </w:rPr>
      </w:pPr>
    </w:p>
    <w:p w14:paraId="18D8A58B" w14:textId="4A538F00" w:rsidR="002A455B" w:rsidRPr="00DF38C8" w:rsidRDefault="002A455B" w:rsidP="00162D35">
      <w:pPr>
        <w:rPr>
          <w:rFonts w:cstheme="minorHAnsi"/>
          <w:sz w:val="24"/>
          <w:szCs w:val="24"/>
        </w:rPr>
      </w:pPr>
    </w:p>
    <w:p w14:paraId="02A1D41C" w14:textId="1552F93C" w:rsidR="002A455B" w:rsidRPr="00DF38C8" w:rsidRDefault="002A455B" w:rsidP="00162D35">
      <w:pPr>
        <w:rPr>
          <w:rFonts w:cstheme="minorHAnsi"/>
          <w:sz w:val="24"/>
          <w:szCs w:val="24"/>
        </w:rPr>
      </w:pPr>
    </w:p>
    <w:p w14:paraId="2B303C15" w14:textId="747DAE78" w:rsidR="002A455B" w:rsidRPr="00DF38C8" w:rsidRDefault="002A455B" w:rsidP="00162D35">
      <w:pPr>
        <w:rPr>
          <w:rFonts w:cstheme="minorHAnsi"/>
          <w:sz w:val="24"/>
          <w:szCs w:val="24"/>
        </w:rPr>
      </w:pPr>
    </w:p>
    <w:p w14:paraId="149B1E51" w14:textId="1DE6D27C" w:rsidR="002A455B" w:rsidRPr="00DF38C8" w:rsidRDefault="002A455B" w:rsidP="00162D35">
      <w:pPr>
        <w:rPr>
          <w:rFonts w:cstheme="minorHAnsi"/>
          <w:sz w:val="24"/>
          <w:szCs w:val="24"/>
        </w:rPr>
      </w:pPr>
    </w:p>
    <w:p w14:paraId="3B259658" w14:textId="77777777" w:rsidR="002A455B" w:rsidRPr="00DF38C8" w:rsidRDefault="002A455B" w:rsidP="00162D35">
      <w:pPr>
        <w:rPr>
          <w:rFonts w:cstheme="minorHAnsi"/>
          <w:sz w:val="24"/>
          <w:szCs w:val="24"/>
        </w:rPr>
      </w:pPr>
    </w:p>
    <w:p w14:paraId="1FC07402" w14:textId="352F2AB9" w:rsidR="002A455B" w:rsidRPr="00DF38C8" w:rsidRDefault="002A455B" w:rsidP="00162D35">
      <w:pPr>
        <w:rPr>
          <w:rFonts w:cstheme="minorHAnsi"/>
          <w:sz w:val="24"/>
          <w:szCs w:val="24"/>
        </w:rPr>
      </w:pPr>
    </w:p>
    <w:p w14:paraId="6D86C54F" w14:textId="664C5A30" w:rsidR="002A455B" w:rsidRPr="00DF38C8" w:rsidRDefault="002A455B" w:rsidP="00162D35">
      <w:pPr>
        <w:rPr>
          <w:rFonts w:cstheme="minorHAnsi"/>
          <w:sz w:val="24"/>
          <w:szCs w:val="24"/>
        </w:rPr>
      </w:pPr>
    </w:p>
    <w:tbl>
      <w:tblPr>
        <w:tblStyle w:val="TableGrid"/>
        <w:tblpPr w:leftFromText="180" w:rightFromText="180" w:vertAnchor="text" w:horzAnchor="margin" w:tblpY="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7943"/>
      </w:tblGrid>
      <w:tr w:rsidR="002A455B" w:rsidRPr="00DF38C8" w14:paraId="60F862EE" w14:textId="77777777" w:rsidTr="002A455B">
        <w:tc>
          <w:tcPr>
            <w:tcW w:w="4508" w:type="dxa"/>
          </w:tcPr>
          <w:p w14:paraId="434D0BFA" w14:textId="69652A02" w:rsidR="002A455B" w:rsidRPr="00DF38C8" w:rsidRDefault="002A455B" w:rsidP="002A455B">
            <w:pPr>
              <w:rPr>
                <w:rFonts w:cstheme="minorHAnsi"/>
                <w:sz w:val="24"/>
                <w:szCs w:val="24"/>
              </w:rPr>
            </w:pPr>
          </w:p>
        </w:tc>
        <w:tc>
          <w:tcPr>
            <w:tcW w:w="4508" w:type="dxa"/>
          </w:tcPr>
          <w:tbl>
            <w:tblPr>
              <w:tblStyle w:val="TableGrid"/>
              <w:tblpPr w:leftFromText="180" w:rightFromText="180" w:vertAnchor="text" w:horzAnchor="margin" w:tblpY="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3396"/>
            </w:tblGrid>
            <w:tr w:rsidR="002D7811" w:rsidRPr="00DF38C8" w14:paraId="33F9F061" w14:textId="77777777" w:rsidTr="00621B92">
              <w:tc>
                <w:tcPr>
                  <w:tcW w:w="4508" w:type="dxa"/>
                </w:tcPr>
                <w:p w14:paraId="2AC37FEA" w14:textId="77777777" w:rsidR="002D7811" w:rsidRPr="00DF38C8" w:rsidRDefault="002D7811" w:rsidP="002D7811">
                  <w:pPr>
                    <w:rPr>
                      <w:rFonts w:cstheme="minorHAnsi"/>
                      <w:sz w:val="24"/>
                      <w:szCs w:val="24"/>
                    </w:rPr>
                  </w:pPr>
                  <w:r w:rsidRPr="00DF38C8">
                    <w:rPr>
                      <w:b/>
                      <w:bCs/>
                      <w:noProof/>
                      <w:sz w:val="24"/>
                      <w:szCs w:val="24"/>
                      <w:lang w:val="en-US"/>
                    </w:rPr>
                    <w:drawing>
                      <wp:inline distT="0" distB="0" distL="0" distR="0" wp14:anchorId="199FE941" wp14:editId="26C42AC5">
                        <wp:extent cx="1524000" cy="1615818"/>
                        <wp:effectExtent l="0" t="0" r="0" b="381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2490" cy="1646024"/>
                                </a:xfrm>
                                <a:prstGeom prst="rect">
                                  <a:avLst/>
                                </a:prstGeom>
                              </pic:spPr>
                            </pic:pic>
                          </a:graphicData>
                        </a:graphic>
                      </wp:inline>
                    </w:drawing>
                  </w:r>
                </w:p>
                <w:p w14:paraId="290F0E73" w14:textId="77777777" w:rsidR="002D7811" w:rsidRPr="00DF38C8" w:rsidRDefault="002D7811" w:rsidP="002D7811">
                  <w:pPr>
                    <w:rPr>
                      <w:rFonts w:cstheme="minorHAnsi"/>
                      <w:sz w:val="24"/>
                      <w:szCs w:val="24"/>
                    </w:rPr>
                  </w:pPr>
                </w:p>
              </w:tc>
              <w:tc>
                <w:tcPr>
                  <w:tcW w:w="4508" w:type="dxa"/>
                </w:tcPr>
                <w:p w14:paraId="41AA0E78" w14:textId="77777777" w:rsidR="002D7811" w:rsidRPr="00DF38C8" w:rsidRDefault="002D7811" w:rsidP="002D7811">
                  <w:pPr>
                    <w:rPr>
                      <w:rFonts w:cstheme="minorHAnsi"/>
                      <w:sz w:val="24"/>
                      <w:szCs w:val="24"/>
                    </w:rPr>
                  </w:pPr>
                  <w:r w:rsidRPr="00DF38C8">
                    <w:rPr>
                      <w:b/>
                      <w:bCs/>
                      <w:noProof/>
                      <w:sz w:val="24"/>
                      <w:szCs w:val="24"/>
                      <w:lang w:val="en-US"/>
                    </w:rPr>
                    <w:drawing>
                      <wp:inline distT="0" distB="0" distL="0" distR="0" wp14:anchorId="4EA99E55" wp14:editId="5C2C09C1">
                        <wp:extent cx="2018207" cy="1343025"/>
                        <wp:effectExtent l="0" t="0" r="1270" b="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022775" cy="1346065"/>
                                </a:xfrm>
                                <a:prstGeom prst="rect">
                                  <a:avLst/>
                                </a:prstGeom>
                              </pic:spPr>
                            </pic:pic>
                          </a:graphicData>
                        </a:graphic>
                      </wp:inline>
                    </w:drawing>
                  </w:r>
                </w:p>
              </w:tc>
            </w:tr>
            <w:tr w:rsidR="002D7811" w:rsidRPr="00DF38C8" w14:paraId="4E89C047" w14:textId="77777777" w:rsidTr="00621B92">
              <w:tc>
                <w:tcPr>
                  <w:tcW w:w="4508" w:type="dxa"/>
                </w:tcPr>
                <w:p w14:paraId="16878A77" w14:textId="77777777" w:rsidR="002D7811" w:rsidRPr="00DF38C8" w:rsidRDefault="002D7811" w:rsidP="002D7811">
                  <w:pPr>
                    <w:rPr>
                      <w:b/>
                      <w:bCs/>
                      <w:noProof/>
                      <w:sz w:val="24"/>
                      <w:szCs w:val="24"/>
                      <w:lang w:val="en-US"/>
                    </w:rPr>
                  </w:pPr>
                  <w:r w:rsidRPr="00DF38C8">
                    <w:rPr>
                      <w:b/>
                      <w:bCs/>
                      <w:noProof/>
                      <w:sz w:val="24"/>
                      <w:szCs w:val="24"/>
                      <w:lang w:val="en-US"/>
                    </w:rPr>
                    <w:lastRenderedPageBreak/>
                    <w:drawing>
                      <wp:inline distT="0" distB="0" distL="0" distR="0" wp14:anchorId="207F1A04" wp14:editId="4715CA51">
                        <wp:extent cx="2613232" cy="800100"/>
                        <wp:effectExtent l="0" t="0" r="0" b="0"/>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620304" cy="802265"/>
                                </a:xfrm>
                                <a:prstGeom prst="rect">
                                  <a:avLst/>
                                </a:prstGeom>
                              </pic:spPr>
                            </pic:pic>
                          </a:graphicData>
                        </a:graphic>
                      </wp:inline>
                    </w:drawing>
                  </w:r>
                </w:p>
                <w:p w14:paraId="68D7A6CF" w14:textId="77777777" w:rsidR="002D7811" w:rsidRPr="00DF38C8" w:rsidRDefault="002D7811" w:rsidP="002D7811">
                  <w:pPr>
                    <w:rPr>
                      <w:b/>
                      <w:bCs/>
                      <w:noProof/>
                      <w:sz w:val="24"/>
                      <w:szCs w:val="24"/>
                      <w:lang w:val="en-US"/>
                    </w:rPr>
                  </w:pPr>
                </w:p>
                <w:p w14:paraId="34273A27" w14:textId="77777777" w:rsidR="002D7811" w:rsidRPr="00DF38C8" w:rsidRDefault="002D7811" w:rsidP="002D7811">
                  <w:pPr>
                    <w:rPr>
                      <w:b/>
                      <w:bCs/>
                      <w:noProof/>
                      <w:sz w:val="24"/>
                      <w:szCs w:val="24"/>
                      <w:lang w:val="en-US"/>
                    </w:rPr>
                  </w:pPr>
                </w:p>
                <w:p w14:paraId="5FEEB3AC" w14:textId="77777777" w:rsidR="002D7811" w:rsidRPr="00DF38C8" w:rsidRDefault="002D7811" w:rsidP="002D7811">
                  <w:pPr>
                    <w:rPr>
                      <w:b/>
                      <w:bCs/>
                      <w:noProof/>
                      <w:sz w:val="24"/>
                      <w:szCs w:val="24"/>
                      <w:lang w:val="en-US"/>
                    </w:rPr>
                  </w:pPr>
                  <w:r w:rsidRPr="00DF38C8">
                    <w:rPr>
                      <w:b/>
                      <w:bCs/>
                      <w:noProof/>
                      <w:sz w:val="24"/>
                      <w:szCs w:val="24"/>
                      <w:lang w:val="en-US"/>
                    </w:rPr>
                    <w:drawing>
                      <wp:inline distT="0" distB="0" distL="0" distR="0" wp14:anchorId="29FF6E7A" wp14:editId="473E0B1F">
                        <wp:extent cx="1828800" cy="1014651"/>
                        <wp:effectExtent l="0" t="0" r="0" b="0"/>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43330" cy="1022712"/>
                                </a:xfrm>
                                <a:prstGeom prst="rect">
                                  <a:avLst/>
                                </a:prstGeom>
                              </pic:spPr>
                            </pic:pic>
                          </a:graphicData>
                        </a:graphic>
                      </wp:inline>
                    </w:drawing>
                  </w:r>
                </w:p>
              </w:tc>
              <w:tc>
                <w:tcPr>
                  <w:tcW w:w="4508" w:type="dxa"/>
                </w:tcPr>
                <w:p w14:paraId="636FAE97" w14:textId="77777777" w:rsidR="002D7811" w:rsidRPr="00DF38C8" w:rsidRDefault="002D7811" w:rsidP="002D7811">
                  <w:pPr>
                    <w:rPr>
                      <w:b/>
                      <w:bCs/>
                      <w:noProof/>
                      <w:sz w:val="24"/>
                      <w:szCs w:val="24"/>
                      <w:lang w:val="en-US"/>
                    </w:rPr>
                  </w:pPr>
                  <w:r w:rsidRPr="00DF38C8">
                    <w:rPr>
                      <w:b/>
                      <w:bCs/>
                      <w:noProof/>
                      <w:sz w:val="24"/>
                      <w:szCs w:val="24"/>
                      <w:lang w:val="en-US"/>
                    </w:rPr>
                    <w:drawing>
                      <wp:inline distT="0" distB="0" distL="0" distR="0" wp14:anchorId="323D8512" wp14:editId="7D26D116">
                        <wp:extent cx="1943100" cy="1943100"/>
                        <wp:effectExtent l="0" t="0" r="0" b="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inline>
                    </w:drawing>
                  </w:r>
                </w:p>
              </w:tc>
            </w:tr>
            <w:tr w:rsidR="002D7811" w:rsidRPr="00DF38C8" w14:paraId="0F67BBE5" w14:textId="77777777" w:rsidTr="00621B92">
              <w:tc>
                <w:tcPr>
                  <w:tcW w:w="9016" w:type="dxa"/>
                  <w:gridSpan w:val="2"/>
                </w:tcPr>
                <w:p w14:paraId="15A25370" w14:textId="77777777" w:rsidR="002D7811" w:rsidRPr="00DF38C8" w:rsidRDefault="002D7811" w:rsidP="002D7811">
                  <w:pPr>
                    <w:rPr>
                      <w:b/>
                      <w:bCs/>
                      <w:noProof/>
                      <w:sz w:val="24"/>
                      <w:szCs w:val="24"/>
                      <w:lang w:val="en-US"/>
                    </w:rPr>
                  </w:pPr>
                </w:p>
              </w:tc>
            </w:tr>
          </w:tbl>
          <w:p w14:paraId="7DD1495D" w14:textId="69097467" w:rsidR="002A455B" w:rsidRPr="00DF38C8" w:rsidRDefault="002A455B" w:rsidP="002A455B">
            <w:pPr>
              <w:rPr>
                <w:rFonts w:cstheme="minorHAnsi"/>
                <w:sz w:val="24"/>
                <w:szCs w:val="24"/>
              </w:rPr>
            </w:pPr>
          </w:p>
        </w:tc>
      </w:tr>
    </w:tbl>
    <w:p w14:paraId="7CE40519" w14:textId="52A48AE4" w:rsidR="002A455B" w:rsidRPr="00DF38C8" w:rsidRDefault="002A455B" w:rsidP="00162D35">
      <w:pPr>
        <w:rPr>
          <w:rFonts w:cstheme="minorHAnsi"/>
          <w:sz w:val="24"/>
          <w:szCs w:val="24"/>
        </w:rPr>
      </w:pPr>
    </w:p>
    <w:p w14:paraId="0D711B95" w14:textId="473BD2EF" w:rsidR="002A455B" w:rsidRPr="00DF38C8" w:rsidRDefault="002A455B" w:rsidP="00162D35">
      <w:pPr>
        <w:rPr>
          <w:rFonts w:cstheme="minorHAnsi"/>
          <w:sz w:val="24"/>
          <w:szCs w:val="24"/>
        </w:rPr>
      </w:pPr>
    </w:p>
    <w:p w14:paraId="5D17F051" w14:textId="7A6B36ED" w:rsidR="002A455B" w:rsidRPr="00DF38C8" w:rsidRDefault="002A455B" w:rsidP="00162D35">
      <w:pPr>
        <w:rPr>
          <w:rFonts w:cstheme="minorHAnsi"/>
          <w:sz w:val="24"/>
          <w:szCs w:val="24"/>
        </w:rPr>
      </w:pPr>
    </w:p>
    <w:p w14:paraId="1E258808" w14:textId="77777777" w:rsidR="002A455B" w:rsidRPr="00DF38C8" w:rsidRDefault="002A455B" w:rsidP="00162D35">
      <w:pPr>
        <w:rPr>
          <w:rFonts w:cstheme="minorHAnsi"/>
          <w:sz w:val="24"/>
          <w:szCs w:val="24"/>
        </w:rPr>
      </w:pPr>
    </w:p>
    <w:p w14:paraId="1F999114" w14:textId="73DF469A" w:rsidR="00A63161" w:rsidRDefault="002A455B" w:rsidP="0058677A">
      <w:pPr>
        <w:jc w:val="both"/>
        <w:rPr>
          <w:sz w:val="24"/>
          <w:szCs w:val="24"/>
        </w:rPr>
      </w:pPr>
      <w:r w:rsidRPr="00DF38C8">
        <w:rPr>
          <w:b/>
          <w:bCs/>
          <w:noProof/>
          <w:sz w:val="24"/>
          <w:szCs w:val="24"/>
          <w:lang w:val="en-US"/>
        </w:rPr>
        <w:drawing>
          <wp:inline distT="0" distB="0" distL="0" distR="0" wp14:anchorId="57A46AFE" wp14:editId="4B213F81">
            <wp:extent cx="5731510" cy="1047115"/>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1047115"/>
                    </a:xfrm>
                    <a:prstGeom prst="rect">
                      <a:avLst/>
                    </a:prstGeom>
                  </pic:spPr>
                </pic:pic>
              </a:graphicData>
            </a:graphic>
          </wp:inline>
        </w:drawing>
      </w:r>
    </w:p>
    <w:sectPr w:rsidR="00A6316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5AA7" w14:textId="77777777" w:rsidR="00851397" w:rsidRDefault="00851397" w:rsidP="0024312F">
      <w:pPr>
        <w:spacing w:after="0" w:line="240" w:lineRule="auto"/>
      </w:pPr>
      <w:r>
        <w:separator/>
      </w:r>
    </w:p>
  </w:endnote>
  <w:endnote w:type="continuationSeparator" w:id="0">
    <w:p w14:paraId="773EA3C2" w14:textId="77777777" w:rsidR="00851397" w:rsidRDefault="00851397" w:rsidP="0024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_ï'51∑˛">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943350"/>
      <w:docPartObj>
        <w:docPartGallery w:val="Page Numbers (Bottom of Page)"/>
        <w:docPartUnique/>
      </w:docPartObj>
    </w:sdtPr>
    <w:sdtEndPr>
      <w:rPr>
        <w:noProof/>
      </w:rPr>
    </w:sdtEndPr>
    <w:sdtContent>
      <w:p w14:paraId="679559BF" w14:textId="2141FFA8" w:rsidR="00472C72" w:rsidRDefault="00472C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65B823" w14:textId="77777777" w:rsidR="00472C72" w:rsidRDefault="00472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1C156" w14:textId="77777777" w:rsidR="00851397" w:rsidRDefault="00851397" w:rsidP="0024312F">
      <w:pPr>
        <w:spacing w:after="0" w:line="240" w:lineRule="auto"/>
      </w:pPr>
      <w:r>
        <w:separator/>
      </w:r>
    </w:p>
  </w:footnote>
  <w:footnote w:type="continuationSeparator" w:id="0">
    <w:p w14:paraId="2704308B" w14:textId="77777777" w:rsidR="00851397" w:rsidRDefault="00851397" w:rsidP="0024312F">
      <w:pPr>
        <w:spacing w:after="0" w:line="240" w:lineRule="auto"/>
      </w:pPr>
      <w:r>
        <w:continuationSeparator/>
      </w:r>
    </w:p>
  </w:footnote>
  <w:footnote w:id="1">
    <w:p w14:paraId="1B3D74EB" w14:textId="77777777" w:rsidR="00FD0557" w:rsidRPr="00005BF7" w:rsidRDefault="00FD0557" w:rsidP="00784C53">
      <w:pPr>
        <w:pStyle w:val="FootnoteText"/>
      </w:pPr>
      <w:r w:rsidRPr="00005BF7">
        <w:rPr>
          <w:rStyle w:val="FootnoteReference"/>
        </w:rPr>
        <w:footnoteRef/>
      </w:r>
      <w:r w:rsidRPr="00005BF7">
        <w:t xml:space="preserve"> M. Norris, M. Gkartzios and D. Coates, </w:t>
      </w:r>
      <w:r w:rsidRPr="00005BF7">
        <w:rPr>
          <w:i/>
          <w:iCs/>
        </w:rPr>
        <w:t xml:space="preserve">Property-led urban, town and rural regeneration in Ireland: positive and perverse outcomes in different implementation contexts </w:t>
      </w:r>
      <w:r w:rsidRPr="00005BF7">
        <w:t>(UCD Geary WP2013/11 June 2013) 1.</w:t>
      </w:r>
    </w:p>
  </w:footnote>
  <w:footnote w:id="2">
    <w:p w14:paraId="5CA5B7AD" w14:textId="387E7C56" w:rsidR="00085B82" w:rsidRPr="00005BF7" w:rsidRDefault="00085B82" w:rsidP="00784C53">
      <w:pPr>
        <w:pStyle w:val="FootnoteText"/>
      </w:pPr>
      <w:r w:rsidRPr="00005BF7">
        <w:rPr>
          <w:rStyle w:val="FootnoteReference"/>
        </w:rPr>
        <w:footnoteRef/>
      </w:r>
      <w:r w:rsidRPr="00005BF7">
        <w:t xml:space="preserve"> </w:t>
      </w:r>
      <w:r w:rsidR="007E4C39" w:rsidRPr="00005BF7">
        <w:t xml:space="preserve">K. Treadwell Shine and M. Norris, </w:t>
      </w:r>
      <w:r w:rsidR="007E4C39" w:rsidRPr="00005BF7">
        <w:rPr>
          <w:i/>
          <w:iCs/>
        </w:rPr>
        <w:t>Regenerating Local Authority Housing Estates Review of Policy and Practices</w:t>
      </w:r>
      <w:r w:rsidR="007E4C39" w:rsidRPr="00005BF7">
        <w:t xml:space="preserve"> (Centre for Housing Research, 2006) 16.</w:t>
      </w:r>
    </w:p>
  </w:footnote>
  <w:footnote w:id="3">
    <w:p w14:paraId="39793F08" w14:textId="6B44CB03" w:rsidR="00085B82" w:rsidRPr="00005BF7" w:rsidRDefault="00085B82" w:rsidP="00784C53">
      <w:pPr>
        <w:pStyle w:val="FootnoteText"/>
      </w:pPr>
      <w:r w:rsidRPr="00005BF7">
        <w:rPr>
          <w:rStyle w:val="FootnoteReference"/>
        </w:rPr>
        <w:footnoteRef/>
      </w:r>
      <w:r w:rsidRPr="00005BF7">
        <w:t xml:space="preserve"> </w:t>
      </w:r>
      <w:r w:rsidR="007E4C39" w:rsidRPr="00005BF7">
        <w:t xml:space="preserve">Department of Housing, Local Government and Heritage, </w:t>
      </w:r>
      <w:r w:rsidR="007E4C39" w:rsidRPr="00005BF7">
        <w:rPr>
          <w:i/>
          <w:iCs/>
        </w:rPr>
        <w:t xml:space="preserve">Housing for All </w:t>
      </w:r>
      <w:r w:rsidR="007E4C39" w:rsidRPr="00005BF7">
        <w:t>(Government of Ireland, 2021) 16, 26-27, 76, 82, 104-105.</w:t>
      </w:r>
    </w:p>
  </w:footnote>
  <w:footnote w:id="4">
    <w:p w14:paraId="73F9087A" w14:textId="34FDD8C8" w:rsidR="009B0544" w:rsidRPr="00005BF7" w:rsidRDefault="009B0544">
      <w:pPr>
        <w:pStyle w:val="FootnoteText"/>
        <w:rPr>
          <w:lang w:val="en-GB"/>
        </w:rPr>
      </w:pPr>
      <w:r w:rsidRPr="00005BF7">
        <w:rPr>
          <w:rStyle w:val="FootnoteReference"/>
        </w:rPr>
        <w:footnoteRef/>
      </w:r>
      <w:r w:rsidRPr="00005BF7">
        <w:t xml:space="preserve"> K. Treadwell Shine and M. Norris, </w:t>
      </w:r>
      <w:r w:rsidRPr="00005BF7">
        <w:rPr>
          <w:i/>
          <w:iCs/>
        </w:rPr>
        <w:t>Good Practice Guidelines Regenerating Estates Rebuilding Vibrant Communities</w:t>
      </w:r>
      <w:r w:rsidRPr="00005BF7">
        <w:t xml:space="preserve"> (Centre for Housing Research, 2006) 1.</w:t>
      </w:r>
    </w:p>
  </w:footnote>
  <w:footnote w:id="5">
    <w:p w14:paraId="0C3BE659" w14:textId="36D4B866" w:rsidR="00085B82" w:rsidRPr="00005BF7" w:rsidRDefault="00085B82" w:rsidP="00784C53">
      <w:pPr>
        <w:pStyle w:val="FootnoteText"/>
        <w:rPr>
          <w:b/>
          <w:bCs/>
          <w:lang w:val="en-GB"/>
        </w:rPr>
      </w:pPr>
      <w:r w:rsidRPr="00005BF7">
        <w:rPr>
          <w:rStyle w:val="FootnoteReference"/>
        </w:rPr>
        <w:footnoteRef/>
      </w:r>
      <w:r w:rsidRPr="00005BF7">
        <w:t xml:space="preserve"> </w:t>
      </w:r>
      <w:r w:rsidR="007E4C39" w:rsidRPr="00005BF7">
        <w:t xml:space="preserve">K. Treadwell Shine and M. Norris, </w:t>
      </w:r>
      <w:r w:rsidR="007E4C39" w:rsidRPr="00005BF7">
        <w:rPr>
          <w:i/>
          <w:iCs/>
        </w:rPr>
        <w:t>Regenerating Local Authority Housing Estates Review of Policy and Practices</w:t>
      </w:r>
      <w:r w:rsidR="007E4C39" w:rsidRPr="00005BF7">
        <w:t xml:space="preserve"> (Centre for Housing Research, 2006) </w:t>
      </w:r>
      <w:r w:rsidRPr="00005BF7">
        <w:t>40</w:t>
      </w:r>
      <w:r w:rsidR="007E4C39" w:rsidRPr="00005BF7">
        <w:t>.</w:t>
      </w:r>
    </w:p>
  </w:footnote>
  <w:footnote w:id="6">
    <w:p w14:paraId="0FB9CE41" w14:textId="5BF78A84" w:rsidR="00085B82" w:rsidRPr="00005BF7" w:rsidRDefault="00085B82" w:rsidP="00784C53">
      <w:pPr>
        <w:pStyle w:val="FootnoteText"/>
      </w:pPr>
      <w:r w:rsidRPr="00005BF7">
        <w:rPr>
          <w:rStyle w:val="FootnoteReference"/>
        </w:rPr>
        <w:footnoteRef/>
      </w:r>
      <w:r w:rsidRPr="00005BF7">
        <w:t xml:space="preserve"> </w:t>
      </w:r>
      <w:r w:rsidR="007E4C39" w:rsidRPr="00005BF7">
        <w:t xml:space="preserve">UN Development Programme, </w:t>
      </w:r>
      <w:r w:rsidR="007E4C39" w:rsidRPr="00005BF7">
        <w:rPr>
          <w:i/>
          <w:iCs/>
        </w:rPr>
        <w:t xml:space="preserve">Guide for Local Planning from a Human Rights-based Approach </w:t>
      </w:r>
      <w:r w:rsidR="007E4C39" w:rsidRPr="00005BF7">
        <w:t xml:space="preserve">(United Nations, 2011) </w:t>
      </w:r>
      <w:r w:rsidR="007E4C39" w:rsidRPr="00005BF7">
        <w:rPr>
          <w:lang w:val="en-GB"/>
        </w:rPr>
        <w:t>7.</w:t>
      </w:r>
    </w:p>
  </w:footnote>
  <w:footnote w:id="7">
    <w:p w14:paraId="50147CD7" w14:textId="38895378" w:rsidR="00005BF7" w:rsidRPr="00C84561" w:rsidRDefault="00005BF7">
      <w:pPr>
        <w:pStyle w:val="FootnoteText"/>
        <w:rPr>
          <w:lang w:val="en-GB"/>
        </w:rPr>
      </w:pPr>
      <w:r w:rsidRPr="00005BF7">
        <w:rPr>
          <w:rStyle w:val="FootnoteReference"/>
        </w:rPr>
        <w:footnoteRef/>
      </w:r>
      <w:r w:rsidRPr="00005BF7">
        <w:t xml:space="preserve"> Irish Human Rights and Equality Commission (IHREC), </w:t>
      </w:r>
      <w:r w:rsidRPr="00005BF7">
        <w:rPr>
          <w:i/>
          <w:iCs/>
        </w:rPr>
        <w:t>Implementing the Public Sector Equality and Human Ri</w:t>
      </w:r>
      <w:r w:rsidRPr="004A0900">
        <w:rPr>
          <w:i/>
          <w:iCs/>
        </w:rPr>
        <w:t xml:space="preserve">ghts Duty </w:t>
      </w:r>
      <w:r w:rsidRPr="004A0900">
        <w:t>(</w:t>
      </w:r>
      <w:r w:rsidRPr="00F4112C">
        <w:t xml:space="preserve">IHREC, 2019) </w:t>
      </w:r>
      <w:r w:rsidRPr="00005BF7">
        <w:rPr>
          <w:lang w:val="en-GB"/>
        </w:rPr>
        <w:t>5.</w:t>
      </w:r>
    </w:p>
  </w:footnote>
  <w:footnote w:id="8">
    <w:p w14:paraId="6D856250" w14:textId="77777777" w:rsidR="00194236" w:rsidRPr="00005BF7" w:rsidRDefault="00194236" w:rsidP="00784C53">
      <w:pPr>
        <w:pStyle w:val="FootnoteText"/>
        <w:rPr>
          <w:lang w:val="en-GB"/>
        </w:rPr>
      </w:pPr>
      <w:r w:rsidRPr="00005BF7">
        <w:rPr>
          <w:rStyle w:val="FootnoteReference"/>
        </w:rPr>
        <w:footnoteRef/>
      </w:r>
      <w:r w:rsidRPr="00005BF7">
        <w:t xml:space="preserve"> </w:t>
      </w:r>
      <w:r w:rsidRPr="00005BF7">
        <w:rPr>
          <w:lang w:val="en-GB"/>
        </w:rPr>
        <w:t xml:space="preserve">Local Government Act 2001, s. 127 (as amended by the </w:t>
      </w:r>
      <w:r w:rsidRPr="00005BF7">
        <w:t>Local Government Reform Act 2014</w:t>
      </w:r>
      <w:r w:rsidRPr="00005BF7">
        <w:rPr>
          <w:lang w:val="en-GB"/>
        </w:rPr>
        <w:t>).</w:t>
      </w:r>
    </w:p>
  </w:footnote>
  <w:footnote w:id="9">
    <w:p w14:paraId="6A134D26" w14:textId="7B8C8DD8" w:rsidR="00194236" w:rsidRPr="004A0900" w:rsidRDefault="00194236" w:rsidP="00784C53">
      <w:pPr>
        <w:pStyle w:val="FootnoteText"/>
        <w:rPr>
          <w:lang w:val="en-GB"/>
        </w:rPr>
      </w:pPr>
      <w:r w:rsidRPr="00005BF7">
        <w:rPr>
          <w:rStyle w:val="FootnoteReference"/>
        </w:rPr>
        <w:footnoteRef/>
      </w:r>
      <w:r w:rsidRPr="00005BF7">
        <w:t xml:space="preserve"> Irish Human Rights and Equality Commission Act 2014, s</w:t>
      </w:r>
      <w:r w:rsidR="0078363F" w:rsidRPr="00005BF7">
        <w:t xml:space="preserve">. </w:t>
      </w:r>
      <w:r w:rsidRPr="00005BF7">
        <w:t>42</w:t>
      </w:r>
      <w:r w:rsidR="0078363F" w:rsidRPr="00005BF7">
        <w:t xml:space="preserve">; </w:t>
      </w:r>
      <w:r w:rsidR="009B4F39" w:rsidRPr="00005BF7">
        <w:rPr>
          <w:rFonts w:cstheme="minorHAnsi"/>
        </w:rPr>
        <w:t>European Convention on Human Rights 2003</w:t>
      </w:r>
      <w:r w:rsidR="0078363F" w:rsidRPr="00005BF7">
        <w:rPr>
          <w:rFonts w:cstheme="minorHAnsi"/>
        </w:rPr>
        <w:t>, s. 3.</w:t>
      </w:r>
    </w:p>
  </w:footnote>
  <w:footnote w:id="10">
    <w:p w14:paraId="26C3420F" w14:textId="109A0555" w:rsidR="00975136" w:rsidRPr="00005BF7" w:rsidRDefault="00975136" w:rsidP="00784C53">
      <w:pPr>
        <w:pStyle w:val="FootnoteText"/>
      </w:pPr>
      <w:r w:rsidRPr="00005BF7">
        <w:rPr>
          <w:rStyle w:val="FootnoteReference"/>
        </w:rPr>
        <w:footnoteRef/>
      </w:r>
      <w:r w:rsidRPr="00005BF7">
        <w:t xml:space="preserve"> </w:t>
      </w:r>
      <w:r w:rsidR="0078363F" w:rsidRPr="00005BF7">
        <w:t xml:space="preserve">Department of Housing, Local Government and Heritage, </w:t>
      </w:r>
      <w:r w:rsidR="0078363F" w:rsidRPr="00005BF7">
        <w:rPr>
          <w:i/>
          <w:iCs/>
        </w:rPr>
        <w:t xml:space="preserve">Housing for All </w:t>
      </w:r>
      <w:r w:rsidR="0078363F" w:rsidRPr="00005BF7">
        <w:t xml:space="preserve">(Government of Ireland, 2021), Department of the Environment, Heritage and Local Government, </w:t>
      </w:r>
      <w:r w:rsidR="0078363F" w:rsidRPr="004A0900">
        <w:rPr>
          <w:i/>
          <w:iCs/>
        </w:rPr>
        <w:t>Delivering Homes, Sustaining Communities – Statement on Housing Policy</w:t>
      </w:r>
      <w:r w:rsidR="0078363F" w:rsidRPr="00005BF7">
        <w:t xml:space="preserve"> (Government of Ireland, 2007), Department of the Environment, Heritage and Local Government, </w:t>
      </w:r>
      <w:r w:rsidR="0078363F" w:rsidRPr="00005BF7">
        <w:rPr>
          <w:i/>
          <w:iCs/>
        </w:rPr>
        <w:t>Quality Housing for Sustainable Communities</w:t>
      </w:r>
      <w:r w:rsidR="0078363F" w:rsidRPr="00005BF7">
        <w:t xml:space="preserve"> (Government of Ireland, 2007).</w:t>
      </w:r>
      <w:r w:rsidRPr="00005BF7">
        <w:rPr>
          <w:b/>
          <w:bCs/>
        </w:rPr>
        <w:t xml:space="preserve"> </w:t>
      </w:r>
    </w:p>
  </w:footnote>
  <w:footnote w:id="11">
    <w:p w14:paraId="641935D1" w14:textId="1BA4C7E3" w:rsidR="00975136" w:rsidRPr="00005BF7" w:rsidRDefault="00975136" w:rsidP="00784C53">
      <w:pPr>
        <w:pStyle w:val="FootnoteText"/>
        <w:rPr>
          <w:lang w:val="en-GB"/>
        </w:rPr>
      </w:pPr>
      <w:r w:rsidRPr="00005BF7">
        <w:rPr>
          <w:rStyle w:val="FootnoteReference"/>
        </w:rPr>
        <w:footnoteRef/>
      </w:r>
      <w:r w:rsidRPr="00005BF7">
        <w:t xml:space="preserve"> </w:t>
      </w:r>
      <w:r w:rsidR="0078363F" w:rsidRPr="00005BF7">
        <w:t xml:space="preserve">Kasey Treadwell Shine and Michelle Norris, </w:t>
      </w:r>
      <w:r w:rsidR="0078363F" w:rsidRPr="00005BF7">
        <w:rPr>
          <w:i/>
          <w:iCs/>
        </w:rPr>
        <w:t>Good Practice Guidelines Regenerating Estates Rebuilding Vibrant Communities</w:t>
      </w:r>
      <w:r w:rsidR="0078363F" w:rsidRPr="00005BF7">
        <w:t xml:space="preserve"> (Centre for Housing Research, 2006).</w:t>
      </w:r>
    </w:p>
  </w:footnote>
  <w:footnote w:id="12">
    <w:p w14:paraId="7016108C" w14:textId="7E5474C4" w:rsidR="00975136" w:rsidRPr="00005BF7" w:rsidRDefault="00975136" w:rsidP="00784C53">
      <w:pPr>
        <w:pStyle w:val="FootnoteText"/>
      </w:pPr>
      <w:r w:rsidRPr="00005BF7">
        <w:rPr>
          <w:rStyle w:val="FootnoteReference"/>
        </w:rPr>
        <w:footnoteRef/>
      </w:r>
      <w:r w:rsidRPr="00005BF7">
        <w:t xml:space="preserve"> </w:t>
      </w:r>
      <w:r w:rsidR="0078363F" w:rsidRPr="00005BF7">
        <w:t xml:space="preserve">Dublin City Council, </w:t>
      </w:r>
      <w:r w:rsidR="0078363F" w:rsidRPr="00005BF7">
        <w:rPr>
          <w:i/>
          <w:iCs/>
        </w:rPr>
        <w:t xml:space="preserve">Dublin City Development Plan 2016 – 2022 </w:t>
      </w:r>
      <w:r w:rsidR="0078363F" w:rsidRPr="00005BF7">
        <w:t xml:space="preserve">(Dublin City Council, 2016), </w:t>
      </w:r>
      <w:r w:rsidRPr="00005BF7">
        <w:t>SN25 to SN 31</w:t>
      </w:r>
      <w:r w:rsidR="0078363F" w:rsidRPr="00005BF7">
        <w:t>.</w:t>
      </w:r>
    </w:p>
  </w:footnote>
  <w:footnote w:id="13">
    <w:p w14:paraId="10D43A68" w14:textId="66C13FE6" w:rsidR="00005BF7" w:rsidRPr="00C84561" w:rsidRDefault="00005BF7">
      <w:pPr>
        <w:pStyle w:val="FootnoteText"/>
        <w:rPr>
          <w:lang w:val="en-GB"/>
        </w:rPr>
      </w:pPr>
      <w:r>
        <w:rPr>
          <w:rStyle w:val="FootnoteReference"/>
        </w:rPr>
        <w:footnoteRef/>
      </w:r>
      <w:r>
        <w:t xml:space="preserve"> </w:t>
      </w:r>
      <w:r>
        <w:rPr>
          <w:lang w:val="en-GB"/>
        </w:rPr>
        <w:t xml:space="preserve">See P. Kenna, </w:t>
      </w:r>
      <w:r>
        <w:rPr>
          <w:i/>
          <w:iCs/>
          <w:lang w:val="en-GB"/>
        </w:rPr>
        <w:t xml:space="preserve">Housing Rights, Law and Policy </w:t>
      </w:r>
      <w:r>
        <w:rPr>
          <w:lang w:val="en-GB"/>
        </w:rPr>
        <w:t>(Clarus Press, 2011) 547-550.</w:t>
      </w:r>
    </w:p>
  </w:footnote>
  <w:footnote w:id="14">
    <w:p w14:paraId="4836AB0E" w14:textId="77777777" w:rsidR="008374EB" w:rsidRPr="00C84561" w:rsidRDefault="008374EB" w:rsidP="008374EB">
      <w:pPr>
        <w:pStyle w:val="FootnoteText"/>
        <w:rPr>
          <w:rFonts w:cstheme="minorHAnsi"/>
        </w:rPr>
      </w:pPr>
      <w:r w:rsidRPr="00C84561">
        <w:rPr>
          <w:rStyle w:val="FootnoteReference"/>
          <w:rFonts w:cstheme="minorHAnsi"/>
        </w:rPr>
        <w:footnoteRef/>
      </w:r>
      <w:r w:rsidRPr="00C84561">
        <w:rPr>
          <w:rFonts w:cstheme="minorHAnsi"/>
        </w:rPr>
        <w:t xml:space="preserve"> </w:t>
      </w:r>
      <w:bookmarkStart w:id="4" w:name="_Hlk31028549"/>
      <w:r w:rsidRPr="00C84561">
        <w:rPr>
          <w:rFonts w:cstheme="minorHAnsi"/>
          <w:iCs/>
        </w:rPr>
        <w:t>UN CESCR,</w:t>
      </w:r>
      <w:r w:rsidRPr="00C84561">
        <w:rPr>
          <w:rFonts w:cstheme="minorHAnsi"/>
          <w:i/>
          <w:iCs/>
        </w:rPr>
        <w:t xml:space="preserve"> General Comment No. 4: The Right to Adequate Housing (Art. 11 (1) of the Covenant)</w:t>
      </w:r>
      <w:r w:rsidRPr="00C84561">
        <w:rPr>
          <w:rFonts w:cstheme="minorHAnsi"/>
          <w:iCs/>
        </w:rPr>
        <w:t>, UN Doc. E/1992/23, 13 December 1991</w:t>
      </w:r>
      <w:bookmarkEnd w:id="4"/>
      <w:r w:rsidRPr="00C84561">
        <w:rPr>
          <w:rFonts w:cstheme="minorHAnsi"/>
          <w:iCs/>
        </w:rPr>
        <w:t xml:space="preserve">, </w:t>
      </w:r>
      <w:r w:rsidRPr="00C84561">
        <w:rPr>
          <w:rFonts w:cstheme="minorHAnsi"/>
        </w:rPr>
        <w:t xml:space="preserve">para 1; J. Hohmann, </w:t>
      </w:r>
      <w:r w:rsidRPr="00C84561">
        <w:rPr>
          <w:rFonts w:cstheme="minorHAnsi"/>
          <w:i/>
        </w:rPr>
        <w:t>The Right to Housing: Law, Concepts, Possibilities</w:t>
      </w:r>
      <w:r w:rsidRPr="00C84561">
        <w:rPr>
          <w:rFonts w:cstheme="minorHAnsi"/>
        </w:rPr>
        <w:t xml:space="preserve"> (Hart, 2013) 17-18.</w:t>
      </w:r>
    </w:p>
  </w:footnote>
  <w:footnote w:id="15">
    <w:p w14:paraId="15B21E01" w14:textId="77777777" w:rsidR="008374EB" w:rsidRPr="00C84561" w:rsidRDefault="008374EB" w:rsidP="008374EB">
      <w:pPr>
        <w:pStyle w:val="FootnoteText"/>
        <w:rPr>
          <w:rFonts w:cstheme="minorHAnsi"/>
        </w:rPr>
      </w:pPr>
      <w:r w:rsidRPr="00C84561">
        <w:rPr>
          <w:rStyle w:val="FootnoteReference"/>
          <w:rFonts w:cstheme="minorHAnsi"/>
        </w:rPr>
        <w:footnoteRef/>
      </w:r>
      <w:r w:rsidRPr="00C84561">
        <w:rPr>
          <w:rFonts w:cstheme="minorHAnsi"/>
        </w:rPr>
        <w:t xml:space="preserve"> </w:t>
      </w:r>
      <w:bookmarkStart w:id="5" w:name="_Hlk63169162"/>
      <w:r w:rsidRPr="00C84561">
        <w:rPr>
          <w:rFonts w:cstheme="minorHAnsi"/>
        </w:rPr>
        <w:t xml:space="preserve">J. Hohmann, The Right to Housing: Law, Concepts, Possibilities (Hart, 2013) </w:t>
      </w:r>
      <w:bookmarkEnd w:id="5"/>
      <w:r w:rsidRPr="00C84561">
        <w:rPr>
          <w:rFonts w:cstheme="minorHAnsi"/>
        </w:rPr>
        <w:t>21.</w:t>
      </w:r>
    </w:p>
  </w:footnote>
  <w:footnote w:id="16">
    <w:p w14:paraId="7A85CC43" w14:textId="77777777" w:rsidR="00DB768A" w:rsidRPr="00C84561" w:rsidRDefault="00DB768A" w:rsidP="00DB768A">
      <w:pPr>
        <w:pStyle w:val="FootnoteText"/>
        <w:rPr>
          <w:rFonts w:cstheme="minorHAnsi"/>
        </w:rPr>
      </w:pPr>
      <w:r w:rsidRPr="00C84561">
        <w:rPr>
          <w:rStyle w:val="FootnoteReference"/>
          <w:rFonts w:cstheme="minorHAnsi"/>
        </w:rPr>
        <w:footnoteRef/>
      </w:r>
      <w:r w:rsidRPr="00C84561">
        <w:rPr>
          <w:rFonts w:cstheme="minorHAnsi"/>
        </w:rPr>
        <w:t xml:space="preserve"> Article 2(1).</w:t>
      </w:r>
    </w:p>
  </w:footnote>
  <w:footnote w:id="17">
    <w:p w14:paraId="79FA1E5F" w14:textId="77777777" w:rsidR="00DB768A" w:rsidRPr="00C84561" w:rsidRDefault="00DB768A" w:rsidP="00DB768A">
      <w:pPr>
        <w:pStyle w:val="FootnoteText"/>
        <w:rPr>
          <w:rFonts w:cstheme="minorHAnsi"/>
          <w:highlight w:val="yellow"/>
        </w:rPr>
      </w:pPr>
      <w:r w:rsidRPr="00C84561">
        <w:rPr>
          <w:rStyle w:val="FootnoteReference"/>
          <w:rFonts w:cstheme="minorHAnsi"/>
        </w:rPr>
        <w:footnoteRef/>
      </w:r>
      <w:r w:rsidRPr="00C84561">
        <w:rPr>
          <w:rFonts w:cstheme="minorHAnsi"/>
        </w:rPr>
        <w:t xml:space="preserve"> </w:t>
      </w:r>
      <w:r w:rsidRPr="00C84561">
        <w:rPr>
          <w:rFonts w:cstheme="minorHAnsi"/>
          <w:iCs/>
        </w:rPr>
        <w:t>UN CESCR,</w:t>
      </w:r>
      <w:r w:rsidRPr="00C84561">
        <w:rPr>
          <w:rFonts w:cstheme="minorHAnsi"/>
          <w:i/>
          <w:iCs/>
        </w:rPr>
        <w:t xml:space="preserve"> General Comment No. 4: The Right to Adequate Housing (Art. 11 (1) of the Covenant)</w:t>
      </w:r>
      <w:r w:rsidRPr="00C84561">
        <w:rPr>
          <w:rFonts w:cstheme="minorHAnsi"/>
          <w:iCs/>
        </w:rPr>
        <w:t xml:space="preserve">, UN Doc. E/1992/23, 13 December 1991, </w:t>
      </w:r>
      <w:r w:rsidRPr="00C84561">
        <w:rPr>
          <w:rFonts w:cstheme="minorHAnsi"/>
        </w:rPr>
        <w:t xml:space="preserve">para 14. </w:t>
      </w:r>
    </w:p>
  </w:footnote>
  <w:footnote w:id="18">
    <w:p w14:paraId="76A0D4CB" w14:textId="77777777" w:rsidR="00950D1E" w:rsidRPr="00005BF7" w:rsidRDefault="00950D1E" w:rsidP="00950D1E">
      <w:pPr>
        <w:pStyle w:val="FootnoteText"/>
        <w:rPr>
          <w:rFonts w:cstheme="minorHAnsi"/>
        </w:rPr>
      </w:pPr>
      <w:r w:rsidRPr="00005BF7">
        <w:rPr>
          <w:rStyle w:val="FootnoteReference"/>
          <w:rFonts w:cstheme="minorHAnsi"/>
        </w:rPr>
        <w:footnoteRef/>
      </w:r>
      <w:r w:rsidRPr="00005BF7">
        <w:rPr>
          <w:rFonts w:cstheme="minorHAnsi"/>
        </w:rPr>
        <w:t xml:space="preserve"> The Report to the Ministers of the Council of Europe of 22 June 2017 on the Decision on the Merits of Collective Complaint </w:t>
      </w:r>
      <w:r w:rsidRPr="00005BF7">
        <w:rPr>
          <w:rFonts w:cstheme="minorHAnsi"/>
          <w:i/>
          <w:iCs/>
        </w:rPr>
        <w:t>International Human Rights Federation (FIDH) v. Ireland</w:t>
      </w:r>
      <w:r w:rsidRPr="00005BF7">
        <w:rPr>
          <w:rFonts w:cstheme="minorHAnsi"/>
        </w:rPr>
        <w:t xml:space="preserve">, Complaint No. 110/2014, para 105-106.  </w:t>
      </w:r>
    </w:p>
  </w:footnote>
  <w:footnote w:id="19">
    <w:p w14:paraId="13107259" w14:textId="77777777" w:rsidR="00950D1E" w:rsidRPr="00005BF7" w:rsidRDefault="00950D1E" w:rsidP="00950D1E">
      <w:pPr>
        <w:pStyle w:val="FootnoteText"/>
        <w:rPr>
          <w:rFonts w:cstheme="minorHAnsi"/>
        </w:rPr>
      </w:pPr>
      <w:r w:rsidRPr="00005BF7">
        <w:rPr>
          <w:rStyle w:val="FootnoteReference"/>
          <w:rFonts w:cstheme="minorHAnsi"/>
        </w:rPr>
        <w:footnoteRef/>
      </w:r>
      <w:r w:rsidRPr="00005BF7">
        <w:rPr>
          <w:rFonts w:cstheme="minorHAnsi"/>
        </w:rPr>
        <w:t xml:space="preserve"> </w:t>
      </w:r>
      <w:r w:rsidRPr="00005BF7">
        <w:rPr>
          <w:rFonts w:cstheme="minorHAnsi"/>
          <w:i/>
          <w:iCs/>
        </w:rPr>
        <w:t>FIDH v. Ireland</w:t>
      </w:r>
      <w:r w:rsidRPr="00005BF7">
        <w:rPr>
          <w:rFonts w:cstheme="minorHAnsi"/>
        </w:rPr>
        <w:t>, Complaint No. 110/2014, para 119.</w:t>
      </w:r>
    </w:p>
  </w:footnote>
  <w:footnote w:id="20">
    <w:p w14:paraId="023B6C47" w14:textId="77777777" w:rsidR="00FC04E2" w:rsidRPr="00005BF7" w:rsidRDefault="00FC04E2" w:rsidP="00784C53">
      <w:pPr>
        <w:pStyle w:val="FootnoteText"/>
        <w:rPr>
          <w:rFonts w:cstheme="minorHAnsi"/>
        </w:rPr>
      </w:pPr>
      <w:r w:rsidRPr="00005BF7">
        <w:rPr>
          <w:rStyle w:val="FootnoteReference"/>
          <w:rFonts w:cstheme="minorHAnsi"/>
        </w:rPr>
        <w:footnoteRef/>
      </w:r>
      <w:r w:rsidRPr="00005BF7">
        <w:rPr>
          <w:rFonts w:cstheme="minorHAnsi"/>
        </w:rPr>
        <w:t xml:space="preserve"> </w:t>
      </w:r>
      <w:r w:rsidRPr="00005BF7">
        <w:rPr>
          <w:rFonts w:cstheme="minorHAnsi"/>
          <w:i/>
          <w:iCs/>
        </w:rPr>
        <w:t>Autisme Europe v. France</w:t>
      </w:r>
      <w:r w:rsidRPr="00005BF7">
        <w:rPr>
          <w:rFonts w:cstheme="minorHAnsi"/>
        </w:rPr>
        <w:t>, Complaint No. 13/2002, decision on the merits of 4 November 2003, para 53.</w:t>
      </w:r>
    </w:p>
  </w:footnote>
  <w:footnote w:id="21">
    <w:p w14:paraId="3CB59465" w14:textId="77777777" w:rsidR="00FC04E2" w:rsidRPr="00005BF7" w:rsidRDefault="00FC04E2" w:rsidP="00784C53">
      <w:pPr>
        <w:pStyle w:val="FootnoteText"/>
        <w:rPr>
          <w:rFonts w:cstheme="minorHAnsi"/>
        </w:rPr>
      </w:pPr>
      <w:r w:rsidRPr="00005BF7">
        <w:rPr>
          <w:rStyle w:val="FootnoteReference"/>
          <w:rFonts w:cstheme="minorHAnsi"/>
        </w:rPr>
        <w:footnoteRef/>
      </w:r>
      <w:r w:rsidRPr="00005BF7">
        <w:rPr>
          <w:rFonts w:cstheme="minorHAnsi"/>
        </w:rPr>
        <w:t xml:space="preserve"> </w:t>
      </w:r>
      <w:r w:rsidRPr="00005BF7">
        <w:rPr>
          <w:rFonts w:cstheme="minorHAnsi"/>
          <w:i/>
          <w:iCs/>
        </w:rPr>
        <w:t>FEANTSA v. France</w:t>
      </w:r>
      <w:r w:rsidRPr="00005BF7">
        <w:rPr>
          <w:rFonts w:cstheme="minorHAnsi"/>
        </w:rPr>
        <w:t>, Complaint No. 39/2006, para 56.</w:t>
      </w:r>
    </w:p>
  </w:footnote>
  <w:footnote w:id="22">
    <w:p w14:paraId="6B678EF3" w14:textId="540A7D8D" w:rsidR="00585010" w:rsidRPr="00005BF7" w:rsidRDefault="00585010" w:rsidP="00784C53">
      <w:pPr>
        <w:pStyle w:val="FootnoteText"/>
        <w:rPr>
          <w:lang w:val="en-GB"/>
        </w:rPr>
      </w:pPr>
      <w:r w:rsidRPr="00005BF7">
        <w:rPr>
          <w:rStyle w:val="FootnoteReference"/>
        </w:rPr>
        <w:footnoteRef/>
      </w:r>
      <w:r w:rsidRPr="00005BF7">
        <w:t xml:space="preserve"> </w:t>
      </w:r>
      <w:r w:rsidR="0078363F" w:rsidRPr="00005BF7">
        <w:rPr>
          <w:lang w:val="en-GB"/>
        </w:rPr>
        <w:t xml:space="preserve">UN Committee on Economic, Social and Cultural Rights (CESCR), </w:t>
      </w:r>
      <w:r w:rsidR="0078363F" w:rsidRPr="00005BF7">
        <w:rPr>
          <w:i/>
          <w:iCs/>
          <w:lang w:val="en-GB"/>
        </w:rPr>
        <w:t>General Comment No. 4: The Right to Adequate Housing (Art. 11 (1) of the Covenant</w:t>
      </w:r>
      <w:r w:rsidR="0078363F" w:rsidRPr="00005BF7">
        <w:rPr>
          <w:lang w:val="en-GB"/>
        </w:rPr>
        <w:t>), 13 December 1991, E/1992/23.</w:t>
      </w:r>
    </w:p>
  </w:footnote>
  <w:footnote w:id="23">
    <w:p w14:paraId="3DD0FF28" w14:textId="37ACDEDB" w:rsidR="00005BF7" w:rsidRPr="00C84561" w:rsidRDefault="00005BF7">
      <w:pPr>
        <w:pStyle w:val="FootnoteText"/>
        <w:rPr>
          <w:lang w:val="en-GB"/>
        </w:rPr>
      </w:pPr>
      <w:r>
        <w:rPr>
          <w:rStyle w:val="FootnoteReference"/>
        </w:rPr>
        <w:footnoteRef/>
      </w:r>
      <w:r>
        <w:t xml:space="preserve"> </w:t>
      </w:r>
      <w:r w:rsidR="0094255B">
        <w:t xml:space="preserve">See </w:t>
      </w:r>
      <w:r>
        <w:rPr>
          <w:lang w:val="en-GB"/>
        </w:rPr>
        <w:t xml:space="preserve">UN Economic Commission for Europe, </w:t>
      </w:r>
      <w:r w:rsidRPr="00C84561">
        <w:rPr>
          <w:i/>
          <w:iCs/>
          <w:lang w:val="en-GB"/>
        </w:rPr>
        <w:t>#Housing2030 Effective policies for affordable housing in the UNECE region</w:t>
      </w:r>
      <w:r>
        <w:rPr>
          <w:i/>
          <w:iCs/>
          <w:lang w:val="en-GB"/>
        </w:rPr>
        <w:t xml:space="preserve"> </w:t>
      </w:r>
      <w:r>
        <w:rPr>
          <w:lang w:val="en-GB"/>
        </w:rPr>
        <w:t>(UN</w:t>
      </w:r>
      <w:r w:rsidR="0094255B">
        <w:rPr>
          <w:lang w:val="en-GB"/>
        </w:rPr>
        <w:t>, 2021).</w:t>
      </w:r>
    </w:p>
  </w:footnote>
  <w:footnote w:id="24">
    <w:p w14:paraId="7EE3DE4F" w14:textId="415A1E98" w:rsidR="00585010" w:rsidRPr="00005BF7" w:rsidRDefault="00585010" w:rsidP="00784C53">
      <w:pPr>
        <w:pStyle w:val="FootnoteText"/>
        <w:rPr>
          <w:lang w:val="en-GB"/>
        </w:rPr>
      </w:pPr>
      <w:r w:rsidRPr="00005BF7">
        <w:rPr>
          <w:rStyle w:val="FootnoteReference"/>
        </w:rPr>
        <w:footnoteRef/>
      </w:r>
      <w:r w:rsidRPr="00005BF7">
        <w:t xml:space="preserve"> </w:t>
      </w:r>
      <w:r w:rsidR="0078363F" w:rsidRPr="00005BF7">
        <w:rPr>
          <w:lang w:val="en-GB"/>
        </w:rPr>
        <w:t>United Nations (2015) Resolution adopted by the General Assembly on 25 September 2015, Transforming our world: the 2030 Agenda for Sustainable Development (A/RES/70</w:t>
      </w:r>
      <w:r w:rsidR="007B6890" w:rsidRPr="00005BF7">
        <w:rPr>
          <w:lang w:val="en-GB"/>
        </w:rPr>
        <w:t xml:space="preserve">). </w:t>
      </w:r>
    </w:p>
  </w:footnote>
  <w:footnote w:id="25">
    <w:p w14:paraId="4B23171F" w14:textId="4364439D" w:rsidR="006F2368" w:rsidRPr="00005BF7" w:rsidRDefault="006F2368" w:rsidP="00784C53">
      <w:pPr>
        <w:pStyle w:val="FootnoteText"/>
      </w:pPr>
      <w:r w:rsidRPr="00005BF7">
        <w:rPr>
          <w:rStyle w:val="FootnoteReference"/>
        </w:rPr>
        <w:footnoteRef/>
      </w:r>
      <w:r w:rsidRPr="00005BF7">
        <w:t xml:space="preserve"> </w:t>
      </w:r>
      <w:r w:rsidR="007B6890" w:rsidRPr="00005BF7">
        <w:t xml:space="preserve">M. Ussar, </w:t>
      </w:r>
      <w:r w:rsidR="007B6890" w:rsidRPr="00005BF7">
        <w:rPr>
          <w:i/>
          <w:iCs/>
        </w:rPr>
        <w:t>The Human Rights-based Approach: A More Effective Framework for International Development Policies in New EU Member States</w:t>
      </w:r>
      <w:r w:rsidR="007B6890" w:rsidRPr="00005BF7">
        <w:t xml:space="preserve"> (Minority Rights Group International, 2011) 7.</w:t>
      </w:r>
    </w:p>
  </w:footnote>
  <w:footnote w:id="26">
    <w:p w14:paraId="37D59732" w14:textId="77777777" w:rsidR="009E2AB3" w:rsidRPr="00005BF7" w:rsidRDefault="009E2AB3" w:rsidP="00784C53">
      <w:pPr>
        <w:pStyle w:val="FootnoteText"/>
      </w:pPr>
      <w:r w:rsidRPr="00005BF7">
        <w:rPr>
          <w:rStyle w:val="FootnoteReference"/>
        </w:rPr>
        <w:footnoteRef/>
      </w:r>
      <w:r w:rsidRPr="00005BF7">
        <w:t xml:space="preserve"> </w:t>
      </w:r>
      <w:r w:rsidRPr="00005BF7">
        <w:rPr>
          <w:rFonts w:cstheme="minorHAnsi"/>
        </w:rPr>
        <w:t xml:space="preserve">This table is adapted from the </w:t>
      </w:r>
      <w:r w:rsidRPr="00005BF7">
        <w:rPr>
          <w:rFonts w:cstheme="minorHAnsi"/>
          <w:lang w:val="en"/>
        </w:rPr>
        <w:t>Scottish</w:t>
      </w:r>
      <w:r w:rsidRPr="00005BF7">
        <w:rPr>
          <w:rFonts w:cstheme="minorHAnsi"/>
        </w:rPr>
        <w:t xml:space="preserve"> Human Rights Commission review of the Scottish Social Housing Charter (2016) as developed in the literature review on which this framing document is based.</w:t>
      </w:r>
    </w:p>
  </w:footnote>
  <w:footnote w:id="27">
    <w:p w14:paraId="3191537F" w14:textId="77777777" w:rsidR="00E55075" w:rsidRPr="00005BF7" w:rsidRDefault="00E55075" w:rsidP="00784C53">
      <w:pPr>
        <w:pStyle w:val="FootnoteText"/>
        <w:rPr>
          <w:rFonts w:cstheme="minorHAnsi"/>
        </w:rPr>
      </w:pPr>
      <w:r w:rsidRPr="00005BF7">
        <w:rPr>
          <w:rStyle w:val="FootnoteReference"/>
          <w:rFonts w:cstheme="minorHAnsi"/>
        </w:rPr>
        <w:footnoteRef/>
      </w:r>
      <w:r w:rsidRPr="00005BF7">
        <w:rPr>
          <w:rFonts w:cstheme="minorHAnsi"/>
        </w:rPr>
        <w:t xml:space="preserve"> The Report to the Ministers of the Council of Europe of 22 June 2017 on the Decision on the Merits of Collective Complaint </w:t>
      </w:r>
      <w:r w:rsidRPr="00005BF7">
        <w:rPr>
          <w:rFonts w:cstheme="minorHAnsi"/>
          <w:i/>
          <w:iCs/>
        </w:rPr>
        <w:t>International Human Rights Federation (FIDH) v. Ireland</w:t>
      </w:r>
      <w:r w:rsidRPr="00005BF7">
        <w:rPr>
          <w:rFonts w:cstheme="minorHAnsi"/>
        </w:rPr>
        <w:t xml:space="preserve">, Complaint No. 110/2014, para 105-106.  </w:t>
      </w:r>
    </w:p>
  </w:footnote>
  <w:footnote w:id="28">
    <w:p w14:paraId="2F3CFBDD" w14:textId="77777777" w:rsidR="00E55075" w:rsidRPr="00005BF7" w:rsidRDefault="00E55075" w:rsidP="00784C53">
      <w:pPr>
        <w:pStyle w:val="FootnoteText"/>
        <w:rPr>
          <w:rFonts w:cstheme="minorHAnsi"/>
        </w:rPr>
      </w:pPr>
      <w:r w:rsidRPr="00005BF7">
        <w:rPr>
          <w:rStyle w:val="FootnoteReference"/>
          <w:rFonts w:cstheme="minorHAnsi"/>
        </w:rPr>
        <w:footnoteRef/>
      </w:r>
      <w:r w:rsidRPr="00005BF7">
        <w:rPr>
          <w:rFonts w:cstheme="minorHAnsi"/>
        </w:rPr>
        <w:t xml:space="preserve"> </w:t>
      </w:r>
      <w:r w:rsidRPr="00005BF7">
        <w:rPr>
          <w:rFonts w:cstheme="minorHAnsi"/>
          <w:i/>
          <w:iCs/>
        </w:rPr>
        <w:t>FIDH v. Ireland</w:t>
      </w:r>
      <w:r w:rsidRPr="00005BF7">
        <w:rPr>
          <w:rFonts w:cstheme="minorHAnsi"/>
        </w:rPr>
        <w:t>, Complaint No. 110/2014, para 119.</w:t>
      </w:r>
    </w:p>
  </w:footnote>
  <w:footnote w:id="29">
    <w:p w14:paraId="32D24488" w14:textId="0C82B6FC" w:rsidR="004A0900" w:rsidRPr="00C84561" w:rsidRDefault="004A0900">
      <w:pPr>
        <w:pStyle w:val="FootnoteText"/>
        <w:rPr>
          <w:lang w:val="en-GB"/>
        </w:rPr>
      </w:pPr>
      <w:r>
        <w:rPr>
          <w:rStyle w:val="FootnoteReference"/>
        </w:rPr>
        <w:footnoteRef/>
      </w:r>
      <w:r>
        <w:t xml:space="preserve"> </w:t>
      </w:r>
      <w:r>
        <w:rPr>
          <w:lang w:val="en-GB"/>
        </w:rPr>
        <w:t>Of course, there is no standard local authority housing estate but this example has been developed to illustrate a real challenge that can affect many regeneration projects.</w:t>
      </w:r>
    </w:p>
  </w:footnote>
  <w:footnote w:id="30">
    <w:p w14:paraId="0B9C9F41" w14:textId="3F24AC71" w:rsidR="00B833D8" w:rsidRPr="00C84561" w:rsidRDefault="00B833D8">
      <w:pPr>
        <w:pStyle w:val="FootnoteText"/>
        <w:rPr>
          <w:lang w:val="en-GB"/>
        </w:rPr>
      </w:pPr>
      <w:r w:rsidRPr="00005BF7">
        <w:rPr>
          <w:rStyle w:val="FootnoteReference"/>
        </w:rPr>
        <w:footnoteRef/>
      </w:r>
      <w:r w:rsidRPr="00005BF7">
        <w:t xml:space="preserve"> </w:t>
      </w:r>
      <w:r w:rsidRPr="00005BF7">
        <w:rPr>
          <w:i/>
          <w:iCs/>
          <w:color w:val="000000"/>
          <w:shd w:val="clear" w:color="auto" w:fill="FFFFFF"/>
        </w:rPr>
        <w:t>European Federation of National Organisations Working with the Homeless (FEANTSA) v. France</w:t>
      </w:r>
      <w:r w:rsidRPr="00005BF7">
        <w:rPr>
          <w:color w:val="000000"/>
          <w:shd w:val="clear" w:color="auto" w:fill="FFFFFF"/>
        </w:rPr>
        <w:t>, Complaint No. 39/2006, paras 53-5</w:t>
      </w:r>
      <w:r w:rsidRPr="0094255B">
        <w:rPr>
          <w:color w:val="000000"/>
          <w:shd w:val="clear" w:color="auto" w:fill="FFFFFF"/>
        </w:rPr>
        <w:t>6</w:t>
      </w:r>
      <w:r w:rsidRPr="004A0900">
        <w:rPr>
          <w:color w:val="000000"/>
          <w:shd w:val="clear" w:color="auto" w:fill="FFFFFF"/>
        </w:rPr>
        <w:t>.</w:t>
      </w:r>
      <w:r w:rsidRPr="004A0900">
        <w:t> </w:t>
      </w:r>
    </w:p>
  </w:footnote>
  <w:footnote w:id="31">
    <w:p w14:paraId="6A59CD66" w14:textId="21F95BD4" w:rsidR="00792491" w:rsidRPr="00005BF7" w:rsidRDefault="00792491" w:rsidP="00784C53">
      <w:pPr>
        <w:pStyle w:val="FootnoteText"/>
        <w:rPr>
          <w:lang w:val="en-GB"/>
        </w:rPr>
      </w:pPr>
      <w:r w:rsidRPr="00005BF7">
        <w:rPr>
          <w:rStyle w:val="FootnoteReference"/>
        </w:rPr>
        <w:footnoteRef/>
      </w:r>
      <w:r w:rsidRPr="00005BF7">
        <w:t xml:space="preserve"> UN Economic Commission for Europe,  #</w:t>
      </w:r>
      <w:r w:rsidRPr="00005BF7">
        <w:rPr>
          <w:lang w:val="en-GB"/>
        </w:rPr>
        <w:t>Housing2030 (UN, 2021) 109.</w:t>
      </w:r>
    </w:p>
  </w:footnote>
  <w:footnote w:id="32">
    <w:p w14:paraId="76329786" w14:textId="5F8C2C6C" w:rsidR="00784C53" w:rsidRPr="00005BF7" w:rsidRDefault="00784C53">
      <w:pPr>
        <w:pStyle w:val="FootnoteText"/>
        <w:rPr>
          <w:lang w:val="en-GB"/>
        </w:rPr>
      </w:pPr>
      <w:r w:rsidRPr="00005BF7">
        <w:rPr>
          <w:rStyle w:val="FootnoteReference"/>
        </w:rPr>
        <w:footnoteRef/>
      </w:r>
      <w:r w:rsidRPr="00005BF7">
        <w:t xml:space="preserve"> </w:t>
      </w:r>
      <w:r w:rsidRPr="00005BF7">
        <w:rPr>
          <w:i/>
          <w:iCs/>
        </w:rPr>
        <w:t>FIDH v. Ireland</w:t>
      </w:r>
      <w:r w:rsidRPr="00005BF7">
        <w:t>, Complaint No. 110/2014, para 119.</w:t>
      </w:r>
    </w:p>
  </w:footnote>
  <w:footnote w:id="33">
    <w:p w14:paraId="3B6E4A78" w14:textId="708504C3" w:rsidR="007E05FA" w:rsidRPr="004A0900" w:rsidRDefault="007E05FA" w:rsidP="00784C53">
      <w:pPr>
        <w:pStyle w:val="FootnoteText"/>
      </w:pPr>
      <w:r w:rsidRPr="00005BF7">
        <w:rPr>
          <w:rStyle w:val="FootnoteReference"/>
        </w:rPr>
        <w:footnoteRef/>
      </w:r>
      <w:r w:rsidRPr="00005BF7">
        <w:t xml:space="preserve"> </w:t>
      </w:r>
      <w:r w:rsidR="00347607" w:rsidRPr="00005BF7">
        <w:rPr>
          <w:lang w:val="en-GB"/>
        </w:rPr>
        <w:t xml:space="preserve">United Nations (2015) Resolution adopted by the General Assembly on 25 September 2015, Transforming our world: the 2030 Agenda for Sustainable Development (A/RES/70); </w:t>
      </w:r>
      <w:r w:rsidR="00347607" w:rsidRPr="00005BF7">
        <w:t xml:space="preserve">UN Habitat, The New Urban Agenda (United Nations,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C89"/>
    <w:multiLevelType w:val="hybridMultilevel"/>
    <w:tmpl w:val="7CB0CF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1B7EFA"/>
    <w:multiLevelType w:val="hybridMultilevel"/>
    <w:tmpl w:val="1CD80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E5D60"/>
    <w:multiLevelType w:val="hybridMultilevel"/>
    <w:tmpl w:val="FD9AB1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B03D2"/>
    <w:multiLevelType w:val="hybridMultilevel"/>
    <w:tmpl w:val="76FC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E2A56"/>
    <w:multiLevelType w:val="hybridMultilevel"/>
    <w:tmpl w:val="C6C4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3777B"/>
    <w:multiLevelType w:val="hybridMultilevel"/>
    <w:tmpl w:val="015A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43EE7"/>
    <w:multiLevelType w:val="hybridMultilevel"/>
    <w:tmpl w:val="D73E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4685B"/>
    <w:multiLevelType w:val="hybridMultilevel"/>
    <w:tmpl w:val="62D4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4E"/>
    <w:rsid w:val="00005BF7"/>
    <w:rsid w:val="00013544"/>
    <w:rsid w:val="00013DBA"/>
    <w:rsid w:val="00024726"/>
    <w:rsid w:val="000252AF"/>
    <w:rsid w:val="00035B4E"/>
    <w:rsid w:val="00053D6E"/>
    <w:rsid w:val="0006317D"/>
    <w:rsid w:val="000736F5"/>
    <w:rsid w:val="000754A8"/>
    <w:rsid w:val="00085B82"/>
    <w:rsid w:val="000B3768"/>
    <w:rsid w:val="000C6147"/>
    <w:rsid w:val="000D2715"/>
    <w:rsid w:val="000D507B"/>
    <w:rsid w:val="000D709F"/>
    <w:rsid w:val="000E5CA5"/>
    <w:rsid w:val="000F0A35"/>
    <w:rsid w:val="00101766"/>
    <w:rsid w:val="00112CE4"/>
    <w:rsid w:val="0011483E"/>
    <w:rsid w:val="00120CD2"/>
    <w:rsid w:val="00137774"/>
    <w:rsid w:val="00145228"/>
    <w:rsid w:val="001510D0"/>
    <w:rsid w:val="00162D35"/>
    <w:rsid w:val="00171F2A"/>
    <w:rsid w:val="00180489"/>
    <w:rsid w:val="00194236"/>
    <w:rsid w:val="001B38DB"/>
    <w:rsid w:val="001D3D0A"/>
    <w:rsid w:val="001E047D"/>
    <w:rsid w:val="00200905"/>
    <w:rsid w:val="00210583"/>
    <w:rsid w:val="00213DC8"/>
    <w:rsid w:val="002174F5"/>
    <w:rsid w:val="00233D36"/>
    <w:rsid w:val="0024312F"/>
    <w:rsid w:val="00252568"/>
    <w:rsid w:val="00261BA7"/>
    <w:rsid w:val="002A455B"/>
    <w:rsid w:val="002B0447"/>
    <w:rsid w:val="002D7811"/>
    <w:rsid w:val="002F0553"/>
    <w:rsid w:val="00322743"/>
    <w:rsid w:val="00347607"/>
    <w:rsid w:val="00351AB8"/>
    <w:rsid w:val="00353953"/>
    <w:rsid w:val="003728D6"/>
    <w:rsid w:val="00390825"/>
    <w:rsid w:val="003D1E42"/>
    <w:rsid w:val="003D7CA4"/>
    <w:rsid w:val="00404452"/>
    <w:rsid w:val="00426EDA"/>
    <w:rsid w:val="0042708D"/>
    <w:rsid w:val="004312AB"/>
    <w:rsid w:val="004375EE"/>
    <w:rsid w:val="00456350"/>
    <w:rsid w:val="00472C72"/>
    <w:rsid w:val="004A0900"/>
    <w:rsid w:val="004A28B5"/>
    <w:rsid w:val="004B3ACB"/>
    <w:rsid w:val="004D28E5"/>
    <w:rsid w:val="004F625A"/>
    <w:rsid w:val="00521CC4"/>
    <w:rsid w:val="005462A6"/>
    <w:rsid w:val="00571F16"/>
    <w:rsid w:val="00572586"/>
    <w:rsid w:val="00576F7D"/>
    <w:rsid w:val="00585010"/>
    <w:rsid w:val="0058677A"/>
    <w:rsid w:val="00595D4B"/>
    <w:rsid w:val="005B38F8"/>
    <w:rsid w:val="005D0E0D"/>
    <w:rsid w:val="005E1809"/>
    <w:rsid w:val="005E5681"/>
    <w:rsid w:val="005F1BE9"/>
    <w:rsid w:val="00613DF6"/>
    <w:rsid w:val="00622286"/>
    <w:rsid w:val="006454C4"/>
    <w:rsid w:val="00655622"/>
    <w:rsid w:val="00662AD0"/>
    <w:rsid w:val="00665404"/>
    <w:rsid w:val="006772DC"/>
    <w:rsid w:val="00681F67"/>
    <w:rsid w:val="006A1748"/>
    <w:rsid w:val="006A2C94"/>
    <w:rsid w:val="006C434A"/>
    <w:rsid w:val="006E2630"/>
    <w:rsid w:val="006F2368"/>
    <w:rsid w:val="0070685F"/>
    <w:rsid w:val="007364FA"/>
    <w:rsid w:val="00741354"/>
    <w:rsid w:val="00743B30"/>
    <w:rsid w:val="00763E7D"/>
    <w:rsid w:val="0078363F"/>
    <w:rsid w:val="00784C53"/>
    <w:rsid w:val="00792491"/>
    <w:rsid w:val="007B6890"/>
    <w:rsid w:val="007C6BB8"/>
    <w:rsid w:val="007E05FA"/>
    <w:rsid w:val="007E4C39"/>
    <w:rsid w:val="007F21B2"/>
    <w:rsid w:val="007F467A"/>
    <w:rsid w:val="00800DF7"/>
    <w:rsid w:val="00803CDA"/>
    <w:rsid w:val="00803DBF"/>
    <w:rsid w:val="00820D54"/>
    <w:rsid w:val="00820F8C"/>
    <w:rsid w:val="00836EA1"/>
    <w:rsid w:val="008374EB"/>
    <w:rsid w:val="00843FB6"/>
    <w:rsid w:val="00845924"/>
    <w:rsid w:val="00851397"/>
    <w:rsid w:val="008723E2"/>
    <w:rsid w:val="008859AD"/>
    <w:rsid w:val="009029A5"/>
    <w:rsid w:val="0094255B"/>
    <w:rsid w:val="00950D1E"/>
    <w:rsid w:val="00972C9B"/>
    <w:rsid w:val="00975136"/>
    <w:rsid w:val="00976908"/>
    <w:rsid w:val="009A00D9"/>
    <w:rsid w:val="009A0D2E"/>
    <w:rsid w:val="009A49DD"/>
    <w:rsid w:val="009B0544"/>
    <w:rsid w:val="009B4F39"/>
    <w:rsid w:val="009E0ABE"/>
    <w:rsid w:val="009E2AB3"/>
    <w:rsid w:val="009E3E04"/>
    <w:rsid w:val="009F03F9"/>
    <w:rsid w:val="00A14D47"/>
    <w:rsid w:val="00A47FE4"/>
    <w:rsid w:val="00A60C1B"/>
    <w:rsid w:val="00A63161"/>
    <w:rsid w:val="00A7643D"/>
    <w:rsid w:val="00A811B1"/>
    <w:rsid w:val="00AA3D0A"/>
    <w:rsid w:val="00AA77CD"/>
    <w:rsid w:val="00AB2375"/>
    <w:rsid w:val="00AD777E"/>
    <w:rsid w:val="00AD7955"/>
    <w:rsid w:val="00AF46BB"/>
    <w:rsid w:val="00AF64F5"/>
    <w:rsid w:val="00AF6C41"/>
    <w:rsid w:val="00B07AD4"/>
    <w:rsid w:val="00B10A32"/>
    <w:rsid w:val="00B17230"/>
    <w:rsid w:val="00B20217"/>
    <w:rsid w:val="00B34EF9"/>
    <w:rsid w:val="00B42C0E"/>
    <w:rsid w:val="00B452BB"/>
    <w:rsid w:val="00B463DF"/>
    <w:rsid w:val="00B54FCF"/>
    <w:rsid w:val="00B56CB6"/>
    <w:rsid w:val="00B647E4"/>
    <w:rsid w:val="00B833D8"/>
    <w:rsid w:val="00BB6F31"/>
    <w:rsid w:val="00BC5794"/>
    <w:rsid w:val="00C02CB2"/>
    <w:rsid w:val="00C134E8"/>
    <w:rsid w:val="00C139FB"/>
    <w:rsid w:val="00C226B5"/>
    <w:rsid w:val="00C249D6"/>
    <w:rsid w:val="00C55404"/>
    <w:rsid w:val="00C579BC"/>
    <w:rsid w:val="00C62C73"/>
    <w:rsid w:val="00C65202"/>
    <w:rsid w:val="00C84561"/>
    <w:rsid w:val="00C86162"/>
    <w:rsid w:val="00C94733"/>
    <w:rsid w:val="00CD6F6E"/>
    <w:rsid w:val="00CF6196"/>
    <w:rsid w:val="00D536B9"/>
    <w:rsid w:val="00D64219"/>
    <w:rsid w:val="00D72B05"/>
    <w:rsid w:val="00D86BD4"/>
    <w:rsid w:val="00D904BC"/>
    <w:rsid w:val="00D91624"/>
    <w:rsid w:val="00DA4E02"/>
    <w:rsid w:val="00DA5AA8"/>
    <w:rsid w:val="00DB2F6D"/>
    <w:rsid w:val="00DB768A"/>
    <w:rsid w:val="00DB7756"/>
    <w:rsid w:val="00DD3556"/>
    <w:rsid w:val="00DF03C5"/>
    <w:rsid w:val="00DF38C8"/>
    <w:rsid w:val="00DF591D"/>
    <w:rsid w:val="00E0320B"/>
    <w:rsid w:val="00E06981"/>
    <w:rsid w:val="00E132FC"/>
    <w:rsid w:val="00E14B24"/>
    <w:rsid w:val="00E157F9"/>
    <w:rsid w:val="00E35006"/>
    <w:rsid w:val="00E424A0"/>
    <w:rsid w:val="00E52E56"/>
    <w:rsid w:val="00E55075"/>
    <w:rsid w:val="00E55B57"/>
    <w:rsid w:val="00E6377C"/>
    <w:rsid w:val="00E63FF7"/>
    <w:rsid w:val="00E641BB"/>
    <w:rsid w:val="00E70910"/>
    <w:rsid w:val="00E86B2B"/>
    <w:rsid w:val="00EA4D72"/>
    <w:rsid w:val="00ED1303"/>
    <w:rsid w:val="00F017D0"/>
    <w:rsid w:val="00F01E9F"/>
    <w:rsid w:val="00F04C4E"/>
    <w:rsid w:val="00F4112C"/>
    <w:rsid w:val="00F71BE6"/>
    <w:rsid w:val="00F92607"/>
    <w:rsid w:val="00FB680A"/>
    <w:rsid w:val="00FC04E2"/>
    <w:rsid w:val="00FC7AC7"/>
    <w:rsid w:val="00FD0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631B8"/>
  <w15:chartTrackingRefBased/>
  <w15:docId w15:val="{741A69BB-FBF5-469E-BFFA-D9BAFACE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B4E"/>
    <w:rPr>
      <w:lang w:val="en-IE"/>
    </w:rPr>
  </w:style>
  <w:style w:type="paragraph" w:styleId="Heading3">
    <w:name w:val="heading 3"/>
    <w:basedOn w:val="Normal"/>
    <w:next w:val="Normal"/>
    <w:link w:val="Heading3Char"/>
    <w:uiPriority w:val="9"/>
    <w:semiHidden/>
    <w:unhideWhenUsed/>
    <w:qFormat/>
    <w:rsid w:val="007B68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B4E"/>
    <w:pPr>
      <w:ind w:left="720"/>
      <w:contextualSpacing/>
    </w:pPr>
  </w:style>
  <w:style w:type="paragraph" w:styleId="FootnoteText">
    <w:name w:val="footnote text"/>
    <w:aliases w:val="Schriftart: 9 pt,Schriftart: 10 pt,Schriftart: 8 pt,WB-Fußnotentext,fn,Footnotes,Footnote ak,FoodNote,ft,Footnote text,Footnote,Footnote Text Char Char,Footnote Text Char1 Char Char,o"/>
    <w:basedOn w:val="Normal"/>
    <w:link w:val="FootnoteTextChar"/>
    <w:uiPriority w:val="99"/>
    <w:unhideWhenUsed/>
    <w:rsid w:val="0024312F"/>
    <w:pPr>
      <w:spacing w:after="0" w:line="240" w:lineRule="auto"/>
    </w:pPr>
    <w:rPr>
      <w:sz w:val="20"/>
      <w:szCs w:val="20"/>
    </w:rPr>
  </w:style>
  <w:style w:type="character" w:customStyle="1" w:styleId="FootnoteTextChar">
    <w:name w:val="Footnote Text Char"/>
    <w:aliases w:val="Schriftart: 9 pt Char,Schriftart: 10 pt Char,Schriftart: 8 pt Char,WB-Fußnotentext Char,fn Char,Footnotes Char,Footnote ak Char,FoodNote Char,ft Char,Footnote text Char,Footnote Char,Footnote Text Char Char Char,o Char"/>
    <w:basedOn w:val="DefaultParagraphFont"/>
    <w:link w:val="FootnoteText"/>
    <w:uiPriority w:val="99"/>
    <w:rsid w:val="0024312F"/>
    <w:rPr>
      <w:sz w:val="20"/>
      <w:szCs w:val="20"/>
      <w:lang w:val="en-IE"/>
    </w:rPr>
  </w:style>
  <w:style w:type="character" w:styleId="FootnoteReference">
    <w:name w:val="footnote reference"/>
    <w:aliases w:val="Footnotes refss Char,Appel note de bas de p. Char,*Footnote Reference Char,Footnote Refernece Char1,Car Char Car Char Car Char Char Char Char Char Char Char Char Char,Footnote Refernece Char Char1 Char,Footnote symbol,11 pt"/>
    <w:basedOn w:val="DefaultParagraphFont"/>
    <w:uiPriority w:val="99"/>
    <w:unhideWhenUsed/>
    <w:rsid w:val="0024312F"/>
    <w:rPr>
      <w:vertAlign w:val="superscript"/>
    </w:rPr>
  </w:style>
  <w:style w:type="character" w:styleId="Hyperlink">
    <w:name w:val="Hyperlink"/>
    <w:basedOn w:val="DefaultParagraphFont"/>
    <w:uiPriority w:val="99"/>
    <w:unhideWhenUsed/>
    <w:rsid w:val="004375EE"/>
    <w:rPr>
      <w:color w:val="0563C1" w:themeColor="hyperlink"/>
      <w:u w:val="single"/>
    </w:rPr>
  </w:style>
  <w:style w:type="character" w:styleId="UnresolvedMention">
    <w:name w:val="Unresolved Mention"/>
    <w:basedOn w:val="DefaultParagraphFont"/>
    <w:uiPriority w:val="99"/>
    <w:semiHidden/>
    <w:unhideWhenUsed/>
    <w:rsid w:val="004375EE"/>
    <w:rPr>
      <w:color w:val="605E5C"/>
      <w:shd w:val="clear" w:color="auto" w:fill="E1DFDD"/>
    </w:rPr>
  </w:style>
  <w:style w:type="table" w:styleId="TableGrid">
    <w:name w:val="Table Grid"/>
    <w:basedOn w:val="TableNormal"/>
    <w:uiPriority w:val="39"/>
    <w:rsid w:val="009E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C72"/>
    <w:rPr>
      <w:lang w:val="en-IE"/>
    </w:rPr>
  </w:style>
  <w:style w:type="paragraph" w:styleId="Footer">
    <w:name w:val="footer"/>
    <w:basedOn w:val="Normal"/>
    <w:link w:val="FooterChar"/>
    <w:uiPriority w:val="99"/>
    <w:unhideWhenUsed/>
    <w:rsid w:val="00472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C72"/>
    <w:rPr>
      <w:lang w:val="en-IE"/>
    </w:rPr>
  </w:style>
  <w:style w:type="character" w:customStyle="1" w:styleId="Heading3Char">
    <w:name w:val="Heading 3 Char"/>
    <w:basedOn w:val="DefaultParagraphFont"/>
    <w:link w:val="Heading3"/>
    <w:uiPriority w:val="9"/>
    <w:semiHidden/>
    <w:rsid w:val="007B6890"/>
    <w:rPr>
      <w:rFonts w:asciiTheme="majorHAnsi" w:eastAsiaTheme="majorEastAsia" w:hAnsiTheme="majorHAnsi" w:cstheme="majorBidi"/>
      <w:color w:val="1F3763" w:themeColor="accent1" w:themeShade="7F"/>
      <w:sz w:val="24"/>
      <w:szCs w:val="24"/>
      <w:lang w:val="en-IE"/>
    </w:rPr>
  </w:style>
  <w:style w:type="character" w:styleId="CommentReference">
    <w:name w:val="annotation reference"/>
    <w:basedOn w:val="DefaultParagraphFont"/>
    <w:uiPriority w:val="99"/>
    <w:semiHidden/>
    <w:unhideWhenUsed/>
    <w:rsid w:val="00E0320B"/>
    <w:rPr>
      <w:sz w:val="16"/>
      <w:szCs w:val="16"/>
    </w:rPr>
  </w:style>
  <w:style w:type="paragraph" w:styleId="CommentText">
    <w:name w:val="annotation text"/>
    <w:basedOn w:val="Normal"/>
    <w:link w:val="CommentTextChar"/>
    <w:uiPriority w:val="99"/>
    <w:semiHidden/>
    <w:unhideWhenUsed/>
    <w:rsid w:val="00E0320B"/>
    <w:pPr>
      <w:spacing w:line="240" w:lineRule="auto"/>
    </w:pPr>
    <w:rPr>
      <w:sz w:val="20"/>
      <w:szCs w:val="20"/>
    </w:rPr>
  </w:style>
  <w:style w:type="character" w:customStyle="1" w:styleId="CommentTextChar">
    <w:name w:val="Comment Text Char"/>
    <w:basedOn w:val="DefaultParagraphFont"/>
    <w:link w:val="CommentText"/>
    <w:uiPriority w:val="99"/>
    <w:semiHidden/>
    <w:rsid w:val="00E0320B"/>
    <w:rPr>
      <w:sz w:val="20"/>
      <w:szCs w:val="20"/>
      <w:lang w:val="en-IE"/>
    </w:rPr>
  </w:style>
  <w:style w:type="paragraph" w:styleId="CommentSubject">
    <w:name w:val="annotation subject"/>
    <w:basedOn w:val="CommentText"/>
    <w:next w:val="CommentText"/>
    <w:link w:val="CommentSubjectChar"/>
    <w:uiPriority w:val="99"/>
    <w:semiHidden/>
    <w:unhideWhenUsed/>
    <w:rsid w:val="00E0320B"/>
    <w:rPr>
      <w:b/>
      <w:bCs/>
    </w:rPr>
  </w:style>
  <w:style w:type="character" w:customStyle="1" w:styleId="CommentSubjectChar">
    <w:name w:val="Comment Subject Char"/>
    <w:basedOn w:val="CommentTextChar"/>
    <w:link w:val="CommentSubject"/>
    <w:uiPriority w:val="99"/>
    <w:semiHidden/>
    <w:rsid w:val="00E0320B"/>
    <w:rPr>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9966">
      <w:bodyDiv w:val="1"/>
      <w:marLeft w:val="0"/>
      <w:marRight w:val="0"/>
      <w:marTop w:val="0"/>
      <w:marBottom w:val="0"/>
      <w:divBdr>
        <w:top w:val="none" w:sz="0" w:space="0" w:color="auto"/>
        <w:left w:val="none" w:sz="0" w:space="0" w:color="auto"/>
        <w:bottom w:val="none" w:sz="0" w:space="0" w:color="auto"/>
        <w:right w:val="none" w:sz="0" w:space="0" w:color="auto"/>
      </w:divBdr>
    </w:div>
    <w:div w:id="1145776272">
      <w:bodyDiv w:val="1"/>
      <w:marLeft w:val="0"/>
      <w:marRight w:val="0"/>
      <w:marTop w:val="0"/>
      <w:marBottom w:val="0"/>
      <w:divBdr>
        <w:top w:val="none" w:sz="0" w:space="0" w:color="auto"/>
        <w:left w:val="none" w:sz="0" w:space="0" w:color="auto"/>
        <w:bottom w:val="none" w:sz="0" w:space="0" w:color="auto"/>
        <w:right w:val="none" w:sz="0" w:space="0" w:color="auto"/>
      </w:divBdr>
    </w:div>
    <w:div w:id="1187017221">
      <w:bodyDiv w:val="1"/>
      <w:marLeft w:val="0"/>
      <w:marRight w:val="0"/>
      <w:marTop w:val="0"/>
      <w:marBottom w:val="0"/>
      <w:divBdr>
        <w:top w:val="none" w:sz="0" w:space="0" w:color="auto"/>
        <w:left w:val="none" w:sz="0" w:space="0" w:color="auto"/>
        <w:bottom w:val="none" w:sz="0" w:space="0" w:color="auto"/>
        <w:right w:val="none" w:sz="0" w:space="0" w:color="auto"/>
      </w:divBdr>
    </w:div>
    <w:div w:id="1930458329">
      <w:bodyDiv w:val="1"/>
      <w:marLeft w:val="0"/>
      <w:marRight w:val="0"/>
      <w:marTop w:val="0"/>
      <w:marBottom w:val="0"/>
      <w:divBdr>
        <w:top w:val="none" w:sz="0" w:space="0" w:color="auto"/>
        <w:left w:val="none" w:sz="0" w:space="0" w:color="auto"/>
        <w:bottom w:val="none" w:sz="0" w:space="0" w:color="auto"/>
        <w:right w:val="none" w:sz="0" w:space="0" w:color="auto"/>
      </w:divBdr>
    </w:div>
    <w:div w:id="194133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E791BADB25254BB7995278D48525F3" ma:contentTypeVersion="13" ma:contentTypeDescription="Create a new document." ma:contentTypeScope="" ma:versionID="5aad379f351afca184257eb71f64b447">
  <xsd:schema xmlns:xsd="http://www.w3.org/2001/XMLSchema" xmlns:xs="http://www.w3.org/2001/XMLSchema" xmlns:p="http://schemas.microsoft.com/office/2006/metadata/properties" xmlns:ns2="b04afb55-0bda-452e-98e9-d2cefe2c5e56" xmlns:ns3="097b1496-0e4f-4a15-b939-7303560d27a4" targetNamespace="http://schemas.microsoft.com/office/2006/metadata/properties" ma:root="true" ma:fieldsID="a9251f2ab7b3d52f85f95830913a2f25" ns2:_="" ns3:_="">
    <xsd:import namespace="b04afb55-0bda-452e-98e9-d2cefe2c5e56"/>
    <xsd:import namespace="097b1496-0e4f-4a15-b939-7303560d27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afb55-0bda-452e-98e9-d2cefe2c5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7b1496-0e4f-4a15-b939-7303560d27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123BA-9A09-4367-9E50-EA5B013CC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afb55-0bda-452e-98e9-d2cefe2c5e56"/>
    <ds:schemaRef ds:uri="097b1496-0e4f-4a15-b939-7303560d2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4F3FD-889E-4AC7-8CBA-982B4C70EB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456170-4127-41DD-809F-1FEDE20E5FE4}">
  <ds:schemaRefs>
    <ds:schemaRef ds:uri="http://schemas.microsoft.com/sharepoint/v3/contenttype/forms"/>
  </ds:schemaRefs>
</ds:datastoreItem>
</file>

<file path=customXml/itemProps4.xml><?xml version="1.0" encoding="utf-8"?>
<ds:datastoreItem xmlns:ds="http://schemas.openxmlformats.org/officeDocument/2006/customXml" ds:itemID="{541D9D7D-2B10-47F8-89BE-020C347C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4277</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Jordan</dc:creator>
  <cp:keywords/>
  <dc:description/>
  <cp:lastModifiedBy>Mark</cp:lastModifiedBy>
  <cp:revision>2</cp:revision>
  <cp:lastPrinted>2021-10-11T09:52:00Z</cp:lastPrinted>
  <dcterms:created xsi:type="dcterms:W3CDTF">2022-03-31T11:59:00Z</dcterms:created>
  <dcterms:modified xsi:type="dcterms:W3CDTF">2022-03-31T11:59:00Z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0x010100FDE791BADB25254BB7995278D48525F3</vt:lpwstr>
  </property>
</Properties>
</file>