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CB92" w14:textId="09808076" w:rsidR="00AF1B44" w:rsidRPr="005472E5" w:rsidRDefault="00551D7D" w:rsidP="0037261D">
      <w:pPr>
        <w:rPr>
          <w:rFonts w:ascii="Times New Roman" w:hAnsi="Times New Roman" w:cs="Times New Roman"/>
          <w:b/>
          <w:bCs/>
          <w:sz w:val="32"/>
          <w:szCs w:val="32"/>
        </w:rPr>
      </w:pPr>
      <w:r w:rsidRPr="005472E5">
        <w:rPr>
          <w:rFonts w:ascii="Times New Roman" w:hAnsi="Times New Roman" w:cs="Times New Roman"/>
          <w:b/>
          <w:bCs/>
          <w:sz w:val="32"/>
          <w:szCs w:val="32"/>
        </w:rPr>
        <w:t>Housing Possession</w:t>
      </w:r>
      <w:r w:rsidR="00B1348F" w:rsidRPr="005472E5">
        <w:rPr>
          <w:rFonts w:ascii="Times New Roman" w:hAnsi="Times New Roman" w:cs="Times New Roman"/>
          <w:b/>
          <w:bCs/>
          <w:sz w:val="32"/>
          <w:szCs w:val="32"/>
        </w:rPr>
        <w:t xml:space="preserve"> in </w:t>
      </w:r>
      <w:r w:rsidRPr="005472E5">
        <w:rPr>
          <w:rFonts w:ascii="Times New Roman" w:hAnsi="Times New Roman" w:cs="Times New Roman"/>
          <w:b/>
          <w:bCs/>
          <w:sz w:val="32"/>
          <w:szCs w:val="32"/>
        </w:rPr>
        <w:t>the</w:t>
      </w:r>
      <w:r w:rsidR="00B1348F" w:rsidRPr="005472E5">
        <w:rPr>
          <w:rFonts w:ascii="Times New Roman" w:hAnsi="Times New Roman" w:cs="Times New Roman"/>
          <w:b/>
          <w:bCs/>
          <w:sz w:val="32"/>
          <w:szCs w:val="32"/>
        </w:rPr>
        <w:t xml:space="preserve"> Time of Pandemic</w:t>
      </w:r>
      <w:r w:rsidR="00A22223" w:rsidRPr="005472E5">
        <w:rPr>
          <w:rFonts w:ascii="Times New Roman" w:hAnsi="Times New Roman" w:cs="Times New Roman"/>
          <w:b/>
          <w:bCs/>
          <w:sz w:val="32"/>
          <w:szCs w:val="32"/>
        </w:rPr>
        <w:t>: Part 2</w:t>
      </w:r>
    </w:p>
    <w:p w14:paraId="65654CEB" w14:textId="77777777" w:rsidR="00137246" w:rsidRPr="005472E5" w:rsidRDefault="00137246" w:rsidP="0037261D">
      <w:pPr>
        <w:rPr>
          <w:rFonts w:ascii="Times New Roman" w:hAnsi="Times New Roman" w:cs="Times New Roman"/>
          <w:sz w:val="24"/>
          <w:szCs w:val="24"/>
        </w:rPr>
      </w:pPr>
    </w:p>
    <w:p w14:paraId="7A44CC01" w14:textId="685AA651" w:rsidR="00137246" w:rsidRPr="005472E5" w:rsidRDefault="00137246" w:rsidP="0037261D">
      <w:pPr>
        <w:rPr>
          <w:rFonts w:ascii="Times New Roman" w:hAnsi="Times New Roman" w:cs="Times New Roman"/>
          <w:i/>
          <w:iCs/>
          <w:sz w:val="24"/>
          <w:szCs w:val="24"/>
        </w:rPr>
      </w:pPr>
      <w:r w:rsidRPr="005472E5">
        <w:rPr>
          <w:rFonts w:ascii="Times New Roman" w:hAnsi="Times New Roman" w:cs="Times New Roman"/>
          <w:i/>
          <w:iCs/>
          <w:sz w:val="24"/>
          <w:szCs w:val="24"/>
        </w:rPr>
        <w:t xml:space="preserve">Lisa Whitehouse, </w:t>
      </w:r>
      <w:r w:rsidR="00A22223" w:rsidRPr="005472E5">
        <w:rPr>
          <w:rFonts w:ascii="Times New Roman" w:hAnsi="Times New Roman" w:cs="Times New Roman"/>
          <w:i/>
          <w:iCs/>
          <w:sz w:val="24"/>
          <w:szCs w:val="24"/>
        </w:rPr>
        <w:t xml:space="preserve">Professor of Property </w:t>
      </w:r>
      <w:r w:rsidRPr="005472E5">
        <w:rPr>
          <w:rFonts w:ascii="Times New Roman" w:hAnsi="Times New Roman" w:cs="Times New Roman"/>
          <w:i/>
          <w:iCs/>
          <w:sz w:val="24"/>
          <w:szCs w:val="24"/>
        </w:rPr>
        <w:t>Law</w:t>
      </w:r>
      <w:r w:rsidR="00A22223" w:rsidRPr="005472E5">
        <w:rPr>
          <w:rFonts w:ascii="Times New Roman" w:hAnsi="Times New Roman" w:cs="Times New Roman"/>
          <w:i/>
          <w:iCs/>
          <w:sz w:val="24"/>
          <w:szCs w:val="24"/>
        </w:rPr>
        <w:t>, Policy &amp; Practice</w:t>
      </w:r>
      <w:r w:rsidRPr="005472E5">
        <w:rPr>
          <w:rFonts w:ascii="Times New Roman" w:hAnsi="Times New Roman" w:cs="Times New Roman"/>
          <w:i/>
          <w:iCs/>
          <w:sz w:val="24"/>
          <w:szCs w:val="24"/>
        </w:rPr>
        <w:t>,</w:t>
      </w:r>
      <w:r w:rsidR="00E62DE7" w:rsidRPr="005472E5">
        <w:rPr>
          <w:rFonts w:ascii="Times New Roman" w:hAnsi="Times New Roman" w:cs="Times New Roman"/>
          <w:i/>
          <w:iCs/>
          <w:sz w:val="24"/>
          <w:szCs w:val="24"/>
        </w:rPr>
        <w:t xml:space="preserve"> University of </w:t>
      </w:r>
      <w:r w:rsidR="00A22223" w:rsidRPr="005472E5">
        <w:rPr>
          <w:rFonts w:ascii="Times New Roman" w:hAnsi="Times New Roman" w:cs="Times New Roman"/>
          <w:i/>
          <w:iCs/>
          <w:sz w:val="24"/>
          <w:szCs w:val="24"/>
        </w:rPr>
        <w:t>Southampton</w:t>
      </w:r>
      <w:r w:rsidR="00E62DE7" w:rsidRPr="005472E5">
        <w:rPr>
          <w:rFonts w:ascii="Times New Roman" w:hAnsi="Times New Roman" w:cs="Times New Roman"/>
          <w:i/>
          <w:iCs/>
          <w:sz w:val="24"/>
          <w:szCs w:val="24"/>
        </w:rPr>
        <w:t>,</w:t>
      </w:r>
      <w:r w:rsidRPr="005472E5">
        <w:rPr>
          <w:rFonts w:ascii="Times New Roman" w:hAnsi="Times New Roman" w:cs="Times New Roman"/>
          <w:i/>
          <w:iCs/>
          <w:sz w:val="24"/>
          <w:szCs w:val="24"/>
        </w:rPr>
        <w:t xml:space="preserve"> </w:t>
      </w:r>
      <w:hyperlink r:id="rId7" w:history="1">
        <w:r w:rsidR="00DB04F7" w:rsidRPr="005472E5">
          <w:rPr>
            <w:rStyle w:val="Hyperlink"/>
            <w:rFonts w:ascii="Times New Roman" w:hAnsi="Times New Roman" w:cs="Times New Roman"/>
            <w:i/>
            <w:iCs/>
            <w:sz w:val="24"/>
            <w:szCs w:val="24"/>
          </w:rPr>
          <w:t>L.A.Whitehouse@soton.ac.uk</w:t>
        </w:r>
      </w:hyperlink>
    </w:p>
    <w:p w14:paraId="3C532D23" w14:textId="77777777" w:rsidR="00137246" w:rsidRPr="005472E5" w:rsidRDefault="00137246" w:rsidP="0037261D">
      <w:pPr>
        <w:rPr>
          <w:rFonts w:ascii="Times New Roman" w:hAnsi="Times New Roman" w:cs="Times New Roman"/>
          <w:sz w:val="24"/>
          <w:szCs w:val="24"/>
        </w:rPr>
      </w:pPr>
    </w:p>
    <w:p w14:paraId="5DF76B69" w14:textId="77777777" w:rsidR="007C569E" w:rsidRPr="005472E5" w:rsidRDefault="007C569E" w:rsidP="0037261D">
      <w:pPr>
        <w:rPr>
          <w:rFonts w:ascii="Times New Roman" w:hAnsi="Times New Roman" w:cs="Times New Roman"/>
          <w:b/>
          <w:bCs/>
          <w:sz w:val="28"/>
          <w:szCs w:val="28"/>
        </w:rPr>
      </w:pPr>
      <w:r w:rsidRPr="005472E5">
        <w:rPr>
          <w:rFonts w:ascii="Times New Roman" w:hAnsi="Times New Roman" w:cs="Times New Roman"/>
          <w:b/>
          <w:bCs/>
          <w:sz w:val="28"/>
          <w:szCs w:val="28"/>
        </w:rPr>
        <w:t>Introduction</w:t>
      </w:r>
    </w:p>
    <w:p w14:paraId="160C35C2" w14:textId="3757373F" w:rsidR="00875B67" w:rsidRPr="005472E5" w:rsidRDefault="0035340F" w:rsidP="007341A4">
      <w:pPr>
        <w:rPr>
          <w:rFonts w:ascii="Times New Roman" w:hAnsi="Times New Roman" w:cs="Times New Roman"/>
          <w:sz w:val="24"/>
          <w:szCs w:val="24"/>
        </w:rPr>
      </w:pPr>
      <w:r w:rsidRPr="005472E5">
        <w:rPr>
          <w:rFonts w:ascii="Times New Roman" w:hAnsi="Times New Roman" w:cs="Times New Roman"/>
          <w:sz w:val="24"/>
          <w:szCs w:val="24"/>
        </w:rPr>
        <w:t xml:space="preserve">The response to the COVID-19 pandemic in housing possession cases in England and Wales formed the subject of an article </w:t>
      </w:r>
      <w:r w:rsidR="004137B4" w:rsidRPr="005472E5">
        <w:rPr>
          <w:rFonts w:ascii="Times New Roman" w:hAnsi="Times New Roman" w:cs="Times New Roman"/>
          <w:sz w:val="24"/>
          <w:szCs w:val="24"/>
        </w:rPr>
        <w:t xml:space="preserve">(known here as ‘Part 1’) </w:t>
      </w:r>
      <w:r w:rsidRPr="005472E5">
        <w:rPr>
          <w:rFonts w:ascii="Times New Roman" w:hAnsi="Times New Roman" w:cs="Times New Roman"/>
          <w:sz w:val="24"/>
          <w:szCs w:val="24"/>
        </w:rPr>
        <w:t>in an earlier volume of this journal.</w:t>
      </w:r>
      <w:r w:rsidRPr="005472E5">
        <w:rPr>
          <w:rStyle w:val="FootnoteReference"/>
          <w:rFonts w:ascii="Times New Roman" w:hAnsi="Times New Roman" w:cs="Times New Roman"/>
          <w:sz w:val="24"/>
          <w:szCs w:val="24"/>
        </w:rPr>
        <w:footnoteReference w:id="1"/>
      </w:r>
      <w:r w:rsidRPr="005472E5">
        <w:rPr>
          <w:rFonts w:ascii="Times New Roman" w:hAnsi="Times New Roman" w:cs="Times New Roman"/>
          <w:sz w:val="24"/>
          <w:szCs w:val="24"/>
          <w:vertAlign w:val="superscript"/>
        </w:rPr>
        <w:t xml:space="preserve"> </w:t>
      </w:r>
      <w:r w:rsidRPr="005472E5">
        <w:rPr>
          <w:rFonts w:ascii="Times New Roman" w:hAnsi="Times New Roman" w:cs="Times New Roman"/>
          <w:sz w:val="24"/>
          <w:szCs w:val="24"/>
        </w:rPr>
        <w:t>Having offered a summary of the measures introduced, including the ‘Overall Arrangements’ (OA)</w:t>
      </w:r>
      <w:r w:rsidR="001709BE" w:rsidRPr="005472E5">
        <w:rPr>
          <w:rFonts w:ascii="Times New Roman" w:hAnsi="Times New Roman" w:cs="Times New Roman"/>
          <w:sz w:val="24"/>
          <w:szCs w:val="24"/>
        </w:rPr>
        <w:t>,</w:t>
      </w:r>
      <w:r w:rsidRPr="005472E5">
        <w:rPr>
          <w:rStyle w:val="FootnoteReference"/>
          <w:rFonts w:ascii="Times New Roman" w:hAnsi="Times New Roman" w:cs="Times New Roman"/>
          <w:sz w:val="24"/>
          <w:szCs w:val="24"/>
        </w:rPr>
        <w:footnoteReference w:id="2"/>
      </w:r>
      <w:r w:rsidR="001709BE" w:rsidRPr="005472E5">
        <w:rPr>
          <w:rFonts w:ascii="Times New Roman" w:hAnsi="Times New Roman" w:cs="Times New Roman"/>
          <w:sz w:val="24"/>
          <w:szCs w:val="24"/>
        </w:rPr>
        <w:t xml:space="preserve"> </w:t>
      </w:r>
      <w:r w:rsidR="00464AF7" w:rsidRPr="005472E5">
        <w:rPr>
          <w:rFonts w:ascii="Times New Roman" w:hAnsi="Times New Roman" w:cs="Times New Roman"/>
          <w:sz w:val="24"/>
          <w:szCs w:val="24"/>
        </w:rPr>
        <w:t>Part 1</w:t>
      </w:r>
      <w:r w:rsidR="009D5775" w:rsidRPr="005472E5">
        <w:rPr>
          <w:rFonts w:ascii="Times New Roman" w:hAnsi="Times New Roman" w:cs="Times New Roman"/>
          <w:sz w:val="24"/>
          <w:szCs w:val="24"/>
        </w:rPr>
        <w:t xml:space="preserve"> </w:t>
      </w:r>
      <w:r w:rsidR="001709BE" w:rsidRPr="005472E5">
        <w:rPr>
          <w:rFonts w:ascii="Times New Roman" w:hAnsi="Times New Roman" w:cs="Times New Roman"/>
          <w:sz w:val="24"/>
          <w:szCs w:val="24"/>
        </w:rPr>
        <w:t>conclu</w:t>
      </w:r>
      <w:r w:rsidR="009D5775" w:rsidRPr="005472E5">
        <w:rPr>
          <w:rFonts w:ascii="Times New Roman" w:hAnsi="Times New Roman" w:cs="Times New Roman"/>
          <w:sz w:val="24"/>
          <w:szCs w:val="24"/>
        </w:rPr>
        <w:t>ded</w:t>
      </w:r>
      <w:r w:rsidR="001709BE" w:rsidRPr="005472E5">
        <w:rPr>
          <w:rFonts w:ascii="Times New Roman" w:hAnsi="Times New Roman" w:cs="Times New Roman"/>
          <w:sz w:val="24"/>
          <w:szCs w:val="24"/>
        </w:rPr>
        <w:t xml:space="preserve"> that,</w:t>
      </w:r>
      <w:r w:rsidRPr="005472E5">
        <w:rPr>
          <w:rFonts w:ascii="Times New Roman" w:hAnsi="Times New Roman" w:cs="Times New Roman"/>
          <w:sz w:val="24"/>
          <w:szCs w:val="24"/>
        </w:rPr>
        <w:t xml:space="preserve"> compar</w:t>
      </w:r>
      <w:r w:rsidR="001709BE" w:rsidRPr="005472E5">
        <w:rPr>
          <w:rFonts w:ascii="Times New Roman" w:hAnsi="Times New Roman" w:cs="Times New Roman"/>
          <w:sz w:val="24"/>
          <w:szCs w:val="24"/>
        </w:rPr>
        <w:t>ed</w:t>
      </w:r>
      <w:r w:rsidRPr="005472E5">
        <w:rPr>
          <w:rFonts w:ascii="Times New Roman" w:hAnsi="Times New Roman" w:cs="Times New Roman"/>
          <w:sz w:val="24"/>
          <w:szCs w:val="24"/>
        </w:rPr>
        <w:t xml:space="preserve"> with the pre-COVID process</w:t>
      </w:r>
      <w:r w:rsidR="001709BE" w:rsidRPr="005472E5">
        <w:rPr>
          <w:rFonts w:ascii="Times New Roman" w:hAnsi="Times New Roman" w:cs="Times New Roman"/>
          <w:sz w:val="24"/>
          <w:szCs w:val="24"/>
        </w:rPr>
        <w:t>,</w:t>
      </w:r>
      <w:r w:rsidRPr="005472E5">
        <w:rPr>
          <w:rFonts w:ascii="Times New Roman" w:hAnsi="Times New Roman" w:cs="Times New Roman"/>
          <w:sz w:val="24"/>
          <w:szCs w:val="24"/>
        </w:rPr>
        <w:t xml:space="preserve"> there </w:t>
      </w:r>
      <w:r w:rsidR="001709BE" w:rsidRPr="005472E5">
        <w:rPr>
          <w:rFonts w:ascii="Times New Roman" w:hAnsi="Times New Roman" w:cs="Times New Roman"/>
          <w:sz w:val="24"/>
          <w:szCs w:val="24"/>
        </w:rPr>
        <w:t>was</w:t>
      </w:r>
      <w:r w:rsidRPr="005472E5">
        <w:rPr>
          <w:rFonts w:ascii="Times New Roman" w:hAnsi="Times New Roman" w:cs="Times New Roman"/>
          <w:sz w:val="24"/>
          <w:szCs w:val="24"/>
        </w:rPr>
        <w:t xml:space="preserve"> </w:t>
      </w:r>
      <w:r w:rsidR="001709BE" w:rsidRPr="005472E5">
        <w:rPr>
          <w:rFonts w:ascii="Times New Roman" w:hAnsi="Times New Roman" w:cs="Times New Roman"/>
          <w:sz w:val="24"/>
          <w:szCs w:val="24"/>
        </w:rPr>
        <w:t>‘</w:t>
      </w:r>
      <w:r w:rsidRPr="005472E5">
        <w:rPr>
          <w:rFonts w:ascii="Times New Roman" w:hAnsi="Times New Roman" w:cs="Times New Roman"/>
          <w:sz w:val="24"/>
          <w:szCs w:val="24"/>
        </w:rPr>
        <w:t>much to commend the new arrangements</w:t>
      </w:r>
      <w:r w:rsidR="001709BE" w:rsidRPr="005472E5">
        <w:rPr>
          <w:rFonts w:ascii="Times New Roman" w:hAnsi="Times New Roman" w:cs="Times New Roman"/>
          <w:sz w:val="24"/>
          <w:szCs w:val="24"/>
        </w:rPr>
        <w:t>’</w:t>
      </w:r>
      <w:r w:rsidR="00957113" w:rsidRPr="005472E5">
        <w:rPr>
          <w:rFonts w:ascii="Times New Roman" w:hAnsi="Times New Roman" w:cs="Times New Roman"/>
          <w:sz w:val="24"/>
          <w:szCs w:val="24"/>
        </w:rPr>
        <w:t>.</w:t>
      </w:r>
      <w:r w:rsidR="00957113" w:rsidRPr="005472E5">
        <w:rPr>
          <w:rStyle w:val="FootnoteReference"/>
          <w:rFonts w:ascii="Times New Roman" w:hAnsi="Times New Roman" w:cs="Times New Roman"/>
          <w:sz w:val="24"/>
          <w:szCs w:val="24"/>
        </w:rPr>
        <w:footnoteReference w:id="3"/>
      </w:r>
      <w:r w:rsidRPr="005472E5">
        <w:rPr>
          <w:rFonts w:ascii="Times New Roman" w:hAnsi="Times New Roman" w:cs="Times New Roman"/>
          <w:sz w:val="24"/>
          <w:szCs w:val="24"/>
        </w:rPr>
        <w:t xml:space="preserve"> The opportunity for the defendant to obtain legal advice at an earlier point in the process, enhanced opportunities for pre-action negotiation and an increase in the time allocated to </w:t>
      </w:r>
      <w:r w:rsidR="001709BE" w:rsidRPr="005472E5">
        <w:rPr>
          <w:rFonts w:ascii="Times New Roman" w:hAnsi="Times New Roman" w:cs="Times New Roman"/>
          <w:sz w:val="24"/>
          <w:szCs w:val="24"/>
        </w:rPr>
        <w:t>substantive</w:t>
      </w:r>
      <w:r w:rsidRPr="005472E5">
        <w:rPr>
          <w:rFonts w:ascii="Times New Roman" w:hAnsi="Times New Roman" w:cs="Times New Roman"/>
          <w:sz w:val="24"/>
          <w:szCs w:val="24"/>
        </w:rPr>
        <w:t xml:space="preserve"> hearings </w:t>
      </w:r>
      <w:r w:rsidR="001709BE" w:rsidRPr="005472E5">
        <w:rPr>
          <w:rFonts w:ascii="Times New Roman" w:hAnsi="Times New Roman" w:cs="Times New Roman"/>
          <w:sz w:val="24"/>
          <w:szCs w:val="24"/>
        </w:rPr>
        <w:t>held the potential to avoid</w:t>
      </w:r>
      <w:r w:rsidRPr="005472E5">
        <w:rPr>
          <w:rFonts w:ascii="Times New Roman" w:hAnsi="Times New Roman" w:cs="Times New Roman"/>
          <w:sz w:val="24"/>
          <w:szCs w:val="24"/>
        </w:rPr>
        <w:t xml:space="preserve"> ‘unnecessary’ court hearings</w:t>
      </w:r>
      <w:r w:rsidR="001709BE" w:rsidRPr="005472E5">
        <w:rPr>
          <w:rFonts w:ascii="Times New Roman" w:hAnsi="Times New Roman" w:cs="Times New Roman"/>
          <w:sz w:val="24"/>
          <w:szCs w:val="24"/>
        </w:rPr>
        <w:t>.</w:t>
      </w:r>
      <w:r w:rsidR="00AC27D1" w:rsidRPr="005472E5">
        <w:rPr>
          <w:rFonts w:ascii="Times New Roman" w:hAnsi="Times New Roman" w:cs="Times New Roman"/>
          <w:sz w:val="24"/>
          <w:szCs w:val="24"/>
        </w:rPr>
        <w:t xml:space="preserve"> </w:t>
      </w:r>
      <w:r w:rsidR="00957113" w:rsidRPr="005472E5">
        <w:rPr>
          <w:rFonts w:ascii="Times New Roman" w:hAnsi="Times New Roman" w:cs="Times New Roman"/>
          <w:sz w:val="24"/>
          <w:szCs w:val="24"/>
        </w:rPr>
        <w:t xml:space="preserve">Ultimately, </w:t>
      </w:r>
      <w:r w:rsidR="009D5775" w:rsidRPr="005472E5">
        <w:rPr>
          <w:rFonts w:ascii="Times New Roman" w:hAnsi="Times New Roman" w:cs="Times New Roman"/>
          <w:sz w:val="24"/>
          <w:szCs w:val="24"/>
        </w:rPr>
        <w:t xml:space="preserve">however, </w:t>
      </w:r>
      <w:r w:rsidR="00957113" w:rsidRPr="005472E5">
        <w:rPr>
          <w:rFonts w:ascii="Times New Roman" w:hAnsi="Times New Roman" w:cs="Times New Roman"/>
          <w:sz w:val="24"/>
          <w:szCs w:val="24"/>
        </w:rPr>
        <w:t>the conclusion was that, w</w:t>
      </w:r>
      <w:r w:rsidRPr="005472E5">
        <w:rPr>
          <w:rFonts w:ascii="Times New Roman" w:hAnsi="Times New Roman" w:cs="Times New Roman"/>
          <w:sz w:val="24"/>
          <w:szCs w:val="24"/>
        </w:rPr>
        <w:t xml:space="preserve">hile the measures bode well, </w:t>
      </w:r>
      <w:r w:rsidR="00957113" w:rsidRPr="005472E5">
        <w:rPr>
          <w:rFonts w:ascii="Times New Roman" w:hAnsi="Times New Roman" w:cs="Times New Roman"/>
          <w:sz w:val="24"/>
          <w:szCs w:val="24"/>
        </w:rPr>
        <w:t xml:space="preserve">it </w:t>
      </w:r>
      <w:r w:rsidR="009D5775" w:rsidRPr="005472E5">
        <w:rPr>
          <w:rFonts w:ascii="Times New Roman" w:hAnsi="Times New Roman" w:cs="Times New Roman"/>
          <w:sz w:val="24"/>
          <w:szCs w:val="24"/>
        </w:rPr>
        <w:t>was</w:t>
      </w:r>
      <w:r w:rsidR="00957113" w:rsidRPr="005472E5">
        <w:rPr>
          <w:rFonts w:ascii="Times New Roman" w:hAnsi="Times New Roman" w:cs="Times New Roman"/>
          <w:sz w:val="24"/>
          <w:szCs w:val="24"/>
        </w:rPr>
        <w:t xml:space="preserve"> necessary to await further research before </w:t>
      </w:r>
      <w:r w:rsidR="00821D65" w:rsidRPr="005472E5">
        <w:rPr>
          <w:rFonts w:ascii="Times New Roman" w:hAnsi="Times New Roman" w:cs="Times New Roman"/>
          <w:sz w:val="24"/>
          <w:szCs w:val="24"/>
        </w:rPr>
        <w:t>an assessment of</w:t>
      </w:r>
      <w:r w:rsidR="00957113" w:rsidRPr="005472E5">
        <w:rPr>
          <w:rFonts w:ascii="Times New Roman" w:hAnsi="Times New Roman" w:cs="Times New Roman"/>
          <w:sz w:val="24"/>
          <w:szCs w:val="24"/>
        </w:rPr>
        <w:t xml:space="preserve"> the</w:t>
      </w:r>
      <w:r w:rsidR="004137B4" w:rsidRPr="005472E5">
        <w:rPr>
          <w:rFonts w:ascii="Times New Roman" w:hAnsi="Times New Roman" w:cs="Times New Roman"/>
          <w:sz w:val="24"/>
          <w:szCs w:val="24"/>
        </w:rPr>
        <w:t>ir</w:t>
      </w:r>
      <w:r w:rsidR="00957113" w:rsidRPr="005472E5">
        <w:rPr>
          <w:rFonts w:ascii="Times New Roman" w:hAnsi="Times New Roman" w:cs="Times New Roman"/>
          <w:sz w:val="24"/>
          <w:szCs w:val="24"/>
        </w:rPr>
        <w:t xml:space="preserve"> effectiveness </w:t>
      </w:r>
      <w:r w:rsidR="004137B4" w:rsidRPr="005472E5">
        <w:rPr>
          <w:rFonts w:ascii="Times New Roman" w:hAnsi="Times New Roman" w:cs="Times New Roman"/>
          <w:sz w:val="24"/>
          <w:szCs w:val="24"/>
        </w:rPr>
        <w:t>c</w:t>
      </w:r>
      <w:r w:rsidR="00821D65" w:rsidRPr="005472E5">
        <w:rPr>
          <w:rFonts w:ascii="Times New Roman" w:hAnsi="Times New Roman" w:cs="Times New Roman"/>
          <w:sz w:val="24"/>
          <w:szCs w:val="24"/>
        </w:rPr>
        <w:t>ould be</w:t>
      </w:r>
      <w:r w:rsidR="004137B4" w:rsidRPr="005472E5">
        <w:rPr>
          <w:rFonts w:ascii="Times New Roman" w:hAnsi="Times New Roman" w:cs="Times New Roman"/>
          <w:sz w:val="24"/>
          <w:szCs w:val="24"/>
        </w:rPr>
        <w:t xml:space="preserve"> undertaken</w:t>
      </w:r>
      <w:r w:rsidRPr="005472E5">
        <w:rPr>
          <w:rFonts w:ascii="Times New Roman" w:hAnsi="Times New Roman" w:cs="Times New Roman"/>
          <w:sz w:val="24"/>
          <w:szCs w:val="24"/>
        </w:rPr>
        <w:t>.</w:t>
      </w:r>
      <w:r w:rsidR="00DE18D4" w:rsidRPr="005472E5">
        <w:rPr>
          <w:rFonts w:ascii="Times New Roman" w:hAnsi="Times New Roman" w:cs="Times New Roman"/>
          <w:sz w:val="24"/>
          <w:szCs w:val="24"/>
        </w:rPr>
        <w:t xml:space="preserve"> </w:t>
      </w:r>
    </w:p>
    <w:p w14:paraId="055D0C93" w14:textId="593FB0BD" w:rsidR="00875B67" w:rsidRPr="005472E5" w:rsidRDefault="00D04566" w:rsidP="007341A4">
      <w:pPr>
        <w:rPr>
          <w:rFonts w:ascii="Times New Roman" w:hAnsi="Times New Roman" w:cs="Times New Roman"/>
          <w:bCs/>
          <w:sz w:val="24"/>
          <w:szCs w:val="24"/>
        </w:rPr>
      </w:pPr>
      <w:r w:rsidRPr="005472E5">
        <w:rPr>
          <w:rFonts w:ascii="Times New Roman" w:hAnsi="Times New Roman" w:cs="Times New Roman"/>
          <w:sz w:val="24"/>
          <w:szCs w:val="24"/>
        </w:rPr>
        <w:t xml:space="preserve">Based on </w:t>
      </w:r>
      <w:r w:rsidR="00DE18D4" w:rsidRPr="005472E5">
        <w:rPr>
          <w:rFonts w:ascii="Times New Roman" w:hAnsi="Times New Roman" w:cs="Times New Roman"/>
          <w:sz w:val="24"/>
          <w:szCs w:val="24"/>
        </w:rPr>
        <w:t xml:space="preserve">a </w:t>
      </w:r>
      <w:r w:rsidR="00A625EC" w:rsidRPr="005472E5">
        <w:rPr>
          <w:rFonts w:ascii="Times New Roman" w:hAnsi="Times New Roman" w:cs="Times New Roman"/>
          <w:sz w:val="24"/>
          <w:szCs w:val="24"/>
        </w:rPr>
        <w:t xml:space="preserve">nine-month investigation </w:t>
      </w:r>
      <w:r w:rsidRPr="005472E5">
        <w:rPr>
          <w:rFonts w:ascii="Times New Roman" w:hAnsi="Times New Roman" w:cs="Times New Roman"/>
          <w:sz w:val="24"/>
          <w:szCs w:val="24"/>
        </w:rPr>
        <w:t>into the operation of the OA,</w:t>
      </w:r>
      <w:r w:rsidR="00821D65" w:rsidRPr="005472E5">
        <w:rPr>
          <w:rStyle w:val="FootnoteReference"/>
          <w:rFonts w:ascii="Times New Roman" w:hAnsi="Times New Roman" w:cs="Times New Roman"/>
          <w:sz w:val="24"/>
          <w:szCs w:val="24"/>
        </w:rPr>
        <w:footnoteReference w:id="4"/>
      </w:r>
      <w:r w:rsidRPr="005472E5">
        <w:rPr>
          <w:rFonts w:ascii="Times New Roman" w:hAnsi="Times New Roman" w:cs="Times New Roman"/>
          <w:sz w:val="24"/>
          <w:szCs w:val="24"/>
        </w:rPr>
        <w:t xml:space="preserve"> generously funded by the Economic and Social Research Council, this article </w:t>
      </w:r>
      <w:r w:rsidR="00464AF7" w:rsidRPr="005472E5">
        <w:rPr>
          <w:rFonts w:ascii="Times New Roman" w:hAnsi="Times New Roman" w:cs="Times New Roman"/>
          <w:sz w:val="24"/>
          <w:szCs w:val="24"/>
        </w:rPr>
        <w:t xml:space="preserve">(Part 2) </w:t>
      </w:r>
      <w:r w:rsidRPr="005472E5">
        <w:rPr>
          <w:rFonts w:ascii="Times New Roman" w:hAnsi="Times New Roman" w:cs="Times New Roman"/>
          <w:sz w:val="24"/>
          <w:szCs w:val="24"/>
        </w:rPr>
        <w:t xml:space="preserve">is now able to offer </w:t>
      </w:r>
      <w:r w:rsidR="00875B67" w:rsidRPr="005472E5">
        <w:rPr>
          <w:rFonts w:ascii="Times New Roman" w:hAnsi="Times New Roman" w:cs="Times New Roman"/>
          <w:sz w:val="24"/>
          <w:szCs w:val="24"/>
        </w:rPr>
        <w:t>that</w:t>
      </w:r>
      <w:r w:rsidRPr="005472E5">
        <w:rPr>
          <w:rFonts w:ascii="Times New Roman" w:hAnsi="Times New Roman" w:cs="Times New Roman"/>
          <w:sz w:val="24"/>
          <w:szCs w:val="24"/>
        </w:rPr>
        <w:t xml:space="preserve"> assessment.</w:t>
      </w:r>
      <w:r w:rsidR="00875B67" w:rsidRPr="005472E5">
        <w:rPr>
          <w:rFonts w:ascii="Times New Roman" w:hAnsi="Times New Roman" w:cs="Times New Roman"/>
          <w:sz w:val="24"/>
          <w:szCs w:val="24"/>
        </w:rPr>
        <w:t xml:space="preserve"> It does so by </w:t>
      </w:r>
      <w:r w:rsidR="007341A4" w:rsidRPr="005472E5">
        <w:rPr>
          <w:rFonts w:ascii="Times New Roman" w:hAnsi="Times New Roman" w:cs="Times New Roman"/>
          <w:sz w:val="24"/>
          <w:szCs w:val="24"/>
        </w:rPr>
        <w:t>supplement</w:t>
      </w:r>
      <w:r w:rsidR="00875B67" w:rsidRPr="005472E5">
        <w:rPr>
          <w:rFonts w:ascii="Times New Roman" w:hAnsi="Times New Roman" w:cs="Times New Roman"/>
          <w:sz w:val="24"/>
          <w:szCs w:val="24"/>
        </w:rPr>
        <w:t>ing</w:t>
      </w:r>
      <w:r w:rsidR="007341A4" w:rsidRPr="005472E5">
        <w:rPr>
          <w:rFonts w:ascii="Times New Roman" w:hAnsi="Times New Roman" w:cs="Times New Roman"/>
          <w:sz w:val="24"/>
          <w:szCs w:val="24"/>
        </w:rPr>
        <w:t xml:space="preserve"> existing research with original first-hand accounts from those most closely associated with the possession process, namely, </w:t>
      </w:r>
      <w:r w:rsidR="007341A4" w:rsidRPr="005472E5">
        <w:rPr>
          <w:rFonts w:ascii="Times New Roman" w:hAnsi="Times New Roman" w:cs="Times New Roman"/>
          <w:bCs/>
          <w:sz w:val="24"/>
          <w:szCs w:val="24"/>
        </w:rPr>
        <w:t>occupiers, debt advisers, landlords (private and social), legal practitioners (who represent landlords and mortgage lenders) and Housing Possession Court Duty Scheme (HPCDS)</w:t>
      </w:r>
      <w:r w:rsidR="002B6622" w:rsidRPr="005472E5">
        <w:rPr>
          <w:rFonts w:ascii="Times New Roman" w:hAnsi="Times New Roman" w:cs="Times New Roman"/>
          <w:bCs/>
          <w:sz w:val="24"/>
          <w:szCs w:val="24"/>
        </w:rPr>
        <w:t xml:space="preserve"> providers</w:t>
      </w:r>
      <w:r w:rsidR="007341A4" w:rsidRPr="005472E5">
        <w:rPr>
          <w:rFonts w:ascii="Times New Roman" w:hAnsi="Times New Roman" w:cs="Times New Roman"/>
          <w:bCs/>
          <w:sz w:val="24"/>
          <w:szCs w:val="24"/>
        </w:rPr>
        <w:t xml:space="preserve">. What the findings reveal is that </w:t>
      </w:r>
      <w:r w:rsidR="002E0981" w:rsidRPr="005472E5">
        <w:rPr>
          <w:rFonts w:ascii="Times New Roman" w:hAnsi="Times New Roman" w:cs="Times New Roman"/>
          <w:bCs/>
          <w:sz w:val="24"/>
          <w:szCs w:val="24"/>
        </w:rPr>
        <w:t xml:space="preserve">some, but certainly not all, of the temporary measures introduced </w:t>
      </w:r>
      <w:r w:rsidR="00B306B5" w:rsidRPr="005472E5">
        <w:rPr>
          <w:rFonts w:ascii="Times New Roman" w:hAnsi="Times New Roman" w:cs="Times New Roman"/>
          <w:bCs/>
          <w:sz w:val="24"/>
          <w:szCs w:val="24"/>
        </w:rPr>
        <w:t xml:space="preserve">between March 2020 - November 2021 </w:t>
      </w:r>
      <w:r w:rsidR="002E0981" w:rsidRPr="005472E5">
        <w:rPr>
          <w:rFonts w:ascii="Times New Roman" w:hAnsi="Times New Roman" w:cs="Times New Roman"/>
          <w:bCs/>
          <w:sz w:val="24"/>
          <w:szCs w:val="24"/>
        </w:rPr>
        <w:t xml:space="preserve">could prove useful in assisting the civil justice system </w:t>
      </w:r>
      <w:r w:rsidR="00917C84" w:rsidRPr="005472E5">
        <w:rPr>
          <w:rFonts w:ascii="Times New Roman" w:hAnsi="Times New Roman" w:cs="Times New Roman"/>
          <w:bCs/>
          <w:sz w:val="24"/>
          <w:szCs w:val="24"/>
        </w:rPr>
        <w:t>in</w:t>
      </w:r>
      <w:r w:rsidR="002E0981" w:rsidRPr="005472E5">
        <w:rPr>
          <w:rFonts w:ascii="Times New Roman" w:hAnsi="Times New Roman" w:cs="Times New Roman"/>
          <w:bCs/>
          <w:sz w:val="24"/>
          <w:szCs w:val="24"/>
        </w:rPr>
        <w:t xml:space="preserve"> meet</w:t>
      </w:r>
      <w:r w:rsidR="00917C84" w:rsidRPr="005472E5">
        <w:rPr>
          <w:rFonts w:ascii="Times New Roman" w:hAnsi="Times New Roman" w:cs="Times New Roman"/>
          <w:bCs/>
          <w:sz w:val="24"/>
          <w:szCs w:val="24"/>
        </w:rPr>
        <w:t>ing</w:t>
      </w:r>
      <w:r w:rsidR="002E0981" w:rsidRPr="005472E5">
        <w:rPr>
          <w:rFonts w:ascii="Times New Roman" w:hAnsi="Times New Roman" w:cs="Times New Roman"/>
          <w:bCs/>
          <w:sz w:val="24"/>
          <w:szCs w:val="24"/>
        </w:rPr>
        <w:t xml:space="preserve"> the challenges posed by the </w:t>
      </w:r>
      <w:r w:rsidR="002B6622" w:rsidRPr="005472E5">
        <w:rPr>
          <w:rFonts w:ascii="Times New Roman" w:hAnsi="Times New Roman" w:cs="Times New Roman"/>
          <w:bCs/>
          <w:sz w:val="24"/>
          <w:szCs w:val="24"/>
        </w:rPr>
        <w:t xml:space="preserve">impact of the </w:t>
      </w:r>
      <w:r w:rsidR="002E0981" w:rsidRPr="005472E5">
        <w:rPr>
          <w:rFonts w:ascii="Times New Roman" w:hAnsi="Times New Roman" w:cs="Times New Roman"/>
          <w:bCs/>
          <w:sz w:val="24"/>
          <w:szCs w:val="24"/>
        </w:rPr>
        <w:t>COVID-19 pandemic.</w:t>
      </w:r>
      <w:r w:rsidR="00EC02D7" w:rsidRPr="005472E5">
        <w:rPr>
          <w:rFonts w:ascii="Times New Roman" w:hAnsi="Times New Roman" w:cs="Times New Roman"/>
          <w:bCs/>
          <w:sz w:val="24"/>
          <w:szCs w:val="24"/>
        </w:rPr>
        <w:t xml:space="preserve"> </w:t>
      </w:r>
    </w:p>
    <w:p w14:paraId="1D859407" w14:textId="1034D500" w:rsidR="00875B67" w:rsidRPr="005472E5" w:rsidRDefault="00917C84" w:rsidP="007341A4">
      <w:pPr>
        <w:rPr>
          <w:rFonts w:ascii="Times New Roman" w:hAnsi="Times New Roman" w:cs="Times New Roman"/>
          <w:bCs/>
          <w:sz w:val="24"/>
          <w:szCs w:val="24"/>
        </w:rPr>
      </w:pPr>
      <w:r w:rsidRPr="005472E5">
        <w:rPr>
          <w:rFonts w:ascii="Times New Roman" w:hAnsi="Times New Roman" w:cs="Times New Roman"/>
          <w:bCs/>
          <w:sz w:val="24"/>
          <w:szCs w:val="24"/>
        </w:rPr>
        <w:t>This article</w:t>
      </w:r>
      <w:r w:rsidR="00EC02D7" w:rsidRPr="005472E5">
        <w:rPr>
          <w:rFonts w:ascii="Times New Roman" w:hAnsi="Times New Roman" w:cs="Times New Roman"/>
          <w:bCs/>
          <w:sz w:val="24"/>
          <w:szCs w:val="24"/>
        </w:rPr>
        <w:t xml:space="preserve"> begins with a brief overview of the methodology employed in gathering the data on which </w:t>
      </w:r>
      <w:r w:rsidRPr="005472E5">
        <w:rPr>
          <w:rFonts w:ascii="Times New Roman" w:hAnsi="Times New Roman" w:cs="Times New Roman"/>
          <w:bCs/>
          <w:sz w:val="24"/>
          <w:szCs w:val="24"/>
        </w:rPr>
        <w:t>it</w:t>
      </w:r>
      <w:r w:rsidR="00EC02D7" w:rsidRPr="005472E5">
        <w:rPr>
          <w:rFonts w:ascii="Times New Roman" w:hAnsi="Times New Roman" w:cs="Times New Roman"/>
          <w:bCs/>
          <w:sz w:val="24"/>
          <w:szCs w:val="24"/>
        </w:rPr>
        <w:t xml:space="preserve"> is based</w:t>
      </w:r>
      <w:r w:rsidR="00875B67" w:rsidRPr="005472E5">
        <w:rPr>
          <w:rFonts w:ascii="Times New Roman" w:hAnsi="Times New Roman" w:cs="Times New Roman"/>
          <w:bCs/>
          <w:sz w:val="24"/>
          <w:szCs w:val="24"/>
        </w:rPr>
        <w:t>. This is followed by</w:t>
      </w:r>
      <w:r w:rsidRPr="005472E5">
        <w:rPr>
          <w:rFonts w:ascii="Times New Roman" w:hAnsi="Times New Roman" w:cs="Times New Roman"/>
          <w:bCs/>
          <w:sz w:val="24"/>
          <w:szCs w:val="24"/>
        </w:rPr>
        <w:t xml:space="preserve"> a brief summary of the temporary measures introduced in response to the pandemic. The final sections of the work offer an </w:t>
      </w:r>
      <w:r w:rsidR="00C4323A" w:rsidRPr="005472E5">
        <w:rPr>
          <w:rFonts w:ascii="Times New Roman" w:hAnsi="Times New Roman" w:cs="Times New Roman"/>
          <w:bCs/>
          <w:sz w:val="24"/>
          <w:szCs w:val="24"/>
        </w:rPr>
        <w:t>evaluation</w:t>
      </w:r>
      <w:r w:rsidRPr="005472E5">
        <w:rPr>
          <w:rFonts w:ascii="Times New Roman" w:hAnsi="Times New Roman" w:cs="Times New Roman"/>
          <w:bCs/>
          <w:sz w:val="24"/>
          <w:szCs w:val="24"/>
        </w:rPr>
        <w:t xml:space="preserve"> of the</w:t>
      </w:r>
      <w:r w:rsidR="00C4323A" w:rsidRPr="005472E5">
        <w:rPr>
          <w:rFonts w:ascii="Times New Roman" w:hAnsi="Times New Roman" w:cs="Times New Roman"/>
          <w:bCs/>
          <w:sz w:val="24"/>
          <w:szCs w:val="24"/>
        </w:rPr>
        <w:t>ir</w:t>
      </w:r>
      <w:r w:rsidRPr="005472E5">
        <w:rPr>
          <w:rFonts w:ascii="Times New Roman" w:hAnsi="Times New Roman" w:cs="Times New Roman"/>
          <w:bCs/>
          <w:sz w:val="24"/>
          <w:szCs w:val="24"/>
        </w:rPr>
        <w:t xml:space="preserve"> </w:t>
      </w:r>
      <w:r w:rsidR="00C4323A" w:rsidRPr="005472E5">
        <w:rPr>
          <w:rFonts w:ascii="Times New Roman" w:hAnsi="Times New Roman" w:cs="Times New Roman"/>
          <w:bCs/>
          <w:sz w:val="24"/>
          <w:szCs w:val="24"/>
        </w:rPr>
        <w:t>effectiveness based on both primary and secondary research data.</w:t>
      </w:r>
    </w:p>
    <w:p w14:paraId="67B5C9D8" w14:textId="264E658F" w:rsidR="0035340F" w:rsidRPr="005472E5" w:rsidRDefault="00C44F8E" w:rsidP="00520A4C">
      <w:pPr>
        <w:rPr>
          <w:rFonts w:ascii="Times New Roman" w:hAnsi="Times New Roman" w:cs="Times New Roman"/>
          <w:b/>
          <w:bCs/>
          <w:sz w:val="28"/>
          <w:szCs w:val="28"/>
        </w:rPr>
      </w:pPr>
      <w:r w:rsidRPr="005472E5">
        <w:rPr>
          <w:rFonts w:ascii="Times New Roman" w:hAnsi="Times New Roman" w:cs="Times New Roman"/>
          <w:b/>
          <w:bCs/>
          <w:sz w:val="28"/>
          <w:szCs w:val="28"/>
        </w:rPr>
        <w:t>Methodology</w:t>
      </w:r>
    </w:p>
    <w:p w14:paraId="2243292D" w14:textId="4ADD9FCA" w:rsidR="00C44F8E" w:rsidRPr="005472E5" w:rsidRDefault="00C44F8E" w:rsidP="00C44F8E">
      <w:pPr>
        <w:rPr>
          <w:rFonts w:ascii="Times New Roman" w:hAnsi="Times New Roman" w:cs="Times New Roman"/>
          <w:sz w:val="24"/>
          <w:szCs w:val="24"/>
        </w:rPr>
      </w:pPr>
      <w:r w:rsidRPr="005472E5">
        <w:rPr>
          <w:rFonts w:ascii="Times New Roman" w:hAnsi="Times New Roman" w:cs="Times New Roman"/>
          <w:bCs/>
          <w:sz w:val="24"/>
          <w:szCs w:val="24"/>
        </w:rPr>
        <w:t>The project employed a multi-disciplinary, mixed methods research approach that utilised both secondary and primary research methods</w:t>
      </w:r>
      <w:r w:rsidRPr="005472E5">
        <w:rPr>
          <w:rFonts w:ascii="Times New Roman" w:hAnsi="Times New Roman" w:cs="Times New Roman"/>
          <w:sz w:val="24"/>
          <w:szCs w:val="24"/>
        </w:rPr>
        <w:t xml:space="preserve">. </w:t>
      </w:r>
      <w:r w:rsidRPr="005472E5">
        <w:rPr>
          <w:rFonts w:ascii="Times New Roman" w:hAnsi="Times New Roman" w:cs="Times New Roman"/>
          <w:bCs/>
          <w:sz w:val="24"/>
          <w:szCs w:val="24"/>
        </w:rPr>
        <w:t xml:space="preserve">The analysis of social science material and </w:t>
      </w:r>
      <w:r w:rsidRPr="005472E5">
        <w:rPr>
          <w:rFonts w:ascii="Times New Roman" w:hAnsi="Times New Roman" w:cs="Times New Roman"/>
          <w:bCs/>
          <w:sz w:val="24"/>
          <w:szCs w:val="24"/>
        </w:rPr>
        <w:lastRenderedPageBreak/>
        <w:t xml:space="preserve">available data was supplemented by the collection of unique primary data, both quantitative and qualitative. </w:t>
      </w:r>
      <w:r w:rsidRPr="005472E5">
        <w:rPr>
          <w:rFonts w:ascii="Times New Roman" w:hAnsi="Times New Roman" w:cs="Times New Roman"/>
          <w:sz w:val="24"/>
          <w:szCs w:val="24"/>
        </w:rPr>
        <w:t>Adopting a ‘participatory action research approach’,</w:t>
      </w:r>
      <w:r w:rsidRPr="005472E5">
        <w:rPr>
          <w:rFonts w:ascii="Times New Roman" w:hAnsi="Times New Roman" w:cs="Times New Roman"/>
          <w:sz w:val="24"/>
          <w:szCs w:val="24"/>
          <w:vertAlign w:val="superscript"/>
        </w:rPr>
        <w:footnoteReference w:id="5"/>
      </w:r>
      <w:r w:rsidRPr="005472E5">
        <w:rPr>
          <w:rFonts w:ascii="Times New Roman" w:hAnsi="Times New Roman" w:cs="Times New Roman"/>
          <w:sz w:val="24"/>
          <w:szCs w:val="24"/>
        </w:rPr>
        <w:t xml:space="preserve"> the project drew on and embedded the participation, views and experience of stakeholders in order to capture practitioners’ and occupiers’ experiences of the arrears and possessions process. </w:t>
      </w:r>
      <w:r w:rsidR="002B6622" w:rsidRPr="005472E5">
        <w:rPr>
          <w:rFonts w:ascii="Times New Roman" w:hAnsi="Times New Roman" w:cs="Times New Roman"/>
          <w:sz w:val="24"/>
          <w:szCs w:val="24"/>
        </w:rPr>
        <w:t xml:space="preserve">There was, for example, </w:t>
      </w:r>
      <w:r w:rsidRPr="005472E5">
        <w:rPr>
          <w:rFonts w:ascii="Times New Roman" w:hAnsi="Times New Roman" w:cs="Times New Roman"/>
          <w:sz w:val="24"/>
          <w:szCs w:val="24"/>
        </w:rPr>
        <w:t>an expert Advisory Group</w:t>
      </w:r>
      <w:r w:rsidR="002B6622" w:rsidRPr="005472E5">
        <w:rPr>
          <w:rFonts w:ascii="Times New Roman" w:hAnsi="Times New Roman" w:cs="Times New Roman"/>
          <w:sz w:val="24"/>
          <w:szCs w:val="24"/>
        </w:rPr>
        <w:t>,</w:t>
      </w:r>
      <w:r w:rsidRPr="005472E5">
        <w:rPr>
          <w:rFonts w:ascii="Times New Roman" w:hAnsi="Times New Roman" w:cs="Times New Roman"/>
          <w:sz w:val="24"/>
          <w:szCs w:val="24"/>
        </w:rPr>
        <w:t xml:space="preserve"> consisting of representatives of Her Majesty’s Courts and Tribunals Service (HMCTS), </w:t>
      </w:r>
      <w:r w:rsidR="00724ACE" w:rsidRPr="005472E5">
        <w:rPr>
          <w:rFonts w:ascii="Times New Roman" w:hAnsi="Times New Roman" w:cs="Times New Roman"/>
          <w:sz w:val="24"/>
          <w:szCs w:val="24"/>
        </w:rPr>
        <w:t xml:space="preserve">the </w:t>
      </w:r>
      <w:r w:rsidRPr="005472E5">
        <w:rPr>
          <w:rFonts w:ascii="Times New Roman" w:hAnsi="Times New Roman" w:cs="Times New Roman"/>
          <w:sz w:val="24"/>
          <w:szCs w:val="24"/>
        </w:rPr>
        <w:t>Ministry of Justice (MoJ), legal practitioners, members of the judiciary, academics, housing providers, and debt advice agencies</w:t>
      </w:r>
      <w:r w:rsidR="002B6622" w:rsidRPr="005472E5">
        <w:rPr>
          <w:rFonts w:ascii="Times New Roman" w:hAnsi="Times New Roman" w:cs="Times New Roman"/>
          <w:sz w:val="24"/>
          <w:szCs w:val="24"/>
        </w:rPr>
        <w:t>, which assisted in the design and implementation of the project.</w:t>
      </w:r>
    </w:p>
    <w:p w14:paraId="216C47AB" w14:textId="4514FAB4" w:rsidR="009D5775" w:rsidRPr="005472E5" w:rsidRDefault="009D5775" w:rsidP="009D5775">
      <w:pPr>
        <w:rPr>
          <w:rFonts w:ascii="Times New Roman" w:hAnsi="Times New Roman" w:cs="Times New Roman"/>
          <w:sz w:val="24"/>
          <w:szCs w:val="24"/>
        </w:rPr>
      </w:pPr>
      <w:r w:rsidRPr="005472E5">
        <w:rPr>
          <w:rFonts w:ascii="Times New Roman" w:hAnsi="Times New Roman" w:cs="Times New Roman"/>
          <w:sz w:val="24"/>
          <w:szCs w:val="24"/>
        </w:rPr>
        <w:t xml:space="preserve">Due to the difficulties posed by the COVID-19 pandemic </w:t>
      </w:r>
      <w:r w:rsidR="00FE4B6E" w:rsidRPr="005472E5">
        <w:rPr>
          <w:rFonts w:ascii="Times New Roman" w:hAnsi="Times New Roman" w:cs="Times New Roman"/>
          <w:sz w:val="24"/>
          <w:szCs w:val="24"/>
        </w:rPr>
        <w:t>it was not possible to</w:t>
      </w:r>
      <w:r w:rsidRPr="005472E5">
        <w:rPr>
          <w:rFonts w:ascii="Times New Roman" w:hAnsi="Times New Roman" w:cs="Times New Roman"/>
          <w:sz w:val="24"/>
          <w:szCs w:val="24"/>
        </w:rPr>
        <w:t xml:space="preserve"> conduct face-to-face interviews</w:t>
      </w:r>
      <w:r w:rsidR="00FE4B6E" w:rsidRPr="005472E5">
        <w:rPr>
          <w:rFonts w:ascii="Times New Roman" w:hAnsi="Times New Roman" w:cs="Times New Roman"/>
          <w:sz w:val="24"/>
          <w:szCs w:val="24"/>
        </w:rPr>
        <w:t>. Instead,</w:t>
      </w:r>
      <w:r w:rsidRPr="005472E5">
        <w:rPr>
          <w:rFonts w:ascii="Times New Roman" w:hAnsi="Times New Roman" w:cs="Times New Roman"/>
          <w:sz w:val="24"/>
          <w:szCs w:val="24"/>
        </w:rPr>
        <w:t xml:space="preserve"> the project used online survey tools to conduct both random and purposeful sampling of respondents in order to gather quantitative data and qualitative data. The surveys were directed at key players in the possession process, namely, </w:t>
      </w:r>
      <w:r w:rsidR="00724ACE" w:rsidRPr="005472E5">
        <w:rPr>
          <w:rFonts w:ascii="Times New Roman" w:hAnsi="Times New Roman" w:cs="Times New Roman"/>
          <w:sz w:val="24"/>
          <w:szCs w:val="24"/>
        </w:rPr>
        <w:t xml:space="preserve">occupiers, </w:t>
      </w:r>
      <w:r w:rsidRPr="005472E5">
        <w:rPr>
          <w:rFonts w:ascii="Times New Roman" w:hAnsi="Times New Roman" w:cs="Times New Roman"/>
          <w:sz w:val="24"/>
          <w:szCs w:val="24"/>
        </w:rPr>
        <w:t xml:space="preserve">debt advisers, landlords (private and social), legal practitioners (who represent landlords and mortgage lenders) and HPCDS providers. In total, </w:t>
      </w:r>
      <w:r w:rsidRPr="005472E5">
        <w:rPr>
          <w:rFonts w:ascii="Times New Roman" w:hAnsi="Times New Roman" w:cs="Times New Roman"/>
          <w:bCs/>
          <w:sz w:val="24"/>
          <w:szCs w:val="24"/>
        </w:rPr>
        <w:t xml:space="preserve">176 respondents completed the surveys, </w:t>
      </w:r>
      <w:r w:rsidR="00F23DBD" w:rsidRPr="005472E5">
        <w:rPr>
          <w:rFonts w:ascii="Times New Roman" w:hAnsi="Times New Roman" w:cs="Times New Roman"/>
          <w:bCs/>
          <w:sz w:val="24"/>
          <w:szCs w:val="24"/>
        </w:rPr>
        <w:t xml:space="preserve">a pleasing result given the small scale and time restricted nature of this project. However, </w:t>
      </w:r>
      <w:r w:rsidRPr="005472E5">
        <w:rPr>
          <w:rFonts w:ascii="Times New Roman" w:hAnsi="Times New Roman" w:cs="Times New Roman"/>
          <w:bCs/>
          <w:sz w:val="24"/>
          <w:szCs w:val="24"/>
        </w:rPr>
        <w:t>these are of course insufficient to qualify as being representative of the groups canvassed or the population generally. Having said that, given the sparsity of data in this area, th</w:t>
      </w:r>
      <w:r w:rsidR="00F23DBD" w:rsidRPr="005472E5">
        <w:rPr>
          <w:rFonts w:ascii="Times New Roman" w:hAnsi="Times New Roman" w:cs="Times New Roman"/>
          <w:bCs/>
          <w:sz w:val="24"/>
          <w:szCs w:val="24"/>
        </w:rPr>
        <w:t>e</w:t>
      </w:r>
      <w:r w:rsidRPr="005472E5">
        <w:rPr>
          <w:rFonts w:ascii="Times New Roman" w:hAnsi="Times New Roman" w:cs="Times New Roman"/>
          <w:bCs/>
          <w:sz w:val="24"/>
          <w:szCs w:val="24"/>
        </w:rPr>
        <w:t xml:space="preserve"> data</w:t>
      </w:r>
      <w:r w:rsidR="00F23DBD" w:rsidRPr="005472E5">
        <w:rPr>
          <w:rFonts w:ascii="Times New Roman" w:hAnsi="Times New Roman" w:cs="Times New Roman"/>
          <w:bCs/>
          <w:sz w:val="24"/>
          <w:szCs w:val="24"/>
        </w:rPr>
        <w:t xml:space="preserve"> collected</w:t>
      </w:r>
      <w:r w:rsidRPr="005472E5">
        <w:rPr>
          <w:rFonts w:ascii="Times New Roman" w:hAnsi="Times New Roman" w:cs="Times New Roman"/>
          <w:bCs/>
          <w:sz w:val="24"/>
          <w:szCs w:val="24"/>
        </w:rPr>
        <w:t xml:space="preserve"> make</w:t>
      </w:r>
      <w:r w:rsidR="00F23DBD" w:rsidRPr="005472E5">
        <w:rPr>
          <w:rFonts w:ascii="Times New Roman" w:hAnsi="Times New Roman" w:cs="Times New Roman"/>
          <w:bCs/>
          <w:sz w:val="24"/>
          <w:szCs w:val="24"/>
        </w:rPr>
        <w:t>s</w:t>
      </w:r>
      <w:r w:rsidRPr="005472E5">
        <w:rPr>
          <w:rFonts w:ascii="Times New Roman" w:hAnsi="Times New Roman" w:cs="Times New Roman"/>
          <w:bCs/>
          <w:sz w:val="24"/>
          <w:szCs w:val="24"/>
        </w:rPr>
        <w:t xml:space="preserve"> a valuable contribution to existing knowledge, especially when combined with similar projects such as those conducted by Byrom and others,</w:t>
      </w:r>
      <w:r w:rsidRPr="005472E5">
        <w:rPr>
          <w:rFonts w:ascii="Times New Roman" w:hAnsi="Times New Roman" w:cs="Times New Roman"/>
          <w:bCs/>
          <w:sz w:val="24"/>
          <w:szCs w:val="24"/>
          <w:vertAlign w:val="superscript"/>
        </w:rPr>
        <w:footnoteReference w:id="6"/>
      </w:r>
      <w:r w:rsidRPr="005472E5">
        <w:rPr>
          <w:rFonts w:ascii="Times New Roman" w:hAnsi="Times New Roman" w:cs="Times New Roman"/>
          <w:bCs/>
          <w:sz w:val="24"/>
          <w:szCs w:val="24"/>
        </w:rPr>
        <w:t xml:space="preserve"> the </w:t>
      </w:r>
      <w:r w:rsidRPr="005472E5">
        <w:rPr>
          <w:rFonts w:ascii="Times New Roman" w:hAnsi="Times New Roman" w:cs="Times New Roman"/>
          <w:sz w:val="24"/>
          <w:szCs w:val="24"/>
        </w:rPr>
        <w:t>B</w:t>
      </w:r>
      <w:r w:rsidR="00F23DBD" w:rsidRPr="005472E5">
        <w:rPr>
          <w:rFonts w:ascii="Times New Roman" w:hAnsi="Times New Roman" w:cs="Times New Roman"/>
          <w:sz w:val="24"/>
          <w:szCs w:val="24"/>
        </w:rPr>
        <w:t xml:space="preserve">ureau of </w:t>
      </w:r>
      <w:r w:rsidRPr="005472E5">
        <w:rPr>
          <w:rFonts w:ascii="Times New Roman" w:hAnsi="Times New Roman" w:cs="Times New Roman"/>
          <w:sz w:val="24"/>
          <w:szCs w:val="24"/>
        </w:rPr>
        <w:t>I</w:t>
      </w:r>
      <w:r w:rsidR="00F23DBD" w:rsidRPr="005472E5">
        <w:rPr>
          <w:rFonts w:ascii="Times New Roman" w:hAnsi="Times New Roman" w:cs="Times New Roman"/>
          <w:sz w:val="24"/>
          <w:szCs w:val="24"/>
        </w:rPr>
        <w:t xml:space="preserve">nvestigative </w:t>
      </w:r>
      <w:r w:rsidRPr="005472E5">
        <w:rPr>
          <w:rFonts w:ascii="Times New Roman" w:hAnsi="Times New Roman" w:cs="Times New Roman"/>
          <w:sz w:val="24"/>
          <w:szCs w:val="24"/>
        </w:rPr>
        <w:t>J</w:t>
      </w:r>
      <w:r w:rsidR="00F23DBD" w:rsidRPr="005472E5">
        <w:rPr>
          <w:rFonts w:ascii="Times New Roman" w:hAnsi="Times New Roman" w:cs="Times New Roman"/>
          <w:sz w:val="24"/>
          <w:szCs w:val="24"/>
        </w:rPr>
        <w:t>ournalism</w:t>
      </w:r>
      <w:r w:rsidR="00321A36" w:rsidRPr="005472E5">
        <w:rPr>
          <w:rFonts w:ascii="Times New Roman" w:hAnsi="Times New Roman" w:cs="Times New Roman"/>
          <w:sz w:val="24"/>
          <w:szCs w:val="24"/>
        </w:rPr>
        <w:t xml:space="preserve"> (the BIJ)</w:t>
      </w:r>
      <w:r w:rsidRPr="005472E5">
        <w:rPr>
          <w:rFonts w:ascii="Times New Roman" w:hAnsi="Times New Roman" w:cs="Times New Roman"/>
          <w:sz w:val="24"/>
          <w:szCs w:val="24"/>
        </w:rPr>
        <w:t>,</w:t>
      </w:r>
      <w:r w:rsidRPr="005472E5">
        <w:rPr>
          <w:rFonts w:ascii="Times New Roman" w:hAnsi="Times New Roman" w:cs="Times New Roman"/>
          <w:sz w:val="24"/>
          <w:szCs w:val="24"/>
          <w:vertAlign w:val="superscript"/>
        </w:rPr>
        <w:footnoteReference w:id="7"/>
      </w:r>
      <w:r w:rsidRPr="005472E5">
        <w:rPr>
          <w:rFonts w:ascii="Times New Roman" w:hAnsi="Times New Roman" w:cs="Times New Roman"/>
          <w:sz w:val="24"/>
          <w:szCs w:val="24"/>
        </w:rPr>
        <w:t xml:space="preserve"> Generation Rent,</w:t>
      </w:r>
      <w:r w:rsidRPr="005472E5">
        <w:rPr>
          <w:rFonts w:ascii="Times New Roman" w:hAnsi="Times New Roman" w:cs="Times New Roman"/>
          <w:sz w:val="24"/>
          <w:szCs w:val="24"/>
          <w:vertAlign w:val="superscript"/>
        </w:rPr>
        <w:footnoteReference w:id="8"/>
      </w:r>
      <w:r w:rsidRPr="005472E5">
        <w:rPr>
          <w:rFonts w:ascii="Times New Roman" w:hAnsi="Times New Roman" w:cs="Times New Roman"/>
          <w:sz w:val="24"/>
          <w:szCs w:val="24"/>
        </w:rPr>
        <w:t xml:space="preserve"> and Birmingham and York Universities.</w:t>
      </w:r>
      <w:r w:rsidRPr="005472E5">
        <w:rPr>
          <w:rFonts w:ascii="Times New Roman" w:hAnsi="Times New Roman" w:cs="Times New Roman"/>
          <w:sz w:val="24"/>
          <w:szCs w:val="24"/>
          <w:vertAlign w:val="superscript"/>
        </w:rPr>
        <w:footnoteReference w:id="9"/>
      </w:r>
      <w:r w:rsidR="00F23DBD" w:rsidRPr="005472E5">
        <w:rPr>
          <w:rFonts w:ascii="Times New Roman" w:hAnsi="Times New Roman" w:cs="Times New Roman"/>
          <w:sz w:val="24"/>
          <w:szCs w:val="24"/>
        </w:rPr>
        <w:t xml:space="preserve"> The responses to the survey were:</w:t>
      </w:r>
    </w:p>
    <w:p w14:paraId="54AA6D62" w14:textId="77777777" w:rsidR="009D5775" w:rsidRPr="005472E5" w:rsidRDefault="009D5775" w:rsidP="009D5775">
      <w:pPr>
        <w:numPr>
          <w:ilvl w:val="0"/>
          <w:numId w:val="16"/>
        </w:numPr>
        <w:rPr>
          <w:rFonts w:ascii="Times New Roman" w:hAnsi="Times New Roman" w:cs="Times New Roman"/>
          <w:sz w:val="24"/>
          <w:szCs w:val="24"/>
        </w:rPr>
      </w:pPr>
      <w:r w:rsidRPr="005472E5">
        <w:rPr>
          <w:rFonts w:ascii="Times New Roman" w:hAnsi="Times New Roman" w:cs="Times New Roman"/>
          <w:sz w:val="24"/>
          <w:szCs w:val="24"/>
        </w:rPr>
        <w:t xml:space="preserve">The debt adviser survey ran from 15 June to 31 July 2021 and initiated 43 responses from debt advisers located in England and Wales. </w:t>
      </w:r>
    </w:p>
    <w:p w14:paraId="293338C5" w14:textId="0183AA10" w:rsidR="009D5775" w:rsidRPr="005472E5" w:rsidRDefault="009D5775" w:rsidP="009D5775">
      <w:pPr>
        <w:numPr>
          <w:ilvl w:val="0"/>
          <w:numId w:val="16"/>
        </w:numPr>
        <w:rPr>
          <w:rFonts w:ascii="Times New Roman" w:hAnsi="Times New Roman" w:cs="Times New Roman"/>
          <w:sz w:val="24"/>
          <w:szCs w:val="24"/>
        </w:rPr>
      </w:pPr>
      <w:r w:rsidRPr="005472E5">
        <w:rPr>
          <w:rFonts w:ascii="Times New Roman" w:hAnsi="Times New Roman" w:cs="Times New Roman"/>
          <w:sz w:val="24"/>
          <w:szCs w:val="24"/>
        </w:rPr>
        <w:t xml:space="preserve">The duty adviser survey ran from 16 June and 31 July 2021 and initiated 35 responses from duty advisers all of whom were based in England. </w:t>
      </w:r>
    </w:p>
    <w:p w14:paraId="2D15B42F" w14:textId="77777777" w:rsidR="009D5775" w:rsidRPr="005472E5" w:rsidRDefault="009D5775" w:rsidP="009D5775">
      <w:pPr>
        <w:numPr>
          <w:ilvl w:val="0"/>
          <w:numId w:val="16"/>
        </w:numPr>
        <w:rPr>
          <w:rFonts w:ascii="Times New Roman" w:hAnsi="Times New Roman" w:cs="Times New Roman"/>
          <w:sz w:val="24"/>
          <w:szCs w:val="24"/>
        </w:rPr>
      </w:pPr>
      <w:r w:rsidRPr="005472E5">
        <w:rPr>
          <w:rFonts w:ascii="Times New Roman" w:hAnsi="Times New Roman" w:cs="Times New Roman"/>
          <w:sz w:val="24"/>
          <w:szCs w:val="24"/>
        </w:rPr>
        <w:t xml:space="preserve">The legal practitioner survey ran from 14 July to 15 August 2021 and initiated 27 responses from legal practitioners located in England and Wales. Of those, 20 dealt with private landlords, five with public landlords and two with mortgage lenders. </w:t>
      </w:r>
    </w:p>
    <w:p w14:paraId="34AE4804" w14:textId="77777777" w:rsidR="009D5775" w:rsidRPr="005472E5" w:rsidRDefault="009D5775" w:rsidP="009D5775">
      <w:pPr>
        <w:numPr>
          <w:ilvl w:val="0"/>
          <w:numId w:val="16"/>
        </w:numPr>
        <w:rPr>
          <w:rFonts w:ascii="Times New Roman" w:hAnsi="Times New Roman" w:cs="Times New Roman"/>
          <w:sz w:val="24"/>
          <w:szCs w:val="24"/>
        </w:rPr>
      </w:pPr>
      <w:r w:rsidRPr="005472E5">
        <w:rPr>
          <w:rFonts w:ascii="Times New Roman" w:hAnsi="Times New Roman" w:cs="Times New Roman"/>
          <w:sz w:val="24"/>
          <w:szCs w:val="24"/>
        </w:rPr>
        <w:t xml:space="preserve">The landlord survey ran from 5 August to 5 September 2021 and initiated 56 responses from landlords (47 private, four local authority representatives, four non-profit registered providers, one non-profit unregistered provider and one for-profit registered provider). Their properties were located in Wales and all areas of England. </w:t>
      </w:r>
    </w:p>
    <w:p w14:paraId="2BC997EA" w14:textId="63BB36A6" w:rsidR="009D5775" w:rsidRPr="005472E5" w:rsidRDefault="009D5775" w:rsidP="000B5FD1">
      <w:pPr>
        <w:numPr>
          <w:ilvl w:val="0"/>
          <w:numId w:val="16"/>
        </w:numPr>
        <w:rPr>
          <w:rFonts w:ascii="Times New Roman" w:hAnsi="Times New Roman" w:cs="Times New Roman"/>
          <w:sz w:val="24"/>
          <w:szCs w:val="24"/>
        </w:rPr>
      </w:pPr>
      <w:r w:rsidRPr="005472E5">
        <w:rPr>
          <w:rFonts w:ascii="Times New Roman" w:hAnsi="Times New Roman" w:cs="Times New Roman"/>
          <w:sz w:val="24"/>
          <w:szCs w:val="24"/>
        </w:rPr>
        <w:lastRenderedPageBreak/>
        <w:t xml:space="preserve">The occupier survey ran from 11 August to 14 November and initiated 15 responses. The survey was distributed via social media, through emails sent to GPs surgeries, food banks, mutual aid organisations and others. Debt advisers were asked to make their clients aware of the survey and Shelter were kind enough to publicise the survey on their social media sites. While the number of usable responses to the occupier survey proved disappointing, it highlights the difficulty of accessing occupiers with experience of housing debt. </w:t>
      </w:r>
    </w:p>
    <w:p w14:paraId="35C2E071" w14:textId="06912096" w:rsidR="00B70815" w:rsidRPr="005472E5" w:rsidRDefault="00B70815" w:rsidP="00B70815">
      <w:pPr>
        <w:rPr>
          <w:rFonts w:ascii="Times New Roman" w:hAnsi="Times New Roman" w:cs="Times New Roman"/>
          <w:sz w:val="24"/>
          <w:szCs w:val="24"/>
        </w:rPr>
      </w:pPr>
      <w:r w:rsidRPr="005472E5">
        <w:rPr>
          <w:rFonts w:ascii="Times New Roman" w:hAnsi="Times New Roman" w:cs="Times New Roman"/>
          <w:sz w:val="24"/>
          <w:szCs w:val="24"/>
        </w:rPr>
        <w:t>By combining the collection and analysis of this unique data with existing datasets and research, this article aims to remedy information deficits and to contribute to an improved understanding of the possession process</w:t>
      </w:r>
      <w:r w:rsidR="00C5781A" w:rsidRPr="005472E5">
        <w:rPr>
          <w:rFonts w:ascii="Times New Roman" w:hAnsi="Times New Roman" w:cs="Times New Roman"/>
          <w:sz w:val="24"/>
          <w:szCs w:val="24"/>
        </w:rPr>
        <w:t xml:space="preserve"> which may assist in tackling the challenges posed by the pandemic.</w:t>
      </w:r>
      <w:r w:rsidR="00356B7D" w:rsidRPr="005472E5">
        <w:rPr>
          <w:rFonts w:ascii="Times New Roman" w:hAnsi="Times New Roman" w:cs="Times New Roman"/>
          <w:sz w:val="24"/>
          <w:szCs w:val="24"/>
        </w:rPr>
        <w:t xml:space="preserve"> The next section begins </w:t>
      </w:r>
      <w:r w:rsidR="00FA4E50" w:rsidRPr="005472E5">
        <w:rPr>
          <w:rFonts w:ascii="Times New Roman" w:hAnsi="Times New Roman" w:cs="Times New Roman"/>
          <w:sz w:val="24"/>
          <w:szCs w:val="24"/>
        </w:rPr>
        <w:t xml:space="preserve">with a very brief summary of the temporary measures introduced in response to the pandemic. </w:t>
      </w:r>
    </w:p>
    <w:p w14:paraId="3D6B67B5" w14:textId="77777777" w:rsidR="00FA4E50" w:rsidRPr="005472E5" w:rsidRDefault="00FA4E50" w:rsidP="00FA4E50">
      <w:pPr>
        <w:rPr>
          <w:rFonts w:ascii="Times New Roman" w:hAnsi="Times New Roman" w:cs="Times New Roman"/>
          <w:b/>
          <w:bCs/>
          <w:sz w:val="28"/>
          <w:szCs w:val="28"/>
        </w:rPr>
      </w:pPr>
      <w:r w:rsidRPr="005472E5">
        <w:rPr>
          <w:rFonts w:ascii="Times New Roman" w:hAnsi="Times New Roman" w:cs="Times New Roman"/>
          <w:b/>
          <w:bCs/>
          <w:sz w:val="28"/>
          <w:szCs w:val="28"/>
        </w:rPr>
        <w:t>A Summary of the Court System’s Response</w:t>
      </w:r>
    </w:p>
    <w:p w14:paraId="4DC4F2EE" w14:textId="1F15740A" w:rsidR="009D5775" w:rsidRPr="005472E5" w:rsidRDefault="002C0D72" w:rsidP="00520A4C">
      <w:pPr>
        <w:rPr>
          <w:rFonts w:ascii="Times New Roman" w:hAnsi="Times New Roman" w:cs="Times New Roman"/>
          <w:b/>
          <w:bCs/>
          <w:sz w:val="24"/>
          <w:szCs w:val="24"/>
        </w:rPr>
      </w:pPr>
      <w:r w:rsidRPr="005472E5">
        <w:rPr>
          <w:rFonts w:ascii="Times New Roman" w:hAnsi="Times New Roman" w:cs="Times New Roman"/>
          <w:b/>
          <w:bCs/>
          <w:sz w:val="24"/>
          <w:szCs w:val="24"/>
        </w:rPr>
        <w:t>Background</w:t>
      </w:r>
    </w:p>
    <w:p w14:paraId="1FA58752" w14:textId="2818C161" w:rsidR="002C0D72" w:rsidRPr="005472E5" w:rsidRDefault="002C0D72" w:rsidP="002C0D72">
      <w:pPr>
        <w:rPr>
          <w:rFonts w:ascii="Times New Roman" w:hAnsi="Times New Roman" w:cs="Times New Roman"/>
          <w:sz w:val="24"/>
          <w:szCs w:val="24"/>
        </w:rPr>
      </w:pPr>
      <w:r w:rsidRPr="005472E5">
        <w:rPr>
          <w:rFonts w:ascii="Times New Roman" w:hAnsi="Times New Roman" w:cs="Times New Roman"/>
          <w:sz w:val="24"/>
          <w:szCs w:val="24"/>
        </w:rPr>
        <w:t>This article offers a snapshot of the housing possession process in England and Wales during an extraordinary period of turmoil and change. Measures that would previously have been considered ‘blue sky thinking’ were introduced with uncharacteristic speed in response to the COVID-19 pandemic. It is not the aim of this article to offer a</w:t>
      </w:r>
      <w:r w:rsidR="00FB43A7" w:rsidRPr="005472E5">
        <w:rPr>
          <w:rFonts w:ascii="Times New Roman" w:hAnsi="Times New Roman" w:cs="Times New Roman"/>
          <w:sz w:val="24"/>
          <w:szCs w:val="24"/>
        </w:rPr>
        <w:t xml:space="preserve"> detailed</w:t>
      </w:r>
      <w:r w:rsidRPr="005472E5">
        <w:rPr>
          <w:rFonts w:ascii="Times New Roman" w:hAnsi="Times New Roman" w:cs="Times New Roman"/>
          <w:sz w:val="24"/>
          <w:szCs w:val="24"/>
        </w:rPr>
        <w:t xml:space="preserve"> description of th</w:t>
      </w:r>
      <w:r w:rsidR="00E515D8" w:rsidRPr="005472E5">
        <w:rPr>
          <w:rFonts w:ascii="Times New Roman" w:hAnsi="Times New Roman" w:cs="Times New Roman"/>
          <w:sz w:val="24"/>
          <w:szCs w:val="24"/>
        </w:rPr>
        <w:t>os</w:t>
      </w:r>
      <w:r w:rsidRPr="005472E5">
        <w:rPr>
          <w:rFonts w:ascii="Times New Roman" w:hAnsi="Times New Roman" w:cs="Times New Roman"/>
          <w:sz w:val="24"/>
          <w:szCs w:val="24"/>
        </w:rPr>
        <w:t xml:space="preserve">e measures, that can be found in Part 1 </w:t>
      </w:r>
      <w:r w:rsidR="00FA4E50" w:rsidRPr="005472E5">
        <w:rPr>
          <w:rFonts w:ascii="Times New Roman" w:hAnsi="Times New Roman" w:cs="Times New Roman"/>
          <w:sz w:val="24"/>
          <w:szCs w:val="24"/>
        </w:rPr>
        <w:t>(a</w:t>
      </w:r>
      <w:r w:rsidR="00FB43A7" w:rsidRPr="005472E5">
        <w:rPr>
          <w:rFonts w:ascii="Times New Roman" w:hAnsi="Times New Roman" w:cs="Times New Roman"/>
          <w:sz w:val="24"/>
          <w:szCs w:val="24"/>
        </w:rPr>
        <w:t xml:space="preserve"> summary of them is, however, provided below</w:t>
      </w:r>
      <w:r w:rsidR="00FA4E50" w:rsidRPr="005472E5">
        <w:rPr>
          <w:rFonts w:ascii="Times New Roman" w:hAnsi="Times New Roman" w:cs="Times New Roman"/>
          <w:sz w:val="24"/>
          <w:szCs w:val="24"/>
        </w:rPr>
        <w:t>)</w:t>
      </w:r>
      <w:r w:rsidR="00FB43A7" w:rsidRPr="005472E5">
        <w:rPr>
          <w:rFonts w:ascii="Times New Roman" w:hAnsi="Times New Roman" w:cs="Times New Roman"/>
          <w:sz w:val="24"/>
          <w:szCs w:val="24"/>
        </w:rPr>
        <w:t xml:space="preserve">. </w:t>
      </w:r>
      <w:r w:rsidRPr="005472E5">
        <w:rPr>
          <w:rFonts w:ascii="Times New Roman" w:hAnsi="Times New Roman" w:cs="Times New Roman"/>
          <w:sz w:val="24"/>
          <w:szCs w:val="24"/>
        </w:rPr>
        <w:t>Rather, this article offers an assessment of their effectiveness. The measure of ‘effectiveness’ used here derives from the objectives set out by the architects of the court system’s response, namely, the Master of the Rolls Working Group on Possession Proceedings (the Working Group). Those objectives were:</w:t>
      </w:r>
    </w:p>
    <w:p w14:paraId="2C450F76" w14:textId="77777777" w:rsidR="002C0D72" w:rsidRPr="005472E5" w:rsidRDefault="002C0D72" w:rsidP="002C0D72">
      <w:pPr>
        <w:ind w:left="720"/>
        <w:rPr>
          <w:rFonts w:ascii="Times New Roman" w:hAnsi="Times New Roman" w:cs="Times New Roman"/>
          <w:sz w:val="24"/>
          <w:szCs w:val="24"/>
        </w:rPr>
      </w:pPr>
      <w:r w:rsidRPr="005472E5">
        <w:rPr>
          <w:rFonts w:ascii="Times New Roman" w:hAnsi="Times New Roman" w:cs="Times New Roman"/>
          <w:sz w:val="24"/>
          <w:szCs w:val="24"/>
        </w:rPr>
        <w:t xml:space="preserve">(a) reducing volume in the system by enabling earlier advice and increasing settlement, </w:t>
      </w:r>
    </w:p>
    <w:p w14:paraId="706EDDF5" w14:textId="77777777" w:rsidR="002C0D72" w:rsidRPr="005472E5" w:rsidRDefault="002C0D72" w:rsidP="002C0D72">
      <w:pPr>
        <w:ind w:left="720"/>
        <w:rPr>
          <w:rFonts w:ascii="Times New Roman" w:hAnsi="Times New Roman" w:cs="Times New Roman"/>
          <w:sz w:val="24"/>
          <w:szCs w:val="24"/>
        </w:rPr>
      </w:pPr>
      <w:r w:rsidRPr="005472E5">
        <w:rPr>
          <w:rFonts w:ascii="Times New Roman" w:hAnsi="Times New Roman" w:cs="Times New Roman"/>
          <w:sz w:val="24"/>
          <w:szCs w:val="24"/>
        </w:rPr>
        <w:t xml:space="preserve">(b) taking account, within limits that the law has imposed, of the effect of the pandemic on all parties, and </w:t>
      </w:r>
    </w:p>
    <w:p w14:paraId="6845F3C4" w14:textId="77777777" w:rsidR="002C0D72" w:rsidRPr="005472E5" w:rsidRDefault="002C0D72" w:rsidP="002C0D72">
      <w:pPr>
        <w:ind w:left="720"/>
        <w:rPr>
          <w:rFonts w:ascii="Times New Roman" w:hAnsi="Times New Roman" w:cs="Times New Roman"/>
          <w:sz w:val="24"/>
          <w:szCs w:val="24"/>
        </w:rPr>
      </w:pPr>
      <w:r w:rsidRPr="005472E5">
        <w:rPr>
          <w:rFonts w:ascii="Times New Roman" w:hAnsi="Times New Roman" w:cs="Times New Roman"/>
          <w:sz w:val="24"/>
          <w:szCs w:val="24"/>
        </w:rPr>
        <w:t>(c) maintaining confidence in the fairness of outcomes.</w:t>
      </w:r>
      <w:r w:rsidRPr="005472E5">
        <w:rPr>
          <w:rFonts w:ascii="Times New Roman" w:hAnsi="Times New Roman" w:cs="Times New Roman"/>
          <w:sz w:val="24"/>
          <w:szCs w:val="24"/>
          <w:vertAlign w:val="superscript"/>
        </w:rPr>
        <w:footnoteReference w:id="10"/>
      </w:r>
    </w:p>
    <w:p w14:paraId="5EA59878" w14:textId="49FD00E8" w:rsidR="002C0D72" w:rsidRPr="005472E5" w:rsidRDefault="002C0D72" w:rsidP="002C0D72">
      <w:pPr>
        <w:rPr>
          <w:rFonts w:ascii="Times New Roman" w:hAnsi="Times New Roman" w:cs="Times New Roman"/>
          <w:sz w:val="24"/>
          <w:szCs w:val="24"/>
        </w:rPr>
      </w:pPr>
      <w:r w:rsidRPr="005472E5">
        <w:rPr>
          <w:rFonts w:ascii="Times New Roman" w:hAnsi="Times New Roman" w:cs="Times New Roman"/>
          <w:sz w:val="24"/>
          <w:szCs w:val="24"/>
        </w:rPr>
        <w:t>In addition to these COVID specific objectives is the overriding objective of the Civil Procedure Rules (CPR), which is to enable the courts to deal with cases justly and at proportionate cost.</w:t>
      </w:r>
      <w:r w:rsidRPr="005472E5">
        <w:rPr>
          <w:rFonts w:ascii="Times New Roman" w:hAnsi="Times New Roman" w:cs="Times New Roman"/>
          <w:sz w:val="24"/>
          <w:szCs w:val="24"/>
          <w:vertAlign w:val="superscript"/>
        </w:rPr>
        <w:footnoteReference w:id="11"/>
      </w:r>
      <w:r w:rsidRPr="005472E5">
        <w:rPr>
          <w:rFonts w:ascii="Times New Roman" w:hAnsi="Times New Roman" w:cs="Times New Roman"/>
          <w:sz w:val="24"/>
          <w:szCs w:val="24"/>
        </w:rPr>
        <w:t xml:space="preserve"> </w:t>
      </w:r>
    </w:p>
    <w:p w14:paraId="2E111D31" w14:textId="6BF2CB34" w:rsidR="00FB43A7" w:rsidRPr="005472E5" w:rsidRDefault="00FB43A7" w:rsidP="00FB43A7">
      <w:pPr>
        <w:rPr>
          <w:rFonts w:ascii="Times New Roman" w:hAnsi="Times New Roman" w:cs="Times New Roman"/>
          <w:b/>
          <w:bCs/>
          <w:sz w:val="24"/>
          <w:szCs w:val="24"/>
        </w:rPr>
      </w:pPr>
      <w:r w:rsidRPr="005472E5">
        <w:rPr>
          <w:rFonts w:ascii="Times New Roman" w:hAnsi="Times New Roman" w:cs="Times New Roman"/>
          <w:b/>
          <w:bCs/>
          <w:sz w:val="24"/>
          <w:szCs w:val="24"/>
        </w:rPr>
        <w:t>The Overall Arrangements</w:t>
      </w:r>
      <w:r w:rsidR="00FA4E50" w:rsidRPr="005472E5">
        <w:rPr>
          <w:rFonts w:ascii="Times New Roman" w:hAnsi="Times New Roman" w:cs="Times New Roman"/>
          <w:b/>
          <w:bCs/>
          <w:sz w:val="24"/>
          <w:szCs w:val="24"/>
        </w:rPr>
        <w:t xml:space="preserve"> (the OA)</w:t>
      </w:r>
    </w:p>
    <w:p w14:paraId="6199B4B8" w14:textId="7489F4A3" w:rsidR="00FB43A7" w:rsidRPr="005472E5" w:rsidRDefault="00FB43A7" w:rsidP="00FB43A7">
      <w:pPr>
        <w:rPr>
          <w:rFonts w:ascii="Times New Roman" w:hAnsi="Times New Roman" w:cs="Times New Roman"/>
          <w:sz w:val="24"/>
          <w:szCs w:val="24"/>
        </w:rPr>
      </w:pPr>
      <w:r w:rsidRPr="005472E5">
        <w:rPr>
          <w:rFonts w:ascii="Times New Roman" w:hAnsi="Times New Roman" w:cs="Times New Roman"/>
          <w:sz w:val="24"/>
          <w:szCs w:val="24"/>
        </w:rPr>
        <w:t>Initially all possession hearings were suspended between 27 March 2020 and 20 September 2020. Landlords and mortgagees were then able to bring claims for possession under new rules known as the</w:t>
      </w:r>
      <w:r w:rsidR="00FA4E50" w:rsidRPr="005472E5">
        <w:rPr>
          <w:rFonts w:ascii="Times New Roman" w:hAnsi="Times New Roman" w:cs="Times New Roman"/>
          <w:sz w:val="24"/>
          <w:szCs w:val="24"/>
        </w:rPr>
        <w:t xml:space="preserve"> </w:t>
      </w:r>
      <w:r w:rsidRPr="005472E5">
        <w:rPr>
          <w:rFonts w:ascii="Times New Roman" w:hAnsi="Times New Roman" w:cs="Times New Roman"/>
          <w:sz w:val="24"/>
          <w:szCs w:val="24"/>
        </w:rPr>
        <w:t>OA. Th</w:t>
      </w:r>
      <w:r w:rsidR="00FA4E50" w:rsidRPr="005472E5">
        <w:rPr>
          <w:rFonts w:ascii="Times New Roman" w:hAnsi="Times New Roman" w:cs="Times New Roman"/>
          <w:sz w:val="24"/>
          <w:szCs w:val="24"/>
        </w:rPr>
        <w:t>os</w:t>
      </w:r>
      <w:r w:rsidRPr="005472E5">
        <w:rPr>
          <w:rFonts w:ascii="Times New Roman" w:hAnsi="Times New Roman" w:cs="Times New Roman"/>
          <w:sz w:val="24"/>
          <w:szCs w:val="24"/>
        </w:rPr>
        <w:t>e</w:t>
      </w:r>
      <w:r w:rsidR="00FA4E50" w:rsidRPr="005472E5">
        <w:rPr>
          <w:rFonts w:ascii="Times New Roman" w:hAnsi="Times New Roman" w:cs="Times New Roman"/>
          <w:sz w:val="24"/>
          <w:szCs w:val="24"/>
        </w:rPr>
        <w:t xml:space="preserve"> rules</w:t>
      </w:r>
      <w:r w:rsidRPr="005472E5">
        <w:rPr>
          <w:rFonts w:ascii="Times New Roman" w:hAnsi="Times New Roman" w:cs="Times New Roman"/>
          <w:sz w:val="24"/>
          <w:szCs w:val="24"/>
        </w:rPr>
        <w:t xml:space="preserve"> ushered in a number of procedural changes to the process. Unlike under pre-COVID conditions, for example, when only one hearing was scheduled, a new two-stage process came into operation. The first was constituted by the Review or ‘R date’ followed, if necessary, 28 days later by the Substantive or ‘S hearing’. </w:t>
      </w:r>
    </w:p>
    <w:p w14:paraId="60B6E177" w14:textId="77777777" w:rsidR="00FB43A7" w:rsidRPr="005472E5" w:rsidRDefault="00FB43A7" w:rsidP="00FB43A7">
      <w:pPr>
        <w:rPr>
          <w:rFonts w:ascii="Times New Roman" w:hAnsi="Times New Roman" w:cs="Times New Roman"/>
          <w:b/>
          <w:bCs/>
          <w:sz w:val="24"/>
          <w:szCs w:val="24"/>
        </w:rPr>
      </w:pPr>
      <w:bookmarkStart w:id="0" w:name="_Toc90458422"/>
      <w:r w:rsidRPr="005472E5">
        <w:rPr>
          <w:rFonts w:ascii="Times New Roman" w:hAnsi="Times New Roman" w:cs="Times New Roman"/>
          <w:b/>
          <w:bCs/>
          <w:sz w:val="24"/>
          <w:szCs w:val="24"/>
        </w:rPr>
        <w:lastRenderedPageBreak/>
        <w:t>The Review date (R date)</w:t>
      </w:r>
      <w:bookmarkEnd w:id="0"/>
    </w:p>
    <w:p w14:paraId="62F47E46" w14:textId="7F5912F8" w:rsidR="00FB43A7" w:rsidRPr="005472E5" w:rsidRDefault="00FB43A7" w:rsidP="00FB43A7">
      <w:pPr>
        <w:rPr>
          <w:rFonts w:ascii="Times New Roman" w:hAnsi="Times New Roman" w:cs="Times New Roman"/>
          <w:b/>
          <w:bCs/>
          <w:sz w:val="24"/>
          <w:szCs w:val="24"/>
        </w:rPr>
      </w:pPr>
      <w:r w:rsidRPr="005472E5">
        <w:rPr>
          <w:rFonts w:ascii="Times New Roman" w:hAnsi="Times New Roman" w:cs="Times New Roman"/>
          <w:sz w:val="24"/>
          <w:szCs w:val="24"/>
        </w:rPr>
        <w:t>The R date provided an opportunity for the parties to provide each other and the court with information relevant to the claim, for the defendant to receive free legal advice under the HPCDS and for the parties to reach agreement.</w:t>
      </w:r>
      <w:r w:rsidRPr="005472E5">
        <w:rPr>
          <w:rFonts w:ascii="Times New Roman" w:hAnsi="Times New Roman" w:cs="Times New Roman"/>
          <w:sz w:val="24"/>
          <w:szCs w:val="24"/>
          <w:vertAlign w:val="superscript"/>
        </w:rPr>
        <w:footnoteReference w:id="12"/>
      </w:r>
      <w:r w:rsidRPr="005472E5">
        <w:rPr>
          <w:rFonts w:ascii="Times New Roman" w:hAnsi="Times New Roman" w:cs="Times New Roman"/>
          <w:sz w:val="24"/>
          <w:szCs w:val="24"/>
        </w:rPr>
        <w:t xml:space="preserve"> </w:t>
      </w:r>
      <w:r w:rsidR="00356B7D" w:rsidRPr="005472E5">
        <w:rPr>
          <w:rFonts w:ascii="Times New Roman" w:hAnsi="Times New Roman" w:cs="Times New Roman"/>
          <w:sz w:val="24"/>
          <w:szCs w:val="24"/>
        </w:rPr>
        <w:t>T</w:t>
      </w:r>
      <w:r w:rsidRPr="005472E5">
        <w:rPr>
          <w:rFonts w:ascii="Times New Roman" w:hAnsi="Times New Roman" w:cs="Times New Roman"/>
          <w:sz w:val="24"/>
          <w:szCs w:val="24"/>
        </w:rPr>
        <w:t>he important point to note</w:t>
      </w:r>
      <w:r w:rsidR="00356B7D" w:rsidRPr="005472E5">
        <w:rPr>
          <w:rFonts w:ascii="Times New Roman" w:hAnsi="Times New Roman" w:cs="Times New Roman"/>
          <w:sz w:val="24"/>
          <w:szCs w:val="24"/>
        </w:rPr>
        <w:t xml:space="preserve"> here</w:t>
      </w:r>
      <w:r w:rsidRPr="005472E5">
        <w:rPr>
          <w:rFonts w:ascii="Times New Roman" w:hAnsi="Times New Roman" w:cs="Times New Roman"/>
          <w:sz w:val="24"/>
          <w:szCs w:val="24"/>
        </w:rPr>
        <w:t xml:space="preserve"> is that </w:t>
      </w:r>
      <w:r w:rsidR="00356B7D" w:rsidRPr="005472E5">
        <w:rPr>
          <w:rFonts w:ascii="Times New Roman" w:hAnsi="Times New Roman" w:cs="Times New Roman"/>
          <w:sz w:val="24"/>
          <w:szCs w:val="24"/>
        </w:rPr>
        <w:t>the provision of free legal advic</w:t>
      </w:r>
      <w:r w:rsidR="00104A75" w:rsidRPr="005472E5">
        <w:rPr>
          <w:rFonts w:ascii="Times New Roman" w:hAnsi="Times New Roman" w:cs="Times New Roman"/>
          <w:sz w:val="24"/>
          <w:szCs w:val="24"/>
        </w:rPr>
        <w:t>e</w:t>
      </w:r>
      <w:r w:rsidRPr="005472E5">
        <w:rPr>
          <w:rFonts w:ascii="Times New Roman" w:hAnsi="Times New Roman" w:cs="Times New Roman"/>
          <w:sz w:val="24"/>
          <w:szCs w:val="24"/>
        </w:rPr>
        <w:t xml:space="preserve"> was </w:t>
      </w:r>
      <w:r w:rsidR="0003381B">
        <w:rPr>
          <w:rFonts w:ascii="Times New Roman" w:hAnsi="Times New Roman" w:cs="Times New Roman"/>
          <w:sz w:val="24"/>
          <w:szCs w:val="24"/>
        </w:rPr>
        <w:t xml:space="preserve">made </w:t>
      </w:r>
      <w:r w:rsidRPr="005472E5">
        <w:rPr>
          <w:rFonts w:ascii="Times New Roman" w:hAnsi="Times New Roman" w:cs="Times New Roman"/>
          <w:sz w:val="24"/>
          <w:szCs w:val="24"/>
        </w:rPr>
        <w:t xml:space="preserve">available at an earlier stage than was previously the case. Under the </w:t>
      </w:r>
      <w:r w:rsidR="004579C0" w:rsidRPr="005472E5">
        <w:rPr>
          <w:rFonts w:ascii="Times New Roman" w:hAnsi="Times New Roman" w:cs="Times New Roman"/>
          <w:sz w:val="24"/>
          <w:szCs w:val="24"/>
        </w:rPr>
        <w:t>OA</w:t>
      </w:r>
      <w:r w:rsidRPr="005472E5">
        <w:rPr>
          <w:rFonts w:ascii="Times New Roman" w:hAnsi="Times New Roman" w:cs="Times New Roman"/>
          <w:sz w:val="24"/>
          <w:szCs w:val="24"/>
        </w:rPr>
        <w:t>, legal advice was available at least 28 days before the S hearing at which a possession order might have been made.</w:t>
      </w:r>
      <w:r w:rsidRPr="005472E5">
        <w:rPr>
          <w:rFonts w:ascii="Times New Roman" w:hAnsi="Times New Roman" w:cs="Times New Roman"/>
          <w:sz w:val="24"/>
          <w:szCs w:val="24"/>
          <w:vertAlign w:val="superscript"/>
        </w:rPr>
        <w:footnoteReference w:id="13"/>
      </w:r>
      <w:r w:rsidRPr="005472E5">
        <w:rPr>
          <w:rFonts w:ascii="Times New Roman" w:hAnsi="Times New Roman" w:cs="Times New Roman"/>
          <w:sz w:val="24"/>
          <w:szCs w:val="24"/>
        </w:rPr>
        <w:t xml:space="preserve"> </w:t>
      </w:r>
      <w:r w:rsidR="00E515D8" w:rsidRPr="005472E5">
        <w:rPr>
          <w:rFonts w:ascii="Times New Roman" w:hAnsi="Times New Roman" w:cs="Times New Roman"/>
          <w:sz w:val="24"/>
          <w:szCs w:val="24"/>
        </w:rPr>
        <w:t xml:space="preserve">Previously, advice would have been accessed on the day of the hearing. </w:t>
      </w:r>
    </w:p>
    <w:p w14:paraId="23CB3471" w14:textId="755476BE" w:rsidR="00FB43A7" w:rsidRPr="005472E5" w:rsidRDefault="00FB43A7" w:rsidP="00FB43A7">
      <w:pPr>
        <w:rPr>
          <w:rFonts w:ascii="Times New Roman" w:hAnsi="Times New Roman" w:cs="Times New Roman"/>
          <w:sz w:val="24"/>
          <w:szCs w:val="24"/>
        </w:rPr>
      </w:pPr>
      <w:r w:rsidRPr="005472E5">
        <w:rPr>
          <w:rFonts w:ascii="Times New Roman" w:hAnsi="Times New Roman" w:cs="Times New Roman"/>
          <w:sz w:val="24"/>
          <w:szCs w:val="24"/>
        </w:rPr>
        <w:t xml:space="preserve">The R date was intended to operate on the basis that the defendant </w:t>
      </w:r>
      <w:r w:rsidR="00D7236D">
        <w:rPr>
          <w:rFonts w:ascii="Times New Roman" w:hAnsi="Times New Roman" w:cs="Times New Roman"/>
          <w:sz w:val="24"/>
          <w:szCs w:val="24"/>
        </w:rPr>
        <w:t xml:space="preserve">(occupier) </w:t>
      </w:r>
      <w:r w:rsidRPr="005472E5">
        <w:rPr>
          <w:rFonts w:ascii="Times New Roman" w:hAnsi="Times New Roman" w:cs="Times New Roman"/>
          <w:sz w:val="24"/>
          <w:szCs w:val="24"/>
        </w:rPr>
        <w:t>would contact the duty adviser on a scheduled date with the advice delivered either face-to-face or remotely.</w:t>
      </w:r>
      <w:r w:rsidRPr="005472E5">
        <w:rPr>
          <w:rFonts w:ascii="Times New Roman" w:hAnsi="Times New Roman" w:cs="Times New Roman"/>
          <w:sz w:val="24"/>
          <w:szCs w:val="24"/>
          <w:vertAlign w:val="superscript"/>
        </w:rPr>
        <w:footnoteReference w:id="14"/>
      </w:r>
      <w:r w:rsidRPr="005472E5">
        <w:rPr>
          <w:rFonts w:ascii="Times New Roman" w:hAnsi="Times New Roman" w:cs="Times New Roman"/>
          <w:sz w:val="24"/>
          <w:szCs w:val="24"/>
        </w:rPr>
        <w:t xml:space="preserve"> </w:t>
      </w:r>
      <w:r w:rsidR="00104A75" w:rsidRPr="005472E5">
        <w:rPr>
          <w:rFonts w:ascii="Times New Roman" w:hAnsi="Times New Roman" w:cs="Times New Roman"/>
          <w:sz w:val="24"/>
          <w:szCs w:val="24"/>
        </w:rPr>
        <w:t xml:space="preserve">The claimant </w:t>
      </w:r>
      <w:r w:rsidR="00D7236D">
        <w:rPr>
          <w:rFonts w:ascii="Times New Roman" w:hAnsi="Times New Roman" w:cs="Times New Roman"/>
          <w:sz w:val="24"/>
          <w:szCs w:val="24"/>
        </w:rPr>
        <w:t xml:space="preserve">(landlord/lender) </w:t>
      </w:r>
      <w:r w:rsidR="00104A75" w:rsidRPr="005472E5">
        <w:rPr>
          <w:rFonts w:ascii="Times New Roman" w:hAnsi="Times New Roman" w:cs="Times New Roman"/>
          <w:sz w:val="24"/>
          <w:szCs w:val="24"/>
        </w:rPr>
        <w:t>was also expected to be available on the R date so that negotiation could take place.</w:t>
      </w:r>
      <w:r w:rsidR="00106D1F" w:rsidRPr="005472E5">
        <w:rPr>
          <w:rFonts w:ascii="Times New Roman" w:hAnsi="Times New Roman" w:cs="Times New Roman"/>
          <w:sz w:val="24"/>
          <w:szCs w:val="24"/>
          <w:vertAlign w:val="superscript"/>
        </w:rPr>
        <w:footnoteReference w:id="15"/>
      </w:r>
      <w:r w:rsidR="00104A75" w:rsidRPr="005472E5">
        <w:rPr>
          <w:rFonts w:ascii="Times New Roman" w:hAnsi="Times New Roman" w:cs="Times New Roman"/>
          <w:sz w:val="24"/>
          <w:szCs w:val="24"/>
        </w:rPr>
        <w:t xml:space="preserve"> A</w:t>
      </w:r>
      <w:r w:rsidRPr="005472E5">
        <w:rPr>
          <w:rFonts w:ascii="Times New Roman" w:hAnsi="Times New Roman" w:cs="Times New Roman"/>
          <w:sz w:val="24"/>
          <w:szCs w:val="24"/>
        </w:rPr>
        <w:t xml:space="preserve">ny resolution or directions agreed by the parties on the R date would </w:t>
      </w:r>
      <w:r w:rsidR="00104A75" w:rsidRPr="005472E5">
        <w:rPr>
          <w:rFonts w:ascii="Times New Roman" w:hAnsi="Times New Roman" w:cs="Times New Roman"/>
          <w:sz w:val="24"/>
          <w:szCs w:val="24"/>
        </w:rPr>
        <w:t xml:space="preserve">then </w:t>
      </w:r>
      <w:r w:rsidRPr="005472E5">
        <w:rPr>
          <w:rFonts w:ascii="Times New Roman" w:hAnsi="Times New Roman" w:cs="Times New Roman"/>
          <w:sz w:val="24"/>
          <w:szCs w:val="24"/>
        </w:rPr>
        <w:t xml:space="preserve">be communicated to </w:t>
      </w:r>
      <w:r w:rsidR="00104A75" w:rsidRPr="005472E5">
        <w:rPr>
          <w:rFonts w:ascii="Times New Roman" w:hAnsi="Times New Roman" w:cs="Times New Roman"/>
          <w:sz w:val="24"/>
          <w:szCs w:val="24"/>
        </w:rPr>
        <w:t>a</w:t>
      </w:r>
      <w:r w:rsidRPr="005472E5">
        <w:rPr>
          <w:rFonts w:ascii="Times New Roman" w:hAnsi="Times New Roman" w:cs="Times New Roman"/>
          <w:sz w:val="24"/>
          <w:szCs w:val="24"/>
        </w:rPr>
        <w:t xml:space="preserve"> judge.</w:t>
      </w:r>
      <w:r w:rsidRPr="005472E5">
        <w:rPr>
          <w:rFonts w:ascii="Times New Roman" w:hAnsi="Times New Roman" w:cs="Times New Roman"/>
          <w:sz w:val="24"/>
          <w:szCs w:val="24"/>
          <w:vertAlign w:val="superscript"/>
        </w:rPr>
        <w:footnoteReference w:id="16"/>
      </w:r>
      <w:r w:rsidRPr="005472E5">
        <w:rPr>
          <w:rFonts w:ascii="Times New Roman" w:hAnsi="Times New Roman" w:cs="Times New Roman"/>
          <w:sz w:val="24"/>
          <w:szCs w:val="24"/>
        </w:rPr>
        <w:t xml:space="preserve"> The judge would undertake a ‘very short’ (five minute) appointment at the end of the </w:t>
      </w:r>
      <w:r w:rsidR="00E515D8" w:rsidRPr="005472E5">
        <w:rPr>
          <w:rFonts w:ascii="Times New Roman" w:hAnsi="Times New Roman" w:cs="Times New Roman"/>
          <w:sz w:val="24"/>
          <w:szCs w:val="24"/>
        </w:rPr>
        <w:t xml:space="preserve">day </w:t>
      </w:r>
      <w:r w:rsidR="004835E5" w:rsidRPr="005472E5">
        <w:rPr>
          <w:rFonts w:ascii="Times New Roman" w:hAnsi="Times New Roman" w:cs="Times New Roman"/>
          <w:sz w:val="24"/>
          <w:szCs w:val="24"/>
        </w:rPr>
        <w:t xml:space="preserve">on which </w:t>
      </w:r>
      <w:r w:rsidRPr="005472E5">
        <w:rPr>
          <w:rFonts w:ascii="Times New Roman" w:hAnsi="Times New Roman" w:cs="Times New Roman"/>
          <w:sz w:val="24"/>
          <w:szCs w:val="24"/>
        </w:rPr>
        <w:t>R date</w:t>
      </w:r>
      <w:r w:rsidR="004835E5" w:rsidRPr="005472E5">
        <w:rPr>
          <w:rFonts w:ascii="Times New Roman" w:hAnsi="Times New Roman" w:cs="Times New Roman"/>
          <w:sz w:val="24"/>
          <w:szCs w:val="24"/>
        </w:rPr>
        <w:t>s had taken place</w:t>
      </w:r>
      <w:r w:rsidRPr="005472E5">
        <w:rPr>
          <w:rFonts w:ascii="Times New Roman" w:hAnsi="Times New Roman" w:cs="Times New Roman"/>
          <w:sz w:val="24"/>
          <w:szCs w:val="24"/>
        </w:rPr>
        <w:t xml:space="preserve"> during which</w:t>
      </w:r>
      <w:r w:rsidR="004835E5" w:rsidRPr="005472E5">
        <w:rPr>
          <w:rFonts w:ascii="Times New Roman" w:hAnsi="Times New Roman" w:cs="Times New Roman"/>
          <w:sz w:val="24"/>
          <w:szCs w:val="24"/>
        </w:rPr>
        <w:t>,</w:t>
      </w:r>
      <w:r w:rsidRPr="005472E5">
        <w:rPr>
          <w:rFonts w:ascii="Times New Roman" w:hAnsi="Times New Roman" w:cs="Times New Roman"/>
          <w:sz w:val="24"/>
          <w:szCs w:val="24"/>
        </w:rPr>
        <w:t xml:space="preserve"> a review of the paperwork would be undertaken with none of the parties in attendance.</w:t>
      </w:r>
      <w:r w:rsidRPr="005472E5">
        <w:rPr>
          <w:rFonts w:ascii="Times New Roman" w:hAnsi="Times New Roman" w:cs="Times New Roman"/>
          <w:sz w:val="24"/>
          <w:szCs w:val="24"/>
          <w:vertAlign w:val="superscript"/>
        </w:rPr>
        <w:footnoteReference w:id="17"/>
      </w:r>
      <w:r w:rsidRPr="005472E5">
        <w:rPr>
          <w:rFonts w:ascii="Times New Roman" w:hAnsi="Times New Roman" w:cs="Times New Roman"/>
          <w:sz w:val="24"/>
          <w:szCs w:val="24"/>
        </w:rPr>
        <w:t xml:space="preserve"> </w:t>
      </w:r>
      <w:r w:rsidR="00104A75" w:rsidRPr="005472E5">
        <w:rPr>
          <w:rFonts w:ascii="Times New Roman" w:hAnsi="Times New Roman" w:cs="Times New Roman"/>
          <w:sz w:val="24"/>
          <w:szCs w:val="24"/>
        </w:rPr>
        <w:t xml:space="preserve">The </w:t>
      </w:r>
      <w:r w:rsidRPr="005472E5">
        <w:rPr>
          <w:rFonts w:ascii="Times New Roman" w:hAnsi="Times New Roman" w:cs="Times New Roman"/>
          <w:sz w:val="24"/>
          <w:szCs w:val="24"/>
        </w:rPr>
        <w:t xml:space="preserve">judge would consider the material provided and if appropriate, proceed to the second stage of the temporary process known as the ‘S hearing’ which </w:t>
      </w:r>
      <w:r w:rsidR="00D7236D">
        <w:rPr>
          <w:rFonts w:ascii="Times New Roman" w:hAnsi="Times New Roman" w:cs="Times New Roman"/>
          <w:sz w:val="24"/>
          <w:szCs w:val="24"/>
        </w:rPr>
        <w:t>would be</w:t>
      </w:r>
      <w:r w:rsidRPr="005472E5">
        <w:rPr>
          <w:rFonts w:ascii="Times New Roman" w:hAnsi="Times New Roman" w:cs="Times New Roman"/>
          <w:sz w:val="24"/>
          <w:szCs w:val="24"/>
        </w:rPr>
        <w:t xml:space="preserve"> scheduled 28 days later.</w:t>
      </w:r>
      <w:r w:rsidRPr="005472E5">
        <w:rPr>
          <w:rFonts w:ascii="Times New Roman" w:hAnsi="Times New Roman" w:cs="Times New Roman"/>
          <w:sz w:val="24"/>
          <w:szCs w:val="24"/>
          <w:vertAlign w:val="superscript"/>
        </w:rPr>
        <w:footnoteReference w:id="18"/>
      </w:r>
      <w:r w:rsidRPr="005472E5">
        <w:rPr>
          <w:rFonts w:ascii="Times New Roman" w:hAnsi="Times New Roman" w:cs="Times New Roman"/>
          <w:sz w:val="24"/>
          <w:szCs w:val="24"/>
        </w:rPr>
        <w:t xml:space="preserve"> </w:t>
      </w:r>
    </w:p>
    <w:p w14:paraId="45A78939" w14:textId="77777777" w:rsidR="00FB43A7" w:rsidRPr="005472E5" w:rsidRDefault="00FB43A7" w:rsidP="00FB43A7">
      <w:pPr>
        <w:rPr>
          <w:rFonts w:ascii="Times New Roman" w:hAnsi="Times New Roman" w:cs="Times New Roman"/>
          <w:b/>
          <w:bCs/>
          <w:sz w:val="24"/>
          <w:szCs w:val="24"/>
        </w:rPr>
      </w:pPr>
      <w:bookmarkStart w:id="1" w:name="_Toc90458424"/>
      <w:r w:rsidRPr="005472E5">
        <w:rPr>
          <w:rFonts w:ascii="Times New Roman" w:hAnsi="Times New Roman" w:cs="Times New Roman"/>
          <w:b/>
          <w:bCs/>
          <w:sz w:val="24"/>
          <w:szCs w:val="24"/>
        </w:rPr>
        <w:t>The Substantive or ‘S hearing’</w:t>
      </w:r>
      <w:bookmarkEnd w:id="1"/>
      <w:r w:rsidRPr="005472E5">
        <w:rPr>
          <w:rFonts w:ascii="Times New Roman" w:hAnsi="Times New Roman" w:cs="Times New Roman"/>
          <w:b/>
          <w:bCs/>
          <w:sz w:val="24"/>
          <w:szCs w:val="24"/>
        </w:rPr>
        <w:t xml:space="preserve"> </w:t>
      </w:r>
    </w:p>
    <w:p w14:paraId="4748360F" w14:textId="2D1D0305" w:rsidR="00FB43A7" w:rsidRPr="005472E5" w:rsidRDefault="00FB43A7" w:rsidP="00FB43A7">
      <w:pPr>
        <w:rPr>
          <w:rFonts w:ascii="Times New Roman" w:hAnsi="Times New Roman" w:cs="Times New Roman"/>
          <w:sz w:val="24"/>
          <w:szCs w:val="24"/>
        </w:rPr>
      </w:pPr>
      <w:r w:rsidRPr="005472E5">
        <w:rPr>
          <w:rFonts w:ascii="Times New Roman" w:hAnsi="Times New Roman" w:cs="Times New Roman"/>
          <w:sz w:val="24"/>
          <w:szCs w:val="24"/>
        </w:rPr>
        <w:t xml:space="preserve">Unlike pre-COVID hearings, </w:t>
      </w:r>
      <w:r w:rsidR="00104A75" w:rsidRPr="005472E5">
        <w:rPr>
          <w:rFonts w:ascii="Times New Roman" w:hAnsi="Times New Roman" w:cs="Times New Roman"/>
          <w:sz w:val="24"/>
          <w:szCs w:val="24"/>
        </w:rPr>
        <w:t>where cases were</w:t>
      </w:r>
      <w:r w:rsidRPr="005472E5">
        <w:rPr>
          <w:rFonts w:ascii="Times New Roman" w:hAnsi="Times New Roman" w:cs="Times New Roman"/>
          <w:sz w:val="24"/>
          <w:szCs w:val="24"/>
        </w:rPr>
        <w:t xml:space="preserve"> ‘block list</w:t>
      </w:r>
      <w:r w:rsidR="00104A75" w:rsidRPr="005472E5">
        <w:rPr>
          <w:rFonts w:ascii="Times New Roman" w:hAnsi="Times New Roman" w:cs="Times New Roman"/>
          <w:sz w:val="24"/>
          <w:szCs w:val="24"/>
        </w:rPr>
        <w:t>ed</w:t>
      </w:r>
      <w:r w:rsidRPr="005472E5">
        <w:rPr>
          <w:rFonts w:ascii="Times New Roman" w:hAnsi="Times New Roman" w:cs="Times New Roman"/>
          <w:sz w:val="24"/>
          <w:szCs w:val="24"/>
        </w:rPr>
        <w:t>’,</w:t>
      </w:r>
      <w:r w:rsidRPr="005472E5">
        <w:rPr>
          <w:rFonts w:ascii="Times New Roman" w:hAnsi="Times New Roman" w:cs="Times New Roman"/>
          <w:sz w:val="24"/>
          <w:szCs w:val="24"/>
          <w:vertAlign w:val="superscript"/>
        </w:rPr>
        <w:footnoteReference w:id="19"/>
      </w:r>
      <w:r w:rsidRPr="005472E5">
        <w:rPr>
          <w:rFonts w:ascii="Times New Roman" w:hAnsi="Times New Roman" w:cs="Times New Roman"/>
          <w:sz w:val="24"/>
          <w:szCs w:val="24"/>
        </w:rPr>
        <w:t xml:space="preserve"> </w:t>
      </w:r>
      <w:r w:rsidR="00B505B7" w:rsidRPr="005472E5">
        <w:rPr>
          <w:rFonts w:ascii="Times New Roman" w:hAnsi="Times New Roman" w:cs="Times New Roman"/>
          <w:sz w:val="24"/>
          <w:szCs w:val="24"/>
        </w:rPr>
        <w:t xml:space="preserve">leading to cases being scheduled for only a few minutes each, </w:t>
      </w:r>
      <w:r w:rsidRPr="005472E5">
        <w:rPr>
          <w:rFonts w:ascii="Times New Roman" w:hAnsi="Times New Roman" w:cs="Times New Roman"/>
          <w:sz w:val="24"/>
          <w:szCs w:val="24"/>
        </w:rPr>
        <w:t>S hearings</w:t>
      </w:r>
      <w:r w:rsidR="00104A75" w:rsidRPr="005472E5">
        <w:rPr>
          <w:rFonts w:ascii="Times New Roman" w:hAnsi="Times New Roman" w:cs="Times New Roman"/>
          <w:sz w:val="24"/>
          <w:szCs w:val="24"/>
        </w:rPr>
        <w:t xml:space="preserve"> were scheduled</w:t>
      </w:r>
      <w:r w:rsidRPr="005472E5">
        <w:rPr>
          <w:rFonts w:ascii="Times New Roman" w:hAnsi="Times New Roman" w:cs="Times New Roman"/>
          <w:sz w:val="24"/>
          <w:szCs w:val="24"/>
        </w:rPr>
        <w:t xml:space="preserve"> for fifteen minutes, with five minutes in between hearings to allow for COVID-19 safety measures to be implemented.</w:t>
      </w:r>
      <w:r w:rsidRPr="005472E5">
        <w:rPr>
          <w:rFonts w:ascii="Times New Roman" w:hAnsi="Times New Roman" w:cs="Times New Roman"/>
          <w:sz w:val="24"/>
          <w:szCs w:val="24"/>
          <w:vertAlign w:val="superscript"/>
        </w:rPr>
        <w:footnoteReference w:id="20"/>
      </w:r>
      <w:r w:rsidR="004835E5" w:rsidRPr="005472E5">
        <w:rPr>
          <w:rFonts w:ascii="Times New Roman" w:hAnsi="Times New Roman" w:cs="Times New Roman"/>
          <w:sz w:val="24"/>
          <w:szCs w:val="24"/>
        </w:rPr>
        <w:t xml:space="preserve"> Other than th</w:t>
      </w:r>
      <w:r w:rsidR="00B505B7" w:rsidRPr="005472E5">
        <w:rPr>
          <w:rFonts w:ascii="Times New Roman" w:hAnsi="Times New Roman" w:cs="Times New Roman"/>
          <w:sz w:val="24"/>
          <w:szCs w:val="24"/>
        </w:rPr>
        <w:t>at</w:t>
      </w:r>
      <w:r w:rsidR="004835E5" w:rsidRPr="005472E5">
        <w:rPr>
          <w:rFonts w:ascii="Times New Roman" w:hAnsi="Times New Roman" w:cs="Times New Roman"/>
          <w:sz w:val="24"/>
          <w:szCs w:val="24"/>
        </w:rPr>
        <w:t>, they operated in much the same way as under pre-COVID rules.</w:t>
      </w:r>
    </w:p>
    <w:p w14:paraId="384EBBEF" w14:textId="77777777" w:rsidR="00FB43A7" w:rsidRPr="005472E5" w:rsidRDefault="00FB43A7" w:rsidP="00FB43A7">
      <w:pPr>
        <w:rPr>
          <w:rFonts w:ascii="Times New Roman" w:hAnsi="Times New Roman" w:cs="Times New Roman"/>
          <w:b/>
          <w:bCs/>
          <w:sz w:val="24"/>
          <w:szCs w:val="24"/>
        </w:rPr>
      </w:pPr>
      <w:bookmarkStart w:id="2" w:name="_Toc90458420"/>
      <w:bookmarkStart w:id="3" w:name="_Toc90458426"/>
      <w:r w:rsidRPr="005472E5">
        <w:rPr>
          <w:rFonts w:ascii="Times New Roman" w:hAnsi="Times New Roman" w:cs="Times New Roman"/>
          <w:b/>
          <w:bCs/>
          <w:sz w:val="24"/>
          <w:szCs w:val="24"/>
        </w:rPr>
        <w:t>‘Enhanced Information’</w:t>
      </w:r>
      <w:bookmarkEnd w:id="2"/>
    </w:p>
    <w:p w14:paraId="3F8C9B89" w14:textId="77777777" w:rsidR="00FB43A7" w:rsidRPr="005472E5" w:rsidRDefault="00FB43A7" w:rsidP="00FB43A7">
      <w:pPr>
        <w:rPr>
          <w:rFonts w:ascii="Times New Roman" w:hAnsi="Times New Roman" w:cs="Times New Roman"/>
          <w:sz w:val="24"/>
          <w:szCs w:val="24"/>
        </w:rPr>
      </w:pPr>
      <w:r w:rsidRPr="005472E5">
        <w:rPr>
          <w:rFonts w:ascii="Times New Roman" w:hAnsi="Times New Roman" w:cs="Times New Roman"/>
          <w:sz w:val="24"/>
          <w:szCs w:val="24"/>
        </w:rPr>
        <w:t>Under the OA, claimants were required to provide an electronic bundle of material to the court and the defendant 14 days before the R date.</w:t>
      </w:r>
      <w:r w:rsidRPr="005472E5">
        <w:rPr>
          <w:rFonts w:ascii="Times New Roman" w:hAnsi="Times New Roman" w:cs="Times New Roman"/>
          <w:sz w:val="24"/>
          <w:szCs w:val="24"/>
          <w:vertAlign w:val="superscript"/>
        </w:rPr>
        <w:footnoteReference w:id="21"/>
      </w:r>
      <w:r w:rsidRPr="005472E5">
        <w:rPr>
          <w:rFonts w:ascii="Times New Roman" w:hAnsi="Times New Roman" w:cs="Times New Roman"/>
          <w:sz w:val="24"/>
          <w:szCs w:val="24"/>
        </w:rPr>
        <w:t xml:space="preserve"> In addition to the usual information required (such as the claim form and particulars of claim) and in an effort to account for the impact of the COVID-19 pandemic on the parties, the bundle provided by the claimant had to include ‘enhanced information’, namely ‘what knowledge the claimant has as to the effect of </w:t>
      </w:r>
      <w:r w:rsidRPr="005472E5">
        <w:rPr>
          <w:rFonts w:ascii="Times New Roman" w:hAnsi="Times New Roman" w:cs="Times New Roman"/>
          <w:sz w:val="24"/>
          <w:szCs w:val="24"/>
        </w:rPr>
        <w:lastRenderedPageBreak/>
        <w:t>the pandemic on the defendant and dependants.’</w:t>
      </w:r>
      <w:r w:rsidRPr="005472E5">
        <w:rPr>
          <w:rFonts w:ascii="Times New Roman" w:hAnsi="Times New Roman" w:cs="Times New Roman"/>
          <w:sz w:val="24"/>
          <w:szCs w:val="24"/>
          <w:vertAlign w:val="superscript"/>
        </w:rPr>
        <w:footnoteReference w:id="22"/>
      </w:r>
      <w:r w:rsidRPr="005472E5">
        <w:rPr>
          <w:rFonts w:ascii="Times New Roman" w:hAnsi="Times New Roman" w:cs="Times New Roman"/>
          <w:sz w:val="24"/>
          <w:szCs w:val="24"/>
        </w:rPr>
        <w:t xml:space="preserve"> An important point to note here is that claimants were not </w:t>
      </w:r>
      <w:r w:rsidRPr="005472E5">
        <w:rPr>
          <w:rFonts w:ascii="Times New Roman" w:hAnsi="Times New Roman" w:cs="Times New Roman"/>
          <w:i/>
          <w:iCs/>
          <w:sz w:val="24"/>
          <w:szCs w:val="24"/>
        </w:rPr>
        <w:t>required</w:t>
      </w:r>
      <w:r w:rsidRPr="005472E5">
        <w:rPr>
          <w:rFonts w:ascii="Times New Roman" w:hAnsi="Times New Roman" w:cs="Times New Roman"/>
          <w:sz w:val="24"/>
          <w:szCs w:val="24"/>
        </w:rPr>
        <w:t xml:space="preserve"> to enquire about the impact of the COVID-19 pandemic on the defendant but rather, had to </w:t>
      </w:r>
      <w:r w:rsidRPr="005472E5">
        <w:rPr>
          <w:rFonts w:ascii="Times New Roman" w:hAnsi="Times New Roman" w:cs="Times New Roman"/>
          <w:i/>
          <w:iCs/>
          <w:sz w:val="24"/>
          <w:szCs w:val="24"/>
        </w:rPr>
        <w:t>consider</w:t>
      </w:r>
      <w:r w:rsidRPr="005472E5">
        <w:rPr>
          <w:rFonts w:ascii="Times New Roman" w:hAnsi="Times New Roman" w:cs="Times New Roman"/>
          <w:sz w:val="24"/>
          <w:szCs w:val="24"/>
        </w:rPr>
        <w:t xml:space="preserve"> whether to make such enquiries.</w:t>
      </w:r>
      <w:r w:rsidRPr="005472E5">
        <w:rPr>
          <w:rFonts w:ascii="Times New Roman" w:hAnsi="Times New Roman" w:cs="Times New Roman"/>
          <w:sz w:val="24"/>
          <w:szCs w:val="24"/>
          <w:vertAlign w:val="superscript"/>
        </w:rPr>
        <w:footnoteReference w:id="23"/>
      </w:r>
      <w:r w:rsidRPr="005472E5">
        <w:rPr>
          <w:rFonts w:ascii="Times New Roman" w:hAnsi="Times New Roman" w:cs="Times New Roman"/>
          <w:sz w:val="24"/>
          <w:szCs w:val="24"/>
        </w:rPr>
        <w:t xml:space="preserve"> </w:t>
      </w:r>
    </w:p>
    <w:p w14:paraId="1037BD33" w14:textId="77777777" w:rsidR="00FB43A7" w:rsidRPr="005472E5" w:rsidRDefault="00FB43A7" w:rsidP="00FB43A7">
      <w:pPr>
        <w:rPr>
          <w:rFonts w:ascii="Times New Roman" w:hAnsi="Times New Roman" w:cs="Times New Roman"/>
          <w:b/>
          <w:bCs/>
          <w:sz w:val="24"/>
          <w:szCs w:val="24"/>
        </w:rPr>
      </w:pPr>
      <w:r w:rsidRPr="005472E5">
        <w:rPr>
          <w:rFonts w:ascii="Times New Roman" w:hAnsi="Times New Roman" w:cs="Times New Roman"/>
          <w:b/>
          <w:bCs/>
          <w:sz w:val="24"/>
          <w:szCs w:val="24"/>
        </w:rPr>
        <w:t>Post-OA</w:t>
      </w:r>
      <w:bookmarkEnd w:id="3"/>
    </w:p>
    <w:p w14:paraId="45620C9E" w14:textId="7F46602E" w:rsidR="00FB43A7" w:rsidRPr="005472E5" w:rsidRDefault="00FB43A7" w:rsidP="00FB43A7">
      <w:pPr>
        <w:rPr>
          <w:rFonts w:ascii="Times New Roman" w:hAnsi="Times New Roman" w:cs="Times New Roman"/>
          <w:sz w:val="24"/>
          <w:szCs w:val="24"/>
        </w:rPr>
      </w:pPr>
      <w:r w:rsidRPr="005472E5">
        <w:rPr>
          <w:rFonts w:ascii="Times New Roman" w:hAnsi="Times New Roman" w:cs="Times New Roman"/>
          <w:sz w:val="24"/>
          <w:szCs w:val="24"/>
        </w:rPr>
        <w:t>As of 1 November 2021, the OA came to an end and the process reverted to the pre-COVID ways of doing things.</w:t>
      </w:r>
      <w:r w:rsidRPr="005472E5">
        <w:rPr>
          <w:rFonts w:ascii="Times New Roman" w:hAnsi="Times New Roman" w:cs="Times New Roman"/>
          <w:sz w:val="24"/>
          <w:szCs w:val="24"/>
          <w:vertAlign w:val="superscript"/>
        </w:rPr>
        <w:footnoteReference w:id="24"/>
      </w:r>
      <w:r w:rsidRPr="005472E5">
        <w:rPr>
          <w:rFonts w:ascii="Times New Roman" w:hAnsi="Times New Roman" w:cs="Times New Roman"/>
          <w:sz w:val="24"/>
          <w:szCs w:val="24"/>
        </w:rPr>
        <w:t xml:space="preserve"> The only measure retained </w:t>
      </w:r>
      <w:r w:rsidR="00C74D6A" w:rsidRPr="005472E5">
        <w:rPr>
          <w:rFonts w:ascii="Times New Roman" w:hAnsi="Times New Roman" w:cs="Times New Roman"/>
          <w:sz w:val="24"/>
          <w:szCs w:val="24"/>
        </w:rPr>
        <w:t xml:space="preserve">is </w:t>
      </w:r>
      <w:r w:rsidRPr="005472E5">
        <w:rPr>
          <w:rFonts w:ascii="Times New Roman" w:hAnsi="Times New Roman" w:cs="Times New Roman"/>
          <w:sz w:val="24"/>
          <w:szCs w:val="24"/>
        </w:rPr>
        <w:t>the</w:t>
      </w:r>
      <w:r w:rsidR="00C74D6A" w:rsidRPr="005472E5">
        <w:rPr>
          <w:rFonts w:ascii="Times New Roman" w:hAnsi="Times New Roman" w:cs="Times New Roman"/>
          <w:sz w:val="24"/>
          <w:szCs w:val="24"/>
        </w:rPr>
        <w:t xml:space="preserve"> aspect of the</w:t>
      </w:r>
      <w:r w:rsidRPr="005472E5">
        <w:rPr>
          <w:rFonts w:ascii="Times New Roman" w:hAnsi="Times New Roman" w:cs="Times New Roman"/>
          <w:sz w:val="24"/>
          <w:szCs w:val="24"/>
        </w:rPr>
        <w:t xml:space="preserve"> CPR which require</w:t>
      </w:r>
      <w:r w:rsidR="00C74D6A" w:rsidRPr="005472E5">
        <w:rPr>
          <w:rFonts w:ascii="Times New Roman" w:hAnsi="Times New Roman" w:cs="Times New Roman"/>
          <w:sz w:val="24"/>
          <w:szCs w:val="24"/>
        </w:rPr>
        <w:t>s</w:t>
      </w:r>
      <w:r w:rsidRPr="005472E5">
        <w:rPr>
          <w:rFonts w:ascii="Times New Roman" w:hAnsi="Times New Roman" w:cs="Times New Roman"/>
          <w:sz w:val="24"/>
          <w:szCs w:val="24"/>
        </w:rPr>
        <w:t xml:space="preserve"> claimants to bring two copies of a notice that sets out what knowledge that party has as to the effect of the COVID-19 pandemic on the occupier and their dependants.</w:t>
      </w:r>
      <w:r w:rsidRPr="005472E5">
        <w:rPr>
          <w:rFonts w:ascii="Times New Roman" w:hAnsi="Times New Roman" w:cs="Times New Roman"/>
          <w:sz w:val="24"/>
          <w:szCs w:val="24"/>
          <w:vertAlign w:val="superscript"/>
        </w:rPr>
        <w:footnoteReference w:id="25"/>
      </w:r>
      <w:r w:rsidRPr="005472E5">
        <w:rPr>
          <w:rFonts w:ascii="Times New Roman" w:hAnsi="Times New Roman" w:cs="Times New Roman"/>
          <w:sz w:val="24"/>
          <w:szCs w:val="24"/>
        </w:rPr>
        <w:t xml:space="preserve"> The question, addressed in the next section, is whether these measure</w:t>
      </w:r>
      <w:r w:rsidR="00B867C3" w:rsidRPr="005472E5">
        <w:rPr>
          <w:rFonts w:ascii="Times New Roman" w:hAnsi="Times New Roman" w:cs="Times New Roman"/>
          <w:sz w:val="24"/>
          <w:szCs w:val="24"/>
        </w:rPr>
        <w:t>s</w:t>
      </w:r>
      <w:r w:rsidRPr="005472E5">
        <w:rPr>
          <w:rFonts w:ascii="Times New Roman" w:hAnsi="Times New Roman" w:cs="Times New Roman"/>
          <w:sz w:val="24"/>
          <w:szCs w:val="24"/>
        </w:rPr>
        <w:t xml:space="preserve"> proved effective in meeting the objectives set out for them.</w:t>
      </w:r>
    </w:p>
    <w:p w14:paraId="6BAB6C4D" w14:textId="77777777" w:rsidR="00325965" w:rsidRPr="005472E5" w:rsidRDefault="00325965" w:rsidP="00325965">
      <w:pPr>
        <w:rPr>
          <w:rFonts w:ascii="Times New Roman" w:hAnsi="Times New Roman" w:cs="Times New Roman"/>
          <w:b/>
          <w:bCs/>
          <w:sz w:val="28"/>
          <w:szCs w:val="28"/>
        </w:rPr>
      </w:pPr>
      <w:bookmarkStart w:id="4" w:name="_Toc93393774"/>
      <w:r w:rsidRPr="005472E5">
        <w:rPr>
          <w:rFonts w:ascii="Times New Roman" w:hAnsi="Times New Roman" w:cs="Times New Roman"/>
          <w:b/>
          <w:bCs/>
          <w:sz w:val="28"/>
          <w:szCs w:val="28"/>
        </w:rPr>
        <w:t>Did the OA Reduce Volume in the System?</w:t>
      </w:r>
      <w:bookmarkEnd w:id="4"/>
    </w:p>
    <w:p w14:paraId="79B9AAA6" w14:textId="77777777" w:rsidR="00321A36" w:rsidRPr="005472E5" w:rsidRDefault="00321A36" w:rsidP="00325965">
      <w:pPr>
        <w:rPr>
          <w:rFonts w:ascii="Times New Roman" w:hAnsi="Times New Roman" w:cs="Times New Roman"/>
          <w:b/>
          <w:bCs/>
          <w:sz w:val="24"/>
          <w:szCs w:val="24"/>
        </w:rPr>
      </w:pPr>
      <w:r w:rsidRPr="005472E5">
        <w:rPr>
          <w:rFonts w:ascii="Times New Roman" w:hAnsi="Times New Roman" w:cs="Times New Roman"/>
          <w:b/>
          <w:bCs/>
          <w:sz w:val="24"/>
          <w:szCs w:val="24"/>
        </w:rPr>
        <w:t>R dates</w:t>
      </w:r>
    </w:p>
    <w:p w14:paraId="104C2266" w14:textId="007A952E" w:rsidR="00677CEB" w:rsidRPr="005472E5" w:rsidRDefault="00325965" w:rsidP="00325965">
      <w:pPr>
        <w:rPr>
          <w:rFonts w:ascii="Times New Roman" w:hAnsi="Times New Roman" w:cs="Times New Roman"/>
          <w:sz w:val="24"/>
          <w:szCs w:val="24"/>
        </w:rPr>
      </w:pPr>
      <w:r w:rsidRPr="005472E5">
        <w:rPr>
          <w:rFonts w:ascii="Times New Roman" w:hAnsi="Times New Roman" w:cs="Times New Roman"/>
          <w:sz w:val="24"/>
          <w:szCs w:val="24"/>
        </w:rPr>
        <w:t>Evidence to date suggests that the temporary measures introduced in response to the COVID-19 pandemic did not reduce the number of cases entering the legal system but rather delayed them.</w:t>
      </w:r>
      <w:r w:rsidR="00A659E9" w:rsidRPr="005472E5">
        <w:rPr>
          <w:rStyle w:val="FootnoteReference"/>
          <w:rFonts w:ascii="Times New Roman" w:hAnsi="Times New Roman" w:cs="Times New Roman"/>
          <w:sz w:val="24"/>
          <w:szCs w:val="24"/>
        </w:rPr>
        <w:footnoteReference w:id="26"/>
      </w:r>
      <w:r w:rsidRPr="005472E5">
        <w:rPr>
          <w:rFonts w:ascii="Times New Roman" w:hAnsi="Times New Roman" w:cs="Times New Roman"/>
          <w:sz w:val="24"/>
          <w:szCs w:val="24"/>
        </w:rPr>
        <w:t xml:space="preserve"> </w:t>
      </w:r>
      <w:r w:rsidR="006B4586" w:rsidRPr="005472E5">
        <w:rPr>
          <w:rFonts w:ascii="Times New Roman" w:hAnsi="Times New Roman" w:cs="Times New Roman"/>
          <w:sz w:val="24"/>
          <w:szCs w:val="24"/>
        </w:rPr>
        <w:t xml:space="preserve">This was particularly the case in respect of the R date process. </w:t>
      </w:r>
      <w:r w:rsidR="00A76BDA" w:rsidRPr="005472E5">
        <w:rPr>
          <w:rFonts w:ascii="Times New Roman" w:hAnsi="Times New Roman" w:cs="Times New Roman"/>
          <w:sz w:val="24"/>
          <w:szCs w:val="24"/>
        </w:rPr>
        <w:t xml:space="preserve">The </w:t>
      </w:r>
      <w:r w:rsidR="00321A36" w:rsidRPr="005472E5">
        <w:rPr>
          <w:rFonts w:ascii="Times New Roman" w:hAnsi="Times New Roman" w:cs="Times New Roman"/>
          <w:sz w:val="24"/>
          <w:szCs w:val="24"/>
        </w:rPr>
        <w:t>BIJ</w:t>
      </w:r>
      <w:r w:rsidR="00A76BDA" w:rsidRPr="005472E5">
        <w:rPr>
          <w:rFonts w:ascii="Times New Roman" w:hAnsi="Times New Roman" w:cs="Times New Roman"/>
          <w:sz w:val="24"/>
          <w:szCs w:val="24"/>
        </w:rPr>
        <w:t xml:space="preserve">, </w:t>
      </w:r>
      <w:r w:rsidR="006B4586" w:rsidRPr="005472E5">
        <w:rPr>
          <w:rFonts w:ascii="Times New Roman" w:hAnsi="Times New Roman" w:cs="Times New Roman"/>
          <w:sz w:val="24"/>
          <w:szCs w:val="24"/>
        </w:rPr>
        <w:t>for example,</w:t>
      </w:r>
      <w:r w:rsidR="00B867C3" w:rsidRPr="005472E5">
        <w:rPr>
          <w:rFonts w:ascii="Times New Roman" w:hAnsi="Times New Roman" w:cs="Times New Roman"/>
          <w:sz w:val="24"/>
          <w:szCs w:val="24"/>
        </w:rPr>
        <w:t xml:space="preserve"> found that, ‘… lawyers and judges told the Bureau that review hearings were not working: they were rarely attended and often just delayed proceedings, causing debts to mount up further. Data obtained under freedom of information law from the Ministry of Justice showed that in the majority of courts (72%), only two people or fewer a month had accessed legal aid funding for a review hearing.’</w:t>
      </w:r>
      <w:r w:rsidR="00B867C3" w:rsidRPr="005472E5">
        <w:rPr>
          <w:rFonts w:ascii="Times New Roman" w:hAnsi="Times New Roman" w:cs="Times New Roman"/>
          <w:sz w:val="24"/>
          <w:szCs w:val="24"/>
          <w:vertAlign w:val="superscript"/>
        </w:rPr>
        <w:footnoteReference w:id="27"/>
      </w:r>
      <w:r w:rsidR="00A76BDA" w:rsidRPr="005472E5">
        <w:rPr>
          <w:rFonts w:ascii="Times New Roman" w:hAnsi="Times New Roman" w:cs="Times New Roman"/>
          <w:sz w:val="24"/>
          <w:szCs w:val="24"/>
        </w:rPr>
        <w:t xml:space="preserve"> These findings </w:t>
      </w:r>
      <w:r w:rsidR="00321A36" w:rsidRPr="005472E5">
        <w:rPr>
          <w:rFonts w:ascii="Times New Roman" w:hAnsi="Times New Roman" w:cs="Times New Roman"/>
          <w:sz w:val="24"/>
          <w:szCs w:val="24"/>
        </w:rPr>
        <w:t>are</w:t>
      </w:r>
      <w:r w:rsidR="00A76BDA" w:rsidRPr="005472E5">
        <w:rPr>
          <w:rFonts w:ascii="Times New Roman" w:hAnsi="Times New Roman" w:cs="Times New Roman"/>
          <w:sz w:val="24"/>
          <w:szCs w:val="24"/>
        </w:rPr>
        <w:t xml:space="preserve"> supported by the data supplied by respondents </w:t>
      </w:r>
      <w:r w:rsidR="00C74D6A" w:rsidRPr="005472E5">
        <w:rPr>
          <w:rFonts w:ascii="Times New Roman" w:hAnsi="Times New Roman" w:cs="Times New Roman"/>
          <w:sz w:val="24"/>
          <w:szCs w:val="24"/>
        </w:rPr>
        <w:t>to</w:t>
      </w:r>
      <w:r w:rsidR="00A76BDA" w:rsidRPr="005472E5">
        <w:rPr>
          <w:rFonts w:ascii="Times New Roman" w:hAnsi="Times New Roman" w:cs="Times New Roman"/>
          <w:sz w:val="24"/>
          <w:szCs w:val="24"/>
        </w:rPr>
        <w:t xml:space="preserve"> this project, </w:t>
      </w:r>
    </w:p>
    <w:p w14:paraId="74CB8849" w14:textId="77777777" w:rsidR="00677CEB" w:rsidRPr="005472E5" w:rsidRDefault="00677CEB" w:rsidP="00677CEB">
      <w:pPr>
        <w:spacing w:before="120" w:after="120" w:line="276" w:lineRule="auto"/>
        <w:ind w:left="720"/>
        <w:rPr>
          <w:rFonts w:ascii="Times New Roman" w:hAnsi="Times New Roman" w:cs="Times New Roman"/>
          <w:i/>
          <w:iCs/>
          <w:sz w:val="24"/>
          <w:szCs w:val="24"/>
        </w:rPr>
      </w:pPr>
      <w:r w:rsidRPr="005472E5">
        <w:rPr>
          <w:rFonts w:ascii="Times New Roman" w:hAnsi="Times New Roman" w:cs="Times New Roman"/>
          <w:i/>
          <w:iCs/>
          <w:sz w:val="24"/>
          <w:szCs w:val="24"/>
        </w:rPr>
        <w:t>"It just wasted more time and extended the time for tenants to stay and not pay anything." Private Landlord #39.</w:t>
      </w:r>
    </w:p>
    <w:p w14:paraId="3F3845FD" w14:textId="77777777" w:rsidR="00677CEB" w:rsidRPr="005472E5" w:rsidRDefault="00677CEB" w:rsidP="00677CEB">
      <w:pPr>
        <w:spacing w:before="120" w:after="120" w:line="276" w:lineRule="auto"/>
        <w:ind w:left="720"/>
        <w:rPr>
          <w:rFonts w:ascii="Times New Roman" w:hAnsi="Times New Roman" w:cs="Times New Roman"/>
          <w:i/>
          <w:iCs/>
          <w:sz w:val="24"/>
          <w:szCs w:val="24"/>
        </w:rPr>
      </w:pPr>
      <w:r w:rsidRPr="005472E5">
        <w:rPr>
          <w:rFonts w:ascii="Times New Roman" w:hAnsi="Times New Roman" w:cs="Times New Roman"/>
          <w:i/>
          <w:iCs/>
          <w:sz w:val="24"/>
          <w:szCs w:val="24"/>
        </w:rPr>
        <w:t>"It is not an improvement. It has no function other than to increase delay and costs." Legal Practitioner #16.</w:t>
      </w:r>
    </w:p>
    <w:p w14:paraId="6CE1E348" w14:textId="77777777" w:rsidR="00677CEB" w:rsidRPr="005472E5" w:rsidRDefault="00677CEB" w:rsidP="00677CEB">
      <w:pPr>
        <w:spacing w:before="120" w:after="120" w:line="276" w:lineRule="auto"/>
        <w:ind w:left="720"/>
        <w:rPr>
          <w:rFonts w:ascii="Times New Roman" w:hAnsi="Times New Roman" w:cs="Times New Roman"/>
          <w:i/>
          <w:iCs/>
          <w:sz w:val="24"/>
          <w:szCs w:val="24"/>
        </w:rPr>
      </w:pPr>
      <w:r w:rsidRPr="005472E5">
        <w:rPr>
          <w:rFonts w:ascii="Times New Roman" w:hAnsi="Times New Roman" w:cs="Times New Roman"/>
          <w:i/>
          <w:iCs/>
          <w:sz w:val="24"/>
          <w:szCs w:val="24"/>
        </w:rPr>
        <w:t>"They cause an unnecessary delay to the whole process and place a great burden on the landlord in terms of pulling together bundles of information to be served on the tenant and the court." Social Landlord #8.</w:t>
      </w:r>
    </w:p>
    <w:p w14:paraId="19D2966A" w14:textId="77777777" w:rsidR="00677CEB" w:rsidRPr="005472E5" w:rsidRDefault="00677CEB" w:rsidP="00677CEB">
      <w:pPr>
        <w:spacing w:before="120" w:after="120" w:line="276" w:lineRule="auto"/>
        <w:ind w:left="720"/>
        <w:rPr>
          <w:rFonts w:ascii="Times New Roman" w:hAnsi="Times New Roman" w:cs="Times New Roman"/>
          <w:i/>
          <w:iCs/>
          <w:sz w:val="24"/>
          <w:szCs w:val="24"/>
        </w:rPr>
      </w:pPr>
      <w:r w:rsidRPr="005472E5">
        <w:rPr>
          <w:rFonts w:ascii="Times New Roman" w:hAnsi="Times New Roman" w:cs="Times New Roman"/>
          <w:i/>
          <w:iCs/>
          <w:sz w:val="24"/>
          <w:szCs w:val="24"/>
        </w:rPr>
        <w:lastRenderedPageBreak/>
        <w:t>"It is an utterly pointless waste of Court time and public money." Legal Practitioner #9.</w:t>
      </w:r>
    </w:p>
    <w:p w14:paraId="03FC98B2" w14:textId="77777777" w:rsidR="002345AE" w:rsidRPr="005472E5" w:rsidRDefault="002345AE" w:rsidP="002345AE">
      <w:pPr>
        <w:rPr>
          <w:rFonts w:ascii="Times New Roman" w:hAnsi="Times New Roman" w:cs="Times New Roman"/>
          <w:sz w:val="24"/>
          <w:szCs w:val="24"/>
        </w:rPr>
      </w:pPr>
      <w:r w:rsidRPr="005472E5">
        <w:rPr>
          <w:rFonts w:ascii="Times New Roman" w:hAnsi="Times New Roman" w:cs="Times New Roman"/>
          <w:sz w:val="24"/>
          <w:szCs w:val="24"/>
        </w:rPr>
        <w:t>The success of the R date process was hindered in particular by the lack of engagement by occupiers, a theme that ran throughout the findings of the project.</w:t>
      </w:r>
      <w:r w:rsidRPr="005472E5">
        <w:rPr>
          <w:rStyle w:val="FootnoteReference"/>
          <w:rFonts w:ascii="Times New Roman" w:hAnsi="Times New Roman" w:cs="Times New Roman"/>
          <w:sz w:val="24"/>
          <w:szCs w:val="24"/>
        </w:rPr>
        <w:footnoteReference w:id="28"/>
      </w:r>
      <w:r w:rsidRPr="005472E5">
        <w:rPr>
          <w:rFonts w:ascii="Times New Roman" w:hAnsi="Times New Roman" w:cs="Times New Roman"/>
          <w:sz w:val="24"/>
          <w:szCs w:val="24"/>
        </w:rPr>
        <w:t xml:space="preserve"> A majority of duty advisers (23 out of 35) and legal practitioners (seven out of 10) said that the occupier had engaged in 0-10% of the R dates they had been involved with. </w:t>
      </w:r>
    </w:p>
    <w:p w14:paraId="556517AC" w14:textId="77777777" w:rsidR="002345AE" w:rsidRPr="005472E5" w:rsidRDefault="002345AE" w:rsidP="00290517">
      <w:pPr>
        <w:ind w:left="720"/>
        <w:rPr>
          <w:rFonts w:ascii="Times New Roman" w:hAnsi="Times New Roman" w:cs="Times New Roman"/>
          <w:i/>
          <w:iCs/>
          <w:sz w:val="24"/>
          <w:szCs w:val="24"/>
        </w:rPr>
      </w:pPr>
      <w:r w:rsidRPr="005472E5">
        <w:rPr>
          <w:rFonts w:ascii="Times New Roman" w:hAnsi="Times New Roman" w:cs="Times New Roman"/>
          <w:i/>
          <w:iCs/>
          <w:sz w:val="24"/>
          <w:szCs w:val="24"/>
        </w:rPr>
        <w:t>"I have not yet had a claim where there has been engagement by a defendant at the review stage." Legal Practitioner #8.</w:t>
      </w:r>
    </w:p>
    <w:p w14:paraId="2C46DBB6" w14:textId="77777777" w:rsidR="00C74D6A" w:rsidRPr="005472E5" w:rsidRDefault="002345AE" w:rsidP="00C74D6A">
      <w:pPr>
        <w:spacing w:before="120" w:after="120" w:line="276" w:lineRule="auto"/>
        <w:ind w:left="720"/>
        <w:rPr>
          <w:rFonts w:ascii="Times New Roman" w:hAnsi="Times New Roman" w:cs="Times New Roman"/>
          <w:i/>
          <w:iCs/>
          <w:sz w:val="24"/>
          <w:szCs w:val="24"/>
        </w:rPr>
      </w:pPr>
      <w:r w:rsidRPr="005472E5">
        <w:rPr>
          <w:rFonts w:ascii="Times New Roman" w:hAnsi="Times New Roman" w:cs="Times New Roman"/>
          <w:i/>
          <w:iCs/>
          <w:sz w:val="24"/>
          <w:szCs w:val="24"/>
        </w:rPr>
        <w:t>“I would say that it is rare to be contacted by more than two or three defendants where there are 10 on the list for any given day.” Duty Adviser #10.</w:t>
      </w:r>
      <w:r w:rsidR="00C74D6A" w:rsidRPr="005472E5">
        <w:rPr>
          <w:rFonts w:ascii="Times New Roman" w:hAnsi="Times New Roman" w:cs="Times New Roman"/>
          <w:i/>
          <w:iCs/>
          <w:sz w:val="24"/>
          <w:szCs w:val="24"/>
        </w:rPr>
        <w:t xml:space="preserve"> </w:t>
      </w:r>
    </w:p>
    <w:p w14:paraId="4C0AF657" w14:textId="592CF1D8" w:rsidR="00C74D6A" w:rsidRPr="005472E5" w:rsidRDefault="00C74D6A" w:rsidP="00C74D6A">
      <w:pPr>
        <w:spacing w:before="120" w:after="120" w:line="276" w:lineRule="auto"/>
        <w:ind w:left="720"/>
        <w:rPr>
          <w:rFonts w:ascii="Times New Roman" w:hAnsi="Times New Roman" w:cs="Times New Roman"/>
          <w:i/>
          <w:iCs/>
          <w:sz w:val="24"/>
          <w:szCs w:val="24"/>
        </w:rPr>
      </w:pPr>
      <w:r w:rsidRPr="005472E5">
        <w:rPr>
          <w:rFonts w:ascii="Times New Roman" w:hAnsi="Times New Roman" w:cs="Times New Roman"/>
          <w:i/>
          <w:iCs/>
          <w:sz w:val="24"/>
          <w:szCs w:val="24"/>
        </w:rPr>
        <w:t>"... most tenants do not attend a review hearing and therefore the process only delayed the inevitable of awarding a possession order." Social Landlord #4.</w:t>
      </w:r>
    </w:p>
    <w:p w14:paraId="73D95C4D" w14:textId="129F1A55" w:rsidR="00321A36" w:rsidRPr="005472E5" w:rsidRDefault="00321A36" w:rsidP="00BB359C">
      <w:pPr>
        <w:rPr>
          <w:rFonts w:ascii="Times New Roman" w:hAnsi="Times New Roman" w:cs="Times New Roman"/>
          <w:b/>
          <w:bCs/>
          <w:sz w:val="24"/>
          <w:szCs w:val="24"/>
        </w:rPr>
      </w:pPr>
      <w:r w:rsidRPr="005472E5">
        <w:rPr>
          <w:rFonts w:ascii="Times New Roman" w:hAnsi="Times New Roman" w:cs="Times New Roman"/>
          <w:b/>
          <w:bCs/>
          <w:sz w:val="24"/>
          <w:szCs w:val="24"/>
        </w:rPr>
        <w:t>S hearings</w:t>
      </w:r>
    </w:p>
    <w:p w14:paraId="58B916E9" w14:textId="1BB11758" w:rsidR="00BB359C" w:rsidRPr="005472E5" w:rsidRDefault="00BB359C" w:rsidP="00BB359C">
      <w:pPr>
        <w:rPr>
          <w:rFonts w:ascii="Times New Roman" w:hAnsi="Times New Roman" w:cs="Times New Roman"/>
          <w:sz w:val="24"/>
          <w:szCs w:val="24"/>
        </w:rPr>
      </w:pPr>
      <w:r w:rsidRPr="005472E5">
        <w:rPr>
          <w:rFonts w:ascii="Times New Roman" w:hAnsi="Times New Roman" w:cs="Times New Roman"/>
          <w:sz w:val="24"/>
          <w:szCs w:val="24"/>
        </w:rPr>
        <w:t>It is perhaps not surprising, given the lack of participation by occupiers in R dates that a significant number of duty advisers (28 out of 33) and legal practitioners (nine out of 10) said that the majority of cases they dealt with proceeded to a S hearing. This is supported by data supplied to the project as part of a successful application to HMCTS’ Data Access Panel which suggest that during September 2020 - September 2021, 72% of R dates proceeded to a S hearing. This was due in the main to the fact that the occupier had not engaged with the R date leaving no option but for the matter to proceed to a formal hearing. The question then arises as to whether occupiers attended the S hearing.</w:t>
      </w:r>
    </w:p>
    <w:p w14:paraId="4FB0CC99" w14:textId="5C8B93C8" w:rsidR="00BB359C" w:rsidRPr="005472E5" w:rsidRDefault="00BB359C" w:rsidP="00BB359C">
      <w:pPr>
        <w:rPr>
          <w:rFonts w:ascii="Times New Roman" w:hAnsi="Times New Roman" w:cs="Times New Roman"/>
          <w:sz w:val="24"/>
          <w:szCs w:val="24"/>
        </w:rPr>
      </w:pPr>
      <w:r w:rsidRPr="005472E5">
        <w:rPr>
          <w:rFonts w:ascii="Times New Roman" w:hAnsi="Times New Roman" w:cs="Times New Roman"/>
          <w:sz w:val="24"/>
          <w:szCs w:val="24"/>
        </w:rPr>
        <w:t>While data on the number of occupiers who attended hearings pre-COVID is not available,</w:t>
      </w:r>
      <w:r w:rsidRPr="005472E5">
        <w:rPr>
          <w:rFonts w:ascii="Times New Roman" w:hAnsi="Times New Roman" w:cs="Times New Roman"/>
          <w:sz w:val="24"/>
          <w:szCs w:val="24"/>
          <w:vertAlign w:val="superscript"/>
        </w:rPr>
        <w:footnoteReference w:id="29"/>
      </w:r>
      <w:r w:rsidRPr="005472E5">
        <w:rPr>
          <w:rFonts w:ascii="Times New Roman" w:hAnsi="Times New Roman" w:cs="Times New Roman"/>
          <w:sz w:val="24"/>
          <w:szCs w:val="24"/>
        </w:rPr>
        <w:t xml:space="preserve"> evidence from a range of sources suggests that less than half attended their possession hearing,</w:t>
      </w:r>
      <w:r w:rsidRPr="005472E5">
        <w:rPr>
          <w:rFonts w:ascii="Times New Roman" w:hAnsi="Times New Roman" w:cs="Times New Roman"/>
          <w:sz w:val="24"/>
          <w:szCs w:val="24"/>
          <w:vertAlign w:val="superscript"/>
        </w:rPr>
        <w:footnoteReference w:id="30"/>
      </w:r>
      <w:r w:rsidRPr="005472E5">
        <w:rPr>
          <w:rFonts w:ascii="Times New Roman" w:hAnsi="Times New Roman" w:cs="Times New Roman"/>
          <w:sz w:val="24"/>
          <w:szCs w:val="24"/>
        </w:rPr>
        <w:t xml:space="preserve"> with a 2017 study finding that tenants were present in no more than 35% of the cases studied.</w:t>
      </w:r>
      <w:r w:rsidRPr="005472E5">
        <w:rPr>
          <w:rFonts w:ascii="Times New Roman" w:hAnsi="Times New Roman" w:cs="Times New Roman"/>
          <w:sz w:val="24"/>
          <w:szCs w:val="24"/>
          <w:vertAlign w:val="superscript"/>
        </w:rPr>
        <w:footnoteReference w:id="31"/>
      </w:r>
      <w:r w:rsidRPr="005472E5">
        <w:rPr>
          <w:rFonts w:ascii="Times New Roman" w:hAnsi="Times New Roman" w:cs="Times New Roman"/>
          <w:sz w:val="24"/>
          <w:szCs w:val="24"/>
        </w:rPr>
        <w:t xml:space="preserve"> More recently, the BIJ, as part of their investigation into the court system’s response to the pandemic, observed 115 mortgage possession hearings. In 78% of those hearings the occupier did not attend and in 81% the occupier had no legal representation.</w:t>
      </w:r>
      <w:r w:rsidRPr="005472E5">
        <w:rPr>
          <w:rFonts w:ascii="Times New Roman" w:hAnsi="Times New Roman" w:cs="Times New Roman"/>
          <w:sz w:val="24"/>
          <w:szCs w:val="24"/>
          <w:vertAlign w:val="superscript"/>
        </w:rPr>
        <w:footnoteReference w:id="32"/>
      </w:r>
      <w:r w:rsidRPr="005472E5">
        <w:rPr>
          <w:rFonts w:ascii="Times New Roman" w:hAnsi="Times New Roman" w:cs="Times New Roman"/>
          <w:sz w:val="24"/>
          <w:szCs w:val="24"/>
        </w:rPr>
        <w:t xml:space="preserve"> Of the 555 possession hearings they observed involving rented accommodation, just under 60% involved no attendance by the tenant nor their representative.</w:t>
      </w:r>
      <w:r w:rsidRPr="005472E5">
        <w:rPr>
          <w:rFonts w:ascii="Times New Roman" w:hAnsi="Times New Roman" w:cs="Times New Roman"/>
          <w:sz w:val="24"/>
          <w:szCs w:val="24"/>
          <w:vertAlign w:val="superscript"/>
        </w:rPr>
        <w:footnoteReference w:id="33"/>
      </w:r>
      <w:r w:rsidRPr="005472E5">
        <w:rPr>
          <w:rFonts w:ascii="Times New Roman" w:hAnsi="Times New Roman" w:cs="Times New Roman"/>
          <w:sz w:val="24"/>
          <w:szCs w:val="24"/>
        </w:rPr>
        <w:t xml:space="preserve"> The lack of attendance by occupiers was noted by one duty adviser:</w:t>
      </w:r>
    </w:p>
    <w:p w14:paraId="4CA5EF42" w14:textId="04232CDD" w:rsidR="00BB359C" w:rsidRPr="005472E5" w:rsidRDefault="00BB359C" w:rsidP="00BB359C">
      <w:pPr>
        <w:ind w:left="720"/>
        <w:rPr>
          <w:rFonts w:ascii="Times New Roman" w:hAnsi="Times New Roman" w:cs="Times New Roman"/>
          <w:i/>
          <w:iCs/>
          <w:sz w:val="24"/>
          <w:szCs w:val="24"/>
        </w:rPr>
      </w:pPr>
      <w:r w:rsidRPr="005472E5">
        <w:rPr>
          <w:rFonts w:ascii="Times New Roman" w:hAnsi="Times New Roman" w:cs="Times New Roman"/>
          <w:i/>
          <w:iCs/>
          <w:sz w:val="24"/>
          <w:szCs w:val="24"/>
        </w:rPr>
        <w:t xml:space="preserve">“Previously cases were block listed but only 10-20% of defendants attended so you had time to deal with them all. Now…  there are only six cases in the list so typically </w:t>
      </w:r>
      <w:r w:rsidRPr="005472E5">
        <w:rPr>
          <w:rFonts w:ascii="Times New Roman" w:hAnsi="Times New Roman" w:cs="Times New Roman"/>
          <w:i/>
          <w:iCs/>
          <w:sz w:val="24"/>
          <w:szCs w:val="24"/>
        </w:rPr>
        <w:lastRenderedPageBreak/>
        <w:t>only one person turns up (same percentage as before) so much time is wasted, and the scheme is not economically viable.” Duty Adviser #9.</w:t>
      </w:r>
    </w:p>
    <w:p w14:paraId="738E870B" w14:textId="445C51C2" w:rsidR="00BB359C" w:rsidRPr="005472E5" w:rsidRDefault="00BB359C" w:rsidP="00B72B6F">
      <w:pPr>
        <w:rPr>
          <w:rFonts w:ascii="Times New Roman" w:hAnsi="Times New Roman" w:cs="Times New Roman"/>
          <w:sz w:val="24"/>
          <w:szCs w:val="24"/>
        </w:rPr>
      </w:pPr>
      <w:r w:rsidRPr="005472E5">
        <w:rPr>
          <w:rFonts w:ascii="Times New Roman" w:hAnsi="Times New Roman" w:cs="Times New Roman"/>
          <w:sz w:val="24"/>
          <w:szCs w:val="24"/>
        </w:rPr>
        <w:t xml:space="preserve">The outcome of non-engagement is that the judge will have to make a decision without hearing the occupier’s side of the story. This is highly significant for </w:t>
      </w:r>
      <w:r w:rsidR="001F6CBA" w:rsidRPr="005472E5">
        <w:rPr>
          <w:rFonts w:ascii="Times New Roman" w:hAnsi="Times New Roman" w:cs="Times New Roman"/>
          <w:sz w:val="24"/>
          <w:szCs w:val="24"/>
        </w:rPr>
        <w:t>it means that</w:t>
      </w:r>
      <w:r w:rsidRPr="005472E5">
        <w:rPr>
          <w:rFonts w:ascii="Times New Roman" w:hAnsi="Times New Roman" w:cs="Times New Roman"/>
          <w:sz w:val="24"/>
          <w:szCs w:val="24"/>
        </w:rPr>
        <w:t xml:space="preserve"> the judge</w:t>
      </w:r>
      <w:r w:rsidR="001F6CBA" w:rsidRPr="005472E5">
        <w:rPr>
          <w:rFonts w:ascii="Times New Roman" w:hAnsi="Times New Roman" w:cs="Times New Roman"/>
          <w:sz w:val="24"/>
          <w:szCs w:val="24"/>
        </w:rPr>
        <w:t xml:space="preserve"> may not</w:t>
      </w:r>
      <w:r w:rsidRPr="005472E5">
        <w:rPr>
          <w:rFonts w:ascii="Times New Roman" w:hAnsi="Times New Roman" w:cs="Times New Roman"/>
          <w:sz w:val="24"/>
          <w:szCs w:val="24"/>
        </w:rPr>
        <w:t xml:space="preserve"> receive information relevant to the decision-making process and </w:t>
      </w:r>
      <w:r w:rsidR="001F6CBA" w:rsidRPr="005472E5">
        <w:rPr>
          <w:rFonts w:ascii="Times New Roman" w:hAnsi="Times New Roman" w:cs="Times New Roman"/>
          <w:sz w:val="24"/>
          <w:szCs w:val="24"/>
        </w:rPr>
        <w:t>it omits</w:t>
      </w:r>
      <w:r w:rsidRPr="005472E5">
        <w:rPr>
          <w:rFonts w:ascii="Times New Roman" w:hAnsi="Times New Roman" w:cs="Times New Roman"/>
          <w:sz w:val="24"/>
          <w:szCs w:val="24"/>
        </w:rPr>
        <w:t xml:space="preserve"> an opportunity for </w:t>
      </w:r>
      <w:r w:rsidR="001F6CBA" w:rsidRPr="005472E5">
        <w:rPr>
          <w:rFonts w:ascii="Times New Roman" w:hAnsi="Times New Roman" w:cs="Times New Roman"/>
          <w:sz w:val="24"/>
          <w:szCs w:val="24"/>
        </w:rPr>
        <w:t>occupiers</w:t>
      </w:r>
      <w:r w:rsidRPr="005472E5">
        <w:rPr>
          <w:rFonts w:ascii="Times New Roman" w:hAnsi="Times New Roman" w:cs="Times New Roman"/>
          <w:sz w:val="24"/>
          <w:szCs w:val="24"/>
        </w:rPr>
        <w:t xml:space="preserve"> to exercise ‘voice’ which ‘plays a key role in ensuring dignity and respect for the person and achieving long-term solutions to disputes.’</w:t>
      </w:r>
      <w:r w:rsidRPr="005472E5">
        <w:rPr>
          <w:rFonts w:ascii="Times New Roman" w:hAnsi="Times New Roman" w:cs="Times New Roman"/>
          <w:sz w:val="24"/>
          <w:szCs w:val="24"/>
          <w:vertAlign w:val="superscript"/>
        </w:rPr>
        <w:footnoteReference w:id="34"/>
      </w:r>
    </w:p>
    <w:p w14:paraId="27264925" w14:textId="77777777" w:rsidR="00CC3470" w:rsidRPr="005472E5" w:rsidRDefault="00CC3470" w:rsidP="00CC3470">
      <w:pPr>
        <w:rPr>
          <w:rFonts w:ascii="Times New Roman" w:hAnsi="Times New Roman" w:cs="Times New Roman"/>
          <w:b/>
          <w:bCs/>
          <w:sz w:val="24"/>
          <w:szCs w:val="24"/>
        </w:rPr>
      </w:pPr>
      <w:bookmarkStart w:id="5" w:name="_Toc93393771"/>
      <w:r w:rsidRPr="005472E5">
        <w:rPr>
          <w:rFonts w:ascii="Times New Roman" w:hAnsi="Times New Roman" w:cs="Times New Roman"/>
          <w:b/>
          <w:bCs/>
          <w:sz w:val="24"/>
          <w:szCs w:val="24"/>
        </w:rPr>
        <w:t xml:space="preserve">S Hearings - </w:t>
      </w:r>
      <w:bookmarkEnd w:id="5"/>
      <w:r w:rsidRPr="005472E5">
        <w:rPr>
          <w:rFonts w:ascii="Times New Roman" w:hAnsi="Times New Roman" w:cs="Times New Roman"/>
          <w:b/>
          <w:bCs/>
          <w:sz w:val="24"/>
          <w:szCs w:val="24"/>
        </w:rPr>
        <w:t>Was the extra time used effectively?</w:t>
      </w:r>
    </w:p>
    <w:p w14:paraId="02D0DCA6" w14:textId="0F6EF651" w:rsidR="00CC3470" w:rsidRPr="005472E5" w:rsidRDefault="00CC3470" w:rsidP="00CC3470">
      <w:pPr>
        <w:rPr>
          <w:rFonts w:ascii="Times New Roman" w:hAnsi="Times New Roman" w:cs="Times New Roman"/>
          <w:sz w:val="24"/>
          <w:szCs w:val="24"/>
        </w:rPr>
      </w:pPr>
      <w:r w:rsidRPr="005472E5">
        <w:rPr>
          <w:rFonts w:ascii="Times New Roman" w:hAnsi="Times New Roman" w:cs="Times New Roman"/>
          <w:sz w:val="24"/>
          <w:szCs w:val="24"/>
        </w:rPr>
        <w:t>A major criticism levelled at the pre-COVID housing possession process by practitioners and researchers was the amount of time dedicated to each hearing as part of the ‘block-listing’ system.</w:t>
      </w:r>
      <w:r w:rsidRPr="005472E5">
        <w:rPr>
          <w:rFonts w:ascii="Times New Roman" w:hAnsi="Times New Roman" w:cs="Times New Roman"/>
          <w:sz w:val="24"/>
          <w:szCs w:val="24"/>
          <w:vertAlign w:val="superscript"/>
        </w:rPr>
        <w:footnoteReference w:id="35"/>
      </w:r>
      <w:r w:rsidRPr="005472E5">
        <w:rPr>
          <w:rFonts w:ascii="Times New Roman" w:hAnsi="Times New Roman" w:cs="Times New Roman"/>
          <w:sz w:val="24"/>
          <w:szCs w:val="24"/>
        </w:rPr>
        <w:t xml:space="preserve"> By virtue of this system, several cases would be scheduled to be heard during the morning or afternoon session, resulting in cases being allocated approximately five minutes each.</w:t>
      </w:r>
      <w:r w:rsidRPr="005472E5">
        <w:rPr>
          <w:rFonts w:ascii="Times New Roman" w:hAnsi="Times New Roman" w:cs="Times New Roman"/>
          <w:sz w:val="24"/>
          <w:szCs w:val="24"/>
          <w:vertAlign w:val="superscript"/>
        </w:rPr>
        <w:footnoteReference w:id="36"/>
      </w:r>
      <w:r w:rsidRPr="005472E5">
        <w:rPr>
          <w:rFonts w:ascii="Times New Roman" w:hAnsi="Times New Roman" w:cs="Times New Roman"/>
          <w:sz w:val="24"/>
          <w:szCs w:val="24"/>
        </w:rPr>
        <w:t xml:space="preserve"> The allocation of 15 minutes to S hearings was therefore a welcome move. The question is whether it proved effective in practice.</w:t>
      </w:r>
    </w:p>
    <w:p w14:paraId="21AD755E" w14:textId="77777777" w:rsidR="00CC3470" w:rsidRPr="005472E5" w:rsidRDefault="00CC3470" w:rsidP="00CC3470">
      <w:pPr>
        <w:rPr>
          <w:rFonts w:ascii="Times New Roman" w:hAnsi="Times New Roman" w:cs="Times New Roman"/>
          <w:sz w:val="24"/>
          <w:szCs w:val="24"/>
        </w:rPr>
      </w:pPr>
      <w:r w:rsidRPr="005472E5">
        <w:rPr>
          <w:rFonts w:ascii="Times New Roman" w:hAnsi="Times New Roman" w:cs="Times New Roman"/>
          <w:sz w:val="24"/>
          <w:szCs w:val="24"/>
        </w:rPr>
        <w:t>Overall, duty advisers felt that the time was being used effectively in most cases. There were, however, concerns raised regarding logistical issues and the impact on the outcome for some defendants.</w:t>
      </w:r>
    </w:p>
    <w:p w14:paraId="167C5F4F" w14:textId="77777777" w:rsidR="00CC3470" w:rsidRPr="005472E5" w:rsidRDefault="00CC3470" w:rsidP="00CC3470">
      <w:pPr>
        <w:ind w:left="720"/>
        <w:rPr>
          <w:rFonts w:ascii="Times New Roman" w:hAnsi="Times New Roman" w:cs="Times New Roman"/>
          <w:sz w:val="24"/>
          <w:szCs w:val="24"/>
        </w:rPr>
      </w:pPr>
      <w:r w:rsidRPr="005472E5">
        <w:rPr>
          <w:rFonts w:ascii="Times New Roman" w:hAnsi="Times New Roman" w:cs="Times New Roman"/>
          <w:i/>
          <w:iCs/>
          <w:sz w:val="24"/>
          <w:szCs w:val="24"/>
        </w:rPr>
        <w:t>"On occasion additional time allows issues to be explored. However, this can be to the disadvantage of the defendant as cases which previously would be adjourned are being determined at the first hearing as the judge has more time." Duty Adviser #30.</w:t>
      </w:r>
    </w:p>
    <w:p w14:paraId="3C61211B" w14:textId="77777777" w:rsidR="00CC3470" w:rsidRPr="005472E5" w:rsidRDefault="00CC3470" w:rsidP="00CC3470">
      <w:pPr>
        <w:ind w:left="720"/>
        <w:rPr>
          <w:rFonts w:ascii="Times New Roman" w:hAnsi="Times New Roman" w:cs="Times New Roman"/>
          <w:sz w:val="24"/>
          <w:szCs w:val="24"/>
        </w:rPr>
      </w:pPr>
      <w:r w:rsidRPr="005472E5">
        <w:rPr>
          <w:rFonts w:ascii="Times New Roman" w:hAnsi="Times New Roman" w:cs="Times New Roman"/>
          <w:i/>
          <w:iCs/>
          <w:sz w:val="24"/>
          <w:szCs w:val="24"/>
        </w:rPr>
        <w:t>"It is less rushed which means you can put your arguments forward in a more structured and thoughtful way." Duty Adviser #36.</w:t>
      </w:r>
    </w:p>
    <w:p w14:paraId="753FE69E" w14:textId="77777777" w:rsidR="00CC3470" w:rsidRPr="005472E5" w:rsidRDefault="00CC3470" w:rsidP="00CC3470">
      <w:pPr>
        <w:ind w:left="720"/>
        <w:rPr>
          <w:rFonts w:ascii="Times New Roman" w:hAnsi="Times New Roman" w:cs="Times New Roman"/>
          <w:sz w:val="24"/>
          <w:szCs w:val="24"/>
        </w:rPr>
      </w:pPr>
      <w:r w:rsidRPr="005472E5">
        <w:rPr>
          <w:rFonts w:ascii="Times New Roman" w:hAnsi="Times New Roman" w:cs="Times New Roman"/>
          <w:i/>
          <w:iCs/>
          <w:sz w:val="24"/>
          <w:szCs w:val="24"/>
        </w:rPr>
        <w:t>"For a duty solicitor it is a disaster. The time involved in travelling and being at Court for little or no remuneration because of lack of attendance means the whole scheme in my view is not viable for legal aid lawyers." Duty Adviser #15.</w:t>
      </w:r>
    </w:p>
    <w:p w14:paraId="2F7F2520" w14:textId="77777777" w:rsidR="00CC3470" w:rsidRPr="005472E5" w:rsidRDefault="00CC3470" w:rsidP="00CC3470">
      <w:pPr>
        <w:rPr>
          <w:rFonts w:ascii="Times New Roman" w:hAnsi="Times New Roman" w:cs="Times New Roman"/>
          <w:sz w:val="24"/>
          <w:szCs w:val="24"/>
        </w:rPr>
      </w:pPr>
      <w:r w:rsidRPr="005472E5">
        <w:rPr>
          <w:rFonts w:ascii="Times New Roman" w:hAnsi="Times New Roman" w:cs="Times New Roman"/>
          <w:sz w:val="24"/>
          <w:szCs w:val="24"/>
        </w:rPr>
        <w:t>Claimant representatives felt that the time was being used effectively, albeit only sometimes. In the main, comments suggest that the lack of attendance by the defendant made the extra time unnecessary.</w:t>
      </w:r>
    </w:p>
    <w:p w14:paraId="3BBFFB7E" w14:textId="77777777" w:rsidR="00CC3470" w:rsidRPr="005472E5" w:rsidRDefault="00CC3470" w:rsidP="00CC3470">
      <w:pPr>
        <w:ind w:left="720"/>
        <w:rPr>
          <w:rFonts w:ascii="Times New Roman" w:hAnsi="Times New Roman" w:cs="Times New Roman"/>
          <w:sz w:val="24"/>
          <w:szCs w:val="24"/>
        </w:rPr>
      </w:pPr>
      <w:r w:rsidRPr="005472E5">
        <w:rPr>
          <w:rFonts w:ascii="Times New Roman" w:hAnsi="Times New Roman" w:cs="Times New Roman"/>
          <w:i/>
          <w:iCs/>
          <w:sz w:val="24"/>
          <w:szCs w:val="24"/>
        </w:rPr>
        <w:t>"Few cases are truly defended in any serious way, so the additional time is often wasted." Legal Practitioner #2.</w:t>
      </w:r>
    </w:p>
    <w:p w14:paraId="4F1FD376" w14:textId="77777777" w:rsidR="00CC3470" w:rsidRPr="005472E5" w:rsidRDefault="00CC3470" w:rsidP="00CC3470">
      <w:pPr>
        <w:ind w:left="720"/>
        <w:rPr>
          <w:rFonts w:ascii="Times New Roman" w:hAnsi="Times New Roman" w:cs="Times New Roman"/>
          <w:sz w:val="24"/>
          <w:szCs w:val="24"/>
        </w:rPr>
      </w:pPr>
      <w:r w:rsidRPr="005472E5">
        <w:rPr>
          <w:rFonts w:ascii="Times New Roman" w:hAnsi="Times New Roman" w:cs="Times New Roman"/>
          <w:i/>
          <w:iCs/>
          <w:sz w:val="24"/>
          <w:szCs w:val="24"/>
        </w:rPr>
        <w:t>"... some hearings need more time and some need less. Again, this is a waste of Court time and public money and is causing a substantial backlog." Legal Practitioner #9.</w:t>
      </w:r>
    </w:p>
    <w:p w14:paraId="130022AC" w14:textId="5B65DED2" w:rsidR="00CC3470" w:rsidRPr="005472E5" w:rsidRDefault="00CC3470" w:rsidP="00CC3470">
      <w:pPr>
        <w:rPr>
          <w:rFonts w:ascii="Times New Roman" w:hAnsi="Times New Roman" w:cs="Times New Roman"/>
          <w:sz w:val="24"/>
          <w:szCs w:val="24"/>
        </w:rPr>
      </w:pPr>
      <w:r w:rsidRPr="005472E5">
        <w:rPr>
          <w:rFonts w:ascii="Times New Roman" w:hAnsi="Times New Roman" w:cs="Times New Roman"/>
          <w:sz w:val="24"/>
          <w:szCs w:val="24"/>
        </w:rPr>
        <w:lastRenderedPageBreak/>
        <w:t>Landlords, however, thought that the time wasn’t being used effectively. In particular, as one social landlord noted, the extra time le</w:t>
      </w:r>
      <w:r w:rsidR="00D16905">
        <w:rPr>
          <w:rFonts w:ascii="Times New Roman" w:hAnsi="Times New Roman" w:cs="Times New Roman"/>
          <w:sz w:val="24"/>
          <w:szCs w:val="24"/>
        </w:rPr>
        <w:t>d</w:t>
      </w:r>
      <w:r w:rsidRPr="005472E5">
        <w:rPr>
          <w:rFonts w:ascii="Times New Roman" w:hAnsi="Times New Roman" w:cs="Times New Roman"/>
          <w:sz w:val="24"/>
          <w:szCs w:val="24"/>
        </w:rPr>
        <w:t xml:space="preserve"> to fewer cases being heard and hence a backlog </w:t>
      </w:r>
      <w:r w:rsidR="00AE1D9F">
        <w:rPr>
          <w:rFonts w:ascii="Times New Roman" w:hAnsi="Times New Roman" w:cs="Times New Roman"/>
          <w:sz w:val="24"/>
          <w:szCs w:val="24"/>
        </w:rPr>
        <w:t>wa</w:t>
      </w:r>
      <w:r w:rsidRPr="005472E5">
        <w:rPr>
          <w:rFonts w:ascii="Times New Roman" w:hAnsi="Times New Roman" w:cs="Times New Roman"/>
          <w:sz w:val="24"/>
          <w:szCs w:val="24"/>
        </w:rPr>
        <w:t>s being created,</w:t>
      </w:r>
    </w:p>
    <w:p w14:paraId="073EDAEF" w14:textId="77777777" w:rsidR="00CC3470" w:rsidRPr="005472E5" w:rsidRDefault="00CC3470" w:rsidP="00CC3470">
      <w:pPr>
        <w:ind w:left="720"/>
        <w:rPr>
          <w:rFonts w:ascii="Times New Roman" w:hAnsi="Times New Roman" w:cs="Times New Roman"/>
          <w:i/>
          <w:iCs/>
          <w:sz w:val="24"/>
          <w:szCs w:val="24"/>
        </w:rPr>
      </w:pPr>
      <w:r w:rsidRPr="005472E5">
        <w:rPr>
          <w:rFonts w:ascii="Times New Roman" w:hAnsi="Times New Roman" w:cs="Times New Roman"/>
          <w:i/>
          <w:iCs/>
          <w:sz w:val="24"/>
          <w:szCs w:val="24"/>
        </w:rPr>
        <w:t>“Where arrangements have been made with the customer in advance and/or where the customer does not attend, the hearings take the same few minutes as previously. As a result of more time being set aside for Substantive hearings there are fewer hearings taking place resulting in long waits for court dates.” Social Landlord #8.</w:t>
      </w:r>
    </w:p>
    <w:p w14:paraId="1161AA04" w14:textId="2EEC2D09" w:rsidR="00CC3470" w:rsidRPr="005472E5" w:rsidRDefault="00CC3470" w:rsidP="00CC3470">
      <w:pPr>
        <w:rPr>
          <w:rFonts w:ascii="Times New Roman" w:hAnsi="Times New Roman" w:cs="Times New Roman"/>
          <w:sz w:val="24"/>
          <w:szCs w:val="24"/>
        </w:rPr>
      </w:pPr>
      <w:r w:rsidRPr="005472E5">
        <w:rPr>
          <w:rFonts w:ascii="Times New Roman" w:hAnsi="Times New Roman" w:cs="Times New Roman"/>
          <w:sz w:val="24"/>
          <w:szCs w:val="24"/>
        </w:rPr>
        <w:t xml:space="preserve">Overall, it would seem that most respondents considered the extra time allocated to S hearings to be unnecessary, </w:t>
      </w:r>
      <w:r w:rsidRPr="005472E5">
        <w:rPr>
          <w:rFonts w:ascii="Times New Roman" w:hAnsi="Times New Roman" w:cs="Times New Roman"/>
          <w:sz w:val="24"/>
          <w:szCs w:val="24"/>
          <w:lang w:val="en"/>
        </w:rPr>
        <w:t>specifically, in cases of non-engagement by occupiers</w:t>
      </w:r>
      <w:r w:rsidRPr="005472E5">
        <w:rPr>
          <w:rFonts w:ascii="Times New Roman" w:hAnsi="Times New Roman" w:cs="Times New Roman"/>
          <w:sz w:val="24"/>
          <w:szCs w:val="24"/>
        </w:rPr>
        <w:t>. It is perhaps for this reason that the BIJ, as part of their investigation into the court system’s response to the pandemic, found that in the 115 mortgage possession hearings they observed, it took on average nine minutes for a possession order to be granted.</w:t>
      </w:r>
      <w:r w:rsidRPr="005472E5">
        <w:rPr>
          <w:rFonts w:ascii="Times New Roman" w:hAnsi="Times New Roman" w:cs="Times New Roman"/>
          <w:sz w:val="24"/>
          <w:szCs w:val="24"/>
          <w:vertAlign w:val="superscript"/>
        </w:rPr>
        <w:footnoteReference w:id="37"/>
      </w:r>
      <w:r w:rsidRPr="005472E5">
        <w:rPr>
          <w:rFonts w:ascii="Times New Roman" w:hAnsi="Times New Roman" w:cs="Times New Roman"/>
          <w:sz w:val="24"/>
          <w:szCs w:val="24"/>
        </w:rPr>
        <w:t xml:space="preserve"> In the 555 possession hearings involving rented accommodation, a third of cases where a possession order was granted took five minutes or less.</w:t>
      </w:r>
      <w:r w:rsidRPr="005472E5">
        <w:rPr>
          <w:rFonts w:ascii="Times New Roman" w:hAnsi="Times New Roman" w:cs="Times New Roman"/>
          <w:sz w:val="24"/>
          <w:szCs w:val="24"/>
          <w:vertAlign w:val="superscript"/>
        </w:rPr>
        <w:footnoteReference w:id="38"/>
      </w:r>
    </w:p>
    <w:p w14:paraId="3588812C" w14:textId="29AEF3D2" w:rsidR="00006279" w:rsidRPr="005472E5" w:rsidRDefault="00006279" w:rsidP="00CC3470">
      <w:pPr>
        <w:rPr>
          <w:rFonts w:ascii="Times New Roman" w:hAnsi="Times New Roman" w:cs="Times New Roman"/>
          <w:sz w:val="24"/>
          <w:szCs w:val="24"/>
        </w:rPr>
      </w:pPr>
      <w:r w:rsidRPr="005472E5">
        <w:rPr>
          <w:rFonts w:ascii="Times New Roman" w:hAnsi="Times New Roman" w:cs="Times New Roman"/>
          <w:sz w:val="24"/>
          <w:szCs w:val="24"/>
        </w:rPr>
        <w:t xml:space="preserve">The apparent failure on the part of the OA to reduce the volume of cases in the system was due in the main to the non-participation of occupiers. </w:t>
      </w:r>
      <w:r w:rsidR="00EA55EC" w:rsidRPr="005472E5">
        <w:rPr>
          <w:rFonts w:ascii="Times New Roman" w:hAnsi="Times New Roman" w:cs="Times New Roman"/>
          <w:sz w:val="24"/>
          <w:szCs w:val="24"/>
        </w:rPr>
        <w:t>U</w:t>
      </w:r>
      <w:r w:rsidRPr="005472E5">
        <w:rPr>
          <w:rFonts w:ascii="Times New Roman" w:hAnsi="Times New Roman" w:cs="Times New Roman"/>
          <w:sz w:val="24"/>
          <w:szCs w:val="24"/>
        </w:rPr>
        <w:t xml:space="preserve">nderstanding why occupiers do not engage, however, </w:t>
      </w:r>
      <w:r w:rsidR="00EA55EC" w:rsidRPr="005472E5">
        <w:rPr>
          <w:rFonts w:ascii="Times New Roman" w:hAnsi="Times New Roman" w:cs="Times New Roman"/>
          <w:sz w:val="24"/>
          <w:szCs w:val="24"/>
        </w:rPr>
        <w:t>is a difficult task.</w:t>
      </w:r>
    </w:p>
    <w:p w14:paraId="2992C68D" w14:textId="4C217F69" w:rsidR="006E18DF" w:rsidRPr="005472E5" w:rsidRDefault="006E18DF" w:rsidP="00B72B6F">
      <w:pPr>
        <w:rPr>
          <w:rFonts w:ascii="Times New Roman" w:hAnsi="Times New Roman" w:cs="Times New Roman"/>
          <w:b/>
          <w:bCs/>
          <w:sz w:val="24"/>
          <w:szCs w:val="24"/>
        </w:rPr>
      </w:pPr>
      <w:r w:rsidRPr="005472E5">
        <w:rPr>
          <w:rFonts w:ascii="Times New Roman" w:hAnsi="Times New Roman" w:cs="Times New Roman"/>
          <w:b/>
          <w:bCs/>
          <w:sz w:val="24"/>
          <w:szCs w:val="24"/>
        </w:rPr>
        <w:t>Occupier engagement</w:t>
      </w:r>
    </w:p>
    <w:p w14:paraId="3FA3558A" w14:textId="484210FE" w:rsidR="00B72B6F" w:rsidRPr="005472E5" w:rsidRDefault="00B72B6F" w:rsidP="00B72B6F">
      <w:pPr>
        <w:rPr>
          <w:rFonts w:ascii="Times New Roman" w:hAnsi="Times New Roman" w:cs="Times New Roman"/>
          <w:sz w:val="24"/>
          <w:szCs w:val="24"/>
        </w:rPr>
      </w:pPr>
      <w:r w:rsidRPr="005472E5">
        <w:rPr>
          <w:rFonts w:ascii="Times New Roman" w:hAnsi="Times New Roman" w:cs="Times New Roman"/>
          <w:sz w:val="24"/>
          <w:szCs w:val="24"/>
        </w:rPr>
        <w:t>Concerns have been raised over the last several years about low levels of engagement by occupiers in the arrears and possession process.</w:t>
      </w:r>
      <w:r w:rsidRPr="005472E5">
        <w:rPr>
          <w:rFonts w:ascii="Times New Roman" w:hAnsi="Times New Roman" w:cs="Times New Roman"/>
          <w:sz w:val="24"/>
          <w:szCs w:val="24"/>
          <w:vertAlign w:val="superscript"/>
        </w:rPr>
        <w:footnoteReference w:id="39"/>
      </w:r>
      <w:r w:rsidRPr="005472E5">
        <w:rPr>
          <w:rFonts w:ascii="Times New Roman" w:hAnsi="Times New Roman" w:cs="Times New Roman"/>
          <w:sz w:val="24"/>
          <w:szCs w:val="24"/>
        </w:rPr>
        <w:t xml:space="preserve"> Despite the home being at risk, evidence suggests that a small proportion of occupiers with rent or mortgage arrears engage with their housing provider or lender during the arrears management process.</w:t>
      </w:r>
      <w:r w:rsidRPr="005472E5">
        <w:rPr>
          <w:rFonts w:ascii="Times New Roman" w:hAnsi="Times New Roman" w:cs="Times New Roman"/>
          <w:sz w:val="24"/>
          <w:szCs w:val="24"/>
          <w:vertAlign w:val="superscript"/>
        </w:rPr>
        <w:footnoteReference w:id="40"/>
      </w:r>
      <w:r w:rsidRPr="005472E5">
        <w:rPr>
          <w:rFonts w:ascii="Times New Roman" w:hAnsi="Times New Roman" w:cs="Times New Roman"/>
          <w:sz w:val="24"/>
          <w:szCs w:val="24"/>
        </w:rPr>
        <w:t xml:space="preserve"> The reasons for non-engagement are difficult to assess without the voice of occupiers being heard in these research studies but an earlier study by Bright and Whitehouse asked duty advisers what they thought the barriers to court attendance were. The research employed the categories set out in an earlier study of the HPCDS by Myers-Wilson.</w:t>
      </w:r>
      <w:r w:rsidRPr="005472E5">
        <w:rPr>
          <w:rFonts w:ascii="Times New Roman" w:hAnsi="Times New Roman" w:cs="Times New Roman"/>
          <w:sz w:val="24"/>
          <w:szCs w:val="24"/>
          <w:vertAlign w:val="superscript"/>
        </w:rPr>
        <w:footnoteReference w:id="41"/>
      </w:r>
      <w:r w:rsidRPr="005472E5">
        <w:rPr>
          <w:rFonts w:ascii="Times New Roman" w:hAnsi="Times New Roman" w:cs="Times New Roman"/>
          <w:sz w:val="24"/>
          <w:szCs w:val="24"/>
        </w:rPr>
        <w:t xml:space="preserve"> In response, duty advisers ranked the categories in the following order of importance: </w:t>
      </w:r>
    </w:p>
    <w:p w14:paraId="781576D5" w14:textId="77777777" w:rsidR="00B72B6F" w:rsidRPr="005472E5" w:rsidRDefault="00B72B6F" w:rsidP="00E23BAB">
      <w:pPr>
        <w:numPr>
          <w:ilvl w:val="0"/>
          <w:numId w:val="20"/>
        </w:numPr>
        <w:ind w:left="851"/>
        <w:rPr>
          <w:rFonts w:ascii="Times New Roman" w:hAnsi="Times New Roman" w:cs="Times New Roman"/>
          <w:sz w:val="24"/>
          <w:szCs w:val="24"/>
        </w:rPr>
      </w:pPr>
      <w:r w:rsidRPr="005472E5">
        <w:rPr>
          <w:rFonts w:ascii="Times New Roman" w:hAnsi="Times New Roman" w:cs="Times New Roman"/>
          <w:sz w:val="24"/>
          <w:szCs w:val="24"/>
        </w:rPr>
        <w:t xml:space="preserve">burying of heads in the sand, </w:t>
      </w:r>
    </w:p>
    <w:p w14:paraId="6A7CB234" w14:textId="77777777" w:rsidR="00B72B6F" w:rsidRPr="005472E5" w:rsidRDefault="00B72B6F" w:rsidP="00E23BAB">
      <w:pPr>
        <w:numPr>
          <w:ilvl w:val="0"/>
          <w:numId w:val="20"/>
        </w:numPr>
        <w:ind w:left="851"/>
        <w:rPr>
          <w:rFonts w:ascii="Times New Roman" w:hAnsi="Times New Roman" w:cs="Times New Roman"/>
          <w:sz w:val="24"/>
          <w:szCs w:val="24"/>
        </w:rPr>
      </w:pPr>
      <w:r w:rsidRPr="005472E5">
        <w:rPr>
          <w:rFonts w:ascii="Times New Roman" w:hAnsi="Times New Roman" w:cs="Times New Roman"/>
          <w:sz w:val="24"/>
          <w:szCs w:val="24"/>
        </w:rPr>
        <w:t xml:space="preserve">little point attending as nothing could be done, </w:t>
      </w:r>
    </w:p>
    <w:p w14:paraId="4CCD533A" w14:textId="77777777" w:rsidR="00B72B6F" w:rsidRPr="005472E5" w:rsidRDefault="00B72B6F" w:rsidP="00E23BAB">
      <w:pPr>
        <w:numPr>
          <w:ilvl w:val="0"/>
          <w:numId w:val="20"/>
        </w:numPr>
        <w:ind w:left="851"/>
        <w:rPr>
          <w:rFonts w:ascii="Times New Roman" w:hAnsi="Times New Roman" w:cs="Times New Roman"/>
          <w:sz w:val="24"/>
          <w:szCs w:val="24"/>
        </w:rPr>
      </w:pPr>
      <w:r w:rsidRPr="005472E5">
        <w:rPr>
          <w:rFonts w:ascii="Times New Roman" w:hAnsi="Times New Roman" w:cs="Times New Roman"/>
          <w:sz w:val="24"/>
          <w:szCs w:val="24"/>
        </w:rPr>
        <w:t xml:space="preserve">landlords and housing officers told defendants there was no need to attend, </w:t>
      </w:r>
    </w:p>
    <w:p w14:paraId="7BFEA5D8" w14:textId="77777777" w:rsidR="00B72B6F" w:rsidRPr="005472E5" w:rsidRDefault="00B72B6F" w:rsidP="00E23BAB">
      <w:pPr>
        <w:numPr>
          <w:ilvl w:val="0"/>
          <w:numId w:val="20"/>
        </w:numPr>
        <w:ind w:left="851"/>
        <w:rPr>
          <w:rFonts w:ascii="Times New Roman" w:hAnsi="Times New Roman" w:cs="Times New Roman"/>
          <w:sz w:val="24"/>
          <w:szCs w:val="24"/>
        </w:rPr>
      </w:pPr>
      <w:r w:rsidRPr="005472E5">
        <w:rPr>
          <w:rFonts w:ascii="Times New Roman" w:hAnsi="Times New Roman" w:cs="Times New Roman"/>
          <w:sz w:val="24"/>
          <w:szCs w:val="24"/>
        </w:rPr>
        <w:t xml:space="preserve">fear or misunderstanding of the legal system, </w:t>
      </w:r>
    </w:p>
    <w:p w14:paraId="732D3E23" w14:textId="77777777" w:rsidR="00B72B6F" w:rsidRPr="005472E5" w:rsidRDefault="00B72B6F" w:rsidP="00E23BAB">
      <w:pPr>
        <w:numPr>
          <w:ilvl w:val="0"/>
          <w:numId w:val="20"/>
        </w:numPr>
        <w:ind w:left="851"/>
        <w:rPr>
          <w:rFonts w:ascii="Times New Roman" w:hAnsi="Times New Roman" w:cs="Times New Roman"/>
          <w:sz w:val="24"/>
          <w:szCs w:val="24"/>
        </w:rPr>
      </w:pPr>
      <w:r w:rsidRPr="005472E5">
        <w:rPr>
          <w:rFonts w:ascii="Times New Roman" w:hAnsi="Times New Roman" w:cs="Times New Roman"/>
          <w:sz w:val="24"/>
          <w:szCs w:val="24"/>
        </w:rPr>
        <w:t xml:space="preserve">the cost and difficultly of attending, </w:t>
      </w:r>
    </w:p>
    <w:p w14:paraId="29B5A97F" w14:textId="77777777" w:rsidR="00B72B6F" w:rsidRPr="005472E5" w:rsidRDefault="00B72B6F" w:rsidP="00E23BAB">
      <w:pPr>
        <w:numPr>
          <w:ilvl w:val="0"/>
          <w:numId w:val="20"/>
        </w:numPr>
        <w:ind w:left="851"/>
        <w:rPr>
          <w:rFonts w:ascii="Times New Roman" w:hAnsi="Times New Roman" w:cs="Times New Roman"/>
          <w:sz w:val="24"/>
          <w:szCs w:val="24"/>
        </w:rPr>
      </w:pPr>
      <w:r w:rsidRPr="005472E5">
        <w:rPr>
          <w:rFonts w:ascii="Times New Roman" w:hAnsi="Times New Roman" w:cs="Times New Roman"/>
          <w:sz w:val="24"/>
          <w:szCs w:val="24"/>
        </w:rPr>
        <w:t xml:space="preserve">general apathy, and </w:t>
      </w:r>
    </w:p>
    <w:p w14:paraId="39342C74" w14:textId="77777777" w:rsidR="00B72B6F" w:rsidRPr="005472E5" w:rsidRDefault="00B72B6F" w:rsidP="00E23BAB">
      <w:pPr>
        <w:numPr>
          <w:ilvl w:val="0"/>
          <w:numId w:val="20"/>
        </w:numPr>
        <w:ind w:left="851"/>
        <w:rPr>
          <w:rFonts w:ascii="Times New Roman" w:hAnsi="Times New Roman" w:cs="Times New Roman"/>
          <w:sz w:val="24"/>
          <w:szCs w:val="24"/>
        </w:rPr>
      </w:pPr>
      <w:r w:rsidRPr="005472E5">
        <w:rPr>
          <w:rFonts w:ascii="Times New Roman" w:hAnsi="Times New Roman" w:cs="Times New Roman"/>
          <w:sz w:val="24"/>
          <w:szCs w:val="24"/>
        </w:rPr>
        <w:lastRenderedPageBreak/>
        <w:t>the acceptance of what is perceived as an unfair system.</w:t>
      </w:r>
    </w:p>
    <w:p w14:paraId="219A2447" w14:textId="14112FD5" w:rsidR="00B72B6F" w:rsidRPr="005472E5" w:rsidRDefault="00B72B6F" w:rsidP="00B72B6F">
      <w:pPr>
        <w:rPr>
          <w:rFonts w:ascii="Times New Roman" w:hAnsi="Times New Roman" w:cs="Times New Roman"/>
          <w:sz w:val="24"/>
          <w:szCs w:val="24"/>
        </w:rPr>
      </w:pPr>
      <w:r w:rsidRPr="005472E5">
        <w:rPr>
          <w:rFonts w:ascii="Times New Roman" w:hAnsi="Times New Roman" w:cs="Times New Roman"/>
          <w:sz w:val="24"/>
          <w:szCs w:val="24"/>
        </w:rPr>
        <w:t>These findings are supported by the data obtained during this study. The main reason offered by respondents as to why tenants do not engage was 'burying their head in the sand':</w:t>
      </w:r>
    </w:p>
    <w:p w14:paraId="316E6BDF" w14:textId="77777777" w:rsidR="00B72B6F" w:rsidRPr="005472E5" w:rsidRDefault="00B72B6F" w:rsidP="00B72B6F">
      <w:pPr>
        <w:ind w:left="720"/>
        <w:rPr>
          <w:rFonts w:ascii="Times New Roman" w:hAnsi="Times New Roman" w:cs="Times New Roman"/>
          <w:i/>
          <w:iCs/>
          <w:sz w:val="24"/>
          <w:szCs w:val="24"/>
        </w:rPr>
      </w:pPr>
      <w:r w:rsidRPr="005472E5">
        <w:rPr>
          <w:rFonts w:ascii="Times New Roman" w:hAnsi="Times New Roman" w:cs="Times New Roman"/>
          <w:i/>
          <w:iCs/>
          <w:sz w:val="24"/>
          <w:szCs w:val="24"/>
        </w:rPr>
        <w:t>"Fear, head in the sand – ‘it won’t happen’, have already left/abandoned the tenancy." Social Landlord #56.</w:t>
      </w:r>
    </w:p>
    <w:p w14:paraId="742D06B3" w14:textId="77777777" w:rsidR="00B72B6F" w:rsidRPr="005472E5" w:rsidRDefault="00B72B6F" w:rsidP="00B72B6F">
      <w:pPr>
        <w:ind w:left="720"/>
        <w:rPr>
          <w:rFonts w:ascii="Times New Roman" w:hAnsi="Times New Roman" w:cs="Times New Roman"/>
          <w:i/>
          <w:iCs/>
          <w:sz w:val="24"/>
          <w:szCs w:val="24"/>
        </w:rPr>
      </w:pPr>
      <w:r w:rsidRPr="005472E5">
        <w:rPr>
          <w:rFonts w:ascii="Times New Roman" w:hAnsi="Times New Roman" w:cs="Times New Roman"/>
          <w:i/>
          <w:iCs/>
          <w:sz w:val="24"/>
          <w:szCs w:val="24"/>
        </w:rPr>
        <w:t>“Sometimes they don't really know what's going on and head in sand seems to be very common with my clients.” Debt Adviser #1.</w:t>
      </w:r>
    </w:p>
    <w:p w14:paraId="5164BDA5" w14:textId="77777777" w:rsidR="00B72B6F" w:rsidRPr="005472E5" w:rsidRDefault="00B72B6F" w:rsidP="00B72B6F">
      <w:pPr>
        <w:ind w:left="720"/>
        <w:rPr>
          <w:rFonts w:ascii="Times New Roman" w:hAnsi="Times New Roman" w:cs="Times New Roman"/>
          <w:sz w:val="24"/>
          <w:szCs w:val="24"/>
        </w:rPr>
      </w:pPr>
      <w:r w:rsidRPr="005472E5">
        <w:rPr>
          <w:rFonts w:ascii="Times New Roman" w:hAnsi="Times New Roman" w:cs="Times New Roman"/>
          <w:i/>
          <w:iCs/>
          <w:sz w:val="24"/>
          <w:szCs w:val="24"/>
        </w:rPr>
        <w:t>"Burying head in sand, fear of being judged, feeling of hopelessness and 'what can I do about it' attitude, refusal to believe that they will be evicted." Social Landlord #32.</w:t>
      </w:r>
    </w:p>
    <w:p w14:paraId="20CC3FEE" w14:textId="55AFF5F9" w:rsidR="00B72B6F" w:rsidRPr="005472E5" w:rsidRDefault="00B72B6F" w:rsidP="00B72B6F">
      <w:pPr>
        <w:rPr>
          <w:rFonts w:ascii="Times New Roman" w:hAnsi="Times New Roman" w:cs="Times New Roman"/>
          <w:sz w:val="24"/>
          <w:szCs w:val="24"/>
        </w:rPr>
      </w:pPr>
      <w:r w:rsidRPr="005472E5">
        <w:rPr>
          <w:rFonts w:ascii="Times New Roman" w:hAnsi="Times New Roman" w:cs="Times New Roman"/>
          <w:sz w:val="24"/>
          <w:szCs w:val="24"/>
        </w:rPr>
        <w:t>For some landlords, however, it seemed clear that many tenants were simply 'playing the system':</w:t>
      </w:r>
    </w:p>
    <w:p w14:paraId="56BD50E5" w14:textId="77777777" w:rsidR="00B72B6F" w:rsidRPr="005472E5" w:rsidRDefault="00B72B6F" w:rsidP="00B72B6F">
      <w:pPr>
        <w:ind w:left="720"/>
        <w:rPr>
          <w:rFonts w:ascii="Times New Roman" w:hAnsi="Times New Roman" w:cs="Times New Roman"/>
          <w:i/>
          <w:iCs/>
          <w:sz w:val="24"/>
          <w:szCs w:val="24"/>
        </w:rPr>
      </w:pPr>
      <w:r w:rsidRPr="005472E5">
        <w:rPr>
          <w:rFonts w:ascii="Times New Roman" w:hAnsi="Times New Roman" w:cs="Times New Roman"/>
          <w:i/>
          <w:iCs/>
          <w:sz w:val="24"/>
          <w:szCs w:val="24"/>
        </w:rPr>
        <w:t>“Two reasons, head in the sand and no idea what to do or serial debtor that go from one landlord to the next leaving arrears they know how to work the system.” Private Landlord #12.</w:t>
      </w:r>
    </w:p>
    <w:p w14:paraId="37D54D50" w14:textId="77777777" w:rsidR="00B72B6F" w:rsidRPr="005472E5" w:rsidRDefault="00B72B6F" w:rsidP="00B72B6F">
      <w:pPr>
        <w:ind w:left="720"/>
        <w:rPr>
          <w:rFonts w:ascii="Times New Roman" w:hAnsi="Times New Roman" w:cs="Times New Roman"/>
          <w:i/>
          <w:iCs/>
          <w:sz w:val="24"/>
          <w:szCs w:val="24"/>
        </w:rPr>
      </w:pPr>
      <w:r w:rsidRPr="005472E5">
        <w:rPr>
          <w:rFonts w:ascii="Times New Roman" w:hAnsi="Times New Roman" w:cs="Times New Roman"/>
          <w:i/>
          <w:iCs/>
          <w:sz w:val="24"/>
          <w:szCs w:val="24"/>
        </w:rPr>
        <w:t>“Some have no intention [of paying] because they can get one-two years' free rent then walk away with the law doing nothing about it...”. Private Landlord #26.</w:t>
      </w:r>
    </w:p>
    <w:p w14:paraId="61F70CD7" w14:textId="77777777" w:rsidR="00ED3DF7" w:rsidRPr="005472E5" w:rsidRDefault="00ED3DF7" w:rsidP="00ED3DF7">
      <w:pPr>
        <w:ind w:left="720"/>
        <w:rPr>
          <w:rFonts w:ascii="Times New Roman" w:hAnsi="Times New Roman" w:cs="Times New Roman"/>
          <w:i/>
          <w:iCs/>
          <w:sz w:val="24"/>
          <w:szCs w:val="24"/>
        </w:rPr>
      </w:pPr>
      <w:r w:rsidRPr="005472E5">
        <w:rPr>
          <w:rFonts w:ascii="Times New Roman" w:hAnsi="Times New Roman" w:cs="Times New Roman"/>
          <w:i/>
          <w:iCs/>
          <w:sz w:val="24"/>
          <w:szCs w:val="24"/>
        </w:rPr>
        <w:t>"They do not engage as they know the 'system' and how long it takes to remove them." Private Landlord #27.</w:t>
      </w:r>
    </w:p>
    <w:p w14:paraId="7A7144FE" w14:textId="3BE90C6C" w:rsidR="00A14633" w:rsidRPr="005472E5" w:rsidRDefault="00290517" w:rsidP="00677CEB">
      <w:pPr>
        <w:rPr>
          <w:rFonts w:ascii="Times New Roman" w:hAnsi="Times New Roman" w:cs="Times New Roman"/>
          <w:sz w:val="24"/>
          <w:szCs w:val="24"/>
        </w:rPr>
      </w:pPr>
      <w:r w:rsidRPr="005472E5">
        <w:rPr>
          <w:rFonts w:ascii="Times New Roman" w:hAnsi="Times New Roman" w:cs="Times New Roman"/>
          <w:sz w:val="24"/>
          <w:szCs w:val="24"/>
        </w:rPr>
        <w:t>Whatever the reason for the non-participation of occupiers, t</w:t>
      </w:r>
      <w:r w:rsidR="00325965" w:rsidRPr="005472E5">
        <w:rPr>
          <w:rFonts w:ascii="Times New Roman" w:hAnsi="Times New Roman" w:cs="Times New Roman"/>
          <w:sz w:val="24"/>
          <w:szCs w:val="24"/>
        </w:rPr>
        <w:t>h</w:t>
      </w:r>
      <w:r w:rsidR="00A76BDA" w:rsidRPr="005472E5">
        <w:rPr>
          <w:rFonts w:ascii="Times New Roman" w:hAnsi="Times New Roman" w:cs="Times New Roman"/>
          <w:sz w:val="24"/>
          <w:szCs w:val="24"/>
        </w:rPr>
        <w:t>e delay to cases</w:t>
      </w:r>
      <w:r w:rsidRPr="005472E5">
        <w:rPr>
          <w:rFonts w:ascii="Times New Roman" w:hAnsi="Times New Roman" w:cs="Times New Roman"/>
          <w:sz w:val="24"/>
          <w:szCs w:val="24"/>
        </w:rPr>
        <w:t xml:space="preserve"> occasioned under the OA</w:t>
      </w:r>
      <w:r w:rsidR="00325965" w:rsidRPr="005472E5">
        <w:rPr>
          <w:rFonts w:ascii="Times New Roman" w:hAnsi="Times New Roman" w:cs="Times New Roman"/>
          <w:sz w:val="24"/>
          <w:szCs w:val="24"/>
        </w:rPr>
        <w:t xml:space="preserve"> is of concern given the </w:t>
      </w:r>
      <w:r w:rsidR="00B22C5C" w:rsidRPr="005472E5">
        <w:rPr>
          <w:rFonts w:ascii="Times New Roman" w:hAnsi="Times New Roman" w:cs="Times New Roman"/>
          <w:sz w:val="24"/>
          <w:szCs w:val="24"/>
        </w:rPr>
        <w:t>prediction that the adverse impact of the pandemic on household finances</w:t>
      </w:r>
      <w:r w:rsidR="00B22C5C" w:rsidRPr="005472E5">
        <w:rPr>
          <w:rStyle w:val="FootnoteReference"/>
          <w:rFonts w:ascii="Times New Roman" w:hAnsi="Times New Roman" w:cs="Times New Roman"/>
          <w:sz w:val="24"/>
          <w:szCs w:val="24"/>
        </w:rPr>
        <w:footnoteReference w:id="42"/>
      </w:r>
      <w:r w:rsidR="00B22C5C" w:rsidRPr="005472E5">
        <w:rPr>
          <w:rFonts w:ascii="Times New Roman" w:hAnsi="Times New Roman" w:cs="Times New Roman"/>
          <w:sz w:val="24"/>
          <w:szCs w:val="24"/>
        </w:rPr>
        <w:t xml:space="preserve"> will lead to the court system being flooded by a ‘tsunami’</w:t>
      </w:r>
      <w:r w:rsidR="00B22C5C" w:rsidRPr="005472E5">
        <w:rPr>
          <w:rFonts w:ascii="Times New Roman" w:hAnsi="Times New Roman" w:cs="Times New Roman"/>
          <w:sz w:val="24"/>
          <w:szCs w:val="24"/>
          <w:vertAlign w:val="superscript"/>
        </w:rPr>
        <w:footnoteReference w:id="43"/>
      </w:r>
      <w:r w:rsidR="00B22C5C" w:rsidRPr="005472E5">
        <w:rPr>
          <w:rFonts w:ascii="Times New Roman" w:hAnsi="Times New Roman" w:cs="Times New Roman"/>
          <w:sz w:val="24"/>
          <w:szCs w:val="24"/>
        </w:rPr>
        <w:t xml:space="preserve"> of possession claims and hearings.</w:t>
      </w:r>
      <w:r w:rsidR="00B22C5C" w:rsidRPr="005472E5">
        <w:rPr>
          <w:rFonts w:ascii="Times New Roman" w:hAnsi="Times New Roman" w:cs="Times New Roman"/>
          <w:sz w:val="24"/>
          <w:szCs w:val="24"/>
          <w:vertAlign w:val="superscript"/>
        </w:rPr>
        <w:footnoteReference w:id="44"/>
      </w:r>
      <w:r w:rsidR="00B22C5C" w:rsidRPr="005472E5">
        <w:rPr>
          <w:rFonts w:ascii="Times New Roman" w:hAnsi="Times New Roman" w:cs="Times New Roman"/>
          <w:sz w:val="24"/>
          <w:szCs w:val="24"/>
        </w:rPr>
        <w:t xml:space="preserve"> </w:t>
      </w:r>
      <w:r w:rsidR="00677CEB" w:rsidRPr="005472E5">
        <w:rPr>
          <w:rFonts w:ascii="Times New Roman" w:hAnsi="Times New Roman" w:cs="Times New Roman"/>
          <w:sz w:val="24"/>
          <w:szCs w:val="24"/>
        </w:rPr>
        <w:t>As the Resolution Foundation notes, ‘this raises the important question of how the system will cope with both the backlog of “normal” cases that has built up over the last ten months, as well as the “excess” caseload...’.</w:t>
      </w:r>
      <w:r w:rsidR="00677CEB" w:rsidRPr="005472E5">
        <w:rPr>
          <w:rFonts w:ascii="Times New Roman" w:hAnsi="Times New Roman" w:cs="Times New Roman"/>
          <w:sz w:val="24"/>
          <w:szCs w:val="24"/>
          <w:vertAlign w:val="superscript"/>
        </w:rPr>
        <w:footnoteReference w:id="45"/>
      </w:r>
      <w:r w:rsidR="00B87A70" w:rsidRPr="005472E5">
        <w:rPr>
          <w:rFonts w:ascii="Times New Roman" w:hAnsi="Times New Roman" w:cs="Times New Roman"/>
          <w:sz w:val="24"/>
          <w:szCs w:val="24"/>
        </w:rPr>
        <w:t xml:space="preserve"> </w:t>
      </w:r>
      <w:r w:rsidR="006C0490" w:rsidRPr="005472E5">
        <w:rPr>
          <w:rFonts w:ascii="Times New Roman" w:hAnsi="Times New Roman" w:cs="Times New Roman"/>
          <w:sz w:val="24"/>
          <w:szCs w:val="24"/>
        </w:rPr>
        <w:t>W</w:t>
      </w:r>
      <w:r w:rsidR="00B87A70" w:rsidRPr="005472E5">
        <w:rPr>
          <w:rFonts w:ascii="Times New Roman" w:hAnsi="Times New Roman" w:cs="Times New Roman"/>
          <w:sz w:val="24"/>
          <w:szCs w:val="24"/>
        </w:rPr>
        <w:t xml:space="preserve">hat this research demonstrates is that the R date </w:t>
      </w:r>
      <w:r w:rsidR="00CC3470" w:rsidRPr="005472E5">
        <w:rPr>
          <w:rFonts w:ascii="Times New Roman" w:hAnsi="Times New Roman" w:cs="Times New Roman"/>
          <w:sz w:val="24"/>
          <w:szCs w:val="24"/>
        </w:rPr>
        <w:t>and S hearing initiatives</w:t>
      </w:r>
      <w:r w:rsidR="00B87A70" w:rsidRPr="005472E5">
        <w:rPr>
          <w:rFonts w:ascii="Times New Roman" w:hAnsi="Times New Roman" w:cs="Times New Roman"/>
          <w:sz w:val="24"/>
          <w:szCs w:val="24"/>
        </w:rPr>
        <w:t xml:space="preserve">, in the form adopted between September </w:t>
      </w:r>
      <w:r w:rsidR="00AE1D9F">
        <w:rPr>
          <w:rFonts w:ascii="Times New Roman" w:hAnsi="Times New Roman" w:cs="Times New Roman"/>
          <w:sz w:val="24"/>
          <w:szCs w:val="24"/>
        </w:rPr>
        <w:t xml:space="preserve">2020 </w:t>
      </w:r>
      <w:r w:rsidR="00B87A70" w:rsidRPr="005472E5">
        <w:rPr>
          <w:rFonts w:ascii="Times New Roman" w:hAnsi="Times New Roman" w:cs="Times New Roman"/>
          <w:sz w:val="24"/>
          <w:szCs w:val="24"/>
        </w:rPr>
        <w:t xml:space="preserve">and November 2021, </w:t>
      </w:r>
      <w:r w:rsidR="00ED3DF7" w:rsidRPr="005472E5">
        <w:rPr>
          <w:rFonts w:ascii="Times New Roman" w:hAnsi="Times New Roman" w:cs="Times New Roman"/>
          <w:sz w:val="24"/>
          <w:szCs w:val="24"/>
        </w:rPr>
        <w:t>would</w:t>
      </w:r>
      <w:r w:rsidR="006C0490" w:rsidRPr="005472E5">
        <w:rPr>
          <w:rFonts w:ascii="Times New Roman" w:hAnsi="Times New Roman" w:cs="Times New Roman"/>
          <w:sz w:val="24"/>
          <w:szCs w:val="24"/>
        </w:rPr>
        <w:t xml:space="preserve"> not offer an effective answer to that question.</w:t>
      </w:r>
      <w:r w:rsidR="00A14633" w:rsidRPr="005472E5">
        <w:rPr>
          <w:rFonts w:ascii="Times New Roman" w:hAnsi="Times New Roman" w:cs="Times New Roman"/>
          <w:sz w:val="24"/>
          <w:szCs w:val="24"/>
        </w:rPr>
        <w:t xml:space="preserve"> </w:t>
      </w:r>
      <w:r w:rsidR="00D058B0" w:rsidRPr="005472E5">
        <w:rPr>
          <w:rFonts w:ascii="Times New Roman" w:hAnsi="Times New Roman" w:cs="Times New Roman"/>
          <w:sz w:val="24"/>
          <w:szCs w:val="24"/>
        </w:rPr>
        <w:t>An</w:t>
      </w:r>
      <w:r w:rsidR="00A14633" w:rsidRPr="005472E5">
        <w:rPr>
          <w:rFonts w:ascii="Times New Roman" w:hAnsi="Times New Roman" w:cs="Times New Roman"/>
          <w:sz w:val="24"/>
          <w:szCs w:val="24"/>
        </w:rPr>
        <w:t xml:space="preserve"> alternative, however, may be the use of remote hearings.</w:t>
      </w:r>
    </w:p>
    <w:p w14:paraId="29DDB873" w14:textId="77777777" w:rsidR="00A14633" w:rsidRPr="005472E5" w:rsidRDefault="00A14633" w:rsidP="00A14633">
      <w:pPr>
        <w:rPr>
          <w:rFonts w:ascii="Times New Roman" w:hAnsi="Times New Roman" w:cs="Times New Roman"/>
          <w:b/>
          <w:bCs/>
          <w:sz w:val="24"/>
          <w:szCs w:val="24"/>
        </w:rPr>
      </w:pPr>
      <w:bookmarkStart w:id="6" w:name="_Toc93393770"/>
      <w:r w:rsidRPr="005472E5">
        <w:rPr>
          <w:rFonts w:ascii="Times New Roman" w:hAnsi="Times New Roman" w:cs="Times New Roman"/>
          <w:b/>
          <w:bCs/>
          <w:sz w:val="24"/>
          <w:szCs w:val="24"/>
        </w:rPr>
        <w:t>Remote Hearings</w:t>
      </w:r>
      <w:bookmarkEnd w:id="6"/>
    </w:p>
    <w:p w14:paraId="39F9D2DE" w14:textId="68566077" w:rsidR="00A14633" w:rsidRPr="005472E5" w:rsidRDefault="00A14633" w:rsidP="00A14633">
      <w:pPr>
        <w:rPr>
          <w:rFonts w:ascii="Times New Roman" w:hAnsi="Times New Roman" w:cs="Times New Roman"/>
          <w:sz w:val="24"/>
          <w:szCs w:val="24"/>
        </w:rPr>
      </w:pPr>
      <w:r w:rsidRPr="005472E5">
        <w:rPr>
          <w:rFonts w:ascii="Times New Roman" w:hAnsi="Times New Roman" w:cs="Times New Roman"/>
          <w:sz w:val="24"/>
          <w:szCs w:val="24"/>
        </w:rPr>
        <w:lastRenderedPageBreak/>
        <w:t>The use of remote hearings was a common response to the COVID-19 pandemic. Most of the research offering an evaluation of their effectiveness focuses on the family justice system.</w:t>
      </w:r>
      <w:r w:rsidRPr="005472E5">
        <w:rPr>
          <w:rFonts w:ascii="Times New Roman" w:hAnsi="Times New Roman" w:cs="Times New Roman"/>
          <w:sz w:val="24"/>
          <w:szCs w:val="24"/>
          <w:vertAlign w:val="superscript"/>
        </w:rPr>
        <w:footnoteReference w:id="46"/>
      </w:r>
      <w:r w:rsidRPr="005472E5">
        <w:rPr>
          <w:rFonts w:ascii="Times New Roman" w:hAnsi="Times New Roman" w:cs="Times New Roman"/>
          <w:sz w:val="24"/>
          <w:szCs w:val="24"/>
        </w:rPr>
        <w:t xml:space="preserve"> In addition, Byrom and Beardon’s detailed report in June 2021 offers an assessment based on survey data provided by 1507 judicial office holders who preside over tribunals.</w:t>
      </w:r>
      <w:r w:rsidRPr="005472E5">
        <w:rPr>
          <w:rFonts w:ascii="Times New Roman" w:hAnsi="Times New Roman" w:cs="Times New Roman"/>
          <w:sz w:val="24"/>
          <w:szCs w:val="24"/>
          <w:vertAlign w:val="superscript"/>
        </w:rPr>
        <w:footnoteReference w:id="47"/>
      </w:r>
      <w:r w:rsidRPr="005472E5">
        <w:rPr>
          <w:rFonts w:ascii="Times New Roman" w:hAnsi="Times New Roman" w:cs="Times New Roman"/>
          <w:sz w:val="24"/>
          <w:szCs w:val="24"/>
        </w:rPr>
        <w:t xml:space="preserve"> Most recently, HMCTS released its report on the use of remote hearings across a range of jurisdictions during the pandemic.</w:t>
      </w:r>
      <w:r w:rsidRPr="005472E5">
        <w:rPr>
          <w:rFonts w:ascii="Times New Roman" w:hAnsi="Times New Roman" w:cs="Times New Roman"/>
          <w:sz w:val="24"/>
          <w:szCs w:val="24"/>
          <w:vertAlign w:val="superscript"/>
        </w:rPr>
        <w:footnoteReference w:id="48"/>
      </w:r>
      <w:r w:rsidRPr="005472E5">
        <w:rPr>
          <w:rFonts w:ascii="Times New Roman" w:hAnsi="Times New Roman" w:cs="Times New Roman"/>
          <w:sz w:val="24"/>
          <w:szCs w:val="24"/>
        </w:rPr>
        <w:t xml:space="preserve"> Drawing on 8328 survey respondents and 180 qualitative interviews, the report, like most of the research to date, paints a complex picture of the appropriateness and fairness of hearings conducted remotely.</w:t>
      </w:r>
      <w:r w:rsidRPr="005472E5">
        <w:rPr>
          <w:rFonts w:ascii="Times New Roman" w:hAnsi="Times New Roman" w:cs="Times New Roman"/>
          <w:sz w:val="24"/>
          <w:szCs w:val="24"/>
          <w:vertAlign w:val="superscript"/>
        </w:rPr>
        <w:footnoteReference w:id="49"/>
      </w:r>
      <w:r w:rsidRPr="005472E5">
        <w:rPr>
          <w:rFonts w:ascii="Times New Roman" w:hAnsi="Times New Roman" w:cs="Times New Roman"/>
          <w:sz w:val="24"/>
          <w:szCs w:val="24"/>
        </w:rPr>
        <w:t xml:space="preserve"> Byrom and Beardon in particular found that remote hearings raise a significant number of issues and concerns that need to be addressed before confidence can be had in their use. These issues range from the technical,</w:t>
      </w:r>
      <w:r w:rsidRPr="005472E5">
        <w:rPr>
          <w:rFonts w:ascii="Times New Roman" w:hAnsi="Times New Roman" w:cs="Times New Roman"/>
          <w:sz w:val="24"/>
          <w:szCs w:val="24"/>
          <w:vertAlign w:val="superscript"/>
        </w:rPr>
        <w:footnoteReference w:id="50"/>
      </w:r>
      <w:r w:rsidRPr="005472E5">
        <w:rPr>
          <w:rFonts w:ascii="Times New Roman" w:hAnsi="Times New Roman" w:cs="Times New Roman"/>
          <w:sz w:val="24"/>
          <w:szCs w:val="24"/>
        </w:rPr>
        <w:t xml:space="preserve"> to the substantive,</w:t>
      </w:r>
      <w:r w:rsidRPr="005472E5">
        <w:rPr>
          <w:rFonts w:ascii="Times New Roman" w:hAnsi="Times New Roman" w:cs="Times New Roman"/>
          <w:sz w:val="24"/>
          <w:szCs w:val="24"/>
          <w:vertAlign w:val="superscript"/>
        </w:rPr>
        <w:footnoteReference w:id="51"/>
      </w:r>
      <w:r w:rsidRPr="005472E5">
        <w:rPr>
          <w:rFonts w:ascii="Times New Roman" w:hAnsi="Times New Roman" w:cs="Times New Roman"/>
          <w:sz w:val="24"/>
          <w:szCs w:val="24"/>
        </w:rPr>
        <w:t xml:space="preserve"> ‘a number of respondents expressed concerns that the rapid transition to remote hearings (both telephone and video) had made arriving at a fair decision harder.’</w:t>
      </w:r>
      <w:r w:rsidRPr="005472E5">
        <w:rPr>
          <w:rFonts w:ascii="Times New Roman" w:hAnsi="Times New Roman" w:cs="Times New Roman"/>
          <w:sz w:val="24"/>
          <w:szCs w:val="24"/>
          <w:vertAlign w:val="superscript"/>
        </w:rPr>
        <w:footnoteReference w:id="52"/>
      </w:r>
      <w:r w:rsidRPr="005472E5">
        <w:rPr>
          <w:rFonts w:ascii="Times New Roman" w:hAnsi="Times New Roman" w:cs="Times New Roman"/>
          <w:sz w:val="24"/>
          <w:szCs w:val="24"/>
        </w:rPr>
        <w:t xml:space="preserve"> </w:t>
      </w:r>
    </w:p>
    <w:p w14:paraId="401B663D" w14:textId="3DF9DD09" w:rsidR="00A14633" w:rsidRPr="005472E5" w:rsidRDefault="00A14633" w:rsidP="00A14633">
      <w:pPr>
        <w:rPr>
          <w:rFonts w:ascii="Times New Roman" w:hAnsi="Times New Roman" w:cs="Times New Roman"/>
          <w:sz w:val="24"/>
          <w:szCs w:val="24"/>
        </w:rPr>
      </w:pPr>
      <w:r w:rsidRPr="005472E5">
        <w:rPr>
          <w:rFonts w:ascii="Times New Roman" w:hAnsi="Times New Roman" w:cs="Times New Roman"/>
          <w:sz w:val="24"/>
          <w:szCs w:val="24"/>
        </w:rPr>
        <w:t>Within the housing possession process, remote meetings and hearings were employed in the early stages of the operation of the OA and outside of the legal process. Most debt advisers</w:t>
      </w:r>
      <w:r w:rsidR="001936D1" w:rsidRPr="005472E5">
        <w:rPr>
          <w:rFonts w:ascii="Times New Roman" w:hAnsi="Times New Roman" w:cs="Times New Roman"/>
          <w:sz w:val="24"/>
          <w:szCs w:val="24"/>
        </w:rPr>
        <w:t xml:space="preserve"> who responded to the survey</w:t>
      </w:r>
      <w:r w:rsidRPr="005472E5">
        <w:rPr>
          <w:rFonts w:ascii="Times New Roman" w:hAnsi="Times New Roman" w:cs="Times New Roman"/>
          <w:sz w:val="24"/>
          <w:szCs w:val="24"/>
        </w:rPr>
        <w:t xml:space="preserve"> (38</w:t>
      </w:r>
      <w:r w:rsidR="001936D1" w:rsidRPr="005472E5">
        <w:rPr>
          <w:rFonts w:ascii="Times New Roman" w:hAnsi="Times New Roman" w:cs="Times New Roman"/>
          <w:sz w:val="24"/>
          <w:szCs w:val="24"/>
        </w:rPr>
        <w:t xml:space="preserve"> out of 43</w:t>
      </w:r>
      <w:r w:rsidRPr="005472E5">
        <w:rPr>
          <w:rFonts w:ascii="Times New Roman" w:hAnsi="Times New Roman" w:cs="Times New Roman"/>
          <w:sz w:val="24"/>
          <w:szCs w:val="24"/>
        </w:rPr>
        <w:t>) for example, experienced a change in the methods used to provide advice due to the pandemic, often moving from face-to-face to fully remote means. Similarly, duty advisers were expected to conduct R dates over the phone and some S hearings were conducted remotely. In line with the emerging literature on the use of remote hearings in other areas of the civil justice system,</w:t>
      </w:r>
      <w:r w:rsidRPr="005472E5">
        <w:rPr>
          <w:rFonts w:ascii="Times New Roman" w:hAnsi="Times New Roman" w:cs="Times New Roman"/>
          <w:sz w:val="24"/>
          <w:szCs w:val="24"/>
          <w:vertAlign w:val="superscript"/>
        </w:rPr>
        <w:footnoteReference w:id="53"/>
      </w:r>
      <w:r w:rsidRPr="005472E5">
        <w:rPr>
          <w:rFonts w:ascii="Times New Roman" w:hAnsi="Times New Roman" w:cs="Times New Roman"/>
          <w:sz w:val="24"/>
          <w:szCs w:val="24"/>
        </w:rPr>
        <w:t xml:space="preserve"> respondents noted issues not only with the use of technology (for example, audio problems) but more substantively with the ability of lay people to access the technology necessary to participate effectively. Debt advisers in particular were concerned about the ability of their clients to make use of the technology needed to engage effectively in remote meetings:</w:t>
      </w:r>
    </w:p>
    <w:p w14:paraId="762E18F5" w14:textId="77777777" w:rsidR="00A14633" w:rsidRPr="005472E5" w:rsidRDefault="00A14633" w:rsidP="003229E5">
      <w:pPr>
        <w:ind w:left="720"/>
        <w:rPr>
          <w:rFonts w:ascii="Times New Roman" w:hAnsi="Times New Roman" w:cs="Times New Roman"/>
          <w:i/>
          <w:iCs/>
          <w:sz w:val="24"/>
          <w:szCs w:val="24"/>
        </w:rPr>
      </w:pPr>
      <w:r w:rsidRPr="005472E5">
        <w:rPr>
          <w:rFonts w:ascii="Times New Roman" w:hAnsi="Times New Roman" w:cs="Times New Roman"/>
          <w:i/>
          <w:iCs/>
          <w:sz w:val="24"/>
          <w:szCs w:val="24"/>
        </w:rPr>
        <w:lastRenderedPageBreak/>
        <w:t>“Clients do not often have access to platforms such as Zoom. We have considered whether it would be possible for clients to attend council offices/libraries to use a computer in an interview room but insufficient offices are open.” Debt Adviser #4.</w:t>
      </w:r>
    </w:p>
    <w:p w14:paraId="6180774C" w14:textId="77777777" w:rsidR="00A14633" w:rsidRPr="005472E5" w:rsidRDefault="00A14633" w:rsidP="003229E5">
      <w:pPr>
        <w:ind w:left="720"/>
        <w:rPr>
          <w:rFonts w:ascii="Times New Roman" w:hAnsi="Times New Roman" w:cs="Times New Roman"/>
          <w:i/>
          <w:iCs/>
          <w:sz w:val="24"/>
          <w:szCs w:val="24"/>
        </w:rPr>
      </w:pPr>
      <w:r w:rsidRPr="005472E5">
        <w:rPr>
          <w:rFonts w:ascii="Times New Roman" w:hAnsi="Times New Roman" w:cs="Times New Roman"/>
          <w:i/>
          <w:iCs/>
          <w:sz w:val="24"/>
          <w:szCs w:val="24"/>
        </w:rPr>
        <w:t>“Some clients are not particularly experienced with electronic communication, so it had made it somewhat harder for some people to receive the help that they need.” Debt Adviser #6.</w:t>
      </w:r>
    </w:p>
    <w:p w14:paraId="186D8809" w14:textId="77777777" w:rsidR="00A14633" w:rsidRPr="005472E5" w:rsidRDefault="00A14633" w:rsidP="003229E5">
      <w:pPr>
        <w:ind w:left="720"/>
        <w:rPr>
          <w:rFonts w:ascii="Times New Roman" w:hAnsi="Times New Roman" w:cs="Times New Roman"/>
          <w:i/>
          <w:iCs/>
          <w:sz w:val="24"/>
          <w:szCs w:val="24"/>
        </w:rPr>
      </w:pPr>
      <w:r w:rsidRPr="005472E5">
        <w:rPr>
          <w:rFonts w:ascii="Times New Roman" w:hAnsi="Times New Roman" w:cs="Times New Roman"/>
          <w:i/>
          <w:iCs/>
          <w:sz w:val="24"/>
          <w:szCs w:val="24"/>
        </w:rPr>
        <w:t>“Telephone advice does not work for the most vulnerable service users which make up 99% of our work. A lot of clients cannot read or access online facilities which causes huge delays. The whole process is based on trust, and this is hard to establish over the phone.” Debt Adviser #16.</w:t>
      </w:r>
    </w:p>
    <w:p w14:paraId="5BDD8FB6" w14:textId="52B778BC" w:rsidR="00A14633" w:rsidRPr="005472E5" w:rsidRDefault="00A14633" w:rsidP="00A14633">
      <w:pPr>
        <w:rPr>
          <w:rFonts w:ascii="Times New Roman" w:hAnsi="Times New Roman" w:cs="Times New Roman"/>
          <w:sz w:val="24"/>
          <w:szCs w:val="24"/>
        </w:rPr>
      </w:pPr>
      <w:r w:rsidRPr="005472E5">
        <w:rPr>
          <w:rFonts w:ascii="Times New Roman" w:hAnsi="Times New Roman" w:cs="Times New Roman"/>
          <w:sz w:val="24"/>
          <w:szCs w:val="24"/>
        </w:rPr>
        <w:t>Duty advisers expressed concerns regarding their ability to represent their clients effectively, a finding replicated in Byrom and others recent report, in which, ‘respondents also emphasised that many defendants in possession proceedings are unlikely to be able to access the technology needed to participate in remote hearings or provide instructions to solicitors where they were represented.’</w:t>
      </w:r>
      <w:r w:rsidRPr="005472E5">
        <w:rPr>
          <w:rFonts w:ascii="Times New Roman" w:hAnsi="Times New Roman" w:cs="Times New Roman"/>
          <w:sz w:val="24"/>
          <w:szCs w:val="24"/>
          <w:vertAlign w:val="superscript"/>
        </w:rPr>
        <w:footnoteReference w:id="54"/>
      </w:r>
    </w:p>
    <w:p w14:paraId="5DDF2C48" w14:textId="77777777" w:rsidR="00A14633" w:rsidRPr="005472E5" w:rsidRDefault="00A14633" w:rsidP="003229E5">
      <w:pPr>
        <w:ind w:left="720"/>
        <w:rPr>
          <w:rFonts w:ascii="Times New Roman" w:hAnsi="Times New Roman" w:cs="Times New Roman"/>
          <w:i/>
          <w:iCs/>
          <w:sz w:val="24"/>
          <w:szCs w:val="24"/>
        </w:rPr>
      </w:pPr>
      <w:r w:rsidRPr="005472E5">
        <w:rPr>
          <w:rFonts w:ascii="Times New Roman" w:hAnsi="Times New Roman" w:cs="Times New Roman"/>
          <w:i/>
          <w:iCs/>
          <w:sz w:val="24"/>
          <w:szCs w:val="24"/>
        </w:rPr>
        <w:t>“I am seriously concerned about the access to justice issues that have arisen with virtual hearings… vulnerable tenants would be better off reverting to in person hearings, which at least were clearer.” Duty Adviser #8.</w:t>
      </w:r>
    </w:p>
    <w:p w14:paraId="55B2A6F6" w14:textId="77777777" w:rsidR="00A14633" w:rsidRPr="005472E5" w:rsidRDefault="00A14633" w:rsidP="003229E5">
      <w:pPr>
        <w:ind w:left="720"/>
        <w:rPr>
          <w:rFonts w:ascii="Times New Roman" w:hAnsi="Times New Roman" w:cs="Times New Roman"/>
          <w:sz w:val="24"/>
          <w:szCs w:val="24"/>
        </w:rPr>
      </w:pPr>
      <w:r w:rsidRPr="005472E5">
        <w:rPr>
          <w:rFonts w:ascii="Times New Roman" w:hAnsi="Times New Roman" w:cs="Times New Roman"/>
          <w:i/>
          <w:iCs/>
          <w:sz w:val="24"/>
          <w:szCs w:val="24"/>
        </w:rPr>
        <w:t>“We don't think that remote hearings are an adequate substitution for in person hearings. It is almost impossible to take instructions during the hearing and the remoteness means that the tenant does not get to meet their landlord. This can be very valuable particularly where the landlord is a social landlord and relationships</w:t>
      </w:r>
      <w:r w:rsidRPr="005472E5">
        <w:rPr>
          <w:rFonts w:ascii="Times New Roman" w:hAnsi="Times New Roman" w:cs="Times New Roman"/>
          <w:sz w:val="24"/>
          <w:szCs w:val="24"/>
        </w:rPr>
        <w:t xml:space="preserve"> </w:t>
      </w:r>
      <w:r w:rsidRPr="005472E5">
        <w:rPr>
          <w:rFonts w:ascii="Times New Roman" w:hAnsi="Times New Roman" w:cs="Times New Roman"/>
          <w:i/>
          <w:iCs/>
          <w:sz w:val="24"/>
          <w:szCs w:val="24"/>
        </w:rPr>
        <w:t>have broken down between the parties.”</w:t>
      </w:r>
      <w:r w:rsidRPr="005472E5">
        <w:rPr>
          <w:rFonts w:ascii="Times New Roman" w:hAnsi="Times New Roman" w:cs="Times New Roman"/>
          <w:sz w:val="24"/>
          <w:szCs w:val="24"/>
        </w:rPr>
        <w:t xml:space="preserve"> </w:t>
      </w:r>
      <w:r w:rsidRPr="005472E5">
        <w:rPr>
          <w:rFonts w:ascii="Times New Roman" w:hAnsi="Times New Roman" w:cs="Times New Roman"/>
          <w:i/>
          <w:iCs/>
          <w:sz w:val="24"/>
          <w:szCs w:val="24"/>
        </w:rPr>
        <w:t>Duty Adviser #35.</w:t>
      </w:r>
    </w:p>
    <w:p w14:paraId="41BC1F48" w14:textId="77777777" w:rsidR="00A14633" w:rsidRPr="005472E5" w:rsidRDefault="00A14633" w:rsidP="003229E5">
      <w:pPr>
        <w:ind w:left="720"/>
        <w:rPr>
          <w:rFonts w:ascii="Times New Roman" w:hAnsi="Times New Roman" w:cs="Times New Roman"/>
          <w:i/>
          <w:iCs/>
          <w:sz w:val="24"/>
          <w:szCs w:val="24"/>
        </w:rPr>
      </w:pPr>
      <w:r w:rsidRPr="005472E5">
        <w:rPr>
          <w:rFonts w:ascii="Times New Roman" w:hAnsi="Times New Roman" w:cs="Times New Roman"/>
          <w:i/>
          <w:iCs/>
          <w:sz w:val="24"/>
          <w:szCs w:val="24"/>
        </w:rPr>
        <w:t>“I think remote hearings can be really useful especially for urgent applications such as for warrant suspensions. It saves everyone a lot of time. However, I have had substantive hearings for existing clients by telephone and have not been able to assist for technological reasons.” Duty Adviser #27.</w:t>
      </w:r>
    </w:p>
    <w:p w14:paraId="2CED98BA" w14:textId="3B6637AF" w:rsidR="00A14633" w:rsidRPr="005472E5" w:rsidRDefault="00A14633" w:rsidP="00677CEB">
      <w:pPr>
        <w:rPr>
          <w:rFonts w:ascii="Times New Roman" w:hAnsi="Times New Roman" w:cs="Times New Roman"/>
          <w:sz w:val="24"/>
          <w:szCs w:val="24"/>
        </w:rPr>
      </w:pPr>
      <w:r w:rsidRPr="005472E5">
        <w:rPr>
          <w:rFonts w:ascii="Times New Roman" w:hAnsi="Times New Roman" w:cs="Times New Roman"/>
          <w:sz w:val="24"/>
          <w:szCs w:val="24"/>
        </w:rPr>
        <w:t>While there may be some obvious benefits to the use of remote hearings, including the financial savings of no travel being required,</w:t>
      </w:r>
      <w:r w:rsidRPr="005472E5">
        <w:rPr>
          <w:rFonts w:ascii="Times New Roman" w:hAnsi="Times New Roman" w:cs="Times New Roman"/>
          <w:sz w:val="24"/>
          <w:szCs w:val="24"/>
          <w:vertAlign w:val="superscript"/>
        </w:rPr>
        <w:footnoteReference w:id="55"/>
      </w:r>
      <w:r w:rsidRPr="005472E5">
        <w:rPr>
          <w:rFonts w:ascii="Times New Roman" w:hAnsi="Times New Roman" w:cs="Times New Roman"/>
          <w:sz w:val="24"/>
          <w:szCs w:val="24"/>
        </w:rPr>
        <w:t xml:space="preserve"> and the removal of any anxiety the defendant may have about attending court, particular concerns have been raised in relation to the extension of remote hearings to housing possession cases.</w:t>
      </w:r>
      <w:r w:rsidRPr="005472E5">
        <w:rPr>
          <w:rFonts w:ascii="Times New Roman" w:hAnsi="Times New Roman" w:cs="Times New Roman"/>
          <w:sz w:val="24"/>
          <w:szCs w:val="24"/>
          <w:vertAlign w:val="superscript"/>
        </w:rPr>
        <w:footnoteReference w:id="56"/>
      </w:r>
      <w:r w:rsidRPr="005472E5">
        <w:rPr>
          <w:rFonts w:ascii="Times New Roman" w:hAnsi="Times New Roman" w:cs="Times New Roman"/>
          <w:sz w:val="24"/>
          <w:szCs w:val="24"/>
        </w:rPr>
        <w:t xml:space="preserve"> This is due, in part, to the disproportionate number of ‘vulnerable’ defendants in these cases.</w:t>
      </w:r>
      <w:r w:rsidRPr="005472E5">
        <w:rPr>
          <w:rFonts w:ascii="Times New Roman" w:hAnsi="Times New Roman" w:cs="Times New Roman"/>
          <w:sz w:val="24"/>
          <w:szCs w:val="24"/>
          <w:vertAlign w:val="superscript"/>
        </w:rPr>
        <w:footnoteReference w:id="57"/>
      </w:r>
      <w:r w:rsidRPr="005472E5">
        <w:rPr>
          <w:rFonts w:ascii="Times New Roman" w:hAnsi="Times New Roman" w:cs="Times New Roman"/>
          <w:sz w:val="24"/>
          <w:szCs w:val="24"/>
        </w:rPr>
        <w:t xml:space="preserve"> As Byrom and others found in their report, ‘many respondents specialising in both housing law and the experience of vulnerable people expressed the view that remote hearings were unsuitable for possession cases.’</w:t>
      </w:r>
      <w:r w:rsidRPr="005472E5">
        <w:rPr>
          <w:rFonts w:ascii="Times New Roman" w:hAnsi="Times New Roman" w:cs="Times New Roman"/>
          <w:sz w:val="24"/>
          <w:szCs w:val="24"/>
          <w:vertAlign w:val="superscript"/>
        </w:rPr>
        <w:footnoteReference w:id="58"/>
      </w:r>
      <w:r w:rsidRPr="005472E5">
        <w:rPr>
          <w:rFonts w:ascii="Times New Roman" w:hAnsi="Times New Roman" w:cs="Times New Roman"/>
          <w:sz w:val="24"/>
          <w:szCs w:val="24"/>
        </w:rPr>
        <w:t xml:space="preserve"> Others are concerned that adverse outcomes could arise. As Shelter note, ‘there is a serious risk that possession orders will be made which would not have been made at a </w:t>
      </w:r>
      <w:r w:rsidRPr="005472E5">
        <w:rPr>
          <w:rFonts w:ascii="Times New Roman" w:hAnsi="Times New Roman" w:cs="Times New Roman"/>
          <w:sz w:val="24"/>
          <w:szCs w:val="24"/>
        </w:rPr>
        <w:lastRenderedPageBreak/>
        <w:t>physical hearing because the defendant has been unable to explain his/her circumstances fully, either to a duty adviser or to the court.’</w:t>
      </w:r>
      <w:r w:rsidRPr="005472E5">
        <w:rPr>
          <w:rFonts w:ascii="Times New Roman" w:hAnsi="Times New Roman" w:cs="Times New Roman"/>
          <w:sz w:val="24"/>
          <w:szCs w:val="24"/>
          <w:vertAlign w:val="superscript"/>
        </w:rPr>
        <w:footnoteReference w:id="59"/>
      </w:r>
      <w:r w:rsidRPr="005472E5">
        <w:rPr>
          <w:rFonts w:ascii="Times New Roman" w:hAnsi="Times New Roman" w:cs="Times New Roman"/>
          <w:sz w:val="24"/>
          <w:szCs w:val="24"/>
        </w:rPr>
        <w:t xml:space="preserve"> </w:t>
      </w:r>
    </w:p>
    <w:p w14:paraId="498C8D60" w14:textId="5F13AE90" w:rsidR="00206E35" w:rsidRPr="005472E5" w:rsidRDefault="00206E35" w:rsidP="00677CEB">
      <w:pPr>
        <w:rPr>
          <w:rFonts w:ascii="Times New Roman" w:hAnsi="Times New Roman" w:cs="Times New Roman"/>
          <w:sz w:val="24"/>
          <w:szCs w:val="24"/>
        </w:rPr>
      </w:pPr>
      <w:r w:rsidRPr="005472E5">
        <w:rPr>
          <w:rFonts w:ascii="Times New Roman" w:hAnsi="Times New Roman" w:cs="Times New Roman"/>
          <w:sz w:val="24"/>
          <w:szCs w:val="24"/>
        </w:rPr>
        <w:t xml:space="preserve">It would seem therefore that the </w:t>
      </w:r>
      <w:r w:rsidR="001936D1" w:rsidRPr="005472E5">
        <w:rPr>
          <w:rFonts w:ascii="Times New Roman" w:hAnsi="Times New Roman" w:cs="Times New Roman"/>
          <w:sz w:val="24"/>
          <w:szCs w:val="24"/>
        </w:rPr>
        <w:t>use of remote hearings</w:t>
      </w:r>
      <w:r w:rsidR="00930AB1" w:rsidRPr="005472E5">
        <w:rPr>
          <w:rFonts w:ascii="Times New Roman" w:hAnsi="Times New Roman" w:cs="Times New Roman"/>
          <w:sz w:val="24"/>
          <w:szCs w:val="24"/>
        </w:rPr>
        <w:t xml:space="preserve"> may not be appropriate as a means of tackling the </w:t>
      </w:r>
      <w:r w:rsidRPr="005472E5">
        <w:rPr>
          <w:rFonts w:ascii="Times New Roman" w:hAnsi="Times New Roman" w:cs="Times New Roman"/>
          <w:sz w:val="24"/>
          <w:szCs w:val="24"/>
        </w:rPr>
        <w:t>predicted rise in possession claims</w:t>
      </w:r>
      <w:r w:rsidR="00930AB1" w:rsidRPr="005472E5">
        <w:rPr>
          <w:rFonts w:ascii="Times New Roman" w:hAnsi="Times New Roman" w:cs="Times New Roman"/>
          <w:sz w:val="24"/>
          <w:szCs w:val="24"/>
        </w:rPr>
        <w:t>. If they are to be used then, at the very least,</w:t>
      </w:r>
      <w:r w:rsidRPr="005472E5">
        <w:rPr>
          <w:rFonts w:ascii="Times New Roman" w:hAnsi="Times New Roman" w:cs="Times New Roman"/>
          <w:sz w:val="24"/>
          <w:szCs w:val="24"/>
        </w:rPr>
        <w:t xml:space="preserve"> further detailed investigation</w:t>
      </w:r>
      <w:r w:rsidR="00930AB1" w:rsidRPr="005472E5">
        <w:rPr>
          <w:rFonts w:ascii="Times New Roman" w:hAnsi="Times New Roman" w:cs="Times New Roman"/>
          <w:sz w:val="24"/>
          <w:szCs w:val="24"/>
        </w:rPr>
        <w:t xml:space="preserve"> is required </w:t>
      </w:r>
      <w:r w:rsidRPr="005472E5">
        <w:rPr>
          <w:rFonts w:ascii="Times New Roman" w:hAnsi="Times New Roman" w:cs="Times New Roman"/>
          <w:sz w:val="24"/>
          <w:szCs w:val="24"/>
        </w:rPr>
        <w:t xml:space="preserve">into how they can be made accessible to all parties. </w:t>
      </w:r>
    </w:p>
    <w:p w14:paraId="37C2B044" w14:textId="77777777" w:rsidR="00325965" w:rsidRPr="005472E5" w:rsidRDefault="00325965" w:rsidP="00325965">
      <w:pPr>
        <w:rPr>
          <w:rFonts w:ascii="Times New Roman" w:hAnsi="Times New Roman" w:cs="Times New Roman"/>
          <w:b/>
          <w:bCs/>
          <w:sz w:val="28"/>
          <w:szCs w:val="28"/>
        </w:rPr>
      </w:pPr>
      <w:bookmarkStart w:id="7" w:name="_Toc93393775"/>
      <w:r w:rsidRPr="005472E5">
        <w:rPr>
          <w:rFonts w:ascii="Times New Roman" w:hAnsi="Times New Roman" w:cs="Times New Roman"/>
          <w:b/>
          <w:bCs/>
          <w:sz w:val="28"/>
          <w:szCs w:val="28"/>
        </w:rPr>
        <w:t>Did the OA Prove Effective in Taking Account of the Effect of the Pandemic on All Parties?</w:t>
      </w:r>
      <w:bookmarkEnd w:id="7"/>
    </w:p>
    <w:p w14:paraId="336C254A" w14:textId="18FFD120" w:rsidR="00325965" w:rsidRPr="005472E5" w:rsidRDefault="00325965" w:rsidP="00325965">
      <w:pPr>
        <w:rPr>
          <w:rFonts w:ascii="Times New Roman" w:hAnsi="Times New Roman" w:cs="Times New Roman"/>
          <w:sz w:val="24"/>
          <w:szCs w:val="24"/>
        </w:rPr>
      </w:pPr>
      <w:r w:rsidRPr="005472E5">
        <w:rPr>
          <w:rFonts w:ascii="Times New Roman" w:hAnsi="Times New Roman" w:cs="Times New Roman"/>
          <w:sz w:val="24"/>
          <w:szCs w:val="24"/>
        </w:rPr>
        <w:t xml:space="preserve">The OA, in requiring claimants to provide ‘enhanced information’ as well as the ability of both parties to mark the case as a ‘COVID-19’ case </w:t>
      </w:r>
      <w:r w:rsidR="00ED3DF7" w:rsidRPr="005472E5">
        <w:rPr>
          <w:rFonts w:ascii="Times New Roman" w:hAnsi="Times New Roman" w:cs="Times New Roman"/>
          <w:sz w:val="24"/>
          <w:szCs w:val="24"/>
        </w:rPr>
        <w:t xml:space="preserve">was intended </w:t>
      </w:r>
      <w:r w:rsidRPr="005472E5">
        <w:rPr>
          <w:rFonts w:ascii="Times New Roman" w:hAnsi="Times New Roman" w:cs="Times New Roman"/>
          <w:sz w:val="24"/>
          <w:szCs w:val="24"/>
        </w:rPr>
        <w:t xml:space="preserve">to supply the court with additional information and to enable the court to take into account the effect of the pandemic on all parties. </w:t>
      </w:r>
      <w:r w:rsidR="00260501" w:rsidRPr="005472E5">
        <w:rPr>
          <w:rFonts w:ascii="Times New Roman" w:hAnsi="Times New Roman" w:cs="Times New Roman"/>
          <w:sz w:val="24"/>
          <w:szCs w:val="24"/>
        </w:rPr>
        <w:t>This</w:t>
      </w:r>
      <w:r w:rsidRPr="005472E5">
        <w:rPr>
          <w:rFonts w:ascii="Times New Roman" w:hAnsi="Times New Roman" w:cs="Times New Roman"/>
          <w:sz w:val="24"/>
          <w:szCs w:val="24"/>
        </w:rPr>
        <w:t xml:space="preserve"> had </w:t>
      </w:r>
      <w:r w:rsidR="0087416E" w:rsidRPr="005472E5">
        <w:rPr>
          <w:rFonts w:ascii="Times New Roman" w:hAnsi="Times New Roman" w:cs="Times New Roman"/>
          <w:sz w:val="24"/>
          <w:szCs w:val="24"/>
        </w:rPr>
        <w:t xml:space="preserve">the </w:t>
      </w:r>
      <w:r w:rsidRPr="005472E5">
        <w:rPr>
          <w:rFonts w:ascii="Times New Roman" w:hAnsi="Times New Roman" w:cs="Times New Roman"/>
          <w:sz w:val="24"/>
          <w:szCs w:val="24"/>
        </w:rPr>
        <w:t>potential to address what Bright and Whitehouse and Whitehouse and others have described as the lack of ‘joined up thinking’ within the pre-COVID process.</w:t>
      </w:r>
      <w:r w:rsidRPr="005472E5">
        <w:rPr>
          <w:rFonts w:ascii="Times New Roman" w:hAnsi="Times New Roman" w:cs="Times New Roman"/>
          <w:sz w:val="24"/>
          <w:szCs w:val="24"/>
          <w:vertAlign w:val="superscript"/>
        </w:rPr>
        <w:footnoteReference w:id="60"/>
      </w:r>
      <w:r w:rsidRPr="005472E5">
        <w:rPr>
          <w:rFonts w:ascii="Times New Roman" w:hAnsi="Times New Roman" w:cs="Times New Roman"/>
          <w:sz w:val="24"/>
          <w:szCs w:val="24"/>
        </w:rPr>
        <w:t xml:space="preserve"> By virtue of the Pre-Action Protocols for mortgage lenders,</w:t>
      </w:r>
      <w:r w:rsidRPr="005472E5">
        <w:rPr>
          <w:rFonts w:ascii="Times New Roman" w:hAnsi="Times New Roman" w:cs="Times New Roman"/>
          <w:sz w:val="24"/>
          <w:szCs w:val="24"/>
          <w:vertAlign w:val="superscript"/>
        </w:rPr>
        <w:footnoteReference w:id="61"/>
      </w:r>
      <w:r w:rsidRPr="005472E5">
        <w:rPr>
          <w:rFonts w:ascii="Times New Roman" w:hAnsi="Times New Roman" w:cs="Times New Roman"/>
          <w:sz w:val="24"/>
          <w:szCs w:val="24"/>
        </w:rPr>
        <w:t xml:space="preserve"> and social landlords,</w:t>
      </w:r>
      <w:r w:rsidRPr="005472E5">
        <w:rPr>
          <w:rFonts w:ascii="Times New Roman" w:hAnsi="Times New Roman" w:cs="Times New Roman"/>
          <w:sz w:val="24"/>
          <w:szCs w:val="24"/>
          <w:vertAlign w:val="superscript"/>
        </w:rPr>
        <w:footnoteReference w:id="62"/>
      </w:r>
      <w:r w:rsidRPr="005472E5">
        <w:rPr>
          <w:rFonts w:ascii="Times New Roman" w:hAnsi="Times New Roman" w:cs="Times New Roman"/>
          <w:sz w:val="24"/>
          <w:szCs w:val="24"/>
        </w:rPr>
        <w:t xml:space="preserve"> details regarding the occupier’s circumstances are often made known to the housing provider</w:t>
      </w:r>
      <w:r w:rsidR="0087416E" w:rsidRPr="005472E5">
        <w:rPr>
          <w:rFonts w:ascii="Times New Roman" w:hAnsi="Times New Roman" w:cs="Times New Roman"/>
          <w:sz w:val="24"/>
          <w:szCs w:val="24"/>
        </w:rPr>
        <w:t xml:space="preserve"> or lender</w:t>
      </w:r>
      <w:r w:rsidRPr="005472E5">
        <w:rPr>
          <w:rFonts w:ascii="Times New Roman" w:hAnsi="Times New Roman" w:cs="Times New Roman"/>
          <w:sz w:val="24"/>
          <w:szCs w:val="24"/>
        </w:rPr>
        <w:t>. However, this information is rarely conveyed to the court via the particular of claims form,</w:t>
      </w:r>
      <w:r w:rsidRPr="005472E5">
        <w:rPr>
          <w:rFonts w:ascii="Times New Roman" w:hAnsi="Times New Roman" w:cs="Times New Roman"/>
          <w:sz w:val="24"/>
          <w:szCs w:val="24"/>
          <w:vertAlign w:val="superscript"/>
        </w:rPr>
        <w:footnoteReference w:id="63"/>
      </w:r>
      <w:r w:rsidRPr="005472E5">
        <w:rPr>
          <w:rFonts w:ascii="Times New Roman" w:hAnsi="Times New Roman" w:cs="Times New Roman"/>
          <w:sz w:val="24"/>
          <w:szCs w:val="24"/>
        </w:rPr>
        <w:t xml:space="preserve"> which tend to focus almost entirely on the occupier’s financial circumstances. Similarly, it seems relatively rare for an occupier to submit a completed defence form,</w:t>
      </w:r>
      <w:r w:rsidRPr="005472E5">
        <w:rPr>
          <w:rFonts w:ascii="Times New Roman" w:hAnsi="Times New Roman" w:cs="Times New Roman"/>
          <w:sz w:val="24"/>
          <w:szCs w:val="24"/>
          <w:vertAlign w:val="superscript"/>
        </w:rPr>
        <w:footnoteReference w:id="64"/>
      </w:r>
      <w:r w:rsidRPr="005472E5">
        <w:rPr>
          <w:rFonts w:ascii="Times New Roman" w:hAnsi="Times New Roman" w:cs="Times New Roman"/>
          <w:sz w:val="24"/>
          <w:szCs w:val="24"/>
        </w:rPr>
        <w:t xml:space="preserve"> and even if they do, the forms</w:t>
      </w:r>
      <w:r w:rsidRPr="005472E5">
        <w:rPr>
          <w:rFonts w:ascii="Times New Roman" w:hAnsi="Times New Roman" w:cs="Times New Roman"/>
          <w:sz w:val="24"/>
          <w:szCs w:val="24"/>
          <w:vertAlign w:val="superscript"/>
        </w:rPr>
        <w:footnoteReference w:id="65"/>
      </w:r>
      <w:r w:rsidRPr="005472E5">
        <w:rPr>
          <w:rFonts w:ascii="Times New Roman" w:hAnsi="Times New Roman" w:cs="Times New Roman"/>
          <w:sz w:val="24"/>
          <w:szCs w:val="24"/>
        </w:rPr>
        <w:t xml:space="preserve"> do not target information relevant to the judge’s exercise of discretion (for example, whether the defendant has a disability or other protected characteristic which might give rise to a defence under the Equality Act 2010).</w:t>
      </w:r>
      <w:r w:rsidRPr="005472E5">
        <w:rPr>
          <w:rFonts w:ascii="Times New Roman" w:hAnsi="Times New Roman" w:cs="Times New Roman"/>
          <w:sz w:val="24"/>
          <w:szCs w:val="24"/>
          <w:vertAlign w:val="superscript"/>
        </w:rPr>
        <w:footnoteReference w:id="66"/>
      </w:r>
      <w:r w:rsidRPr="005472E5">
        <w:rPr>
          <w:rFonts w:ascii="Times New Roman" w:hAnsi="Times New Roman" w:cs="Times New Roman"/>
          <w:sz w:val="24"/>
          <w:szCs w:val="24"/>
        </w:rPr>
        <w:t xml:space="preserve"> </w:t>
      </w:r>
    </w:p>
    <w:p w14:paraId="4D8B5DA1" w14:textId="77777777" w:rsidR="007C3772" w:rsidRPr="005472E5" w:rsidRDefault="00325965" w:rsidP="00ED3DF7">
      <w:pPr>
        <w:rPr>
          <w:rFonts w:ascii="Times New Roman" w:hAnsi="Times New Roman" w:cs="Times New Roman"/>
          <w:sz w:val="24"/>
          <w:szCs w:val="24"/>
        </w:rPr>
      </w:pPr>
      <w:r w:rsidRPr="005472E5">
        <w:rPr>
          <w:rFonts w:ascii="Times New Roman" w:hAnsi="Times New Roman" w:cs="Times New Roman"/>
          <w:sz w:val="24"/>
          <w:szCs w:val="24"/>
          <w:lang w:val="en"/>
        </w:rPr>
        <w:t xml:space="preserve">According to the responses received in </w:t>
      </w:r>
      <w:r w:rsidR="00ED3DF7" w:rsidRPr="005472E5">
        <w:rPr>
          <w:rFonts w:ascii="Times New Roman" w:hAnsi="Times New Roman" w:cs="Times New Roman"/>
          <w:sz w:val="24"/>
          <w:szCs w:val="24"/>
          <w:lang w:val="en"/>
        </w:rPr>
        <w:t xml:space="preserve">this project’s </w:t>
      </w:r>
      <w:r w:rsidRPr="005472E5">
        <w:rPr>
          <w:rFonts w:ascii="Times New Roman" w:hAnsi="Times New Roman" w:cs="Times New Roman"/>
          <w:sz w:val="24"/>
          <w:szCs w:val="24"/>
          <w:lang w:val="en"/>
        </w:rPr>
        <w:t>surveys, the requirement for ‘enhanced information’ as part of the OA was seen as an improvement, in principle. However, the extent to which it enabled the court to take into account the effect of the pandemic on all parties appears to be questionable</w:t>
      </w:r>
      <w:r w:rsidRPr="005472E5">
        <w:rPr>
          <w:rFonts w:ascii="Times New Roman" w:hAnsi="Times New Roman" w:cs="Times New Roman"/>
          <w:sz w:val="24"/>
          <w:szCs w:val="24"/>
        </w:rPr>
        <w:t xml:space="preserve">. Half of the duty advisers, for example, thought that the judge now receives more information compared to pre-COVID cases. In particular, there was praise for the electronic bundle of 'enhanced information', </w:t>
      </w:r>
      <w:r w:rsidR="003D2BF2" w:rsidRPr="005472E5">
        <w:rPr>
          <w:rFonts w:ascii="Times New Roman" w:hAnsi="Times New Roman" w:cs="Times New Roman"/>
          <w:sz w:val="24"/>
          <w:szCs w:val="24"/>
        </w:rPr>
        <w:t>as one duty adviser noted,</w:t>
      </w:r>
    </w:p>
    <w:p w14:paraId="4EB575EB" w14:textId="79DDF3A5" w:rsidR="00325965" w:rsidRPr="005472E5" w:rsidRDefault="00325965" w:rsidP="007C3772">
      <w:pPr>
        <w:ind w:left="720"/>
        <w:rPr>
          <w:rFonts w:ascii="Times New Roman" w:hAnsi="Times New Roman" w:cs="Times New Roman"/>
          <w:i/>
          <w:iCs/>
          <w:sz w:val="24"/>
          <w:szCs w:val="24"/>
        </w:rPr>
      </w:pPr>
      <w:r w:rsidRPr="005472E5">
        <w:rPr>
          <w:rFonts w:ascii="Times New Roman" w:hAnsi="Times New Roman" w:cs="Times New Roman"/>
          <w:i/>
          <w:iCs/>
          <w:sz w:val="24"/>
          <w:szCs w:val="24"/>
        </w:rPr>
        <w:t>“The provision of the court bundle is a massive improvement on the pre-COVID situation and very helpful to duty advisors.” Duty Adviser #3</w:t>
      </w:r>
    </w:p>
    <w:p w14:paraId="68AC2A05" w14:textId="77777777" w:rsidR="007C3772" w:rsidRPr="005472E5" w:rsidRDefault="00325965" w:rsidP="00325965">
      <w:pPr>
        <w:rPr>
          <w:rFonts w:ascii="Times New Roman" w:hAnsi="Times New Roman" w:cs="Times New Roman"/>
          <w:sz w:val="24"/>
          <w:szCs w:val="24"/>
        </w:rPr>
      </w:pPr>
      <w:r w:rsidRPr="005472E5">
        <w:rPr>
          <w:rFonts w:ascii="Times New Roman" w:hAnsi="Times New Roman" w:cs="Times New Roman"/>
          <w:sz w:val="24"/>
          <w:szCs w:val="24"/>
        </w:rPr>
        <w:lastRenderedPageBreak/>
        <w:t>A majority of the claimant representatives (11 out of 15) thought that the judge receive</w:t>
      </w:r>
      <w:r w:rsidR="0087416E" w:rsidRPr="005472E5">
        <w:rPr>
          <w:rFonts w:ascii="Times New Roman" w:hAnsi="Times New Roman" w:cs="Times New Roman"/>
          <w:sz w:val="24"/>
          <w:szCs w:val="24"/>
        </w:rPr>
        <w:t>d</w:t>
      </w:r>
      <w:r w:rsidRPr="005472E5">
        <w:rPr>
          <w:rFonts w:ascii="Times New Roman" w:hAnsi="Times New Roman" w:cs="Times New Roman"/>
          <w:sz w:val="24"/>
          <w:szCs w:val="24"/>
        </w:rPr>
        <w:t xml:space="preserve"> the same amount of information as in pre-COVID cases. While there was again praise for the electronic bundle of 'enhanced information', most </w:t>
      </w:r>
      <w:r w:rsidR="0087416E" w:rsidRPr="005472E5">
        <w:rPr>
          <w:rFonts w:ascii="Times New Roman" w:hAnsi="Times New Roman" w:cs="Times New Roman"/>
          <w:sz w:val="24"/>
          <w:szCs w:val="24"/>
        </w:rPr>
        <w:t xml:space="preserve">claimant representatives </w:t>
      </w:r>
      <w:r w:rsidRPr="005472E5">
        <w:rPr>
          <w:rFonts w:ascii="Times New Roman" w:hAnsi="Times New Roman" w:cs="Times New Roman"/>
          <w:sz w:val="24"/>
          <w:szCs w:val="24"/>
        </w:rPr>
        <w:t>criticised the PD55C notices (these require claimants to set out what knowledge they have as to the effect of the Coronavirus pandemic on the defendant and their dependants),</w:t>
      </w:r>
      <w:r w:rsidRPr="005472E5">
        <w:rPr>
          <w:rFonts w:ascii="Times New Roman" w:hAnsi="Times New Roman" w:cs="Times New Roman"/>
          <w:sz w:val="24"/>
          <w:szCs w:val="24"/>
          <w:vertAlign w:val="superscript"/>
        </w:rPr>
        <w:footnoteReference w:id="67"/>
      </w:r>
      <w:r w:rsidR="003D2BF2" w:rsidRPr="005472E5">
        <w:rPr>
          <w:rFonts w:ascii="Times New Roman" w:hAnsi="Times New Roman" w:cs="Times New Roman"/>
          <w:sz w:val="24"/>
          <w:szCs w:val="24"/>
        </w:rPr>
        <w:t xml:space="preserve"> as one claimant representative commented,</w:t>
      </w:r>
      <w:r w:rsidR="00ED3DF7" w:rsidRPr="005472E5">
        <w:rPr>
          <w:rFonts w:ascii="Times New Roman" w:hAnsi="Times New Roman" w:cs="Times New Roman"/>
          <w:sz w:val="24"/>
          <w:szCs w:val="24"/>
        </w:rPr>
        <w:t xml:space="preserve"> </w:t>
      </w:r>
    </w:p>
    <w:p w14:paraId="1523A063" w14:textId="77777777" w:rsidR="007C3772" w:rsidRPr="005472E5" w:rsidRDefault="00325965" w:rsidP="007C3772">
      <w:pPr>
        <w:ind w:left="720"/>
        <w:rPr>
          <w:rFonts w:ascii="Times New Roman" w:hAnsi="Times New Roman" w:cs="Times New Roman"/>
          <w:i/>
          <w:iCs/>
          <w:sz w:val="24"/>
          <w:szCs w:val="24"/>
        </w:rPr>
      </w:pPr>
      <w:r w:rsidRPr="005472E5">
        <w:rPr>
          <w:rFonts w:ascii="Times New Roman" w:hAnsi="Times New Roman" w:cs="Times New Roman"/>
          <w:i/>
          <w:iCs/>
          <w:sz w:val="24"/>
          <w:szCs w:val="24"/>
        </w:rPr>
        <w:t>"Unnecessary procedural steps (PD55C notices) are a pointless overcomplication." Legal Practitioner #12.</w:t>
      </w:r>
      <w:r w:rsidR="00ED3DF7" w:rsidRPr="005472E5">
        <w:rPr>
          <w:rFonts w:ascii="Times New Roman" w:hAnsi="Times New Roman" w:cs="Times New Roman"/>
          <w:i/>
          <w:iCs/>
          <w:sz w:val="24"/>
          <w:szCs w:val="24"/>
        </w:rPr>
        <w:t xml:space="preserve"> </w:t>
      </w:r>
    </w:p>
    <w:p w14:paraId="63709297" w14:textId="2FD4E360" w:rsidR="00325965" w:rsidRPr="005472E5" w:rsidRDefault="00325965" w:rsidP="00325965">
      <w:pPr>
        <w:rPr>
          <w:rFonts w:ascii="Times New Roman" w:hAnsi="Times New Roman" w:cs="Times New Roman"/>
          <w:sz w:val="24"/>
          <w:szCs w:val="24"/>
        </w:rPr>
      </w:pPr>
      <w:r w:rsidRPr="005472E5">
        <w:rPr>
          <w:rFonts w:ascii="Times New Roman" w:hAnsi="Times New Roman" w:cs="Times New Roman"/>
          <w:sz w:val="24"/>
          <w:szCs w:val="24"/>
        </w:rPr>
        <w:t xml:space="preserve">It is perhaps interesting to note that it is the PD55C notices </w:t>
      </w:r>
      <w:r w:rsidR="003D2BF2" w:rsidRPr="005472E5">
        <w:rPr>
          <w:rFonts w:ascii="Times New Roman" w:hAnsi="Times New Roman" w:cs="Times New Roman"/>
          <w:sz w:val="24"/>
          <w:szCs w:val="24"/>
        </w:rPr>
        <w:t>are</w:t>
      </w:r>
      <w:r w:rsidRPr="005472E5">
        <w:rPr>
          <w:rFonts w:ascii="Times New Roman" w:hAnsi="Times New Roman" w:cs="Times New Roman"/>
          <w:sz w:val="24"/>
          <w:szCs w:val="24"/>
        </w:rPr>
        <w:t xml:space="preserve"> the only aspect of the OA that have been retained after 1 November 2021.</w:t>
      </w:r>
      <w:r w:rsidRPr="005472E5">
        <w:rPr>
          <w:rFonts w:ascii="Times New Roman" w:hAnsi="Times New Roman" w:cs="Times New Roman"/>
          <w:sz w:val="24"/>
          <w:szCs w:val="24"/>
          <w:vertAlign w:val="superscript"/>
        </w:rPr>
        <w:footnoteReference w:id="68"/>
      </w:r>
    </w:p>
    <w:p w14:paraId="2FC7956A" w14:textId="1BD12908" w:rsidR="00B35941" w:rsidRPr="005472E5" w:rsidRDefault="00325965" w:rsidP="00325965">
      <w:pPr>
        <w:rPr>
          <w:rFonts w:ascii="Times New Roman" w:hAnsi="Times New Roman" w:cs="Times New Roman"/>
          <w:sz w:val="24"/>
          <w:szCs w:val="24"/>
        </w:rPr>
      </w:pPr>
      <w:r w:rsidRPr="005472E5">
        <w:rPr>
          <w:rFonts w:ascii="Times New Roman" w:hAnsi="Times New Roman" w:cs="Times New Roman"/>
          <w:sz w:val="24"/>
          <w:szCs w:val="24"/>
        </w:rPr>
        <w:t xml:space="preserve">The important point to note here is that while judges may have received more information as a result of the ‘enhanced information’ provisions, this may not necessarily have influenced the decision-making process. While the OA altered the process of possession, no changes were made to the substantive law. </w:t>
      </w:r>
      <w:r w:rsidR="0087416E" w:rsidRPr="005472E5">
        <w:rPr>
          <w:rFonts w:ascii="Times New Roman" w:hAnsi="Times New Roman" w:cs="Times New Roman"/>
          <w:sz w:val="24"/>
          <w:szCs w:val="24"/>
        </w:rPr>
        <w:t>As Renton notes, ‘the legislation did not change, but the guidance did, creating an additional occasion for the parties to seek settlement.’</w:t>
      </w:r>
      <w:r w:rsidR="0087416E" w:rsidRPr="005472E5">
        <w:rPr>
          <w:rFonts w:ascii="Times New Roman" w:hAnsi="Times New Roman" w:cs="Times New Roman"/>
          <w:sz w:val="24"/>
          <w:szCs w:val="24"/>
          <w:vertAlign w:val="superscript"/>
        </w:rPr>
        <w:footnoteReference w:id="69"/>
      </w:r>
      <w:r w:rsidR="0087416E" w:rsidRPr="005472E5">
        <w:rPr>
          <w:rFonts w:ascii="Times New Roman" w:hAnsi="Times New Roman" w:cs="Times New Roman"/>
          <w:sz w:val="24"/>
          <w:szCs w:val="24"/>
        </w:rPr>
        <w:t xml:space="preserve"> </w:t>
      </w:r>
      <w:r w:rsidRPr="005472E5">
        <w:rPr>
          <w:rFonts w:ascii="Times New Roman" w:hAnsi="Times New Roman" w:cs="Times New Roman"/>
          <w:sz w:val="24"/>
          <w:szCs w:val="24"/>
        </w:rPr>
        <w:t>In some cases therefore, the impact of the pandemic on the parties would simply not be relevant to the decision, for example, where possession was</w:t>
      </w:r>
      <w:r w:rsidR="0087416E" w:rsidRPr="005472E5">
        <w:rPr>
          <w:rFonts w:ascii="Times New Roman" w:hAnsi="Times New Roman" w:cs="Times New Roman"/>
          <w:sz w:val="24"/>
          <w:szCs w:val="24"/>
        </w:rPr>
        <w:t xml:space="preserve"> on</w:t>
      </w:r>
      <w:r w:rsidRPr="005472E5">
        <w:rPr>
          <w:rFonts w:ascii="Times New Roman" w:hAnsi="Times New Roman" w:cs="Times New Roman"/>
          <w:sz w:val="24"/>
          <w:szCs w:val="24"/>
        </w:rPr>
        <w:t xml:space="preserve"> mandatory </w:t>
      </w:r>
      <w:r w:rsidR="0087416E" w:rsidRPr="005472E5">
        <w:rPr>
          <w:rFonts w:ascii="Times New Roman" w:hAnsi="Times New Roman" w:cs="Times New Roman"/>
          <w:sz w:val="24"/>
          <w:szCs w:val="24"/>
        </w:rPr>
        <w:t>grounds.</w:t>
      </w:r>
      <w:r w:rsidRPr="005472E5">
        <w:rPr>
          <w:rFonts w:ascii="Times New Roman" w:hAnsi="Times New Roman" w:cs="Times New Roman"/>
          <w:sz w:val="24"/>
          <w:szCs w:val="24"/>
          <w:vertAlign w:val="superscript"/>
        </w:rPr>
        <w:footnoteReference w:id="70"/>
      </w:r>
      <w:r w:rsidRPr="005472E5">
        <w:rPr>
          <w:rFonts w:ascii="Times New Roman" w:hAnsi="Times New Roman" w:cs="Times New Roman"/>
          <w:sz w:val="24"/>
          <w:szCs w:val="24"/>
        </w:rPr>
        <w:t xml:space="preserve"> </w:t>
      </w:r>
    </w:p>
    <w:p w14:paraId="70B4A403" w14:textId="50783CF6" w:rsidR="00325965" w:rsidRPr="005472E5" w:rsidRDefault="00325965" w:rsidP="00325965">
      <w:pPr>
        <w:rPr>
          <w:rFonts w:ascii="Times New Roman" w:hAnsi="Times New Roman" w:cs="Times New Roman"/>
          <w:sz w:val="24"/>
          <w:szCs w:val="24"/>
        </w:rPr>
      </w:pPr>
      <w:r w:rsidRPr="005472E5">
        <w:rPr>
          <w:rFonts w:ascii="Times New Roman" w:hAnsi="Times New Roman" w:cs="Times New Roman"/>
          <w:sz w:val="24"/>
          <w:szCs w:val="24"/>
        </w:rPr>
        <w:t>In these cases, provided the claimant can demonstrate that the notice was properly served or that the requisite level of arrears has accumulated then the judge has very little discretion other than to order possession. The question arises as to the proportion of cases that involve a mandatory possession order. Official figures are not available but of the 555 possession hearings involving rented accommodation observed by the BIJ, 63% involved Ground 8,</w:t>
      </w:r>
      <w:r w:rsidRPr="005472E5">
        <w:rPr>
          <w:rFonts w:ascii="Times New Roman" w:hAnsi="Times New Roman" w:cs="Times New Roman"/>
          <w:sz w:val="24"/>
          <w:szCs w:val="24"/>
          <w:vertAlign w:val="superscript"/>
        </w:rPr>
        <w:footnoteReference w:id="71"/>
      </w:r>
      <w:r w:rsidRPr="005472E5">
        <w:rPr>
          <w:rFonts w:ascii="Times New Roman" w:hAnsi="Times New Roman" w:cs="Times New Roman"/>
          <w:sz w:val="24"/>
          <w:szCs w:val="24"/>
        </w:rPr>
        <w:t xml:space="preserve"> and 20% involved a section 21 notice.</w:t>
      </w:r>
      <w:r w:rsidRPr="005472E5">
        <w:rPr>
          <w:rFonts w:ascii="Times New Roman" w:hAnsi="Times New Roman" w:cs="Times New Roman"/>
          <w:sz w:val="24"/>
          <w:szCs w:val="24"/>
          <w:vertAlign w:val="superscript"/>
        </w:rPr>
        <w:footnoteReference w:id="72"/>
      </w:r>
      <w:r w:rsidRPr="005472E5">
        <w:rPr>
          <w:rFonts w:ascii="Times New Roman" w:hAnsi="Times New Roman" w:cs="Times New Roman"/>
          <w:sz w:val="24"/>
          <w:szCs w:val="24"/>
        </w:rPr>
        <w:t xml:space="preserve"> This suggests that the majority of cases during the summer of 2021 did not allow the judge discretion and hence the enhanced information was largely irrelevant. </w:t>
      </w:r>
      <w:r w:rsidRPr="005472E5">
        <w:rPr>
          <w:rFonts w:ascii="Times New Roman" w:hAnsi="Times New Roman" w:cs="Times New Roman"/>
          <w:bCs/>
          <w:sz w:val="24"/>
          <w:szCs w:val="24"/>
        </w:rPr>
        <w:t>It should be noted that following the removal of the stay on possession proceedings, priority was (supposedly) to be given to urgent cases such as those involving high rent arrears.</w:t>
      </w:r>
      <w:r w:rsidRPr="005472E5">
        <w:rPr>
          <w:rFonts w:ascii="Times New Roman" w:hAnsi="Times New Roman" w:cs="Times New Roman"/>
          <w:bCs/>
          <w:sz w:val="24"/>
          <w:szCs w:val="24"/>
          <w:vertAlign w:val="superscript"/>
        </w:rPr>
        <w:footnoteReference w:id="73"/>
      </w:r>
      <w:r w:rsidRPr="005472E5">
        <w:rPr>
          <w:rFonts w:ascii="Times New Roman" w:hAnsi="Times New Roman" w:cs="Times New Roman"/>
          <w:sz w:val="24"/>
          <w:szCs w:val="24"/>
        </w:rPr>
        <w:t xml:space="preserve"> It is perhaps not surprising therefore that the cases observed by the BIJ involved claims made on the ground of serious arrears. </w:t>
      </w:r>
    </w:p>
    <w:p w14:paraId="5D04FC47" w14:textId="3692D660" w:rsidR="00325965" w:rsidRPr="005472E5" w:rsidRDefault="00325965" w:rsidP="00325965">
      <w:pPr>
        <w:rPr>
          <w:rFonts w:ascii="Times New Roman" w:hAnsi="Times New Roman" w:cs="Times New Roman"/>
          <w:sz w:val="24"/>
          <w:szCs w:val="24"/>
        </w:rPr>
      </w:pPr>
      <w:r w:rsidRPr="005472E5">
        <w:rPr>
          <w:rFonts w:ascii="Times New Roman" w:hAnsi="Times New Roman" w:cs="Times New Roman"/>
          <w:sz w:val="24"/>
          <w:szCs w:val="24"/>
        </w:rPr>
        <w:t xml:space="preserve">Overall, it seems that the electronic bundle of enhanced information proved most useful as a means of ensuring that more informed advice could be provided to occupiers by duty advisers. There is some question over the extent to which judges did or were able to take this information into account. </w:t>
      </w:r>
      <w:r w:rsidR="0087416E" w:rsidRPr="005472E5">
        <w:rPr>
          <w:rFonts w:ascii="Times New Roman" w:hAnsi="Times New Roman" w:cs="Times New Roman"/>
          <w:sz w:val="24"/>
          <w:szCs w:val="24"/>
        </w:rPr>
        <w:t xml:space="preserve">Given </w:t>
      </w:r>
      <w:r w:rsidRPr="005472E5">
        <w:rPr>
          <w:rFonts w:ascii="Times New Roman" w:hAnsi="Times New Roman" w:cs="Times New Roman"/>
          <w:sz w:val="24"/>
          <w:szCs w:val="24"/>
        </w:rPr>
        <w:t xml:space="preserve">the OA changed some of the procedure for handling </w:t>
      </w:r>
      <w:r w:rsidRPr="005472E5">
        <w:rPr>
          <w:rFonts w:ascii="Times New Roman" w:hAnsi="Times New Roman" w:cs="Times New Roman"/>
          <w:sz w:val="24"/>
          <w:szCs w:val="24"/>
        </w:rPr>
        <w:lastRenderedPageBreak/>
        <w:t>possession claims</w:t>
      </w:r>
      <w:r w:rsidR="0087416E" w:rsidRPr="005472E5">
        <w:rPr>
          <w:rFonts w:ascii="Times New Roman" w:hAnsi="Times New Roman" w:cs="Times New Roman"/>
          <w:sz w:val="24"/>
          <w:szCs w:val="24"/>
        </w:rPr>
        <w:t xml:space="preserve"> but</w:t>
      </w:r>
      <w:r w:rsidRPr="005472E5">
        <w:rPr>
          <w:rFonts w:ascii="Times New Roman" w:hAnsi="Times New Roman" w:cs="Times New Roman"/>
          <w:sz w:val="24"/>
          <w:szCs w:val="24"/>
        </w:rPr>
        <w:t xml:space="preserve"> not the substantive law</w:t>
      </w:r>
      <w:r w:rsidR="0087416E" w:rsidRPr="005472E5">
        <w:rPr>
          <w:rFonts w:ascii="Times New Roman" w:hAnsi="Times New Roman" w:cs="Times New Roman"/>
          <w:sz w:val="24"/>
          <w:szCs w:val="24"/>
        </w:rPr>
        <w:t>,</w:t>
      </w:r>
      <w:r w:rsidRPr="005472E5">
        <w:rPr>
          <w:rFonts w:ascii="Times New Roman" w:hAnsi="Times New Roman" w:cs="Times New Roman"/>
          <w:sz w:val="24"/>
          <w:szCs w:val="24"/>
        </w:rPr>
        <w:t xml:space="preserve"> </w:t>
      </w:r>
      <w:r w:rsidR="00EC4918" w:rsidRPr="005472E5">
        <w:rPr>
          <w:rFonts w:ascii="Times New Roman" w:hAnsi="Times New Roman" w:cs="Times New Roman"/>
          <w:sz w:val="24"/>
          <w:szCs w:val="24"/>
        </w:rPr>
        <w:t xml:space="preserve">the impact of the pandemic on the parties could have no influence over the judge’s decision in </w:t>
      </w:r>
      <w:r w:rsidRPr="005472E5">
        <w:rPr>
          <w:rFonts w:ascii="Times New Roman" w:hAnsi="Times New Roman" w:cs="Times New Roman"/>
          <w:sz w:val="24"/>
          <w:szCs w:val="24"/>
        </w:rPr>
        <w:t xml:space="preserve">cases involving mandatory </w:t>
      </w:r>
      <w:r w:rsidR="00EC4918" w:rsidRPr="005472E5">
        <w:rPr>
          <w:rFonts w:ascii="Times New Roman" w:hAnsi="Times New Roman" w:cs="Times New Roman"/>
          <w:sz w:val="24"/>
          <w:szCs w:val="24"/>
        </w:rPr>
        <w:t>ground</w:t>
      </w:r>
      <w:r w:rsidRPr="005472E5">
        <w:rPr>
          <w:rFonts w:ascii="Times New Roman" w:hAnsi="Times New Roman" w:cs="Times New Roman"/>
          <w:sz w:val="24"/>
          <w:szCs w:val="24"/>
        </w:rPr>
        <w:t>s for possession</w:t>
      </w:r>
      <w:r w:rsidR="00EC4918" w:rsidRPr="005472E5">
        <w:rPr>
          <w:rFonts w:ascii="Times New Roman" w:hAnsi="Times New Roman" w:cs="Times New Roman"/>
          <w:sz w:val="24"/>
          <w:szCs w:val="24"/>
        </w:rPr>
        <w:t>.</w:t>
      </w:r>
      <w:r w:rsidRPr="005472E5">
        <w:rPr>
          <w:rFonts w:ascii="Times New Roman" w:hAnsi="Times New Roman" w:cs="Times New Roman"/>
          <w:sz w:val="24"/>
          <w:szCs w:val="24"/>
        </w:rPr>
        <w:t xml:space="preserve"> </w:t>
      </w:r>
    </w:p>
    <w:p w14:paraId="234F0CEE" w14:textId="77777777" w:rsidR="00325965" w:rsidRPr="005472E5" w:rsidRDefault="00325965" w:rsidP="00325965">
      <w:pPr>
        <w:rPr>
          <w:rFonts w:ascii="Times New Roman" w:hAnsi="Times New Roman" w:cs="Times New Roman"/>
          <w:b/>
          <w:bCs/>
          <w:sz w:val="28"/>
          <w:szCs w:val="28"/>
        </w:rPr>
      </w:pPr>
      <w:bookmarkStart w:id="8" w:name="_Toc93393776"/>
      <w:r w:rsidRPr="005472E5">
        <w:rPr>
          <w:rFonts w:ascii="Times New Roman" w:hAnsi="Times New Roman" w:cs="Times New Roman"/>
          <w:b/>
          <w:bCs/>
          <w:sz w:val="28"/>
          <w:szCs w:val="28"/>
        </w:rPr>
        <w:t>Did the OA Maintain Confidence in the Fairness of Outcomes?</w:t>
      </w:r>
      <w:bookmarkEnd w:id="8"/>
    </w:p>
    <w:p w14:paraId="501D0AC4" w14:textId="77777777" w:rsidR="007C3772" w:rsidRPr="005472E5" w:rsidRDefault="00A962EB" w:rsidP="0094079A">
      <w:pPr>
        <w:rPr>
          <w:rFonts w:ascii="Times New Roman" w:hAnsi="Times New Roman" w:cs="Times New Roman"/>
          <w:sz w:val="24"/>
          <w:szCs w:val="24"/>
        </w:rPr>
      </w:pPr>
      <w:r w:rsidRPr="005472E5">
        <w:rPr>
          <w:rFonts w:ascii="Times New Roman" w:hAnsi="Times New Roman" w:cs="Times New Roman"/>
          <w:sz w:val="24"/>
          <w:szCs w:val="24"/>
        </w:rPr>
        <w:t>The obvious</w:t>
      </w:r>
      <w:r w:rsidR="00325965" w:rsidRPr="005472E5">
        <w:rPr>
          <w:rFonts w:ascii="Times New Roman" w:hAnsi="Times New Roman" w:cs="Times New Roman"/>
          <w:sz w:val="24"/>
          <w:szCs w:val="24"/>
        </w:rPr>
        <w:t xml:space="preserve"> question that arises here is how ‘fairness’</w:t>
      </w:r>
      <w:r w:rsidRPr="005472E5">
        <w:rPr>
          <w:rFonts w:ascii="Times New Roman" w:hAnsi="Times New Roman" w:cs="Times New Roman"/>
          <w:sz w:val="24"/>
          <w:szCs w:val="24"/>
        </w:rPr>
        <w:t xml:space="preserve"> is</w:t>
      </w:r>
      <w:r w:rsidR="00ED3DF7" w:rsidRPr="005472E5">
        <w:rPr>
          <w:rFonts w:ascii="Times New Roman" w:hAnsi="Times New Roman" w:cs="Times New Roman"/>
          <w:sz w:val="24"/>
          <w:szCs w:val="24"/>
        </w:rPr>
        <w:t xml:space="preserve"> to be</w:t>
      </w:r>
      <w:r w:rsidRPr="005472E5">
        <w:rPr>
          <w:rFonts w:ascii="Times New Roman" w:hAnsi="Times New Roman" w:cs="Times New Roman"/>
          <w:sz w:val="24"/>
          <w:szCs w:val="24"/>
        </w:rPr>
        <w:t xml:space="preserve"> defined</w:t>
      </w:r>
      <w:r w:rsidR="00325965" w:rsidRPr="005472E5">
        <w:rPr>
          <w:rFonts w:ascii="Times New Roman" w:hAnsi="Times New Roman" w:cs="Times New Roman"/>
          <w:sz w:val="24"/>
          <w:szCs w:val="24"/>
        </w:rPr>
        <w:t xml:space="preserve"> in this context</w:t>
      </w:r>
      <w:r w:rsidRPr="005472E5">
        <w:rPr>
          <w:rFonts w:ascii="Times New Roman" w:hAnsi="Times New Roman" w:cs="Times New Roman"/>
          <w:sz w:val="24"/>
          <w:szCs w:val="24"/>
        </w:rPr>
        <w:t>.</w:t>
      </w:r>
      <w:r w:rsidR="00325965" w:rsidRPr="005472E5">
        <w:rPr>
          <w:rFonts w:ascii="Times New Roman" w:hAnsi="Times New Roman" w:cs="Times New Roman"/>
          <w:sz w:val="24"/>
          <w:szCs w:val="24"/>
        </w:rPr>
        <w:t xml:space="preserve"> </w:t>
      </w:r>
      <w:r w:rsidRPr="005472E5">
        <w:rPr>
          <w:rFonts w:ascii="Times New Roman" w:hAnsi="Times New Roman" w:cs="Times New Roman"/>
          <w:sz w:val="24"/>
          <w:szCs w:val="24"/>
        </w:rPr>
        <w:t xml:space="preserve">While it </w:t>
      </w:r>
      <w:r w:rsidR="00BD7123" w:rsidRPr="005472E5">
        <w:rPr>
          <w:rFonts w:ascii="Times New Roman" w:hAnsi="Times New Roman" w:cs="Times New Roman"/>
          <w:sz w:val="24"/>
          <w:szCs w:val="24"/>
        </w:rPr>
        <w:t>might</w:t>
      </w:r>
      <w:r w:rsidRPr="005472E5">
        <w:rPr>
          <w:rFonts w:ascii="Times New Roman" w:hAnsi="Times New Roman" w:cs="Times New Roman"/>
          <w:sz w:val="24"/>
          <w:szCs w:val="24"/>
        </w:rPr>
        <w:t xml:space="preserve"> be possible to draw on the literature relevant to concepts such as ‘due process’</w:t>
      </w:r>
      <w:r w:rsidRPr="005472E5">
        <w:rPr>
          <w:rStyle w:val="FootnoteReference"/>
          <w:rFonts w:ascii="Times New Roman" w:hAnsi="Times New Roman" w:cs="Times New Roman"/>
          <w:sz w:val="24"/>
          <w:szCs w:val="24"/>
        </w:rPr>
        <w:footnoteReference w:id="74"/>
      </w:r>
      <w:r w:rsidRPr="005472E5">
        <w:rPr>
          <w:rFonts w:ascii="Times New Roman" w:hAnsi="Times New Roman" w:cs="Times New Roman"/>
          <w:sz w:val="24"/>
          <w:szCs w:val="24"/>
        </w:rPr>
        <w:t xml:space="preserve"> and ‘procedural fairness’</w:t>
      </w:r>
      <w:r w:rsidR="00ED3DF7" w:rsidRPr="005472E5">
        <w:rPr>
          <w:rFonts w:ascii="Times New Roman" w:hAnsi="Times New Roman" w:cs="Times New Roman"/>
          <w:sz w:val="24"/>
          <w:szCs w:val="24"/>
        </w:rPr>
        <w:t>,</w:t>
      </w:r>
      <w:r w:rsidRPr="005472E5">
        <w:rPr>
          <w:rStyle w:val="FootnoteReference"/>
          <w:rFonts w:ascii="Times New Roman" w:hAnsi="Times New Roman" w:cs="Times New Roman"/>
          <w:sz w:val="24"/>
          <w:szCs w:val="24"/>
        </w:rPr>
        <w:footnoteReference w:id="75"/>
      </w:r>
      <w:r w:rsidRPr="005472E5">
        <w:rPr>
          <w:rFonts w:ascii="Times New Roman" w:hAnsi="Times New Roman" w:cs="Times New Roman"/>
          <w:sz w:val="24"/>
          <w:szCs w:val="24"/>
        </w:rPr>
        <w:t xml:space="preserve"> </w:t>
      </w:r>
      <w:r w:rsidR="00BD7123" w:rsidRPr="005472E5">
        <w:rPr>
          <w:rFonts w:ascii="Times New Roman" w:hAnsi="Times New Roman" w:cs="Times New Roman"/>
          <w:sz w:val="24"/>
          <w:szCs w:val="24"/>
        </w:rPr>
        <w:t xml:space="preserve">there is simply not room </w:t>
      </w:r>
      <w:r w:rsidR="0075478D" w:rsidRPr="005472E5">
        <w:rPr>
          <w:rFonts w:ascii="Times New Roman" w:hAnsi="Times New Roman" w:cs="Times New Roman"/>
          <w:sz w:val="24"/>
          <w:szCs w:val="24"/>
        </w:rPr>
        <w:t xml:space="preserve">here </w:t>
      </w:r>
      <w:r w:rsidR="00BD7123" w:rsidRPr="005472E5">
        <w:rPr>
          <w:rFonts w:ascii="Times New Roman" w:hAnsi="Times New Roman" w:cs="Times New Roman"/>
          <w:sz w:val="24"/>
          <w:szCs w:val="24"/>
        </w:rPr>
        <w:t xml:space="preserve">to undertake </w:t>
      </w:r>
      <w:r w:rsidR="002F2B93" w:rsidRPr="005472E5">
        <w:rPr>
          <w:rFonts w:ascii="Times New Roman" w:hAnsi="Times New Roman" w:cs="Times New Roman"/>
          <w:sz w:val="24"/>
          <w:szCs w:val="24"/>
        </w:rPr>
        <w:t>such an</w:t>
      </w:r>
      <w:r w:rsidR="00BD7123" w:rsidRPr="005472E5">
        <w:rPr>
          <w:rFonts w:ascii="Times New Roman" w:hAnsi="Times New Roman" w:cs="Times New Roman"/>
          <w:sz w:val="24"/>
          <w:szCs w:val="24"/>
        </w:rPr>
        <w:t xml:space="preserve"> analysis. </w:t>
      </w:r>
      <w:r w:rsidR="002F2B93" w:rsidRPr="005472E5">
        <w:rPr>
          <w:rFonts w:ascii="Times New Roman" w:hAnsi="Times New Roman" w:cs="Times New Roman"/>
          <w:sz w:val="24"/>
          <w:szCs w:val="24"/>
        </w:rPr>
        <w:t>What it is possible to do, however, is to focus on</w:t>
      </w:r>
      <w:r w:rsidR="00325965" w:rsidRPr="005472E5">
        <w:rPr>
          <w:rFonts w:ascii="Times New Roman" w:hAnsi="Times New Roman" w:cs="Times New Roman"/>
          <w:sz w:val="24"/>
          <w:szCs w:val="24"/>
        </w:rPr>
        <w:t xml:space="preserve"> the language </w:t>
      </w:r>
      <w:r w:rsidR="00BD7123" w:rsidRPr="005472E5">
        <w:rPr>
          <w:rFonts w:ascii="Times New Roman" w:hAnsi="Times New Roman" w:cs="Times New Roman"/>
          <w:sz w:val="24"/>
          <w:szCs w:val="24"/>
        </w:rPr>
        <w:t>used</w:t>
      </w:r>
      <w:r w:rsidR="002F2B93" w:rsidRPr="005472E5">
        <w:rPr>
          <w:rFonts w:ascii="Times New Roman" w:hAnsi="Times New Roman" w:cs="Times New Roman"/>
          <w:sz w:val="24"/>
          <w:szCs w:val="24"/>
        </w:rPr>
        <w:t xml:space="preserve"> within the OA which</w:t>
      </w:r>
      <w:r w:rsidR="0075478D" w:rsidRPr="005472E5">
        <w:rPr>
          <w:rFonts w:ascii="Times New Roman" w:hAnsi="Times New Roman" w:cs="Times New Roman"/>
          <w:sz w:val="24"/>
          <w:szCs w:val="24"/>
        </w:rPr>
        <w:t xml:space="preserve"> asks not whether outcomes were</w:t>
      </w:r>
      <w:r w:rsidR="00D955F7" w:rsidRPr="005472E5">
        <w:rPr>
          <w:rFonts w:ascii="Times New Roman" w:hAnsi="Times New Roman" w:cs="Times New Roman"/>
          <w:sz w:val="24"/>
          <w:szCs w:val="24"/>
        </w:rPr>
        <w:t xml:space="preserve"> ‘fair’</w:t>
      </w:r>
      <w:r w:rsidR="0075478D" w:rsidRPr="005472E5">
        <w:rPr>
          <w:rFonts w:ascii="Times New Roman" w:hAnsi="Times New Roman" w:cs="Times New Roman"/>
          <w:sz w:val="24"/>
          <w:szCs w:val="24"/>
        </w:rPr>
        <w:t>,</w:t>
      </w:r>
      <w:r w:rsidR="00D955F7" w:rsidRPr="005472E5">
        <w:rPr>
          <w:rFonts w:ascii="Times New Roman" w:hAnsi="Times New Roman" w:cs="Times New Roman"/>
          <w:sz w:val="24"/>
          <w:szCs w:val="24"/>
        </w:rPr>
        <w:t xml:space="preserve"> as such, but rather</w:t>
      </w:r>
      <w:r w:rsidR="00BD7123" w:rsidRPr="005472E5">
        <w:rPr>
          <w:rFonts w:ascii="Times New Roman" w:hAnsi="Times New Roman" w:cs="Times New Roman"/>
          <w:sz w:val="24"/>
          <w:szCs w:val="24"/>
        </w:rPr>
        <w:t xml:space="preserve"> </w:t>
      </w:r>
      <w:r w:rsidR="0075478D" w:rsidRPr="005472E5">
        <w:rPr>
          <w:rFonts w:ascii="Times New Roman" w:hAnsi="Times New Roman" w:cs="Times New Roman"/>
          <w:sz w:val="24"/>
          <w:szCs w:val="24"/>
        </w:rPr>
        <w:t xml:space="preserve">whether </w:t>
      </w:r>
      <w:r w:rsidR="0075478D" w:rsidRPr="005472E5">
        <w:rPr>
          <w:rFonts w:ascii="Times New Roman" w:hAnsi="Times New Roman" w:cs="Times New Roman"/>
          <w:i/>
          <w:iCs/>
          <w:sz w:val="24"/>
          <w:szCs w:val="24"/>
        </w:rPr>
        <w:t>confidence</w:t>
      </w:r>
      <w:r w:rsidR="0075478D" w:rsidRPr="005472E5">
        <w:rPr>
          <w:rFonts w:ascii="Times New Roman" w:hAnsi="Times New Roman" w:cs="Times New Roman"/>
          <w:sz w:val="24"/>
          <w:szCs w:val="24"/>
        </w:rPr>
        <w:t xml:space="preserve"> in them was</w:t>
      </w:r>
      <w:r w:rsidR="00325965" w:rsidRPr="005472E5">
        <w:rPr>
          <w:rFonts w:ascii="Times New Roman" w:hAnsi="Times New Roman" w:cs="Times New Roman"/>
          <w:sz w:val="24"/>
          <w:szCs w:val="24"/>
        </w:rPr>
        <w:t xml:space="preserve"> </w:t>
      </w:r>
      <w:r w:rsidR="00BD7123" w:rsidRPr="005472E5">
        <w:rPr>
          <w:rFonts w:ascii="Times New Roman" w:hAnsi="Times New Roman" w:cs="Times New Roman"/>
          <w:sz w:val="24"/>
          <w:szCs w:val="24"/>
        </w:rPr>
        <w:t>maintain</w:t>
      </w:r>
      <w:r w:rsidR="0075478D" w:rsidRPr="005472E5">
        <w:rPr>
          <w:rFonts w:ascii="Times New Roman" w:hAnsi="Times New Roman" w:cs="Times New Roman"/>
          <w:sz w:val="24"/>
          <w:szCs w:val="24"/>
        </w:rPr>
        <w:t>ed</w:t>
      </w:r>
      <w:r w:rsidR="00325965" w:rsidRPr="005472E5">
        <w:rPr>
          <w:rFonts w:ascii="Times New Roman" w:hAnsi="Times New Roman" w:cs="Times New Roman"/>
          <w:sz w:val="24"/>
          <w:szCs w:val="24"/>
        </w:rPr>
        <w:t xml:space="preserve">. One measure that might be used therefore is to assess the perceptions </w:t>
      </w:r>
      <w:r w:rsidR="00325965" w:rsidRPr="005472E5">
        <w:rPr>
          <w:rFonts w:ascii="Times New Roman" w:hAnsi="Times New Roman" w:cs="Times New Roman"/>
          <w:sz w:val="24"/>
          <w:szCs w:val="24"/>
          <w:lang w:val="en"/>
        </w:rPr>
        <w:t xml:space="preserve">of those involved in these cases as to </w:t>
      </w:r>
      <w:r w:rsidR="002F2B93" w:rsidRPr="005472E5">
        <w:rPr>
          <w:rFonts w:ascii="Times New Roman" w:hAnsi="Times New Roman" w:cs="Times New Roman"/>
          <w:sz w:val="24"/>
          <w:szCs w:val="24"/>
          <w:lang w:val="en"/>
        </w:rPr>
        <w:t>the</w:t>
      </w:r>
      <w:r w:rsidR="00325965" w:rsidRPr="005472E5">
        <w:rPr>
          <w:rFonts w:ascii="Times New Roman" w:hAnsi="Times New Roman" w:cs="Times New Roman"/>
          <w:sz w:val="24"/>
          <w:szCs w:val="24"/>
          <w:lang w:val="en"/>
        </w:rPr>
        <w:t xml:space="preserve"> ‘fair</w:t>
      </w:r>
      <w:r w:rsidR="002F2B93" w:rsidRPr="005472E5">
        <w:rPr>
          <w:rFonts w:ascii="Times New Roman" w:hAnsi="Times New Roman" w:cs="Times New Roman"/>
          <w:sz w:val="24"/>
          <w:szCs w:val="24"/>
          <w:lang w:val="en"/>
        </w:rPr>
        <w:t>ness</w:t>
      </w:r>
      <w:r w:rsidR="00325965" w:rsidRPr="005472E5">
        <w:rPr>
          <w:rFonts w:ascii="Times New Roman" w:hAnsi="Times New Roman" w:cs="Times New Roman"/>
          <w:sz w:val="24"/>
          <w:szCs w:val="24"/>
          <w:lang w:val="en"/>
        </w:rPr>
        <w:t>’</w:t>
      </w:r>
      <w:r w:rsidR="002F2B93" w:rsidRPr="005472E5">
        <w:rPr>
          <w:rFonts w:ascii="Times New Roman" w:hAnsi="Times New Roman" w:cs="Times New Roman"/>
          <w:sz w:val="24"/>
          <w:szCs w:val="24"/>
          <w:lang w:val="en"/>
        </w:rPr>
        <w:t xml:space="preserve"> of the outcome</w:t>
      </w:r>
      <w:r w:rsidR="00325965" w:rsidRPr="005472E5">
        <w:rPr>
          <w:rFonts w:ascii="Times New Roman" w:hAnsi="Times New Roman" w:cs="Times New Roman"/>
          <w:sz w:val="24"/>
          <w:szCs w:val="24"/>
        </w:rPr>
        <w:t xml:space="preserve">. </w:t>
      </w:r>
      <w:r w:rsidR="00C77274" w:rsidRPr="005472E5">
        <w:rPr>
          <w:rFonts w:ascii="Times New Roman" w:hAnsi="Times New Roman" w:cs="Times New Roman"/>
          <w:sz w:val="24"/>
          <w:szCs w:val="24"/>
        </w:rPr>
        <w:t>While respondents were not asked this question directly, it became clear from responses received from a majority of the private landlords that</w:t>
      </w:r>
      <w:r w:rsidR="0094079A" w:rsidRPr="005472E5">
        <w:rPr>
          <w:rFonts w:ascii="Times New Roman" w:hAnsi="Times New Roman" w:cs="Times New Roman"/>
          <w:sz w:val="24"/>
          <w:szCs w:val="24"/>
        </w:rPr>
        <w:t xml:space="preserve"> they believed the reforms favoured tenants </w:t>
      </w:r>
      <w:r w:rsidR="0094090B" w:rsidRPr="005472E5">
        <w:rPr>
          <w:rFonts w:ascii="Times New Roman" w:hAnsi="Times New Roman" w:cs="Times New Roman"/>
          <w:sz w:val="24"/>
          <w:szCs w:val="24"/>
        </w:rPr>
        <w:t xml:space="preserve">to the detriment of landlords </w:t>
      </w:r>
      <w:r w:rsidR="0094079A" w:rsidRPr="005472E5">
        <w:rPr>
          <w:rFonts w:ascii="Times New Roman" w:hAnsi="Times New Roman" w:cs="Times New Roman"/>
          <w:sz w:val="24"/>
          <w:szCs w:val="24"/>
        </w:rPr>
        <w:t>and</w:t>
      </w:r>
      <w:r w:rsidR="0094090B" w:rsidRPr="005472E5">
        <w:rPr>
          <w:rFonts w:ascii="Times New Roman" w:hAnsi="Times New Roman" w:cs="Times New Roman"/>
          <w:sz w:val="24"/>
          <w:szCs w:val="24"/>
        </w:rPr>
        <w:t>,</w:t>
      </w:r>
      <w:r w:rsidR="0094079A" w:rsidRPr="005472E5">
        <w:rPr>
          <w:rFonts w:ascii="Times New Roman" w:hAnsi="Times New Roman" w:cs="Times New Roman"/>
          <w:sz w:val="24"/>
          <w:szCs w:val="24"/>
        </w:rPr>
        <w:t xml:space="preserve"> as a result,</w:t>
      </w:r>
      <w:r w:rsidR="00C77274" w:rsidRPr="005472E5">
        <w:rPr>
          <w:rFonts w:ascii="Times New Roman" w:hAnsi="Times New Roman" w:cs="Times New Roman"/>
          <w:sz w:val="24"/>
          <w:szCs w:val="24"/>
        </w:rPr>
        <w:t xml:space="preserve"> their confidence in the </w:t>
      </w:r>
      <w:r w:rsidR="00C54186" w:rsidRPr="005472E5">
        <w:rPr>
          <w:rFonts w:ascii="Times New Roman" w:hAnsi="Times New Roman" w:cs="Times New Roman"/>
          <w:sz w:val="24"/>
          <w:szCs w:val="24"/>
        </w:rPr>
        <w:t xml:space="preserve">legal </w:t>
      </w:r>
      <w:r w:rsidR="00C77274" w:rsidRPr="005472E5">
        <w:rPr>
          <w:rFonts w:ascii="Times New Roman" w:hAnsi="Times New Roman" w:cs="Times New Roman"/>
          <w:sz w:val="24"/>
          <w:szCs w:val="24"/>
        </w:rPr>
        <w:t>system had been undermined</w:t>
      </w:r>
      <w:r w:rsidR="00C54186" w:rsidRPr="005472E5">
        <w:rPr>
          <w:rFonts w:ascii="Times New Roman" w:hAnsi="Times New Roman" w:cs="Times New Roman"/>
          <w:sz w:val="24"/>
          <w:szCs w:val="24"/>
        </w:rPr>
        <w:t>.</w:t>
      </w:r>
      <w:r w:rsidR="0094079A" w:rsidRPr="005472E5">
        <w:rPr>
          <w:rFonts w:ascii="Times New Roman" w:hAnsi="Times New Roman" w:cs="Times New Roman"/>
          <w:sz w:val="24"/>
          <w:szCs w:val="24"/>
        </w:rPr>
        <w:t xml:space="preserve"> As one private landlord commented,</w:t>
      </w:r>
      <w:r w:rsidR="00C54186" w:rsidRPr="005472E5">
        <w:rPr>
          <w:rFonts w:ascii="Times New Roman" w:hAnsi="Times New Roman" w:cs="Times New Roman"/>
          <w:sz w:val="24"/>
          <w:szCs w:val="24"/>
        </w:rPr>
        <w:t xml:space="preserve"> </w:t>
      </w:r>
    </w:p>
    <w:p w14:paraId="53894EDF" w14:textId="12CCA685" w:rsidR="0094079A" w:rsidRPr="005472E5" w:rsidRDefault="0094079A" w:rsidP="007C3772">
      <w:pPr>
        <w:ind w:left="720"/>
        <w:rPr>
          <w:rFonts w:ascii="Times New Roman" w:hAnsi="Times New Roman" w:cs="Times New Roman"/>
          <w:i/>
          <w:iCs/>
          <w:sz w:val="24"/>
          <w:szCs w:val="24"/>
        </w:rPr>
      </w:pPr>
      <w:r w:rsidRPr="005472E5">
        <w:rPr>
          <w:rFonts w:ascii="Times New Roman" w:hAnsi="Times New Roman" w:cs="Times New Roman"/>
          <w:i/>
          <w:iCs/>
          <w:sz w:val="24"/>
          <w:szCs w:val="24"/>
        </w:rPr>
        <w:t>“[I have] lost confidence in the British justice system.” Private Landlord #41</w:t>
      </w:r>
    </w:p>
    <w:p w14:paraId="2177F448" w14:textId="50B601F3" w:rsidR="0094079A" w:rsidRPr="005472E5" w:rsidRDefault="0094079A" w:rsidP="00325965">
      <w:pPr>
        <w:rPr>
          <w:rFonts w:ascii="Times New Roman" w:hAnsi="Times New Roman" w:cs="Times New Roman"/>
          <w:sz w:val="24"/>
          <w:szCs w:val="24"/>
        </w:rPr>
      </w:pPr>
      <w:r w:rsidRPr="005472E5">
        <w:rPr>
          <w:rFonts w:ascii="Times New Roman" w:hAnsi="Times New Roman" w:cs="Times New Roman"/>
          <w:sz w:val="24"/>
          <w:szCs w:val="24"/>
        </w:rPr>
        <w:t>The inability of landlords to recover rent arrears or to recover their properties during the pandemic had a significant impact on some of them, with some considering selling up and getting out of the rental market. Rugg and Wallace found in their detailed report of property supply to the lower end of the private rented sector (which included detailed qualitative interviews with 55 landlords) that many landlords were considering selling up as a result of, ‘six interconnected themes: demography; taxation; the introduction of Universal Credit; the “regulatory burden”; hassle; and risk.’</w:t>
      </w:r>
      <w:r w:rsidRPr="005472E5">
        <w:rPr>
          <w:rFonts w:ascii="Times New Roman" w:hAnsi="Times New Roman" w:cs="Times New Roman"/>
          <w:sz w:val="24"/>
          <w:szCs w:val="24"/>
          <w:vertAlign w:val="superscript"/>
        </w:rPr>
        <w:footnoteReference w:id="76"/>
      </w:r>
      <w:r w:rsidRPr="005472E5">
        <w:rPr>
          <w:rFonts w:ascii="Times New Roman" w:hAnsi="Times New Roman" w:cs="Times New Roman"/>
          <w:sz w:val="24"/>
          <w:szCs w:val="24"/>
        </w:rPr>
        <w:t xml:space="preserve"> Private landlords who responded to </w:t>
      </w:r>
      <w:r w:rsidR="001A5F4E" w:rsidRPr="005472E5">
        <w:rPr>
          <w:rFonts w:ascii="Times New Roman" w:hAnsi="Times New Roman" w:cs="Times New Roman"/>
          <w:sz w:val="24"/>
          <w:szCs w:val="24"/>
        </w:rPr>
        <w:t>this project’s</w:t>
      </w:r>
      <w:r w:rsidRPr="005472E5">
        <w:rPr>
          <w:rFonts w:ascii="Times New Roman" w:hAnsi="Times New Roman" w:cs="Times New Roman"/>
          <w:sz w:val="24"/>
          <w:szCs w:val="24"/>
        </w:rPr>
        <w:t xml:space="preserve"> survey noted the adverse impact the pandemic had on their finances, mental health, and future plans:</w:t>
      </w:r>
    </w:p>
    <w:p w14:paraId="2FE07E1C" w14:textId="77777777" w:rsidR="00C96A04" w:rsidRPr="005472E5" w:rsidRDefault="00C96A04" w:rsidP="00C96A04">
      <w:pPr>
        <w:ind w:left="720"/>
        <w:rPr>
          <w:rFonts w:ascii="Times New Roman" w:hAnsi="Times New Roman" w:cs="Times New Roman"/>
          <w:i/>
          <w:iCs/>
          <w:sz w:val="24"/>
          <w:szCs w:val="24"/>
        </w:rPr>
      </w:pPr>
      <w:bookmarkStart w:id="9" w:name="_Toc93393777"/>
      <w:r w:rsidRPr="005472E5">
        <w:rPr>
          <w:rFonts w:ascii="Times New Roman" w:hAnsi="Times New Roman" w:cs="Times New Roman"/>
          <w:i/>
          <w:iCs/>
          <w:sz w:val="24"/>
          <w:szCs w:val="24"/>
        </w:rPr>
        <w:t>“The longer the process the worse it is in the long run for tenants. Landlords scarred by the experience (e.g. me) are selling up therefore not providing a good home to a deserving family.” Private Landlord #14.</w:t>
      </w:r>
    </w:p>
    <w:p w14:paraId="4DFF2963" w14:textId="3FA4159D" w:rsidR="00C96A04" w:rsidRPr="005472E5" w:rsidRDefault="00C96A04" w:rsidP="00C96A04">
      <w:pPr>
        <w:ind w:left="720"/>
        <w:rPr>
          <w:rFonts w:ascii="Times New Roman" w:hAnsi="Times New Roman" w:cs="Times New Roman"/>
          <w:i/>
          <w:iCs/>
          <w:sz w:val="24"/>
          <w:szCs w:val="24"/>
        </w:rPr>
      </w:pPr>
      <w:r w:rsidRPr="005472E5">
        <w:rPr>
          <w:rFonts w:ascii="Times New Roman" w:hAnsi="Times New Roman" w:cs="Times New Roman"/>
          <w:i/>
          <w:iCs/>
          <w:sz w:val="24"/>
          <w:szCs w:val="24"/>
        </w:rPr>
        <w:t>“This is our first eviction we have had to do. We have found it very difficult to go through this process. Mentally it has destroyed us and hoped it would not come to Court.” Private Landlord #30.</w:t>
      </w:r>
    </w:p>
    <w:p w14:paraId="50E38B96" w14:textId="00F5B17A" w:rsidR="00C96A04" w:rsidRPr="005472E5" w:rsidRDefault="00C96A04" w:rsidP="00C96A04">
      <w:pPr>
        <w:ind w:left="720"/>
        <w:rPr>
          <w:rFonts w:ascii="Times New Roman" w:hAnsi="Times New Roman" w:cs="Times New Roman"/>
          <w:i/>
          <w:iCs/>
          <w:sz w:val="24"/>
          <w:szCs w:val="24"/>
        </w:rPr>
      </w:pPr>
      <w:r w:rsidRPr="005472E5">
        <w:rPr>
          <w:rFonts w:ascii="Times New Roman" w:hAnsi="Times New Roman" w:cs="Times New Roman"/>
          <w:i/>
          <w:iCs/>
          <w:sz w:val="24"/>
          <w:szCs w:val="24"/>
        </w:rPr>
        <w:t>“I am on the verge of selling my rental properties as the stress caused is becoming unmanageable, no thought for the landlords and what we go through. This cannot continue.” Private Landlord #33.</w:t>
      </w:r>
    </w:p>
    <w:p w14:paraId="7A2B16CD" w14:textId="6D14A85C" w:rsidR="00A862B2" w:rsidRPr="005472E5" w:rsidRDefault="00A862B2" w:rsidP="00325965">
      <w:pPr>
        <w:rPr>
          <w:rFonts w:ascii="Times New Roman" w:hAnsi="Times New Roman" w:cs="Times New Roman"/>
          <w:sz w:val="24"/>
          <w:szCs w:val="24"/>
        </w:rPr>
      </w:pPr>
      <w:r w:rsidRPr="005472E5">
        <w:rPr>
          <w:rFonts w:ascii="Times New Roman" w:hAnsi="Times New Roman" w:cs="Times New Roman"/>
          <w:sz w:val="24"/>
          <w:szCs w:val="24"/>
        </w:rPr>
        <w:t xml:space="preserve">It would seem that, rather than maintaining confidence in the fairness of outcomes, the temporary measures introduced in response to the pandemic were </w:t>
      </w:r>
      <w:r w:rsidR="008950AD" w:rsidRPr="005472E5">
        <w:rPr>
          <w:rFonts w:ascii="Times New Roman" w:hAnsi="Times New Roman" w:cs="Times New Roman"/>
          <w:sz w:val="24"/>
          <w:szCs w:val="24"/>
        </w:rPr>
        <w:t xml:space="preserve">viewed by private landlords </w:t>
      </w:r>
      <w:r w:rsidR="008950AD" w:rsidRPr="005472E5">
        <w:rPr>
          <w:rFonts w:ascii="Times New Roman" w:hAnsi="Times New Roman" w:cs="Times New Roman"/>
          <w:sz w:val="24"/>
          <w:szCs w:val="24"/>
        </w:rPr>
        <w:lastRenderedPageBreak/>
        <w:t xml:space="preserve">as </w:t>
      </w:r>
      <w:r w:rsidRPr="005472E5">
        <w:rPr>
          <w:rFonts w:ascii="Times New Roman" w:hAnsi="Times New Roman" w:cs="Times New Roman"/>
          <w:sz w:val="24"/>
          <w:szCs w:val="24"/>
        </w:rPr>
        <w:t>y</w:t>
      </w:r>
      <w:r w:rsidR="008950AD" w:rsidRPr="005472E5">
        <w:rPr>
          <w:rFonts w:ascii="Times New Roman" w:hAnsi="Times New Roman" w:cs="Times New Roman"/>
          <w:sz w:val="24"/>
          <w:szCs w:val="24"/>
        </w:rPr>
        <w:t>et</w:t>
      </w:r>
      <w:r w:rsidRPr="005472E5">
        <w:rPr>
          <w:rFonts w:ascii="Times New Roman" w:hAnsi="Times New Roman" w:cs="Times New Roman"/>
          <w:sz w:val="24"/>
          <w:szCs w:val="24"/>
        </w:rPr>
        <w:t xml:space="preserve"> another</w:t>
      </w:r>
      <w:r w:rsidR="008950AD" w:rsidRPr="005472E5">
        <w:rPr>
          <w:rFonts w:ascii="Times New Roman" w:hAnsi="Times New Roman" w:cs="Times New Roman"/>
          <w:sz w:val="24"/>
          <w:szCs w:val="24"/>
        </w:rPr>
        <w:t xml:space="preserve"> example of </w:t>
      </w:r>
      <w:r w:rsidRPr="005472E5">
        <w:rPr>
          <w:rFonts w:ascii="Times New Roman" w:hAnsi="Times New Roman" w:cs="Times New Roman"/>
          <w:sz w:val="24"/>
          <w:szCs w:val="24"/>
        </w:rPr>
        <w:t>the perceived preference shown towards tenants within the private rented sector</w:t>
      </w:r>
      <w:r w:rsidR="008950AD" w:rsidRPr="005472E5">
        <w:rPr>
          <w:rFonts w:ascii="Times New Roman" w:hAnsi="Times New Roman" w:cs="Times New Roman"/>
          <w:sz w:val="24"/>
          <w:szCs w:val="24"/>
        </w:rPr>
        <w:t>, leading to,</w:t>
      </w:r>
    </w:p>
    <w:p w14:paraId="769D2DE7" w14:textId="72C001D0" w:rsidR="00A862B2" w:rsidRPr="005472E5" w:rsidRDefault="00A862B2" w:rsidP="00A862B2">
      <w:pPr>
        <w:spacing w:before="120" w:after="120" w:line="276" w:lineRule="auto"/>
        <w:ind w:left="720"/>
        <w:rPr>
          <w:rFonts w:ascii="Times New Roman" w:hAnsi="Times New Roman" w:cs="Times New Roman"/>
          <w:i/>
          <w:iCs/>
          <w:sz w:val="24"/>
          <w:szCs w:val="24"/>
        </w:rPr>
      </w:pPr>
      <w:r w:rsidRPr="005472E5">
        <w:rPr>
          <w:rFonts w:ascii="Times New Roman" w:hAnsi="Times New Roman" w:cs="Times New Roman"/>
          <w:i/>
          <w:iCs/>
          <w:sz w:val="24"/>
          <w:szCs w:val="24"/>
        </w:rPr>
        <w:t>“</w:t>
      </w:r>
      <w:r w:rsidR="008950AD" w:rsidRPr="005472E5">
        <w:rPr>
          <w:rFonts w:ascii="Times New Roman" w:hAnsi="Times New Roman" w:cs="Times New Roman"/>
          <w:i/>
          <w:iCs/>
          <w:sz w:val="24"/>
          <w:szCs w:val="24"/>
        </w:rPr>
        <w:t>…</w:t>
      </w:r>
      <w:r w:rsidRPr="005472E5">
        <w:rPr>
          <w:rFonts w:ascii="Times New Roman" w:hAnsi="Times New Roman" w:cs="Times New Roman"/>
          <w:i/>
          <w:iCs/>
          <w:sz w:val="24"/>
          <w:szCs w:val="24"/>
        </w:rPr>
        <w:t>an escalation of rent arrears and claimants who are evermore resentful.” Duty Adviser #20.</w:t>
      </w:r>
    </w:p>
    <w:p w14:paraId="4A5593EB" w14:textId="56E0690E" w:rsidR="00325965" w:rsidRPr="005472E5" w:rsidRDefault="00325965" w:rsidP="00325965">
      <w:pPr>
        <w:rPr>
          <w:rFonts w:ascii="Times New Roman" w:hAnsi="Times New Roman" w:cs="Times New Roman"/>
          <w:b/>
          <w:bCs/>
          <w:sz w:val="28"/>
          <w:szCs w:val="28"/>
        </w:rPr>
      </w:pPr>
      <w:r w:rsidRPr="005472E5">
        <w:rPr>
          <w:rFonts w:ascii="Times New Roman" w:hAnsi="Times New Roman" w:cs="Times New Roman"/>
          <w:b/>
          <w:bCs/>
          <w:sz w:val="28"/>
          <w:szCs w:val="28"/>
        </w:rPr>
        <w:t>Conclusions</w:t>
      </w:r>
      <w:bookmarkEnd w:id="9"/>
    </w:p>
    <w:p w14:paraId="1ED4B012" w14:textId="49297CDB" w:rsidR="003263A5" w:rsidRPr="005472E5" w:rsidRDefault="009D5096" w:rsidP="005B6C90">
      <w:pPr>
        <w:rPr>
          <w:rFonts w:ascii="Times New Roman" w:hAnsi="Times New Roman" w:cs="Times New Roman"/>
          <w:sz w:val="24"/>
          <w:szCs w:val="24"/>
        </w:rPr>
      </w:pPr>
      <w:r w:rsidRPr="005472E5">
        <w:rPr>
          <w:rFonts w:ascii="Times New Roman" w:hAnsi="Times New Roman" w:cs="Times New Roman"/>
          <w:sz w:val="24"/>
          <w:szCs w:val="24"/>
        </w:rPr>
        <w:t>A</w:t>
      </w:r>
      <w:r w:rsidR="00325965" w:rsidRPr="005472E5">
        <w:rPr>
          <w:rFonts w:ascii="Times New Roman" w:hAnsi="Times New Roman" w:cs="Times New Roman"/>
          <w:sz w:val="24"/>
          <w:szCs w:val="24"/>
        </w:rPr>
        <w:t>n analysis of existing research</w:t>
      </w:r>
      <w:r w:rsidR="000029F0" w:rsidRPr="005472E5">
        <w:rPr>
          <w:rFonts w:ascii="Times New Roman" w:hAnsi="Times New Roman" w:cs="Times New Roman"/>
          <w:sz w:val="24"/>
          <w:szCs w:val="24"/>
        </w:rPr>
        <w:t>,</w:t>
      </w:r>
      <w:r w:rsidR="00325965" w:rsidRPr="005472E5">
        <w:rPr>
          <w:rFonts w:ascii="Times New Roman" w:hAnsi="Times New Roman" w:cs="Times New Roman"/>
          <w:sz w:val="24"/>
          <w:szCs w:val="24"/>
        </w:rPr>
        <w:t xml:space="preserve"> </w:t>
      </w:r>
      <w:r w:rsidRPr="005472E5">
        <w:rPr>
          <w:rFonts w:ascii="Times New Roman" w:hAnsi="Times New Roman" w:cs="Times New Roman"/>
          <w:sz w:val="24"/>
          <w:szCs w:val="24"/>
        </w:rPr>
        <w:t>combined with</w:t>
      </w:r>
      <w:r w:rsidR="00325965" w:rsidRPr="005472E5">
        <w:rPr>
          <w:rFonts w:ascii="Times New Roman" w:hAnsi="Times New Roman" w:cs="Times New Roman"/>
          <w:sz w:val="24"/>
          <w:szCs w:val="24"/>
        </w:rPr>
        <w:t xml:space="preserve"> the unique data collected for this project</w:t>
      </w:r>
      <w:r w:rsidR="000029F0" w:rsidRPr="005472E5">
        <w:rPr>
          <w:rFonts w:ascii="Times New Roman" w:hAnsi="Times New Roman" w:cs="Times New Roman"/>
          <w:sz w:val="24"/>
          <w:szCs w:val="24"/>
        </w:rPr>
        <w:t>,</w:t>
      </w:r>
      <w:r w:rsidRPr="005472E5">
        <w:rPr>
          <w:rFonts w:ascii="Times New Roman" w:hAnsi="Times New Roman" w:cs="Times New Roman"/>
          <w:sz w:val="24"/>
          <w:szCs w:val="24"/>
        </w:rPr>
        <w:t xml:space="preserve"> </w:t>
      </w:r>
      <w:r w:rsidR="000029F0" w:rsidRPr="005472E5">
        <w:rPr>
          <w:rFonts w:ascii="Times New Roman" w:hAnsi="Times New Roman" w:cs="Times New Roman"/>
          <w:sz w:val="24"/>
          <w:szCs w:val="24"/>
        </w:rPr>
        <w:t>suggests that the objectives underlying the OA</w:t>
      </w:r>
      <w:r w:rsidR="00B63C73" w:rsidRPr="005472E5">
        <w:rPr>
          <w:rFonts w:ascii="Times New Roman" w:hAnsi="Times New Roman" w:cs="Times New Roman"/>
          <w:sz w:val="24"/>
          <w:szCs w:val="24"/>
        </w:rPr>
        <w:t>, albeit commendable,</w:t>
      </w:r>
      <w:r w:rsidR="000029F0" w:rsidRPr="005472E5">
        <w:rPr>
          <w:rFonts w:ascii="Times New Roman" w:hAnsi="Times New Roman" w:cs="Times New Roman"/>
          <w:sz w:val="24"/>
          <w:szCs w:val="24"/>
        </w:rPr>
        <w:t xml:space="preserve"> were </w:t>
      </w:r>
      <w:r w:rsidR="00B63C73" w:rsidRPr="005472E5">
        <w:rPr>
          <w:rFonts w:ascii="Times New Roman" w:hAnsi="Times New Roman" w:cs="Times New Roman"/>
          <w:sz w:val="24"/>
          <w:szCs w:val="24"/>
        </w:rPr>
        <w:t xml:space="preserve">ultimately </w:t>
      </w:r>
      <w:r w:rsidR="000029F0" w:rsidRPr="005472E5">
        <w:rPr>
          <w:rFonts w:ascii="Times New Roman" w:hAnsi="Times New Roman" w:cs="Times New Roman"/>
          <w:sz w:val="24"/>
          <w:szCs w:val="24"/>
        </w:rPr>
        <w:t xml:space="preserve">not </w:t>
      </w:r>
      <w:r w:rsidR="007A0D38" w:rsidRPr="005472E5">
        <w:rPr>
          <w:rFonts w:ascii="Times New Roman" w:hAnsi="Times New Roman" w:cs="Times New Roman"/>
          <w:sz w:val="24"/>
          <w:szCs w:val="24"/>
        </w:rPr>
        <w:t>fulfilled</w:t>
      </w:r>
      <w:r w:rsidR="00B63C73" w:rsidRPr="005472E5">
        <w:rPr>
          <w:rFonts w:ascii="Times New Roman" w:hAnsi="Times New Roman" w:cs="Times New Roman"/>
          <w:sz w:val="24"/>
          <w:szCs w:val="24"/>
        </w:rPr>
        <w:t xml:space="preserve"> in practice</w:t>
      </w:r>
      <w:r w:rsidR="000029F0" w:rsidRPr="005472E5">
        <w:rPr>
          <w:rFonts w:ascii="Times New Roman" w:hAnsi="Times New Roman" w:cs="Times New Roman"/>
          <w:sz w:val="24"/>
          <w:szCs w:val="24"/>
        </w:rPr>
        <w:t xml:space="preserve">. </w:t>
      </w:r>
      <w:r w:rsidR="009F4A02" w:rsidRPr="005472E5">
        <w:rPr>
          <w:rFonts w:ascii="Times New Roman" w:hAnsi="Times New Roman" w:cs="Times New Roman"/>
          <w:sz w:val="24"/>
          <w:szCs w:val="24"/>
        </w:rPr>
        <w:t>While th</w:t>
      </w:r>
      <w:r w:rsidR="00B63C73" w:rsidRPr="005472E5">
        <w:rPr>
          <w:rFonts w:ascii="Times New Roman" w:hAnsi="Times New Roman" w:cs="Times New Roman"/>
          <w:sz w:val="24"/>
          <w:szCs w:val="24"/>
        </w:rPr>
        <w:t>e measures introduced,</w:t>
      </w:r>
      <w:r w:rsidR="009F4A02" w:rsidRPr="005472E5">
        <w:rPr>
          <w:rFonts w:ascii="Times New Roman" w:hAnsi="Times New Roman" w:cs="Times New Roman"/>
          <w:sz w:val="24"/>
          <w:szCs w:val="24"/>
        </w:rPr>
        <w:t xml:space="preserve"> at least on paper, appeared to offer an effective response to the multiple demands of an unforeseen global crisis, </w:t>
      </w:r>
      <w:r w:rsidR="002F60F6" w:rsidRPr="005472E5">
        <w:rPr>
          <w:rFonts w:ascii="Times New Roman" w:hAnsi="Times New Roman" w:cs="Times New Roman"/>
          <w:sz w:val="24"/>
          <w:szCs w:val="24"/>
        </w:rPr>
        <w:t>the</w:t>
      </w:r>
      <w:r w:rsidR="00B63C73" w:rsidRPr="005472E5">
        <w:rPr>
          <w:rFonts w:ascii="Times New Roman" w:hAnsi="Times New Roman" w:cs="Times New Roman"/>
          <w:sz w:val="24"/>
          <w:szCs w:val="24"/>
        </w:rPr>
        <w:t>ir success was</w:t>
      </w:r>
      <w:r w:rsidR="002F60F6" w:rsidRPr="005472E5">
        <w:rPr>
          <w:rFonts w:ascii="Times New Roman" w:hAnsi="Times New Roman" w:cs="Times New Roman"/>
          <w:sz w:val="24"/>
          <w:szCs w:val="24"/>
        </w:rPr>
        <w:t xml:space="preserve"> thwarted</w:t>
      </w:r>
      <w:r w:rsidR="00325965" w:rsidRPr="005472E5">
        <w:rPr>
          <w:rFonts w:ascii="Times New Roman" w:hAnsi="Times New Roman" w:cs="Times New Roman"/>
          <w:sz w:val="24"/>
          <w:szCs w:val="24"/>
        </w:rPr>
        <w:t xml:space="preserve"> by a pre-existing and fundamental flaw in the process</w:t>
      </w:r>
      <w:r w:rsidR="00B63C73" w:rsidRPr="005472E5">
        <w:rPr>
          <w:rFonts w:ascii="Times New Roman" w:hAnsi="Times New Roman" w:cs="Times New Roman"/>
          <w:sz w:val="24"/>
          <w:szCs w:val="24"/>
        </w:rPr>
        <w:t>, namely</w:t>
      </w:r>
      <w:r w:rsidR="00325965" w:rsidRPr="005472E5">
        <w:rPr>
          <w:rFonts w:ascii="Times New Roman" w:hAnsi="Times New Roman" w:cs="Times New Roman"/>
          <w:sz w:val="24"/>
          <w:szCs w:val="24"/>
        </w:rPr>
        <w:t>, that large numbers of occupiers, for whatever reason, do not engage in the process.</w:t>
      </w:r>
      <w:r w:rsidR="002F60F6" w:rsidRPr="005472E5">
        <w:rPr>
          <w:rFonts w:ascii="Times New Roman" w:hAnsi="Times New Roman" w:cs="Times New Roman"/>
          <w:sz w:val="24"/>
          <w:szCs w:val="24"/>
        </w:rPr>
        <w:t xml:space="preserve"> </w:t>
      </w:r>
      <w:r w:rsidR="005B6C90" w:rsidRPr="005472E5">
        <w:rPr>
          <w:rFonts w:ascii="Times New Roman" w:hAnsi="Times New Roman" w:cs="Times New Roman"/>
          <w:sz w:val="24"/>
          <w:szCs w:val="24"/>
        </w:rPr>
        <w:t xml:space="preserve">Key to the success of any proposals for reforming the housing possession process </w:t>
      </w:r>
      <w:r w:rsidR="00B63C73" w:rsidRPr="005472E5">
        <w:rPr>
          <w:rFonts w:ascii="Times New Roman" w:hAnsi="Times New Roman" w:cs="Times New Roman"/>
          <w:sz w:val="24"/>
          <w:szCs w:val="24"/>
        </w:rPr>
        <w:t xml:space="preserve">going forward </w:t>
      </w:r>
      <w:r w:rsidR="003263A5" w:rsidRPr="005472E5">
        <w:rPr>
          <w:rFonts w:ascii="Times New Roman" w:hAnsi="Times New Roman" w:cs="Times New Roman"/>
          <w:sz w:val="24"/>
          <w:szCs w:val="24"/>
        </w:rPr>
        <w:t xml:space="preserve">therefore </w:t>
      </w:r>
      <w:r w:rsidR="00BE4DF7">
        <w:rPr>
          <w:rFonts w:ascii="Times New Roman" w:hAnsi="Times New Roman" w:cs="Times New Roman"/>
          <w:sz w:val="24"/>
          <w:szCs w:val="24"/>
        </w:rPr>
        <w:t>must be</w:t>
      </w:r>
      <w:r w:rsidR="005B6C90" w:rsidRPr="005472E5">
        <w:rPr>
          <w:rFonts w:ascii="Times New Roman" w:hAnsi="Times New Roman" w:cs="Times New Roman"/>
          <w:sz w:val="24"/>
          <w:szCs w:val="24"/>
        </w:rPr>
        <w:t xml:space="preserve"> the development of an understanding of occupier engagement. </w:t>
      </w:r>
    </w:p>
    <w:p w14:paraId="7783B223" w14:textId="4737E0D9" w:rsidR="00C12F60" w:rsidRPr="005472E5" w:rsidRDefault="005B6C90" w:rsidP="00C12F60">
      <w:pPr>
        <w:rPr>
          <w:rFonts w:ascii="Times New Roman" w:hAnsi="Times New Roman" w:cs="Times New Roman"/>
          <w:sz w:val="24"/>
          <w:szCs w:val="24"/>
        </w:rPr>
      </w:pPr>
      <w:r w:rsidRPr="005472E5">
        <w:rPr>
          <w:rFonts w:ascii="Times New Roman" w:hAnsi="Times New Roman" w:cs="Times New Roman"/>
          <w:sz w:val="24"/>
          <w:szCs w:val="24"/>
        </w:rPr>
        <w:t>Decades of research ha</w:t>
      </w:r>
      <w:r w:rsidR="00CE0705" w:rsidRPr="005472E5">
        <w:rPr>
          <w:rFonts w:ascii="Times New Roman" w:hAnsi="Times New Roman" w:cs="Times New Roman"/>
          <w:sz w:val="24"/>
          <w:szCs w:val="24"/>
        </w:rPr>
        <w:t>ve</w:t>
      </w:r>
      <w:r w:rsidRPr="005472E5">
        <w:rPr>
          <w:rFonts w:ascii="Times New Roman" w:hAnsi="Times New Roman" w:cs="Times New Roman"/>
          <w:sz w:val="24"/>
          <w:szCs w:val="24"/>
        </w:rPr>
        <w:t xml:space="preserve"> hinted that the reasons why occupiers do not engage are due to a ‘head in the sand’ response, fear of attending court and the hope that the threat of eviction will simply disappear if it’s ignored.</w:t>
      </w:r>
      <w:r w:rsidRPr="005472E5">
        <w:rPr>
          <w:rStyle w:val="FootnoteReference"/>
          <w:rFonts w:ascii="Times New Roman" w:hAnsi="Times New Roman" w:cs="Times New Roman"/>
          <w:sz w:val="24"/>
          <w:szCs w:val="24"/>
        </w:rPr>
        <w:footnoteReference w:id="77"/>
      </w:r>
      <w:r w:rsidRPr="005472E5">
        <w:rPr>
          <w:rFonts w:ascii="Times New Roman" w:hAnsi="Times New Roman" w:cs="Times New Roman"/>
          <w:sz w:val="24"/>
          <w:szCs w:val="24"/>
        </w:rPr>
        <w:t xml:space="preserve"> More structural issues have also been mooted such as non-user-friendly court forms, lack of knowledge of the court process and advice deserts.</w:t>
      </w:r>
      <w:r w:rsidR="003263A5" w:rsidRPr="005472E5">
        <w:rPr>
          <w:rStyle w:val="FootnoteReference"/>
          <w:rFonts w:ascii="Times New Roman" w:hAnsi="Times New Roman" w:cs="Times New Roman"/>
          <w:sz w:val="24"/>
          <w:szCs w:val="24"/>
        </w:rPr>
        <w:footnoteReference w:id="78"/>
      </w:r>
      <w:r w:rsidRPr="005472E5">
        <w:rPr>
          <w:rFonts w:ascii="Times New Roman" w:hAnsi="Times New Roman" w:cs="Times New Roman"/>
          <w:sz w:val="24"/>
          <w:szCs w:val="24"/>
        </w:rPr>
        <w:t xml:space="preserve"> These reasons may well go some way in explaining why occupiers do not take advantage of opportunities to obtain advice and possibly retain their home, but we simply do not have sufficient, credible and generalisable data to offer an informed analysis. Only by understanding the obstacles to engagement can we begin to tackle them. It is crucial therefore that innovative research is conducted in an effort to learn more about occupier engagement. </w:t>
      </w:r>
      <w:r w:rsidR="0022462F" w:rsidRPr="005472E5">
        <w:rPr>
          <w:rFonts w:ascii="Times New Roman" w:hAnsi="Times New Roman" w:cs="Times New Roman"/>
          <w:sz w:val="24"/>
          <w:szCs w:val="24"/>
        </w:rPr>
        <w:t xml:space="preserve">Without it, </w:t>
      </w:r>
      <w:r w:rsidR="00E52416" w:rsidRPr="005472E5">
        <w:rPr>
          <w:rFonts w:ascii="Times New Roman" w:hAnsi="Times New Roman" w:cs="Times New Roman"/>
          <w:sz w:val="24"/>
          <w:szCs w:val="24"/>
        </w:rPr>
        <w:t>like the OA that came before them</w:t>
      </w:r>
      <w:r w:rsidR="007A0D38" w:rsidRPr="005472E5">
        <w:rPr>
          <w:rFonts w:ascii="Times New Roman" w:hAnsi="Times New Roman" w:cs="Times New Roman"/>
          <w:sz w:val="24"/>
          <w:szCs w:val="24"/>
        </w:rPr>
        <w:t>,</w:t>
      </w:r>
      <w:r w:rsidR="00E52416" w:rsidRPr="005472E5">
        <w:rPr>
          <w:rFonts w:ascii="Times New Roman" w:hAnsi="Times New Roman" w:cs="Times New Roman"/>
          <w:sz w:val="24"/>
          <w:szCs w:val="24"/>
        </w:rPr>
        <w:t xml:space="preserve"> </w:t>
      </w:r>
      <w:r w:rsidR="0022462F" w:rsidRPr="005472E5">
        <w:rPr>
          <w:rFonts w:ascii="Times New Roman" w:hAnsi="Times New Roman" w:cs="Times New Roman"/>
          <w:sz w:val="24"/>
          <w:szCs w:val="24"/>
        </w:rPr>
        <w:t>any reforms that attempt to address the inevitable adverse impacts of the pandemic will struggle to create a housing possession process that is</w:t>
      </w:r>
      <w:r w:rsidR="00C12F60" w:rsidRPr="005472E5">
        <w:rPr>
          <w:rFonts w:ascii="Times New Roman" w:hAnsi="Times New Roman" w:cs="Times New Roman"/>
          <w:sz w:val="24"/>
          <w:szCs w:val="24"/>
        </w:rPr>
        <w:t xml:space="preserve"> ‘</w:t>
      </w:r>
      <w:r w:rsidR="003A0EFB" w:rsidRPr="005472E5">
        <w:rPr>
          <w:rFonts w:ascii="Times New Roman" w:hAnsi="Times New Roman" w:cs="Times New Roman"/>
          <w:sz w:val="24"/>
          <w:szCs w:val="24"/>
        </w:rPr>
        <w:t>just, and proportionate and accessible to everyone</w:t>
      </w:r>
      <w:r w:rsidR="00C12F60" w:rsidRPr="005472E5">
        <w:rPr>
          <w:rFonts w:ascii="Times New Roman" w:hAnsi="Times New Roman" w:cs="Times New Roman"/>
          <w:sz w:val="24"/>
          <w:szCs w:val="24"/>
        </w:rPr>
        <w:t>.’</w:t>
      </w:r>
      <w:r w:rsidR="00C12F60" w:rsidRPr="005472E5">
        <w:rPr>
          <w:rFonts w:ascii="Times New Roman" w:hAnsi="Times New Roman" w:cs="Times New Roman"/>
          <w:sz w:val="24"/>
          <w:szCs w:val="24"/>
          <w:vertAlign w:val="superscript"/>
        </w:rPr>
        <w:footnoteReference w:id="79"/>
      </w:r>
    </w:p>
    <w:p w14:paraId="382DA653" w14:textId="77777777" w:rsidR="00325965" w:rsidRPr="005472E5" w:rsidRDefault="00325965" w:rsidP="00520A4C">
      <w:pPr>
        <w:rPr>
          <w:rFonts w:ascii="Times New Roman" w:hAnsi="Times New Roman" w:cs="Times New Roman"/>
          <w:sz w:val="24"/>
          <w:szCs w:val="24"/>
        </w:rPr>
      </w:pPr>
    </w:p>
    <w:sectPr w:rsidR="00325965" w:rsidRPr="005472E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671F" w14:textId="77777777" w:rsidR="0068708A" w:rsidRDefault="0068708A" w:rsidP="00137246">
      <w:pPr>
        <w:spacing w:after="0" w:line="240" w:lineRule="auto"/>
      </w:pPr>
      <w:r>
        <w:separator/>
      </w:r>
    </w:p>
  </w:endnote>
  <w:endnote w:type="continuationSeparator" w:id="0">
    <w:p w14:paraId="49400E11" w14:textId="77777777" w:rsidR="0068708A" w:rsidRDefault="0068708A" w:rsidP="0013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584153"/>
      <w:docPartObj>
        <w:docPartGallery w:val="Page Numbers (Bottom of Page)"/>
        <w:docPartUnique/>
      </w:docPartObj>
    </w:sdtPr>
    <w:sdtEndPr>
      <w:rPr>
        <w:noProof/>
        <w:sz w:val="20"/>
        <w:szCs w:val="20"/>
      </w:rPr>
    </w:sdtEndPr>
    <w:sdtContent>
      <w:p w14:paraId="31F48CBE" w14:textId="77777777" w:rsidR="00B630FA" w:rsidRPr="00CF48F9" w:rsidRDefault="00B630FA">
        <w:pPr>
          <w:pStyle w:val="Footer"/>
          <w:jc w:val="center"/>
          <w:rPr>
            <w:sz w:val="20"/>
            <w:szCs w:val="20"/>
          </w:rPr>
        </w:pPr>
        <w:r w:rsidRPr="00CF48F9">
          <w:rPr>
            <w:sz w:val="20"/>
            <w:szCs w:val="20"/>
          </w:rPr>
          <w:fldChar w:fldCharType="begin"/>
        </w:r>
        <w:r w:rsidRPr="00CF48F9">
          <w:rPr>
            <w:sz w:val="20"/>
            <w:szCs w:val="20"/>
          </w:rPr>
          <w:instrText xml:space="preserve"> PAGE   \* MERGEFORMAT </w:instrText>
        </w:r>
        <w:r w:rsidRPr="00CF48F9">
          <w:rPr>
            <w:sz w:val="20"/>
            <w:szCs w:val="20"/>
          </w:rPr>
          <w:fldChar w:fldCharType="separate"/>
        </w:r>
        <w:r w:rsidR="00E76236">
          <w:rPr>
            <w:noProof/>
            <w:sz w:val="20"/>
            <w:szCs w:val="20"/>
          </w:rPr>
          <w:t>12</w:t>
        </w:r>
        <w:r w:rsidRPr="00CF48F9">
          <w:rPr>
            <w:noProof/>
            <w:sz w:val="20"/>
            <w:szCs w:val="20"/>
          </w:rPr>
          <w:fldChar w:fldCharType="end"/>
        </w:r>
      </w:p>
    </w:sdtContent>
  </w:sdt>
  <w:p w14:paraId="0DC8249A" w14:textId="77777777" w:rsidR="00B630FA" w:rsidRDefault="00B63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DC47" w14:textId="77777777" w:rsidR="0068708A" w:rsidRDefault="0068708A" w:rsidP="00137246">
      <w:pPr>
        <w:spacing w:after="0" w:line="240" w:lineRule="auto"/>
      </w:pPr>
      <w:r>
        <w:separator/>
      </w:r>
    </w:p>
  </w:footnote>
  <w:footnote w:type="continuationSeparator" w:id="0">
    <w:p w14:paraId="7A7BDF25" w14:textId="77777777" w:rsidR="0068708A" w:rsidRDefault="0068708A" w:rsidP="00137246">
      <w:pPr>
        <w:spacing w:after="0" w:line="240" w:lineRule="auto"/>
      </w:pPr>
      <w:r>
        <w:continuationSeparator/>
      </w:r>
    </w:p>
  </w:footnote>
  <w:footnote w:id="1">
    <w:p w14:paraId="2FB9B59A" w14:textId="67648D26" w:rsidR="0035340F" w:rsidRPr="005472E5" w:rsidRDefault="0035340F">
      <w:pPr>
        <w:pStyle w:val="FootnoteText"/>
        <w:rPr>
          <w:rFonts w:ascii="Times New Roman" w:hAnsi="Times New Roman" w:cs="Times New Roman"/>
          <w:b/>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Whitehouse, L., ‘Housing Possession in the Time of Pandemic’, (2021) 85:2 </w:t>
      </w:r>
      <w:r w:rsidRPr="005472E5">
        <w:rPr>
          <w:rFonts w:ascii="Times New Roman" w:hAnsi="Times New Roman" w:cs="Times New Roman"/>
          <w:i/>
          <w:iCs/>
        </w:rPr>
        <w:t>Conv</w:t>
      </w:r>
      <w:r w:rsidRPr="005472E5">
        <w:rPr>
          <w:rFonts w:ascii="Times New Roman" w:hAnsi="Times New Roman" w:cs="Times New Roman"/>
        </w:rPr>
        <w:t xml:space="preserve"> 197-212.</w:t>
      </w:r>
    </w:p>
  </w:footnote>
  <w:footnote w:id="2">
    <w:p w14:paraId="28934515" w14:textId="77A4E149" w:rsidR="0035340F" w:rsidRPr="005472E5" w:rsidRDefault="0035340F" w:rsidP="0035340F">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4474DC" w:rsidRPr="005472E5">
        <w:rPr>
          <w:rFonts w:ascii="Times New Roman" w:hAnsi="Times New Roman" w:cs="Times New Roman"/>
        </w:rPr>
        <w:t xml:space="preserve">The Master of the Rolls Working Group on Possession Proceedings, ‘Overall Arrangements for Possession Proceedings in England and Wales’, 17 September 2020: Version 1.0, available at </w:t>
      </w:r>
      <w:hyperlink r:id="rId1" w:history="1">
        <w:r w:rsidR="004474DC" w:rsidRPr="005472E5">
          <w:rPr>
            <w:rStyle w:val="Hyperlink"/>
            <w:rFonts w:ascii="Times New Roman" w:hAnsi="Times New Roman" w:cs="Times New Roman"/>
          </w:rPr>
          <w:t>https://drive.google.com/file/d/1_y5yCXBCMid1klKyrSh7sIznJFsSwbtl/view?usp=sharing</w:t>
        </w:r>
      </w:hyperlink>
    </w:p>
  </w:footnote>
  <w:footnote w:id="3">
    <w:p w14:paraId="087837DD" w14:textId="460A525F" w:rsidR="00957113" w:rsidRPr="005472E5" w:rsidRDefault="0095711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4474DC" w:rsidRPr="005472E5">
        <w:rPr>
          <w:rFonts w:ascii="Times New Roman" w:hAnsi="Times New Roman" w:cs="Times New Roman"/>
        </w:rPr>
        <w:t xml:space="preserve">Whitehouse, L., ‘Housing Possession in the Time of Pandemic’, (2021) 85:2 </w:t>
      </w:r>
      <w:r w:rsidR="004474DC" w:rsidRPr="005472E5">
        <w:rPr>
          <w:rFonts w:ascii="Times New Roman" w:hAnsi="Times New Roman" w:cs="Times New Roman"/>
          <w:i/>
          <w:iCs/>
        </w:rPr>
        <w:t>Conv</w:t>
      </w:r>
      <w:r w:rsidR="004474DC" w:rsidRPr="005472E5">
        <w:rPr>
          <w:rFonts w:ascii="Times New Roman" w:hAnsi="Times New Roman" w:cs="Times New Roman"/>
        </w:rPr>
        <w:t xml:space="preserve"> 197-212, at p. 212.</w:t>
      </w:r>
    </w:p>
  </w:footnote>
  <w:footnote w:id="4">
    <w:p w14:paraId="74307416" w14:textId="68531D5F" w:rsidR="00821D65" w:rsidRPr="005472E5" w:rsidRDefault="00821D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4474DC" w:rsidRPr="005472E5">
        <w:rPr>
          <w:rFonts w:ascii="Times New Roman" w:hAnsi="Times New Roman" w:cs="Times New Roman"/>
        </w:rPr>
        <w:t>The project ran from 26 April 2021 to 13 December 2021 (an extension to the original six-month deadline having been granted due to unforeseen circumstances that caused delays in the early stages).</w:t>
      </w:r>
      <w:r w:rsidR="00CF5BAB" w:rsidRPr="005472E5">
        <w:rPr>
          <w:rFonts w:ascii="Times New Roman" w:hAnsi="Times New Roman" w:cs="Times New Roman"/>
        </w:rPr>
        <w:t xml:space="preserve"> The findings and recommendations of the project can be found at Whitehouse, L., ‘Assessing the Court System’s Response to the COVID-19 Pandemic in Housing Possession Cases in England and Wales’, (2022), available at </w:t>
      </w:r>
      <w:hyperlink r:id="rId2" w:history="1">
        <w:r w:rsidR="00CF5BAB" w:rsidRPr="005472E5">
          <w:rPr>
            <w:rStyle w:val="Hyperlink"/>
            <w:rFonts w:ascii="Times New Roman" w:hAnsi="Times New Roman" w:cs="Times New Roman"/>
          </w:rPr>
          <w:t>https://tinyurl.com/yckswm99</w:t>
        </w:r>
      </w:hyperlink>
    </w:p>
  </w:footnote>
  <w:footnote w:id="5">
    <w:p w14:paraId="058F6F07" w14:textId="77777777" w:rsidR="00C44F8E" w:rsidRPr="005472E5" w:rsidRDefault="00C44F8E" w:rsidP="00C44F8E">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See for example, McIntyre, A., </w:t>
      </w:r>
      <w:r w:rsidRPr="005472E5">
        <w:rPr>
          <w:rFonts w:ascii="Times New Roman" w:hAnsi="Times New Roman" w:cs="Times New Roman"/>
          <w:i/>
          <w:iCs/>
        </w:rPr>
        <w:t>Participatory Action Research</w:t>
      </w:r>
      <w:r w:rsidRPr="005472E5">
        <w:rPr>
          <w:rFonts w:ascii="Times New Roman" w:hAnsi="Times New Roman" w:cs="Times New Roman"/>
        </w:rPr>
        <w:t xml:space="preserve"> (Sage Publications: London, 2008).</w:t>
      </w:r>
    </w:p>
  </w:footnote>
  <w:footnote w:id="6">
    <w:p w14:paraId="00A3F855" w14:textId="52E44B93" w:rsidR="009D5775" w:rsidRPr="005472E5" w:rsidRDefault="009D5775" w:rsidP="009D577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See </w:t>
      </w:r>
      <w:r w:rsidR="00DE347F" w:rsidRPr="005472E5">
        <w:rPr>
          <w:rFonts w:ascii="Times New Roman" w:hAnsi="Times New Roman" w:cs="Times New Roman"/>
        </w:rPr>
        <w:t xml:space="preserve">Byrom, N., Beardon, S. and Kendrick, A., </w:t>
      </w:r>
      <w:r w:rsidR="00DE347F" w:rsidRPr="005472E5">
        <w:rPr>
          <w:rFonts w:ascii="Times New Roman" w:hAnsi="Times New Roman" w:cs="Times New Roman"/>
          <w:i/>
          <w:iCs/>
        </w:rPr>
        <w:t>The impact of COVID-19 measures on the civil justice system</w:t>
      </w:r>
      <w:r w:rsidR="00DE347F" w:rsidRPr="005472E5">
        <w:rPr>
          <w:rFonts w:ascii="Times New Roman" w:hAnsi="Times New Roman" w:cs="Times New Roman"/>
        </w:rPr>
        <w:t xml:space="preserve"> (Civil Justice Council and Legal Education Foundation, May 2020), available at </w:t>
      </w:r>
      <w:hyperlink r:id="rId3" w:history="1">
        <w:r w:rsidR="00DE347F" w:rsidRPr="005472E5">
          <w:rPr>
            <w:rStyle w:val="Hyperlink"/>
            <w:rFonts w:ascii="Times New Roman" w:hAnsi="Times New Roman" w:cs="Times New Roman"/>
          </w:rPr>
          <w:t>https://www.judiciary.uk/wp-content/uploads/2020/06/FINAL-REPORT-CJC-4-June-2020.v2-accessible.pdf</w:t>
        </w:r>
      </w:hyperlink>
    </w:p>
  </w:footnote>
  <w:footnote w:id="7">
    <w:p w14:paraId="2D7A94CB" w14:textId="26F6E91C" w:rsidR="009D5775" w:rsidRPr="005472E5" w:rsidRDefault="009D5775" w:rsidP="009D577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DE347F" w:rsidRPr="005472E5">
        <w:rPr>
          <w:rFonts w:ascii="Times New Roman" w:hAnsi="Times New Roman" w:cs="Times New Roman"/>
        </w:rPr>
        <w:t xml:space="preserve">McClenaghan, M., ‘Evicted in Less Than 10 Minutes: Courts Fail Tenants Broken By Pandemic’, The Bureau of Investigative Journalism, 23 September 2021, available at </w:t>
      </w:r>
      <w:hyperlink r:id="rId4" w:history="1">
        <w:r w:rsidR="00DE347F" w:rsidRPr="005472E5">
          <w:rPr>
            <w:rStyle w:val="Hyperlink"/>
            <w:rFonts w:ascii="Times New Roman" w:hAnsi="Times New Roman" w:cs="Times New Roman"/>
          </w:rPr>
          <w:t>https://www.thebureauinvestigates.com/stories/2021-09-23/evicted-in-less-than-10-minutes-courts-fail-tenants-broken-by-pandemic</w:t>
        </w:r>
      </w:hyperlink>
      <w:r w:rsidR="00DE347F" w:rsidRPr="005472E5">
        <w:rPr>
          <w:rFonts w:ascii="Times New Roman" w:hAnsi="Times New Roman" w:cs="Times New Roman"/>
        </w:rPr>
        <w:t xml:space="preserve"> </w:t>
      </w:r>
      <w:r w:rsidRPr="005472E5">
        <w:rPr>
          <w:rFonts w:ascii="Times New Roman" w:hAnsi="Times New Roman" w:cs="Times New Roman"/>
        </w:rPr>
        <w:t>p. 2 and</w:t>
      </w:r>
      <w:r w:rsidR="00DE347F" w:rsidRPr="005472E5">
        <w:rPr>
          <w:rFonts w:ascii="Times New Roman" w:hAnsi="Times New Roman" w:cs="Times New Roman"/>
        </w:rPr>
        <w:t xml:space="preserve"> McClenaghan, M. and Boutaud, C., ‘Big Banks Resume Push for Repossessions in Wake of Pandemic’, The Bureau of Investigative Journalism, 3 November 2021, p. 3, available at </w:t>
      </w:r>
      <w:hyperlink r:id="rId5" w:history="1">
        <w:r w:rsidR="00DE347F" w:rsidRPr="005472E5">
          <w:rPr>
            <w:rStyle w:val="Hyperlink"/>
            <w:rFonts w:ascii="Times New Roman" w:hAnsi="Times New Roman" w:cs="Times New Roman"/>
          </w:rPr>
          <w:t>https://www.thebureauinvestigates.com/stories/2021-11-03/banks-repossessions-pandemic-mortgages</w:t>
        </w:r>
      </w:hyperlink>
      <w:r w:rsidRPr="005472E5">
        <w:rPr>
          <w:rFonts w:ascii="Times New Roman" w:hAnsi="Times New Roman" w:cs="Times New Roman"/>
        </w:rPr>
        <w:t>, p. 3.</w:t>
      </w:r>
    </w:p>
  </w:footnote>
  <w:footnote w:id="8">
    <w:p w14:paraId="52AB0743" w14:textId="77777777" w:rsidR="009D5775" w:rsidRPr="005472E5" w:rsidRDefault="009D5775" w:rsidP="009D577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hyperlink r:id="rId6" w:history="1">
        <w:r w:rsidRPr="005472E5">
          <w:rPr>
            <w:rStyle w:val="Hyperlink"/>
            <w:rFonts w:ascii="Times New Roman" w:hAnsi="Times New Roman" w:cs="Times New Roman"/>
          </w:rPr>
          <w:t>https://ventyour.rent/split</w:t>
        </w:r>
      </w:hyperlink>
    </w:p>
  </w:footnote>
  <w:footnote w:id="9">
    <w:p w14:paraId="064280AE" w14:textId="77777777" w:rsidR="009D5775" w:rsidRPr="005472E5" w:rsidRDefault="009D5775" w:rsidP="009D577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hyperlink r:id="rId7" w:history="1">
        <w:r w:rsidRPr="005472E5">
          <w:rPr>
            <w:rStyle w:val="Hyperlink"/>
            <w:rFonts w:ascii="Times New Roman" w:hAnsi="Times New Roman" w:cs="Times New Roman"/>
          </w:rPr>
          <w:t>https://covidrealities.org/learnings/write-ups</w:t>
        </w:r>
      </w:hyperlink>
    </w:p>
  </w:footnote>
  <w:footnote w:id="10">
    <w:p w14:paraId="022E0CDF" w14:textId="3F96114A" w:rsidR="002C0D72" w:rsidRPr="005472E5" w:rsidRDefault="002C0D72" w:rsidP="002C0D72">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1301EE" w:rsidRPr="005472E5">
        <w:rPr>
          <w:rFonts w:ascii="Times New Roman" w:hAnsi="Times New Roman" w:cs="Times New Roman"/>
        </w:rPr>
        <w:t xml:space="preserve">The Master of the Rolls Working Group on Possession Proceedings, </w:t>
      </w:r>
      <w:r w:rsidR="006A436B" w:rsidRPr="005472E5">
        <w:rPr>
          <w:rFonts w:ascii="Times New Roman" w:hAnsi="Times New Roman" w:cs="Times New Roman"/>
        </w:rPr>
        <w:t>(n 2)</w:t>
      </w:r>
      <w:r w:rsidR="001301EE" w:rsidRPr="005472E5">
        <w:rPr>
          <w:rFonts w:ascii="Times New Roman" w:hAnsi="Times New Roman" w:cs="Times New Roman"/>
        </w:rPr>
        <w:t>, para. 4</w:t>
      </w:r>
      <w:r w:rsidR="006A436B" w:rsidRPr="005472E5">
        <w:rPr>
          <w:rFonts w:ascii="Times New Roman" w:hAnsi="Times New Roman" w:cs="Times New Roman"/>
        </w:rPr>
        <w:t>.</w:t>
      </w:r>
    </w:p>
  </w:footnote>
  <w:footnote w:id="11">
    <w:p w14:paraId="7BA886F8" w14:textId="77777777" w:rsidR="002C0D72" w:rsidRPr="005472E5" w:rsidRDefault="002C0D72" w:rsidP="002C0D72">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CPR, Part 1 —Overriding Objective, 1.1(1).</w:t>
      </w:r>
    </w:p>
  </w:footnote>
  <w:footnote w:id="12">
    <w:p w14:paraId="6FC0EDB5" w14:textId="1BB4B5A5"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6A436B" w:rsidRPr="005472E5">
        <w:rPr>
          <w:rFonts w:ascii="Times New Roman" w:hAnsi="Times New Roman" w:cs="Times New Roman"/>
        </w:rPr>
        <w:t xml:space="preserve">The Master of the Rolls Working Group on Possession Proceedings, (n 2), </w:t>
      </w:r>
      <w:r w:rsidR="001301EE" w:rsidRPr="005472E5">
        <w:rPr>
          <w:rFonts w:ascii="Times New Roman" w:hAnsi="Times New Roman" w:cs="Times New Roman"/>
        </w:rPr>
        <w:t>para. 50</w:t>
      </w:r>
      <w:r w:rsidR="006A436B" w:rsidRPr="005472E5">
        <w:rPr>
          <w:rFonts w:ascii="Times New Roman" w:hAnsi="Times New Roman" w:cs="Times New Roman"/>
        </w:rPr>
        <w:t>.</w:t>
      </w:r>
    </w:p>
  </w:footnote>
  <w:footnote w:id="13">
    <w:p w14:paraId="576C216D" w14:textId="77777777"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Ibid, para. 39.</w:t>
      </w:r>
    </w:p>
  </w:footnote>
  <w:footnote w:id="14">
    <w:p w14:paraId="654A2470" w14:textId="77777777"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S. Mullings, and S. James, </w:t>
      </w:r>
      <w:r w:rsidRPr="005472E5">
        <w:rPr>
          <w:rFonts w:ascii="Times New Roman" w:hAnsi="Times New Roman" w:cs="Times New Roman"/>
          <w:i/>
          <w:iCs/>
        </w:rPr>
        <w:t>Housing Possession Duty Desk: A Practical Guide</w:t>
      </w:r>
      <w:r w:rsidRPr="005472E5">
        <w:rPr>
          <w:rFonts w:ascii="Times New Roman" w:hAnsi="Times New Roman" w:cs="Times New Roman"/>
        </w:rPr>
        <w:t>, (Legal Action Group, London: 2021), para. 2.31.</w:t>
      </w:r>
    </w:p>
  </w:footnote>
  <w:footnote w:id="15">
    <w:p w14:paraId="20D10652" w14:textId="14524A6C" w:rsidR="00106D1F" w:rsidRPr="005472E5" w:rsidRDefault="00106D1F" w:rsidP="00106D1F">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6A436B" w:rsidRPr="005472E5">
        <w:rPr>
          <w:rFonts w:ascii="Times New Roman" w:hAnsi="Times New Roman" w:cs="Times New Roman"/>
        </w:rPr>
        <w:t xml:space="preserve">The Master of the Rolls Working Group on Possession Proceedings, (n 2), </w:t>
      </w:r>
      <w:r w:rsidRPr="005472E5">
        <w:rPr>
          <w:rFonts w:ascii="Times New Roman" w:hAnsi="Times New Roman" w:cs="Times New Roman"/>
        </w:rPr>
        <w:t>para. 49(d)</w:t>
      </w:r>
      <w:r w:rsidR="006A436B" w:rsidRPr="005472E5">
        <w:rPr>
          <w:rFonts w:ascii="Times New Roman" w:hAnsi="Times New Roman" w:cs="Times New Roman"/>
        </w:rPr>
        <w:t xml:space="preserve">. </w:t>
      </w:r>
    </w:p>
  </w:footnote>
  <w:footnote w:id="16">
    <w:p w14:paraId="7DBD880D" w14:textId="1E8E4420"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The Master of the Rolls Working Group on Possession Proceedings (n. </w:t>
      </w:r>
      <w:r w:rsidR="006A436B" w:rsidRPr="005472E5">
        <w:rPr>
          <w:rFonts w:ascii="Times New Roman" w:hAnsi="Times New Roman" w:cs="Times New Roman"/>
        </w:rPr>
        <w:t>2</w:t>
      </w:r>
      <w:r w:rsidRPr="005472E5">
        <w:rPr>
          <w:rFonts w:ascii="Times New Roman" w:hAnsi="Times New Roman" w:cs="Times New Roman"/>
        </w:rPr>
        <w:t>), para. 52.</w:t>
      </w:r>
    </w:p>
  </w:footnote>
  <w:footnote w:id="17">
    <w:p w14:paraId="6B196291" w14:textId="77777777"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Ibid, para. 51.</w:t>
      </w:r>
    </w:p>
  </w:footnote>
  <w:footnote w:id="18">
    <w:p w14:paraId="47E73AA7" w14:textId="77777777"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Ibid, para. 39.</w:t>
      </w:r>
    </w:p>
  </w:footnote>
  <w:footnote w:id="19">
    <w:p w14:paraId="7F5CFE71" w14:textId="10133B32"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Ibid, para. 34. For more on block-listing see Mullings and James (n. 1</w:t>
      </w:r>
      <w:r w:rsidR="006A436B" w:rsidRPr="005472E5">
        <w:rPr>
          <w:rFonts w:ascii="Times New Roman" w:hAnsi="Times New Roman" w:cs="Times New Roman"/>
        </w:rPr>
        <w:t>4</w:t>
      </w:r>
      <w:r w:rsidRPr="005472E5">
        <w:rPr>
          <w:rFonts w:ascii="Times New Roman" w:hAnsi="Times New Roman" w:cs="Times New Roman"/>
        </w:rPr>
        <w:t>), para. 2.1</w:t>
      </w:r>
      <w:r w:rsidR="006A436B" w:rsidRPr="005472E5">
        <w:rPr>
          <w:rFonts w:ascii="Times New Roman" w:hAnsi="Times New Roman" w:cs="Times New Roman"/>
        </w:rPr>
        <w:t>;</w:t>
      </w:r>
      <w:r w:rsidRPr="005472E5">
        <w:rPr>
          <w:rFonts w:ascii="Times New Roman" w:hAnsi="Times New Roman" w:cs="Times New Roman"/>
        </w:rPr>
        <w:t xml:space="preserve"> </w:t>
      </w:r>
      <w:r w:rsidR="006A436B" w:rsidRPr="005472E5">
        <w:rPr>
          <w:rFonts w:ascii="Times New Roman" w:hAnsi="Times New Roman" w:cs="Times New Roman"/>
        </w:rPr>
        <w:t xml:space="preserve">Renton, D., </w:t>
      </w:r>
      <w:r w:rsidR="006A436B" w:rsidRPr="005472E5">
        <w:rPr>
          <w:rFonts w:ascii="Times New Roman" w:hAnsi="Times New Roman" w:cs="Times New Roman"/>
          <w:i/>
          <w:iCs/>
        </w:rPr>
        <w:t>Jobs and Homes: Stories of the Law in Lockdown</w:t>
      </w:r>
      <w:r w:rsidR="006A436B" w:rsidRPr="005472E5">
        <w:rPr>
          <w:rFonts w:ascii="Times New Roman" w:hAnsi="Times New Roman" w:cs="Times New Roman"/>
        </w:rPr>
        <w:t xml:space="preserve"> (Legal Action Group: London, 2021), </w:t>
      </w:r>
      <w:r w:rsidRPr="005472E5">
        <w:rPr>
          <w:rFonts w:ascii="Times New Roman" w:hAnsi="Times New Roman" w:cs="Times New Roman"/>
        </w:rPr>
        <w:t>p. 12</w:t>
      </w:r>
      <w:r w:rsidR="006A436B" w:rsidRPr="005472E5">
        <w:rPr>
          <w:rFonts w:ascii="Times New Roman" w:hAnsi="Times New Roman" w:cs="Times New Roman"/>
        </w:rPr>
        <w:t>;</w:t>
      </w:r>
      <w:r w:rsidRPr="005472E5">
        <w:rPr>
          <w:rFonts w:ascii="Times New Roman" w:hAnsi="Times New Roman" w:cs="Times New Roman"/>
        </w:rPr>
        <w:t xml:space="preserve"> </w:t>
      </w:r>
      <w:r w:rsidRPr="005472E5">
        <w:rPr>
          <w:rFonts w:ascii="Times New Roman" w:hAnsi="Times New Roman" w:cs="Times New Roman"/>
          <w:bCs/>
          <w:iCs/>
        </w:rPr>
        <w:t xml:space="preserve">Bright, S. and Whitehouse, L., </w:t>
      </w:r>
      <w:r w:rsidRPr="005472E5">
        <w:rPr>
          <w:rFonts w:ascii="Times New Roman" w:hAnsi="Times New Roman" w:cs="Times New Roman"/>
          <w:bCs/>
          <w:i/>
          <w:iCs/>
          <w:lang w:val="en-US"/>
        </w:rPr>
        <w:t>Information, Advice and Representation in Housing Possession Cases,</w:t>
      </w:r>
      <w:r w:rsidRPr="005472E5">
        <w:rPr>
          <w:rFonts w:ascii="Times New Roman" w:hAnsi="Times New Roman" w:cs="Times New Roman"/>
          <w:bCs/>
          <w:i/>
          <w:iCs/>
        </w:rPr>
        <w:t xml:space="preserve"> </w:t>
      </w:r>
      <w:r w:rsidRPr="005472E5">
        <w:rPr>
          <w:rFonts w:ascii="Times New Roman" w:hAnsi="Times New Roman" w:cs="Times New Roman"/>
          <w:bCs/>
          <w:iCs/>
        </w:rPr>
        <w:t xml:space="preserve">(April 2014), available at </w:t>
      </w:r>
      <w:hyperlink r:id="rId8" w:history="1">
        <w:r w:rsidRPr="005472E5">
          <w:rPr>
            <w:rStyle w:val="Hyperlink"/>
            <w:rFonts w:ascii="Times New Roman" w:hAnsi="Times New Roman" w:cs="Times New Roman"/>
            <w:bCs/>
            <w:iCs/>
            <w:lang w:val="en-AU"/>
          </w:rPr>
          <w:t>https://www.law.ox.ac.uk/sites/files/oxlaw/housing_possession_report_april2014.pdf</w:t>
        </w:r>
      </w:hyperlink>
      <w:r w:rsidRPr="005472E5">
        <w:rPr>
          <w:rFonts w:ascii="Times New Roman" w:hAnsi="Times New Roman" w:cs="Times New Roman"/>
          <w:bCs/>
        </w:rPr>
        <w:t xml:space="preserve">, </w:t>
      </w:r>
      <w:r w:rsidRPr="005472E5">
        <w:rPr>
          <w:rFonts w:ascii="Times New Roman" w:hAnsi="Times New Roman" w:cs="Times New Roman"/>
          <w:bCs/>
          <w:iCs/>
        </w:rPr>
        <w:t>pp. 41-43</w:t>
      </w:r>
      <w:r w:rsidR="006A436B" w:rsidRPr="005472E5">
        <w:rPr>
          <w:rFonts w:ascii="Times New Roman" w:hAnsi="Times New Roman" w:cs="Times New Roman"/>
          <w:bCs/>
          <w:iCs/>
        </w:rPr>
        <w:t>;</w:t>
      </w:r>
      <w:r w:rsidRPr="005472E5">
        <w:rPr>
          <w:rFonts w:ascii="Times New Roman" w:hAnsi="Times New Roman" w:cs="Times New Roman"/>
          <w:bCs/>
          <w:iCs/>
        </w:rPr>
        <w:t xml:space="preserve"> </w:t>
      </w:r>
      <w:r w:rsidR="006A436B" w:rsidRPr="005472E5">
        <w:rPr>
          <w:rFonts w:ascii="Times New Roman" w:hAnsi="Times New Roman" w:cs="Times New Roman"/>
          <w:bCs/>
          <w:iCs/>
        </w:rPr>
        <w:t xml:space="preserve">and </w:t>
      </w:r>
      <w:r w:rsidRPr="005472E5">
        <w:rPr>
          <w:rFonts w:ascii="Times New Roman" w:hAnsi="Times New Roman" w:cs="Times New Roman"/>
        </w:rPr>
        <w:t>C. Hunter, S. Blandy, D. Cowan, J Nixon, E. Hitchings, C. Pantazis and S. Parr, ‘The Exercise of Judicial Discretion in Rent Arrears Cases’ (London: Department for Constitutional Affairs, Research Series 6/05, October 2005), p.29.</w:t>
      </w:r>
    </w:p>
  </w:footnote>
  <w:footnote w:id="20">
    <w:p w14:paraId="2D9A236C" w14:textId="1E87B221"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The Master of the Rolls Working Group on Possession Proceedings (n. </w:t>
      </w:r>
      <w:r w:rsidR="008D44BD" w:rsidRPr="005472E5">
        <w:rPr>
          <w:rFonts w:ascii="Times New Roman" w:hAnsi="Times New Roman" w:cs="Times New Roman"/>
        </w:rPr>
        <w:t>2</w:t>
      </w:r>
      <w:r w:rsidRPr="005472E5">
        <w:rPr>
          <w:rFonts w:ascii="Times New Roman" w:hAnsi="Times New Roman" w:cs="Times New Roman"/>
        </w:rPr>
        <w:t>), para. 56.</w:t>
      </w:r>
    </w:p>
  </w:footnote>
  <w:footnote w:id="21">
    <w:p w14:paraId="0D4DAF25" w14:textId="77777777"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Ibid, para. 49.</w:t>
      </w:r>
    </w:p>
  </w:footnote>
  <w:footnote w:id="22">
    <w:p w14:paraId="7844C7CC" w14:textId="77777777"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Ibid, para. 25. See Civil Procedure Rules 1998 (CPR) Practice Direction (PD) 55C, 6.1(ii) and 6.2.</w:t>
      </w:r>
    </w:p>
  </w:footnote>
  <w:footnote w:id="23">
    <w:p w14:paraId="01B1E782" w14:textId="05F16346"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Mullings and James (n. 1</w:t>
      </w:r>
      <w:r w:rsidR="008D44BD" w:rsidRPr="005472E5">
        <w:rPr>
          <w:rFonts w:ascii="Times New Roman" w:hAnsi="Times New Roman" w:cs="Times New Roman"/>
        </w:rPr>
        <w:t>4</w:t>
      </w:r>
      <w:r w:rsidRPr="005472E5">
        <w:rPr>
          <w:rFonts w:ascii="Times New Roman" w:hAnsi="Times New Roman" w:cs="Times New Roman"/>
        </w:rPr>
        <w:t>), para. 2.18.</w:t>
      </w:r>
    </w:p>
  </w:footnote>
  <w:footnote w:id="24">
    <w:p w14:paraId="210B0639" w14:textId="03DE2256" w:rsidR="00FB43A7" w:rsidRPr="005472E5" w:rsidRDefault="00FB43A7" w:rsidP="00FB43A7">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8D44BD" w:rsidRPr="005472E5">
        <w:rPr>
          <w:rFonts w:ascii="Times New Roman" w:hAnsi="Times New Roman" w:cs="Times New Roman"/>
        </w:rPr>
        <w:t xml:space="preserve">See ‘Statement from the Master of the Rolls: the end of the ‘overall arrangements for possession proceedings’ </w:t>
      </w:r>
      <w:hyperlink r:id="rId9" w:history="1">
        <w:r w:rsidR="008D44BD" w:rsidRPr="005472E5">
          <w:rPr>
            <w:rStyle w:val="Hyperlink"/>
            <w:rFonts w:ascii="Times New Roman" w:hAnsi="Times New Roman" w:cs="Times New Roman"/>
          </w:rPr>
          <w:t>https://www.judiciary.uk/announcements/statement-from-the-master-of-the-rolls-the-end-of-the-possession-proceedings-overall-arrangements/</w:t>
        </w:r>
      </w:hyperlink>
      <w:r w:rsidRPr="005472E5">
        <w:rPr>
          <w:rFonts w:ascii="Times New Roman" w:hAnsi="Times New Roman" w:cs="Times New Roman"/>
        </w:rPr>
        <w:t xml:space="preserve"> </w:t>
      </w:r>
      <w:r w:rsidR="008D44BD" w:rsidRPr="005472E5">
        <w:rPr>
          <w:rFonts w:ascii="Times New Roman" w:hAnsi="Times New Roman" w:cs="Times New Roman"/>
        </w:rPr>
        <w:t xml:space="preserve">and </w:t>
      </w:r>
      <w:r w:rsidRPr="005472E5">
        <w:rPr>
          <w:rFonts w:ascii="Times New Roman" w:hAnsi="Times New Roman" w:cs="Times New Roman"/>
        </w:rPr>
        <w:t xml:space="preserve">Peaker, G., ‘Possession proceedings – end of the “overall arrangements”’, </w:t>
      </w:r>
      <w:r w:rsidRPr="005472E5">
        <w:rPr>
          <w:rFonts w:ascii="Times New Roman" w:hAnsi="Times New Roman" w:cs="Times New Roman"/>
          <w:i/>
          <w:iCs/>
        </w:rPr>
        <w:t>Nearly Legal: Housing Law News and Comment</w:t>
      </w:r>
      <w:r w:rsidRPr="005472E5">
        <w:rPr>
          <w:rFonts w:ascii="Times New Roman" w:hAnsi="Times New Roman" w:cs="Times New Roman"/>
        </w:rPr>
        <w:t xml:space="preserve">, 4 November 2021, available at </w:t>
      </w:r>
      <w:hyperlink r:id="rId10" w:history="1">
        <w:r w:rsidRPr="005472E5">
          <w:rPr>
            <w:rStyle w:val="Hyperlink"/>
            <w:rFonts w:ascii="Times New Roman" w:hAnsi="Times New Roman" w:cs="Times New Roman"/>
          </w:rPr>
          <w:t>https://nearlylegal.co.uk/2021/11/possession-proceedings-an-unannounced-announcement/</w:t>
        </w:r>
      </w:hyperlink>
      <w:r w:rsidRPr="005472E5">
        <w:rPr>
          <w:rFonts w:ascii="Times New Roman" w:hAnsi="Times New Roman" w:cs="Times New Roman"/>
        </w:rPr>
        <w:t xml:space="preserve"> </w:t>
      </w:r>
    </w:p>
  </w:footnote>
  <w:footnote w:id="25">
    <w:p w14:paraId="3EFA81B1" w14:textId="77777777" w:rsidR="00FB43A7" w:rsidRPr="005472E5" w:rsidRDefault="00FB43A7" w:rsidP="00FB43A7">
      <w:pPr>
        <w:pStyle w:val="FootnoteText"/>
        <w:rPr>
          <w:rFonts w:ascii="Times New Roman" w:hAnsi="Times New Roman" w:cs="Times New Roman"/>
          <w:b/>
          <w:bCs/>
        </w:rPr>
      </w:pPr>
      <w:r w:rsidRPr="005472E5">
        <w:rPr>
          <w:rStyle w:val="FootnoteReference"/>
          <w:rFonts w:ascii="Times New Roman" w:hAnsi="Times New Roman" w:cs="Times New Roman"/>
        </w:rPr>
        <w:footnoteRef/>
      </w:r>
      <w:r w:rsidRPr="005472E5">
        <w:rPr>
          <w:rFonts w:ascii="Times New Roman" w:hAnsi="Times New Roman" w:cs="Times New Roman"/>
        </w:rPr>
        <w:t xml:space="preserve"> For claims issued on or after 1 December 2021 and up to 30 June 2022, PD 55C paras 6.1 and 6.2 will continue to apply. See Peaker, G., ‘Possession News’, </w:t>
      </w:r>
      <w:r w:rsidRPr="005472E5">
        <w:rPr>
          <w:rFonts w:ascii="Times New Roman" w:hAnsi="Times New Roman" w:cs="Times New Roman"/>
          <w:i/>
          <w:iCs/>
        </w:rPr>
        <w:t>Nearly Legal: Housing Law News and Comment</w:t>
      </w:r>
      <w:r w:rsidRPr="005472E5">
        <w:rPr>
          <w:rFonts w:ascii="Times New Roman" w:hAnsi="Times New Roman" w:cs="Times New Roman"/>
        </w:rPr>
        <w:t xml:space="preserve">, 12 November 2021, available at </w:t>
      </w:r>
      <w:hyperlink r:id="rId11" w:history="1">
        <w:r w:rsidRPr="005472E5">
          <w:rPr>
            <w:rStyle w:val="Hyperlink"/>
            <w:rFonts w:ascii="Times New Roman" w:hAnsi="Times New Roman" w:cs="Times New Roman"/>
          </w:rPr>
          <w:t>https://nearlylegal.co.uk/2021/11/possession-news/</w:t>
        </w:r>
      </w:hyperlink>
      <w:r w:rsidRPr="005472E5">
        <w:rPr>
          <w:rFonts w:ascii="Times New Roman" w:hAnsi="Times New Roman" w:cs="Times New Roman"/>
          <w:b/>
          <w:bCs/>
        </w:rPr>
        <w:t xml:space="preserve"> </w:t>
      </w:r>
    </w:p>
  </w:footnote>
  <w:footnote w:id="26">
    <w:p w14:paraId="58046185" w14:textId="67FA9C1A" w:rsidR="00A659E9" w:rsidRPr="005472E5" w:rsidRDefault="00A659E9">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8D44BD" w:rsidRPr="005472E5">
        <w:rPr>
          <w:rFonts w:ascii="Times New Roman" w:hAnsi="Times New Roman" w:cs="Times New Roman"/>
        </w:rPr>
        <w:t>See, for example, Whitehouse, L., ‘</w:t>
      </w:r>
      <w:r w:rsidR="00812E24" w:rsidRPr="005472E5">
        <w:rPr>
          <w:rFonts w:ascii="Times New Roman" w:hAnsi="Times New Roman" w:cs="Times New Roman"/>
        </w:rPr>
        <w:t xml:space="preserve">Were ‘Review Dates’ an Effective Part of the Response to the COVID-19 Pandemic in Housing Possession Cases in England and Wales? Views from the Frontline: Part 1’, </w:t>
      </w:r>
      <w:r w:rsidR="00812E24" w:rsidRPr="005472E5">
        <w:rPr>
          <w:rFonts w:ascii="Times New Roman" w:hAnsi="Times New Roman" w:cs="Times New Roman"/>
          <w:i/>
          <w:iCs/>
        </w:rPr>
        <w:t>Housing Law Journal</w:t>
      </w:r>
      <w:r w:rsidR="00812E24" w:rsidRPr="005472E5">
        <w:rPr>
          <w:rFonts w:ascii="Times New Roman" w:hAnsi="Times New Roman" w:cs="Times New Roman"/>
        </w:rPr>
        <w:t>, forthcoming.</w:t>
      </w:r>
    </w:p>
  </w:footnote>
  <w:footnote w:id="27">
    <w:p w14:paraId="0331F9C1" w14:textId="7DF3C0C6" w:rsidR="00B867C3" w:rsidRPr="005472E5" w:rsidRDefault="00B867C3" w:rsidP="00B867C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1C1B2C" w:rsidRPr="005472E5">
        <w:rPr>
          <w:rFonts w:ascii="Times New Roman" w:hAnsi="Times New Roman" w:cs="Times New Roman"/>
        </w:rPr>
        <w:t xml:space="preserve">McClenaghan, M., ‘Open Justice? The Closed Doors of Possession Courts’, The Bureau of Investigative Journalism, available at </w:t>
      </w:r>
      <w:hyperlink r:id="rId12" w:history="1">
        <w:r w:rsidR="001C1B2C" w:rsidRPr="005472E5">
          <w:rPr>
            <w:rStyle w:val="Hyperlink"/>
            <w:rFonts w:ascii="Times New Roman" w:hAnsi="Times New Roman" w:cs="Times New Roman"/>
          </w:rPr>
          <w:t>https://www.thebureauinvestigates.com/stories/2021-11-09/evictions-open-justice-possession-courts</w:t>
        </w:r>
      </w:hyperlink>
    </w:p>
  </w:footnote>
  <w:footnote w:id="28">
    <w:p w14:paraId="10EEF8B5" w14:textId="7B8AF862" w:rsidR="002345AE" w:rsidRPr="005472E5" w:rsidRDefault="002345AE" w:rsidP="002345AE">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CF5BAB" w:rsidRPr="005472E5">
        <w:rPr>
          <w:rFonts w:ascii="Times New Roman" w:hAnsi="Times New Roman" w:cs="Times New Roman"/>
        </w:rPr>
        <w:t xml:space="preserve">Whitehouse, L., ‘Assessing the Court System’s Response to the COVID-19 Pandemic in Housing Possession Cases in England and Wales’, (2022), available at </w:t>
      </w:r>
      <w:hyperlink r:id="rId13" w:history="1">
        <w:r w:rsidR="00CF5BAB" w:rsidRPr="005472E5">
          <w:rPr>
            <w:rStyle w:val="Hyperlink"/>
            <w:rFonts w:ascii="Times New Roman" w:hAnsi="Times New Roman" w:cs="Times New Roman"/>
          </w:rPr>
          <w:t>https://tinyurl.com/yckswm99</w:t>
        </w:r>
      </w:hyperlink>
    </w:p>
  </w:footnote>
  <w:footnote w:id="29">
    <w:p w14:paraId="54781B48" w14:textId="472615B9" w:rsidR="00BB359C" w:rsidRPr="005472E5" w:rsidRDefault="00BB359C" w:rsidP="00BB359C">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9D3D59" w:rsidRPr="005472E5">
        <w:rPr>
          <w:rFonts w:ascii="Times New Roman" w:hAnsi="Times New Roman" w:cs="Times New Roman"/>
          <w:bCs/>
        </w:rPr>
        <w:t xml:space="preserve">Whitehouse, L., Bright, S. and Dhami, M.K., ‘Improving Procedural Fairness in Housing Possession Cases’, </w:t>
      </w:r>
      <w:r w:rsidR="009D3D59" w:rsidRPr="005472E5">
        <w:rPr>
          <w:rFonts w:ascii="Times New Roman" w:hAnsi="Times New Roman" w:cs="Times New Roman"/>
          <w:bCs/>
          <w:i/>
          <w:iCs/>
        </w:rPr>
        <w:t>Civil Justice Quarterly</w:t>
      </w:r>
      <w:r w:rsidR="009D3D59" w:rsidRPr="005472E5">
        <w:rPr>
          <w:rFonts w:ascii="Times New Roman" w:hAnsi="Times New Roman" w:cs="Times New Roman"/>
          <w:bCs/>
        </w:rPr>
        <w:t xml:space="preserve">, (2019) 38:3 </w:t>
      </w:r>
      <w:r w:rsidR="009D3D59" w:rsidRPr="005472E5">
        <w:rPr>
          <w:rFonts w:ascii="Times New Roman" w:hAnsi="Times New Roman" w:cs="Times New Roman"/>
          <w:bCs/>
          <w:i/>
          <w:iCs/>
        </w:rPr>
        <w:t>Civil Justice Quarterly</w:t>
      </w:r>
      <w:r w:rsidR="009D3D59" w:rsidRPr="005472E5">
        <w:rPr>
          <w:rFonts w:ascii="Times New Roman" w:hAnsi="Times New Roman" w:cs="Times New Roman"/>
          <w:bCs/>
        </w:rPr>
        <w:t xml:space="preserve"> 351-375, </w:t>
      </w:r>
      <w:r w:rsidRPr="005472E5">
        <w:rPr>
          <w:rFonts w:ascii="Times New Roman" w:hAnsi="Times New Roman" w:cs="Times New Roman"/>
          <w:bCs/>
        </w:rPr>
        <w:t>p. 362.</w:t>
      </w:r>
      <w:r w:rsidR="009D3D59" w:rsidRPr="005472E5">
        <w:rPr>
          <w:rFonts w:ascii="Times New Roman" w:hAnsi="Times New Roman" w:cs="Times New Roman"/>
          <w:bCs/>
        </w:rPr>
        <w:t xml:space="preserve"> </w:t>
      </w:r>
    </w:p>
  </w:footnote>
  <w:footnote w:id="30">
    <w:p w14:paraId="1EBB7612" w14:textId="26FC5FE4" w:rsidR="00BB359C" w:rsidRPr="005472E5" w:rsidRDefault="00BB359C" w:rsidP="00BB359C">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Hunter and others (n </w:t>
      </w:r>
      <w:r w:rsidR="009D3D59" w:rsidRPr="005472E5">
        <w:rPr>
          <w:rFonts w:ascii="Times New Roman" w:hAnsi="Times New Roman" w:cs="Times New Roman"/>
        </w:rPr>
        <w:t>1</w:t>
      </w:r>
      <w:r w:rsidRPr="005472E5">
        <w:rPr>
          <w:rFonts w:ascii="Times New Roman" w:hAnsi="Times New Roman" w:cs="Times New Roman"/>
        </w:rPr>
        <w:t xml:space="preserve">9), pp. 16–17 and 24–25 and Ministry of Justice, ‘Solving disputes in the county courts: creating a simpler, quicker and more proportionate system’, March 2011, CP6/2011, Cm 8045, para. 98, available at </w:t>
      </w:r>
      <w:hyperlink r:id="rId14" w:history="1">
        <w:r w:rsidRPr="005472E5">
          <w:rPr>
            <w:rStyle w:val="Hyperlink"/>
            <w:rFonts w:ascii="Times New Roman" w:hAnsi="Times New Roman" w:cs="Times New Roman"/>
          </w:rPr>
          <w:t>https://assets.publishing.service.gov.uk/government/uploads/system/uploads/attachment_data/file/228973/8274.pdf</w:t>
        </w:r>
      </w:hyperlink>
    </w:p>
  </w:footnote>
  <w:footnote w:id="31">
    <w:p w14:paraId="18AD4D02" w14:textId="424DF36A" w:rsidR="00BB359C" w:rsidRPr="005472E5" w:rsidRDefault="00BB359C" w:rsidP="00BB359C">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Pr="005472E5">
        <w:rPr>
          <w:rFonts w:ascii="Times New Roman" w:hAnsi="Times New Roman" w:cs="Times New Roman"/>
          <w:bCs/>
        </w:rPr>
        <w:t xml:space="preserve">Whitehouse, Bright and Dhami (n </w:t>
      </w:r>
      <w:r w:rsidR="009D3D59" w:rsidRPr="005472E5">
        <w:rPr>
          <w:rFonts w:ascii="Times New Roman" w:hAnsi="Times New Roman" w:cs="Times New Roman"/>
          <w:bCs/>
        </w:rPr>
        <w:t>29</w:t>
      </w:r>
      <w:r w:rsidRPr="005472E5">
        <w:rPr>
          <w:rFonts w:ascii="Times New Roman" w:hAnsi="Times New Roman" w:cs="Times New Roman"/>
          <w:bCs/>
        </w:rPr>
        <w:t>), p. 362.</w:t>
      </w:r>
    </w:p>
  </w:footnote>
  <w:footnote w:id="32">
    <w:p w14:paraId="4B700F9B" w14:textId="15F9BC0C" w:rsidR="00BB359C" w:rsidRPr="005472E5" w:rsidRDefault="00BB359C" w:rsidP="00BB359C">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McClenaghan and Boutaud (n </w:t>
      </w:r>
      <w:r w:rsidR="009D3D59" w:rsidRPr="005472E5">
        <w:rPr>
          <w:rFonts w:ascii="Times New Roman" w:hAnsi="Times New Roman" w:cs="Times New Roman"/>
        </w:rPr>
        <w:t>7</w:t>
      </w:r>
      <w:r w:rsidRPr="005472E5">
        <w:rPr>
          <w:rFonts w:ascii="Times New Roman" w:hAnsi="Times New Roman" w:cs="Times New Roman"/>
        </w:rPr>
        <w:t>), p. 4.</w:t>
      </w:r>
    </w:p>
  </w:footnote>
  <w:footnote w:id="33">
    <w:p w14:paraId="25138AE5" w14:textId="41FF43A0" w:rsidR="00BB359C" w:rsidRPr="005472E5" w:rsidRDefault="00BB359C" w:rsidP="00BB359C">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McClenaghan (n </w:t>
      </w:r>
      <w:r w:rsidR="008327C4" w:rsidRPr="005472E5">
        <w:rPr>
          <w:rFonts w:ascii="Times New Roman" w:hAnsi="Times New Roman" w:cs="Times New Roman"/>
        </w:rPr>
        <w:t>7</w:t>
      </w:r>
      <w:r w:rsidRPr="005472E5">
        <w:rPr>
          <w:rFonts w:ascii="Times New Roman" w:hAnsi="Times New Roman" w:cs="Times New Roman"/>
        </w:rPr>
        <w:t>), p. 3.</w:t>
      </w:r>
    </w:p>
  </w:footnote>
  <w:footnote w:id="34">
    <w:p w14:paraId="7A0B663D" w14:textId="14CD24EF" w:rsidR="00BB359C" w:rsidRPr="005472E5" w:rsidRDefault="00BB359C" w:rsidP="00BB359C">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Pr="005472E5">
        <w:rPr>
          <w:rFonts w:ascii="Times New Roman" w:hAnsi="Times New Roman" w:cs="Times New Roman"/>
          <w:bCs/>
        </w:rPr>
        <w:t xml:space="preserve">Whitehouse, Bright and Dhami (n </w:t>
      </w:r>
      <w:r w:rsidR="008327C4" w:rsidRPr="005472E5">
        <w:rPr>
          <w:rFonts w:ascii="Times New Roman" w:hAnsi="Times New Roman" w:cs="Times New Roman"/>
          <w:bCs/>
        </w:rPr>
        <w:t>29</w:t>
      </w:r>
      <w:r w:rsidRPr="005472E5">
        <w:rPr>
          <w:rFonts w:ascii="Times New Roman" w:hAnsi="Times New Roman" w:cs="Times New Roman"/>
          <w:bCs/>
        </w:rPr>
        <w:t xml:space="preserve">), p. 355. </w:t>
      </w:r>
      <w:r w:rsidRPr="005472E5">
        <w:rPr>
          <w:rFonts w:ascii="Times New Roman" w:hAnsi="Times New Roman" w:cs="Times New Roman"/>
        </w:rPr>
        <w:t xml:space="preserve">See also Tyler, T.R., ‘Procedural Justice and the Courts,’ (2007– 2008) 44(1) </w:t>
      </w:r>
      <w:r w:rsidRPr="005472E5">
        <w:rPr>
          <w:rFonts w:ascii="Times New Roman" w:hAnsi="Times New Roman" w:cs="Times New Roman"/>
          <w:i/>
          <w:iCs/>
        </w:rPr>
        <w:t>Court Review (Special Issue on Procedural Fairness)</w:t>
      </w:r>
      <w:r w:rsidRPr="005472E5">
        <w:rPr>
          <w:rFonts w:ascii="Times New Roman" w:hAnsi="Times New Roman" w:cs="Times New Roman"/>
        </w:rPr>
        <w:t xml:space="preserve"> 26, p. 27; Mashaw, J.L., ‘Administrative Due Process: The Quest for a Dignitary Theory,’ (1981) 61 </w:t>
      </w:r>
      <w:r w:rsidRPr="005472E5">
        <w:rPr>
          <w:rFonts w:ascii="Times New Roman" w:hAnsi="Times New Roman" w:cs="Times New Roman"/>
          <w:i/>
          <w:iCs/>
        </w:rPr>
        <w:t>Boston Univ. L. Rev.</w:t>
      </w:r>
      <w:r w:rsidRPr="005472E5">
        <w:rPr>
          <w:rFonts w:ascii="Times New Roman" w:hAnsi="Times New Roman" w:cs="Times New Roman"/>
        </w:rPr>
        <w:t xml:space="preserve"> 885–893; and Summers, R., ‘Evaluating and Improving Legal Procedure: A Plea for Process Values,’ (1974) </w:t>
      </w:r>
      <w:r w:rsidRPr="005472E5">
        <w:rPr>
          <w:rFonts w:ascii="Times New Roman" w:hAnsi="Times New Roman" w:cs="Times New Roman"/>
          <w:i/>
          <w:iCs/>
        </w:rPr>
        <w:t>60 Cornell L. Rev.</w:t>
      </w:r>
      <w:r w:rsidRPr="005472E5">
        <w:rPr>
          <w:rFonts w:ascii="Times New Roman" w:hAnsi="Times New Roman" w:cs="Times New Roman"/>
        </w:rPr>
        <w:t xml:space="preserve"> 1–52.</w:t>
      </w:r>
    </w:p>
  </w:footnote>
  <w:footnote w:id="35">
    <w:p w14:paraId="6AC40EDA" w14:textId="55B03FBA" w:rsidR="00CC3470" w:rsidRPr="005472E5" w:rsidRDefault="00CC3470" w:rsidP="00CC3470">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See n </w:t>
      </w:r>
      <w:r w:rsidR="008327C4" w:rsidRPr="005472E5">
        <w:rPr>
          <w:rFonts w:ascii="Times New Roman" w:hAnsi="Times New Roman" w:cs="Times New Roman"/>
        </w:rPr>
        <w:t>1</w:t>
      </w:r>
      <w:r w:rsidRPr="005472E5">
        <w:rPr>
          <w:rFonts w:ascii="Times New Roman" w:hAnsi="Times New Roman" w:cs="Times New Roman"/>
        </w:rPr>
        <w:t>9 above.</w:t>
      </w:r>
    </w:p>
  </w:footnote>
  <w:footnote w:id="36">
    <w:p w14:paraId="7E7AB242" w14:textId="1A91BFF6" w:rsidR="00CC3470" w:rsidRPr="005472E5" w:rsidRDefault="00CC3470" w:rsidP="00CC3470">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Pr="005472E5">
        <w:rPr>
          <w:rFonts w:ascii="Times New Roman" w:hAnsi="Times New Roman" w:cs="Times New Roman"/>
          <w:bCs/>
          <w:iCs/>
        </w:rPr>
        <w:t xml:space="preserve">Bright and Whitehouse (n </w:t>
      </w:r>
      <w:r w:rsidR="008327C4" w:rsidRPr="005472E5">
        <w:rPr>
          <w:rFonts w:ascii="Times New Roman" w:hAnsi="Times New Roman" w:cs="Times New Roman"/>
          <w:bCs/>
          <w:iCs/>
        </w:rPr>
        <w:t>19</w:t>
      </w:r>
      <w:r w:rsidRPr="005472E5">
        <w:rPr>
          <w:rFonts w:ascii="Times New Roman" w:hAnsi="Times New Roman" w:cs="Times New Roman"/>
          <w:bCs/>
          <w:iCs/>
        </w:rPr>
        <w:t>), pp. 41-43.</w:t>
      </w:r>
      <w:r w:rsidRPr="005472E5">
        <w:rPr>
          <w:rFonts w:ascii="Times New Roman" w:hAnsi="Times New Roman" w:cs="Times New Roman"/>
        </w:rPr>
        <w:t xml:space="preserve"> </w:t>
      </w:r>
    </w:p>
  </w:footnote>
  <w:footnote w:id="37">
    <w:p w14:paraId="441591DA" w14:textId="7CE53643" w:rsidR="00CC3470" w:rsidRPr="005472E5" w:rsidRDefault="00CC3470" w:rsidP="00CC3470">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McClenaghan and Boutaud (n </w:t>
      </w:r>
      <w:r w:rsidR="009D3D59" w:rsidRPr="005472E5">
        <w:rPr>
          <w:rFonts w:ascii="Times New Roman" w:hAnsi="Times New Roman" w:cs="Times New Roman"/>
        </w:rPr>
        <w:t>7</w:t>
      </w:r>
      <w:r w:rsidRPr="005472E5">
        <w:rPr>
          <w:rFonts w:ascii="Times New Roman" w:hAnsi="Times New Roman" w:cs="Times New Roman"/>
        </w:rPr>
        <w:t>), p. 4.</w:t>
      </w:r>
    </w:p>
  </w:footnote>
  <w:footnote w:id="38">
    <w:p w14:paraId="0A89260D" w14:textId="4E56DEC5" w:rsidR="00CC3470" w:rsidRPr="005472E5" w:rsidRDefault="00CC3470" w:rsidP="00CC3470">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McClenaghan (n </w:t>
      </w:r>
      <w:r w:rsidR="008327C4" w:rsidRPr="005472E5">
        <w:rPr>
          <w:rFonts w:ascii="Times New Roman" w:hAnsi="Times New Roman" w:cs="Times New Roman"/>
        </w:rPr>
        <w:t>7</w:t>
      </w:r>
      <w:r w:rsidRPr="005472E5">
        <w:rPr>
          <w:rFonts w:ascii="Times New Roman" w:hAnsi="Times New Roman" w:cs="Times New Roman"/>
        </w:rPr>
        <w:t>), pp. 4-5.</w:t>
      </w:r>
    </w:p>
  </w:footnote>
  <w:footnote w:id="39">
    <w:p w14:paraId="66E9BB7A" w14:textId="31344BDE" w:rsidR="00B72B6F" w:rsidRPr="005472E5" w:rsidRDefault="00B72B6F" w:rsidP="00B72B6F">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See, for example, </w:t>
      </w:r>
      <w:r w:rsidRPr="005472E5">
        <w:rPr>
          <w:rFonts w:ascii="Times New Roman" w:hAnsi="Times New Roman" w:cs="Times New Roman"/>
          <w:bCs/>
          <w:iCs/>
        </w:rPr>
        <w:t xml:space="preserve">Bright and Whitehouse (n </w:t>
      </w:r>
      <w:r w:rsidR="008327C4" w:rsidRPr="005472E5">
        <w:rPr>
          <w:rFonts w:ascii="Times New Roman" w:hAnsi="Times New Roman" w:cs="Times New Roman"/>
          <w:bCs/>
          <w:iCs/>
        </w:rPr>
        <w:t>1</w:t>
      </w:r>
      <w:r w:rsidRPr="005472E5">
        <w:rPr>
          <w:rFonts w:ascii="Times New Roman" w:hAnsi="Times New Roman" w:cs="Times New Roman"/>
          <w:bCs/>
          <w:iCs/>
        </w:rPr>
        <w:t xml:space="preserve">9), p. 58 onwards, </w:t>
      </w:r>
      <w:r w:rsidRPr="005472E5">
        <w:rPr>
          <w:rFonts w:ascii="Times New Roman" w:hAnsi="Times New Roman" w:cs="Times New Roman"/>
        </w:rPr>
        <w:t xml:space="preserve">Whitehouse, L. and Bright, S., ‘Losing a home: does the current housing possession process provide effective access to justice?’, (2014) 164/7611 </w:t>
      </w:r>
      <w:r w:rsidRPr="005472E5">
        <w:rPr>
          <w:rFonts w:ascii="Times New Roman" w:hAnsi="Times New Roman" w:cs="Times New Roman"/>
          <w:i/>
          <w:iCs/>
        </w:rPr>
        <w:t xml:space="preserve">New Law Journal </w:t>
      </w:r>
      <w:r w:rsidRPr="005472E5">
        <w:rPr>
          <w:rFonts w:ascii="Times New Roman" w:hAnsi="Times New Roman" w:cs="Times New Roman"/>
        </w:rPr>
        <w:t xml:space="preserve">16-17; </w:t>
      </w:r>
      <w:r w:rsidRPr="005472E5">
        <w:rPr>
          <w:rFonts w:ascii="Times New Roman" w:hAnsi="Times New Roman" w:cs="Times New Roman"/>
          <w:bCs/>
          <w:iCs/>
          <w:lang w:val="en-AU"/>
        </w:rPr>
        <w:t xml:space="preserve">and </w:t>
      </w:r>
      <w:r w:rsidRPr="005472E5">
        <w:rPr>
          <w:rFonts w:ascii="Times New Roman" w:hAnsi="Times New Roman" w:cs="Times New Roman"/>
          <w:bCs/>
        </w:rPr>
        <w:t xml:space="preserve">Whitehouse, Bright and Dhami (n </w:t>
      </w:r>
      <w:r w:rsidR="008327C4" w:rsidRPr="005472E5">
        <w:rPr>
          <w:rFonts w:ascii="Times New Roman" w:hAnsi="Times New Roman" w:cs="Times New Roman"/>
          <w:bCs/>
        </w:rPr>
        <w:t>29</w:t>
      </w:r>
      <w:r w:rsidRPr="005472E5">
        <w:rPr>
          <w:rFonts w:ascii="Times New Roman" w:hAnsi="Times New Roman" w:cs="Times New Roman"/>
          <w:bCs/>
        </w:rPr>
        <w:t>).</w:t>
      </w:r>
    </w:p>
  </w:footnote>
  <w:footnote w:id="40">
    <w:p w14:paraId="2FCA143C" w14:textId="579F3D6A" w:rsidR="00B72B6F" w:rsidRPr="005472E5" w:rsidRDefault="00B72B6F" w:rsidP="00B72B6F">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Pr="005472E5">
        <w:rPr>
          <w:rFonts w:ascii="Times New Roman" w:hAnsi="Times New Roman" w:cs="Times New Roman"/>
          <w:bCs/>
          <w:iCs/>
        </w:rPr>
        <w:t xml:space="preserve">Bright and Whitehouse (n </w:t>
      </w:r>
      <w:r w:rsidR="003B1C80" w:rsidRPr="005472E5">
        <w:rPr>
          <w:rFonts w:ascii="Times New Roman" w:hAnsi="Times New Roman" w:cs="Times New Roman"/>
          <w:bCs/>
          <w:iCs/>
        </w:rPr>
        <w:t>1</w:t>
      </w:r>
      <w:r w:rsidRPr="005472E5">
        <w:rPr>
          <w:rFonts w:ascii="Times New Roman" w:hAnsi="Times New Roman" w:cs="Times New Roman"/>
          <w:bCs/>
          <w:iCs/>
        </w:rPr>
        <w:t>9).</w:t>
      </w:r>
    </w:p>
  </w:footnote>
  <w:footnote w:id="41">
    <w:p w14:paraId="7676FE43" w14:textId="77777777" w:rsidR="00B72B6F" w:rsidRPr="005472E5" w:rsidRDefault="00B72B6F" w:rsidP="00B72B6F">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Myers-Wilson, ‘Legal Services Commission, Improving access to advice in the Community Legal Service, Report on Evaluation Research on Alternative Methods of Delivery’, July 2004, p. 43.</w:t>
      </w:r>
    </w:p>
  </w:footnote>
  <w:footnote w:id="42">
    <w:p w14:paraId="3C7D42A4" w14:textId="5178BFDC" w:rsidR="00B22C5C" w:rsidRPr="005472E5" w:rsidRDefault="00B22C5C">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3B1C80" w:rsidRPr="005472E5">
        <w:rPr>
          <w:rFonts w:ascii="Times New Roman" w:hAnsi="Times New Roman" w:cs="Times New Roman"/>
          <w:bCs/>
        </w:rPr>
        <w:t>Judge, for example, estimates that ‘over 750,000 families were behind with their housing payments in January 2021, 300,000 of which contained dependent children’, see L. Judge,</w:t>
      </w:r>
      <w:r w:rsidR="003B1C80" w:rsidRPr="005472E5">
        <w:rPr>
          <w:rFonts w:ascii="Times New Roman" w:hAnsi="Times New Roman" w:cs="Times New Roman"/>
          <w:bCs/>
          <w:i/>
          <w:iCs/>
        </w:rPr>
        <w:t xml:space="preserve"> Getting ahead on falling behind Tackling the UK's building arrears crisis,</w:t>
      </w:r>
      <w:r w:rsidR="003B1C80" w:rsidRPr="005472E5">
        <w:rPr>
          <w:rFonts w:ascii="Times New Roman" w:hAnsi="Times New Roman" w:cs="Times New Roman"/>
          <w:bCs/>
        </w:rPr>
        <w:t xml:space="preserve"> Resolution Foundation Briefing, February 2021, p. 3. </w:t>
      </w:r>
      <w:r w:rsidR="003B1C80" w:rsidRPr="005472E5">
        <w:rPr>
          <w:rFonts w:ascii="Times New Roman" w:hAnsi="Times New Roman" w:cs="Times New Roman"/>
        </w:rPr>
        <w:t xml:space="preserve">See also, </w:t>
      </w:r>
      <w:r w:rsidR="003B1C80" w:rsidRPr="005472E5">
        <w:rPr>
          <w:rFonts w:ascii="Times New Roman" w:hAnsi="Times New Roman" w:cs="Times New Roman"/>
          <w:bCs/>
        </w:rPr>
        <w:t xml:space="preserve">Bank of England, ‘Household debt and Covid, Quarterly Bulletin 2021 Q2’, 25 June 2021, p. 10, available at: </w:t>
      </w:r>
      <w:hyperlink r:id="rId15" w:history="1">
        <w:r w:rsidR="003B1C80" w:rsidRPr="005472E5">
          <w:rPr>
            <w:rStyle w:val="Hyperlink"/>
            <w:rFonts w:ascii="Times New Roman" w:hAnsi="Times New Roman" w:cs="Times New Roman"/>
            <w:bCs/>
          </w:rPr>
          <w:t>https://www.bankofengland.co.uk/quarterly-bulletin/2021/2021-q2/household-debt-and-covid</w:t>
        </w:r>
      </w:hyperlink>
      <w:r w:rsidR="003B1C80" w:rsidRPr="005472E5">
        <w:rPr>
          <w:rFonts w:ascii="Times New Roman" w:hAnsi="Times New Roman" w:cs="Times New Roman"/>
          <w:bCs/>
          <w:u w:val="single"/>
        </w:rPr>
        <w:t xml:space="preserve">, </w:t>
      </w:r>
      <w:r w:rsidR="003B1C80" w:rsidRPr="005472E5">
        <w:rPr>
          <w:rFonts w:ascii="Times New Roman" w:hAnsi="Times New Roman" w:cs="Times New Roman"/>
          <w:bCs/>
        </w:rPr>
        <w:t xml:space="preserve">Derricourt, R., Hann, C. and Byrne, G., ‘New year, same arrears: How the pandemic is leaving private renters with unmanageable debt’, Citizens Advice, January 2021, p. 3, available at </w:t>
      </w:r>
      <w:hyperlink r:id="rId16" w:history="1">
        <w:r w:rsidR="003B1C80" w:rsidRPr="005472E5">
          <w:rPr>
            <w:rStyle w:val="Hyperlink"/>
            <w:rFonts w:ascii="Times New Roman" w:hAnsi="Times New Roman" w:cs="Times New Roman"/>
            <w:bCs/>
          </w:rPr>
          <w:t>https://www.citizensadvice.org.uk/Global/CitizensAdvice/Housing%20Publications/New%20year,%20same%20arrears.pdf</w:t>
        </w:r>
      </w:hyperlink>
      <w:r w:rsidR="003B1C80" w:rsidRPr="005472E5">
        <w:rPr>
          <w:rFonts w:ascii="Times New Roman" w:hAnsi="Times New Roman" w:cs="Times New Roman"/>
          <w:bCs/>
        </w:rPr>
        <w:t xml:space="preserve"> and</w:t>
      </w:r>
      <w:r w:rsidR="003B1C80" w:rsidRPr="005472E5">
        <w:rPr>
          <w:rFonts w:ascii="Times New Roman" w:hAnsi="Times New Roman" w:cs="Times New Roman"/>
          <w:bCs/>
          <w:u w:val="single"/>
        </w:rPr>
        <w:t xml:space="preserve"> </w:t>
      </w:r>
      <w:r w:rsidR="003B1C80" w:rsidRPr="005472E5">
        <w:rPr>
          <w:rFonts w:ascii="Times New Roman" w:hAnsi="Times New Roman" w:cs="Times New Roman"/>
          <w:bCs/>
        </w:rPr>
        <w:t xml:space="preserve">StepChange, ‘Tackling the coronavirus personal debt crisis’, November 2020, p. 11, available at </w:t>
      </w:r>
      <w:hyperlink r:id="rId17" w:history="1">
        <w:r w:rsidR="003B1C80" w:rsidRPr="005472E5">
          <w:rPr>
            <w:rStyle w:val="Hyperlink"/>
            <w:rFonts w:ascii="Times New Roman" w:hAnsi="Times New Roman" w:cs="Times New Roman"/>
            <w:bCs/>
          </w:rPr>
          <w:t>https://www.stepchange.org/Portals/0/assets/pdf/tackling-the-coronavirus-personal-debt-crisis.pdf</w:t>
        </w:r>
      </w:hyperlink>
    </w:p>
  </w:footnote>
  <w:footnote w:id="43">
    <w:p w14:paraId="3839BF29" w14:textId="6ACB96EF" w:rsidR="00B22C5C" w:rsidRPr="005472E5" w:rsidRDefault="00B22C5C" w:rsidP="00B22C5C">
      <w:pPr>
        <w:spacing w:after="0" w:line="240" w:lineRule="auto"/>
        <w:rPr>
          <w:rFonts w:ascii="Times New Roman" w:hAnsi="Times New Roman" w:cs="Times New Roman"/>
          <w:sz w:val="20"/>
          <w:szCs w:val="20"/>
        </w:rPr>
      </w:pPr>
      <w:r w:rsidRPr="005472E5">
        <w:rPr>
          <w:rFonts w:ascii="Times New Roman" w:hAnsi="Times New Roman" w:cs="Times New Roman"/>
          <w:sz w:val="20"/>
          <w:szCs w:val="20"/>
          <w:vertAlign w:val="superscript"/>
        </w:rPr>
        <w:footnoteRef/>
      </w:r>
      <w:r w:rsidRPr="005472E5">
        <w:rPr>
          <w:rFonts w:ascii="Times New Roman" w:hAnsi="Times New Roman" w:cs="Times New Roman"/>
          <w:sz w:val="20"/>
          <w:szCs w:val="20"/>
        </w:rPr>
        <w:t xml:space="preserve"> McClenaghan (n </w:t>
      </w:r>
      <w:r w:rsidR="000E0DE7" w:rsidRPr="005472E5">
        <w:rPr>
          <w:rFonts w:ascii="Times New Roman" w:hAnsi="Times New Roman" w:cs="Times New Roman"/>
          <w:sz w:val="20"/>
          <w:szCs w:val="20"/>
        </w:rPr>
        <w:t>7</w:t>
      </w:r>
      <w:r w:rsidRPr="005472E5">
        <w:rPr>
          <w:rFonts w:ascii="Times New Roman" w:hAnsi="Times New Roman" w:cs="Times New Roman"/>
          <w:sz w:val="20"/>
          <w:szCs w:val="20"/>
        </w:rPr>
        <w:t xml:space="preserve">), p. 15 and Renton, </w:t>
      </w:r>
      <w:r w:rsidR="000E0DE7" w:rsidRPr="005472E5">
        <w:rPr>
          <w:rFonts w:ascii="Times New Roman" w:hAnsi="Times New Roman" w:cs="Times New Roman"/>
          <w:sz w:val="20"/>
          <w:szCs w:val="20"/>
        </w:rPr>
        <w:t>(n 19)</w:t>
      </w:r>
      <w:r w:rsidRPr="005472E5">
        <w:rPr>
          <w:rFonts w:ascii="Times New Roman" w:hAnsi="Times New Roman" w:cs="Times New Roman"/>
          <w:sz w:val="20"/>
          <w:szCs w:val="20"/>
        </w:rPr>
        <w:t>, p. 117.</w:t>
      </w:r>
    </w:p>
  </w:footnote>
  <w:footnote w:id="44">
    <w:p w14:paraId="1A6759CB" w14:textId="6CCB97FB" w:rsidR="00B22C5C" w:rsidRPr="005472E5" w:rsidRDefault="00B22C5C" w:rsidP="00B22C5C">
      <w:pPr>
        <w:spacing w:after="0" w:line="240" w:lineRule="auto"/>
        <w:rPr>
          <w:rFonts w:ascii="Times New Roman" w:hAnsi="Times New Roman" w:cs="Times New Roman"/>
          <w:sz w:val="20"/>
          <w:szCs w:val="20"/>
        </w:rPr>
      </w:pPr>
      <w:r w:rsidRPr="005472E5">
        <w:rPr>
          <w:rFonts w:ascii="Times New Roman" w:hAnsi="Times New Roman" w:cs="Times New Roman"/>
          <w:sz w:val="20"/>
          <w:szCs w:val="20"/>
          <w:vertAlign w:val="superscript"/>
        </w:rPr>
        <w:footnoteRef/>
      </w:r>
      <w:r w:rsidRPr="005472E5">
        <w:rPr>
          <w:rFonts w:ascii="Times New Roman" w:hAnsi="Times New Roman" w:cs="Times New Roman"/>
          <w:sz w:val="20"/>
          <w:szCs w:val="20"/>
        </w:rPr>
        <w:t xml:space="preserve"> See for example, Byrom, Beardon and Kendrick (n </w:t>
      </w:r>
      <w:r w:rsidR="003569AB" w:rsidRPr="005472E5">
        <w:rPr>
          <w:rFonts w:ascii="Times New Roman" w:hAnsi="Times New Roman" w:cs="Times New Roman"/>
          <w:sz w:val="20"/>
          <w:szCs w:val="20"/>
        </w:rPr>
        <w:t>6</w:t>
      </w:r>
      <w:r w:rsidRPr="005472E5">
        <w:rPr>
          <w:rFonts w:ascii="Times New Roman" w:hAnsi="Times New Roman" w:cs="Times New Roman"/>
          <w:sz w:val="20"/>
          <w:szCs w:val="20"/>
        </w:rPr>
        <w:t xml:space="preserve">), para. 4.6 and Judge, (n </w:t>
      </w:r>
      <w:r w:rsidR="003569AB" w:rsidRPr="005472E5">
        <w:rPr>
          <w:rFonts w:ascii="Times New Roman" w:hAnsi="Times New Roman" w:cs="Times New Roman"/>
          <w:sz w:val="20"/>
          <w:szCs w:val="20"/>
        </w:rPr>
        <w:t>42</w:t>
      </w:r>
      <w:r w:rsidRPr="005472E5">
        <w:rPr>
          <w:rFonts w:ascii="Times New Roman" w:hAnsi="Times New Roman" w:cs="Times New Roman"/>
          <w:sz w:val="20"/>
          <w:szCs w:val="20"/>
        </w:rPr>
        <w:t>), p. 4.</w:t>
      </w:r>
    </w:p>
  </w:footnote>
  <w:footnote w:id="45">
    <w:p w14:paraId="4E38DCA9" w14:textId="5CB66392" w:rsidR="00677CEB" w:rsidRPr="005472E5" w:rsidRDefault="00677CEB" w:rsidP="00677CEB">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Judge, (n </w:t>
      </w:r>
      <w:r w:rsidR="003569AB" w:rsidRPr="005472E5">
        <w:rPr>
          <w:rFonts w:ascii="Times New Roman" w:hAnsi="Times New Roman" w:cs="Times New Roman"/>
        </w:rPr>
        <w:t>42</w:t>
      </w:r>
      <w:r w:rsidRPr="005472E5">
        <w:rPr>
          <w:rFonts w:ascii="Times New Roman" w:hAnsi="Times New Roman" w:cs="Times New Roman"/>
        </w:rPr>
        <w:t xml:space="preserve">), p. 16. </w:t>
      </w:r>
    </w:p>
  </w:footnote>
  <w:footnote w:id="46">
    <w:p w14:paraId="3648A683" w14:textId="3D439F66"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3569AB" w:rsidRPr="005472E5">
        <w:rPr>
          <w:rFonts w:ascii="Times New Roman" w:hAnsi="Times New Roman" w:cs="Times New Roman"/>
        </w:rPr>
        <w:t xml:space="preserve">See, for example, Nuffield Family Justice Observatory, ‘Remote hearings in the family justice system: a rapid consultation’, 2020, available at </w:t>
      </w:r>
      <w:hyperlink r:id="rId18" w:history="1">
        <w:r w:rsidR="003569AB" w:rsidRPr="005472E5">
          <w:rPr>
            <w:rStyle w:val="Hyperlink"/>
            <w:rFonts w:ascii="Times New Roman" w:hAnsi="Times New Roman" w:cs="Times New Roman"/>
          </w:rPr>
          <w:t>https://www.nuffieldfjo.org.uk/app/nuffield/files-module/local/documents/nfjo_remote_hearings_20200507-2-.pdf</w:t>
        </w:r>
      </w:hyperlink>
      <w:r w:rsidR="003569AB" w:rsidRPr="005472E5">
        <w:rPr>
          <w:rFonts w:ascii="Times New Roman" w:hAnsi="Times New Roman" w:cs="Times New Roman"/>
        </w:rPr>
        <w:t xml:space="preserve">, Mr Justice MacDonald, ‘The Remote Access Family Court’, Version 5, 26 June 2020 available at </w:t>
      </w:r>
      <w:hyperlink r:id="rId19" w:history="1">
        <w:r w:rsidR="003569AB" w:rsidRPr="005472E5">
          <w:rPr>
            <w:rStyle w:val="Hyperlink"/>
            <w:rFonts w:ascii="Times New Roman" w:hAnsi="Times New Roman" w:cs="Times New Roman"/>
          </w:rPr>
          <w:t>https://www.judiciary.uk/wp-content/uploads/2020/06/The-Remote-Access-Family-Court-Version-5-Final-Version-26.06.2020.pdf</w:t>
        </w:r>
      </w:hyperlink>
      <w:r w:rsidR="003569AB" w:rsidRPr="005472E5">
        <w:rPr>
          <w:rFonts w:ascii="Times New Roman" w:hAnsi="Times New Roman" w:cs="Times New Roman"/>
        </w:rPr>
        <w:t xml:space="preserve">, and R. Susskind, </w:t>
      </w:r>
      <w:r w:rsidR="003569AB" w:rsidRPr="005472E5">
        <w:rPr>
          <w:rFonts w:ascii="Times New Roman" w:hAnsi="Times New Roman" w:cs="Times New Roman"/>
          <w:i/>
          <w:iCs/>
        </w:rPr>
        <w:t>Online Courts and the Future of Justice</w:t>
      </w:r>
      <w:r w:rsidR="003569AB" w:rsidRPr="005472E5">
        <w:rPr>
          <w:rFonts w:ascii="Times New Roman" w:hAnsi="Times New Roman" w:cs="Times New Roman"/>
        </w:rPr>
        <w:t xml:space="preserve"> (Oxford University Press: Oxford, 2019). A useful source of writing on the experience of using remote hearings around the world can be found here </w:t>
      </w:r>
      <w:hyperlink r:id="rId20" w:history="1">
        <w:r w:rsidR="003569AB" w:rsidRPr="005472E5">
          <w:rPr>
            <w:rStyle w:val="Hyperlink"/>
            <w:rFonts w:ascii="Times New Roman" w:hAnsi="Times New Roman" w:cs="Times New Roman"/>
          </w:rPr>
          <w:t>https://remotecourts.org/</w:t>
        </w:r>
      </w:hyperlink>
    </w:p>
  </w:footnote>
  <w:footnote w:id="47">
    <w:p w14:paraId="1C28D02D" w14:textId="0C78B740"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3569AB" w:rsidRPr="005472E5">
        <w:rPr>
          <w:rFonts w:ascii="Times New Roman" w:hAnsi="Times New Roman" w:cs="Times New Roman"/>
        </w:rPr>
        <w:t xml:space="preserve">Byrom, N. and Beardon, S., ‘Understanding the impact of COVID-19 on tribunals The experience of tribunal judges’, Tribunals Judiciary and the Legal Education Foundation, June 2021, available at </w:t>
      </w:r>
      <w:hyperlink r:id="rId21" w:history="1">
        <w:r w:rsidR="003569AB" w:rsidRPr="005472E5">
          <w:rPr>
            <w:rStyle w:val="Hyperlink"/>
            <w:rFonts w:ascii="Times New Roman" w:hAnsi="Times New Roman" w:cs="Times New Roman"/>
          </w:rPr>
          <w:t>https://research.thelegaleducationfoundation.org/wp-content/uploads/2021/05/FINAL-Tribunal-Judges-Survey-Report-02-June-2021-.pdf</w:t>
        </w:r>
      </w:hyperlink>
    </w:p>
  </w:footnote>
  <w:footnote w:id="48">
    <w:p w14:paraId="64C706FE" w14:textId="6172926F"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3569AB" w:rsidRPr="005472E5">
        <w:rPr>
          <w:rFonts w:ascii="Times New Roman" w:hAnsi="Times New Roman" w:cs="Times New Roman"/>
        </w:rPr>
        <w:t xml:space="preserve">Clark, J., </w:t>
      </w:r>
      <w:r w:rsidR="003569AB" w:rsidRPr="005472E5">
        <w:rPr>
          <w:rFonts w:ascii="Times New Roman" w:hAnsi="Times New Roman" w:cs="Times New Roman"/>
          <w:i/>
          <w:iCs/>
        </w:rPr>
        <w:t>Evaluation of remote hearings during the COVID 19 pandemic: Research report</w:t>
      </w:r>
      <w:r w:rsidR="003569AB" w:rsidRPr="005472E5">
        <w:rPr>
          <w:rFonts w:ascii="Times New Roman" w:hAnsi="Times New Roman" w:cs="Times New Roman"/>
        </w:rPr>
        <w:t xml:space="preserve">, HMCTS, December 2021, available at </w:t>
      </w:r>
      <w:hyperlink r:id="rId22" w:history="1">
        <w:r w:rsidR="003569AB" w:rsidRPr="005472E5">
          <w:rPr>
            <w:rStyle w:val="Hyperlink"/>
            <w:rFonts w:ascii="Times New Roman" w:hAnsi="Times New Roman" w:cs="Times New Roman"/>
          </w:rPr>
          <w:t>https://assets.publishing.service.gov.uk/government/uploads/system/uploads/attachment_data/file/1039926/Evaluation_of_remote_hearings_v20.pdf</w:t>
        </w:r>
      </w:hyperlink>
    </w:p>
  </w:footnote>
  <w:footnote w:id="49">
    <w:p w14:paraId="42642467" w14:textId="3340F83D"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For example, the HMCTS report notes that ‘vulnerable individuals who attended remotely were less likely than other remote users to feel that their hearing was appropriately formal and official (76% compared to 85%)’, see Clark (n </w:t>
      </w:r>
      <w:r w:rsidR="005A1EB1" w:rsidRPr="005472E5">
        <w:rPr>
          <w:rFonts w:ascii="Times New Roman" w:hAnsi="Times New Roman" w:cs="Times New Roman"/>
        </w:rPr>
        <w:t>48</w:t>
      </w:r>
      <w:r w:rsidRPr="005472E5">
        <w:rPr>
          <w:rFonts w:ascii="Times New Roman" w:hAnsi="Times New Roman" w:cs="Times New Roman"/>
        </w:rPr>
        <w:t>), p. 70.</w:t>
      </w:r>
    </w:p>
  </w:footnote>
  <w:footnote w:id="50">
    <w:p w14:paraId="16D54D00" w14:textId="332E326E"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See for example paras. 7.59-7.61 on effective communication in Byrom and Beardon (n </w:t>
      </w:r>
      <w:r w:rsidR="00077785" w:rsidRPr="005472E5">
        <w:rPr>
          <w:rFonts w:ascii="Times New Roman" w:hAnsi="Times New Roman" w:cs="Times New Roman"/>
        </w:rPr>
        <w:t>47</w:t>
      </w:r>
      <w:r w:rsidRPr="005472E5">
        <w:rPr>
          <w:rFonts w:ascii="Times New Roman" w:hAnsi="Times New Roman" w:cs="Times New Roman"/>
        </w:rPr>
        <w:t xml:space="preserve">) and section 4.4. of Nuffield Family Justice Observatory (n </w:t>
      </w:r>
      <w:r w:rsidR="00077785" w:rsidRPr="005472E5">
        <w:rPr>
          <w:rFonts w:ascii="Times New Roman" w:hAnsi="Times New Roman" w:cs="Times New Roman"/>
        </w:rPr>
        <w:t>46</w:t>
      </w:r>
      <w:r w:rsidRPr="005472E5">
        <w:rPr>
          <w:rFonts w:ascii="Times New Roman" w:hAnsi="Times New Roman" w:cs="Times New Roman"/>
        </w:rPr>
        <w:t xml:space="preserve">). </w:t>
      </w:r>
    </w:p>
  </w:footnote>
  <w:footnote w:id="51">
    <w:p w14:paraId="0FF7BAB7" w14:textId="54DA2B4A"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The Nuffield Family Justice Observatory, for example, note a number of concerns regarding the ‘fairness’ of remote hearings, see Nuffield Family Justice Observatory (n </w:t>
      </w:r>
      <w:r w:rsidR="00077785" w:rsidRPr="005472E5">
        <w:rPr>
          <w:rFonts w:ascii="Times New Roman" w:hAnsi="Times New Roman" w:cs="Times New Roman"/>
        </w:rPr>
        <w:t>46</w:t>
      </w:r>
      <w:r w:rsidRPr="005472E5">
        <w:rPr>
          <w:rFonts w:ascii="Times New Roman" w:hAnsi="Times New Roman" w:cs="Times New Roman"/>
        </w:rPr>
        <w:t>), section 3.</w:t>
      </w:r>
    </w:p>
  </w:footnote>
  <w:footnote w:id="52">
    <w:p w14:paraId="2DC2BD6C" w14:textId="73978EF9"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Byrom and Beardon (</w:t>
      </w:r>
      <w:r w:rsidR="00077785" w:rsidRPr="005472E5">
        <w:rPr>
          <w:rFonts w:ascii="Times New Roman" w:hAnsi="Times New Roman" w:cs="Times New Roman"/>
        </w:rPr>
        <w:t>n 47</w:t>
      </w:r>
      <w:r w:rsidRPr="005472E5">
        <w:rPr>
          <w:rFonts w:ascii="Times New Roman" w:hAnsi="Times New Roman" w:cs="Times New Roman"/>
        </w:rPr>
        <w:t>), para. 1.33.</w:t>
      </w:r>
    </w:p>
  </w:footnote>
  <w:footnote w:id="53">
    <w:p w14:paraId="22E9A1E4" w14:textId="03A72E8D"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Byrom, Beardon and Kendrick (</w:t>
      </w:r>
      <w:r w:rsidR="003569AB" w:rsidRPr="005472E5">
        <w:rPr>
          <w:rFonts w:ascii="Times New Roman" w:hAnsi="Times New Roman" w:cs="Times New Roman"/>
        </w:rPr>
        <w:t>n 6</w:t>
      </w:r>
      <w:r w:rsidRPr="005472E5">
        <w:rPr>
          <w:rFonts w:ascii="Times New Roman" w:hAnsi="Times New Roman" w:cs="Times New Roman"/>
        </w:rPr>
        <w:t>), para. 1.22.2.</w:t>
      </w:r>
    </w:p>
  </w:footnote>
  <w:footnote w:id="54">
    <w:p w14:paraId="77F47081" w14:textId="34893E5A"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DB70A0" w:rsidRPr="005472E5">
        <w:rPr>
          <w:rFonts w:ascii="Times New Roman" w:hAnsi="Times New Roman" w:cs="Times New Roman"/>
        </w:rPr>
        <w:t xml:space="preserve">Ibid, </w:t>
      </w:r>
      <w:r w:rsidRPr="005472E5">
        <w:rPr>
          <w:rFonts w:ascii="Times New Roman" w:hAnsi="Times New Roman" w:cs="Times New Roman"/>
        </w:rPr>
        <w:t>para. 8.18, pp. 80.</w:t>
      </w:r>
    </w:p>
  </w:footnote>
  <w:footnote w:id="55">
    <w:p w14:paraId="778D0C68" w14:textId="2FA554F6"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DB70A0" w:rsidRPr="005472E5">
        <w:rPr>
          <w:rFonts w:ascii="Times New Roman" w:hAnsi="Times New Roman" w:cs="Times New Roman"/>
        </w:rPr>
        <w:t xml:space="preserve">Ibid, </w:t>
      </w:r>
      <w:r w:rsidRPr="005472E5">
        <w:rPr>
          <w:rFonts w:ascii="Times New Roman" w:hAnsi="Times New Roman" w:cs="Times New Roman"/>
        </w:rPr>
        <w:t>para. 8.15.</w:t>
      </w:r>
    </w:p>
  </w:footnote>
  <w:footnote w:id="56">
    <w:p w14:paraId="7921E23F" w14:textId="006EF9F3"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DB70A0" w:rsidRPr="005472E5">
        <w:rPr>
          <w:rFonts w:ascii="Times New Roman" w:hAnsi="Times New Roman" w:cs="Times New Roman"/>
        </w:rPr>
        <w:t xml:space="preserve">Ibid, </w:t>
      </w:r>
      <w:r w:rsidRPr="005472E5">
        <w:rPr>
          <w:rFonts w:ascii="Times New Roman" w:hAnsi="Times New Roman" w:cs="Times New Roman"/>
        </w:rPr>
        <w:t>para. 1.23.</w:t>
      </w:r>
    </w:p>
  </w:footnote>
  <w:footnote w:id="57">
    <w:p w14:paraId="23F17D74" w14:textId="50405F10"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DB70A0" w:rsidRPr="005472E5">
        <w:rPr>
          <w:rFonts w:ascii="Times New Roman" w:hAnsi="Times New Roman" w:cs="Times New Roman"/>
        </w:rPr>
        <w:t xml:space="preserve">Ibid, </w:t>
      </w:r>
      <w:r w:rsidRPr="005472E5">
        <w:rPr>
          <w:rFonts w:ascii="Times New Roman" w:hAnsi="Times New Roman" w:cs="Times New Roman"/>
        </w:rPr>
        <w:t>para. 8.16.</w:t>
      </w:r>
    </w:p>
  </w:footnote>
  <w:footnote w:id="58">
    <w:p w14:paraId="02669AA5" w14:textId="204C4916"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DB70A0" w:rsidRPr="005472E5">
        <w:rPr>
          <w:rFonts w:ascii="Times New Roman" w:hAnsi="Times New Roman" w:cs="Times New Roman"/>
        </w:rPr>
        <w:t xml:space="preserve">Ibid, </w:t>
      </w:r>
      <w:r w:rsidRPr="005472E5">
        <w:rPr>
          <w:rFonts w:ascii="Times New Roman" w:hAnsi="Times New Roman" w:cs="Times New Roman"/>
        </w:rPr>
        <w:t>para. 4.6, pp. 22-23.</w:t>
      </w:r>
    </w:p>
  </w:footnote>
  <w:footnote w:id="59">
    <w:p w14:paraId="354754B4" w14:textId="709B1EBB" w:rsidR="00A14633" w:rsidRPr="005472E5" w:rsidRDefault="00A14633" w:rsidP="00A14633">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Quoted in Byrom, Beardon and Kendrick (</w:t>
      </w:r>
      <w:r w:rsidR="003569AB" w:rsidRPr="005472E5">
        <w:rPr>
          <w:rFonts w:ascii="Times New Roman" w:hAnsi="Times New Roman" w:cs="Times New Roman"/>
        </w:rPr>
        <w:t>n 6</w:t>
      </w:r>
      <w:r w:rsidRPr="005472E5">
        <w:rPr>
          <w:rFonts w:ascii="Times New Roman" w:hAnsi="Times New Roman" w:cs="Times New Roman"/>
        </w:rPr>
        <w:t>), para. 8.17.</w:t>
      </w:r>
    </w:p>
  </w:footnote>
  <w:footnote w:id="60">
    <w:p w14:paraId="420CD42E" w14:textId="4452523A"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Pr="005472E5">
        <w:rPr>
          <w:rFonts w:ascii="Times New Roman" w:hAnsi="Times New Roman" w:cs="Times New Roman"/>
          <w:bCs/>
          <w:iCs/>
        </w:rPr>
        <w:t xml:space="preserve">Bright and Whitehouse (n </w:t>
      </w:r>
      <w:r w:rsidR="00D87959" w:rsidRPr="005472E5">
        <w:rPr>
          <w:rFonts w:ascii="Times New Roman" w:hAnsi="Times New Roman" w:cs="Times New Roman"/>
          <w:bCs/>
          <w:iCs/>
        </w:rPr>
        <w:t>1</w:t>
      </w:r>
      <w:r w:rsidRPr="005472E5">
        <w:rPr>
          <w:rFonts w:ascii="Times New Roman" w:hAnsi="Times New Roman" w:cs="Times New Roman"/>
          <w:bCs/>
          <w:iCs/>
        </w:rPr>
        <w:t xml:space="preserve">9), p. 76 and </w:t>
      </w:r>
      <w:r w:rsidRPr="005472E5">
        <w:rPr>
          <w:rFonts w:ascii="Times New Roman" w:hAnsi="Times New Roman" w:cs="Times New Roman"/>
          <w:bCs/>
        </w:rPr>
        <w:t xml:space="preserve">Whitehouse, Bright and Dhami (n </w:t>
      </w:r>
      <w:r w:rsidR="008327C4" w:rsidRPr="005472E5">
        <w:rPr>
          <w:rFonts w:ascii="Times New Roman" w:hAnsi="Times New Roman" w:cs="Times New Roman"/>
          <w:bCs/>
        </w:rPr>
        <w:t>29</w:t>
      </w:r>
      <w:r w:rsidRPr="005472E5">
        <w:rPr>
          <w:rFonts w:ascii="Times New Roman" w:hAnsi="Times New Roman" w:cs="Times New Roman"/>
          <w:bCs/>
        </w:rPr>
        <w:t>), pp. 359-362.</w:t>
      </w:r>
    </w:p>
  </w:footnote>
  <w:footnote w:id="61">
    <w:p w14:paraId="0134BA2A" w14:textId="77777777"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See Pre-Action Protocol for Possession Claims based on Mortgage or Home Purchase Plan Arrears in Respect of Residential Property, available at </w:t>
      </w:r>
      <w:hyperlink r:id="rId23" w:history="1">
        <w:r w:rsidRPr="005472E5">
          <w:rPr>
            <w:rStyle w:val="Hyperlink"/>
            <w:rFonts w:ascii="Times New Roman" w:hAnsi="Times New Roman" w:cs="Times New Roman"/>
          </w:rPr>
          <w:t>https://www.justice.gov.uk/courts/procedure-rules/civil/protocol/prot_mha</w:t>
        </w:r>
      </w:hyperlink>
      <w:r w:rsidRPr="005472E5">
        <w:rPr>
          <w:rFonts w:ascii="Times New Roman" w:hAnsi="Times New Roman" w:cs="Times New Roman"/>
        </w:rPr>
        <w:t xml:space="preserve"> </w:t>
      </w:r>
    </w:p>
  </w:footnote>
  <w:footnote w:id="62">
    <w:p w14:paraId="5ED67B61" w14:textId="77777777"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See Pre-Action Protocol for Possession Claims by Social Landlords, available at </w:t>
      </w:r>
      <w:hyperlink r:id="rId24" w:history="1">
        <w:r w:rsidRPr="005472E5">
          <w:rPr>
            <w:rStyle w:val="Hyperlink"/>
            <w:rFonts w:ascii="Times New Roman" w:hAnsi="Times New Roman" w:cs="Times New Roman"/>
          </w:rPr>
          <w:t>https://www.justice.gov.uk/courts/procedure-rules/civil/protocol/pre-action-protocol-for-possession-claims-by-social-landlords</w:t>
        </w:r>
      </w:hyperlink>
      <w:r w:rsidRPr="005472E5">
        <w:rPr>
          <w:rFonts w:ascii="Times New Roman" w:hAnsi="Times New Roman" w:cs="Times New Roman"/>
        </w:rPr>
        <w:t xml:space="preserve"> </w:t>
      </w:r>
    </w:p>
  </w:footnote>
  <w:footnote w:id="63">
    <w:p w14:paraId="654812D3" w14:textId="77777777"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Form N119 for rented property </w:t>
      </w:r>
      <w:hyperlink r:id="rId25" w:history="1">
        <w:r w:rsidRPr="005472E5">
          <w:rPr>
            <w:rStyle w:val="Hyperlink"/>
            <w:rFonts w:ascii="Times New Roman" w:hAnsi="Times New Roman" w:cs="Times New Roman"/>
          </w:rPr>
          <w:t>https://www.gov.uk/government/publications/form-n119-particulars-of-claim-for-possession</w:t>
        </w:r>
      </w:hyperlink>
      <w:r w:rsidRPr="005472E5">
        <w:rPr>
          <w:rFonts w:ascii="Times New Roman" w:hAnsi="Times New Roman" w:cs="Times New Roman"/>
        </w:rPr>
        <w:t xml:space="preserve"> and Form N120 for mortgaged property available at </w:t>
      </w:r>
      <w:hyperlink r:id="rId26" w:history="1">
        <w:r w:rsidRPr="005472E5">
          <w:rPr>
            <w:rStyle w:val="Hyperlink"/>
            <w:rFonts w:ascii="Times New Roman" w:hAnsi="Times New Roman" w:cs="Times New Roman"/>
          </w:rPr>
          <w:t>https://www.gov.uk/government/publications/form-n120-particulars-of-claim-mortgaged-residential-premises</w:t>
        </w:r>
      </w:hyperlink>
      <w:r w:rsidRPr="005472E5">
        <w:rPr>
          <w:rFonts w:ascii="Times New Roman" w:hAnsi="Times New Roman" w:cs="Times New Roman"/>
        </w:rPr>
        <w:t xml:space="preserve"> </w:t>
      </w:r>
    </w:p>
  </w:footnote>
  <w:footnote w:id="64">
    <w:p w14:paraId="1907251C" w14:textId="3F298F1E"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Concerns regarding the low rate of return of defence forms in all types of possession claims have been noted for some time, see </w:t>
      </w:r>
      <w:r w:rsidRPr="005472E5">
        <w:rPr>
          <w:rFonts w:ascii="Times New Roman" w:hAnsi="Times New Roman" w:cs="Times New Roman"/>
          <w:bCs/>
          <w:iCs/>
        </w:rPr>
        <w:t>Bright and Whitehouse (</w:t>
      </w:r>
      <w:r w:rsidR="00D87959" w:rsidRPr="005472E5">
        <w:rPr>
          <w:rFonts w:ascii="Times New Roman" w:hAnsi="Times New Roman" w:cs="Times New Roman"/>
          <w:bCs/>
          <w:iCs/>
        </w:rPr>
        <w:t>n 19</w:t>
      </w:r>
      <w:r w:rsidRPr="005472E5">
        <w:rPr>
          <w:rFonts w:ascii="Times New Roman" w:hAnsi="Times New Roman" w:cs="Times New Roman"/>
          <w:bCs/>
          <w:iCs/>
        </w:rPr>
        <w:t xml:space="preserve">), pp. 38-39. </w:t>
      </w:r>
      <w:r w:rsidRPr="005472E5">
        <w:rPr>
          <w:rFonts w:ascii="Times New Roman" w:hAnsi="Times New Roman" w:cs="Times New Roman"/>
        </w:rPr>
        <w:t xml:space="preserve">Whitehouse and others note the lack of recorded data on this but in their survey, they found that defence forms were submitted in only 10 per cent of the cases they reviewed, </w:t>
      </w:r>
      <w:r w:rsidRPr="005472E5">
        <w:rPr>
          <w:rFonts w:ascii="Times New Roman" w:hAnsi="Times New Roman" w:cs="Times New Roman"/>
          <w:bCs/>
        </w:rPr>
        <w:t xml:space="preserve">Whitehouse, Bright and Dhami (n </w:t>
      </w:r>
      <w:r w:rsidR="008327C4" w:rsidRPr="005472E5">
        <w:rPr>
          <w:rFonts w:ascii="Times New Roman" w:hAnsi="Times New Roman" w:cs="Times New Roman"/>
          <w:bCs/>
        </w:rPr>
        <w:t>29</w:t>
      </w:r>
      <w:r w:rsidRPr="005472E5">
        <w:rPr>
          <w:rFonts w:ascii="Times New Roman" w:hAnsi="Times New Roman" w:cs="Times New Roman"/>
          <w:bCs/>
        </w:rPr>
        <w:t>), p. 362.</w:t>
      </w:r>
    </w:p>
  </w:footnote>
  <w:footnote w:id="65">
    <w:p w14:paraId="422771B2" w14:textId="77777777"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Form N11R for rented property, available at </w:t>
      </w:r>
      <w:hyperlink r:id="rId27" w:history="1">
        <w:r w:rsidRPr="005472E5">
          <w:rPr>
            <w:rStyle w:val="Hyperlink"/>
            <w:rFonts w:ascii="Times New Roman" w:hAnsi="Times New Roman" w:cs="Times New Roman"/>
          </w:rPr>
          <w:t>https://www.gov.uk/government/publications/form-n11r-defence-form</w:t>
        </w:r>
      </w:hyperlink>
      <w:r w:rsidRPr="005472E5">
        <w:rPr>
          <w:rFonts w:ascii="Times New Roman" w:hAnsi="Times New Roman" w:cs="Times New Roman"/>
        </w:rPr>
        <w:t xml:space="preserve"> and N11M for mortgaged property available at </w:t>
      </w:r>
      <w:hyperlink r:id="rId28" w:history="1">
        <w:r w:rsidRPr="005472E5">
          <w:rPr>
            <w:rStyle w:val="Hyperlink"/>
            <w:rFonts w:ascii="Times New Roman" w:hAnsi="Times New Roman" w:cs="Times New Roman"/>
          </w:rPr>
          <w:t>https://www.gov.uk/government/publications/form-n11m-defence-form-mortgaged-residential-premises</w:t>
        </w:r>
      </w:hyperlink>
      <w:r w:rsidRPr="005472E5">
        <w:rPr>
          <w:rFonts w:ascii="Times New Roman" w:hAnsi="Times New Roman" w:cs="Times New Roman"/>
        </w:rPr>
        <w:t xml:space="preserve"> </w:t>
      </w:r>
    </w:p>
  </w:footnote>
  <w:footnote w:id="66">
    <w:p w14:paraId="7E41A149" w14:textId="17AD191B"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Pr="005472E5">
        <w:rPr>
          <w:rFonts w:ascii="Times New Roman" w:hAnsi="Times New Roman" w:cs="Times New Roman"/>
          <w:bCs/>
        </w:rPr>
        <w:t xml:space="preserve">Whitehouse, Bright and Dhami (n </w:t>
      </w:r>
      <w:r w:rsidR="008327C4" w:rsidRPr="005472E5">
        <w:rPr>
          <w:rFonts w:ascii="Times New Roman" w:hAnsi="Times New Roman" w:cs="Times New Roman"/>
          <w:bCs/>
        </w:rPr>
        <w:t>29</w:t>
      </w:r>
      <w:r w:rsidRPr="005472E5">
        <w:rPr>
          <w:rFonts w:ascii="Times New Roman" w:hAnsi="Times New Roman" w:cs="Times New Roman"/>
          <w:bCs/>
        </w:rPr>
        <w:t>), p. 360.</w:t>
      </w:r>
    </w:p>
  </w:footnote>
  <w:footnote w:id="67">
    <w:p w14:paraId="36D575BD" w14:textId="77777777"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PD55C Coronavirus: Temporary Provision in Relation to Possession Proceedings, paras 6.1 and 6.2, available at </w:t>
      </w:r>
      <w:hyperlink r:id="rId29" w:history="1">
        <w:r w:rsidRPr="005472E5">
          <w:rPr>
            <w:rStyle w:val="Hyperlink"/>
            <w:rFonts w:ascii="Times New Roman" w:hAnsi="Times New Roman" w:cs="Times New Roman"/>
          </w:rPr>
          <w:t>https://www.justice.gov.uk/courts/procedure-rules/civil/rules/practice-direction-55c-coronavirus-temporary-provision-in-relation-to-possession-proceedings</w:t>
        </w:r>
      </w:hyperlink>
      <w:r w:rsidRPr="005472E5">
        <w:rPr>
          <w:rFonts w:ascii="Times New Roman" w:hAnsi="Times New Roman" w:cs="Times New Roman"/>
        </w:rPr>
        <w:t xml:space="preserve"> </w:t>
      </w:r>
    </w:p>
  </w:footnote>
  <w:footnote w:id="68">
    <w:p w14:paraId="3612B631" w14:textId="06128E31" w:rsidR="00325965" w:rsidRPr="005472E5" w:rsidRDefault="00325965" w:rsidP="00325965">
      <w:pPr>
        <w:pStyle w:val="FootnoteText"/>
        <w:rPr>
          <w:rFonts w:ascii="Times New Roman" w:hAnsi="Times New Roman" w:cs="Times New Roman"/>
          <w:b/>
          <w:bCs/>
        </w:rPr>
      </w:pPr>
      <w:r w:rsidRPr="005472E5">
        <w:rPr>
          <w:rStyle w:val="FootnoteReference"/>
          <w:rFonts w:ascii="Times New Roman" w:hAnsi="Times New Roman" w:cs="Times New Roman"/>
        </w:rPr>
        <w:footnoteRef/>
      </w:r>
      <w:r w:rsidRPr="005472E5">
        <w:rPr>
          <w:rFonts w:ascii="Times New Roman" w:hAnsi="Times New Roman" w:cs="Times New Roman"/>
        </w:rPr>
        <w:t xml:space="preserve"> For claims issued on or after 1 December 2021 and up to 30 June 2022, PD 55C paras 6.1 and 6.2 will continue to apply. See Peaker (n </w:t>
      </w:r>
      <w:r w:rsidR="006B3D0A" w:rsidRPr="005472E5">
        <w:rPr>
          <w:rFonts w:ascii="Times New Roman" w:hAnsi="Times New Roman" w:cs="Times New Roman"/>
        </w:rPr>
        <w:t>25</w:t>
      </w:r>
      <w:r w:rsidRPr="005472E5">
        <w:rPr>
          <w:rFonts w:ascii="Times New Roman" w:hAnsi="Times New Roman" w:cs="Times New Roman"/>
        </w:rPr>
        <w:t>).</w:t>
      </w:r>
    </w:p>
  </w:footnote>
  <w:footnote w:id="69">
    <w:p w14:paraId="62DC424F" w14:textId="02A32988" w:rsidR="0087416E" w:rsidRPr="005472E5" w:rsidRDefault="0087416E" w:rsidP="0087416E">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Renton </w:t>
      </w:r>
      <w:r w:rsidR="006B3D0A" w:rsidRPr="005472E5">
        <w:rPr>
          <w:rFonts w:ascii="Times New Roman" w:hAnsi="Times New Roman" w:cs="Times New Roman"/>
        </w:rPr>
        <w:t>(n 19</w:t>
      </w:r>
      <w:r w:rsidRPr="005472E5">
        <w:rPr>
          <w:rFonts w:ascii="Times New Roman" w:hAnsi="Times New Roman" w:cs="Times New Roman"/>
        </w:rPr>
        <w:t>), p. 155.</w:t>
      </w:r>
    </w:p>
  </w:footnote>
  <w:footnote w:id="70">
    <w:p w14:paraId="06E44A2D" w14:textId="77777777"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For information on grounds for eviction see the Shelter website. For the s. 21 procedure see </w:t>
      </w:r>
      <w:hyperlink r:id="rId30" w:history="1">
        <w:r w:rsidRPr="005472E5">
          <w:rPr>
            <w:rStyle w:val="Hyperlink"/>
            <w:rFonts w:ascii="Times New Roman" w:hAnsi="Times New Roman" w:cs="Times New Roman"/>
          </w:rPr>
          <w:t>https://england.shelter.org.uk/professional_resources/legal/possession_and_eviction/notices_in_possession_proceedings/section_21_notices_for_assured_shorthold_tenancies</w:t>
        </w:r>
      </w:hyperlink>
      <w:r w:rsidRPr="005472E5">
        <w:rPr>
          <w:rFonts w:ascii="Times New Roman" w:hAnsi="Times New Roman" w:cs="Times New Roman"/>
        </w:rPr>
        <w:t xml:space="preserve"> and for Ground 8 see </w:t>
      </w:r>
      <w:hyperlink r:id="rId31" w:anchor="title-10" w:history="1">
        <w:r w:rsidRPr="005472E5">
          <w:rPr>
            <w:rStyle w:val="Hyperlink"/>
            <w:rFonts w:ascii="Times New Roman" w:hAnsi="Times New Roman" w:cs="Times New Roman"/>
          </w:rPr>
          <w:t>https://england.shelter.org.uk/professional_resources/legal/possession_and_eviction/grounds_for_possession/assured_tenancy_mandatory_grounds_for_possession#title-10</w:t>
        </w:r>
      </w:hyperlink>
      <w:r w:rsidRPr="005472E5">
        <w:rPr>
          <w:rFonts w:ascii="Times New Roman" w:hAnsi="Times New Roman" w:cs="Times New Roman"/>
        </w:rPr>
        <w:t xml:space="preserve"> </w:t>
      </w:r>
    </w:p>
  </w:footnote>
  <w:footnote w:id="71">
    <w:p w14:paraId="7EFE41B0" w14:textId="5D1EF6E1"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McClenaghan (</w:t>
      </w:r>
      <w:r w:rsidR="003569AB" w:rsidRPr="005472E5">
        <w:rPr>
          <w:rFonts w:ascii="Times New Roman" w:hAnsi="Times New Roman" w:cs="Times New Roman"/>
        </w:rPr>
        <w:t>n 7</w:t>
      </w:r>
      <w:r w:rsidRPr="005472E5">
        <w:rPr>
          <w:rFonts w:ascii="Times New Roman" w:hAnsi="Times New Roman" w:cs="Times New Roman"/>
        </w:rPr>
        <w:t>), p. 7.</w:t>
      </w:r>
    </w:p>
  </w:footnote>
  <w:footnote w:id="72">
    <w:p w14:paraId="7B2AF69E" w14:textId="69D3D7AA"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McClenaghan (</w:t>
      </w:r>
      <w:r w:rsidR="003569AB" w:rsidRPr="005472E5">
        <w:rPr>
          <w:rFonts w:ascii="Times New Roman" w:hAnsi="Times New Roman" w:cs="Times New Roman"/>
        </w:rPr>
        <w:t>n 7</w:t>
      </w:r>
      <w:r w:rsidRPr="005472E5">
        <w:rPr>
          <w:rFonts w:ascii="Times New Roman" w:hAnsi="Times New Roman" w:cs="Times New Roman"/>
        </w:rPr>
        <w:t>), p. 2.</w:t>
      </w:r>
    </w:p>
  </w:footnote>
  <w:footnote w:id="73">
    <w:p w14:paraId="3A440B01" w14:textId="542EE4AE" w:rsidR="00325965" w:rsidRPr="005472E5" w:rsidRDefault="00325965" w:rsidP="0032596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Renton (n </w:t>
      </w:r>
      <w:r w:rsidR="006B3D0A" w:rsidRPr="005472E5">
        <w:rPr>
          <w:rFonts w:ascii="Times New Roman" w:hAnsi="Times New Roman" w:cs="Times New Roman"/>
        </w:rPr>
        <w:t>19</w:t>
      </w:r>
      <w:r w:rsidRPr="005472E5">
        <w:rPr>
          <w:rFonts w:ascii="Times New Roman" w:hAnsi="Times New Roman" w:cs="Times New Roman"/>
        </w:rPr>
        <w:t>), p. 155.</w:t>
      </w:r>
    </w:p>
  </w:footnote>
  <w:footnote w:id="74">
    <w:p w14:paraId="540BDF61" w14:textId="4C6D4B84" w:rsidR="00A962EB" w:rsidRPr="005472E5" w:rsidRDefault="00A962EB">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516DFD" w:rsidRPr="005472E5">
        <w:rPr>
          <w:rFonts w:ascii="Times New Roman" w:hAnsi="Times New Roman" w:cs="Times New Roman"/>
        </w:rPr>
        <w:t xml:space="preserve">See, for example, A. Saunders and R. Young, "The Rule of Law, Due Process and Pre-Trial Criminal Justice" (1994) 47(2) </w:t>
      </w:r>
      <w:r w:rsidR="00516DFD" w:rsidRPr="005472E5">
        <w:rPr>
          <w:rFonts w:ascii="Times New Roman" w:hAnsi="Times New Roman" w:cs="Times New Roman"/>
          <w:i/>
          <w:iCs/>
        </w:rPr>
        <w:t>Current Legal Problems</w:t>
      </w:r>
      <w:r w:rsidR="00516DFD" w:rsidRPr="005472E5">
        <w:rPr>
          <w:rFonts w:ascii="Times New Roman" w:hAnsi="Times New Roman" w:cs="Times New Roman"/>
        </w:rPr>
        <w:t xml:space="preserve"> 125–156.</w:t>
      </w:r>
    </w:p>
  </w:footnote>
  <w:footnote w:id="75">
    <w:p w14:paraId="3A4214CC" w14:textId="310D996E" w:rsidR="00A962EB" w:rsidRPr="005472E5" w:rsidRDefault="00A962EB">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431A3E" w:rsidRPr="005472E5">
        <w:rPr>
          <w:rFonts w:ascii="Times New Roman" w:hAnsi="Times New Roman" w:cs="Times New Roman"/>
        </w:rPr>
        <w:t xml:space="preserve">See, for example, Galligan, </w:t>
      </w:r>
      <w:r w:rsidR="00516DFD" w:rsidRPr="005472E5">
        <w:rPr>
          <w:rFonts w:ascii="Times New Roman" w:hAnsi="Times New Roman" w:cs="Times New Roman"/>
        </w:rPr>
        <w:t xml:space="preserve">D.J., </w:t>
      </w:r>
      <w:r w:rsidR="00431A3E" w:rsidRPr="005472E5">
        <w:rPr>
          <w:rFonts w:ascii="Times New Roman" w:hAnsi="Times New Roman" w:cs="Times New Roman"/>
        </w:rPr>
        <w:t>Due Process and Fair Procedures: A Study of Administrative Procedures (Oxford: Clarendon Press, 1996), p.xvii</w:t>
      </w:r>
      <w:r w:rsidR="00516DFD" w:rsidRPr="005472E5">
        <w:rPr>
          <w:rFonts w:ascii="Times New Roman" w:hAnsi="Times New Roman" w:cs="Times New Roman"/>
        </w:rPr>
        <w:t xml:space="preserve">, Scanlon, T., "Due Process" (1977) 18 </w:t>
      </w:r>
      <w:r w:rsidR="00516DFD" w:rsidRPr="005472E5">
        <w:rPr>
          <w:rFonts w:ascii="Times New Roman" w:hAnsi="Times New Roman" w:cs="Times New Roman"/>
          <w:i/>
          <w:iCs/>
        </w:rPr>
        <w:t>Nomos</w:t>
      </w:r>
      <w:r w:rsidR="00516DFD" w:rsidRPr="005472E5">
        <w:rPr>
          <w:rFonts w:ascii="Times New Roman" w:hAnsi="Times New Roman" w:cs="Times New Roman"/>
        </w:rPr>
        <w:t xml:space="preserve"> 93–125</w:t>
      </w:r>
    </w:p>
  </w:footnote>
  <w:footnote w:id="76">
    <w:p w14:paraId="23528641" w14:textId="77777777" w:rsidR="0094079A" w:rsidRPr="005472E5" w:rsidRDefault="0094079A" w:rsidP="0094079A">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Rugg, J. and Wallace, A., ‘Property supply to the lower end of the English private rented sector’, Nationwide Foundation and University of York 2021, p. 108, available at </w:t>
      </w:r>
      <w:hyperlink r:id="rId32" w:history="1">
        <w:r w:rsidRPr="005472E5">
          <w:rPr>
            <w:rStyle w:val="Hyperlink"/>
            <w:rFonts w:ascii="Times New Roman" w:hAnsi="Times New Roman" w:cs="Times New Roman"/>
          </w:rPr>
          <w:t>https://www.york.ac.uk/media/chp/documents/Sustainable-Private-Rented-Sector.pdf</w:t>
        </w:r>
      </w:hyperlink>
      <w:r w:rsidRPr="005472E5">
        <w:rPr>
          <w:rFonts w:ascii="Times New Roman" w:hAnsi="Times New Roman" w:cs="Times New Roman"/>
        </w:rPr>
        <w:t xml:space="preserve"> </w:t>
      </w:r>
    </w:p>
  </w:footnote>
  <w:footnote w:id="77">
    <w:p w14:paraId="069BA3D5" w14:textId="6507D5B7" w:rsidR="005B6C90" w:rsidRPr="005472E5" w:rsidRDefault="005B6C90" w:rsidP="005B6C90">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7877E0" w:rsidRPr="005472E5">
        <w:rPr>
          <w:rFonts w:ascii="Times New Roman" w:hAnsi="Times New Roman" w:cs="Times New Roman"/>
          <w:bCs/>
          <w:iCs/>
        </w:rPr>
        <w:t>Bright and Whitehouse (n 19).</w:t>
      </w:r>
    </w:p>
  </w:footnote>
  <w:footnote w:id="78">
    <w:p w14:paraId="46414BE6" w14:textId="6543A83A" w:rsidR="003263A5" w:rsidRPr="005472E5" w:rsidRDefault="003263A5">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w:t>
      </w:r>
      <w:r w:rsidR="007877E0" w:rsidRPr="005472E5">
        <w:rPr>
          <w:rFonts w:ascii="Times New Roman" w:hAnsi="Times New Roman" w:cs="Times New Roman"/>
        </w:rPr>
        <w:t xml:space="preserve">See, for example, </w:t>
      </w:r>
      <w:r w:rsidR="007877E0" w:rsidRPr="005472E5">
        <w:rPr>
          <w:rFonts w:ascii="Times New Roman" w:hAnsi="Times New Roman" w:cs="Times New Roman"/>
          <w:bCs/>
          <w:iCs/>
        </w:rPr>
        <w:t xml:space="preserve">Bright and Whitehouse (n 19) and </w:t>
      </w:r>
      <w:r w:rsidR="007877E0" w:rsidRPr="005472E5">
        <w:rPr>
          <w:rFonts w:ascii="Times New Roman" w:hAnsi="Times New Roman" w:cs="Times New Roman"/>
        </w:rPr>
        <w:t xml:space="preserve">Fouzder, M., ‘News focus: Red alert on legal advice deserts’, </w:t>
      </w:r>
      <w:r w:rsidR="007877E0" w:rsidRPr="005472E5">
        <w:rPr>
          <w:rFonts w:ascii="Times New Roman" w:hAnsi="Times New Roman" w:cs="Times New Roman"/>
          <w:i/>
          <w:iCs/>
        </w:rPr>
        <w:t>The Law Society Gazette</w:t>
      </w:r>
      <w:r w:rsidR="007877E0" w:rsidRPr="005472E5">
        <w:rPr>
          <w:rFonts w:ascii="Times New Roman" w:hAnsi="Times New Roman" w:cs="Times New Roman"/>
        </w:rPr>
        <w:t xml:space="preserve">, 4 October 2021, available at </w:t>
      </w:r>
      <w:hyperlink r:id="rId33" w:history="1">
        <w:r w:rsidR="007877E0" w:rsidRPr="005472E5">
          <w:rPr>
            <w:rStyle w:val="Hyperlink"/>
            <w:rFonts w:ascii="Times New Roman" w:hAnsi="Times New Roman" w:cs="Times New Roman"/>
          </w:rPr>
          <w:t>https://www.lawgazette.co.uk/news-focus/news-focus-red-alert-on-legal-advice-deserts/5110020.article</w:t>
        </w:r>
      </w:hyperlink>
    </w:p>
  </w:footnote>
  <w:footnote w:id="79">
    <w:p w14:paraId="1B5831F4" w14:textId="5F8DD68B" w:rsidR="00C12F60" w:rsidRPr="005472E5" w:rsidRDefault="00C12F60" w:rsidP="00C12F60">
      <w:pPr>
        <w:pStyle w:val="FootnoteText"/>
        <w:rPr>
          <w:rFonts w:ascii="Times New Roman" w:hAnsi="Times New Roman" w:cs="Times New Roman"/>
        </w:rPr>
      </w:pPr>
      <w:r w:rsidRPr="005472E5">
        <w:rPr>
          <w:rStyle w:val="FootnoteReference"/>
          <w:rFonts w:ascii="Times New Roman" w:hAnsi="Times New Roman" w:cs="Times New Roman"/>
        </w:rPr>
        <w:footnoteRef/>
      </w:r>
      <w:r w:rsidRPr="005472E5">
        <w:rPr>
          <w:rFonts w:ascii="Times New Roman" w:hAnsi="Times New Roman" w:cs="Times New Roman"/>
        </w:rPr>
        <w:t xml:space="preserve"> The Lord Chancellor, the Lord Chief Justice and the Senior President of Tribunals, ‘Transforming Our Justice System’, September 2016, </w:t>
      </w:r>
      <w:r w:rsidR="003A0EFB" w:rsidRPr="005472E5">
        <w:rPr>
          <w:rFonts w:ascii="Times New Roman" w:hAnsi="Times New Roman" w:cs="Times New Roman"/>
        </w:rPr>
        <w:t xml:space="preserve">p. 4, </w:t>
      </w:r>
      <w:r w:rsidRPr="005472E5">
        <w:rPr>
          <w:rFonts w:ascii="Times New Roman" w:hAnsi="Times New Roman" w:cs="Times New Roman"/>
        </w:rPr>
        <w:t xml:space="preserve">available at </w:t>
      </w:r>
      <w:hyperlink r:id="rId34" w:history="1">
        <w:r w:rsidRPr="005472E5">
          <w:rPr>
            <w:rStyle w:val="Hyperlink"/>
            <w:rFonts w:ascii="Times New Roman" w:hAnsi="Times New Roman" w:cs="Times New Roman"/>
          </w:rPr>
          <w:t>https://assets.publishing.service.gov.uk/government/uploads/system/uploads/attachment_data/file/553261/joint-vision-statement.pdf</w:t>
        </w:r>
      </w:hyperlink>
      <w:r w:rsidRPr="005472E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6D7"/>
    <w:multiLevelType w:val="multilevel"/>
    <w:tmpl w:val="8E9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23600"/>
    <w:multiLevelType w:val="multilevel"/>
    <w:tmpl w:val="B46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F5E6B"/>
    <w:multiLevelType w:val="multilevel"/>
    <w:tmpl w:val="143C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96213"/>
    <w:multiLevelType w:val="multilevel"/>
    <w:tmpl w:val="5F50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346A0"/>
    <w:multiLevelType w:val="multilevel"/>
    <w:tmpl w:val="5370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D92A2D"/>
    <w:multiLevelType w:val="hybridMultilevel"/>
    <w:tmpl w:val="65B43EE0"/>
    <w:lvl w:ilvl="0" w:tplc="08090017">
      <w:start w:val="1"/>
      <w:numFmt w:val="lowerLetter"/>
      <w:lvlText w:val="%1)"/>
      <w:lvlJc w:val="left"/>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32C14589"/>
    <w:multiLevelType w:val="multilevel"/>
    <w:tmpl w:val="B97C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5367B1"/>
    <w:multiLevelType w:val="multilevel"/>
    <w:tmpl w:val="5A6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0566D"/>
    <w:multiLevelType w:val="hybridMultilevel"/>
    <w:tmpl w:val="D286DA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E190F05"/>
    <w:multiLevelType w:val="hybridMultilevel"/>
    <w:tmpl w:val="AEBE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B0318"/>
    <w:multiLevelType w:val="hybridMultilevel"/>
    <w:tmpl w:val="C256F7CA"/>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11" w15:restartNumberingAfterBreak="0">
    <w:nsid w:val="4D1D2917"/>
    <w:multiLevelType w:val="multilevel"/>
    <w:tmpl w:val="3842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D594C"/>
    <w:multiLevelType w:val="multilevel"/>
    <w:tmpl w:val="22D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D0414"/>
    <w:multiLevelType w:val="multilevel"/>
    <w:tmpl w:val="3BC2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B2593"/>
    <w:multiLevelType w:val="multilevel"/>
    <w:tmpl w:val="56C2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C0837"/>
    <w:multiLevelType w:val="multilevel"/>
    <w:tmpl w:val="ACD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C742B"/>
    <w:multiLevelType w:val="hybridMultilevel"/>
    <w:tmpl w:val="D502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1171B"/>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9B15DA2"/>
    <w:multiLevelType w:val="multilevel"/>
    <w:tmpl w:val="ADA2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391C59"/>
    <w:multiLevelType w:val="multilevel"/>
    <w:tmpl w:val="895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9"/>
  </w:num>
  <w:num w:numId="5">
    <w:abstractNumId w:val="13"/>
  </w:num>
  <w:num w:numId="6">
    <w:abstractNumId w:val="7"/>
  </w:num>
  <w:num w:numId="7">
    <w:abstractNumId w:val="1"/>
  </w:num>
  <w:num w:numId="8">
    <w:abstractNumId w:val="11"/>
  </w:num>
  <w:num w:numId="9">
    <w:abstractNumId w:val="14"/>
  </w:num>
  <w:num w:numId="10">
    <w:abstractNumId w:val="6"/>
  </w:num>
  <w:num w:numId="11">
    <w:abstractNumId w:val="17"/>
  </w:num>
  <w:num w:numId="12">
    <w:abstractNumId w:val="18"/>
  </w:num>
  <w:num w:numId="13">
    <w:abstractNumId w:val="4"/>
  </w:num>
  <w:num w:numId="14">
    <w:abstractNumId w:val="10"/>
  </w:num>
  <w:num w:numId="15">
    <w:abstractNumId w:val="15"/>
  </w:num>
  <w:num w:numId="16">
    <w:abstractNumId w:val="9"/>
  </w:num>
  <w:num w:numId="17">
    <w:abstractNumId w:val="12"/>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46"/>
    <w:rsid w:val="000029F0"/>
    <w:rsid w:val="00006279"/>
    <w:rsid w:val="000120B3"/>
    <w:rsid w:val="00013522"/>
    <w:rsid w:val="00013BBF"/>
    <w:rsid w:val="00015F94"/>
    <w:rsid w:val="000206DC"/>
    <w:rsid w:val="00023714"/>
    <w:rsid w:val="00024627"/>
    <w:rsid w:val="00024D24"/>
    <w:rsid w:val="000265AE"/>
    <w:rsid w:val="0003381B"/>
    <w:rsid w:val="00036835"/>
    <w:rsid w:val="000379FA"/>
    <w:rsid w:val="00055538"/>
    <w:rsid w:val="00055BBE"/>
    <w:rsid w:val="00057802"/>
    <w:rsid w:val="00061134"/>
    <w:rsid w:val="00063118"/>
    <w:rsid w:val="00067FAD"/>
    <w:rsid w:val="00077785"/>
    <w:rsid w:val="00081AE5"/>
    <w:rsid w:val="000C2C1E"/>
    <w:rsid w:val="000C39F0"/>
    <w:rsid w:val="000D4C5D"/>
    <w:rsid w:val="000D5F84"/>
    <w:rsid w:val="000D627E"/>
    <w:rsid w:val="000D6CEC"/>
    <w:rsid w:val="000E0DE7"/>
    <w:rsid w:val="000E1E28"/>
    <w:rsid w:val="000E45BF"/>
    <w:rsid w:val="000E46DA"/>
    <w:rsid w:val="000E7D4B"/>
    <w:rsid w:val="000F2E29"/>
    <w:rsid w:val="000F57C6"/>
    <w:rsid w:val="00100D00"/>
    <w:rsid w:val="00104A75"/>
    <w:rsid w:val="00105DE3"/>
    <w:rsid w:val="00106D1F"/>
    <w:rsid w:val="00120BD4"/>
    <w:rsid w:val="00122CD4"/>
    <w:rsid w:val="00124175"/>
    <w:rsid w:val="001301EE"/>
    <w:rsid w:val="00130677"/>
    <w:rsid w:val="00135C1E"/>
    <w:rsid w:val="00137246"/>
    <w:rsid w:val="00141F9F"/>
    <w:rsid w:val="00145C2F"/>
    <w:rsid w:val="0014619E"/>
    <w:rsid w:val="001507D1"/>
    <w:rsid w:val="00157BDD"/>
    <w:rsid w:val="0016199B"/>
    <w:rsid w:val="00165122"/>
    <w:rsid w:val="001679A0"/>
    <w:rsid w:val="001709BE"/>
    <w:rsid w:val="00171B23"/>
    <w:rsid w:val="00191072"/>
    <w:rsid w:val="001917FF"/>
    <w:rsid w:val="001936D1"/>
    <w:rsid w:val="001939E8"/>
    <w:rsid w:val="00195E4F"/>
    <w:rsid w:val="001A2520"/>
    <w:rsid w:val="001A5F4E"/>
    <w:rsid w:val="001B0B0C"/>
    <w:rsid w:val="001B32D5"/>
    <w:rsid w:val="001B3E25"/>
    <w:rsid w:val="001C1B2C"/>
    <w:rsid w:val="001C43A8"/>
    <w:rsid w:val="001D0A1B"/>
    <w:rsid w:val="001D2798"/>
    <w:rsid w:val="001D537E"/>
    <w:rsid w:val="001D7365"/>
    <w:rsid w:val="001E231D"/>
    <w:rsid w:val="001E3C3A"/>
    <w:rsid w:val="001E71D9"/>
    <w:rsid w:val="001F2D2F"/>
    <w:rsid w:val="001F41E0"/>
    <w:rsid w:val="001F4A15"/>
    <w:rsid w:val="001F6CBA"/>
    <w:rsid w:val="001F700B"/>
    <w:rsid w:val="001F7050"/>
    <w:rsid w:val="00206E35"/>
    <w:rsid w:val="00215DC6"/>
    <w:rsid w:val="00221E04"/>
    <w:rsid w:val="0022462F"/>
    <w:rsid w:val="00230A77"/>
    <w:rsid w:val="002345AE"/>
    <w:rsid w:val="00240672"/>
    <w:rsid w:val="0024079D"/>
    <w:rsid w:val="00253B22"/>
    <w:rsid w:val="00260501"/>
    <w:rsid w:val="00261189"/>
    <w:rsid w:val="00261D4F"/>
    <w:rsid w:val="00263851"/>
    <w:rsid w:val="00265307"/>
    <w:rsid w:val="00270850"/>
    <w:rsid w:val="00274A16"/>
    <w:rsid w:val="00274A93"/>
    <w:rsid w:val="00277CB4"/>
    <w:rsid w:val="00290517"/>
    <w:rsid w:val="002963F9"/>
    <w:rsid w:val="002970BC"/>
    <w:rsid w:val="002A649F"/>
    <w:rsid w:val="002B530E"/>
    <w:rsid w:val="002B6622"/>
    <w:rsid w:val="002C0D72"/>
    <w:rsid w:val="002C3B14"/>
    <w:rsid w:val="002C7DA0"/>
    <w:rsid w:val="002D39DD"/>
    <w:rsid w:val="002E0981"/>
    <w:rsid w:val="002E3201"/>
    <w:rsid w:val="002E79C4"/>
    <w:rsid w:val="002F181A"/>
    <w:rsid w:val="002F2B93"/>
    <w:rsid w:val="002F60F6"/>
    <w:rsid w:val="002F6188"/>
    <w:rsid w:val="002F7E0A"/>
    <w:rsid w:val="003055BB"/>
    <w:rsid w:val="0031189A"/>
    <w:rsid w:val="00321A36"/>
    <w:rsid w:val="003229E5"/>
    <w:rsid w:val="0032342E"/>
    <w:rsid w:val="003237D0"/>
    <w:rsid w:val="00325965"/>
    <w:rsid w:val="003263A5"/>
    <w:rsid w:val="00334D2B"/>
    <w:rsid w:val="00341180"/>
    <w:rsid w:val="00344DC5"/>
    <w:rsid w:val="0034712E"/>
    <w:rsid w:val="00352BAD"/>
    <w:rsid w:val="0035340F"/>
    <w:rsid w:val="003554B4"/>
    <w:rsid w:val="003569AB"/>
    <w:rsid w:val="00356B7D"/>
    <w:rsid w:val="00356BB0"/>
    <w:rsid w:val="00357304"/>
    <w:rsid w:val="00363761"/>
    <w:rsid w:val="003725CB"/>
    <w:rsid w:val="0037261D"/>
    <w:rsid w:val="00375F37"/>
    <w:rsid w:val="00386B7A"/>
    <w:rsid w:val="003A0EFB"/>
    <w:rsid w:val="003A4F6D"/>
    <w:rsid w:val="003A510E"/>
    <w:rsid w:val="003A5158"/>
    <w:rsid w:val="003B1487"/>
    <w:rsid w:val="003B1C80"/>
    <w:rsid w:val="003B6257"/>
    <w:rsid w:val="003C1DE0"/>
    <w:rsid w:val="003C3937"/>
    <w:rsid w:val="003D2BF2"/>
    <w:rsid w:val="003D41C5"/>
    <w:rsid w:val="003D4FAE"/>
    <w:rsid w:val="003E59DC"/>
    <w:rsid w:val="003E6B12"/>
    <w:rsid w:val="003F0B24"/>
    <w:rsid w:val="003F2172"/>
    <w:rsid w:val="003F4551"/>
    <w:rsid w:val="003F49B2"/>
    <w:rsid w:val="003F4E3C"/>
    <w:rsid w:val="003F56FB"/>
    <w:rsid w:val="003F68DC"/>
    <w:rsid w:val="00401E6E"/>
    <w:rsid w:val="0040332C"/>
    <w:rsid w:val="004065F4"/>
    <w:rsid w:val="004137B4"/>
    <w:rsid w:val="004152D9"/>
    <w:rsid w:val="00415CF9"/>
    <w:rsid w:val="004201B4"/>
    <w:rsid w:val="00421806"/>
    <w:rsid w:val="00423768"/>
    <w:rsid w:val="004244E1"/>
    <w:rsid w:val="00427196"/>
    <w:rsid w:val="00431A3E"/>
    <w:rsid w:val="0044355E"/>
    <w:rsid w:val="00445F0A"/>
    <w:rsid w:val="004474DC"/>
    <w:rsid w:val="00447E6D"/>
    <w:rsid w:val="004579C0"/>
    <w:rsid w:val="00461ABB"/>
    <w:rsid w:val="004641DD"/>
    <w:rsid w:val="00464AF7"/>
    <w:rsid w:val="004708C7"/>
    <w:rsid w:val="004710F5"/>
    <w:rsid w:val="004731B0"/>
    <w:rsid w:val="004835E5"/>
    <w:rsid w:val="00484A35"/>
    <w:rsid w:val="00485A4D"/>
    <w:rsid w:val="0048651C"/>
    <w:rsid w:val="004875C6"/>
    <w:rsid w:val="00494B94"/>
    <w:rsid w:val="00495EAD"/>
    <w:rsid w:val="00496E5E"/>
    <w:rsid w:val="004A5CD9"/>
    <w:rsid w:val="004A6F0C"/>
    <w:rsid w:val="004B4691"/>
    <w:rsid w:val="004C50DE"/>
    <w:rsid w:val="004D6A5F"/>
    <w:rsid w:val="004E3113"/>
    <w:rsid w:val="004E4708"/>
    <w:rsid w:val="004E4E26"/>
    <w:rsid w:val="004F4E60"/>
    <w:rsid w:val="004F5586"/>
    <w:rsid w:val="005047E3"/>
    <w:rsid w:val="00504B12"/>
    <w:rsid w:val="00507852"/>
    <w:rsid w:val="005150D1"/>
    <w:rsid w:val="00516DFD"/>
    <w:rsid w:val="0051760F"/>
    <w:rsid w:val="00520A4C"/>
    <w:rsid w:val="00521F7C"/>
    <w:rsid w:val="00522E91"/>
    <w:rsid w:val="005301B0"/>
    <w:rsid w:val="00534FB9"/>
    <w:rsid w:val="0053679D"/>
    <w:rsid w:val="005472E5"/>
    <w:rsid w:val="00547F55"/>
    <w:rsid w:val="00550469"/>
    <w:rsid w:val="00550C28"/>
    <w:rsid w:val="00551D7D"/>
    <w:rsid w:val="00573296"/>
    <w:rsid w:val="00576136"/>
    <w:rsid w:val="00584AB0"/>
    <w:rsid w:val="00590C70"/>
    <w:rsid w:val="00596500"/>
    <w:rsid w:val="00596DF0"/>
    <w:rsid w:val="005A1E13"/>
    <w:rsid w:val="005A1EB1"/>
    <w:rsid w:val="005A57C9"/>
    <w:rsid w:val="005A63E7"/>
    <w:rsid w:val="005B3746"/>
    <w:rsid w:val="005B37C6"/>
    <w:rsid w:val="005B6C90"/>
    <w:rsid w:val="005C2D11"/>
    <w:rsid w:val="005C2FC6"/>
    <w:rsid w:val="005D5C4C"/>
    <w:rsid w:val="005F4D5D"/>
    <w:rsid w:val="00613CEA"/>
    <w:rsid w:val="0061555D"/>
    <w:rsid w:val="00616A0D"/>
    <w:rsid w:val="00617895"/>
    <w:rsid w:val="00620B5F"/>
    <w:rsid w:val="0062317E"/>
    <w:rsid w:val="00631EB2"/>
    <w:rsid w:val="006429FB"/>
    <w:rsid w:val="00645696"/>
    <w:rsid w:val="00646F39"/>
    <w:rsid w:val="006518BF"/>
    <w:rsid w:val="00653742"/>
    <w:rsid w:val="0066114D"/>
    <w:rsid w:val="006658CE"/>
    <w:rsid w:val="0067075F"/>
    <w:rsid w:val="00677CEB"/>
    <w:rsid w:val="00682431"/>
    <w:rsid w:val="00684036"/>
    <w:rsid w:val="00686D0E"/>
    <w:rsid w:val="0068708A"/>
    <w:rsid w:val="00693E64"/>
    <w:rsid w:val="006968CF"/>
    <w:rsid w:val="00696D17"/>
    <w:rsid w:val="006A0A8A"/>
    <w:rsid w:val="006A25E7"/>
    <w:rsid w:val="006A2E8D"/>
    <w:rsid w:val="006A436B"/>
    <w:rsid w:val="006A527C"/>
    <w:rsid w:val="006A6C02"/>
    <w:rsid w:val="006B3D0A"/>
    <w:rsid w:val="006B4586"/>
    <w:rsid w:val="006B4C7D"/>
    <w:rsid w:val="006C0490"/>
    <w:rsid w:val="006D1F3E"/>
    <w:rsid w:val="006D316F"/>
    <w:rsid w:val="006E0F67"/>
    <w:rsid w:val="006E18DF"/>
    <w:rsid w:val="006E50BE"/>
    <w:rsid w:val="006E7AD4"/>
    <w:rsid w:val="006F0910"/>
    <w:rsid w:val="006F5A35"/>
    <w:rsid w:val="00721D48"/>
    <w:rsid w:val="0072216D"/>
    <w:rsid w:val="00722422"/>
    <w:rsid w:val="00724ACE"/>
    <w:rsid w:val="00730374"/>
    <w:rsid w:val="007341A4"/>
    <w:rsid w:val="007472E6"/>
    <w:rsid w:val="00747660"/>
    <w:rsid w:val="00750548"/>
    <w:rsid w:val="0075478D"/>
    <w:rsid w:val="007757E9"/>
    <w:rsid w:val="007848BA"/>
    <w:rsid w:val="007877E0"/>
    <w:rsid w:val="00787A9A"/>
    <w:rsid w:val="00793946"/>
    <w:rsid w:val="007A0D38"/>
    <w:rsid w:val="007A4782"/>
    <w:rsid w:val="007B3731"/>
    <w:rsid w:val="007B77DB"/>
    <w:rsid w:val="007C3772"/>
    <w:rsid w:val="007C569E"/>
    <w:rsid w:val="007D0C47"/>
    <w:rsid w:val="007D4311"/>
    <w:rsid w:val="007D49B9"/>
    <w:rsid w:val="007D52D6"/>
    <w:rsid w:val="007E7CC2"/>
    <w:rsid w:val="007F1F98"/>
    <w:rsid w:val="00810B32"/>
    <w:rsid w:val="00812E24"/>
    <w:rsid w:val="00813893"/>
    <w:rsid w:val="00821D65"/>
    <w:rsid w:val="00830F74"/>
    <w:rsid w:val="008327C4"/>
    <w:rsid w:val="00833548"/>
    <w:rsid w:val="00836EED"/>
    <w:rsid w:val="00840E56"/>
    <w:rsid w:val="00842D7F"/>
    <w:rsid w:val="0085265A"/>
    <w:rsid w:val="0085667F"/>
    <w:rsid w:val="00866B22"/>
    <w:rsid w:val="00867702"/>
    <w:rsid w:val="00873D9B"/>
    <w:rsid w:val="0087416E"/>
    <w:rsid w:val="00874591"/>
    <w:rsid w:val="00875B67"/>
    <w:rsid w:val="00875D85"/>
    <w:rsid w:val="00891500"/>
    <w:rsid w:val="008950AD"/>
    <w:rsid w:val="008A0D23"/>
    <w:rsid w:val="008A470F"/>
    <w:rsid w:val="008B5D47"/>
    <w:rsid w:val="008C14F6"/>
    <w:rsid w:val="008C3DCA"/>
    <w:rsid w:val="008C63E1"/>
    <w:rsid w:val="008C75A5"/>
    <w:rsid w:val="008D29EE"/>
    <w:rsid w:val="008D345B"/>
    <w:rsid w:val="008D3750"/>
    <w:rsid w:val="008D44BD"/>
    <w:rsid w:val="008D5179"/>
    <w:rsid w:val="008D5EFA"/>
    <w:rsid w:val="008E5056"/>
    <w:rsid w:val="008F4B1D"/>
    <w:rsid w:val="00901985"/>
    <w:rsid w:val="00901B7B"/>
    <w:rsid w:val="00911F58"/>
    <w:rsid w:val="0091275F"/>
    <w:rsid w:val="00917C84"/>
    <w:rsid w:val="00920819"/>
    <w:rsid w:val="00921908"/>
    <w:rsid w:val="00930AB1"/>
    <w:rsid w:val="00935215"/>
    <w:rsid w:val="00937967"/>
    <w:rsid w:val="0094079A"/>
    <w:rsid w:val="0094090B"/>
    <w:rsid w:val="00944D6C"/>
    <w:rsid w:val="009520A9"/>
    <w:rsid w:val="00955141"/>
    <w:rsid w:val="00956BFB"/>
    <w:rsid w:val="00957113"/>
    <w:rsid w:val="00960D4D"/>
    <w:rsid w:val="00962268"/>
    <w:rsid w:val="00975756"/>
    <w:rsid w:val="00977289"/>
    <w:rsid w:val="009907E6"/>
    <w:rsid w:val="0099140E"/>
    <w:rsid w:val="009935E7"/>
    <w:rsid w:val="00996063"/>
    <w:rsid w:val="009A13D1"/>
    <w:rsid w:val="009A42F2"/>
    <w:rsid w:val="009B09BC"/>
    <w:rsid w:val="009B11A5"/>
    <w:rsid w:val="009B2927"/>
    <w:rsid w:val="009B3CB3"/>
    <w:rsid w:val="009B58D0"/>
    <w:rsid w:val="009B75A7"/>
    <w:rsid w:val="009C3303"/>
    <w:rsid w:val="009C364F"/>
    <w:rsid w:val="009D1550"/>
    <w:rsid w:val="009D3D59"/>
    <w:rsid w:val="009D5096"/>
    <w:rsid w:val="009D511D"/>
    <w:rsid w:val="009D5775"/>
    <w:rsid w:val="009D74D5"/>
    <w:rsid w:val="009E0E0C"/>
    <w:rsid w:val="009E1461"/>
    <w:rsid w:val="009E2050"/>
    <w:rsid w:val="009E4AE7"/>
    <w:rsid w:val="009E7E68"/>
    <w:rsid w:val="009F4A02"/>
    <w:rsid w:val="009F6DAE"/>
    <w:rsid w:val="00A03706"/>
    <w:rsid w:val="00A037D3"/>
    <w:rsid w:val="00A10992"/>
    <w:rsid w:val="00A14633"/>
    <w:rsid w:val="00A22223"/>
    <w:rsid w:val="00A26210"/>
    <w:rsid w:val="00A301AC"/>
    <w:rsid w:val="00A37A83"/>
    <w:rsid w:val="00A37AB5"/>
    <w:rsid w:val="00A50531"/>
    <w:rsid w:val="00A54952"/>
    <w:rsid w:val="00A605F7"/>
    <w:rsid w:val="00A6152B"/>
    <w:rsid w:val="00A625EC"/>
    <w:rsid w:val="00A659E9"/>
    <w:rsid w:val="00A76BDA"/>
    <w:rsid w:val="00A855EA"/>
    <w:rsid w:val="00A862B2"/>
    <w:rsid w:val="00A94132"/>
    <w:rsid w:val="00A962EB"/>
    <w:rsid w:val="00AA472B"/>
    <w:rsid w:val="00AB4347"/>
    <w:rsid w:val="00AB7966"/>
    <w:rsid w:val="00AC27D1"/>
    <w:rsid w:val="00AC7603"/>
    <w:rsid w:val="00AE1D9F"/>
    <w:rsid w:val="00AF1B44"/>
    <w:rsid w:val="00AF3F1C"/>
    <w:rsid w:val="00B001FD"/>
    <w:rsid w:val="00B0020D"/>
    <w:rsid w:val="00B0604D"/>
    <w:rsid w:val="00B1348F"/>
    <w:rsid w:val="00B22C5C"/>
    <w:rsid w:val="00B306B5"/>
    <w:rsid w:val="00B35941"/>
    <w:rsid w:val="00B41AB1"/>
    <w:rsid w:val="00B41D0C"/>
    <w:rsid w:val="00B4657B"/>
    <w:rsid w:val="00B5021F"/>
    <w:rsid w:val="00B505B7"/>
    <w:rsid w:val="00B5503B"/>
    <w:rsid w:val="00B57783"/>
    <w:rsid w:val="00B60706"/>
    <w:rsid w:val="00B630FA"/>
    <w:rsid w:val="00B63AAC"/>
    <w:rsid w:val="00B63C73"/>
    <w:rsid w:val="00B6512C"/>
    <w:rsid w:val="00B657B0"/>
    <w:rsid w:val="00B65C66"/>
    <w:rsid w:val="00B70815"/>
    <w:rsid w:val="00B721DC"/>
    <w:rsid w:val="00B72B6F"/>
    <w:rsid w:val="00B84286"/>
    <w:rsid w:val="00B867C3"/>
    <w:rsid w:val="00B87A70"/>
    <w:rsid w:val="00B920DE"/>
    <w:rsid w:val="00BA33EB"/>
    <w:rsid w:val="00BA45E5"/>
    <w:rsid w:val="00BB359C"/>
    <w:rsid w:val="00BC095B"/>
    <w:rsid w:val="00BD343B"/>
    <w:rsid w:val="00BD3D64"/>
    <w:rsid w:val="00BD453B"/>
    <w:rsid w:val="00BD45A5"/>
    <w:rsid w:val="00BD7123"/>
    <w:rsid w:val="00BE4DF7"/>
    <w:rsid w:val="00C01522"/>
    <w:rsid w:val="00C07A5B"/>
    <w:rsid w:val="00C103E0"/>
    <w:rsid w:val="00C12F60"/>
    <w:rsid w:val="00C15601"/>
    <w:rsid w:val="00C17D61"/>
    <w:rsid w:val="00C227D8"/>
    <w:rsid w:val="00C270AD"/>
    <w:rsid w:val="00C353A8"/>
    <w:rsid w:val="00C4039C"/>
    <w:rsid w:val="00C4113F"/>
    <w:rsid w:val="00C4323A"/>
    <w:rsid w:val="00C44F8E"/>
    <w:rsid w:val="00C50C72"/>
    <w:rsid w:val="00C54186"/>
    <w:rsid w:val="00C5781A"/>
    <w:rsid w:val="00C63A39"/>
    <w:rsid w:val="00C73813"/>
    <w:rsid w:val="00C74D6A"/>
    <w:rsid w:val="00C77274"/>
    <w:rsid w:val="00C80116"/>
    <w:rsid w:val="00C87A31"/>
    <w:rsid w:val="00C87B97"/>
    <w:rsid w:val="00C96A04"/>
    <w:rsid w:val="00CA117F"/>
    <w:rsid w:val="00CA1F44"/>
    <w:rsid w:val="00CB1E29"/>
    <w:rsid w:val="00CC3470"/>
    <w:rsid w:val="00CC4D7B"/>
    <w:rsid w:val="00CC69E8"/>
    <w:rsid w:val="00CC706C"/>
    <w:rsid w:val="00CD2901"/>
    <w:rsid w:val="00CD594E"/>
    <w:rsid w:val="00CD5EE4"/>
    <w:rsid w:val="00CD79AF"/>
    <w:rsid w:val="00CE0705"/>
    <w:rsid w:val="00CE0E32"/>
    <w:rsid w:val="00CE3917"/>
    <w:rsid w:val="00CE45DB"/>
    <w:rsid w:val="00CE6808"/>
    <w:rsid w:val="00CF3A75"/>
    <w:rsid w:val="00CF4438"/>
    <w:rsid w:val="00CF48F9"/>
    <w:rsid w:val="00CF5BAB"/>
    <w:rsid w:val="00D04566"/>
    <w:rsid w:val="00D058B0"/>
    <w:rsid w:val="00D139DF"/>
    <w:rsid w:val="00D14D34"/>
    <w:rsid w:val="00D16905"/>
    <w:rsid w:val="00D21342"/>
    <w:rsid w:val="00D23406"/>
    <w:rsid w:val="00D250C0"/>
    <w:rsid w:val="00D332C5"/>
    <w:rsid w:val="00D44500"/>
    <w:rsid w:val="00D54A54"/>
    <w:rsid w:val="00D55C4F"/>
    <w:rsid w:val="00D606AD"/>
    <w:rsid w:val="00D666F9"/>
    <w:rsid w:val="00D66FFA"/>
    <w:rsid w:val="00D7236D"/>
    <w:rsid w:val="00D7291B"/>
    <w:rsid w:val="00D7744A"/>
    <w:rsid w:val="00D83108"/>
    <w:rsid w:val="00D87959"/>
    <w:rsid w:val="00D90535"/>
    <w:rsid w:val="00D955F7"/>
    <w:rsid w:val="00D95622"/>
    <w:rsid w:val="00D95EC2"/>
    <w:rsid w:val="00D960DD"/>
    <w:rsid w:val="00DA0357"/>
    <w:rsid w:val="00DA0504"/>
    <w:rsid w:val="00DA1D5B"/>
    <w:rsid w:val="00DA20F5"/>
    <w:rsid w:val="00DA74E3"/>
    <w:rsid w:val="00DB04F7"/>
    <w:rsid w:val="00DB0E7B"/>
    <w:rsid w:val="00DB70A0"/>
    <w:rsid w:val="00DB72B1"/>
    <w:rsid w:val="00DC0B36"/>
    <w:rsid w:val="00DC0C05"/>
    <w:rsid w:val="00DC2AAC"/>
    <w:rsid w:val="00DC578A"/>
    <w:rsid w:val="00DD57A4"/>
    <w:rsid w:val="00DD793E"/>
    <w:rsid w:val="00DE18D4"/>
    <w:rsid w:val="00DE347F"/>
    <w:rsid w:val="00DE3D92"/>
    <w:rsid w:val="00DE5C2A"/>
    <w:rsid w:val="00DF0F19"/>
    <w:rsid w:val="00DF167C"/>
    <w:rsid w:val="00DF17B1"/>
    <w:rsid w:val="00DF3A44"/>
    <w:rsid w:val="00E12B57"/>
    <w:rsid w:val="00E16E61"/>
    <w:rsid w:val="00E23BAB"/>
    <w:rsid w:val="00E25C83"/>
    <w:rsid w:val="00E265CB"/>
    <w:rsid w:val="00E27599"/>
    <w:rsid w:val="00E33534"/>
    <w:rsid w:val="00E35D3A"/>
    <w:rsid w:val="00E362B6"/>
    <w:rsid w:val="00E42A18"/>
    <w:rsid w:val="00E447B6"/>
    <w:rsid w:val="00E4482C"/>
    <w:rsid w:val="00E515D8"/>
    <w:rsid w:val="00E52416"/>
    <w:rsid w:val="00E52945"/>
    <w:rsid w:val="00E53684"/>
    <w:rsid w:val="00E6237D"/>
    <w:rsid w:val="00E62DE7"/>
    <w:rsid w:val="00E6601C"/>
    <w:rsid w:val="00E76236"/>
    <w:rsid w:val="00E7640C"/>
    <w:rsid w:val="00E8196C"/>
    <w:rsid w:val="00E8608F"/>
    <w:rsid w:val="00E940BD"/>
    <w:rsid w:val="00E9471E"/>
    <w:rsid w:val="00E949C6"/>
    <w:rsid w:val="00E94E00"/>
    <w:rsid w:val="00E962F7"/>
    <w:rsid w:val="00EA44A1"/>
    <w:rsid w:val="00EA55EC"/>
    <w:rsid w:val="00EA5BC6"/>
    <w:rsid w:val="00EB30A1"/>
    <w:rsid w:val="00EB598D"/>
    <w:rsid w:val="00EC02D7"/>
    <w:rsid w:val="00EC08CA"/>
    <w:rsid w:val="00EC0A2B"/>
    <w:rsid w:val="00EC4918"/>
    <w:rsid w:val="00ED3DF7"/>
    <w:rsid w:val="00ED773E"/>
    <w:rsid w:val="00EF3079"/>
    <w:rsid w:val="00F0567C"/>
    <w:rsid w:val="00F10FD2"/>
    <w:rsid w:val="00F14E35"/>
    <w:rsid w:val="00F158CD"/>
    <w:rsid w:val="00F16BB0"/>
    <w:rsid w:val="00F17105"/>
    <w:rsid w:val="00F23DBD"/>
    <w:rsid w:val="00F24491"/>
    <w:rsid w:val="00F51199"/>
    <w:rsid w:val="00F520AF"/>
    <w:rsid w:val="00F575E1"/>
    <w:rsid w:val="00F6306D"/>
    <w:rsid w:val="00F640AC"/>
    <w:rsid w:val="00F65BBC"/>
    <w:rsid w:val="00F671DC"/>
    <w:rsid w:val="00F74C11"/>
    <w:rsid w:val="00F75B42"/>
    <w:rsid w:val="00F77C9D"/>
    <w:rsid w:val="00F8110B"/>
    <w:rsid w:val="00F844C4"/>
    <w:rsid w:val="00F91A01"/>
    <w:rsid w:val="00F91F4C"/>
    <w:rsid w:val="00F93BB1"/>
    <w:rsid w:val="00F97163"/>
    <w:rsid w:val="00FA370E"/>
    <w:rsid w:val="00FA4E50"/>
    <w:rsid w:val="00FA50B6"/>
    <w:rsid w:val="00FB0BBE"/>
    <w:rsid w:val="00FB3462"/>
    <w:rsid w:val="00FB43A7"/>
    <w:rsid w:val="00FC086C"/>
    <w:rsid w:val="00FC17CE"/>
    <w:rsid w:val="00FD625C"/>
    <w:rsid w:val="00FD6B29"/>
    <w:rsid w:val="00FD76D0"/>
    <w:rsid w:val="00FE025B"/>
    <w:rsid w:val="00FE1491"/>
    <w:rsid w:val="00FE1A3B"/>
    <w:rsid w:val="00FE1D1B"/>
    <w:rsid w:val="00FE34C7"/>
    <w:rsid w:val="00FE46FA"/>
    <w:rsid w:val="00FE4B6E"/>
    <w:rsid w:val="00FE5A01"/>
    <w:rsid w:val="00FF224A"/>
    <w:rsid w:val="00FF6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2983F"/>
  <w15:chartTrackingRefBased/>
  <w15:docId w15:val="{BE278973-574C-4E27-8498-9296E737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B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09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A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A50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246"/>
    <w:rPr>
      <w:color w:val="0563C1" w:themeColor="hyperlink"/>
      <w:u w:val="single"/>
    </w:rPr>
  </w:style>
  <w:style w:type="character" w:customStyle="1" w:styleId="UnresolvedMention1">
    <w:name w:val="Unresolved Mention1"/>
    <w:basedOn w:val="DefaultParagraphFont"/>
    <w:uiPriority w:val="99"/>
    <w:semiHidden/>
    <w:unhideWhenUsed/>
    <w:rsid w:val="00137246"/>
    <w:rPr>
      <w:color w:val="605E5C"/>
      <w:shd w:val="clear" w:color="auto" w:fill="E1DFDD"/>
    </w:rPr>
  </w:style>
  <w:style w:type="paragraph" w:styleId="FootnoteText">
    <w:name w:val="footnote text"/>
    <w:basedOn w:val="Normal"/>
    <w:link w:val="FootnoteTextChar"/>
    <w:uiPriority w:val="99"/>
    <w:unhideWhenUsed/>
    <w:rsid w:val="00137246"/>
    <w:pPr>
      <w:spacing w:after="0" w:line="240" w:lineRule="auto"/>
    </w:pPr>
    <w:rPr>
      <w:sz w:val="20"/>
      <w:szCs w:val="20"/>
    </w:rPr>
  </w:style>
  <w:style w:type="character" w:customStyle="1" w:styleId="FootnoteTextChar">
    <w:name w:val="Footnote Text Char"/>
    <w:basedOn w:val="DefaultParagraphFont"/>
    <w:link w:val="FootnoteText"/>
    <w:uiPriority w:val="99"/>
    <w:rsid w:val="00137246"/>
    <w:rPr>
      <w:sz w:val="20"/>
      <w:szCs w:val="20"/>
    </w:rPr>
  </w:style>
  <w:style w:type="character" w:styleId="FootnoteReference">
    <w:name w:val="footnote reference"/>
    <w:basedOn w:val="DefaultParagraphFont"/>
    <w:uiPriority w:val="99"/>
    <w:unhideWhenUsed/>
    <w:rsid w:val="00137246"/>
    <w:rPr>
      <w:vertAlign w:val="superscript"/>
    </w:rPr>
  </w:style>
  <w:style w:type="character" w:styleId="CommentReference">
    <w:name w:val="annotation reference"/>
    <w:basedOn w:val="DefaultParagraphFont"/>
    <w:uiPriority w:val="99"/>
    <w:semiHidden/>
    <w:unhideWhenUsed/>
    <w:rsid w:val="007C569E"/>
    <w:rPr>
      <w:sz w:val="16"/>
      <w:szCs w:val="16"/>
    </w:rPr>
  </w:style>
  <w:style w:type="paragraph" w:styleId="CommentText">
    <w:name w:val="annotation text"/>
    <w:basedOn w:val="Normal"/>
    <w:link w:val="CommentTextChar"/>
    <w:uiPriority w:val="99"/>
    <w:semiHidden/>
    <w:unhideWhenUsed/>
    <w:rsid w:val="007C569E"/>
    <w:pPr>
      <w:spacing w:line="240" w:lineRule="auto"/>
    </w:pPr>
    <w:rPr>
      <w:sz w:val="20"/>
      <w:szCs w:val="20"/>
    </w:rPr>
  </w:style>
  <w:style w:type="character" w:customStyle="1" w:styleId="CommentTextChar">
    <w:name w:val="Comment Text Char"/>
    <w:basedOn w:val="DefaultParagraphFont"/>
    <w:link w:val="CommentText"/>
    <w:uiPriority w:val="99"/>
    <w:semiHidden/>
    <w:rsid w:val="007C569E"/>
    <w:rPr>
      <w:sz w:val="20"/>
      <w:szCs w:val="20"/>
    </w:rPr>
  </w:style>
  <w:style w:type="character" w:customStyle="1" w:styleId="Heading1Char">
    <w:name w:val="Heading 1 Char"/>
    <w:basedOn w:val="DefaultParagraphFont"/>
    <w:link w:val="Heading1"/>
    <w:uiPriority w:val="9"/>
    <w:rsid w:val="00C87B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F091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081AE5"/>
    <w:pPr>
      <w:autoSpaceDE w:val="0"/>
      <w:autoSpaceDN w:val="0"/>
      <w:spacing w:after="0" w:line="240" w:lineRule="auto"/>
      <w:ind w:left="720"/>
      <w:contextualSpacing/>
    </w:pPr>
    <w:rPr>
      <w:rFonts w:ascii="Times New Roman" w:eastAsia="SimSun" w:hAnsi="Times New Roman" w:cs="Times New Roman"/>
      <w:sz w:val="20"/>
      <w:szCs w:val="20"/>
      <w:lang w:eastAsia="zh-CN"/>
    </w:rPr>
  </w:style>
  <w:style w:type="paragraph" w:styleId="Header">
    <w:name w:val="header"/>
    <w:basedOn w:val="Normal"/>
    <w:link w:val="HeaderChar"/>
    <w:uiPriority w:val="99"/>
    <w:unhideWhenUsed/>
    <w:rsid w:val="00CF4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8F9"/>
  </w:style>
  <w:style w:type="paragraph" w:styleId="Footer">
    <w:name w:val="footer"/>
    <w:basedOn w:val="Normal"/>
    <w:link w:val="FooterChar"/>
    <w:uiPriority w:val="99"/>
    <w:unhideWhenUsed/>
    <w:rsid w:val="00CF4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8F9"/>
  </w:style>
  <w:style w:type="paragraph" w:styleId="NormalWeb">
    <w:name w:val="Normal (Web)"/>
    <w:basedOn w:val="Normal"/>
    <w:uiPriority w:val="99"/>
    <w:semiHidden/>
    <w:unhideWhenUsed/>
    <w:rsid w:val="00057802"/>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FA50B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FA50B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33548"/>
    <w:rPr>
      <w:color w:val="954F72" w:themeColor="followedHyperlink"/>
      <w:u w:val="single"/>
    </w:rPr>
  </w:style>
  <w:style w:type="character" w:styleId="UnresolvedMention">
    <w:name w:val="Unresolved Mention"/>
    <w:basedOn w:val="DefaultParagraphFont"/>
    <w:uiPriority w:val="99"/>
    <w:semiHidden/>
    <w:unhideWhenUsed/>
    <w:rsid w:val="00353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9134">
      <w:bodyDiv w:val="1"/>
      <w:marLeft w:val="0"/>
      <w:marRight w:val="0"/>
      <w:marTop w:val="0"/>
      <w:marBottom w:val="0"/>
      <w:divBdr>
        <w:top w:val="none" w:sz="0" w:space="0" w:color="auto"/>
        <w:left w:val="none" w:sz="0" w:space="0" w:color="auto"/>
        <w:bottom w:val="none" w:sz="0" w:space="0" w:color="auto"/>
        <w:right w:val="none" w:sz="0" w:space="0" w:color="auto"/>
      </w:divBdr>
      <w:divsChild>
        <w:div w:id="2056855297">
          <w:marLeft w:val="0"/>
          <w:marRight w:val="0"/>
          <w:marTop w:val="0"/>
          <w:marBottom w:val="0"/>
          <w:divBdr>
            <w:top w:val="none" w:sz="0" w:space="0" w:color="auto"/>
            <w:left w:val="none" w:sz="0" w:space="0" w:color="auto"/>
            <w:bottom w:val="none" w:sz="0" w:space="0" w:color="auto"/>
            <w:right w:val="none" w:sz="0" w:space="0" w:color="auto"/>
          </w:divBdr>
          <w:divsChild>
            <w:div w:id="21365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7894">
      <w:bodyDiv w:val="1"/>
      <w:marLeft w:val="0"/>
      <w:marRight w:val="0"/>
      <w:marTop w:val="0"/>
      <w:marBottom w:val="0"/>
      <w:divBdr>
        <w:top w:val="none" w:sz="0" w:space="0" w:color="auto"/>
        <w:left w:val="none" w:sz="0" w:space="0" w:color="auto"/>
        <w:bottom w:val="none" w:sz="0" w:space="0" w:color="auto"/>
        <w:right w:val="none" w:sz="0" w:space="0" w:color="auto"/>
      </w:divBdr>
    </w:div>
    <w:div w:id="105125918">
      <w:bodyDiv w:val="1"/>
      <w:marLeft w:val="0"/>
      <w:marRight w:val="0"/>
      <w:marTop w:val="0"/>
      <w:marBottom w:val="0"/>
      <w:divBdr>
        <w:top w:val="none" w:sz="0" w:space="0" w:color="auto"/>
        <w:left w:val="none" w:sz="0" w:space="0" w:color="auto"/>
        <w:bottom w:val="none" w:sz="0" w:space="0" w:color="auto"/>
        <w:right w:val="none" w:sz="0" w:space="0" w:color="auto"/>
      </w:divBdr>
    </w:div>
    <w:div w:id="121844756">
      <w:bodyDiv w:val="1"/>
      <w:marLeft w:val="0"/>
      <w:marRight w:val="0"/>
      <w:marTop w:val="0"/>
      <w:marBottom w:val="0"/>
      <w:divBdr>
        <w:top w:val="none" w:sz="0" w:space="0" w:color="auto"/>
        <w:left w:val="none" w:sz="0" w:space="0" w:color="auto"/>
        <w:bottom w:val="none" w:sz="0" w:space="0" w:color="auto"/>
        <w:right w:val="none" w:sz="0" w:space="0" w:color="auto"/>
      </w:divBdr>
    </w:div>
    <w:div w:id="183638623">
      <w:bodyDiv w:val="1"/>
      <w:marLeft w:val="0"/>
      <w:marRight w:val="0"/>
      <w:marTop w:val="0"/>
      <w:marBottom w:val="0"/>
      <w:divBdr>
        <w:top w:val="none" w:sz="0" w:space="0" w:color="auto"/>
        <w:left w:val="none" w:sz="0" w:space="0" w:color="auto"/>
        <w:bottom w:val="none" w:sz="0" w:space="0" w:color="auto"/>
        <w:right w:val="none" w:sz="0" w:space="0" w:color="auto"/>
      </w:divBdr>
    </w:div>
    <w:div w:id="201678915">
      <w:bodyDiv w:val="1"/>
      <w:marLeft w:val="0"/>
      <w:marRight w:val="0"/>
      <w:marTop w:val="0"/>
      <w:marBottom w:val="0"/>
      <w:divBdr>
        <w:top w:val="none" w:sz="0" w:space="0" w:color="auto"/>
        <w:left w:val="none" w:sz="0" w:space="0" w:color="auto"/>
        <w:bottom w:val="none" w:sz="0" w:space="0" w:color="auto"/>
        <w:right w:val="none" w:sz="0" w:space="0" w:color="auto"/>
      </w:divBdr>
    </w:div>
    <w:div w:id="276957981">
      <w:bodyDiv w:val="1"/>
      <w:marLeft w:val="0"/>
      <w:marRight w:val="0"/>
      <w:marTop w:val="0"/>
      <w:marBottom w:val="0"/>
      <w:divBdr>
        <w:top w:val="none" w:sz="0" w:space="0" w:color="auto"/>
        <w:left w:val="none" w:sz="0" w:space="0" w:color="auto"/>
        <w:bottom w:val="none" w:sz="0" w:space="0" w:color="auto"/>
        <w:right w:val="none" w:sz="0" w:space="0" w:color="auto"/>
      </w:divBdr>
    </w:div>
    <w:div w:id="304118094">
      <w:bodyDiv w:val="1"/>
      <w:marLeft w:val="0"/>
      <w:marRight w:val="0"/>
      <w:marTop w:val="0"/>
      <w:marBottom w:val="0"/>
      <w:divBdr>
        <w:top w:val="none" w:sz="0" w:space="0" w:color="auto"/>
        <w:left w:val="none" w:sz="0" w:space="0" w:color="auto"/>
        <w:bottom w:val="none" w:sz="0" w:space="0" w:color="auto"/>
        <w:right w:val="none" w:sz="0" w:space="0" w:color="auto"/>
      </w:divBdr>
    </w:div>
    <w:div w:id="319122149">
      <w:bodyDiv w:val="1"/>
      <w:marLeft w:val="0"/>
      <w:marRight w:val="0"/>
      <w:marTop w:val="0"/>
      <w:marBottom w:val="0"/>
      <w:divBdr>
        <w:top w:val="none" w:sz="0" w:space="0" w:color="auto"/>
        <w:left w:val="none" w:sz="0" w:space="0" w:color="auto"/>
        <w:bottom w:val="none" w:sz="0" w:space="0" w:color="auto"/>
        <w:right w:val="none" w:sz="0" w:space="0" w:color="auto"/>
      </w:divBdr>
    </w:div>
    <w:div w:id="416709544">
      <w:bodyDiv w:val="1"/>
      <w:marLeft w:val="0"/>
      <w:marRight w:val="0"/>
      <w:marTop w:val="0"/>
      <w:marBottom w:val="0"/>
      <w:divBdr>
        <w:top w:val="none" w:sz="0" w:space="0" w:color="auto"/>
        <w:left w:val="none" w:sz="0" w:space="0" w:color="auto"/>
        <w:bottom w:val="none" w:sz="0" w:space="0" w:color="auto"/>
        <w:right w:val="none" w:sz="0" w:space="0" w:color="auto"/>
      </w:divBdr>
      <w:divsChild>
        <w:div w:id="1681008312">
          <w:marLeft w:val="0"/>
          <w:marRight w:val="0"/>
          <w:marTop w:val="0"/>
          <w:marBottom w:val="0"/>
          <w:divBdr>
            <w:top w:val="none" w:sz="0" w:space="0" w:color="auto"/>
            <w:left w:val="none" w:sz="0" w:space="0" w:color="auto"/>
            <w:bottom w:val="none" w:sz="0" w:space="0" w:color="auto"/>
            <w:right w:val="none" w:sz="0" w:space="0" w:color="auto"/>
          </w:divBdr>
        </w:div>
        <w:div w:id="1124469574">
          <w:marLeft w:val="0"/>
          <w:marRight w:val="0"/>
          <w:marTop w:val="0"/>
          <w:marBottom w:val="0"/>
          <w:divBdr>
            <w:top w:val="none" w:sz="0" w:space="0" w:color="auto"/>
            <w:left w:val="none" w:sz="0" w:space="0" w:color="auto"/>
            <w:bottom w:val="none" w:sz="0" w:space="0" w:color="auto"/>
            <w:right w:val="none" w:sz="0" w:space="0" w:color="auto"/>
          </w:divBdr>
          <w:divsChild>
            <w:div w:id="17688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7635">
      <w:bodyDiv w:val="1"/>
      <w:marLeft w:val="0"/>
      <w:marRight w:val="0"/>
      <w:marTop w:val="0"/>
      <w:marBottom w:val="0"/>
      <w:divBdr>
        <w:top w:val="none" w:sz="0" w:space="0" w:color="auto"/>
        <w:left w:val="none" w:sz="0" w:space="0" w:color="auto"/>
        <w:bottom w:val="none" w:sz="0" w:space="0" w:color="auto"/>
        <w:right w:val="none" w:sz="0" w:space="0" w:color="auto"/>
      </w:divBdr>
    </w:div>
    <w:div w:id="591596467">
      <w:bodyDiv w:val="1"/>
      <w:marLeft w:val="0"/>
      <w:marRight w:val="0"/>
      <w:marTop w:val="0"/>
      <w:marBottom w:val="0"/>
      <w:divBdr>
        <w:top w:val="none" w:sz="0" w:space="0" w:color="auto"/>
        <w:left w:val="none" w:sz="0" w:space="0" w:color="auto"/>
        <w:bottom w:val="none" w:sz="0" w:space="0" w:color="auto"/>
        <w:right w:val="none" w:sz="0" w:space="0" w:color="auto"/>
      </w:divBdr>
    </w:div>
    <w:div w:id="622610848">
      <w:bodyDiv w:val="1"/>
      <w:marLeft w:val="0"/>
      <w:marRight w:val="0"/>
      <w:marTop w:val="0"/>
      <w:marBottom w:val="0"/>
      <w:divBdr>
        <w:top w:val="none" w:sz="0" w:space="0" w:color="auto"/>
        <w:left w:val="none" w:sz="0" w:space="0" w:color="auto"/>
        <w:bottom w:val="none" w:sz="0" w:space="0" w:color="auto"/>
        <w:right w:val="none" w:sz="0" w:space="0" w:color="auto"/>
      </w:divBdr>
    </w:div>
    <w:div w:id="643198298">
      <w:bodyDiv w:val="1"/>
      <w:marLeft w:val="0"/>
      <w:marRight w:val="0"/>
      <w:marTop w:val="0"/>
      <w:marBottom w:val="0"/>
      <w:divBdr>
        <w:top w:val="none" w:sz="0" w:space="0" w:color="auto"/>
        <w:left w:val="none" w:sz="0" w:space="0" w:color="auto"/>
        <w:bottom w:val="none" w:sz="0" w:space="0" w:color="auto"/>
        <w:right w:val="none" w:sz="0" w:space="0" w:color="auto"/>
      </w:divBdr>
    </w:div>
    <w:div w:id="661471638">
      <w:bodyDiv w:val="1"/>
      <w:marLeft w:val="0"/>
      <w:marRight w:val="0"/>
      <w:marTop w:val="0"/>
      <w:marBottom w:val="0"/>
      <w:divBdr>
        <w:top w:val="none" w:sz="0" w:space="0" w:color="auto"/>
        <w:left w:val="none" w:sz="0" w:space="0" w:color="auto"/>
        <w:bottom w:val="none" w:sz="0" w:space="0" w:color="auto"/>
        <w:right w:val="none" w:sz="0" w:space="0" w:color="auto"/>
      </w:divBdr>
    </w:div>
    <w:div w:id="671418760">
      <w:bodyDiv w:val="1"/>
      <w:marLeft w:val="0"/>
      <w:marRight w:val="0"/>
      <w:marTop w:val="0"/>
      <w:marBottom w:val="0"/>
      <w:divBdr>
        <w:top w:val="none" w:sz="0" w:space="0" w:color="auto"/>
        <w:left w:val="none" w:sz="0" w:space="0" w:color="auto"/>
        <w:bottom w:val="none" w:sz="0" w:space="0" w:color="auto"/>
        <w:right w:val="none" w:sz="0" w:space="0" w:color="auto"/>
      </w:divBdr>
    </w:div>
    <w:div w:id="677393796">
      <w:bodyDiv w:val="1"/>
      <w:marLeft w:val="0"/>
      <w:marRight w:val="0"/>
      <w:marTop w:val="0"/>
      <w:marBottom w:val="0"/>
      <w:divBdr>
        <w:top w:val="none" w:sz="0" w:space="0" w:color="auto"/>
        <w:left w:val="none" w:sz="0" w:space="0" w:color="auto"/>
        <w:bottom w:val="none" w:sz="0" w:space="0" w:color="auto"/>
        <w:right w:val="none" w:sz="0" w:space="0" w:color="auto"/>
      </w:divBdr>
    </w:div>
    <w:div w:id="709458249">
      <w:bodyDiv w:val="1"/>
      <w:marLeft w:val="0"/>
      <w:marRight w:val="0"/>
      <w:marTop w:val="0"/>
      <w:marBottom w:val="0"/>
      <w:divBdr>
        <w:top w:val="none" w:sz="0" w:space="0" w:color="auto"/>
        <w:left w:val="none" w:sz="0" w:space="0" w:color="auto"/>
        <w:bottom w:val="none" w:sz="0" w:space="0" w:color="auto"/>
        <w:right w:val="none" w:sz="0" w:space="0" w:color="auto"/>
      </w:divBdr>
    </w:div>
    <w:div w:id="739015668">
      <w:bodyDiv w:val="1"/>
      <w:marLeft w:val="0"/>
      <w:marRight w:val="0"/>
      <w:marTop w:val="0"/>
      <w:marBottom w:val="0"/>
      <w:divBdr>
        <w:top w:val="none" w:sz="0" w:space="0" w:color="auto"/>
        <w:left w:val="none" w:sz="0" w:space="0" w:color="auto"/>
        <w:bottom w:val="none" w:sz="0" w:space="0" w:color="auto"/>
        <w:right w:val="none" w:sz="0" w:space="0" w:color="auto"/>
      </w:divBdr>
    </w:div>
    <w:div w:id="801004012">
      <w:bodyDiv w:val="1"/>
      <w:marLeft w:val="0"/>
      <w:marRight w:val="0"/>
      <w:marTop w:val="0"/>
      <w:marBottom w:val="0"/>
      <w:divBdr>
        <w:top w:val="none" w:sz="0" w:space="0" w:color="auto"/>
        <w:left w:val="none" w:sz="0" w:space="0" w:color="auto"/>
        <w:bottom w:val="none" w:sz="0" w:space="0" w:color="auto"/>
        <w:right w:val="none" w:sz="0" w:space="0" w:color="auto"/>
      </w:divBdr>
    </w:div>
    <w:div w:id="826559049">
      <w:bodyDiv w:val="1"/>
      <w:marLeft w:val="0"/>
      <w:marRight w:val="0"/>
      <w:marTop w:val="0"/>
      <w:marBottom w:val="0"/>
      <w:divBdr>
        <w:top w:val="none" w:sz="0" w:space="0" w:color="auto"/>
        <w:left w:val="none" w:sz="0" w:space="0" w:color="auto"/>
        <w:bottom w:val="none" w:sz="0" w:space="0" w:color="auto"/>
        <w:right w:val="none" w:sz="0" w:space="0" w:color="auto"/>
      </w:divBdr>
      <w:divsChild>
        <w:div w:id="2128429929">
          <w:marLeft w:val="0"/>
          <w:marRight w:val="0"/>
          <w:marTop w:val="0"/>
          <w:marBottom w:val="0"/>
          <w:divBdr>
            <w:top w:val="none" w:sz="0" w:space="0" w:color="auto"/>
            <w:left w:val="none" w:sz="0" w:space="0" w:color="auto"/>
            <w:bottom w:val="none" w:sz="0" w:space="0" w:color="auto"/>
            <w:right w:val="none" w:sz="0" w:space="0" w:color="auto"/>
          </w:divBdr>
        </w:div>
        <w:div w:id="832720162">
          <w:marLeft w:val="0"/>
          <w:marRight w:val="0"/>
          <w:marTop w:val="0"/>
          <w:marBottom w:val="0"/>
          <w:divBdr>
            <w:top w:val="none" w:sz="0" w:space="0" w:color="auto"/>
            <w:left w:val="none" w:sz="0" w:space="0" w:color="auto"/>
            <w:bottom w:val="none" w:sz="0" w:space="0" w:color="auto"/>
            <w:right w:val="none" w:sz="0" w:space="0" w:color="auto"/>
          </w:divBdr>
        </w:div>
      </w:divsChild>
    </w:div>
    <w:div w:id="924387248">
      <w:bodyDiv w:val="1"/>
      <w:marLeft w:val="0"/>
      <w:marRight w:val="0"/>
      <w:marTop w:val="0"/>
      <w:marBottom w:val="0"/>
      <w:divBdr>
        <w:top w:val="none" w:sz="0" w:space="0" w:color="auto"/>
        <w:left w:val="none" w:sz="0" w:space="0" w:color="auto"/>
        <w:bottom w:val="none" w:sz="0" w:space="0" w:color="auto"/>
        <w:right w:val="none" w:sz="0" w:space="0" w:color="auto"/>
      </w:divBdr>
      <w:divsChild>
        <w:div w:id="993531800">
          <w:marLeft w:val="0"/>
          <w:marRight w:val="0"/>
          <w:marTop w:val="0"/>
          <w:marBottom w:val="0"/>
          <w:divBdr>
            <w:top w:val="none" w:sz="0" w:space="0" w:color="auto"/>
            <w:left w:val="none" w:sz="0" w:space="0" w:color="auto"/>
            <w:bottom w:val="none" w:sz="0" w:space="0" w:color="auto"/>
            <w:right w:val="none" w:sz="0" w:space="0" w:color="auto"/>
          </w:divBdr>
        </w:div>
      </w:divsChild>
    </w:div>
    <w:div w:id="937103124">
      <w:bodyDiv w:val="1"/>
      <w:marLeft w:val="0"/>
      <w:marRight w:val="0"/>
      <w:marTop w:val="0"/>
      <w:marBottom w:val="0"/>
      <w:divBdr>
        <w:top w:val="none" w:sz="0" w:space="0" w:color="auto"/>
        <w:left w:val="none" w:sz="0" w:space="0" w:color="auto"/>
        <w:bottom w:val="none" w:sz="0" w:space="0" w:color="auto"/>
        <w:right w:val="none" w:sz="0" w:space="0" w:color="auto"/>
      </w:divBdr>
    </w:div>
    <w:div w:id="954142940">
      <w:bodyDiv w:val="1"/>
      <w:marLeft w:val="0"/>
      <w:marRight w:val="0"/>
      <w:marTop w:val="0"/>
      <w:marBottom w:val="0"/>
      <w:divBdr>
        <w:top w:val="none" w:sz="0" w:space="0" w:color="auto"/>
        <w:left w:val="none" w:sz="0" w:space="0" w:color="auto"/>
        <w:bottom w:val="none" w:sz="0" w:space="0" w:color="auto"/>
        <w:right w:val="none" w:sz="0" w:space="0" w:color="auto"/>
      </w:divBdr>
      <w:divsChild>
        <w:div w:id="1728532110">
          <w:marLeft w:val="0"/>
          <w:marRight w:val="0"/>
          <w:marTop w:val="0"/>
          <w:marBottom w:val="0"/>
          <w:divBdr>
            <w:top w:val="none" w:sz="0" w:space="0" w:color="auto"/>
            <w:left w:val="none" w:sz="0" w:space="0" w:color="auto"/>
            <w:bottom w:val="none" w:sz="0" w:space="0" w:color="auto"/>
            <w:right w:val="none" w:sz="0" w:space="0" w:color="auto"/>
          </w:divBdr>
          <w:divsChild>
            <w:div w:id="15493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28594">
      <w:bodyDiv w:val="1"/>
      <w:marLeft w:val="0"/>
      <w:marRight w:val="0"/>
      <w:marTop w:val="0"/>
      <w:marBottom w:val="0"/>
      <w:divBdr>
        <w:top w:val="none" w:sz="0" w:space="0" w:color="auto"/>
        <w:left w:val="none" w:sz="0" w:space="0" w:color="auto"/>
        <w:bottom w:val="none" w:sz="0" w:space="0" w:color="auto"/>
        <w:right w:val="none" w:sz="0" w:space="0" w:color="auto"/>
      </w:divBdr>
    </w:div>
    <w:div w:id="988094993">
      <w:bodyDiv w:val="1"/>
      <w:marLeft w:val="0"/>
      <w:marRight w:val="0"/>
      <w:marTop w:val="0"/>
      <w:marBottom w:val="0"/>
      <w:divBdr>
        <w:top w:val="none" w:sz="0" w:space="0" w:color="auto"/>
        <w:left w:val="none" w:sz="0" w:space="0" w:color="auto"/>
        <w:bottom w:val="none" w:sz="0" w:space="0" w:color="auto"/>
        <w:right w:val="none" w:sz="0" w:space="0" w:color="auto"/>
      </w:divBdr>
    </w:div>
    <w:div w:id="994142621">
      <w:bodyDiv w:val="1"/>
      <w:marLeft w:val="0"/>
      <w:marRight w:val="0"/>
      <w:marTop w:val="0"/>
      <w:marBottom w:val="0"/>
      <w:divBdr>
        <w:top w:val="none" w:sz="0" w:space="0" w:color="auto"/>
        <w:left w:val="none" w:sz="0" w:space="0" w:color="auto"/>
        <w:bottom w:val="none" w:sz="0" w:space="0" w:color="auto"/>
        <w:right w:val="none" w:sz="0" w:space="0" w:color="auto"/>
      </w:divBdr>
    </w:div>
    <w:div w:id="1006595648">
      <w:bodyDiv w:val="1"/>
      <w:marLeft w:val="0"/>
      <w:marRight w:val="0"/>
      <w:marTop w:val="0"/>
      <w:marBottom w:val="0"/>
      <w:divBdr>
        <w:top w:val="none" w:sz="0" w:space="0" w:color="auto"/>
        <w:left w:val="none" w:sz="0" w:space="0" w:color="auto"/>
        <w:bottom w:val="none" w:sz="0" w:space="0" w:color="auto"/>
        <w:right w:val="none" w:sz="0" w:space="0" w:color="auto"/>
      </w:divBdr>
    </w:div>
    <w:div w:id="1067265209">
      <w:bodyDiv w:val="1"/>
      <w:marLeft w:val="0"/>
      <w:marRight w:val="0"/>
      <w:marTop w:val="0"/>
      <w:marBottom w:val="0"/>
      <w:divBdr>
        <w:top w:val="none" w:sz="0" w:space="0" w:color="auto"/>
        <w:left w:val="none" w:sz="0" w:space="0" w:color="auto"/>
        <w:bottom w:val="none" w:sz="0" w:space="0" w:color="auto"/>
        <w:right w:val="none" w:sz="0" w:space="0" w:color="auto"/>
      </w:divBdr>
    </w:div>
    <w:div w:id="1111709832">
      <w:bodyDiv w:val="1"/>
      <w:marLeft w:val="0"/>
      <w:marRight w:val="0"/>
      <w:marTop w:val="0"/>
      <w:marBottom w:val="0"/>
      <w:divBdr>
        <w:top w:val="none" w:sz="0" w:space="0" w:color="auto"/>
        <w:left w:val="none" w:sz="0" w:space="0" w:color="auto"/>
        <w:bottom w:val="none" w:sz="0" w:space="0" w:color="auto"/>
        <w:right w:val="none" w:sz="0" w:space="0" w:color="auto"/>
      </w:divBdr>
    </w:div>
    <w:div w:id="1141537703">
      <w:bodyDiv w:val="1"/>
      <w:marLeft w:val="0"/>
      <w:marRight w:val="0"/>
      <w:marTop w:val="0"/>
      <w:marBottom w:val="0"/>
      <w:divBdr>
        <w:top w:val="none" w:sz="0" w:space="0" w:color="auto"/>
        <w:left w:val="none" w:sz="0" w:space="0" w:color="auto"/>
        <w:bottom w:val="none" w:sz="0" w:space="0" w:color="auto"/>
        <w:right w:val="none" w:sz="0" w:space="0" w:color="auto"/>
      </w:divBdr>
      <w:divsChild>
        <w:div w:id="924725763">
          <w:marLeft w:val="0"/>
          <w:marRight w:val="0"/>
          <w:marTop w:val="0"/>
          <w:marBottom w:val="0"/>
          <w:divBdr>
            <w:top w:val="none" w:sz="0" w:space="0" w:color="auto"/>
            <w:left w:val="none" w:sz="0" w:space="0" w:color="auto"/>
            <w:bottom w:val="none" w:sz="0" w:space="0" w:color="auto"/>
            <w:right w:val="none" w:sz="0" w:space="0" w:color="auto"/>
          </w:divBdr>
        </w:div>
      </w:divsChild>
    </w:div>
    <w:div w:id="1147673987">
      <w:bodyDiv w:val="1"/>
      <w:marLeft w:val="0"/>
      <w:marRight w:val="0"/>
      <w:marTop w:val="0"/>
      <w:marBottom w:val="0"/>
      <w:divBdr>
        <w:top w:val="none" w:sz="0" w:space="0" w:color="auto"/>
        <w:left w:val="none" w:sz="0" w:space="0" w:color="auto"/>
        <w:bottom w:val="none" w:sz="0" w:space="0" w:color="auto"/>
        <w:right w:val="none" w:sz="0" w:space="0" w:color="auto"/>
      </w:divBdr>
      <w:divsChild>
        <w:div w:id="1370954336">
          <w:marLeft w:val="0"/>
          <w:marRight w:val="0"/>
          <w:marTop w:val="0"/>
          <w:marBottom w:val="0"/>
          <w:divBdr>
            <w:top w:val="none" w:sz="0" w:space="0" w:color="auto"/>
            <w:left w:val="none" w:sz="0" w:space="0" w:color="auto"/>
            <w:bottom w:val="none" w:sz="0" w:space="0" w:color="auto"/>
            <w:right w:val="none" w:sz="0" w:space="0" w:color="auto"/>
          </w:divBdr>
        </w:div>
        <w:div w:id="1975021197">
          <w:marLeft w:val="0"/>
          <w:marRight w:val="0"/>
          <w:marTop w:val="0"/>
          <w:marBottom w:val="0"/>
          <w:divBdr>
            <w:top w:val="none" w:sz="0" w:space="0" w:color="auto"/>
            <w:left w:val="none" w:sz="0" w:space="0" w:color="auto"/>
            <w:bottom w:val="none" w:sz="0" w:space="0" w:color="auto"/>
            <w:right w:val="none" w:sz="0" w:space="0" w:color="auto"/>
          </w:divBdr>
        </w:div>
      </w:divsChild>
    </w:div>
    <w:div w:id="1162817207">
      <w:bodyDiv w:val="1"/>
      <w:marLeft w:val="0"/>
      <w:marRight w:val="0"/>
      <w:marTop w:val="0"/>
      <w:marBottom w:val="0"/>
      <w:divBdr>
        <w:top w:val="none" w:sz="0" w:space="0" w:color="auto"/>
        <w:left w:val="none" w:sz="0" w:space="0" w:color="auto"/>
        <w:bottom w:val="none" w:sz="0" w:space="0" w:color="auto"/>
        <w:right w:val="none" w:sz="0" w:space="0" w:color="auto"/>
      </w:divBdr>
    </w:div>
    <w:div w:id="1203404396">
      <w:bodyDiv w:val="1"/>
      <w:marLeft w:val="0"/>
      <w:marRight w:val="0"/>
      <w:marTop w:val="0"/>
      <w:marBottom w:val="0"/>
      <w:divBdr>
        <w:top w:val="none" w:sz="0" w:space="0" w:color="auto"/>
        <w:left w:val="none" w:sz="0" w:space="0" w:color="auto"/>
        <w:bottom w:val="none" w:sz="0" w:space="0" w:color="auto"/>
        <w:right w:val="none" w:sz="0" w:space="0" w:color="auto"/>
      </w:divBdr>
    </w:div>
    <w:div w:id="1256354454">
      <w:bodyDiv w:val="1"/>
      <w:marLeft w:val="0"/>
      <w:marRight w:val="0"/>
      <w:marTop w:val="0"/>
      <w:marBottom w:val="0"/>
      <w:divBdr>
        <w:top w:val="none" w:sz="0" w:space="0" w:color="auto"/>
        <w:left w:val="none" w:sz="0" w:space="0" w:color="auto"/>
        <w:bottom w:val="none" w:sz="0" w:space="0" w:color="auto"/>
        <w:right w:val="none" w:sz="0" w:space="0" w:color="auto"/>
      </w:divBdr>
    </w:div>
    <w:div w:id="1266160040">
      <w:bodyDiv w:val="1"/>
      <w:marLeft w:val="0"/>
      <w:marRight w:val="0"/>
      <w:marTop w:val="0"/>
      <w:marBottom w:val="0"/>
      <w:divBdr>
        <w:top w:val="none" w:sz="0" w:space="0" w:color="auto"/>
        <w:left w:val="none" w:sz="0" w:space="0" w:color="auto"/>
        <w:bottom w:val="none" w:sz="0" w:space="0" w:color="auto"/>
        <w:right w:val="none" w:sz="0" w:space="0" w:color="auto"/>
      </w:divBdr>
      <w:divsChild>
        <w:div w:id="1433893852">
          <w:marLeft w:val="0"/>
          <w:marRight w:val="0"/>
          <w:marTop w:val="0"/>
          <w:marBottom w:val="0"/>
          <w:divBdr>
            <w:top w:val="none" w:sz="0" w:space="0" w:color="auto"/>
            <w:left w:val="none" w:sz="0" w:space="0" w:color="auto"/>
            <w:bottom w:val="none" w:sz="0" w:space="0" w:color="auto"/>
            <w:right w:val="none" w:sz="0" w:space="0" w:color="auto"/>
          </w:divBdr>
        </w:div>
        <w:div w:id="1657756814">
          <w:marLeft w:val="0"/>
          <w:marRight w:val="0"/>
          <w:marTop w:val="0"/>
          <w:marBottom w:val="0"/>
          <w:divBdr>
            <w:top w:val="none" w:sz="0" w:space="0" w:color="auto"/>
            <w:left w:val="none" w:sz="0" w:space="0" w:color="auto"/>
            <w:bottom w:val="none" w:sz="0" w:space="0" w:color="auto"/>
            <w:right w:val="none" w:sz="0" w:space="0" w:color="auto"/>
          </w:divBdr>
          <w:divsChild>
            <w:div w:id="14748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4437">
      <w:bodyDiv w:val="1"/>
      <w:marLeft w:val="0"/>
      <w:marRight w:val="0"/>
      <w:marTop w:val="0"/>
      <w:marBottom w:val="0"/>
      <w:divBdr>
        <w:top w:val="none" w:sz="0" w:space="0" w:color="auto"/>
        <w:left w:val="none" w:sz="0" w:space="0" w:color="auto"/>
        <w:bottom w:val="none" w:sz="0" w:space="0" w:color="auto"/>
        <w:right w:val="none" w:sz="0" w:space="0" w:color="auto"/>
      </w:divBdr>
    </w:div>
    <w:div w:id="1351446821">
      <w:bodyDiv w:val="1"/>
      <w:marLeft w:val="0"/>
      <w:marRight w:val="0"/>
      <w:marTop w:val="0"/>
      <w:marBottom w:val="0"/>
      <w:divBdr>
        <w:top w:val="none" w:sz="0" w:space="0" w:color="auto"/>
        <w:left w:val="none" w:sz="0" w:space="0" w:color="auto"/>
        <w:bottom w:val="none" w:sz="0" w:space="0" w:color="auto"/>
        <w:right w:val="none" w:sz="0" w:space="0" w:color="auto"/>
      </w:divBdr>
    </w:div>
    <w:div w:id="1363901023">
      <w:bodyDiv w:val="1"/>
      <w:marLeft w:val="0"/>
      <w:marRight w:val="0"/>
      <w:marTop w:val="0"/>
      <w:marBottom w:val="0"/>
      <w:divBdr>
        <w:top w:val="none" w:sz="0" w:space="0" w:color="auto"/>
        <w:left w:val="none" w:sz="0" w:space="0" w:color="auto"/>
        <w:bottom w:val="none" w:sz="0" w:space="0" w:color="auto"/>
        <w:right w:val="none" w:sz="0" w:space="0" w:color="auto"/>
      </w:divBdr>
    </w:div>
    <w:div w:id="1366439848">
      <w:bodyDiv w:val="1"/>
      <w:marLeft w:val="0"/>
      <w:marRight w:val="0"/>
      <w:marTop w:val="0"/>
      <w:marBottom w:val="0"/>
      <w:divBdr>
        <w:top w:val="none" w:sz="0" w:space="0" w:color="auto"/>
        <w:left w:val="none" w:sz="0" w:space="0" w:color="auto"/>
        <w:bottom w:val="none" w:sz="0" w:space="0" w:color="auto"/>
        <w:right w:val="none" w:sz="0" w:space="0" w:color="auto"/>
      </w:divBdr>
    </w:div>
    <w:div w:id="1384645706">
      <w:bodyDiv w:val="1"/>
      <w:marLeft w:val="0"/>
      <w:marRight w:val="0"/>
      <w:marTop w:val="0"/>
      <w:marBottom w:val="0"/>
      <w:divBdr>
        <w:top w:val="none" w:sz="0" w:space="0" w:color="auto"/>
        <w:left w:val="none" w:sz="0" w:space="0" w:color="auto"/>
        <w:bottom w:val="none" w:sz="0" w:space="0" w:color="auto"/>
        <w:right w:val="none" w:sz="0" w:space="0" w:color="auto"/>
      </w:divBdr>
    </w:div>
    <w:div w:id="1414930386">
      <w:bodyDiv w:val="1"/>
      <w:marLeft w:val="0"/>
      <w:marRight w:val="0"/>
      <w:marTop w:val="0"/>
      <w:marBottom w:val="0"/>
      <w:divBdr>
        <w:top w:val="none" w:sz="0" w:space="0" w:color="auto"/>
        <w:left w:val="none" w:sz="0" w:space="0" w:color="auto"/>
        <w:bottom w:val="none" w:sz="0" w:space="0" w:color="auto"/>
        <w:right w:val="none" w:sz="0" w:space="0" w:color="auto"/>
      </w:divBdr>
    </w:div>
    <w:div w:id="1425999931">
      <w:bodyDiv w:val="1"/>
      <w:marLeft w:val="0"/>
      <w:marRight w:val="0"/>
      <w:marTop w:val="0"/>
      <w:marBottom w:val="0"/>
      <w:divBdr>
        <w:top w:val="none" w:sz="0" w:space="0" w:color="auto"/>
        <w:left w:val="none" w:sz="0" w:space="0" w:color="auto"/>
        <w:bottom w:val="none" w:sz="0" w:space="0" w:color="auto"/>
        <w:right w:val="none" w:sz="0" w:space="0" w:color="auto"/>
      </w:divBdr>
    </w:div>
    <w:div w:id="1439713102">
      <w:bodyDiv w:val="1"/>
      <w:marLeft w:val="0"/>
      <w:marRight w:val="0"/>
      <w:marTop w:val="0"/>
      <w:marBottom w:val="0"/>
      <w:divBdr>
        <w:top w:val="none" w:sz="0" w:space="0" w:color="auto"/>
        <w:left w:val="none" w:sz="0" w:space="0" w:color="auto"/>
        <w:bottom w:val="none" w:sz="0" w:space="0" w:color="auto"/>
        <w:right w:val="none" w:sz="0" w:space="0" w:color="auto"/>
      </w:divBdr>
    </w:div>
    <w:div w:id="1446461961">
      <w:bodyDiv w:val="1"/>
      <w:marLeft w:val="0"/>
      <w:marRight w:val="0"/>
      <w:marTop w:val="0"/>
      <w:marBottom w:val="0"/>
      <w:divBdr>
        <w:top w:val="none" w:sz="0" w:space="0" w:color="auto"/>
        <w:left w:val="none" w:sz="0" w:space="0" w:color="auto"/>
        <w:bottom w:val="none" w:sz="0" w:space="0" w:color="auto"/>
        <w:right w:val="none" w:sz="0" w:space="0" w:color="auto"/>
      </w:divBdr>
    </w:div>
    <w:div w:id="1473788828">
      <w:bodyDiv w:val="1"/>
      <w:marLeft w:val="0"/>
      <w:marRight w:val="0"/>
      <w:marTop w:val="0"/>
      <w:marBottom w:val="0"/>
      <w:divBdr>
        <w:top w:val="none" w:sz="0" w:space="0" w:color="auto"/>
        <w:left w:val="none" w:sz="0" w:space="0" w:color="auto"/>
        <w:bottom w:val="none" w:sz="0" w:space="0" w:color="auto"/>
        <w:right w:val="none" w:sz="0" w:space="0" w:color="auto"/>
      </w:divBdr>
    </w:div>
    <w:div w:id="1483354893">
      <w:bodyDiv w:val="1"/>
      <w:marLeft w:val="0"/>
      <w:marRight w:val="0"/>
      <w:marTop w:val="0"/>
      <w:marBottom w:val="0"/>
      <w:divBdr>
        <w:top w:val="none" w:sz="0" w:space="0" w:color="auto"/>
        <w:left w:val="none" w:sz="0" w:space="0" w:color="auto"/>
        <w:bottom w:val="none" w:sz="0" w:space="0" w:color="auto"/>
        <w:right w:val="none" w:sz="0" w:space="0" w:color="auto"/>
      </w:divBdr>
    </w:div>
    <w:div w:id="1550141258">
      <w:bodyDiv w:val="1"/>
      <w:marLeft w:val="0"/>
      <w:marRight w:val="0"/>
      <w:marTop w:val="0"/>
      <w:marBottom w:val="0"/>
      <w:divBdr>
        <w:top w:val="none" w:sz="0" w:space="0" w:color="auto"/>
        <w:left w:val="none" w:sz="0" w:space="0" w:color="auto"/>
        <w:bottom w:val="none" w:sz="0" w:space="0" w:color="auto"/>
        <w:right w:val="none" w:sz="0" w:space="0" w:color="auto"/>
      </w:divBdr>
    </w:div>
    <w:div w:id="1569076291">
      <w:bodyDiv w:val="1"/>
      <w:marLeft w:val="0"/>
      <w:marRight w:val="0"/>
      <w:marTop w:val="0"/>
      <w:marBottom w:val="0"/>
      <w:divBdr>
        <w:top w:val="none" w:sz="0" w:space="0" w:color="auto"/>
        <w:left w:val="none" w:sz="0" w:space="0" w:color="auto"/>
        <w:bottom w:val="none" w:sz="0" w:space="0" w:color="auto"/>
        <w:right w:val="none" w:sz="0" w:space="0" w:color="auto"/>
      </w:divBdr>
    </w:div>
    <w:div w:id="1584299779">
      <w:bodyDiv w:val="1"/>
      <w:marLeft w:val="0"/>
      <w:marRight w:val="0"/>
      <w:marTop w:val="0"/>
      <w:marBottom w:val="0"/>
      <w:divBdr>
        <w:top w:val="none" w:sz="0" w:space="0" w:color="auto"/>
        <w:left w:val="none" w:sz="0" w:space="0" w:color="auto"/>
        <w:bottom w:val="none" w:sz="0" w:space="0" w:color="auto"/>
        <w:right w:val="none" w:sz="0" w:space="0" w:color="auto"/>
      </w:divBdr>
    </w:div>
    <w:div w:id="1635910085">
      <w:bodyDiv w:val="1"/>
      <w:marLeft w:val="0"/>
      <w:marRight w:val="0"/>
      <w:marTop w:val="0"/>
      <w:marBottom w:val="0"/>
      <w:divBdr>
        <w:top w:val="none" w:sz="0" w:space="0" w:color="auto"/>
        <w:left w:val="none" w:sz="0" w:space="0" w:color="auto"/>
        <w:bottom w:val="none" w:sz="0" w:space="0" w:color="auto"/>
        <w:right w:val="none" w:sz="0" w:space="0" w:color="auto"/>
      </w:divBdr>
    </w:div>
    <w:div w:id="1700659812">
      <w:bodyDiv w:val="1"/>
      <w:marLeft w:val="0"/>
      <w:marRight w:val="0"/>
      <w:marTop w:val="0"/>
      <w:marBottom w:val="0"/>
      <w:divBdr>
        <w:top w:val="none" w:sz="0" w:space="0" w:color="auto"/>
        <w:left w:val="none" w:sz="0" w:space="0" w:color="auto"/>
        <w:bottom w:val="none" w:sz="0" w:space="0" w:color="auto"/>
        <w:right w:val="none" w:sz="0" w:space="0" w:color="auto"/>
      </w:divBdr>
    </w:div>
    <w:div w:id="1718581346">
      <w:bodyDiv w:val="1"/>
      <w:marLeft w:val="0"/>
      <w:marRight w:val="0"/>
      <w:marTop w:val="0"/>
      <w:marBottom w:val="0"/>
      <w:divBdr>
        <w:top w:val="none" w:sz="0" w:space="0" w:color="auto"/>
        <w:left w:val="none" w:sz="0" w:space="0" w:color="auto"/>
        <w:bottom w:val="none" w:sz="0" w:space="0" w:color="auto"/>
        <w:right w:val="none" w:sz="0" w:space="0" w:color="auto"/>
      </w:divBdr>
    </w:div>
    <w:div w:id="1774864221">
      <w:bodyDiv w:val="1"/>
      <w:marLeft w:val="0"/>
      <w:marRight w:val="0"/>
      <w:marTop w:val="0"/>
      <w:marBottom w:val="0"/>
      <w:divBdr>
        <w:top w:val="none" w:sz="0" w:space="0" w:color="auto"/>
        <w:left w:val="none" w:sz="0" w:space="0" w:color="auto"/>
        <w:bottom w:val="none" w:sz="0" w:space="0" w:color="auto"/>
        <w:right w:val="none" w:sz="0" w:space="0" w:color="auto"/>
      </w:divBdr>
    </w:div>
    <w:div w:id="1797144138">
      <w:bodyDiv w:val="1"/>
      <w:marLeft w:val="0"/>
      <w:marRight w:val="0"/>
      <w:marTop w:val="0"/>
      <w:marBottom w:val="0"/>
      <w:divBdr>
        <w:top w:val="none" w:sz="0" w:space="0" w:color="auto"/>
        <w:left w:val="none" w:sz="0" w:space="0" w:color="auto"/>
        <w:bottom w:val="none" w:sz="0" w:space="0" w:color="auto"/>
        <w:right w:val="none" w:sz="0" w:space="0" w:color="auto"/>
      </w:divBdr>
    </w:div>
    <w:div w:id="1808936840">
      <w:bodyDiv w:val="1"/>
      <w:marLeft w:val="0"/>
      <w:marRight w:val="0"/>
      <w:marTop w:val="0"/>
      <w:marBottom w:val="0"/>
      <w:divBdr>
        <w:top w:val="none" w:sz="0" w:space="0" w:color="auto"/>
        <w:left w:val="none" w:sz="0" w:space="0" w:color="auto"/>
        <w:bottom w:val="none" w:sz="0" w:space="0" w:color="auto"/>
        <w:right w:val="none" w:sz="0" w:space="0" w:color="auto"/>
      </w:divBdr>
    </w:div>
    <w:div w:id="1815634430">
      <w:bodyDiv w:val="1"/>
      <w:marLeft w:val="0"/>
      <w:marRight w:val="0"/>
      <w:marTop w:val="0"/>
      <w:marBottom w:val="0"/>
      <w:divBdr>
        <w:top w:val="none" w:sz="0" w:space="0" w:color="auto"/>
        <w:left w:val="none" w:sz="0" w:space="0" w:color="auto"/>
        <w:bottom w:val="none" w:sz="0" w:space="0" w:color="auto"/>
        <w:right w:val="none" w:sz="0" w:space="0" w:color="auto"/>
      </w:divBdr>
    </w:div>
    <w:div w:id="1826627666">
      <w:bodyDiv w:val="1"/>
      <w:marLeft w:val="0"/>
      <w:marRight w:val="0"/>
      <w:marTop w:val="0"/>
      <w:marBottom w:val="0"/>
      <w:divBdr>
        <w:top w:val="none" w:sz="0" w:space="0" w:color="auto"/>
        <w:left w:val="none" w:sz="0" w:space="0" w:color="auto"/>
        <w:bottom w:val="none" w:sz="0" w:space="0" w:color="auto"/>
        <w:right w:val="none" w:sz="0" w:space="0" w:color="auto"/>
      </w:divBdr>
    </w:div>
    <w:div w:id="1833374387">
      <w:bodyDiv w:val="1"/>
      <w:marLeft w:val="0"/>
      <w:marRight w:val="0"/>
      <w:marTop w:val="0"/>
      <w:marBottom w:val="0"/>
      <w:divBdr>
        <w:top w:val="none" w:sz="0" w:space="0" w:color="auto"/>
        <w:left w:val="none" w:sz="0" w:space="0" w:color="auto"/>
        <w:bottom w:val="none" w:sz="0" w:space="0" w:color="auto"/>
        <w:right w:val="none" w:sz="0" w:space="0" w:color="auto"/>
      </w:divBdr>
    </w:div>
    <w:div w:id="1881894821">
      <w:bodyDiv w:val="1"/>
      <w:marLeft w:val="0"/>
      <w:marRight w:val="0"/>
      <w:marTop w:val="0"/>
      <w:marBottom w:val="0"/>
      <w:divBdr>
        <w:top w:val="none" w:sz="0" w:space="0" w:color="auto"/>
        <w:left w:val="none" w:sz="0" w:space="0" w:color="auto"/>
        <w:bottom w:val="none" w:sz="0" w:space="0" w:color="auto"/>
        <w:right w:val="none" w:sz="0" w:space="0" w:color="auto"/>
      </w:divBdr>
    </w:div>
    <w:div w:id="1935434060">
      <w:bodyDiv w:val="1"/>
      <w:marLeft w:val="0"/>
      <w:marRight w:val="0"/>
      <w:marTop w:val="0"/>
      <w:marBottom w:val="0"/>
      <w:divBdr>
        <w:top w:val="none" w:sz="0" w:space="0" w:color="auto"/>
        <w:left w:val="none" w:sz="0" w:space="0" w:color="auto"/>
        <w:bottom w:val="none" w:sz="0" w:space="0" w:color="auto"/>
        <w:right w:val="none" w:sz="0" w:space="0" w:color="auto"/>
      </w:divBdr>
    </w:div>
    <w:div w:id="1936858269">
      <w:bodyDiv w:val="1"/>
      <w:marLeft w:val="0"/>
      <w:marRight w:val="0"/>
      <w:marTop w:val="0"/>
      <w:marBottom w:val="0"/>
      <w:divBdr>
        <w:top w:val="none" w:sz="0" w:space="0" w:color="auto"/>
        <w:left w:val="none" w:sz="0" w:space="0" w:color="auto"/>
        <w:bottom w:val="none" w:sz="0" w:space="0" w:color="auto"/>
        <w:right w:val="none" w:sz="0" w:space="0" w:color="auto"/>
      </w:divBdr>
    </w:div>
    <w:div w:id="1958944443">
      <w:bodyDiv w:val="1"/>
      <w:marLeft w:val="0"/>
      <w:marRight w:val="0"/>
      <w:marTop w:val="0"/>
      <w:marBottom w:val="0"/>
      <w:divBdr>
        <w:top w:val="none" w:sz="0" w:space="0" w:color="auto"/>
        <w:left w:val="none" w:sz="0" w:space="0" w:color="auto"/>
        <w:bottom w:val="none" w:sz="0" w:space="0" w:color="auto"/>
        <w:right w:val="none" w:sz="0" w:space="0" w:color="auto"/>
      </w:divBdr>
    </w:div>
    <w:div w:id="1980573388">
      <w:bodyDiv w:val="1"/>
      <w:marLeft w:val="0"/>
      <w:marRight w:val="0"/>
      <w:marTop w:val="0"/>
      <w:marBottom w:val="0"/>
      <w:divBdr>
        <w:top w:val="none" w:sz="0" w:space="0" w:color="auto"/>
        <w:left w:val="none" w:sz="0" w:space="0" w:color="auto"/>
        <w:bottom w:val="none" w:sz="0" w:space="0" w:color="auto"/>
        <w:right w:val="none" w:sz="0" w:space="0" w:color="auto"/>
      </w:divBdr>
    </w:div>
    <w:div w:id="2007005868">
      <w:bodyDiv w:val="1"/>
      <w:marLeft w:val="0"/>
      <w:marRight w:val="0"/>
      <w:marTop w:val="0"/>
      <w:marBottom w:val="0"/>
      <w:divBdr>
        <w:top w:val="none" w:sz="0" w:space="0" w:color="auto"/>
        <w:left w:val="none" w:sz="0" w:space="0" w:color="auto"/>
        <w:bottom w:val="none" w:sz="0" w:space="0" w:color="auto"/>
        <w:right w:val="none" w:sz="0" w:space="0" w:color="auto"/>
      </w:divBdr>
    </w:div>
    <w:div w:id="21008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hitehouse@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tinyurl.com/yckswm99" TargetMode="External"/><Relationship Id="rId18" Type="http://schemas.openxmlformats.org/officeDocument/2006/relationships/hyperlink" Target="https://www.nuffieldfjo.org.uk/app/nuffield/files-module/local/documents/nfjo_remote_hearings_20200507-2-.pdf" TargetMode="External"/><Relationship Id="rId26" Type="http://schemas.openxmlformats.org/officeDocument/2006/relationships/hyperlink" Target="https://www.gov.uk/government/publications/form-n120-particulars-of-claim-mortgaged-residential-premises" TargetMode="External"/><Relationship Id="rId3" Type="http://schemas.openxmlformats.org/officeDocument/2006/relationships/hyperlink" Target="https://www.judiciary.uk/wp-content/uploads/2020/06/FINAL-REPORT-CJC-4-June-2020.v2-accessible.pdf" TargetMode="External"/><Relationship Id="rId21" Type="http://schemas.openxmlformats.org/officeDocument/2006/relationships/hyperlink" Target="https://research.thelegaleducationfoundation.org/wp-content/uploads/2021/05/FINAL-Tribunal-Judges-Survey-Report-02-June-2021-.pdf" TargetMode="External"/><Relationship Id="rId34" Type="http://schemas.openxmlformats.org/officeDocument/2006/relationships/hyperlink" Target="https://assets.publishing.service.gov.uk/government/uploads/system/uploads/attachment_data/file/553261/joint-vision-statement.pdf" TargetMode="External"/><Relationship Id="rId7" Type="http://schemas.openxmlformats.org/officeDocument/2006/relationships/hyperlink" Target="https://covidrealities.org/learnings/write-ups" TargetMode="External"/><Relationship Id="rId12" Type="http://schemas.openxmlformats.org/officeDocument/2006/relationships/hyperlink" Target="https://www.thebureauinvestigates.com/stories/2021-11-09/evictions-open-justice-possession-courts" TargetMode="External"/><Relationship Id="rId17" Type="http://schemas.openxmlformats.org/officeDocument/2006/relationships/hyperlink" Target="https://www.stepchange.org/Portals/0/assets/pdf/tackling-the-coronavirus-personal-debt-crisis.pdf" TargetMode="External"/><Relationship Id="rId25" Type="http://schemas.openxmlformats.org/officeDocument/2006/relationships/hyperlink" Target="https://www.gov.uk/government/publications/form-n119-particulars-of-claim-for-possession" TargetMode="External"/><Relationship Id="rId33" Type="http://schemas.openxmlformats.org/officeDocument/2006/relationships/hyperlink" Target="https://www.lawgazette.co.uk/news-focus/news-focus-red-alert-on-legal-advice-deserts/5110020.article" TargetMode="External"/><Relationship Id="rId2" Type="http://schemas.openxmlformats.org/officeDocument/2006/relationships/hyperlink" Target="https://tinyurl.com/yckswm99" TargetMode="External"/><Relationship Id="rId16" Type="http://schemas.openxmlformats.org/officeDocument/2006/relationships/hyperlink" Target="https://www.citizensadvice.org.uk/Global/CitizensAdvice/Housing%20Publications/New%20year,%20same%20arrears.pdf" TargetMode="External"/><Relationship Id="rId20" Type="http://schemas.openxmlformats.org/officeDocument/2006/relationships/hyperlink" Target="https://remotecourts.org/" TargetMode="External"/><Relationship Id="rId29" Type="http://schemas.openxmlformats.org/officeDocument/2006/relationships/hyperlink" Target="https://www.justice.gov.uk/courts/procedure-rules/civil/rules/practice-direction-55c-coronavirus-temporary-provision-in-relation-to-possession-proceedings" TargetMode="External"/><Relationship Id="rId1" Type="http://schemas.openxmlformats.org/officeDocument/2006/relationships/hyperlink" Target="https://drive.google.com/file/d/1_y5yCXBCMid1klKyrSh7sIznJFsSwbtl/view?usp=sharing" TargetMode="External"/><Relationship Id="rId6" Type="http://schemas.openxmlformats.org/officeDocument/2006/relationships/hyperlink" Target="https://ventyour.rent/split" TargetMode="External"/><Relationship Id="rId11" Type="http://schemas.openxmlformats.org/officeDocument/2006/relationships/hyperlink" Target="https://nearlylegal.co.uk/2021/11/possession-news/" TargetMode="External"/><Relationship Id="rId24" Type="http://schemas.openxmlformats.org/officeDocument/2006/relationships/hyperlink" Target="https://www.justice.gov.uk/courts/procedure-rules/civil/protocol/pre-action-protocol-for-possession-claims-by-social-landlords" TargetMode="External"/><Relationship Id="rId32" Type="http://schemas.openxmlformats.org/officeDocument/2006/relationships/hyperlink" Target="https://www.york.ac.uk/media/chp/documents/Sustainable-Private-Rented-Sector.pdf" TargetMode="External"/><Relationship Id="rId5" Type="http://schemas.openxmlformats.org/officeDocument/2006/relationships/hyperlink" Target="https://www.thebureauinvestigates.com/stories/2021-11-03/banks-repossessions-pandemic-mortgages" TargetMode="External"/><Relationship Id="rId15" Type="http://schemas.openxmlformats.org/officeDocument/2006/relationships/hyperlink" Target="https://www.bankofengland.co.uk/quarterly-bulletin/2021/2021-q2/household-debt-and-covid" TargetMode="External"/><Relationship Id="rId23" Type="http://schemas.openxmlformats.org/officeDocument/2006/relationships/hyperlink" Target="https://www.justice.gov.uk/courts/procedure-rules/civil/protocol/prot_mha" TargetMode="External"/><Relationship Id="rId28" Type="http://schemas.openxmlformats.org/officeDocument/2006/relationships/hyperlink" Target="https://www.gov.uk/government/publications/form-n11m-defence-form-mortgaged-residential-premises" TargetMode="External"/><Relationship Id="rId10" Type="http://schemas.openxmlformats.org/officeDocument/2006/relationships/hyperlink" Target="https://nearlylegal.co.uk/2021/11/possession-proceedings-an-unannounced-announcement/" TargetMode="External"/><Relationship Id="rId19" Type="http://schemas.openxmlformats.org/officeDocument/2006/relationships/hyperlink" Target="https://www.judiciary.uk/wp-content/uploads/2020/06/The-Remote-Access-Family-Court-Version-5-Final-Version-26.06.2020.pdf" TargetMode="External"/><Relationship Id="rId31" Type="http://schemas.openxmlformats.org/officeDocument/2006/relationships/hyperlink" Target="https://england.shelter.org.uk/professional_resources/legal/possession_and_eviction/grounds_for_possession/assured_tenancy_mandatory_grounds_for_possession" TargetMode="External"/><Relationship Id="rId4" Type="http://schemas.openxmlformats.org/officeDocument/2006/relationships/hyperlink" Target="https://www.thebureauinvestigates.com/stories/2021-09-23/evicted-in-less-than-10-minutes-courts-fail-tenants-broken-by-pandemic" TargetMode="External"/><Relationship Id="rId9" Type="http://schemas.openxmlformats.org/officeDocument/2006/relationships/hyperlink" Target="https://www.judiciary.uk/announcements/statement-from-the-master-of-the-rolls-the-end-of-the-possession-proceedings-overall-arrangements/" TargetMode="External"/><Relationship Id="rId14" Type="http://schemas.openxmlformats.org/officeDocument/2006/relationships/hyperlink" Target="https://assets.publishing.service.gov.uk/government/uploads/system/uploads/attachment_data/file/228973/8274.pdf" TargetMode="External"/><Relationship Id="rId22" Type="http://schemas.openxmlformats.org/officeDocument/2006/relationships/hyperlink" Target="https://assets.publishing.service.gov.uk/government/uploads/system/uploads/attachment_data/file/1039926/Evaluation_of_remote_hearings_v20.pdf" TargetMode="External"/><Relationship Id="rId27" Type="http://schemas.openxmlformats.org/officeDocument/2006/relationships/hyperlink" Target="https://www.gov.uk/government/publications/form-n11r-defence-form" TargetMode="External"/><Relationship Id="rId30" Type="http://schemas.openxmlformats.org/officeDocument/2006/relationships/hyperlink" Target="https://england.shelter.org.uk/professional_resources/legal/possession_and_eviction/notices_in_possession_proceedings/section_21_notices_for_assured_shorthold_tenancies" TargetMode="External"/><Relationship Id="rId8" Type="http://schemas.openxmlformats.org/officeDocument/2006/relationships/hyperlink" Target="https://www.law.ox.ac.uk/sites/files/oxlaw/housing_possession_report_april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5381</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Whitehouse</dc:creator>
  <cp:keywords/>
  <dc:description/>
  <cp:lastModifiedBy>Lisa Whitehouse</cp:lastModifiedBy>
  <cp:revision>4</cp:revision>
  <cp:lastPrinted>2022-04-01T09:57:00Z</cp:lastPrinted>
  <dcterms:created xsi:type="dcterms:W3CDTF">2022-04-01T10:06:00Z</dcterms:created>
  <dcterms:modified xsi:type="dcterms:W3CDTF">2022-04-01T10:25:00Z</dcterms:modified>
</cp:coreProperties>
</file>