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6B0BB" w14:textId="550AD9D2" w:rsidR="00D46E57" w:rsidRPr="00D46E57" w:rsidRDefault="00D46E57" w:rsidP="00D46E57">
      <w:pPr>
        <w:spacing w:line="360" w:lineRule="auto"/>
        <w:jc w:val="center"/>
        <w:rPr>
          <w:rFonts w:ascii="Times New Roman" w:hAnsi="Times New Roman" w:cs="Times New Roman"/>
          <w:sz w:val="28"/>
          <w:szCs w:val="28"/>
          <w:lang w:val="en-US"/>
        </w:rPr>
      </w:pPr>
      <w:bookmarkStart w:id="0" w:name="_GoBack"/>
      <w:bookmarkEnd w:id="0"/>
      <w:r w:rsidRPr="00D46E57">
        <w:rPr>
          <w:rFonts w:ascii="Times New Roman" w:hAnsi="Times New Roman" w:cs="Times New Roman"/>
          <w:sz w:val="28"/>
          <w:szCs w:val="28"/>
          <w:lang w:val="en-US"/>
        </w:rPr>
        <w:t>The effects of stimulant dose and dosing strategy on treatment outcomes in attention-deficit/hyperactivity disorder in children and adolescents: a meta-analysis.</w:t>
      </w:r>
    </w:p>
    <w:p w14:paraId="5C6649C0" w14:textId="77777777" w:rsidR="00F3374A" w:rsidRPr="00F3374A" w:rsidRDefault="00F3374A" w:rsidP="00D46E57">
      <w:pPr>
        <w:spacing w:line="360" w:lineRule="auto"/>
        <w:rPr>
          <w:rFonts w:ascii="Times New Roman" w:hAnsi="Times New Roman" w:cs="Times New Roman"/>
          <w:sz w:val="28"/>
          <w:szCs w:val="28"/>
          <w:lang w:val="en-US"/>
        </w:rPr>
      </w:pPr>
    </w:p>
    <w:p w14:paraId="370D7645" w14:textId="75C2E32E" w:rsidR="00F3374A" w:rsidRPr="00F3374A" w:rsidRDefault="00F3374A" w:rsidP="00F3374A">
      <w:pPr>
        <w:spacing w:line="360" w:lineRule="auto"/>
        <w:jc w:val="center"/>
        <w:rPr>
          <w:rFonts w:ascii="Times New Roman" w:hAnsi="Times New Roman" w:cs="Times New Roman"/>
          <w:sz w:val="24"/>
          <w:szCs w:val="24"/>
          <w:vertAlign w:val="superscript"/>
        </w:rPr>
      </w:pPr>
      <w:r w:rsidRPr="00F3374A">
        <w:rPr>
          <w:rFonts w:ascii="Times New Roman" w:hAnsi="Times New Roman" w:cs="Times New Roman"/>
          <w:sz w:val="24"/>
          <w:szCs w:val="24"/>
        </w:rPr>
        <w:t>Luis C. Farhat, MD,</w:t>
      </w:r>
      <w:r w:rsidRPr="00F3374A">
        <w:rPr>
          <w:rFonts w:ascii="Times New Roman" w:hAnsi="Times New Roman" w:cs="Times New Roman"/>
          <w:sz w:val="24"/>
          <w:szCs w:val="24"/>
          <w:vertAlign w:val="superscript"/>
        </w:rPr>
        <w:t>1</w:t>
      </w:r>
      <w:r w:rsidRPr="00F3374A">
        <w:rPr>
          <w:rFonts w:ascii="Times New Roman" w:hAnsi="Times New Roman" w:cs="Times New Roman"/>
          <w:sz w:val="24"/>
          <w:szCs w:val="24"/>
        </w:rPr>
        <w:t xml:space="preserve"> Jose M. Flores, MD, PhD,</w:t>
      </w:r>
      <w:r w:rsidRPr="00F3374A">
        <w:rPr>
          <w:rFonts w:ascii="Times New Roman" w:hAnsi="Times New Roman" w:cs="Times New Roman"/>
          <w:sz w:val="24"/>
          <w:szCs w:val="24"/>
          <w:vertAlign w:val="superscript"/>
        </w:rPr>
        <w:t>2,3</w:t>
      </w:r>
      <w:r w:rsidRPr="00F3374A">
        <w:rPr>
          <w:rFonts w:ascii="Times New Roman" w:hAnsi="Times New Roman" w:cs="Times New Roman"/>
          <w:sz w:val="24"/>
          <w:szCs w:val="24"/>
        </w:rPr>
        <w:t xml:space="preserve"> Emily Behling, BS,</w:t>
      </w:r>
      <w:r w:rsidRPr="00F3374A">
        <w:rPr>
          <w:rFonts w:ascii="Times New Roman" w:hAnsi="Times New Roman" w:cs="Times New Roman"/>
          <w:sz w:val="24"/>
          <w:szCs w:val="24"/>
          <w:vertAlign w:val="superscript"/>
        </w:rPr>
        <w:t>4,5</w:t>
      </w:r>
      <w:r w:rsidRPr="00F3374A">
        <w:rPr>
          <w:rFonts w:ascii="Times New Roman" w:hAnsi="Times New Roman" w:cs="Times New Roman"/>
          <w:sz w:val="24"/>
          <w:szCs w:val="24"/>
        </w:rPr>
        <w:t xml:space="preserve"> Victor J. Avila-Quintero, MD,</w:t>
      </w:r>
      <w:r w:rsidRPr="00F3374A">
        <w:rPr>
          <w:rFonts w:ascii="Times New Roman" w:hAnsi="Times New Roman" w:cs="Times New Roman"/>
          <w:sz w:val="24"/>
          <w:szCs w:val="24"/>
          <w:vertAlign w:val="superscript"/>
        </w:rPr>
        <w:t>5</w:t>
      </w:r>
      <w:r w:rsidRPr="00F3374A">
        <w:rPr>
          <w:rFonts w:ascii="Times New Roman" w:hAnsi="Times New Roman" w:cs="Times New Roman"/>
          <w:sz w:val="24"/>
          <w:szCs w:val="24"/>
        </w:rPr>
        <w:t xml:space="preserve"> Adam Lombroso, BA,</w:t>
      </w:r>
      <w:r w:rsidRPr="00F3374A">
        <w:rPr>
          <w:rFonts w:ascii="Times New Roman" w:hAnsi="Times New Roman" w:cs="Times New Roman"/>
          <w:sz w:val="24"/>
          <w:szCs w:val="24"/>
          <w:vertAlign w:val="superscript"/>
        </w:rPr>
        <w:t>5</w:t>
      </w:r>
      <w:r w:rsidRPr="00F3374A">
        <w:rPr>
          <w:rFonts w:ascii="Times New Roman" w:hAnsi="Times New Roman" w:cs="Times New Roman"/>
          <w:sz w:val="24"/>
          <w:szCs w:val="24"/>
        </w:rPr>
        <w:t xml:space="preserve"> Samuele Cortese, MD, PhD,</w:t>
      </w:r>
      <w:r w:rsidRPr="00F3374A">
        <w:rPr>
          <w:rFonts w:ascii="Times New Roman" w:hAnsi="Times New Roman" w:cs="Times New Roman"/>
          <w:sz w:val="24"/>
          <w:szCs w:val="24"/>
          <w:vertAlign w:val="superscript"/>
        </w:rPr>
        <w:t>6,7,8,9,10</w:t>
      </w:r>
      <w:r w:rsidRPr="00F3374A">
        <w:rPr>
          <w:rFonts w:ascii="Times New Roman" w:hAnsi="Times New Roman" w:cs="Times New Roman"/>
          <w:sz w:val="24"/>
          <w:szCs w:val="24"/>
        </w:rPr>
        <w:t xml:space="preserve"> Guilherme V. Polanczyk, MD, PhD,</w:t>
      </w:r>
      <w:r w:rsidRPr="00F3374A">
        <w:rPr>
          <w:rFonts w:ascii="Times New Roman" w:hAnsi="Times New Roman" w:cs="Times New Roman"/>
          <w:sz w:val="24"/>
          <w:szCs w:val="24"/>
          <w:vertAlign w:val="superscript"/>
        </w:rPr>
        <w:t>1</w:t>
      </w:r>
      <w:r w:rsidRPr="00F3374A">
        <w:rPr>
          <w:rFonts w:ascii="Times New Roman" w:hAnsi="Times New Roman" w:cs="Times New Roman"/>
          <w:sz w:val="24"/>
          <w:szCs w:val="24"/>
        </w:rPr>
        <w:t xml:space="preserve"> Michael H. Bloch, MD, MS</w:t>
      </w:r>
      <w:r w:rsidRPr="00F3374A">
        <w:rPr>
          <w:rFonts w:ascii="Times New Roman" w:hAnsi="Times New Roman" w:cs="Times New Roman"/>
          <w:sz w:val="24"/>
          <w:szCs w:val="24"/>
          <w:vertAlign w:val="superscript"/>
        </w:rPr>
        <w:t>2,5</w:t>
      </w:r>
    </w:p>
    <w:p w14:paraId="19A93416" w14:textId="77777777" w:rsidR="00F3374A" w:rsidRDefault="00F3374A" w:rsidP="00F3374A">
      <w:pPr>
        <w:spacing w:line="360" w:lineRule="auto"/>
        <w:rPr>
          <w:rFonts w:ascii="Times New Roman" w:hAnsi="Times New Roman" w:cs="Times New Roman"/>
          <w:b/>
          <w:bCs/>
        </w:rPr>
      </w:pPr>
    </w:p>
    <w:p w14:paraId="2D9E9D6A" w14:textId="77777777" w:rsidR="00F3374A" w:rsidRPr="00F3374A" w:rsidRDefault="00F3374A" w:rsidP="00F3374A">
      <w:pPr>
        <w:spacing w:line="360" w:lineRule="auto"/>
        <w:rPr>
          <w:rFonts w:ascii="Times New Roman" w:hAnsi="Times New Roman" w:cs="Times New Roman"/>
          <w:b/>
          <w:bCs/>
        </w:rPr>
      </w:pPr>
    </w:p>
    <w:p w14:paraId="14F06889" w14:textId="0B3FE771" w:rsidR="00F3374A" w:rsidRPr="00F3374A" w:rsidRDefault="00F3374A" w:rsidP="00F3374A">
      <w:pPr>
        <w:spacing w:line="360" w:lineRule="auto"/>
        <w:rPr>
          <w:rFonts w:ascii="Times New Roman" w:hAnsi="Times New Roman" w:cs="Times New Roman"/>
          <w:sz w:val="20"/>
          <w:szCs w:val="20"/>
        </w:rPr>
      </w:pPr>
      <w:r w:rsidRPr="00F3374A">
        <w:rPr>
          <w:rFonts w:ascii="Times New Roman" w:hAnsi="Times New Roman" w:cs="Times New Roman"/>
          <w:b/>
          <w:bCs/>
        </w:rPr>
        <w:t>Affiliations</w:t>
      </w:r>
      <w:r w:rsidRPr="00F3374A">
        <w:rPr>
          <w:rFonts w:ascii="Times New Roman" w:hAnsi="Times New Roman" w:cs="Times New Roman"/>
          <w:sz w:val="20"/>
          <w:szCs w:val="20"/>
        </w:rPr>
        <w:t>:</w:t>
      </w:r>
    </w:p>
    <w:p w14:paraId="65E71F31" w14:textId="77777777" w:rsidR="00F3374A" w:rsidRPr="00F3374A" w:rsidRDefault="00F3374A" w:rsidP="00F3374A">
      <w:pPr>
        <w:spacing w:line="360" w:lineRule="auto"/>
        <w:rPr>
          <w:rFonts w:ascii="Times New Roman" w:hAnsi="Times New Roman" w:cs="Times New Roman"/>
          <w:sz w:val="24"/>
          <w:szCs w:val="24"/>
        </w:rPr>
      </w:pPr>
      <w:r w:rsidRPr="00F3374A">
        <w:rPr>
          <w:rFonts w:ascii="Times New Roman" w:hAnsi="Times New Roman" w:cs="Times New Roman"/>
          <w:sz w:val="24"/>
          <w:szCs w:val="24"/>
        </w:rPr>
        <w:t>1 – Department of Psychiatry, Faculdade de Medicina FMUSP, Universidade de São Paulo, São Paulo, BR</w:t>
      </w:r>
    </w:p>
    <w:p w14:paraId="6EA48951" w14:textId="77777777" w:rsidR="00F3374A" w:rsidRPr="00F3374A" w:rsidRDefault="00F3374A" w:rsidP="00F3374A">
      <w:pPr>
        <w:spacing w:line="360" w:lineRule="auto"/>
        <w:rPr>
          <w:rFonts w:ascii="Times New Roman" w:hAnsi="Times New Roman" w:cs="Times New Roman"/>
          <w:sz w:val="24"/>
          <w:szCs w:val="24"/>
          <w:lang w:val="en-US"/>
        </w:rPr>
      </w:pPr>
      <w:r w:rsidRPr="00F3374A">
        <w:rPr>
          <w:rFonts w:ascii="Times New Roman" w:hAnsi="Times New Roman" w:cs="Times New Roman"/>
          <w:sz w:val="24"/>
          <w:szCs w:val="24"/>
          <w:lang w:val="en-US"/>
        </w:rPr>
        <w:t>2 – Department of Psychiatry, Yale University School of Medicine, New Haven, CT, US.</w:t>
      </w:r>
    </w:p>
    <w:p w14:paraId="3934E58F" w14:textId="77777777" w:rsidR="00F3374A" w:rsidRPr="00F3374A" w:rsidRDefault="00F3374A" w:rsidP="00F3374A">
      <w:pPr>
        <w:spacing w:line="360" w:lineRule="auto"/>
        <w:rPr>
          <w:rFonts w:ascii="Times New Roman" w:hAnsi="Times New Roman" w:cs="Times New Roman"/>
          <w:sz w:val="24"/>
          <w:szCs w:val="24"/>
          <w:lang w:val="en-US"/>
        </w:rPr>
      </w:pPr>
      <w:r w:rsidRPr="00F3374A">
        <w:rPr>
          <w:rFonts w:ascii="Times New Roman" w:hAnsi="Times New Roman" w:cs="Times New Roman"/>
          <w:sz w:val="24"/>
          <w:szCs w:val="24"/>
          <w:lang w:val="en-US"/>
        </w:rPr>
        <w:t>3 – VA Connecticut Healthcare System, West Haven, CT, US.</w:t>
      </w:r>
    </w:p>
    <w:p w14:paraId="3D575F9D" w14:textId="77777777" w:rsidR="00F3374A" w:rsidRPr="00F3374A" w:rsidRDefault="00F3374A" w:rsidP="00F3374A">
      <w:pPr>
        <w:spacing w:line="360" w:lineRule="auto"/>
        <w:rPr>
          <w:rFonts w:ascii="Times New Roman" w:hAnsi="Times New Roman" w:cs="Times New Roman"/>
          <w:sz w:val="24"/>
          <w:szCs w:val="24"/>
          <w:lang w:val="en-US"/>
        </w:rPr>
      </w:pPr>
      <w:r w:rsidRPr="00F3374A">
        <w:rPr>
          <w:rFonts w:ascii="Times New Roman" w:hAnsi="Times New Roman" w:cs="Times New Roman"/>
          <w:sz w:val="24"/>
          <w:szCs w:val="24"/>
          <w:lang w:val="en-US"/>
        </w:rPr>
        <w:t>4 – University of Connecticut School of Medicine, Farmington, CT, US.</w:t>
      </w:r>
    </w:p>
    <w:p w14:paraId="5BFBDA82" w14:textId="77777777" w:rsidR="00F3374A" w:rsidRPr="00F3374A" w:rsidRDefault="00F3374A" w:rsidP="00F3374A">
      <w:pPr>
        <w:spacing w:line="360" w:lineRule="auto"/>
        <w:rPr>
          <w:rFonts w:ascii="Times New Roman" w:hAnsi="Times New Roman" w:cs="Times New Roman"/>
          <w:sz w:val="24"/>
          <w:szCs w:val="24"/>
          <w:lang w:val="en-US"/>
        </w:rPr>
      </w:pPr>
      <w:r w:rsidRPr="00F3374A">
        <w:rPr>
          <w:rFonts w:ascii="Times New Roman" w:hAnsi="Times New Roman" w:cs="Times New Roman"/>
          <w:sz w:val="24"/>
          <w:szCs w:val="24"/>
          <w:lang w:val="en-US"/>
        </w:rPr>
        <w:t>5 – Yale Child Study Center, Yale University School of Medicine, New Haven, CT, US.</w:t>
      </w:r>
    </w:p>
    <w:p w14:paraId="67FA8A36" w14:textId="77777777" w:rsidR="00F3374A" w:rsidRPr="00F3374A" w:rsidRDefault="00F3374A" w:rsidP="00F3374A">
      <w:pPr>
        <w:spacing w:line="360" w:lineRule="auto"/>
        <w:rPr>
          <w:rFonts w:ascii="Times New Roman" w:hAnsi="Times New Roman" w:cs="Times New Roman"/>
          <w:sz w:val="24"/>
          <w:szCs w:val="24"/>
          <w:lang w:val="en-US"/>
        </w:rPr>
      </w:pPr>
      <w:r w:rsidRPr="00F3374A">
        <w:rPr>
          <w:rFonts w:ascii="Times New Roman" w:hAnsi="Times New Roman" w:cs="Times New Roman"/>
          <w:sz w:val="24"/>
          <w:szCs w:val="24"/>
          <w:lang w:val="en-US"/>
        </w:rPr>
        <w:t>6 – Center for Innovation in Mental Health – Developmental Lab, School of Psychology, Faculty of Environmental and Life Sciences, University of Southampton, Southampton, UK.</w:t>
      </w:r>
    </w:p>
    <w:p w14:paraId="1195236B" w14:textId="77777777" w:rsidR="00F3374A" w:rsidRPr="00F3374A" w:rsidRDefault="00F3374A" w:rsidP="00F3374A">
      <w:pPr>
        <w:spacing w:line="360" w:lineRule="auto"/>
        <w:rPr>
          <w:rFonts w:ascii="Times New Roman" w:hAnsi="Times New Roman" w:cs="Times New Roman"/>
          <w:sz w:val="24"/>
          <w:szCs w:val="24"/>
          <w:lang w:val="en-US"/>
        </w:rPr>
      </w:pPr>
      <w:r w:rsidRPr="00F3374A">
        <w:rPr>
          <w:rFonts w:ascii="Times New Roman" w:hAnsi="Times New Roman" w:cs="Times New Roman"/>
          <w:sz w:val="24"/>
          <w:szCs w:val="24"/>
          <w:lang w:val="en-US"/>
        </w:rPr>
        <w:t>7 – Clinical and Experimental Sciences (CNS and Psychiatry), Faculty of Medicine, University of Southampton, Southampton, UK.</w:t>
      </w:r>
    </w:p>
    <w:p w14:paraId="217C85A2" w14:textId="77777777" w:rsidR="00F3374A" w:rsidRPr="00F3374A" w:rsidRDefault="00F3374A" w:rsidP="00F3374A">
      <w:pPr>
        <w:spacing w:line="360" w:lineRule="auto"/>
        <w:rPr>
          <w:rFonts w:ascii="Times New Roman" w:hAnsi="Times New Roman" w:cs="Times New Roman"/>
          <w:sz w:val="24"/>
          <w:szCs w:val="24"/>
          <w:lang w:val="en-US"/>
        </w:rPr>
      </w:pPr>
      <w:r w:rsidRPr="00F3374A">
        <w:rPr>
          <w:rFonts w:ascii="Times New Roman" w:hAnsi="Times New Roman" w:cs="Times New Roman"/>
          <w:sz w:val="24"/>
          <w:szCs w:val="24"/>
          <w:lang w:val="en-US"/>
        </w:rPr>
        <w:t>8 – Solent NHS Trust, Southampton, UK.</w:t>
      </w:r>
    </w:p>
    <w:p w14:paraId="411F4F73" w14:textId="77777777" w:rsidR="00F3374A" w:rsidRPr="00F3374A" w:rsidRDefault="00F3374A" w:rsidP="00F3374A">
      <w:pPr>
        <w:spacing w:line="360" w:lineRule="auto"/>
        <w:rPr>
          <w:rFonts w:ascii="Times New Roman" w:hAnsi="Times New Roman" w:cs="Times New Roman"/>
          <w:sz w:val="24"/>
          <w:szCs w:val="24"/>
          <w:lang w:val="en-US"/>
        </w:rPr>
      </w:pPr>
      <w:r w:rsidRPr="00F3374A">
        <w:rPr>
          <w:rFonts w:ascii="Times New Roman" w:hAnsi="Times New Roman" w:cs="Times New Roman"/>
          <w:sz w:val="24"/>
          <w:szCs w:val="24"/>
          <w:lang w:val="en-US"/>
        </w:rPr>
        <w:t>9 – Hassenfeld Children’s Hospital at NYU Langone, New York University Child Study Center, New York City, NY, US.</w:t>
      </w:r>
    </w:p>
    <w:p w14:paraId="6937C013" w14:textId="77777777" w:rsidR="00F3374A" w:rsidRPr="00F3374A" w:rsidRDefault="00F3374A" w:rsidP="00F3374A">
      <w:pPr>
        <w:spacing w:line="360" w:lineRule="auto"/>
        <w:rPr>
          <w:rFonts w:ascii="Times New Roman" w:hAnsi="Times New Roman" w:cs="Times New Roman"/>
          <w:sz w:val="24"/>
          <w:szCs w:val="24"/>
          <w:lang w:val="en-US"/>
        </w:rPr>
      </w:pPr>
      <w:r w:rsidRPr="00F3374A">
        <w:rPr>
          <w:rFonts w:ascii="Times New Roman" w:hAnsi="Times New Roman" w:cs="Times New Roman"/>
          <w:sz w:val="24"/>
          <w:szCs w:val="24"/>
          <w:lang w:val="en-US"/>
        </w:rPr>
        <w:t>10 – Division of Psychiatry and Applied Psychology, School of Medicine, University of Nottingham, UK.</w:t>
      </w:r>
    </w:p>
    <w:p w14:paraId="4A448F65" w14:textId="77777777" w:rsidR="00F3374A" w:rsidRPr="00F3374A" w:rsidRDefault="00F3374A" w:rsidP="00D46E57">
      <w:pPr>
        <w:spacing w:line="360" w:lineRule="auto"/>
        <w:rPr>
          <w:sz w:val="18"/>
          <w:szCs w:val="18"/>
          <w:lang w:val="en-US"/>
        </w:rPr>
      </w:pPr>
    </w:p>
    <w:p w14:paraId="0442EB9B" w14:textId="77777777" w:rsidR="00F3374A" w:rsidRPr="00F3374A" w:rsidRDefault="00F3374A" w:rsidP="00F3374A">
      <w:pPr>
        <w:spacing w:line="360" w:lineRule="auto"/>
        <w:rPr>
          <w:rFonts w:ascii="Times New Roman" w:hAnsi="Times New Roman" w:cs="Times New Roman"/>
          <w:b/>
          <w:bCs/>
          <w:lang w:val="en-US"/>
        </w:rPr>
      </w:pPr>
      <w:r w:rsidRPr="00F3374A">
        <w:rPr>
          <w:rFonts w:ascii="Times New Roman" w:hAnsi="Times New Roman" w:cs="Times New Roman"/>
          <w:b/>
          <w:bCs/>
          <w:lang w:val="en-US"/>
        </w:rPr>
        <w:t xml:space="preserve">Running title: </w:t>
      </w:r>
    </w:p>
    <w:p w14:paraId="16555BB3" w14:textId="77777777" w:rsidR="00F3374A" w:rsidRPr="00F3374A" w:rsidRDefault="00F3374A" w:rsidP="00F3374A">
      <w:pPr>
        <w:spacing w:line="360" w:lineRule="auto"/>
        <w:rPr>
          <w:rFonts w:ascii="Times New Roman" w:hAnsi="Times New Roman" w:cs="Times New Roman"/>
          <w:sz w:val="24"/>
          <w:szCs w:val="24"/>
          <w:lang w:val="en-US"/>
        </w:rPr>
      </w:pPr>
      <w:r w:rsidRPr="00F3374A">
        <w:rPr>
          <w:rFonts w:ascii="Times New Roman" w:hAnsi="Times New Roman" w:cs="Times New Roman"/>
          <w:sz w:val="24"/>
          <w:szCs w:val="24"/>
          <w:lang w:val="en-US"/>
        </w:rPr>
        <w:t>Dose-response meta-analysis of stimulants for pediatric ADHD.</w:t>
      </w:r>
    </w:p>
    <w:p w14:paraId="792EEBF1" w14:textId="77777777" w:rsidR="00F3374A" w:rsidRPr="00F3374A" w:rsidRDefault="00F3374A" w:rsidP="00F3374A">
      <w:pPr>
        <w:spacing w:line="360" w:lineRule="auto"/>
        <w:rPr>
          <w:sz w:val="18"/>
          <w:szCs w:val="18"/>
          <w:lang w:val="en-US"/>
        </w:rPr>
      </w:pPr>
    </w:p>
    <w:p w14:paraId="181E6E12" w14:textId="77777777" w:rsidR="00F3374A" w:rsidRPr="00F3374A" w:rsidRDefault="00F3374A" w:rsidP="00F3374A">
      <w:pPr>
        <w:spacing w:line="360" w:lineRule="auto"/>
        <w:rPr>
          <w:rFonts w:ascii="Times New Roman" w:hAnsi="Times New Roman" w:cs="Times New Roman"/>
          <w:lang w:val="en-US"/>
        </w:rPr>
      </w:pPr>
      <w:r w:rsidRPr="00F3374A">
        <w:rPr>
          <w:rFonts w:ascii="Times New Roman" w:hAnsi="Times New Roman" w:cs="Times New Roman"/>
          <w:b/>
          <w:bCs/>
          <w:lang w:val="en-US"/>
        </w:rPr>
        <w:t>Corresponding author:</w:t>
      </w:r>
    </w:p>
    <w:p w14:paraId="62716335" w14:textId="77777777" w:rsidR="00F3374A" w:rsidRPr="00F3374A" w:rsidRDefault="00F3374A" w:rsidP="00F3374A">
      <w:pPr>
        <w:spacing w:line="360" w:lineRule="auto"/>
        <w:rPr>
          <w:rFonts w:ascii="Times New Roman" w:hAnsi="Times New Roman" w:cs="Times New Roman"/>
          <w:sz w:val="24"/>
          <w:szCs w:val="24"/>
          <w:lang w:val="en-US"/>
        </w:rPr>
      </w:pPr>
      <w:r w:rsidRPr="00F3374A">
        <w:rPr>
          <w:rFonts w:ascii="Times New Roman" w:hAnsi="Times New Roman" w:cs="Times New Roman"/>
          <w:sz w:val="24"/>
          <w:szCs w:val="24"/>
          <w:lang w:val="en-US"/>
        </w:rPr>
        <w:t>Dr. Michael H. Bloch, M.D., M.S.</w:t>
      </w:r>
    </w:p>
    <w:p w14:paraId="32F7CAB6" w14:textId="77777777" w:rsidR="00F3374A" w:rsidRPr="00F3374A" w:rsidRDefault="00F3374A" w:rsidP="00F3374A">
      <w:pPr>
        <w:spacing w:line="360" w:lineRule="auto"/>
        <w:rPr>
          <w:rFonts w:ascii="Times New Roman" w:hAnsi="Times New Roman" w:cs="Times New Roman"/>
          <w:sz w:val="24"/>
          <w:szCs w:val="24"/>
          <w:lang w:val="en-US"/>
        </w:rPr>
      </w:pPr>
      <w:r w:rsidRPr="00F3374A">
        <w:rPr>
          <w:rFonts w:ascii="Times New Roman" w:hAnsi="Times New Roman" w:cs="Times New Roman"/>
          <w:sz w:val="24"/>
          <w:szCs w:val="24"/>
          <w:lang w:val="en-US"/>
        </w:rPr>
        <w:t xml:space="preserve">Yale Child Study Center, 230 Sd. Frontage Road, New Haven, CT, 06519, US. </w:t>
      </w:r>
    </w:p>
    <w:p w14:paraId="67287584" w14:textId="77777777" w:rsidR="00F3374A" w:rsidRPr="00F3374A" w:rsidRDefault="00F3374A" w:rsidP="00F3374A">
      <w:pPr>
        <w:spacing w:line="360" w:lineRule="auto"/>
        <w:rPr>
          <w:rFonts w:ascii="Times New Roman" w:hAnsi="Times New Roman" w:cs="Times New Roman"/>
          <w:sz w:val="24"/>
          <w:szCs w:val="24"/>
          <w:lang w:val="en-US"/>
        </w:rPr>
      </w:pPr>
      <w:r w:rsidRPr="00F3374A">
        <w:rPr>
          <w:rFonts w:ascii="Times New Roman" w:hAnsi="Times New Roman" w:cs="Times New Roman"/>
          <w:sz w:val="24"/>
          <w:szCs w:val="24"/>
          <w:lang w:val="en-US"/>
        </w:rPr>
        <w:t>Email: michael.bloch@yale.edu</w:t>
      </w:r>
    </w:p>
    <w:p w14:paraId="735CE380" w14:textId="77777777" w:rsidR="00BA0373" w:rsidRPr="00BA0373" w:rsidRDefault="00BA0373" w:rsidP="0012522B">
      <w:pPr>
        <w:spacing w:line="480" w:lineRule="auto"/>
        <w:rPr>
          <w:rFonts w:ascii="Times New Roman" w:eastAsia="Times New Roman" w:hAnsi="Times New Roman" w:cs="Times New Roman"/>
          <w:sz w:val="24"/>
          <w:szCs w:val="24"/>
          <w:lang w:val="en-US"/>
        </w:rPr>
        <w:sectPr w:rsidR="00BA0373" w:rsidRPr="00BA0373" w:rsidSect="00B17D8D">
          <w:footerReference w:type="even" r:id="rId8"/>
          <w:footerReference w:type="default" r:id="rId9"/>
          <w:pgSz w:w="11909" w:h="16834"/>
          <w:pgMar w:top="1440" w:right="1440" w:bottom="1440" w:left="1440" w:header="720" w:footer="720" w:gutter="0"/>
          <w:cols w:space="720"/>
          <w:docGrid w:linePitch="299"/>
        </w:sectPr>
      </w:pPr>
    </w:p>
    <w:p w14:paraId="000000C2" w14:textId="43C7B252" w:rsidR="00252EC4" w:rsidRPr="00BA0373" w:rsidRDefault="0093129C" w:rsidP="0012522B">
      <w:pPr>
        <w:spacing w:line="480" w:lineRule="auto"/>
        <w:rPr>
          <w:rFonts w:ascii="Times New Roman" w:hAnsi="Times New Roman" w:cs="Times New Roman"/>
          <w:sz w:val="24"/>
          <w:szCs w:val="24"/>
          <w:lang w:val="en-US"/>
        </w:rPr>
      </w:pPr>
      <w:r w:rsidRPr="00BA0373">
        <w:rPr>
          <w:rFonts w:ascii="Times New Roman" w:hAnsi="Times New Roman" w:cs="Times New Roman"/>
          <w:b/>
          <w:sz w:val="24"/>
          <w:szCs w:val="24"/>
          <w:lang w:val="en-US"/>
        </w:rPr>
        <w:lastRenderedPageBreak/>
        <w:t>A</w:t>
      </w:r>
      <w:r w:rsidR="003222AB" w:rsidRPr="00BA0373">
        <w:rPr>
          <w:rFonts w:ascii="Times New Roman" w:hAnsi="Times New Roman" w:cs="Times New Roman"/>
          <w:b/>
          <w:sz w:val="24"/>
          <w:szCs w:val="24"/>
          <w:lang w:val="en-US"/>
        </w:rPr>
        <w:t>BSTRACT</w:t>
      </w:r>
    </w:p>
    <w:p w14:paraId="6A331CF7" w14:textId="18C4FA98" w:rsidR="00501680" w:rsidRPr="00BA0373" w:rsidRDefault="00501680" w:rsidP="00501680">
      <w:pPr>
        <w:spacing w:line="480" w:lineRule="auto"/>
        <w:rPr>
          <w:rFonts w:ascii="Times New Roman" w:hAnsi="Times New Roman" w:cs="Times New Roman"/>
          <w:sz w:val="24"/>
          <w:szCs w:val="24"/>
          <w:lang w:val="en-US"/>
        </w:rPr>
        <w:sectPr w:rsidR="00501680" w:rsidRPr="00BA0373" w:rsidSect="0006657B">
          <w:pgSz w:w="11909" w:h="16834"/>
          <w:pgMar w:top="1440" w:right="1440" w:bottom="1440" w:left="1440" w:header="720" w:footer="720" w:gutter="0"/>
          <w:cols w:space="720"/>
          <w:docGrid w:linePitch="299"/>
        </w:sectPr>
      </w:pPr>
      <w:r w:rsidRPr="00BA0373">
        <w:rPr>
          <w:rFonts w:ascii="Times New Roman" w:hAnsi="Times New Roman" w:cs="Times New Roman"/>
          <w:sz w:val="24"/>
          <w:szCs w:val="24"/>
          <w:lang w:val="en-US"/>
        </w:rPr>
        <w:t xml:space="preserve">Clinical guidelines currently recommend </w:t>
      </w:r>
      <w:r w:rsidR="006F3D56">
        <w:rPr>
          <w:rFonts w:ascii="Times New Roman" w:hAnsi="Times New Roman" w:cs="Times New Roman"/>
          <w:sz w:val="24"/>
          <w:szCs w:val="24"/>
          <w:lang w:val="en-US"/>
        </w:rPr>
        <w:t>practitioners titrate</w:t>
      </w:r>
      <w:r w:rsidRPr="00BA0373">
        <w:rPr>
          <w:rFonts w:ascii="Times New Roman" w:hAnsi="Times New Roman" w:cs="Times New Roman"/>
          <w:sz w:val="24"/>
          <w:szCs w:val="24"/>
          <w:lang w:val="en-US"/>
        </w:rPr>
        <w:t xml:space="preserve"> stimulant medications</w:t>
      </w:r>
      <w:r>
        <w:rPr>
          <w:rFonts w:ascii="Times New Roman" w:hAnsi="Times New Roman" w:cs="Times New Roman"/>
          <w:sz w:val="24"/>
          <w:szCs w:val="24"/>
          <w:lang w:val="en-US"/>
        </w:rPr>
        <w:t>, i.e., methylphenidate (MPH) and amphetamines (AMP),</w:t>
      </w:r>
      <w:r w:rsidRPr="00BA0373">
        <w:rPr>
          <w:rFonts w:ascii="Times New Roman" w:hAnsi="Times New Roman" w:cs="Times New Roman"/>
          <w:sz w:val="24"/>
          <w:szCs w:val="24"/>
          <w:lang w:val="en-US"/>
        </w:rPr>
        <w:t xml:space="preserve"> to the </w:t>
      </w:r>
      <w:r>
        <w:rPr>
          <w:rFonts w:ascii="Times New Roman" w:hAnsi="Times New Roman" w:cs="Times New Roman"/>
          <w:sz w:val="24"/>
          <w:szCs w:val="24"/>
          <w:lang w:val="en-US"/>
        </w:rPr>
        <w:t xml:space="preserve">dose that maximizes symptom control without eliciting intolerable </w:t>
      </w:r>
      <w:r w:rsidR="00DC58F3">
        <w:rPr>
          <w:rFonts w:ascii="Times New Roman" w:hAnsi="Times New Roman" w:cs="Times New Roman"/>
          <w:sz w:val="24"/>
          <w:szCs w:val="24"/>
          <w:lang w:val="en-US"/>
        </w:rPr>
        <w:t>adverse events (AEs)</w:t>
      </w:r>
      <w:r>
        <w:rPr>
          <w:rFonts w:ascii="Times New Roman" w:hAnsi="Times New Roman" w:cs="Times New Roman"/>
          <w:sz w:val="24"/>
          <w:szCs w:val="24"/>
          <w:lang w:val="en-US"/>
        </w:rPr>
        <w:t xml:space="preserve"> when treating attention-deficit/hyperactivity disorder (ADHD) in school-aged children/adolescents.</w:t>
      </w:r>
      <w:r w:rsidR="006F3D56">
        <w:rPr>
          <w:rFonts w:ascii="Times New Roman" w:hAnsi="Times New Roman" w:cs="Times New Roman"/>
          <w:sz w:val="24"/>
          <w:szCs w:val="24"/>
          <w:lang w:val="en-US"/>
        </w:rPr>
        <w:t xml:space="preserve"> However, </w:t>
      </w:r>
      <w:r w:rsidR="006F3D56" w:rsidRPr="00BA0373">
        <w:rPr>
          <w:rFonts w:ascii="Times New Roman" w:hAnsi="Times New Roman" w:cs="Times New Roman"/>
          <w:sz w:val="24"/>
          <w:szCs w:val="24"/>
          <w:lang w:val="en-US"/>
        </w:rPr>
        <w:t xml:space="preserve">robust evidence-base regarding the effects of doses </w:t>
      </w:r>
      <w:r w:rsidR="006F3D56">
        <w:rPr>
          <w:rFonts w:ascii="Times New Roman" w:hAnsi="Times New Roman" w:cs="Times New Roman"/>
          <w:sz w:val="24"/>
          <w:szCs w:val="24"/>
          <w:lang w:val="en-US"/>
        </w:rPr>
        <w:t xml:space="preserve">and dosing strategies </w:t>
      </w:r>
      <w:r w:rsidR="006F3D56" w:rsidRPr="00BA0373">
        <w:rPr>
          <w:rFonts w:ascii="Times New Roman" w:hAnsi="Times New Roman" w:cs="Times New Roman"/>
          <w:sz w:val="24"/>
          <w:szCs w:val="24"/>
          <w:lang w:val="en-US"/>
        </w:rPr>
        <w:t>of stimulants on clinical outcomes in the treatment of children/adolescents with ADHD</w:t>
      </w:r>
      <w:r w:rsidR="006F3D56">
        <w:rPr>
          <w:rFonts w:ascii="Times New Roman" w:hAnsi="Times New Roman" w:cs="Times New Roman"/>
          <w:sz w:val="24"/>
          <w:szCs w:val="24"/>
          <w:lang w:val="en-US"/>
        </w:rPr>
        <w:t xml:space="preserve"> is currently lacking</w:t>
      </w:r>
      <w:r w:rsidR="005F49AF">
        <w:rPr>
          <w:rFonts w:ascii="Times New Roman" w:hAnsi="Times New Roman" w:cs="Times New Roman"/>
          <w:sz w:val="24"/>
          <w:szCs w:val="24"/>
          <w:lang w:val="en-US"/>
        </w:rPr>
        <w:t xml:space="preserve"> and</w:t>
      </w:r>
      <w:r w:rsidR="006F3D56">
        <w:rPr>
          <w:rFonts w:ascii="Times New Roman" w:hAnsi="Times New Roman" w:cs="Times New Roman"/>
          <w:sz w:val="24"/>
          <w:szCs w:val="24"/>
          <w:lang w:val="en-US"/>
        </w:rPr>
        <w:t xml:space="preserve"> </w:t>
      </w:r>
      <w:r w:rsidR="006F3D56" w:rsidRPr="00BA0373">
        <w:rPr>
          <w:rFonts w:ascii="Times New Roman" w:hAnsi="Times New Roman" w:cs="Times New Roman"/>
          <w:sz w:val="24"/>
          <w:szCs w:val="24"/>
          <w:lang w:val="en-US"/>
        </w:rPr>
        <w:t>stimulants are often underdosed in clinical practice.</w:t>
      </w:r>
      <w:r w:rsidR="006F3D56">
        <w:rPr>
          <w:rFonts w:ascii="Times New Roman" w:hAnsi="Times New Roman" w:cs="Times New Roman"/>
          <w:sz w:val="24"/>
          <w:szCs w:val="24"/>
          <w:lang w:val="en-US"/>
        </w:rPr>
        <w:t xml:space="preserve"> </w:t>
      </w:r>
      <w:r w:rsidRPr="00BA0373">
        <w:rPr>
          <w:rFonts w:ascii="Times New Roman" w:hAnsi="Times New Roman" w:cs="Times New Roman"/>
          <w:sz w:val="24"/>
          <w:szCs w:val="24"/>
          <w:lang w:val="en-US"/>
        </w:rPr>
        <w:t xml:space="preserve">To </w:t>
      </w:r>
      <w:r w:rsidR="00C738CF">
        <w:rPr>
          <w:rFonts w:ascii="Times New Roman" w:hAnsi="Times New Roman" w:cs="Times New Roman"/>
          <w:sz w:val="24"/>
          <w:szCs w:val="24"/>
          <w:lang w:val="en-US"/>
        </w:rPr>
        <w:t xml:space="preserve">address this gap and </w:t>
      </w:r>
      <w:r w:rsidRPr="00BA0373">
        <w:rPr>
          <w:rFonts w:ascii="Times New Roman" w:hAnsi="Times New Roman" w:cs="Times New Roman"/>
          <w:sz w:val="24"/>
          <w:szCs w:val="24"/>
          <w:lang w:val="en-US"/>
        </w:rPr>
        <w:t xml:space="preserve">provide rigorous evidence-base in relation to the </w:t>
      </w:r>
      <w:r w:rsidR="001A0807">
        <w:rPr>
          <w:rFonts w:ascii="Times New Roman" w:hAnsi="Times New Roman" w:cs="Times New Roman"/>
          <w:sz w:val="24"/>
          <w:szCs w:val="24"/>
          <w:lang w:val="en-US"/>
        </w:rPr>
        <w:t xml:space="preserve">dose and </w:t>
      </w:r>
      <w:r w:rsidRPr="00BA0373">
        <w:rPr>
          <w:rFonts w:ascii="Times New Roman" w:hAnsi="Times New Roman" w:cs="Times New Roman"/>
          <w:sz w:val="24"/>
          <w:szCs w:val="24"/>
          <w:lang w:val="en-US"/>
        </w:rPr>
        <w:t xml:space="preserve">dosing strategy of stimulants, we conducted the largest systematic review and dose-response meta-analysis examining change in ADHD symptoms (efficacy), and treatment discontinuations due to </w:t>
      </w:r>
      <w:r w:rsidR="00DC58F3">
        <w:rPr>
          <w:rFonts w:ascii="Times New Roman" w:hAnsi="Times New Roman" w:cs="Times New Roman"/>
          <w:sz w:val="24"/>
          <w:szCs w:val="24"/>
          <w:lang w:val="en-US"/>
        </w:rPr>
        <w:t>AEs</w:t>
      </w:r>
      <w:r w:rsidRPr="00BA0373">
        <w:rPr>
          <w:rFonts w:ascii="Times New Roman" w:hAnsi="Times New Roman" w:cs="Times New Roman"/>
          <w:sz w:val="24"/>
          <w:szCs w:val="24"/>
          <w:lang w:val="en-US"/>
        </w:rPr>
        <w:t xml:space="preserve"> (tolerability) and any reason (acceptability)</w:t>
      </w:r>
      <w:r>
        <w:rPr>
          <w:rFonts w:ascii="Times New Roman" w:hAnsi="Times New Roman" w:cs="Times New Roman"/>
          <w:sz w:val="24"/>
          <w:szCs w:val="24"/>
          <w:lang w:val="en-US"/>
        </w:rPr>
        <w:t>.</w:t>
      </w:r>
      <w:r w:rsidRPr="00BA0373">
        <w:rPr>
          <w:rFonts w:ascii="Times New Roman" w:hAnsi="Times New Roman" w:cs="Times New Roman"/>
          <w:sz w:val="24"/>
          <w:szCs w:val="24"/>
          <w:lang w:val="en-US"/>
        </w:rPr>
        <w:t xml:space="preserve">  We conducted one-stage random-effects dose-response meta-analyses examining</w:t>
      </w:r>
      <w:r w:rsidR="006F3D56">
        <w:rPr>
          <w:rFonts w:ascii="Times New Roman" w:hAnsi="Times New Roman" w:cs="Times New Roman"/>
          <w:sz w:val="24"/>
          <w:szCs w:val="24"/>
          <w:lang w:val="en-US"/>
        </w:rPr>
        <w:t xml:space="preserve"> </w:t>
      </w:r>
      <w:r w:rsidRPr="00BA0373">
        <w:rPr>
          <w:rFonts w:ascii="Times New Roman" w:hAnsi="Times New Roman" w:cs="Times New Roman"/>
          <w:sz w:val="24"/>
          <w:szCs w:val="24"/>
          <w:lang w:val="en-US"/>
        </w:rPr>
        <w:t>MPH and AMP separately, stratifying trials based on fixed</w:t>
      </w:r>
      <w:r w:rsidR="006F3D56">
        <w:rPr>
          <w:rFonts w:ascii="Times New Roman" w:hAnsi="Times New Roman" w:cs="Times New Roman"/>
          <w:sz w:val="24"/>
          <w:szCs w:val="24"/>
          <w:lang w:val="en-US"/>
        </w:rPr>
        <w:t>-dose</w:t>
      </w:r>
      <w:r w:rsidRPr="00BA0373">
        <w:rPr>
          <w:rFonts w:ascii="Times New Roman" w:hAnsi="Times New Roman" w:cs="Times New Roman"/>
          <w:sz w:val="24"/>
          <w:szCs w:val="24"/>
          <w:lang w:val="en-US"/>
        </w:rPr>
        <w:t xml:space="preserve"> and flexible-dose design. Daily doses of stimulants were converted to MPH- and AMP-equivalent doses by adjusting for different pharmacokinetics across formulations. We also conducted pairwise meta-analyses to provide indirect comparisons between flexible-dose versus fixed-dose trials. </w:t>
      </w:r>
      <w:r>
        <w:rPr>
          <w:rFonts w:ascii="Times New Roman" w:hAnsi="Times New Roman" w:cs="Times New Roman"/>
          <w:sz w:val="24"/>
          <w:szCs w:val="24"/>
          <w:lang w:val="en-US"/>
        </w:rPr>
        <w:t>Our study included</w:t>
      </w:r>
      <w:r w:rsidRPr="00BA0373">
        <w:rPr>
          <w:rFonts w:ascii="Times New Roman" w:hAnsi="Times New Roman" w:cs="Times New Roman"/>
          <w:sz w:val="24"/>
          <w:szCs w:val="24"/>
          <w:lang w:val="en-US"/>
        </w:rPr>
        <w:t xml:space="preserve"> 65 RCTs</w:t>
      </w:r>
      <w:r>
        <w:rPr>
          <w:rFonts w:ascii="Times New Roman" w:hAnsi="Times New Roman" w:cs="Times New Roman"/>
          <w:sz w:val="24"/>
          <w:szCs w:val="24"/>
          <w:lang w:val="en-US"/>
        </w:rPr>
        <w:t xml:space="preserve"> involving </w:t>
      </w:r>
      <w:r w:rsidRPr="00BA0373">
        <w:rPr>
          <w:rFonts w:ascii="Times New Roman" w:hAnsi="Times New Roman" w:cs="Times New Roman"/>
          <w:sz w:val="24"/>
          <w:szCs w:val="24"/>
          <w:lang w:val="en-US"/>
        </w:rPr>
        <w:t>7</w:t>
      </w:r>
      <w:r w:rsidR="00E037DF">
        <w:rPr>
          <w:rFonts w:ascii="Times New Roman" w:hAnsi="Times New Roman" w:cs="Times New Roman"/>
          <w:sz w:val="24"/>
          <w:szCs w:val="24"/>
          <w:lang w:val="en-US"/>
        </w:rPr>
        <w:t xml:space="preserve"> </w:t>
      </w:r>
      <w:r w:rsidRPr="00BA0373">
        <w:rPr>
          <w:rFonts w:ascii="Times New Roman" w:hAnsi="Times New Roman" w:cs="Times New Roman"/>
          <w:sz w:val="24"/>
          <w:szCs w:val="24"/>
          <w:lang w:val="en-US"/>
        </w:rPr>
        <w:t xml:space="preserve">877 children/adolescents. Meta-analyses of fixed-dose trials </w:t>
      </w:r>
      <w:r>
        <w:rPr>
          <w:rFonts w:ascii="Times New Roman" w:hAnsi="Times New Roman" w:cs="Times New Roman"/>
          <w:sz w:val="24"/>
          <w:szCs w:val="24"/>
          <w:lang w:val="en-US"/>
        </w:rPr>
        <w:t>for both MPH and AMP demonstrated</w:t>
      </w:r>
      <w:r w:rsidRPr="00BA0373">
        <w:rPr>
          <w:rFonts w:ascii="Times New Roman" w:hAnsi="Times New Roman" w:cs="Times New Roman"/>
          <w:sz w:val="24"/>
          <w:szCs w:val="24"/>
          <w:lang w:val="en-US"/>
        </w:rPr>
        <w:t xml:space="preserve"> increased efficacy and increased likelihood of discontinuation due to </w:t>
      </w:r>
      <w:r w:rsidR="00DC58F3">
        <w:rPr>
          <w:rFonts w:ascii="Times New Roman" w:hAnsi="Times New Roman" w:cs="Times New Roman"/>
          <w:sz w:val="24"/>
          <w:szCs w:val="24"/>
          <w:lang w:val="en-US"/>
        </w:rPr>
        <w:t>AEs</w:t>
      </w:r>
      <w:r w:rsidRPr="00BA0373">
        <w:rPr>
          <w:rFonts w:ascii="Times New Roman" w:hAnsi="Times New Roman" w:cs="Times New Roman"/>
          <w:sz w:val="24"/>
          <w:szCs w:val="24"/>
          <w:lang w:val="en-US"/>
        </w:rPr>
        <w:t xml:space="preserve"> with increasing doses of stimulants. The incremental benefits of stimulants in terms of efficacy decreased beyond 30mg of MPH or 20mg of AMP in fixed-dosed trials</w:t>
      </w:r>
      <w:r>
        <w:rPr>
          <w:rFonts w:ascii="Times New Roman" w:hAnsi="Times New Roman" w:cs="Times New Roman"/>
          <w:sz w:val="24"/>
          <w:szCs w:val="24"/>
          <w:lang w:val="en-US"/>
        </w:rPr>
        <w:t>. In contrast, m</w:t>
      </w:r>
      <w:r w:rsidRPr="00BA0373">
        <w:rPr>
          <w:rFonts w:ascii="Times New Roman" w:hAnsi="Times New Roman" w:cs="Times New Roman"/>
          <w:sz w:val="24"/>
          <w:szCs w:val="24"/>
          <w:lang w:val="en-US"/>
        </w:rPr>
        <w:t xml:space="preserve">eta-analyses of flexible-dose trials for both MPH and AMP demonstrated </w:t>
      </w:r>
      <w:r>
        <w:rPr>
          <w:rFonts w:ascii="Times New Roman" w:hAnsi="Times New Roman" w:cs="Times New Roman"/>
          <w:sz w:val="24"/>
          <w:szCs w:val="24"/>
          <w:lang w:val="en-US"/>
        </w:rPr>
        <w:t>increased</w:t>
      </w:r>
      <w:r w:rsidRPr="00BA0373">
        <w:rPr>
          <w:rFonts w:ascii="Times New Roman" w:hAnsi="Times New Roman" w:cs="Times New Roman"/>
          <w:sz w:val="24"/>
          <w:szCs w:val="24"/>
          <w:lang w:val="en-US"/>
        </w:rPr>
        <w:t xml:space="preserve"> efficacy and reduced </w:t>
      </w:r>
      <w:r>
        <w:rPr>
          <w:rFonts w:ascii="Times New Roman" w:hAnsi="Times New Roman" w:cs="Times New Roman"/>
          <w:sz w:val="24"/>
          <w:szCs w:val="24"/>
          <w:lang w:val="en-US"/>
        </w:rPr>
        <w:t xml:space="preserve">likelihood of discontinuations for any reason </w:t>
      </w:r>
      <w:r w:rsidRPr="00BA0373">
        <w:rPr>
          <w:rFonts w:ascii="Times New Roman" w:hAnsi="Times New Roman" w:cs="Times New Roman"/>
          <w:sz w:val="24"/>
          <w:szCs w:val="24"/>
          <w:lang w:val="en-US"/>
        </w:rPr>
        <w:t>with increasing stimulant doses</w:t>
      </w:r>
      <w:r>
        <w:rPr>
          <w:rFonts w:ascii="Times New Roman" w:hAnsi="Times New Roman" w:cs="Times New Roman"/>
          <w:sz w:val="24"/>
          <w:szCs w:val="24"/>
          <w:lang w:val="en-US"/>
        </w:rPr>
        <w:t>. T</w:t>
      </w:r>
      <w:r w:rsidRPr="00BA0373">
        <w:rPr>
          <w:rFonts w:ascii="Times New Roman" w:hAnsi="Times New Roman" w:cs="Times New Roman"/>
          <w:sz w:val="24"/>
          <w:szCs w:val="24"/>
          <w:lang w:val="en-US"/>
        </w:rPr>
        <w:t xml:space="preserve">he incremental benefits of stimulants in terms of efficacy remained </w:t>
      </w:r>
      <w:r>
        <w:rPr>
          <w:rFonts w:ascii="Times New Roman" w:hAnsi="Times New Roman" w:cs="Times New Roman"/>
          <w:sz w:val="24"/>
          <w:szCs w:val="24"/>
          <w:lang w:val="en-US"/>
        </w:rPr>
        <w:t>constant</w:t>
      </w:r>
      <w:r w:rsidRPr="00BA0373">
        <w:rPr>
          <w:rFonts w:ascii="Times New Roman" w:hAnsi="Times New Roman" w:cs="Times New Roman"/>
          <w:sz w:val="24"/>
          <w:szCs w:val="24"/>
          <w:lang w:val="en-US"/>
        </w:rPr>
        <w:t xml:space="preserve"> </w:t>
      </w:r>
      <w:r>
        <w:rPr>
          <w:rFonts w:ascii="Times New Roman" w:hAnsi="Times New Roman" w:cs="Times New Roman"/>
          <w:sz w:val="24"/>
          <w:szCs w:val="24"/>
          <w:lang w:val="en-US"/>
        </w:rPr>
        <w:t>across the FDA-licensed dose range for MPH and AMP in flexible-dose trials</w:t>
      </w:r>
      <w:r w:rsidRPr="00BA0373">
        <w:rPr>
          <w:rFonts w:ascii="Times New Roman" w:hAnsi="Times New Roman" w:cs="Times New Roman"/>
          <w:sz w:val="24"/>
          <w:szCs w:val="24"/>
          <w:lang w:val="en-US"/>
        </w:rPr>
        <w:t>.  Our results suggest that</w:t>
      </w:r>
      <w:r w:rsidR="006F3D56">
        <w:rPr>
          <w:rFonts w:ascii="Times New Roman" w:hAnsi="Times New Roman" w:cs="Times New Roman"/>
          <w:sz w:val="24"/>
          <w:szCs w:val="24"/>
          <w:lang w:val="en-US"/>
        </w:rPr>
        <w:t xml:space="preserve"> flexible titration as needed</w:t>
      </w:r>
      <w:r w:rsidR="00133BBF">
        <w:rPr>
          <w:rFonts w:ascii="Times New Roman" w:hAnsi="Times New Roman" w:cs="Times New Roman"/>
          <w:sz w:val="24"/>
          <w:szCs w:val="24"/>
          <w:lang w:val="en-US"/>
        </w:rPr>
        <w:t xml:space="preserve">, i.e., considering the presence of </w:t>
      </w:r>
      <w:r w:rsidR="00133BBF">
        <w:rPr>
          <w:rFonts w:ascii="Times New Roman" w:hAnsi="Times New Roman" w:cs="Times New Roman"/>
          <w:sz w:val="24"/>
          <w:szCs w:val="24"/>
          <w:lang w:val="en-US"/>
        </w:rPr>
        <w:lastRenderedPageBreak/>
        <w:t>ADHD symptoms, and tolerated, i.e., considering the presence of dose-limiting AEs,</w:t>
      </w:r>
      <w:r w:rsidR="006F3D56">
        <w:rPr>
          <w:rFonts w:ascii="Times New Roman" w:hAnsi="Times New Roman" w:cs="Times New Roman"/>
          <w:sz w:val="24"/>
          <w:szCs w:val="24"/>
          <w:lang w:val="en-US"/>
        </w:rPr>
        <w:t xml:space="preserve"> to</w:t>
      </w:r>
      <w:r w:rsidRPr="00BA0373">
        <w:rPr>
          <w:rFonts w:ascii="Times New Roman" w:hAnsi="Times New Roman" w:cs="Times New Roman"/>
          <w:sz w:val="24"/>
          <w:szCs w:val="24"/>
          <w:lang w:val="en-US"/>
        </w:rPr>
        <w:t xml:space="preserve"> higher doses of stimulants </w:t>
      </w:r>
      <w:r w:rsidR="00535465">
        <w:rPr>
          <w:rFonts w:ascii="Times New Roman" w:hAnsi="Times New Roman" w:cs="Times New Roman"/>
          <w:sz w:val="24"/>
          <w:szCs w:val="24"/>
          <w:lang w:val="en-US"/>
        </w:rPr>
        <w:t>is</w:t>
      </w:r>
      <w:r w:rsidRPr="00BA0373">
        <w:rPr>
          <w:rFonts w:ascii="Times New Roman" w:hAnsi="Times New Roman" w:cs="Times New Roman"/>
          <w:sz w:val="24"/>
          <w:szCs w:val="24"/>
          <w:lang w:val="en-US"/>
        </w:rPr>
        <w:t xml:space="preserve"> associated with both improved efficacy and acceptability </w:t>
      </w:r>
      <w:r w:rsidR="00E63D95">
        <w:rPr>
          <w:rFonts w:ascii="Times New Roman" w:hAnsi="Times New Roman" w:cs="Times New Roman"/>
          <w:sz w:val="24"/>
          <w:szCs w:val="24"/>
          <w:lang w:val="en-US"/>
        </w:rPr>
        <w:t>because practitioners can</w:t>
      </w:r>
      <w:r w:rsidRPr="00BA0373">
        <w:rPr>
          <w:rFonts w:ascii="Times New Roman" w:hAnsi="Times New Roman" w:cs="Times New Roman"/>
          <w:sz w:val="24"/>
          <w:szCs w:val="24"/>
          <w:lang w:val="en-US"/>
        </w:rPr>
        <w:t xml:space="preserve"> </w:t>
      </w:r>
      <w:r>
        <w:rPr>
          <w:rFonts w:ascii="Times New Roman" w:hAnsi="Times New Roman" w:cs="Times New Roman"/>
          <w:sz w:val="24"/>
          <w:szCs w:val="24"/>
          <w:lang w:val="en-US"/>
        </w:rPr>
        <w:t>increase/reduce doses based on control of ADHD symptoms/</w:t>
      </w:r>
      <w:r w:rsidR="00133BBF">
        <w:rPr>
          <w:rFonts w:ascii="Times New Roman" w:hAnsi="Times New Roman" w:cs="Times New Roman"/>
          <w:sz w:val="24"/>
          <w:szCs w:val="24"/>
          <w:lang w:val="en-US"/>
        </w:rPr>
        <w:t>dose-limiting AEs</w:t>
      </w:r>
      <w:r w:rsidRPr="00BA0373">
        <w:rPr>
          <w:rFonts w:ascii="Times New Roman" w:hAnsi="Times New Roman" w:cs="Times New Roman"/>
          <w:sz w:val="24"/>
          <w:szCs w:val="24"/>
          <w:lang w:val="en-US"/>
        </w:rPr>
        <w:t xml:space="preserve">. </w:t>
      </w:r>
      <w:r w:rsidR="00133BBF">
        <w:rPr>
          <w:rFonts w:ascii="Times New Roman" w:hAnsi="Times New Roman" w:cs="Times New Roman"/>
          <w:sz w:val="24"/>
          <w:szCs w:val="24"/>
          <w:lang w:val="en-US"/>
        </w:rPr>
        <w:t>Although f</w:t>
      </w:r>
      <w:r w:rsidRPr="00BA0373">
        <w:rPr>
          <w:rFonts w:ascii="Times New Roman" w:hAnsi="Times New Roman" w:cs="Times New Roman"/>
          <w:sz w:val="24"/>
          <w:szCs w:val="24"/>
          <w:lang w:val="en-US"/>
        </w:rPr>
        <w:t xml:space="preserve">ixed-dose trials that are required by </w:t>
      </w:r>
      <w:r>
        <w:rPr>
          <w:rFonts w:ascii="Times New Roman" w:hAnsi="Times New Roman" w:cs="Times New Roman"/>
          <w:sz w:val="24"/>
          <w:szCs w:val="24"/>
          <w:lang w:val="en-US"/>
        </w:rPr>
        <w:t xml:space="preserve">the </w:t>
      </w:r>
      <w:r w:rsidRPr="00BA0373">
        <w:rPr>
          <w:rFonts w:ascii="Times New Roman" w:hAnsi="Times New Roman" w:cs="Times New Roman"/>
          <w:sz w:val="24"/>
          <w:szCs w:val="24"/>
          <w:lang w:val="en-US"/>
        </w:rPr>
        <w:t xml:space="preserve">FDA </w:t>
      </w:r>
      <w:r w:rsidR="00133BBF">
        <w:rPr>
          <w:rFonts w:ascii="Times New Roman" w:hAnsi="Times New Roman" w:cs="Times New Roman"/>
          <w:sz w:val="24"/>
          <w:szCs w:val="24"/>
          <w:lang w:val="en-US"/>
        </w:rPr>
        <w:t xml:space="preserve">are valuable to characterize dose-dependency, they </w:t>
      </w:r>
      <w:r w:rsidRPr="00BA0373">
        <w:rPr>
          <w:rFonts w:ascii="Times New Roman" w:hAnsi="Times New Roman" w:cs="Times New Roman"/>
          <w:sz w:val="24"/>
          <w:szCs w:val="24"/>
          <w:lang w:val="en-US"/>
        </w:rPr>
        <w:t>may underestimate the true potential benefit of trialing dose-increases of stimulants</w:t>
      </w:r>
      <w:r w:rsidR="00133BBF">
        <w:rPr>
          <w:rFonts w:ascii="Times New Roman" w:hAnsi="Times New Roman" w:cs="Times New Roman"/>
          <w:sz w:val="24"/>
          <w:szCs w:val="24"/>
          <w:lang w:val="en-US"/>
        </w:rPr>
        <w:t xml:space="preserve"> in clinical practice</w:t>
      </w:r>
      <w:r w:rsidRPr="00BA0373">
        <w:rPr>
          <w:rFonts w:ascii="Times New Roman" w:hAnsi="Times New Roman" w:cs="Times New Roman"/>
          <w:sz w:val="24"/>
          <w:szCs w:val="24"/>
          <w:lang w:val="en-US"/>
        </w:rPr>
        <w:t xml:space="preserve"> by not allowing dose adjustment based on </w:t>
      </w:r>
      <w:r>
        <w:rPr>
          <w:rFonts w:ascii="Times New Roman" w:hAnsi="Times New Roman" w:cs="Times New Roman"/>
          <w:sz w:val="24"/>
          <w:szCs w:val="24"/>
          <w:lang w:val="en-US"/>
        </w:rPr>
        <w:t>response and tolerability</w:t>
      </w:r>
      <w:r w:rsidRPr="00BA0373">
        <w:rPr>
          <w:rFonts w:ascii="Times New Roman" w:hAnsi="Times New Roman" w:cs="Times New Roman"/>
          <w:sz w:val="24"/>
          <w:szCs w:val="24"/>
          <w:lang w:val="en-US"/>
        </w:rPr>
        <w:t>.</w:t>
      </w:r>
      <w:r w:rsidR="00322F23">
        <w:rPr>
          <w:rFonts w:ascii="Times New Roman" w:hAnsi="Times New Roman" w:cs="Times New Roman"/>
          <w:sz w:val="24"/>
          <w:szCs w:val="24"/>
          <w:lang w:val="en-US"/>
        </w:rPr>
        <w:t xml:space="preserve"> Additional research is required to investigate potential long-term effects of using high doses of stimulants in the clinical practice.</w:t>
      </w:r>
    </w:p>
    <w:p w14:paraId="000000C5" w14:textId="304535F1" w:rsidR="00252EC4" w:rsidRPr="00BA0373" w:rsidRDefault="003222AB" w:rsidP="0012522B">
      <w:pPr>
        <w:spacing w:line="480" w:lineRule="auto"/>
        <w:rPr>
          <w:rFonts w:ascii="Times New Roman" w:hAnsi="Times New Roman" w:cs="Times New Roman"/>
          <w:sz w:val="24"/>
          <w:szCs w:val="24"/>
          <w:lang w:val="en-US"/>
        </w:rPr>
      </w:pPr>
      <w:r w:rsidRPr="00BA0373">
        <w:rPr>
          <w:rFonts w:ascii="Times New Roman" w:hAnsi="Times New Roman" w:cs="Times New Roman"/>
          <w:b/>
          <w:sz w:val="24"/>
          <w:szCs w:val="24"/>
          <w:lang w:val="en-US"/>
        </w:rPr>
        <w:lastRenderedPageBreak/>
        <w:t>INTRODUCTION</w:t>
      </w:r>
    </w:p>
    <w:p w14:paraId="6038E1C0" w14:textId="77777777" w:rsidR="00EF19A8" w:rsidRDefault="003222AB" w:rsidP="00EF19A8">
      <w:pPr>
        <w:spacing w:before="120" w:after="120" w:line="480" w:lineRule="auto"/>
        <w:ind w:firstLine="706"/>
        <w:rPr>
          <w:rFonts w:ascii="Times New Roman" w:hAnsi="Times New Roman" w:cs="Times New Roman"/>
          <w:sz w:val="24"/>
          <w:szCs w:val="24"/>
          <w:lang w:val="en-US"/>
        </w:rPr>
      </w:pPr>
      <w:r w:rsidRPr="00BA0373">
        <w:rPr>
          <w:rFonts w:ascii="Times New Roman" w:hAnsi="Times New Roman" w:cs="Times New Roman"/>
          <w:sz w:val="24"/>
          <w:szCs w:val="24"/>
          <w:lang w:val="en-US"/>
        </w:rPr>
        <w:t>Stimulants [1], i.e., methylphenidate (MPH) and amphetamines (AMP), have been recommended as first-line pharmacologic strategy in the treatment of attention-deficit/hyperactivity disorder (ADHD) in school-age children and adolescents [2-5]. This is in line with findings from double-blinded, randomized-controlled trials (RCTs) which have consistently shown that these medications are mostly safe and effective in reducing the severity of ADHD symptoms in the short term [6] with some of the largest effect sizes for any psychotropic medication in child and adolescent psychiatry [7]. Because patients differ in their response to stimulants, optimal doses of these medications are determined individually. Practitioners are advised to start at low doses and titrate up until symptom remission as tolerated to achieve the individual’s optimal dose [2-5].</w:t>
      </w:r>
      <w:r w:rsidR="00EF19A8">
        <w:rPr>
          <w:rFonts w:ascii="Times New Roman" w:hAnsi="Times New Roman" w:cs="Times New Roman"/>
          <w:sz w:val="24"/>
          <w:szCs w:val="24"/>
          <w:lang w:val="en-US"/>
        </w:rPr>
        <w:t xml:space="preserve"> </w:t>
      </w:r>
    </w:p>
    <w:p w14:paraId="42A36FC9" w14:textId="3C2C7677" w:rsidR="00EF19A8" w:rsidRPr="00BA0373" w:rsidRDefault="005C026F" w:rsidP="00EF19A8">
      <w:pPr>
        <w:spacing w:before="120" w:after="120" w:line="480" w:lineRule="auto"/>
        <w:ind w:firstLine="706"/>
        <w:rPr>
          <w:rFonts w:ascii="Times New Roman" w:hAnsi="Times New Roman" w:cs="Times New Roman"/>
          <w:sz w:val="24"/>
          <w:szCs w:val="24"/>
          <w:lang w:val="en-US"/>
        </w:rPr>
      </w:pPr>
      <w:r>
        <w:rPr>
          <w:rFonts w:ascii="Times New Roman" w:hAnsi="Times New Roman" w:cs="Times New Roman"/>
          <w:sz w:val="24"/>
          <w:szCs w:val="24"/>
          <w:lang w:val="en-US"/>
        </w:rPr>
        <w:t>Despite current recommendations</w:t>
      </w:r>
      <w:r w:rsidR="003222AB" w:rsidRPr="00BA0373">
        <w:rPr>
          <w:rFonts w:ascii="Times New Roman" w:hAnsi="Times New Roman" w:cs="Times New Roman"/>
          <w:sz w:val="24"/>
          <w:szCs w:val="24"/>
          <w:lang w:val="en-US"/>
        </w:rPr>
        <w:t xml:space="preserve">, </w:t>
      </w:r>
      <w:r w:rsidRPr="00BA0373">
        <w:rPr>
          <w:rFonts w:ascii="Times New Roman" w:hAnsi="Times New Roman" w:cs="Times New Roman"/>
          <w:sz w:val="24"/>
          <w:szCs w:val="24"/>
          <w:lang w:val="en-US"/>
        </w:rPr>
        <w:t>children/adolescents often receive relatively small daily dosages of stimulants in the community in the US – an average daily dose of ~20-25mg of methylphenidate and ~20 mg of mixed amphetamine salts [</w:t>
      </w:r>
      <w:r w:rsidR="00433A5C">
        <w:rPr>
          <w:rFonts w:ascii="Times New Roman" w:hAnsi="Times New Roman" w:cs="Times New Roman"/>
          <w:sz w:val="24"/>
          <w:szCs w:val="24"/>
          <w:lang w:val="en-US"/>
        </w:rPr>
        <w:t>8</w:t>
      </w:r>
      <w:r w:rsidRPr="00BA0373">
        <w:rPr>
          <w:rFonts w:ascii="Times New Roman" w:hAnsi="Times New Roman" w:cs="Times New Roman"/>
          <w:sz w:val="24"/>
          <w:szCs w:val="24"/>
          <w:lang w:val="en-US"/>
        </w:rPr>
        <w:t>-1</w:t>
      </w:r>
      <w:r w:rsidR="00433A5C">
        <w:rPr>
          <w:rFonts w:ascii="Times New Roman" w:hAnsi="Times New Roman" w:cs="Times New Roman"/>
          <w:sz w:val="24"/>
          <w:szCs w:val="24"/>
          <w:lang w:val="en-US"/>
        </w:rPr>
        <w:t>1</w:t>
      </w:r>
      <w:r w:rsidRPr="00BA0373">
        <w:rPr>
          <w:rFonts w:ascii="Times New Roman" w:hAnsi="Times New Roman" w:cs="Times New Roman"/>
          <w:sz w:val="24"/>
          <w:szCs w:val="24"/>
          <w:lang w:val="en-US"/>
        </w:rPr>
        <w:t xml:space="preserve">] – and </w:t>
      </w:r>
      <w:r w:rsidR="0067766E">
        <w:rPr>
          <w:rFonts w:ascii="Times New Roman" w:hAnsi="Times New Roman" w:cs="Times New Roman"/>
          <w:sz w:val="24"/>
          <w:szCs w:val="24"/>
          <w:lang w:val="en-US"/>
        </w:rPr>
        <w:t xml:space="preserve">in </w:t>
      </w:r>
      <w:r w:rsidRPr="00BA0373">
        <w:rPr>
          <w:rFonts w:ascii="Times New Roman" w:hAnsi="Times New Roman" w:cs="Times New Roman"/>
          <w:sz w:val="24"/>
          <w:szCs w:val="24"/>
          <w:lang w:val="en-US"/>
        </w:rPr>
        <w:t>other countries</w:t>
      </w:r>
      <w:r w:rsidR="0067766E">
        <w:rPr>
          <w:rFonts w:ascii="Times New Roman" w:hAnsi="Times New Roman" w:cs="Times New Roman"/>
          <w:sz w:val="24"/>
          <w:szCs w:val="24"/>
          <w:lang w:val="en-US"/>
        </w:rPr>
        <w:t xml:space="preserve"> [12]</w:t>
      </w:r>
      <w:r w:rsidRPr="00BA0373">
        <w:rPr>
          <w:rFonts w:ascii="Times New Roman" w:hAnsi="Times New Roman" w:cs="Times New Roman"/>
          <w:sz w:val="24"/>
          <w:szCs w:val="24"/>
          <w:lang w:val="en-US"/>
        </w:rPr>
        <w:t>, which likely contributes to suboptimal efficacy in ADHD and non-ADHD domains [1</w:t>
      </w:r>
      <w:r w:rsidR="0067766E">
        <w:rPr>
          <w:rFonts w:ascii="Times New Roman" w:hAnsi="Times New Roman" w:cs="Times New Roman"/>
          <w:sz w:val="24"/>
          <w:szCs w:val="24"/>
          <w:lang w:val="en-US"/>
        </w:rPr>
        <w:t>3</w:t>
      </w:r>
      <w:r w:rsidRPr="00BA0373">
        <w:rPr>
          <w:rFonts w:ascii="Times New Roman" w:hAnsi="Times New Roman" w:cs="Times New Roman"/>
          <w:sz w:val="24"/>
          <w:szCs w:val="24"/>
          <w:lang w:val="en-US"/>
        </w:rPr>
        <w:t>], nonadherence [1</w:t>
      </w:r>
      <w:r w:rsidR="0067766E">
        <w:rPr>
          <w:rFonts w:ascii="Times New Roman" w:hAnsi="Times New Roman" w:cs="Times New Roman"/>
          <w:sz w:val="24"/>
          <w:szCs w:val="24"/>
          <w:lang w:val="en-US"/>
        </w:rPr>
        <w:t>4</w:t>
      </w:r>
      <w:r w:rsidRPr="00BA0373">
        <w:rPr>
          <w:rFonts w:ascii="Times New Roman" w:hAnsi="Times New Roman" w:cs="Times New Roman"/>
          <w:sz w:val="24"/>
          <w:szCs w:val="24"/>
          <w:lang w:val="en-US"/>
        </w:rPr>
        <w:t>, 1</w:t>
      </w:r>
      <w:r w:rsidR="0067766E">
        <w:rPr>
          <w:rFonts w:ascii="Times New Roman" w:hAnsi="Times New Roman" w:cs="Times New Roman"/>
          <w:sz w:val="24"/>
          <w:szCs w:val="24"/>
          <w:lang w:val="en-US"/>
        </w:rPr>
        <w:t>5</w:t>
      </w:r>
      <w:r w:rsidRPr="00BA0373">
        <w:rPr>
          <w:rFonts w:ascii="Times New Roman" w:hAnsi="Times New Roman" w:cs="Times New Roman"/>
          <w:sz w:val="24"/>
          <w:szCs w:val="24"/>
          <w:lang w:val="en-US"/>
        </w:rPr>
        <w:t>] and increasing trends of polypharmacy [1</w:t>
      </w:r>
      <w:r w:rsidR="0067766E">
        <w:rPr>
          <w:rFonts w:ascii="Times New Roman" w:hAnsi="Times New Roman" w:cs="Times New Roman"/>
          <w:sz w:val="24"/>
          <w:szCs w:val="24"/>
          <w:lang w:val="en-US"/>
        </w:rPr>
        <w:t>6</w:t>
      </w:r>
      <w:r w:rsidRPr="00BA0373">
        <w:rPr>
          <w:rFonts w:ascii="Times New Roman" w:hAnsi="Times New Roman" w:cs="Times New Roman"/>
          <w:sz w:val="24"/>
          <w:szCs w:val="24"/>
          <w:lang w:val="en-US"/>
        </w:rPr>
        <w:t>-1</w:t>
      </w:r>
      <w:r w:rsidR="0067766E">
        <w:rPr>
          <w:rFonts w:ascii="Times New Roman" w:hAnsi="Times New Roman" w:cs="Times New Roman"/>
          <w:sz w:val="24"/>
          <w:szCs w:val="24"/>
          <w:lang w:val="en-US"/>
        </w:rPr>
        <w:t>8</w:t>
      </w:r>
      <w:r w:rsidRPr="00BA0373">
        <w:rPr>
          <w:rFonts w:ascii="Times New Roman" w:hAnsi="Times New Roman" w:cs="Times New Roman"/>
          <w:sz w:val="24"/>
          <w:szCs w:val="24"/>
          <w:lang w:val="en-US"/>
        </w:rPr>
        <w:t xml:space="preserve">], e.g., with anti-psychotics, which have unfavorable </w:t>
      </w:r>
      <w:r w:rsidR="00DC58F3">
        <w:rPr>
          <w:rFonts w:ascii="Times New Roman" w:hAnsi="Times New Roman" w:cs="Times New Roman"/>
          <w:sz w:val="24"/>
          <w:szCs w:val="24"/>
          <w:lang w:val="en-US"/>
        </w:rPr>
        <w:t>adverse events (AEs)</w:t>
      </w:r>
      <w:r w:rsidRPr="00BA0373">
        <w:rPr>
          <w:rFonts w:ascii="Times New Roman" w:hAnsi="Times New Roman" w:cs="Times New Roman"/>
          <w:sz w:val="24"/>
          <w:szCs w:val="24"/>
          <w:lang w:val="en-US"/>
        </w:rPr>
        <w:t xml:space="preserve"> in youth [1</w:t>
      </w:r>
      <w:r w:rsidR="0067766E">
        <w:rPr>
          <w:rFonts w:ascii="Times New Roman" w:hAnsi="Times New Roman" w:cs="Times New Roman"/>
          <w:sz w:val="24"/>
          <w:szCs w:val="24"/>
          <w:lang w:val="en-US"/>
        </w:rPr>
        <w:t>9</w:t>
      </w:r>
      <w:r w:rsidRPr="00BA0373">
        <w:rPr>
          <w:rFonts w:ascii="Times New Roman" w:hAnsi="Times New Roman" w:cs="Times New Roman"/>
          <w:sz w:val="24"/>
          <w:szCs w:val="24"/>
          <w:lang w:val="en-US"/>
        </w:rPr>
        <w:t>].</w:t>
      </w:r>
      <w:r w:rsidR="00EF19A8">
        <w:rPr>
          <w:rFonts w:ascii="Times New Roman" w:hAnsi="Times New Roman" w:cs="Times New Roman"/>
          <w:sz w:val="24"/>
          <w:szCs w:val="24"/>
          <w:lang w:val="en-US"/>
        </w:rPr>
        <w:t xml:space="preserve"> </w:t>
      </w:r>
      <w:r w:rsidR="00EF19A8" w:rsidRPr="00BA0373">
        <w:rPr>
          <w:rFonts w:ascii="Times New Roman" w:hAnsi="Times New Roman" w:cs="Times New Roman"/>
          <w:sz w:val="24"/>
          <w:szCs w:val="24"/>
          <w:lang w:val="en-US"/>
        </w:rPr>
        <w:t>The lack of robust evidence-base regarding the effects of doses</w:t>
      </w:r>
      <w:r w:rsidR="00EF19A8">
        <w:rPr>
          <w:rFonts w:ascii="Times New Roman" w:hAnsi="Times New Roman" w:cs="Times New Roman"/>
          <w:sz w:val="24"/>
          <w:szCs w:val="24"/>
          <w:lang w:val="en-US"/>
        </w:rPr>
        <w:t xml:space="preserve"> and dosing strategies</w:t>
      </w:r>
      <w:r w:rsidR="00EF19A8" w:rsidRPr="00BA0373">
        <w:rPr>
          <w:rFonts w:ascii="Times New Roman" w:hAnsi="Times New Roman" w:cs="Times New Roman"/>
          <w:sz w:val="24"/>
          <w:szCs w:val="24"/>
          <w:lang w:val="en-US"/>
        </w:rPr>
        <w:t xml:space="preserve"> of stimulants on clinical outcomes in the treatment of children/adolescents with ADHD likely contributes to underdosing of these medications in the routine clinical practice. Fixed-dose trials are valuable as they enable a strict examination of dose-dependency and are required by the Food and Drug Administration (FDA) to examine efficacy and tolerability of stimulant drugs for ADHD [</w:t>
      </w:r>
      <w:r w:rsidR="0067766E">
        <w:rPr>
          <w:rFonts w:ascii="Times New Roman" w:hAnsi="Times New Roman" w:cs="Times New Roman"/>
          <w:sz w:val="24"/>
          <w:szCs w:val="24"/>
          <w:lang w:val="en-US"/>
        </w:rPr>
        <w:t>20</w:t>
      </w:r>
      <w:r w:rsidR="00EF19A8" w:rsidRPr="00BA0373">
        <w:rPr>
          <w:rFonts w:ascii="Times New Roman" w:hAnsi="Times New Roman" w:cs="Times New Roman"/>
          <w:sz w:val="24"/>
          <w:szCs w:val="24"/>
          <w:lang w:val="en-US"/>
        </w:rPr>
        <w:t>]</w:t>
      </w:r>
      <w:r w:rsidR="00EF19A8">
        <w:rPr>
          <w:rFonts w:ascii="Times New Roman" w:hAnsi="Times New Roman" w:cs="Times New Roman"/>
          <w:sz w:val="24"/>
          <w:szCs w:val="24"/>
          <w:lang w:val="en-US"/>
        </w:rPr>
        <w:t>.</w:t>
      </w:r>
      <w:r w:rsidR="00EF19A8" w:rsidRPr="00BA0373">
        <w:rPr>
          <w:rFonts w:ascii="Times New Roman" w:hAnsi="Times New Roman" w:cs="Times New Roman"/>
          <w:sz w:val="24"/>
          <w:szCs w:val="24"/>
          <w:lang w:val="en-US"/>
        </w:rPr>
        <w:t xml:space="preserve"> However, they may obscure the value of titrating up to higher doses as needed and tolerated because individuals are randomly allocated to doses without considering each individual’s response and tolerability to the medication. Although flexible-dose trials do not </w:t>
      </w:r>
      <w:r w:rsidR="00EF19A8" w:rsidRPr="00BA0373">
        <w:rPr>
          <w:rFonts w:ascii="Times New Roman" w:hAnsi="Times New Roman" w:cs="Times New Roman"/>
          <w:sz w:val="24"/>
          <w:szCs w:val="24"/>
          <w:lang w:val="en-US"/>
        </w:rPr>
        <w:lastRenderedPageBreak/>
        <w:t>enable for strict inferences on dose-dependency because individuals within treatment groups are exposed to varying doses, titration as needed and tolerated ensures more appropriate</w:t>
      </w:r>
      <w:r w:rsidR="00EF19A8">
        <w:rPr>
          <w:rFonts w:ascii="Times New Roman" w:hAnsi="Times New Roman" w:cs="Times New Roman"/>
          <w:sz w:val="24"/>
          <w:szCs w:val="24"/>
          <w:lang w:val="en-US"/>
        </w:rPr>
        <w:t xml:space="preserve"> </w:t>
      </w:r>
      <w:r w:rsidR="00EF19A8" w:rsidRPr="00BA0373">
        <w:rPr>
          <w:rFonts w:ascii="Times New Roman" w:hAnsi="Times New Roman" w:cs="Times New Roman"/>
          <w:sz w:val="24"/>
          <w:szCs w:val="24"/>
          <w:lang w:val="en-US"/>
        </w:rPr>
        <w:t>doses for each individual in the trial, which may contribute to increased efficacy and decreased discontinuation rates in comparison to fixed-dose trials.</w:t>
      </w:r>
    </w:p>
    <w:p w14:paraId="65C66244" w14:textId="145137A7" w:rsidR="00EF19A8" w:rsidRPr="00BA0373" w:rsidRDefault="00EF19A8" w:rsidP="00EF19A8">
      <w:pPr>
        <w:spacing w:line="480" w:lineRule="auto"/>
        <w:ind w:firstLine="706"/>
        <w:rPr>
          <w:rFonts w:ascii="Times New Roman" w:hAnsi="Times New Roman" w:cs="Times New Roman"/>
          <w:sz w:val="24"/>
          <w:szCs w:val="24"/>
          <w:lang w:val="en-US"/>
        </w:rPr>
      </w:pPr>
      <w:r w:rsidRPr="00BA0373">
        <w:rPr>
          <w:rFonts w:ascii="Times New Roman" w:hAnsi="Times New Roman" w:cs="Times New Roman"/>
          <w:sz w:val="24"/>
          <w:szCs w:val="24"/>
          <w:lang w:val="en-US"/>
        </w:rPr>
        <w:t>Importantly, because flexible-dose trials mimic clinical practice, comparing clinical outcomes between fixed-doses and flexible-doses could help clarify the potential added value of flexible titration to the higher doses. In turn, this</w:t>
      </w:r>
      <w:r>
        <w:rPr>
          <w:rFonts w:ascii="Times New Roman" w:hAnsi="Times New Roman" w:cs="Times New Roman"/>
          <w:sz w:val="24"/>
          <w:szCs w:val="24"/>
          <w:lang w:val="en-US"/>
        </w:rPr>
        <w:t xml:space="preserve"> comparative</w:t>
      </w:r>
      <w:r w:rsidRPr="00BA037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evidence </w:t>
      </w:r>
      <w:r w:rsidRPr="00BA0373">
        <w:rPr>
          <w:rFonts w:ascii="Times New Roman" w:hAnsi="Times New Roman" w:cs="Times New Roman"/>
          <w:sz w:val="24"/>
          <w:szCs w:val="24"/>
          <w:lang w:val="en-US"/>
        </w:rPr>
        <w:t>could inform public health policies and clinical guidelines regarding dosing of stimulants and facilitate proper dose-optimization in clinical practice. To address this research gap and evaluate the effects of stimulant doses on clinical outcomes for ADHD in school-aged children/adolescents (5-18 years old) stratified by dosing regimen (i.e., fixed-doses versus flexible-doses), we performed meta-analyses of aggregated data from double-blinded RCTs</w:t>
      </w:r>
      <w:r w:rsidR="00E037DF">
        <w:rPr>
          <w:rFonts w:ascii="Times New Roman" w:hAnsi="Times New Roman" w:cs="Times New Roman"/>
          <w:sz w:val="24"/>
          <w:szCs w:val="24"/>
          <w:lang w:val="en-US"/>
        </w:rPr>
        <w:t xml:space="preserve"> </w:t>
      </w:r>
      <w:r w:rsidRPr="00BA0373">
        <w:rPr>
          <w:rFonts w:ascii="Times New Roman" w:hAnsi="Times New Roman" w:cs="Times New Roman"/>
          <w:sz w:val="24"/>
          <w:szCs w:val="24"/>
          <w:lang w:val="en-US"/>
        </w:rPr>
        <w:t>of stimulants against placebo.</w:t>
      </w:r>
    </w:p>
    <w:p w14:paraId="000000CA" w14:textId="77777777" w:rsidR="00252EC4" w:rsidRPr="00BA0373" w:rsidRDefault="003222AB" w:rsidP="00C45ACB">
      <w:pPr>
        <w:spacing w:before="360" w:line="480" w:lineRule="auto"/>
        <w:rPr>
          <w:rFonts w:ascii="Times New Roman" w:hAnsi="Times New Roman" w:cs="Times New Roman"/>
          <w:b/>
          <w:sz w:val="24"/>
          <w:szCs w:val="24"/>
          <w:lang w:val="en-US"/>
        </w:rPr>
      </w:pPr>
      <w:r w:rsidRPr="00BA0373">
        <w:rPr>
          <w:rFonts w:ascii="Times New Roman" w:hAnsi="Times New Roman" w:cs="Times New Roman"/>
          <w:b/>
          <w:sz w:val="24"/>
          <w:szCs w:val="24"/>
          <w:lang w:val="en-US"/>
        </w:rPr>
        <w:t>METHODS</w:t>
      </w:r>
    </w:p>
    <w:p w14:paraId="000000CB" w14:textId="771FDF77" w:rsidR="00252EC4" w:rsidRPr="00BA0373" w:rsidRDefault="003222AB" w:rsidP="00C45ACB">
      <w:pPr>
        <w:spacing w:before="120" w:line="480" w:lineRule="auto"/>
        <w:ind w:firstLine="706"/>
        <w:rPr>
          <w:rFonts w:ascii="Times New Roman" w:hAnsi="Times New Roman" w:cs="Times New Roman"/>
          <w:sz w:val="24"/>
          <w:szCs w:val="24"/>
          <w:lang w:val="en-US"/>
        </w:rPr>
      </w:pPr>
      <w:r w:rsidRPr="00BA0373">
        <w:rPr>
          <w:rFonts w:ascii="Times New Roman" w:hAnsi="Times New Roman" w:cs="Times New Roman"/>
          <w:sz w:val="24"/>
          <w:szCs w:val="24"/>
          <w:lang w:val="en-US"/>
        </w:rPr>
        <w:t>We followed PRISMA guidelines. The protocol [2</w:t>
      </w:r>
      <w:r w:rsidR="0067766E">
        <w:rPr>
          <w:rFonts w:ascii="Times New Roman" w:hAnsi="Times New Roman" w:cs="Times New Roman"/>
          <w:sz w:val="24"/>
          <w:szCs w:val="24"/>
          <w:lang w:val="en-US"/>
        </w:rPr>
        <w:t>1</w:t>
      </w:r>
      <w:r w:rsidRPr="00BA0373">
        <w:rPr>
          <w:rFonts w:ascii="Times New Roman" w:hAnsi="Times New Roman" w:cs="Times New Roman"/>
          <w:sz w:val="24"/>
          <w:szCs w:val="24"/>
          <w:lang w:val="en-US"/>
        </w:rPr>
        <w:t>] for this study was pre-registered on PROSPERO (CRD42020161804). Changes to the original protocol were listed, with reasons, in Supplementary Methods 1.</w:t>
      </w:r>
    </w:p>
    <w:p w14:paraId="000000CC" w14:textId="77777777" w:rsidR="00252EC4" w:rsidRPr="00BA0373" w:rsidRDefault="003222AB" w:rsidP="00C45ACB">
      <w:pPr>
        <w:keepNext/>
        <w:spacing w:before="240" w:line="480" w:lineRule="auto"/>
        <w:rPr>
          <w:rFonts w:ascii="Times New Roman" w:hAnsi="Times New Roman" w:cs="Times New Roman"/>
          <w:b/>
          <w:sz w:val="24"/>
          <w:szCs w:val="24"/>
          <w:lang w:val="en-US"/>
        </w:rPr>
      </w:pPr>
      <w:r w:rsidRPr="00BA0373">
        <w:rPr>
          <w:rFonts w:ascii="Times New Roman" w:hAnsi="Times New Roman" w:cs="Times New Roman"/>
          <w:b/>
          <w:sz w:val="24"/>
          <w:szCs w:val="24"/>
          <w:lang w:val="en-US"/>
        </w:rPr>
        <w:t>Eligibility Criteria</w:t>
      </w:r>
    </w:p>
    <w:p w14:paraId="000000CD" w14:textId="78D19511" w:rsidR="00252EC4" w:rsidRPr="00BA0373" w:rsidRDefault="003222AB" w:rsidP="00C45ACB">
      <w:pPr>
        <w:spacing w:before="120" w:line="480" w:lineRule="auto"/>
        <w:ind w:firstLine="706"/>
        <w:rPr>
          <w:rFonts w:ascii="Times New Roman" w:hAnsi="Times New Roman" w:cs="Times New Roman"/>
          <w:sz w:val="24"/>
          <w:szCs w:val="24"/>
          <w:lang w:val="en-US"/>
        </w:rPr>
      </w:pPr>
      <w:r w:rsidRPr="00BA0373">
        <w:rPr>
          <w:rFonts w:ascii="Times New Roman" w:eastAsia="Arial Unicode MS" w:hAnsi="Times New Roman" w:cs="Times New Roman"/>
          <w:sz w:val="24"/>
          <w:szCs w:val="24"/>
          <w:lang w:val="en-US"/>
        </w:rPr>
        <w:t xml:space="preserve">Studies had to be double-blinded RCTs comparing a FDA -licensed stimulant as monotherapy at the maximum FDA-licensed dose against placebo for the acute treatment of children or adolescents (5 years ≤ age &lt; 18 years) with a primary diagnosis of ADHD, according to DSM-III, III-R, IV, IV-TR, or 5 criteria, or equivalent hyperkinetic disorder, according to ICD-9/10 criteria. Studies were required to administer the same dose of stimulant medication for five consecutive days; studies which adopted a daily switch </w:t>
      </w:r>
      <w:r w:rsidRPr="00BA0373">
        <w:rPr>
          <w:rFonts w:ascii="Times New Roman" w:eastAsia="Arial Unicode MS" w:hAnsi="Times New Roman" w:cs="Times New Roman"/>
          <w:sz w:val="24"/>
          <w:szCs w:val="24"/>
          <w:lang w:val="en-US"/>
        </w:rPr>
        <w:lastRenderedPageBreak/>
        <w:t>crossover design were eligible provided there were assessments for five trials for each dose [2</w:t>
      </w:r>
      <w:r w:rsidR="0067766E">
        <w:rPr>
          <w:rFonts w:ascii="Times New Roman" w:eastAsia="Arial Unicode MS" w:hAnsi="Times New Roman" w:cs="Times New Roman"/>
          <w:sz w:val="24"/>
          <w:szCs w:val="24"/>
          <w:lang w:val="en-US"/>
        </w:rPr>
        <w:t>2</w:t>
      </w:r>
      <w:r w:rsidRPr="00BA0373">
        <w:rPr>
          <w:rFonts w:ascii="Times New Roman" w:eastAsia="Arial Unicode MS" w:hAnsi="Times New Roman" w:cs="Times New Roman"/>
          <w:sz w:val="24"/>
          <w:szCs w:val="24"/>
          <w:lang w:val="en-US"/>
        </w:rPr>
        <w:t>]. Studies in which participants also received psychotherapy were eligible, but those in which participants received additional medications (beyond stimulants) were excluded due to potential pharmacokinetic interferences. Studies which randomized participants optimized in an open-label phase were not eligible.</w:t>
      </w:r>
    </w:p>
    <w:p w14:paraId="000000CE" w14:textId="77777777" w:rsidR="00252EC4" w:rsidRPr="00BA0373" w:rsidRDefault="003222AB" w:rsidP="00C45ACB">
      <w:pPr>
        <w:spacing w:before="240" w:line="480" w:lineRule="auto"/>
        <w:rPr>
          <w:rFonts w:ascii="Times New Roman" w:hAnsi="Times New Roman" w:cs="Times New Roman"/>
          <w:b/>
          <w:sz w:val="24"/>
          <w:szCs w:val="24"/>
          <w:lang w:val="en-US"/>
        </w:rPr>
      </w:pPr>
      <w:r w:rsidRPr="00BA0373">
        <w:rPr>
          <w:rFonts w:ascii="Times New Roman" w:hAnsi="Times New Roman" w:cs="Times New Roman"/>
          <w:b/>
          <w:sz w:val="24"/>
          <w:szCs w:val="24"/>
          <w:lang w:val="en-US"/>
        </w:rPr>
        <w:t>Search Strategy and Study Selection</w:t>
      </w:r>
    </w:p>
    <w:p w14:paraId="000000CF" w14:textId="77777777" w:rsidR="00252EC4" w:rsidRPr="00BA0373" w:rsidRDefault="003222AB" w:rsidP="00C45ACB">
      <w:pPr>
        <w:spacing w:before="120" w:line="480" w:lineRule="auto"/>
        <w:ind w:firstLine="706"/>
        <w:rPr>
          <w:rFonts w:ascii="Times New Roman" w:hAnsi="Times New Roman" w:cs="Times New Roman"/>
          <w:sz w:val="24"/>
          <w:szCs w:val="24"/>
          <w:lang w:val="en-US"/>
        </w:rPr>
      </w:pPr>
      <w:r w:rsidRPr="00BA0373">
        <w:rPr>
          <w:rFonts w:ascii="Times New Roman" w:hAnsi="Times New Roman" w:cs="Times New Roman"/>
          <w:sz w:val="24"/>
          <w:szCs w:val="24"/>
          <w:lang w:val="en-US"/>
        </w:rPr>
        <w:t>We drew on the search used for a network meta-analysis of double blinded RCTs of ADHD medications by the European ADHD Guidelines Group [6] based on 12 electronic databases, the FDA and the European Medicines Agency websites and unpublished information/data systematically gathered from study authors and drug manufacturers. Their search, using the same strategy, was updated on 16</w:t>
      </w:r>
      <w:r w:rsidRPr="00BA0373">
        <w:rPr>
          <w:rFonts w:ascii="Times New Roman" w:hAnsi="Times New Roman" w:cs="Times New Roman"/>
          <w:sz w:val="24"/>
          <w:szCs w:val="24"/>
          <w:vertAlign w:val="superscript"/>
          <w:lang w:val="en-US"/>
        </w:rPr>
        <w:t>th</w:t>
      </w:r>
      <w:r w:rsidRPr="00BA0373">
        <w:rPr>
          <w:rFonts w:ascii="Times New Roman" w:hAnsi="Times New Roman" w:cs="Times New Roman"/>
          <w:sz w:val="24"/>
          <w:szCs w:val="24"/>
          <w:lang w:val="en-US"/>
        </w:rPr>
        <w:t xml:space="preserve"> June 2020 to identify additional eligible studies. The detailed search adopted for each database is outlined in Supplementary Methods 2. Importantly, all articles which had their full text screened in the original or updated search were re-examined by two independent reviewers (LCF, EB) to identify potentially eligible studies for the present meta-analysis that were not originally eligible for the network meta-analysis. Conflicts between the two independent reviewers were solved through consultation with a third reviewer (MHB).</w:t>
      </w:r>
    </w:p>
    <w:p w14:paraId="000000D0" w14:textId="77777777" w:rsidR="00252EC4" w:rsidRPr="00BA0373" w:rsidRDefault="003222AB" w:rsidP="00C45ACB">
      <w:pPr>
        <w:keepNext/>
        <w:spacing w:before="240" w:line="480" w:lineRule="auto"/>
        <w:rPr>
          <w:rFonts w:ascii="Times New Roman" w:hAnsi="Times New Roman" w:cs="Times New Roman"/>
          <w:b/>
          <w:sz w:val="24"/>
          <w:szCs w:val="24"/>
          <w:lang w:val="en-US"/>
        </w:rPr>
      </w:pPr>
      <w:r w:rsidRPr="00BA0373">
        <w:rPr>
          <w:rFonts w:ascii="Times New Roman" w:hAnsi="Times New Roman" w:cs="Times New Roman"/>
          <w:b/>
          <w:sz w:val="24"/>
          <w:szCs w:val="24"/>
          <w:lang w:val="en-US"/>
        </w:rPr>
        <w:t>Data Extraction Procedure</w:t>
      </w:r>
    </w:p>
    <w:p w14:paraId="000000D1" w14:textId="77777777" w:rsidR="00252EC4" w:rsidRPr="00BA0373" w:rsidRDefault="003222AB" w:rsidP="00C45ACB">
      <w:pPr>
        <w:spacing w:before="120" w:line="480" w:lineRule="auto"/>
        <w:ind w:firstLine="706"/>
        <w:rPr>
          <w:rFonts w:ascii="Times New Roman" w:hAnsi="Times New Roman" w:cs="Times New Roman"/>
          <w:sz w:val="24"/>
          <w:szCs w:val="24"/>
          <w:lang w:val="en-US"/>
        </w:rPr>
      </w:pPr>
      <w:r w:rsidRPr="00BA0373">
        <w:rPr>
          <w:rFonts w:ascii="Times New Roman" w:hAnsi="Times New Roman" w:cs="Times New Roman"/>
          <w:sz w:val="24"/>
          <w:szCs w:val="24"/>
          <w:lang w:val="en-US"/>
        </w:rPr>
        <w:t>Information from eligible studies was extracted by two independent reviewers (LCF, AL) into an electronic table. Trial (parallel or crossover design, country/ies, industry or academic funding/support, year of publication), participant (mean age and standard deviation, percentage of boys, percentage of individuals who self-identified as white) and treatment (medication administered, daily dose administered, dosing regimen adopted, concomitant psychotherapy, duration of treatment) characteristics were coded.</w:t>
      </w:r>
    </w:p>
    <w:p w14:paraId="000000D2" w14:textId="1BD48424" w:rsidR="00252EC4" w:rsidRPr="00BA0373" w:rsidRDefault="003222AB" w:rsidP="00E2515E">
      <w:pPr>
        <w:spacing w:before="120" w:line="480" w:lineRule="auto"/>
        <w:ind w:firstLine="706"/>
        <w:rPr>
          <w:rFonts w:ascii="Times New Roman" w:hAnsi="Times New Roman" w:cs="Times New Roman"/>
          <w:sz w:val="24"/>
          <w:szCs w:val="24"/>
          <w:lang w:val="en-US"/>
        </w:rPr>
      </w:pPr>
      <w:r w:rsidRPr="00BA0373">
        <w:rPr>
          <w:rFonts w:ascii="Times New Roman" w:hAnsi="Times New Roman" w:cs="Times New Roman"/>
          <w:sz w:val="24"/>
          <w:szCs w:val="24"/>
          <w:lang w:val="en-US"/>
        </w:rPr>
        <w:lastRenderedPageBreak/>
        <w:t>For fixed-dose trials, i.e., those in which participants were randomly assigned to a pre-specified dose without considering the individual’s response and tolerability to the assigned dose, we extracted the group’s assigned dose. When fixed-dose studies adopted a forced-dose upward titration schedule, i.e., doses were titrated upwards weekly until the target dose was achieved and then maintained, the target dose was extracted. For flexible-dose trials, i.e., those in which patients were randomly assigned to a stimulant arm or placebo and doses were determined individually considering the control</w:t>
      </w:r>
      <w:r w:rsidR="00E52E38">
        <w:rPr>
          <w:rFonts w:ascii="Times New Roman" w:hAnsi="Times New Roman" w:cs="Times New Roman"/>
          <w:sz w:val="24"/>
          <w:szCs w:val="24"/>
          <w:lang w:val="en-US"/>
        </w:rPr>
        <w:t xml:space="preserve"> </w:t>
      </w:r>
      <w:r w:rsidRPr="00BA0373">
        <w:rPr>
          <w:rFonts w:ascii="Times New Roman" w:hAnsi="Times New Roman" w:cs="Times New Roman"/>
          <w:sz w:val="24"/>
          <w:szCs w:val="24"/>
          <w:lang w:val="en-US"/>
        </w:rPr>
        <w:t xml:space="preserve">of ADHD symptoms and the emergence of intolerable </w:t>
      </w:r>
      <w:r w:rsidR="00DC58F3">
        <w:rPr>
          <w:rFonts w:ascii="Times New Roman" w:hAnsi="Times New Roman" w:cs="Times New Roman"/>
          <w:sz w:val="24"/>
          <w:szCs w:val="24"/>
          <w:lang w:val="en-US"/>
        </w:rPr>
        <w:t>AEs</w:t>
      </w:r>
      <w:r w:rsidRPr="00BA0373">
        <w:rPr>
          <w:rFonts w:ascii="Times New Roman" w:hAnsi="Times New Roman" w:cs="Times New Roman"/>
          <w:sz w:val="24"/>
          <w:szCs w:val="24"/>
          <w:lang w:val="en-US"/>
        </w:rPr>
        <w:t>, we extracted maximum dose allowed to enable inferences on the effects of titration as needed and tolerated up to the target dose of the titration schedule.</w:t>
      </w:r>
      <w:r w:rsidR="00E2515E">
        <w:rPr>
          <w:rFonts w:ascii="Times New Roman" w:hAnsi="Times New Roman" w:cs="Times New Roman"/>
          <w:sz w:val="24"/>
          <w:szCs w:val="24"/>
          <w:lang w:val="en-US"/>
        </w:rPr>
        <w:t xml:space="preserve"> </w:t>
      </w:r>
      <w:r w:rsidRPr="00BA0373">
        <w:rPr>
          <w:rFonts w:ascii="Times New Roman" w:hAnsi="Times New Roman" w:cs="Times New Roman"/>
          <w:sz w:val="24"/>
          <w:szCs w:val="24"/>
          <w:lang w:val="en-US"/>
        </w:rPr>
        <w:t>When only doses in mg/kg/day were reported, doses in mg/day were imputed by identifying the average weight for the participants or by imputing average weight according to the United States Centers for Disease Control and Prevention growth charts [2</w:t>
      </w:r>
      <w:r w:rsidR="0067766E">
        <w:rPr>
          <w:rFonts w:ascii="Times New Roman" w:hAnsi="Times New Roman" w:cs="Times New Roman"/>
          <w:sz w:val="24"/>
          <w:szCs w:val="24"/>
          <w:lang w:val="en-US"/>
        </w:rPr>
        <w:t>3</w:t>
      </w:r>
      <w:r w:rsidRPr="00BA0373">
        <w:rPr>
          <w:rFonts w:ascii="Times New Roman" w:hAnsi="Times New Roman" w:cs="Times New Roman"/>
          <w:sz w:val="24"/>
          <w:szCs w:val="24"/>
          <w:lang w:val="en-US"/>
        </w:rPr>
        <w:t>].</w:t>
      </w:r>
    </w:p>
    <w:p w14:paraId="000000D3" w14:textId="77777777" w:rsidR="00252EC4" w:rsidRPr="00BA0373" w:rsidRDefault="003222AB" w:rsidP="00C45ACB">
      <w:pPr>
        <w:spacing w:before="240" w:line="480" w:lineRule="auto"/>
        <w:rPr>
          <w:rFonts w:ascii="Times New Roman" w:hAnsi="Times New Roman" w:cs="Times New Roman"/>
          <w:b/>
          <w:sz w:val="24"/>
          <w:szCs w:val="24"/>
          <w:lang w:val="en-US"/>
        </w:rPr>
      </w:pPr>
      <w:r w:rsidRPr="00BA0373">
        <w:rPr>
          <w:rFonts w:ascii="Times New Roman" w:hAnsi="Times New Roman" w:cs="Times New Roman"/>
          <w:b/>
          <w:sz w:val="24"/>
          <w:szCs w:val="24"/>
          <w:lang w:val="en-US"/>
        </w:rPr>
        <w:t>Outcomes</w:t>
      </w:r>
    </w:p>
    <w:p w14:paraId="000000D4" w14:textId="23A9D35D" w:rsidR="00252EC4" w:rsidRPr="00BA0373" w:rsidRDefault="003222AB" w:rsidP="00C45ACB">
      <w:pPr>
        <w:spacing w:before="120" w:line="480" w:lineRule="auto"/>
        <w:ind w:firstLine="706"/>
        <w:rPr>
          <w:rFonts w:ascii="Times New Roman" w:hAnsi="Times New Roman" w:cs="Times New Roman"/>
          <w:sz w:val="24"/>
          <w:szCs w:val="24"/>
          <w:lang w:val="en-US"/>
        </w:rPr>
      </w:pPr>
      <w:r w:rsidRPr="00BA0373">
        <w:rPr>
          <w:rFonts w:ascii="Times New Roman" w:hAnsi="Times New Roman" w:cs="Times New Roman"/>
          <w:sz w:val="24"/>
          <w:szCs w:val="24"/>
          <w:lang w:val="en-US"/>
        </w:rPr>
        <w:t>We examined (1) change in ADHD symptom severity scores on standardized scales (efficacy) and treatment discontinuations due to (2) adverse events (AE) (tolerability) and (3) any reason/total (acceptability). All outcomes were considered in the short-term (time point closest to 12 weeks). For change in ADHD symptom severity scores, the following hierarchies were adopted when pertinent for raters – clinician, teacher and parent – and scales – ADHD Rating Scale</w:t>
      </w:r>
      <w:r w:rsidR="00D627DE">
        <w:rPr>
          <w:rFonts w:ascii="Times New Roman" w:hAnsi="Times New Roman" w:cs="Times New Roman"/>
          <w:sz w:val="24"/>
          <w:szCs w:val="24"/>
          <w:lang w:val="en-US"/>
        </w:rPr>
        <w:t xml:space="preserve"> (ADHD-RS)</w:t>
      </w:r>
      <w:r w:rsidRPr="00BA0373">
        <w:rPr>
          <w:rFonts w:ascii="Times New Roman" w:hAnsi="Times New Roman" w:cs="Times New Roman"/>
          <w:sz w:val="24"/>
          <w:szCs w:val="24"/>
          <w:lang w:val="en-US"/>
        </w:rPr>
        <w:t xml:space="preserve"> [2</w:t>
      </w:r>
      <w:r w:rsidR="0067766E">
        <w:rPr>
          <w:rFonts w:ascii="Times New Roman" w:hAnsi="Times New Roman" w:cs="Times New Roman"/>
          <w:sz w:val="24"/>
          <w:szCs w:val="24"/>
          <w:lang w:val="en-US"/>
        </w:rPr>
        <w:t>4</w:t>
      </w:r>
      <w:r w:rsidRPr="00BA0373">
        <w:rPr>
          <w:rFonts w:ascii="Times New Roman" w:hAnsi="Times New Roman" w:cs="Times New Roman"/>
          <w:sz w:val="24"/>
          <w:szCs w:val="24"/>
          <w:lang w:val="en-US"/>
        </w:rPr>
        <w:t>, 2</w:t>
      </w:r>
      <w:r w:rsidR="0067766E">
        <w:rPr>
          <w:rFonts w:ascii="Times New Roman" w:hAnsi="Times New Roman" w:cs="Times New Roman"/>
          <w:sz w:val="24"/>
          <w:szCs w:val="24"/>
          <w:lang w:val="en-US"/>
        </w:rPr>
        <w:t>5</w:t>
      </w:r>
      <w:r w:rsidRPr="00BA0373">
        <w:rPr>
          <w:rFonts w:ascii="Times New Roman" w:hAnsi="Times New Roman" w:cs="Times New Roman"/>
          <w:sz w:val="24"/>
          <w:szCs w:val="24"/>
          <w:lang w:val="en-US"/>
        </w:rPr>
        <w:t>], S</w:t>
      </w:r>
      <w:r w:rsidR="00D627DE">
        <w:rPr>
          <w:rFonts w:ascii="Times New Roman" w:hAnsi="Times New Roman" w:cs="Times New Roman"/>
          <w:sz w:val="24"/>
          <w:szCs w:val="24"/>
          <w:lang w:val="en-US"/>
        </w:rPr>
        <w:t xml:space="preserve">wanson </w:t>
      </w:r>
      <w:r w:rsidRPr="00BA0373">
        <w:rPr>
          <w:rFonts w:ascii="Times New Roman" w:hAnsi="Times New Roman" w:cs="Times New Roman"/>
          <w:sz w:val="24"/>
          <w:szCs w:val="24"/>
          <w:lang w:val="en-US"/>
        </w:rPr>
        <w:t>N</w:t>
      </w:r>
      <w:r w:rsidR="00D627DE">
        <w:rPr>
          <w:rFonts w:ascii="Times New Roman" w:hAnsi="Times New Roman" w:cs="Times New Roman"/>
          <w:sz w:val="24"/>
          <w:szCs w:val="24"/>
          <w:lang w:val="en-US"/>
        </w:rPr>
        <w:t xml:space="preserve">olan and </w:t>
      </w:r>
      <w:r w:rsidRPr="00BA0373">
        <w:rPr>
          <w:rFonts w:ascii="Times New Roman" w:hAnsi="Times New Roman" w:cs="Times New Roman"/>
          <w:sz w:val="24"/>
          <w:szCs w:val="24"/>
          <w:lang w:val="en-US"/>
        </w:rPr>
        <w:t>P</w:t>
      </w:r>
      <w:r w:rsidR="00D627DE">
        <w:rPr>
          <w:rFonts w:ascii="Times New Roman" w:hAnsi="Times New Roman" w:cs="Times New Roman"/>
          <w:sz w:val="24"/>
          <w:szCs w:val="24"/>
          <w:lang w:val="en-US"/>
        </w:rPr>
        <w:t>elham</w:t>
      </w:r>
      <w:r w:rsidRPr="00BA0373">
        <w:rPr>
          <w:rFonts w:ascii="Times New Roman" w:hAnsi="Times New Roman" w:cs="Times New Roman"/>
          <w:sz w:val="24"/>
          <w:szCs w:val="24"/>
          <w:lang w:val="en-US"/>
        </w:rPr>
        <w:t xml:space="preserve"> ADHD </w:t>
      </w:r>
      <w:r w:rsidR="00D627DE">
        <w:rPr>
          <w:rFonts w:ascii="Times New Roman" w:hAnsi="Times New Roman" w:cs="Times New Roman"/>
          <w:sz w:val="24"/>
          <w:szCs w:val="24"/>
          <w:lang w:val="en-US"/>
        </w:rPr>
        <w:t xml:space="preserve">(SNAP) </w:t>
      </w:r>
      <w:r w:rsidRPr="00BA0373">
        <w:rPr>
          <w:rFonts w:ascii="Times New Roman" w:hAnsi="Times New Roman" w:cs="Times New Roman"/>
          <w:sz w:val="24"/>
          <w:szCs w:val="24"/>
          <w:lang w:val="en-US"/>
        </w:rPr>
        <w:t>[2</w:t>
      </w:r>
      <w:r w:rsidR="0067766E">
        <w:rPr>
          <w:rFonts w:ascii="Times New Roman" w:hAnsi="Times New Roman" w:cs="Times New Roman"/>
          <w:sz w:val="24"/>
          <w:szCs w:val="24"/>
          <w:lang w:val="en-US"/>
        </w:rPr>
        <w:t>6</w:t>
      </w:r>
      <w:r w:rsidRPr="00BA0373">
        <w:rPr>
          <w:rFonts w:ascii="Times New Roman" w:hAnsi="Times New Roman" w:cs="Times New Roman"/>
          <w:sz w:val="24"/>
          <w:szCs w:val="24"/>
          <w:lang w:val="en-US"/>
        </w:rPr>
        <w:t xml:space="preserve">], Conners’ </w:t>
      </w:r>
      <w:r w:rsidR="0071175D">
        <w:rPr>
          <w:rFonts w:ascii="Times New Roman" w:hAnsi="Times New Roman" w:cs="Times New Roman"/>
          <w:sz w:val="24"/>
          <w:szCs w:val="24"/>
          <w:lang w:val="en-US"/>
        </w:rPr>
        <w:t>Parent/Teacher Rating Scale (CPRS/CTRS)</w:t>
      </w:r>
      <w:r w:rsidRPr="00BA0373">
        <w:rPr>
          <w:rFonts w:ascii="Times New Roman" w:hAnsi="Times New Roman" w:cs="Times New Roman"/>
          <w:sz w:val="24"/>
          <w:szCs w:val="24"/>
          <w:lang w:val="en-US"/>
        </w:rPr>
        <w:t xml:space="preserve"> [</w:t>
      </w:r>
      <w:r w:rsidR="00433A5C">
        <w:rPr>
          <w:rFonts w:ascii="Times New Roman" w:hAnsi="Times New Roman" w:cs="Times New Roman"/>
          <w:sz w:val="24"/>
          <w:szCs w:val="24"/>
          <w:lang w:val="en-US"/>
        </w:rPr>
        <w:t>2</w:t>
      </w:r>
      <w:r w:rsidR="0067766E">
        <w:rPr>
          <w:rFonts w:ascii="Times New Roman" w:hAnsi="Times New Roman" w:cs="Times New Roman"/>
          <w:sz w:val="24"/>
          <w:szCs w:val="24"/>
          <w:lang w:val="en-US"/>
        </w:rPr>
        <w:t>7</w:t>
      </w:r>
      <w:r w:rsidR="00433A5C">
        <w:rPr>
          <w:rFonts w:ascii="Times New Roman" w:hAnsi="Times New Roman" w:cs="Times New Roman"/>
          <w:sz w:val="24"/>
          <w:szCs w:val="24"/>
          <w:lang w:val="en-US"/>
        </w:rPr>
        <w:t xml:space="preserve">, </w:t>
      </w:r>
      <w:r w:rsidRPr="00BA0373">
        <w:rPr>
          <w:rFonts w:ascii="Times New Roman" w:hAnsi="Times New Roman" w:cs="Times New Roman"/>
          <w:sz w:val="24"/>
          <w:szCs w:val="24"/>
          <w:lang w:val="en-US"/>
        </w:rPr>
        <w:t>2</w:t>
      </w:r>
      <w:r w:rsidR="0067766E">
        <w:rPr>
          <w:rFonts w:ascii="Times New Roman" w:hAnsi="Times New Roman" w:cs="Times New Roman"/>
          <w:sz w:val="24"/>
          <w:szCs w:val="24"/>
          <w:lang w:val="en-US"/>
        </w:rPr>
        <w:t>8</w:t>
      </w:r>
      <w:r w:rsidRPr="00BA0373">
        <w:rPr>
          <w:rFonts w:ascii="Times New Roman" w:hAnsi="Times New Roman" w:cs="Times New Roman"/>
          <w:sz w:val="24"/>
          <w:szCs w:val="24"/>
          <w:lang w:val="en-US"/>
        </w:rPr>
        <w:t>] or any other reported ADHD scale.</w:t>
      </w:r>
    </w:p>
    <w:p w14:paraId="000000D5" w14:textId="77777777" w:rsidR="00252EC4" w:rsidRPr="00BA0373" w:rsidRDefault="003222AB" w:rsidP="00C45ACB">
      <w:pPr>
        <w:spacing w:before="240" w:line="480" w:lineRule="auto"/>
        <w:rPr>
          <w:rFonts w:ascii="Times New Roman" w:hAnsi="Times New Roman" w:cs="Times New Roman"/>
          <w:b/>
          <w:sz w:val="24"/>
          <w:szCs w:val="24"/>
          <w:lang w:val="en-US"/>
        </w:rPr>
      </w:pPr>
      <w:r w:rsidRPr="00BA0373">
        <w:rPr>
          <w:rFonts w:ascii="Times New Roman" w:hAnsi="Times New Roman" w:cs="Times New Roman"/>
          <w:b/>
          <w:sz w:val="24"/>
          <w:szCs w:val="24"/>
          <w:lang w:val="en-US"/>
        </w:rPr>
        <w:t>Risk of Bias Assessment</w:t>
      </w:r>
    </w:p>
    <w:p w14:paraId="000000D6" w14:textId="3852A426" w:rsidR="00252EC4" w:rsidRPr="00BA0373" w:rsidRDefault="003222AB" w:rsidP="00C45ACB">
      <w:pPr>
        <w:spacing w:before="120" w:line="480" w:lineRule="auto"/>
        <w:ind w:firstLine="706"/>
        <w:rPr>
          <w:rFonts w:ascii="Times New Roman" w:hAnsi="Times New Roman" w:cs="Times New Roman"/>
          <w:sz w:val="24"/>
          <w:szCs w:val="24"/>
          <w:lang w:val="en-US"/>
        </w:rPr>
      </w:pPr>
      <w:r w:rsidRPr="00BA0373">
        <w:rPr>
          <w:rFonts w:ascii="Times New Roman" w:hAnsi="Times New Roman" w:cs="Times New Roman"/>
          <w:sz w:val="24"/>
          <w:szCs w:val="24"/>
          <w:lang w:val="en-US"/>
        </w:rPr>
        <w:t>The Cochrane tool was employed to classify risk of bias (RoB) of the included studies [2</w:t>
      </w:r>
      <w:r w:rsidR="0067766E">
        <w:rPr>
          <w:rFonts w:ascii="Times New Roman" w:hAnsi="Times New Roman" w:cs="Times New Roman"/>
          <w:sz w:val="24"/>
          <w:szCs w:val="24"/>
          <w:lang w:val="en-US"/>
        </w:rPr>
        <w:t>9</w:t>
      </w:r>
      <w:r w:rsidRPr="00BA0373">
        <w:rPr>
          <w:rFonts w:ascii="Times New Roman" w:hAnsi="Times New Roman" w:cs="Times New Roman"/>
          <w:sz w:val="24"/>
          <w:szCs w:val="24"/>
          <w:lang w:val="en-US"/>
        </w:rPr>
        <w:t xml:space="preserve">]. The following domains were evaluated: randomization process, deviations from </w:t>
      </w:r>
      <w:r w:rsidRPr="00BA0373">
        <w:rPr>
          <w:rFonts w:ascii="Times New Roman" w:hAnsi="Times New Roman" w:cs="Times New Roman"/>
          <w:sz w:val="24"/>
          <w:szCs w:val="24"/>
          <w:lang w:val="en-US"/>
        </w:rPr>
        <w:lastRenderedPageBreak/>
        <w:t>intended interventions, missing outcome data, measurement of outcome data and selection of outcome results. Studies were rated at low RoB if all domains were rated at “low” or only two were rated at “some concerns”.</w:t>
      </w:r>
    </w:p>
    <w:p w14:paraId="000000D7" w14:textId="77777777" w:rsidR="00252EC4" w:rsidRPr="00BA0373" w:rsidRDefault="003222AB" w:rsidP="00C45ACB">
      <w:pPr>
        <w:spacing w:before="240" w:line="480" w:lineRule="auto"/>
        <w:rPr>
          <w:rFonts w:ascii="Times New Roman" w:hAnsi="Times New Roman" w:cs="Times New Roman"/>
          <w:b/>
          <w:sz w:val="24"/>
          <w:szCs w:val="24"/>
          <w:lang w:val="en-US"/>
        </w:rPr>
      </w:pPr>
      <w:r w:rsidRPr="00BA0373">
        <w:rPr>
          <w:rFonts w:ascii="Times New Roman" w:hAnsi="Times New Roman" w:cs="Times New Roman"/>
          <w:b/>
          <w:sz w:val="24"/>
          <w:szCs w:val="24"/>
          <w:lang w:val="en-US"/>
        </w:rPr>
        <w:t>Calculation of equivalent doses across stimulant formulations</w:t>
      </w:r>
    </w:p>
    <w:p w14:paraId="000000D8" w14:textId="757253E3" w:rsidR="00252EC4" w:rsidRPr="00BA0373" w:rsidRDefault="003222AB" w:rsidP="00C45ACB">
      <w:pPr>
        <w:spacing w:before="120" w:line="480" w:lineRule="auto"/>
        <w:ind w:firstLine="706"/>
        <w:rPr>
          <w:rFonts w:ascii="Times New Roman" w:hAnsi="Times New Roman" w:cs="Times New Roman"/>
          <w:sz w:val="24"/>
          <w:szCs w:val="24"/>
          <w:lang w:val="en-US"/>
        </w:rPr>
      </w:pPr>
      <w:r w:rsidRPr="00BA0373">
        <w:rPr>
          <w:rFonts w:ascii="Times New Roman" w:hAnsi="Times New Roman" w:cs="Times New Roman"/>
          <w:sz w:val="24"/>
          <w:szCs w:val="24"/>
          <w:lang w:val="en-US"/>
        </w:rPr>
        <w:t>Doses of different MPH and AMP products were converted to MPH- and AMP-equivalent doses using as reference quantities of d-methylphenidate and d,l-amphetamine in short-acting methylphenidate hydrochloride (Ritalin</w:t>
      </w:r>
      <w:r w:rsidR="004930A2" w:rsidRPr="004930A2">
        <w:rPr>
          <w:rFonts w:ascii="Times New Roman" w:hAnsi="Times New Roman" w:cs="Times New Roman"/>
          <w:sz w:val="24"/>
          <w:szCs w:val="24"/>
          <w:vertAlign w:val="superscript"/>
          <w:lang w:val="en-US"/>
        </w:rPr>
        <w:t>®</w:t>
      </w:r>
      <w:r w:rsidRPr="00BA0373">
        <w:rPr>
          <w:rFonts w:ascii="Times New Roman" w:hAnsi="Times New Roman" w:cs="Times New Roman"/>
          <w:sz w:val="24"/>
          <w:szCs w:val="24"/>
          <w:lang w:val="en-US"/>
        </w:rPr>
        <w:t>/Methylin</w:t>
      </w:r>
      <w:r w:rsidR="004930A2" w:rsidRPr="004930A2">
        <w:rPr>
          <w:rFonts w:ascii="Times New Roman" w:hAnsi="Times New Roman" w:cs="Times New Roman"/>
          <w:sz w:val="24"/>
          <w:szCs w:val="24"/>
          <w:vertAlign w:val="superscript"/>
          <w:lang w:val="en-US"/>
        </w:rPr>
        <w:t>®</w:t>
      </w:r>
      <w:r w:rsidRPr="00BA0373">
        <w:rPr>
          <w:rFonts w:ascii="Times New Roman" w:hAnsi="Times New Roman" w:cs="Times New Roman"/>
          <w:sz w:val="24"/>
          <w:szCs w:val="24"/>
          <w:lang w:val="en-US"/>
        </w:rPr>
        <w:t>) and mixed-amphetamine salts (Adderall</w:t>
      </w:r>
      <w:r w:rsidR="004930A2" w:rsidRPr="004930A2">
        <w:rPr>
          <w:rFonts w:ascii="Times New Roman" w:hAnsi="Times New Roman" w:cs="Times New Roman"/>
          <w:sz w:val="24"/>
          <w:szCs w:val="24"/>
          <w:vertAlign w:val="superscript"/>
          <w:lang w:val="en-US"/>
        </w:rPr>
        <w:t>®</w:t>
      </w:r>
      <w:r w:rsidRPr="00BA0373">
        <w:rPr>
          <w:rFonts w:ascii="Times New Roman" w:hAnsi="Times New Roman" w:cs="Times New Roman"/>
          <w:sz w:val="24"/>
          <w:szCs w:val="24"/>
          <w:lang w:val="en-US"/>
        </w:rPr>
        <w:t>), respectively. Our conversions were made by adjusting for the different pharmacokinetics of each medication, were based on information presented in the FDA Clinical Pharmacology and Biopharmaceutics Reviews, accessed through the FDA-Approved Drugs database [</w:t>
      </w:r>
      <w:r w:rsidR="0067766E">
        <w:rPr>
          <w:rFonts w:ascii="Times New Roman" w:hAnsi="Times New Roman" w:cs="Times New Roman"/>
          <w:sz w:val="24"/>
          <w:szCs w:val="24"/>
          <w:lang w:val="en-US"/>
        </w:rPr>
        <w:t>30</w:t>
      </w:r>
      <w:r w:rsidRPr="00BA0373">
        <w:rPr>
          <w:rFonts w:ascii="Times New Roman" w:hAnsi="Times New Roman" w:cs="Times New Roman"/>
          <w:sz w:val="24"/>
          <w:szCs w:val="24"/>
          <w:lang w:val="en-US"/>
        </w:rPr>
        <w:t>], and were in line with established procedures in ADHD research [</w:t>
      </w:r>
      <w:r w:rsidR="00433A5C">
        <w:rPr>
          <w:rFonts w:ascii="Times New Roman" w:hAnsi="Times New Roman" w:cs="Times New Roman"/>
          <w:sz w:val="24"/>
          <w:szCs w:val="24"/>
          <w:lang w:val="en-US"/>
        </w:rPr>
        <w:t>8</w:t>
      </w:r>
      <w:r w:rsidRPr="00BA0373">
        <w:rPr>
          <w:rFonts w:ascii="Times New Roman" w:hAnsi="Times New Roman" w:cs="Times New Roman"/>
          <w:sz w:val="24"/>
          <w:szCs w:val="24"/>
          <w:lang w:val="en-US"/>
        </w:rPr>
        <w:t>, 3</w:t>
      </w:r>
      <w:r w:rsidR="0067766E">
        <w:rPr>
          <w:rFonts w:ascii="Times New Roman" w:hAnsi="Times New Roman" w:cs="Times New Roman"/>
          <w:sz w:val="24"/>
          <w:szCs w:val="24"/>
          <w:lang w:val="en-US"/>
        </w:rPr>
        <w:t>1</w:t>
      </w:r>
      <w:r w:rsidRPr="00BA0373">
        <w:rPr>
          <w:rFonts w:ascii="Times New Roman" w:hAnsi="Times New Roman" w:cs="Times New Roman"/>
          <w:sz w:val="24"/>
          <w:szCs w:val="24"/>
          <w:lang w:val="en-US"/>
        </w:rPr>
        <w:t>, 3</w:t>
      </w:r>
      <w:r w:rsidR="0067766E">
        <w:rPr>
          <w:rFonts w:ascii="Times New Roman" w:hAnsi="Times New Roman" w:cs="Times New Roman"/>
          <w:sz w:val="24"/>
          <w:szCs w:val="24"/>
          <w:lang w:val="en-US"/>
        </w:rPr>
        <w:t>2</w:t>
      </w:r>
      <w:r w:rsidRPr="00BA0373">
        <w:rPr>
          <w:rFonts w:ascii="Times New Roman" w:hAnsi="Times New Roman" w:cs="Times New Roman"/>
          <w:sz w:val="24"/>
          <w:szCs w:val="24"/>
          <w:lang w:val="en-US"/>
        </w:rPr>
        <w:t>] and the clinical practice. Table 1 illustrates the conversion factors used for each formulation.</w:t>
      </w:r>
    </w:p>
    <w:p w14:paraId="000000D9" w14:textId="58D74DA2" w:rsidR="00252EC4" w:rsidRPr="00BA0373" w:rsidRDefault="003222AB" w:rsidP="00C45ACB">
      <w:pPr>
        <w:spacing w:before="120" w:line="480" w:lineRule="auto"/>
        <w:ind w:firstLine="706"/>
        <w:rPr>
          <w:rFonts w:ascii="Times New Roman" w:hAnsi="Times New Roman" w:cs="Times New Roman"/>
          <w:sz w:val="24"/>
          <w:szCs w:val="24"/>
          <w:lang w:val="en-US"/>
        </w:rPr>
      </w:pPr>
      <w:r w:rsidRPr="00BA0373">
        <w:rPr>
          <w:rFonts w:ascii="Times New Roman" w:hAnsi="Times New Roman" w:cs="Times New Roman"/>
          <w:sz w:val="24"/>
          <w:szCs w:val="24"/>
          <w:lang w:val="en-US"/>
        </w:rPr>
        <w:t>For MPH-equivalents, daily doses of long-acting (Aptensio XR</w:t>
      </w:r>
      <w:r w:rsidR="009F66F3" w:rsidRPr="004930A2">
        <w:rPr>
          <w:rFonts w:ascii="Times New Roman" w:hAnsi="Times New Roman" w:cs="Times New Roman"/>
          <w:sz w:val="24"/>
          <w:szCs w:val="24"/>
          <w:vertAlign w:val="superscript"/>
          <w:lang w:val="en-US"/>
        </w:rPr>
        <w:t>®</w:t>
      </w:r>
      <w:r w:rsidRPr="00BA0373">
        <w:rPr>
          <w:rFonts w:ascii="Times New Roman" w:hAnsi="Times New Roman" w:cs="Times New Roman"/>
          <w:sz w:val="24"/>
          <w:szCs w:val="24"/>
          <w:lang w:val="en-US"/>
        </w:rPr>
        <w:t>, Metadate CD</w:t>
      </w:r>
      <w:r w:rsidR="009F66F3" w:rsidRPr="004930A2">
        <w:rPr>
          <w:rFonts w:ascii="Times New Roman" w:hAnsi="Times New Roman" w:cs="Times New Roman"/>
          <w:sz w:val="24"/>
          <w:szCs w:val="24"/>
          <w:vertAlign w:val="superscript"/>
          <w:lang w:val="en-US"/>
        </w:rPr>
        <w:t>®</w:t>
      </w:r>
      <w:r w:rsidRPr="00BA0373">
        <w:rPr>
          <w:rFonts w:ascii="Times New Roman" w:hAnsi="Times New Roman" w:cs="Times New Roman"/>
          <w:sz w:val="24"/>
          <w:szCs w:val="24"/>
          <w:lang w:val="en-US"/>
        </w:rPr>
        <w:t>, Metadate ER</w:t>
      </w:r>
      <w:r w:rsidR="009F66F3" w:rsidRPr="004930A2">
        <w:rPr>
          <w:rFonts w:ascii="Times New Roman" w:hAnsi="Times New Roman" w:cs="Times New Roman"/>
          <w:sz w:val="24"/>
          <w:szCs w:val="24"/>
          <w:vertAlign w:val="superscript"/>
          <w:lang w:val="en-US"/>
        </w:rPr>
        <w:t>®</w:t>
      </w:r>
      <w:r w:rsidRPr="00BA0373">
        <w:rPr>
          <w:rFonts w:ascii="Times New Roman" w:hAnsi="Times New Roman" w:cs="Times New Roman"/>
          <w:sz w:val="24"/>
          <w:szCs w:val="24"/>
          <w:lang w:val="en-US"/>
        </w:rPr>
        <w:t>, Ritalin LA</w:t>
      </w:r>
      <w:r w:rsidR="009F66F3" w:rsidRPr="004930A2">
        <w:rPr>
          <w:rFonts w:ascii="Times New Roman" w:hAnsi="Times New Roman" w:cs="Times New Roman"/>
          <w:sz w:val="24"/>
          <w:szCs w:val="24"/>
          <w:vertAlign w:val="superscript"/>
          <w:lang w:val="en-US"/>
        </w:rPr>
        <w:t>®</w:t>
      </w:r>
      <w:r w:rsidRPr="00BA0373">
        <w:rPr>
          <w:rFonts w:ascii="Times New Roman" w:hAnsi="Times New Roman" w:cs="Times New Roman"/>
          <w:sz w:val="24"/>
          <w:szCs w:val="24"/>
          <w:lang w:val="en-US"/>
        </w:rPr>
        <w:t>, Ritalin SR</w:t>
      </w:r>
      <w:r w:rsidR="009F66F3" w:rsidRPr="004930A2">
        <w:rPr>
          <w:rFonts w:ascii="Times New Roman" w:hAnsi="Times New Roman" w:cs="Times New Roman"/>
          <w:sz w:val="24"/>
          <w:szCs w:val="24"/>
          <w:vertAlign w:val="superscript"/>
          <w:lang w:val="en-US"/>
        </w:rPr>
        <w:t>®</w:t>
      </w:r>
      <w:r w:rsidRPr="00BA0373">
        <w:rPr>
          <w:rFonts w:ascii="Times New Roman" w:hAnsi="Times New Roman" w:cs="Times New Roman"/>
          <w:sz w:val="24"/>
          <w:szCs w:val="24"/>
          <w:lang w:val="en-US"/>
        </w:rPr>
        <w:t>, Quillivant XR</w:t>
      </w:r>
      <w:r w:rsidR="009F66F3" w:rsidRPr="004930A2">
        <w:rPr>
          <w:rFonts w:ascii="Times New Roman" w:hAnsi="Times New Roman" w:cs="Times New Roman"/>
          <w:sz w:val="24"/>
          <w:szCs w:val="24"/>
          <w:vertAlign w:val="superscript"/>
          <w:lang w:val="en-US"/>
        </w:rPr>
        <w:t>®</w:t>
      </w:r>
      <w:r w:rsidRPr="00BA0373">
        <w:rPr>
          <w:rFonts w:ascii="Times New Roman" w:hAnsi="Times New Roman" w:cs="Times New Roman"/>
          <w:sz w:val="24"/>
          <w:szCs w:val="24"/>
          <w:lang w:val="en-US"/>
        </w:rPr>
        <w:t xml:space="preserve"> and Quillichew ER</w:t>
      </w:r>
      <w:r w:rsidR="009F66F3" w:rsidRPr="004930A2">
        <w:rPr>
          <w:rFonts w:ascii="Times New Roman" w:hAnsi="Times New Roman" w:cs="Times New Roman"/>
          <w:sz w:val="24"/>
          <w:szCs w:val="24"/>
          <w:vertAlign w:val="superscript"/>
          <w:lang w:val="en-US"/>
        </w:rPr>
        <w:t>®</w:t>
      </w:r>
      <w:r w:rsidRPr="00BA0373">
        <w:rPr>
          <w:rFonts w:ascii="Times New Roman" w:hAnsi="Times New Roman" w:cs="Times New Roman"/>
          <w:sz w:val="24"/>
          <w:szCs w:val="24"/>
          <w:lang w:val="en-US"/>
        </w:rPr>
        <w:t xml:space="preserve">) methylphenidate hydrochloride products were </w:t>
      </w:r>
      <w:r w:rsidR="009F66F3">
        <w:rPr>
          <w:rFonts w:ascii="Times New Roman" w:hAnsi="Times New Roman" w:cs="Times New Roman"/>
          <w:sz w:val="24"/>
          <w:szCs w:val="24"/>
          <w:lang w:val="en-US"/>
        </w:rPr>
        <w:t>extracted at the prescribed doses</w:t>
      </w:r>
      <w:r w:rsidRPr="00BA0373">
        <w:rPr>
          <w:rFonts w:ascii="Times New Roman" w:hAnsi="Times New Roman" w:cs="Times New Roman"/>
          <w:sz w:val="24"/>
          <w:szCs w:val="24"/>
          <w:lang w:val="en-US"/>
        </w:rPr>
        <w:t xml:space="preserve"> because long-acting products given </w:t>
      </w:r>
      <w:r w:rsidR="009F66F3">
        <w:rPr>
          <w:rFonts w:ascii="Times New Roman" w:hAnsi="Times New Roman" w:cs="Times New Roman"/>
          <w:sz w:val="24"/>
          <w:szCs w:val="24"/>
          <w:lang w:val="en-US"/>
        </w:rPr>
        <w:t>once</w:t>
      </w:r>
      <w:r w:rsidRPr="00BA0373">
        <w:rPr>
          <w:rFonts w:ascii="Times New Roman" w:hAnsi="Times New Roman" w:cs="Times New Roman"/>
          <w:sz w:val="24"/>
          <w:szCs w:val="24"/>
          <w:lang w:val="en-US"/>
        </w:rPr>
        <w:t xml:space="preserve"> daily provide comparable daily amounts of d-methylphenidate as the short-acting products given at least twice daily [3</w:t>
      </w:r>
      <w:r w:rsidR="0067766E">
        <w:rPr>
          <w:rFonts w:ascii="Times New Roman" w:hAnsi="Times New Roman" w:cs="Times New Roman"/>
          <w:sz w:val="24"/>
          <w:szCs w:val="24"/>
          <w:lang w:val="en-US"/>
        </w:rPr>
        <w:t>3</w:t>
      </w:r>
      <w:r w:rsidRPr="00BA0373">
        <w:rPr>
          <w:rFonts w:ascii="Times New Roman" w:hAnsi="Times New Roman" w:cs="Times New Roman"/>
          <w:sz w:val="24"/>
          <w:szCs w:val="24"/>
          <w:lang w:val="en-US"/>
        </w:rPr>
        <w:t>-3</w:t>
      </w:r>
      <w:r w:rsidR="0067766E">
        <w:rPr>
          <w:rFonts w:ascii="Times New Roman" w:hAnsi="Times New Roman" w:cs="Times New Roman"/>
          <w:sz w:val="24"/>
          <w:szCs w:val="24"/>
          <w:lang w:val="en-US"/>
        </w:rPr>
        <w:t>6</w:t>
      </w:r>
      <w:r w:rsidRPr="00BA0373">
        <w:rPr>
          <w:rFonts w:ascii="Times New Roman" w:hAnsi="Times New Roman" w:cs="Times New Roman"/>
          <w:sz w:val="24"/>
          <w:szCs w:val="24"/>
          <w:lang w:val="en-US"/>
        </w:rPr>
        <w:t>]. However, for osmotic, controlled-release methylphenidate hydrochloride (Concerta</w:t>
      </w:r>
      <w:r w:rsidR="009F66F3" w:rsidRPr="004930A2">
        <w:rPr>
          <w:rFonts w:ascii="Times New Roman" w:hAnsi="Times New Roman" w:cs="Times New Roman"/>
          <w:sz w:val="24"/>
          <w:szCs w:val="24"/>
          <w:vertAlign w:val="superscript"/>
          <w:lang w:val="en-US"/>
        </w:rPr>
        <w:t>®</w:t>
      </w:r>
      <w:r w:rsidRPr="00BA0373">
        <w:rPr>
          <w:rFonts w:ascii="Times New Roman" w:hAnsi="Times New Roman" w:cs="Times New Roman"/>
          <w:sz w:val="24"/>
          <w:szCs w:val="24"/>
          <w:lang w:val="en-US"/>
        </w:rPr>
        <w:t xml:space="preserve">), daily doses were multiplied by 0.83 because 18 mg </w:t>
      </w:r>
      <w:r w:rsidR="009F66F3">
        <w:rPr>
          <w:rFonts w:ascii="Times New Roman" w:hAnsi="Times New Roman" w:cs="Times New Roman"/>
          <w:sz w:val="24"/>
          <w:szCs w:val="24"/>
          <w:lang w:val="en-US"/>
        </w:rPr>
        <w:t>are</w:t>
      </w:r>
      <w:r w:rsidRPr="00BA0373">
        <w:rPr>
          <w:rFonts w:ascii="Times New Roman" w:hAnsi="Times New Roman" w:cs="Times New Roman"/>
          <w:sz w:val="24"/>
          <w:szCs w:val="24"/>
          <w:lang w:val="en-US"/>
        </w:rPr>
        <w:t xml:space="preserve"> considered comparable to 15 mg of short-acting methylphenidate [3</w:t>
      </w:r>
      <w:r w:rsidR="0067766E">
        <w:rPr>
          <w:rFonts w:ascii="Times New Roman" w:hAnsi="Times New Roman" w:cs="Times New Roman"/>
          <w:sz w:val="24"/>
          <w:szCs w:val="24"/>
          <w:lang w:val="en-US"/>
        </w:rPr>
        <w:t>7</w:t>
      </w:r>
      <w:r w:rsidRPr="00BA0373">
        <w:rPr>
          <w:rFonts w:ascii="Times New Roman" w:hAnsi="Times New Roman" w:cs="Times New Roman"/>
          <w:sz w:val="24"/>
          <w:szCs w:val="24"/>
          <w:lang w:val="en-US"/>
        </w:rPr>
        <w:t>]. For short-acting (Focalin</w:t>
      </w:r>
      <w:r w:rsidR="009F66F3" w:rsidRPr="004930A2">
        <w:rPr>
          <w:rFonts w:ascii="Times New Roman" w:hAnsi="Times New Roman" w:cs="Times New Roman"/>
          <w:sz w:val="24"/>
          <w:szCs w:val="24"/>
          <w:vertAlign w:val="superscript"/>
          <w:lang w:val="en-US"/>
        </w:rPr>
        <w:t>®</w:t>
      </w:r>
      <w:r w:rsidRPr="00BA0373">
        <w:rPr>
          <w:rFonts w:ascii="Times New Roman" w:hAnsi="Times New Roman" w:cs="Times New Roman"/>
          <w:sz w:val="24"/>
          <w:szCs w:val="24"/>
          <w:lang w:val="en-US"/>
        </w:rPr>
        <w:t>) and long-acting (Focalin XR</w:t>
      </w:r>
      <w:r w:rsidR="009F66F3" w:rsidRPr="004930A2">
        <w:rPr>
          <w:rFonts w:ascii="Times New Roman" w:hAnsi="Times New Roman" w:cs="Times New Roman"/>
          <w:sz w:val="24"/>
          <w:szCs w:val="24"/>
          <w:vertAlign w:val="superscript"/>
          <w:lang w:val="en-US"/>
        </w:rPr>
        <w:t>®</w:t>
      </w:r>
      <w:r w:rsidRPr="00BA0373">
        <w:rPr>
          <w:rFonts w:ascii="Times New Roman" w:hAnsi="Times New Roman" w:cs="Times New Roman"/>
          <w:sz w:val="24"/>
          <w:szCs w:val="24"/>
          <w:lang w:val="en-US"/>
        </w:rPr>
        <w:t>) dexmethylphenidate hydrochloride products, which are only composed of d-methylphenidate, daily doses were multiplied by 2 because methylphenidate hydrochloride is a racemic mixture of d,l-methylphenidate [3</w:t>
      </w:r>
      <w:r w:rsidR="0067766E">
        <w:rPr>
          <w:rFonts w:ascii="Times New Roman" w:hAnsi="Times New Roman" w:cs="Times New Roman"/>
          <w:sz w:val="24"/>
          <w:szCs w:val="24"/>
          <w:lang w:val="en-US"/>
        </w:rPr>
        <w:t>8</w:t>
      </w:r>
      <w:r w:rsidRPr="00BA0373">
        <w:rPr>
          <w:rFonts w:ascii="Times New Roman" w:hAnsi="Times New Roman" w:cs="Times New Roman"/>
          <w:sz w:val="24"/>
          <w:szCs w:val="24"/>
          <w:lang w:val="en-US"/>
        </w:rPr>
        <w:t>, 3</w:t>
      </w:r>
      <w:r w:rsidR="0067766E">
        <w:rPr>
          <w:rFonts w:ascii="Times New Roman" w:hAnsi="Times New Roman" w:cs="Times New Roman"/>
          <w:sz w:val="24"/>
          <w:szCs w:val="24"/>
          <w:lang w:val="en-US"/>
        </w:rPr>
        <w:t>9</w:t>
      </w:r>
      <w:r w:rsidRPr="00BA0373">
        <w:rPr>
          <w:rFonts w:ascii="Times New Roman" w:hAnsi="Times New Roman" w:cs="Times New Roman"/>
          <w:sz w:val="24"/>
          <w:szCs w:val="24"/>
          <w:lang w:val="en-US"/>
        </w:rPr>
        <w:t>]. For methylphenidate base (Contempla XR-ODT</w:t>
      </w:r>
      <w:r w:rsidR="009F66F3" w:rsidRPr="004930A2">
        <w:rPr>
          <w:rFonts w:ascii="Times New Roman" w:hAnsi="Times New Roman" w:cs="Times New Roman"/>
          <w:sz w:val="24"/>
          <w:szCs w:val="24"/>
          <w:vertAlign w:val="superscript"/>
          <w:lang w:val="en-US"/>
        </w:rPr>
        <w:t>®</w:t>
      </w:r>
      <w:r w:rsidRPr="00BA0373">
        <w:rPr>
          <w:rFonts w:ascii="Times New Roman" w:hAnsi="Times New Roman" w:cs="Times New Roman"/>
          <w:sz w:val="24"/>
          <w:szCs w:val="24"/>
          <w:lang w:val="en-US"/>
        </w:rPr>
        <w:t xml:space="preserve">) products, daily doses were multiplied by </w:t>
      </w:r>
      <w:r w:rsidRPr="00BA0373">
        <w:rPr>
          <w:rFonts w:ascii="Times New Roman" w:hAnsi="Times New Roman" w:cs="Times New Roman"/>
          <w:sz w:val="24"/>
          <w:szCs w:val="24"/>
          <w:lang w:val="en-US"/>
        </w:rPr>
        <w:lastRenderedPageBreak/>
        <w:t>1.16 as every 10mg of methylphenidate hydrochloride is composed of 8.6 mg (86%) of methylphenidate base [</w:t>
      </w:r>
      <w:r w:rsidR="0067766E">
        <w:rPr>
          <w:rFonts w:ascii="Times New Roman" w:hAnsi="Times New Roman" w:cs="Times New Roman"/>
          <w:sz w:val="24"/>
          <w:szCs w:val="24"/>
          <w:lang w:val="en-US"/>
        </w:rPr>
        <w:t>40</w:t>
      </w:r>
      <w:r w:rsidRPr="00BA0373">
        <w:rPr>
          <w:rFonts w:ascii="Times New Roman" w:hAnsi="Times New Roman" w:cs="Times New Roman"/>
          <w:sz w:val="24"/>
          <w:szCs w:val="24"/>
          <w:lang w:val="en-US"/>
        </w:rPr>
        <w:t>]. For methylphenidate transdermal system (Daytrana</w:t>
      </w:r>
      <w:r w:rsidR="009F66F3" w:rsidRPr="004930A2">
        <w:rPr>
          <w:rFonts w:ascii="Times New Roman" w:hAnsi="Times New Roman" w:cs="Times New Roman"/>
          <w:sz w:val="24"/>
          <w:szCs w:val="24"/>
          <w:vertAlign w:val="superscript"/>
          <w:lang w:val="en-US"/>
        </w:rPr>
        <w:t>®</w:t>
      </w:r>
      <w:r w:rsidRPr="00BA0373">
        <w:rPr>
          <w:rFonts w:ascii="Times New Roman" w:hAnsi="Times New Roman" w:cs="Times New Roman"/>
          <w:sz w:val="24"/>
          <w:szCs w:val="24"/>
          <w:lang w:val="en-US"/>
        </w:rPr>
        <w:t>), daily doses were multiplied by 1.5 because 10mg/9 hours was considered comparable to 18 mg of Concerta</w:t>
      </w:r>
      <w:r w:rsidR="009F66F3" w:rsidRPr="004930A2">
        <w:rPr>
          <w:rFonts w:ascii="Times New Roman" w:hAnsi="Times New Roman" w:cs="Times New Roman"/>
          <w:sz w:val="24"/>
          <w:szCs w:val="24"/>
          <w:vertAlign w:val="superscript"/>
          <w:lang w:val="en-US"/>
        </w:rPr>
        <w:t>®</w:t>
      </w:r>
      <w:r w:rsidRPr="00BA0373">
        <w:rPr>
          <w:rFonts w:ascii="Times New Roman" w:hAnsi="Times New Roman" w:cs="Times New Roman"/>
          <w:sz w:val="24"/>
          <w:szCs w:val="24"/>
          <w:lang w:val="en-US"/>
        </w:rPr>
        <w:t xml:space="preserve"> [</w:t>
      </w:r>
      <w:r w:rsidR="00433A5C">
        <w:rPr>
          <w:rFonts w:ascii="Times New Roman" w:hAnsi="Times New Roman" w:cs="Times New Roman"/>
          <w:sz w:val="24"/>
          <w:szCs w:val="24"/>
          <w:lang w:val="en-US"/>
        </w:rPr>
        <w:t>4</w:t>
      </w:r>
      <w:r w:rsidR="0067766E">
        <w:rPr>
          <w:rFonts w:ascii="Times New Roman" w:hAnsi="Times New Roman" w:cs="Times New Roman"/>
          <w:sz w:val="24"/>
          <w:szCs w:val="24"/>
          <w:lang w:val="en-US"/>
        </w:rPr>
        <w:t>1</w:t>
      </w:r>
      <w:r w:rsidRPr="00BA0373">
        <w:rPr>
          <w:rFonts w:ascii="Times New Roman" w:hAnsi="Times New Roman" w:cs="Times New Roman"/>
          <w:sz w:val="24"/>
          <w:szCs w:val="24"/>
          <w:lang w:val="en-US"/>
        </w:rPr>
        <w:t>].</w:t>
      </w:r>
    </w:p>
    <w:p w14:paraId="000000DA" w14:textId="096C281A" w:rsidR="00252EC4" w:rsidRPr="00BA0373" w:rsidRDefault="003222AB" w:rsidP="00C45ACB">
      <w:pPr>
        <w:spacing w:before="120" w:line="480" w:lineRule="auto"/>
        <w:ind w:firstLine="706"/>
        <w:rPr>
          <w:rFonts w:ascii="Times New Roman" w:hAnsi="Times New Roman" w:cs="Times New Roman"/>
          <w:sz w:val="24"/>
          <w:szCs w:val="24"/>
          <w:lang w:val="en-US"/>
        </w:rPr>
      </w:pPr>
      <w:r w:rsidRPr="00BA0373">
        <w:rPr>
          <w:rFonts w:ascii="Times New Roman" w:hAnsi="Times New Roman" w:cs="Times New Roman"/>
          <w:sz w:val="24"/>
          <w:szCs w:val="24"/>
          <w:lang w:val="en-US"/>
        </w:rPr>
        <w:t>For AMP-equivalents, daily doses of long-acting (Adderall-XR</w:t>
      </w:r>
      <w:r w:rsidR="009F66F3" w:rsidRPr="004930A2">
        <w:rPr>
          <w:rFonts w:ascii="Times New Roman" w:hAnsi="Times New Roman" w:cs="Times New Roman"/>
          <w:sz w:val="24"/>
          <w:szCs w:val="24"/>
          <w:vertAlign w:val="superscript"/>
          <w:lang w:val="en-US"/>
        </w:rPr>
        <w:t>®</w:t>
      </w:r>
      <w:r w:rsidRPr="00BA0373">
        <w:rPr>
          <w:rFonts w:ascii="Times New Roman" w:hAnsi="Times New Roman" w:cs="Times New Roman"/>
          <w:sz w:val="24"/>
          <w:szCs w:val="24"/>
          <w:lang w:val="en-US"/>
        </w:rPr>
        <w:t>, Mydayis</w:t>
      </w:r>
      <w:r w:rsidR="009F66F3" w:rsidRPr="004930A2">
        <w:rPr>
          <w:rFonts w:ascii="Times New Roman" w:hAnsi="Times New Roman" w:cs="Times New Roman"/>
          <w:sz w:val="24"/>
          <w:szCs w:val="24"/>
          <w:vertAlign w:val="superscript"/>
          <w:lang w:val="en-US"/>
        </w:rPr>
        <w:t>®</w:t>
      </w:r>
      <w:r w:rsidRPr="00BA0373">
        <w:rPr>
          <w:rFonts w:ascii="Times New Roman" w:hAnsi="Times New Roman" w:cs="Times New Roman"/>
          <w:sz w:val="24"/>
          <w:szCs w:val="24"/>
          <w:lang w:val="en-US"/>
        </w:rPr>
        <w:t xml:space="preserve">) mixed amphetamine salts products were </w:t>
      </w:r>
      <w:r w:rsidR="009F66F3">
        <w:rPr>
          <w:rFonts w:ascii="Times New Roman" w:hAnsi="Times New Roman" w:cs="Times New Roman"/>
          <w:sz w:val="24"/>
          <w:szCs w:val="24"/>
          <w:lang w:val="en-US"/>
        </w:rPr>
        <w:t>extracted at the prescribed doses</w:t>
      </w:r>
      <w:r w:rsidRPr="00BA0373">
        <w:rPr>
          <w:rFonts w:ascii="Times New Roman" w:hAnsi="Times New Roman" w:cs="Times New Roman"/>
          <w:sz w:val="24"/>
          <w:szCs w:val="24"/>
          <w:lang w:val="en-US"/>
        </w:rPr>
        <w:t xml:space="preserve"> because long-acting products given one time daily provide comparable daily amounts of d,l-amphetamine as the short-acting products given at least twice daily [4</w:t>
      </w:r>
      <w:r w:rsidR="0067766E">
        <w:rPr>
          <w:rFonts w:ascii="Times New Roman" w:hAnsi="Times New Roman" w:cs="Times New Roman"/>
          <w:sz w:val="24"/>
          <w:szCs w:val="24"/>
          <w:lang w:val="en-US"/>
        </w:rPr>
        <w:t>2</w:t>
      </w:r>
      <w:r w:rsidRPr="00BA0373">
        <w:rPr>
          <w:rFonts w:ascii="Times New Roman" w:hAnsi="Times New Roman" w:cs="Times New Roman"/>
          <w:sz w:val="24"/>
          <w:szCs w:val="24"/>
          <w:lang w:val="en-US"/>
        </w:rPr>
        <w:t>, 4</w:t>
      </w:r>
      <w:r w:rsidR="0067766E">
        <w:rPr>
          <w:rFonts w:ascii="Times New Roman" w:hAnsi="Times New Roman" w:cs="Times New Roman"/>
          <w:sz w:val="24"/>
          <w:szCs w:val="24"/>
          <w:lang w:val="en-US"/>
        </w:rPr>
        <w:t>3</w:t>
      </w:r>
      <w:r w:rsidRPr="00BA0373">
        <w:rPr>
          <w:rFonts w:ascii="Times New Roman" w:hAnsi="Times New Roman" w:cs="Times New Roman"/>
          <w:sz w:val="24"/>
          <w:szCs w:val="24"/>
          <w:lang w:val="en-US"/>
        </w:rPr>
        <w:t>]. For amphetamine base (Adzenys ER</w:t>
      </w:r>
      <w:r w:rsidR="009F66F3" w:rsidRPr="004930A2">
        <w:rPr>
          <w:rFonts w:ascii="Times New Roman" w:hAnsi="Times New Roman" w:cs="Times New Roman"/>
          <w:sz w:val="24"/>
          <w:szCs w:val="24"/>
          <w:vertAlign w:val="superscript"/>
          <w:lang w:val="en-US"/>
        </w:rPr>
        <w:t>®</w:t>
      </w:r>
      <w:r w:rsidRPr="00BA0373">
        <w:rPr>
          <w:rFonts w:ascii="Times New Roman" w:hAnsi="Times New Roman" w:cs="Times New Roman"/>
          <w:sz w:val="24"/>
          <w:szCs w:val="24"/>
          <w:lang w:val="en-US"/>
        </w:rPr>
        <w:t>, Adzenys XR-ODT</w:t>
      </w:r>
      <w:r w:rsidR="009F66F3" w:rsidRPr="004930A2">
        <w:rPr>
          <w:rFonts w:ascii="Times New Roman" w:hAnsi="Times New Roman" w:cs="Times New Roman"/>
          <w:sz w:val="24"/>
          <w:szCs w:val="24"/>
          <w:vertAlign w:val="superscript"/>
          <w:lang w:val="en-US"/>
        </w:rPr>
        <w:t>®</w:t>
      </w:r>
      <w:r w:rsidRPr="00BA0373">
        <w:rPr>
          <w:rFonts w:ascii="Times New Roman" w:hAnsi="Times New Roman" w:cs="Times New Roman"/>
          <w:sz w:val="24"/>
          <w:szCs w:val="24"/>
          <w:lang w:val="en-US"/>
        </w:rPr>
        <w:t>, Dyanavel XR</w:t>
      </w:r>
      <w:r w:rsidR="009F66F3" w:rsidRPr="004930A2">
        <w:rPr>
          <w:rFonts w:ascii="Times New Roman" w:hAnsi="Times New Roman" w:cs="Times New Roman"/>
          <w:sz w:val="24"/>
          <w:szCs w:val="24"/>
          <w:vertAlign w:val="superscript"/>
          <w:lang w:val="en-US"/>
        </w:rPr>
        <w:t>®</w:t>
      </w:r>
      <w:r w:rsidRPr="00BA0373">
        <w:rPr>
          <w:rFonts w:ascii="Times New Roman" w:hAnsi="Times New Roman" w:cs="Times New Roman"/>
          <w:sz w:val="24"/>
          <w:szCs w:val="24"/>
          <w:lang w:val="en-US"/>
        </w:rPr>
        <w:t>) products, daily doses were multiplied by 1.6 as 5 mg of mixed amphetamine salts are composed of 3.1 mg (~63%) of amphetamine base [4</w:t>
      </w:r>
      <w:r w:rsidR="0067766E">
        <w:rPr>
          <w:rFonts w:ascii="Times New Roman" w:hAnsi="Times New Roman" w:cs="Times New Roman"/>
          <w:sz w:val="24"/>
          <w:szCs w:val="24"/>
          <w:lang w:val="en-US"/>
        </w:rPr>
        <w:t>4</w:t>
      </w:r>
      <w:r w:rsidRPr="00BA0373">
        <w:rPr>
          <w:rFonts w:ascii="Times New Roman" w:hAnsi="Times New Roman" w:cs="Times New Roman"/>
          <w:sz w:val="24"/>
          <w:szCs w:val="24"/>
          <w:lang w:val="en-US"/>
        </w:rPr>
        <w:t>, 4</w:t>
      </w:r>
      <w:r w:rsidR="0067766E">
        <w:rPr>
          <w:rFonts w:ascii="Times New Roman" w:hAnsi="Times New Roman" w:cs="Times New Roman"/>
          <w:sz w:val="24"/>
          <w:szCs w:val="24"/>
          <w:lang w:val="en-US"/>
        </w:rPr>
        <w:t>5</w:t>
      </w:r>
      <w:r w:rsidRPr="00BA0373">
        <w:rPr>
          <w:rFonts w:ascii="Times New Roman" w:hAnsi="Times New Roman" w:cs="Times New Roman"/>
          <w:sz w:val="24"/>
          <w:szCs w:val="24"/>
          <w:lang w:val="en-US"/>
        </w:rPr>
        <w:t>]. For short-acting (Evekeo</w:t>
      </w:r>
      <w:r w:rsidR="009F66F3" w:rsidRPr="004930A2">
        <w:rPr>
          <w:rFonts w:ascii="Times New Roman" w:hAnsi="Times New Roman" w:cs="Times New Roman"/>
          <w:sz w:val="24"/>
          <w:szCs w:val="24"/>
          <w:vertAlign w:val="superscript"/>
          <w:lang w:val="en-US"/>
        </w:rPr>
        <w:t>®</w:t>
      </w:r>
      <w:r w:rsidRPr="00BA0373">
        <w:rPr>
          <w:rFonts w:ascii="Times New Roman" w:hAnsi="Times New Roman" w:cs="Times New Roman"/>
          <w:sz w:val="24"/>
          <w:szCs w:val="24"/>
          <w:lang w:val="en-US"/>
        </w:rPr>
        <w:t>, Evekeo ODT</w:t>
      </w:r>
      <w:r w:rsidR="009F66F3" w:rsidRPr="004930A2">
        <w:rPr>
          <w:rFonts w:ascii="Times New Roman" w:hAnsi="Times New Roman" w:cs="Times New Roman"/>
          <w:sz w:val="24"/>
          <w:szCs w:val="24"/>
          <w:vertAlign w:val="superscript"/>
          <w:lang w:val="en-US"/>
        </w:rPr>
        <w:t>®</w:t>
      </w:r>
      <w:r w:rsidRPr="00BA0373">
        <w:rPr>
          <w:rFonts w:ascii="Times New Roman" w:hAnsi="Times New Roman" w:cs="Times New Roman"/>
          <w:sz w:val="24"/>
          <w:szCs w:val="24"/>
          <w:lang w:val="en-US"/>
        </w:rPr>
        <w:t>, Zenzedi</w:t>
      </w:r>
      <w:r w:rsidR="009F66F3" w:rsidRPr="004930A2">
        <w:rPr>
          <w:rFonts w:ascii="Times New Roman" w:hAnsi="Times New Roman" w:cs="Times New Roman"/>
          <w:sz w:val="24"/>
          <w:szCs w:val="24"/>
          <w:vertAlign w:val="superscript"/>
          <w:lang w:val="en-US"/>
        </w:rPr>
        <w:t>®</w:t>
      </w:r>
      <w:r w:rsidRPr="00BA0373">
        <w:rPr>
          <w:rFonts w:ascii="Times New Roman" w:hAnsi="Times New Roman" w:cs="Times New Roman"/>
          <w:sz w:val="24"/>
          <w:szCs w:val="24"/>
          <w:lang w:val="en-US"/>
        </w:rPr>
        <w:t>) and long-acting (Dexe</w:t>
      </w:r>
      <w:r w:rsidR="0071175D">
        <w:rPr>
          <w:rFonts w:ascii="Times New Roman" w:hAnsi="Times New Roman" w:cs="Times New Roman"/>
          <w:sz w:val="24"/>
          <w:szCs w:val="24"/>
          <w:lang w:val="en-US"/>
        </w:rPr>
        <w:t>dr</w:t>
      </w:r>
      <w:r w:rsidRPr="00BA0373">
        <w:rPr>
          <w:rFonts w:ascii="Times New Roman" w:hAnsi="Times New Roman" w:cs="Times New Roman"/>
          <w:sz w:val="24"/>
          <w:szCs w:val="24"/>
          <w:lang w:val="en-US"/>
        </w:rPr>
        <w:t>ine</w:t>
      </w:r>
      <w:r w:rsidR="009F66F3" w:rsidRPr="004930A2">
        <w:rPr>
          <w:rFonts w:ascii="Times New Roman" w:hAnsi="Times New Roman" w:cs="Times New Roman"/>
          <w:sz w:val="24"/>
          <w:szCs w:val="24"/>
          <w:vertAlign w:val="superscript"/>
          <w:lang w:val="en-US"/>
        </w:rPr>
        <w:t>®</w:t>
      </w:r>
      <w:r w:rsidRPr="00BA0373">
        <w:rPr>
          <w:rFonts w:ascii="Times New Roman" w:hAnsi="Times New Roman" w:cs="Times New Roman"/>
          <w:sz w:val="24"/>
          <w:szCs w:val="24"/>
          <w:lang w:val="en-US"/>
        </w:rPr>
        <w:t>) (dextro)amphetamine sulfate products, daily doses were multiplied by 1.16 because 35 mg of mixed-amphetamine salts have comparable amounts of amphetamine base as 30 mg of (dextro)amphetamine sulfate [4</w:t>
      </w:r>
      <w:r w:rsidR="0067766E">
        <w:rPr>
          <w:rFonts w:ascii="Times New Roman" w:hAnsi="Times New Roman" w:cs="Times New Roman"/>
          <w:sz w:val="24"/>
          <w:szCs w:val="24"/>
          <w:lang w:val="en-US"/>
        </w:rPr>
        <w:t>6</w:t>
      </w:r>
      <w:r w:rsidR="00433A5C">
        <w:rPr>
          <w:rFonts w:ascii="Times New Roman" w:hAnsi="Times New Roman" w:cs="Times New Roman"/>
          <w:sz w:val="24"/>
          <w:szCs w:val="24"/>
          <w:lang w:val="en-US"/>
        </w:rPr>
        <w:t>]</w:t>
      </w:r>
      <w:r w:rsidRPr="00BA0373">
        <w:rPr>
          <w:rFonts w:ascii="Times New Roman" w:hAnsi="Times New Roman" w:cs="Times New Roman"/>
          <w:sz w:val="24"/>
          <w:szCs w:val="24"/>
          <w:lang w:val="en-US"/>
        </w:rPr>
        <w:t>. For lisdexamfetamine dimesylate (Vyvanse</w:t>
      </w:r>
      <w:r w:rsidR="009F66F3" w:rsidRPr="004930A2">
        <w:rPr>
          <w:rFonts w:ascii="Times New Roman" w:hAnsi="Times New Roman" w:cs="Times New Roman"/>
          <w:sz w:val="24"/>
          <w:szCs w:val="24"/>
          <w:vertAlign w:val="superscript"/>
          <w:lang w:val="en-US"/>
        </w:rPr>
        <w:t>®</w:t>
      </w:r>
      <w:r w:rsidRPr="00BA0373">
        <w:rPr>
          <w:rFonts w:ascii="Times New Roman" w:hAnsi="Times New Roman" w:cs="Times New Roman"/>
          <w:sz w:val="24"/>
          <w:szCs w:val="24"/>
          <w:lang w:val="en-US"/>
        </w:rPr>
        <w:t>), daily doses were multiplied by 0.45 because 35 mg of mixed-amphetamine salts have comparable amounts of amphetamine base as 75 mg of lisdexamfetamine [4</w:t>
      </w:r>
      <w:r w:rsidR="0067766E">
        <w:rPr>
          <w:rFonts w:ascii="Times New Roman" w:hAnsi="Times New Roman" w:cs="Times New Roman"/>
          <w:sz w:val="24"/>
          <w:szCs w:val="24"/>
          <w:lang w:val="en-US"/>
        </w:rPr>
        <w:t>6</w:t>
      </w:r>
      <w:r w:rsidRPr="00BA0373">
        <w:rPr>
          <w:rFonts w:ascii="Times New Roman" w:hAnsi="Times New Roman" w:cs="Times New Roman"/>
          <w:sz w:val="24"/>
          <w:szCs w:val="24"/>
          <w:lang w:val="en-US"/>
        </w:rPr>
        <w:t>].</w:t>
      </w:r>
    </w:p>
    <w:p w14:paraId="000000DB" w14:textId="77777777" w:rsidR="00252EC4" w:rsidRPr="00BA0373" w:rsidRDefault="003222AB" w:rsidP="009679B8">
      <w:pPr>
        <w:keepNext/>
        <w:spacing w:before="240" w:line="480" w:lineRule="auto"/>
        <w:rPr>
          <w:rFonts w:ascii="Times New Roman" w:hAnsi="Times New Roman" w:cs="Times New Roman"/>
          <w:b/>
          <w:sz w:val="24"/>
          <w:szCs w:val="24"/>
          <w:lang w:val="en-US"/>
        </w:rPr>
      </w:pPr>
      <w:r w:rsidRPr="00BA0373">
        <w:rPr>
          <w:rFonts w:ascii="Times New Roman" w:hAnsi="Times New Roman" w:cs="Times New Roman"/>
          <w:b/>
          <w:sz w:val="24"/>
          <w:szCs w:val="24"/>
          <w:lang w:val="en-US"/>
        </w:rPr>
        <w:t>Meta-analytical method</w:t>
      </w:r>
    </w:p>
    <w:p w14:paraId="000000DC" w14:textId="76C26D93" w:rsidR="00252EC4" w:rsidRPr="00BA0373" w:rsidRDefault="003222AB" w:rsidP="00C45ACB">
      <w:pPr>
        <w:spacing w:before="120" w:line="480" w:lineRule="auto"/>
        <w:ind w:firstLine="706"/>
        <w:rPr>
          <w:rFonts w:ascii="Times New Roman" w:hAnsi="Times New Roman" w:cs="Times New Roman"/>
          <w:sz w:val="24"/>
          <w:szCs w:val="24"/>
          <w:lang w:val="en-US"/>
        </w:rPr>
      </w:pPr>
      <w:r w:rsidRPr="00BA0373">
        <w:rPr>
          <w:rFonts w:ascii="Times New Roman" w:hAnsi="Times New Roman" w:cs="Times New Roman"/>
          <w:sz w:val="24"/>
          <w:szCs w:val="24"/>
          <w:lang w:val="en-US"/>
        </w:rPr>
        <w:t>We conducted one-stage, random-effects dose-response meta-analyses [4</w:t>
      </w:r>
      <w:r w:rsidR="0067766E">
        <w:rPr>
          <w:rFonts w:ascii="Times New Roman" w:hAnsi="Times New Roman" w:cs="Times New Roman"/>
          <w:sz w:val="24"/>
          <w:szCs w:val="24"/>
          <w:lang w:val="en-US"/>
        </w:rPr>
        <w:t>7</w:t>
      </w:r>
      <w:r w:rsidRPr="00BA0373">
        <w:rPr>
          <w:rFonts w:ascii="Times New Roman" w:hAnsi="Times New Roman" w:cs="Times New Roman"/>
          <w:sz w:val="24"/>
          <w:szCs w:val="24"/>
          <w:lang w:val="en-US"/>
        </w:rPr>
        <w:t>, 4</w:t>
      </w:r>
      <w:r w:rsidR="0067766E">
        <w:rPr>
          <w:rFonts w:ascii="Times New Roman" w:hAnsi="Times New Roman" w:cs="Times New Roman"/>
          <w:sz w:val="24"/>
          <w:szCs w:val="24"/>
          <w:lang w:val="en-US"/>
        </w:rPr>
        <w:t>8</w:t>
      </w:r>
      <w:r w:rsidRPr="00BA0373">
        <w:rPr>
          <w:rFonts w:ascii="Times New Roman" w:hAnsi="Times New Roman" w:cs="Times New Roman"/>
          <w:sz w:val="24"/>
          <w:szCs w:val="24"/>
          <w:lang w:val="en-US"/>
        </w:rPr>
        <w:t>] to pool data and estimate the dose-response trends between doses of stimulants (MPH and AMP separately) and each of the clinical outcomes. Fixed-dose and flexible-dose studies were pooled separately. Standardized mean difference (SMD) was used as effect size index for efficacy and relative risk (RR) for tolerability and acceptability. We used different regression models (i.e., linear, quadratic and restricted cubic splines with knots at the 10</w:t>
      </w:r>
      <w:r w:rsidRPr="00BA0373">
        <w:rPr>
          <w:rFonts w:ascii="Times New Roman" w:hAnsi="Times New Roman" w:cs="Times New Roman"/>
          <w:sz w:val="24"/>
          <w:szCs w:val="24"/>
          <w:vertAlign w:val="superscript"/>
          <w:lang w:val="en-US"/>
        </w:rPr>
        <w:t>th</w:t>
      </w:r>
      <w:r w:rsidRPr="00BA0373">
        <w:rPr>
          <w:rFonts w:ascii="Times New Roman" w:hAnsi="Times New Roman" w:cs="Times New Roman"/>
          <w:sz w:val="24"/>
          <w:szCs w:val="24"/>
          <w:lang w:val="en-US"/>
        </w:rPr>
        <w:t>, 50</w:t>
      </w:r>
      <w:r w:rsidRPr="00BA0373">
        <w:rPr>
          <w:rFonts w:ascii="Times New Roman" w:hAnsi="Times New Roman" w:cs="Times New Roman"/>
          <w:sz w:val="24"/>
          <w:szCs w:val="24"/>
          <w:vertAlign w:val="superscript"/>
          <w:lang w:val="en-US"/>
        </w:rPr>
        <w:t>th</w:t>
      </w:r>
      <w:r w:rsidRPr="00BA0373">
        <w:rPr>
          <w:rFonts w:ascii="Times New Roman" w:hAnsi="Times New Roman" w:cs="Times New Roman"/>
          <w:sz w:val="24"/>
          <w:szCs w:val="24"/>
          <w:lang w:val="en-US"/>
        </w:rPr>
        <w:t xml:space="preserve"> and 90</w:t>
      </w:r>
      <w:r w:rsidRPr="00BA0373">
        <w:rPr>
          <w:rFonts w:ascii="Times New Roman" w:hAnsi="Times New Roman" w:cs="Times New Roman"/>
          <w:sz w:val="24"/>
          <w:szCs w:val="24"/>
          <w:vertAlign w:val="superscript"/>
          <w:lang w:val="en-US"/>
        </w:rPr>
        <w:t>th</w:t>
      </w:r>
      <w:r w:rsidRPr="00BA0373">
        <w:rPr>
          <w:rFonts w:ascii="Times New Roman" w:hAnsi="Times New Roman" w:cs="Times New Roman"/>
          <w:sz w:val="24"/>
          <w:szCs w:val="24"/>
          <w:lang w:val="en-US"/>
        </w:rPr>
        <w:t xml:space="preserve"> percentile) and selected the best-fitting one for each outcome according to the smallest values </w:t>
      </w:r>
      <w:r w:rsidRPr="00BA0373">
        <w:rPr>
          <w:rFonts w:ascii="Times New Roman" w:hAnsi="Times New Roman" w:cs="Times New Roman"/>
          <w:sz w:val="24"/>
          <w:szCs w:val="24"/>
          <w:lang w:val="en-US"/>
        </w:rPr>
        <w:lastRenderedPageBreak/>
        <w:t>on the Akaike Information Criteria (AIC) and Bayesian Information Criteria (BIC). When the spline was found best-fitting, we fitted an additional model with knots at the 25</w:t>
      </w:r>
      <w:r w:rsidRPr="00BA0373">
        <w:rPr>
          <w:rFonts w:ascii="Times New Roman" w:hAnsi="Times New Roman" w:cs="Times New Roman"/>
          <w:sz w:val="24"/>
          <w:szCs w:val="24"/>
          <w:vertAlign w:val="superscript"/>
          <w:lang w:val="en-US"/>
        </w:rPr>
        <w:t>th</w:t>
      </w:r>
      <w:r w:rsidRPr="00BA0373">
        <w:rPr>
          <w:rFonts w:ascii="Times New Roman" w:hAnsi="Times New Roman" w:cs="Times New Roman"/>
          <w:sz w:val="24"/>
          <w:szCs w:val="24"/>
          <w:lang w:val="en-US"/>
        </w:rPr>
        <w:t>, 50</w:t>
      </w:r>
      <w:r w:rsidRPr="00BA0373">
        <w:rPr>
          <w:rFonts w:ascii="Times New Roman" w:hAnsi="Times New Roman" w:cs="Times New Roman"/>
          <w:sz w:val="24"/>
          <w:szCs w:val="24"/>
          <w:vertAlign w:val="superscript"/>
          <w:lang w:val="en-US"/>
        </w:rPr>
        <w:t>th</w:t>
      </w:r>
      <w:r w:rsidRPr="00BA0373">
        <w:rPr>
          <w:rFonts w:ascii="Times New Roman" w:hAnsi="Times New Roman" w:cs="Times New Roman"/>
          <w:sz w:val="24"/>
          <w:szCs w:val="24"/>
          <w:lang w:val="en-US"/>
        </w:rPr>
        <w:t xml:space="preserve"> and 75</w:t>
      </w:r>
      <w:r w:rsidRPr="00BA0373">
        <w:rPr>
          <w:rFonts w:ascii="Times New Roman" w:hAnsi="Times New Roman" w:cs="Times New Roman"/>
          <w:sz w:val="24"/>
          <w:szCs w:val="24"/>
          <w:vertAlign w:val="superscript"/>
          <w:lang w:val="en-US"/>
        </w:rPr>
        <w:t>th</w:t>
      </w:r>
      <w:r w:rsidRPr="00BA0373">
        <w:rPr>
          <w:rFonts w:ascii="Times New Roman" w:hAnsi="Times New Roman" w:cs="Times New Roman"/>
          <w:sz w:val="24"/>
          <w:szCs w:val="24"/>
          <w:lang w:val="en-US"/>
        </w:rPr>
        <w:t xml:space="preserve"> percentile and evaluated whether findings remained stable across the different splines [4</w:t>
      </w:r>
      <w:r w:rsidR="0067766E">
        <w:rPr>
          <w:rFonts w:ascii="Times New Roman" w:hAnsi="Times New Roman" w:cs="Times New Roman"/>
          <w:sz w:val="24"/>
          <w:szCs w:val="24"/>
          <w:lang w:val="en-US"/>
        </w:rPr>
        <w:t>9</w:t>
      </w:r>
      <w:r w:rsidRPr="00BA0373">
        <w:rPr>
          <w:rFonts w:ascii="Times New Roman" w:hAnsi="Times New Roman" w:cs="Times New Roman"/>
          <w:sz w:val="24"/>
          <w:szCs w:val="24"/>
          <w:lang w:val="en-US"/>
        </w:rPr>
        <w:t>]. To aid in the interpretation of the dose-response curves, we obtained SMD and RR estimates with 95% confidence intervals (CI) for every 10 mg up to 60 mg of MPH-equivalents, the maximum FDA-licensed dose for MPH, and up to 40 mg of AMP-equivalents, the maximum FDA-licensed dose for mixed amphetamine salts. We performed sensitivity analyses by repeating our procedures after excluding studies with moderate/high RoB, doses determined by weight, crossover design, concomitant psychotherapy, and less than two weeks of duration. We also repeated analyses for efficacy considering ADHD symptom domains (i.e., inattention and hyperactivity/impulsivity separately). All analyses were performed in R with the package ‘dosresmeta’ [</w:t>
      </w:r>
      <w:r w:rsidR="0067766E">
        <w:rPr>
          <w:rFonts w:ascii="Times New Roman" w:hAnsi="Times New Roman" w:cs="Times New Roman"/>
          <w:sz w:val="24"/>
          <w:szCs w:val="24"/>
          <w:lang w:val="en-US"/>
        </w:rPr>
        <w:t>50</w:t>
      </w:r>
      <w:r w:rsidRPr="00BA0373">
        <w:rPr>
          <w:rFonts w:ascii="Times New Roman" w:hAnsi="Times New Roman" w:cs="Times New Roman"/>
          <w:sz w:val="24"/>
          <w:szCs w:val="24"/>
          <w:lang w:val="en-US"/>
        </w:rPr>
        <w:t>]. The significance threshold for analyses was set at p &lt; .05.</w:t>
      </w:r>
    </w:p>
    <w:p w14:paraId="000000DD" w14:textId="20180AE7" w:rsidR="00252EC4" w:rsidRDefault="003222AB" w:rsidP="00C45ACB">
      <w:pPr>
        <w:spacing w:before="120" w:line="480" w:lineRule="auto"/>
        <w:ind w:firstLine="706"/>
        <w:rPr>
          <w:rFonts w:ascii="Times New Roman" w:hAnsi="Times New Roman" w:cs="Times New Roman"/>
          <w:sz w:val="24"/>
          <w:szCs w:val="24"/>
          <w:lang w:val="en-US"/>
        </w:rPr>
      </w:pPr>
      <w:r w:rsidRPr="00BA0373">
        <w:rPr>
          <w:rFonts w:ascii="Times New Roman" w:hAnsi="Times New Roman" w:cs="Times New Roman"/>
          <w:sz w:val="24"/>
          <w:szCs w:val="24"/>
          <w:lang w:val="en-US"/>
        </w:rPr>
        <w:t xml:space="preserve">To confirm our findings obtained with the dose-response meta-analyses, we conducted additional pairwise meta-analyses to provide indirect comparative evidence of flexible-dose versus fixed-dose regimens for MPH and AMP as recently implemented in </w:t>
      </w:r>
      <w:r w:rsidR="00D23A5D">
        <w:rPr>
          <w:rFonts w:ascii="Times New Roman" w:hAnsi="Times New Roman" w:cs="Times New Roman"/>
          <w:sz w:val="24"/>
          <w:szCs w:val="24"/>
          <w:lang w:val="en-US"/>
        </w:rPr>
        <w:t xml:space="preserve">meta-analyses of RCTs of </w:t>
      </w:r>
      <w:r w:rsidRPr="00BA0373">
        <w:rPr>
          <w:rFonts w:ascii="Times New Roman" w:hAnsi="Times New Roman" w:cs="Times New Roman"/>
          <w:sz w:val="24"/>
          <w:szCs w:val="24"/>
          <w:lang w:val="en-US"/>
        </w:rPr>
        <w:t>antidepressants [5</w:t>
      </w:r>
      <w:r w:rsidR="0067766E">
        <w:rPr>
          <w:rFonts w:ascii="Times New Roman" w:hAnsi="Times New Roman" w:cs="Times New Roman"/>
          <w:sz w:val="24"/>
          <w:szCs w:val="24"/>
          <w:lang w:val="en-US"/>
        </w:rPr>
        <w:t>1</w:t>
      </w:r>
      <w:r w:rsidRPr="00BA0373">
        <w:rPr>
          <w:rFonts w:ascii="Times New Roman" w:hAnsi="Times New Roman" w:cs="Times New Roman"/>
          <w:sz w:val="24"/>
          <w:szCs w:val="24"/>
          <w:lang w:val="en-US"/>
        </w:rPr>
        <w:t>, 5</w:t>
      </w:r>
      <w:r w:rsidR="0067766E">
        <w:rPr>
          <w:rFonts w:ascii="Times New Roman" w:hAnsi="Times New Roman" w:cs="Times New Roman"/>
          <w:sz w:val="24"/>
          <w:szCs w:val="24"/>
          <w:lang w:val="en-US"/>
        </w:rPr>
        <w:t>2</w:t>
      </w:r>
      <w:r w:rsidRPr="00BA0373">
        <w:rPr>
          <w:rFonts w:ascii="Times New Roman" w:hAnsi="Times New Roman" w:cs="Times New Roman"/>
          <w:sz w:val="24"/>
          <w:szCs w:val="24"/>
          <w:lang w:val="en-US"/>
        </w:rPr>
        <w:t>]. More specifically, we initially calculated summary SMD (efficacy) and odds ratio (OR) (tolerability, acceptability) for fixed-dose studies at 30 mg of MPH-equivalents or below or at 20 mg of AMP-equivalents or below (SMD</w:t>
      </w:r>
      <w:r w:rsidRPr="00BA0373">
        <w:rPr>
          <w:rFonts w:ascii="Times New Roman" w:hAnsi="Times New Roman" w:cs="Times New Roman"/>
          <w:sz w:val="24"/>
          <w:szCs w:val="24"/>
          <w:vertAlign w:val="subscript"/>
          <w:lang w:val="en-US"/>
        </w:rPr>
        <w:t>Fix</w:t>
      </w:r>
      <w:r w:rsidRPr="00BA0373">
        <w:rPr>
          <w:rFonts w:ascii="Times New Roman" w:hAnsi="Times New Roman" w:cs="Times New Roman"/>
          <w:sz w:val="24"/>
          <w:szCs w:val="24"/>
          <w:lang w:val="en-US"/>
        </w:rPr>
        <w:t>; OR</w:t>
      </w:r>
      <w:r w:rsidRPr="00BA0373">
        <w:rPr>
          <w:rFonts w:ascii="Times New Roman" w:hAnsi="Times New Roman" w:cs="Times New Roman"/>
          <w:sz w:val="24"/>
          <w:szCs w:val="24"/>
          <w:vertAlign w:val="subscript"/>
          <w:lang w:val="en-US"/>
        </w:rPr>
        <w:t>Fix</w:t>
      </w:r>
      <w:r w:rsidRPr="00BA0373">
        <w:rPr>
          <w:rFonts w:ascii="Times New Roman" w:hAnsi="Times New Roman" w:cs="Times New Roman"/>
          <w:sz w:val="24"/>
          <w:szCs w:val="24"/>
          <w:lang w:val="en-US"/>
        </w:rPr>
        <w:t>) and for flexible-dose studies with titration as needed and tolerated beyond 30 mg of MPH-equivalents or beyond 20 mg of AMP-equivalents (SMD</w:t>
      </w:r>
      <w:r w:rsidRPr="00BA0373">
        <w:rPr>
          <w:rFonts w:ascii="Times New Roman" w:hAnsi="Times New Roman" w:cs="Times New Roman"/>
          <w:sz w:val="24"/>
          <w:szCs w:val="24"/>
          <w:vertAlign w:val="subscript"/>
          <w:lang w:val="en-US"/>
        </w:rPr>
        <w:t>Flex</w:t>
      </w:r>
      <w:r w:rsidRPr="00BA0373">
        <w:rPr>
          <w:rFonts w:ascii="Times New Roman" w:hAnsi="Times New Roman" w:cs="Times New Roman"/>
          <w:sz w:val="24"/>
          <w:szCs w:val="24"/>
          <w:lang w:val="en-US"/>
        </w:rPr>
        <w:t>; OR</w:t>
      </w:r>
      <w:r w:rsidRPr="00BA0373">
        <w:rPr>
          <w:rFonts w:ascii="Times New Roman" w:hAnsi="Times New Roman" w:cs="Times New Roman"/>
          <w:sz w:val="24"/>
          <w:szCs w:val="24"/>
          <w:vertAlign w:val="subscript"/>
          <w:lang w:val="en-US"/>
        </w:rPr>
        <w:t>Flex</w:t>
      </w:r>
      <w:r w:rsidRPr="00BA0373">
        <w:rPr>
          <w:rFonts w:ascii="Times New Roman" w:hAnsi="Times New Roman" w:cs="Times New Roman"/>
          <w:sz w:val="24"/>
          <w:szCs w:val="24"/>
          <w:lang w:val="en-US"/>
        </w:rPr>
        <w:t>). We then calculated the difference in SMDs (DSMD = SMD</w:t>
      </w:r>
      <w:r w:rsidRPr="00BA0373">
        <w:rPr>
          <w:rFonts w:ascii="Times New Roman" w:hAnsi="Times New Roman" w:cs="Times New Roman"/>
          <w:sz w:val="24"/>
          <w:szCs w:val="24"/>
          <w:vertAlign w:val="subscript"/>
          <w:lang w:val="en-US"/>
        </w:rPr>
        <w:t xml:space="preserve">Flex </w:t>
      </w:r>
      <w:r w:rsidRPr="00BA0373">
        <w:rPr>
          <w:rFonts w:ascii="Times New Roman" w:hAnsi="Times New Roman" w:cs="Times New Roman"/>
          <w:sz w:val="24"/>
          <w:szCs w:val="24"/>
          <w:lang w:val="en-US"/>
        </w:rPr>
        <w:t>– SMD</w:t>
      </w:r>
      <w:r w:rsidRPr="00BA0373">
        <w:rPr>
          <w:rFonts w:ascii="Times New Roman" w:hAnsi="Times New Roman" w:cs="Times New Roman"/>
          <w:sz w:val="24"/>
          <w:szCs w:val="24"/>
          <w:vertAlign w:val="subscript"/>
          <w:lang w:val="en-US"/>
        </w:rPr>
        <w:t>Fix</w:t>
      </w:r>
      <w:r w:rsidRPr="00BA0373">
        <w:rPr>
          <w:rFonts w:ascii="Times New Roman" w:hAnsi="Times New Roman" w:cs="Times New Roman"/>
          <w:sz w:val="24"/>
          <w:szCs w:val="24"/>
          <w:lang w:val="en-US"/>
        </w:rPr>
        <w:t>) and the ratios of OR (ROR = OR</w:t>
      </w:r>
      <w:r w:rsidRPr="00BA0373">
        <w:rPr>
          <w:rFonts w:ascii="Times New Roman" w:hAnsi="Times New Roman" w:cs="Times New Roman"/>
          <w:sz w:val="24"/>
          <w:szCs w:val="24"/>
          <w:vertAlign w:val="subscript"/>
          <w:lang w:val="en-US"/>
        </w:rPr>
        <w:t>Flex</w:t>
      </w:r>
      <w:r w:rsidRPr="00BA0373">
        <w:rPr>
          <w:rFonts w:ascii="Times New Roman" w:hAnsi="Times New Roman" w:cs="Times New Roman"/>
          <w:sz w:val="24"/>
          <w:szCs w:val="24"/>
          <w:lang w:val="en-US"/>
        </w:rPr>
        <w:t>/OR</w:t>
      </w:r>
      <w:r w:rsidRPr="00BA0373">
        <w:rPr>
          <w:rFonts w:ascii="Times New Roman" w:hAnsi="Times New Roman" w:cs="Times New Roman"/>
          <w:sz w:val="24"/>
          <w:szCs w:val="24"/>
          <w:vertAlign w:val="subscript"/>
          <w:lang w:val="en-US"/>
        </w:rPr>
        <w:t>Fix</w:t>
      </w:r>
      <w:r w:rsidRPr="00BA0373">
        <w:rPr>
          <w:rFonts w:ascii="Times New Roman" w:hAnsi="Times New Roman" w:cs="Times New Roman"/>
          <w:sz w:val="24"/>
          <w:szCs w:val="24"/>
          <w:lang w:val="en-US"/>
        </w:rPr>
        <w:t>), with a DSMD &lt; 0 and a ROR &lt; 1 indicating superiority of the flexible-dose regimen over the fixed-dose one. For MPH, we repeated</w:t>
      </w:r>
      <w:r w:rsidR="00D23A5D">
        <w:rPr>
          <w:rFonts w:ascii="Times New Roman" w:hAnsi="Times New Roman" w:cs="Times New Roman"/>
          <w:sz w:val="24"/>
          <w:szCs w:val="24"/>
          <w:lang w:val="en-US"/>
        </w:rPr>
        <w:t xml:space="preserve"> the</w:t>
      </w:r>
      <w:r w:rsidRPr="00BA0373">
        <w:rPr>
          <w:rFonts w:ascii="Times New Roman" w:hAnsi="Times New Roman" w:cs="Times New Roman"/>
          <w:sz w:val="24"/>
          <w:szCs w:val="24"/>
          <w:lang w:val="en-US"/>
        </w:rPr>
        <w:t xml:space="preserve"> analyses considering the threshold for selection of fixed-dose and flexible-dose studies at 40 mg and 50 mg of MPH-</w:t>
      </w:r>
      <w:r w:rsidRPr="00BA0373">
        <w:rPr>
          <w:rFonts w:ascii="Times New Roman" w:hAnsi="Times New Roman" w:cs="Times New Roman"/>
          <w:sz w:val="24"/>
          <w:szCs w:val="24"/>
          <w:lang w:val="en-US"/>
        </w:rPr>
        <w:lastRenderedPageBreak/>
        <w:t xml:space="preserve">equivalents. For AMP, we repeated </w:t>
      </w:r>
      <w:r w:rsidR="00D23A5D">
        <w:rPr>
          <w:rFonts w:ascii="Times New Roman" w:hAnsi="Times New Roman" w:cs="Times New Roman"/>
          <w:sz w:val="24"/>
          <w:szCs w:val="24"/>
          <w:lang w:val="en-US"/>
        </w:rPr>
        <w:t xml:space="preserve">the </w:t>
      </w:r>
      <w:r w:rsidRPr="00BA0373">
        <w:rPr>
          <w:rFonts w:ascii="Times New Roman" w:hAnsi="Times New Roman" w:cs="Times New Roman"/>
          <w:sz w:val="24"/>
          <w:szCs w:val="24"/>
          <w:lang w:val="en-US"/>
        </w:rPr>
        <w:t xml:space="preserve">analyses considering the threshold for selection of fixed-dose and flexible-dose studies at 30 mg of AMP-equivalents. Data were pooled with random-effects models. For multi-arm studies (e.g., multiple fixed-dose levels of the same medication), we </w:t>
      </w:r>
      <w:r w:rsidR="00974BD4">
        <w:rPr>
          <w:rFonts w:ascii="Times New Roman" w:hAnsi="Times New Roman" w:cs="Times New Roman"/>
          <w:sz w:val="24"/>
          <w:szCs w:val="24"/>
          <w:lang w:val="en-US"/>
        </w:rPr>
        <w:t xml:space="preserve">combined </w:t>
      </w:r>
      <w:r w:rsidRPr="00BA0373">
        <w:rPr>
          <w:rFonts w:ascii="Times New Roman" w:hAnsi="Times New Roman" w:cs="Times New Roman"/>
          <w:sz w:val="24"/>
          <w:szCs w:val="24"/>
          <w:lang w:val="en-US"/>
        </w:rPr>
        <w:t xml:space="preserve">the number of participants in the </w:t>
      </w:r>
      <w:r w:rsidR="00974BD4">
        <w:rPr>
          <w:rFonts w:ascii="Times New Roman" w:hAnsi="Times New Roman" w:cs="Times New Roman"/>
          <w:sz w:val="24"/>
          <w:szCs w:val="24"/>
          <w:lang w:val="en-US"/>
        </w:rPr>
        <w:t>active</w:t>
      </w:r>
      <w:r w:rsidRPr="00BA0373">
        <w:rPr>
          <w:rFonts w:ascii="Times New Roman" w:hAnsi="Times New Roman" w:cs="Times New Roman"/>
          <w:sz w:val="24"/>
          <w:szCs w:val="24"/>
          <w:lang w:val="en-US"/>
        </w:rPr>
        <w:t xml:space="preserve"> arm appropriately to avoid double-counting them in summary effect-sizes [</w:t>
      </w:r>
      <w:r w:rsidR="004A02E7">
        <w:rPr>
          <w:rFonts w:ascii="Times New Roman" w:hAnsi="Times New Roman" w:cs="Times New Roman"/>
          <w:sz w:val="24"/>
          <w:szCs w:val="24"/>
          <w:lang w:val="en-US"/>
        </w:rPr>
        <w:t>5</w:t>
      </w:r>
      <w:r w:rsidR="0067766E">
        <w:rPr>
          <w:rFonts w:ascii="Times New Roman" w:hAnsi="Times New Roman" w:cs="Times New Roman"/>
          <w:sz w:val="24"/>
          <w:szCs w:val="24"/>
          <w:lang w:val="en-US"/>
        </w:rPr>
        <w:t>3</w:t>
      </w:r>
      <w:r w:rsidRPr="00BA0373">
        <w:rPr>
          <w:rFonts w:ascii="Times New Roman" w:hAnsi="Times New Roman" w:cs="Times New Roman"/>
          <w:sz w:val="24"/>
          <w:szCs w:val="24"/>
          <w:lang w:val="en-US"/>
        </w:rPr>
        <w:t xml:space="preserve">]. </w:t>
      </w:r>
      <w:r w:rsidR="00F60B40">
        <w:rPr>
          <w:rFonts w:ascii="Times New Roman" w:hAnsi="Times New Roman" w:cs="Times New Roman"/>
          <w:sz w:val="24"/>
          <w:szCs w:val="24"/>
          <w:lang w:val="en-US"/>
        </w:rPr>
        <w:t>Because the DSMD/ROR analyses were across trial</w:t>
      </w:r>
      <w:r w:rsidR="00D23A5D">
        <w:rPr>
          <w:rFonts w:ascii="Times New Roman" w:hAnsi="Times New Roman" w:cs="Times New Roman"/>
          <w:sz w:val="24"/>
          <w:szCs w:val="24"/>
          <w:lang w:val="en-US"/>
        </w:rPr>
        <w:t>s</w:t>
      </w:r>
      <w:r w:rsidR="00F60B40">
        <w:rPr>
          <w:rFonts w:ascii="Times New Roman" w:hAnsi="Times New Roman" w:cs="Times New Roman"/>
          <w:sz w:val="24"/>
          <w:szCs w:val="24"/>
          <w:lang w:val="en-US"/>
        </w:rPr>
        <w:t xml:space="preserve"> and therefore subject to confounding, we </w:t>
      </w:r>
      <w:r w:rsidR="004102D5">
        <w:rPr>
          <w:rFonts w:ascii="Times New Roman" w:hAnsi="Times New Roman" w:cs="Times New Roman"/>
          <w:sz w:val="24"/>
          <w:szCs w:val="24"/>
          <w:lang w:val="en-US"/>
        </w:rPr>
        <w:t xml:space="preserve">compared study-level characteristics of fixed-dose and flexible-dose trials for each compound and outcome separately and </w:t>
      </w:r>
      <w:r w:rsidR="00F60B40">
        <w:rPr>
          <w:rFonts w:ascii="Times New Roman" w:hAnsi="Times New Roman" w:cs="Times New Roman"/>
          <w:sz w:val="24"/>
          <w:szCs w:val="24"/>
          <w:lang w:val="en-US"/>
        </w:rPr>
        <w:t xml:space="preserve">re-ran analyses adjusting for </w:t>
      </w:r>
      <w:r w:rsidR="004102D5">
        <w:rPr>
          <w:rFonts w:ascii="Times New Roman" w:hAnsi="Times New Roman" w:cs="Times New Roman"/>
          <w:sz w:val="24"/>
          <w:szCs w:val="24"/>
          <w:lang w:val="en-US"/>
        </w:rPr>
        <w:t>covariates in meta-regression if a significant</w:t>
      </w:r>
      <w:r w:rsidR="00F60B40">
        <w:rPr>
          <w:rFonts w:ascii="Times New Roman" w:hAnsi="Times New Roman" w:cs="Times New Roman"/>
          <w:sz w:val="24"/>
          <w:szCs w:val="24"/>
          <w:lang w:val="en-US"/>
        </w:rPr>
        <w:t xml:space="preserve"> </w:t>
      </w:r>
      <w:r w:rsidR="00974BD4">
        <w:rPr>
          <w:rFonts w:ascii="Times New Roman" w:hAnsi="Times New Roman" w:cs="Times New Roman"/>
          <w:sz w:val="24"/>
          <w:szCs w:val="24"/>
          <w:lang w:val="en-US"/>
        </w:rPr>
        <w:t xml:space="preserve">imbalance </w:t>
      </w:r>
      <w:r w:rsidR="004102D5">
        <w:rPr>
          <w:rFonts w:ascii="Times New Roman" w:hAnsi="Times New Roman" w:cs="Times New Roman"/>
          <w:sz w:val="24"/>
          <w:szCs w:val="24"/>
          <w:lang w:val="en-US"/>
        </w:rPr>
        <w:t>was detected</w:t>
      </w:r>
      <w:r w:rsidR="0020272F">
        <w:rPr>
          <w:rFonts w:ascii="Times New Roman" w:hAnsi="Times New Roman" w:cs="Times New Roman"/>
          <w:sz w:val="24"/>
          <w:szCs w:val="24"/>
          <w:lang w:val="en-US"/>
        </w:rPr>
        <w:t xml:space="preserve"> </w:t>
      </w:r>
      <w:r w:rsidR="00F24920">
        <w:rPr>
          <w:rFonts w:ascii="Times New Roman" w:hAnsi="Times New Roman" w:cs="Times New Roman"/>
          <w:sz w:val="24"/>
          <w:szCs w:val="24"/>
          <w:lang w:val="en-US"/>
        </w:rPr>
        <w:t xml:space="preserve">in regression models </w:t>
      </w:r>
      <w:r w:rsidR="002711B4">
        <w:rPr>
          <w:rFonts w:ascii="Times New Roman" w:hAnsi="Times New Roman" w:cs="Times New Roman"/>
          <w:sz w:val="24"/>
          <w:szCs w:val="24"/>
          <w:lang w:val="en-US"/>
        </w:rPr>
        <w:t>[5</w:t>
      </w:r>
      <w:r w:rsidR="0067766E">
        <w:rPr>
          <w:rFonts w:ascii="Times New Roman" w:hAnsi="Times New Roman" w:cs="Times New Roman"/>
          <w:sz w:val="24"/>
          <w:szCs w:val="24"/>
          <w:lang w:val="en-US"/>
        </w:rPr>
        <w:t>2</w:t>
      </w:r>
      <w:r w:rsidR="002711B4">
        <w:rPr>
          <w:rFonts w:ascii="Times New Roman" w:hAnsi="Times New Roman" w:cs="Times New Roman"/>
          <w:sz w:val="24"/>
          <w:szCs w:val="24"/>
          <w:lang w:val="en-US"/>
        </w:rPr>
        <w:t>]</w:t>
      </w:r>
      <w:r w:rsidR="00F60B40">
        <w:rPr>
          <w:rFonts w:ascii="Times New Roman" w:hAnsi="Times New Roman" w:cs="Times New Roman"/>
          <w:sz w:val="24"/>
          <w:szCs w:val="24"/>
          <w:lang w:val="en-US"/>
        </w:rPr>
        <w:t xml:space="preserve">. </w:t>
      </w:r>
      <w:r w:rsidRPr="00BA0373">
        <w:rPr>
          <w:rFonts w:ascii="Times New Roman" w:hAnsi="Times New Roman" w:cs="Times New Roman"/>
          <w:sz w:val="24"/>
          <w:szCs w:val="24"/>
          <w:lang w:val="en-US"/>
        </w:rPr>
        <w:t>All analyses were performed in R with the package ‘meta’ [</w:t>
      </w:r>
      <w:r w:rsidR="004A02E7">
        <w:rPr>
          <w:rFonts w:ascii="Times New Roman" w:hAnsi="Times New Roman" w:cs="Times New Roman"/>
          <w:sz w:val="24"/>
          <w:szCs w:val="24"/>
          <w:lang w:val="en-US"/>
        </w:rPr>
        <w:t>5</w:t>
      </w:r>
      <w:r w:rsidR="0067766E">
        <w:rPr>
          <w:rFonts w:ascii="Times New Roman" w:hAnsi="Times New Roman" w:cs="Times New Roman"/>
          <w:sz w:val="24"/>
          <w:szCs w:val="24"/>
          <w:lang w:val="en-US"/>
        </w:rPr>
        <w:t>4</w:t>
      </w:r>
      <w:r w:rsidRPr="00BA0373">
        <w:rPr>
          <w:rFonts w:ascii="Times New Roman" w:hAnsi="Times New Roman" w:cs="Times New Roman"/>
          <w:sz w:val="24"/>
          <w:szCs w:val="24"/>
          <w:lang w:val="en-US"/>
        </w:rPr>
        <w:t>]. The significance threshold for analyses was set at p &lt; .05.</w:t>
      </w:r>
    </w:p>
    <w:p w14:paraId="6C0851F8" w14:textId="32F24D64" w:rsidR="00852C5F" w:rsidRDefault="00852C5F" w:rsidP="00852C5F">
      <w:pPr>
        <w:spacing w:before="12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Data and code availability</w:t>
      </w:r>
    </w:p>
    <w:p w14:paraId="380915CD" w14:textId="0FD9EDC9" w:rsidR="00852C5F" w:rsidRPr="004F785E" w:rsidRDefault="00852C5F" w:rsidP="00852C5F">
      <w:pPr>
        <w:spacing w:before="120" w:line="480" w:lineRule="auto"/>
        <w:rPr>
          <w:rFonts w:ascii="Times New Roman" w:hAnsi="Times New Roman" w:cs="Times New Roman"/>
          <w:color w:val="333333"/>
          <w:sz w:val="24"/>
          <w:szCs w:val="24"/>
          <w:shd w:val="clear" w:color="auto" w:fill="FFFFFF"/>
          <w:lang w:val="en-US"/>
        </w:rPr>
      </w:pPr>
      <w:r w:rsidRPr="004F785E">
        <w:rPr>
          <w:rFonts w:ascii="Times New Roman" w:hAnsi="Times New Roman" w:cs="Times New Roman"/>
          <w:sz w:val="24"/>
          <w:szCs w:val="24"/>
          <w:lang w:val="en-US"/>
        </w:rPr>
        <w:tab/>
        <w:t>Data and code are available at OSF (</w:t>
      </w:r>
      <w:r w:rsidR="004F785E" w:rsidRPr="004F785E">
        <w:rPr>
          <w:rFonts w:ascii="Times New Roman" w:hAnsi="Times New Roman" w:cs="Times New Roman"/>
          <w:sz w:val="24"/>
          <w:szCs w:val="24"/>
          <w:lang w:val="en-US"/>
        </w:rPr>
        <w:t>doi.org/10.17605/OSF.IO/XQZE7</w:t>
      </w:r>
      <w:r w:rsidRPr="004F785E">
        <w:rPr>
          <w:rFonts w:ascii="Times New Roman" w:hAnsi="Times New Roman" w:cs="Times New Roman"/>
          <w:sz w:val="24"/>
          <w:szCs w:val="24"/>
          <w:lang w:val="en-US"/>
        </w:rPr>
        <w:t>).</w:t>
      </w:r>
    </w:p>
    <w:p w14:paraId="000000DE" w14:textId="741054EA" w:rsidR="00252EC4" w:rsidRPr="00BA0373" w:rsidRDefault="003222AB" w:rsidP="00C45ACB">
      <w:pPr>
        <w:spacing w:before="360" w:line="480" w:lineRule="auto"/>
        <w:rPr>
          <w:rFonts w:ascii="Times New Roman" w:hAnsi="Times New Roman" w:cs="Times New Roman"/>
          <w:b/>
          <w:sz w:val="24"/>
          <w:szCs w:val="24"/>
          <w:lang w:val="en-US"/>
        </w:rPr>
      </w:pPr>
      <w:r w:rsidRPr="00BA0373">
        <w:rPr>
          <w:rFonts w:ascii="Times New Roman" w:hAnsi="Times New Roman" w:cs="Times New Roman"/>
          <w:b/>
          <w:sz w:val="24"/>
          <w:szCs w:val="24"/>
          <w:lang w:val="en-US"/>
        </w:rPr>
        <w:t>RESULTS</w:t>
      </w:r>
    </w:p>
    <w:p w14:paraId="000000DF" w14:textId="77777777" w:rsidR="00252EC4" w:rsidRPr="00BA0373" w:rsidRDefault="003222AB" w:rsidP="00C45ACB">
      <w:pPr>
        <w:spacing w:before="120" w:line="480" w:lineRule="auto"/>
        <w:ind w:firstLine="700"/>
        <w:rPr>
          <w:rFonts w:ascii="Times New Roman" w:hAnsi="Times New Roman" w:cs="Times New Roman"/>
          <w:sz w:val="24"/>
          <w:szCs w:val="24"/>
          <w:lang w:val="en-US"/>
        </w:rPr>
      </w:pPr>
      <w:r w:rsidRPr="00BA0373">
        <w:rPr>
          <w:rFonts w:ascii="Times New Roman" w:hAnsi="Times New Roman" w:cs="Times New Roman"/>
          <w:sz w:val="24"/>
          <w:szCs w:val="24"/>
          <w:lang w:val="en-US"/>
        </w:rPr>
        <w:t xml:space="preserve">Figure S1 illustrates the PRISMA flowchart of the search, and a list of excluded/included references was provided in Supplementary Results 1. Table 2 describes the 65 RCTs involving 7 877 children/adolescents which were included in the present meta-analysis. Table S1 describes a detailed RoB assessment for each study. For MPH, 57 RCTs involving 5 414 children/adolescents were included in the present meta-analysis. The mean age of the sample was 11 years (SD 3), 72% were boys and 76% self-identified as white. There were 157 treatment arms of which 121 (77%) were fixed-dose and 36 (23%) were flexible-dose. The RoB was classified at low for 17 RCTs (30%) and at high for 4 RCTs (7%). For AMP, 14 RCTs involving 2 855 children/adolescents were included in the present meta-analysis. The mean age of the sample was 12 (SD 3), 69% were boys and 74% self-identified as white. There were 42 treatment arms of which 34 (81%) were fixed-dose and 8 </w:t>
      </w:r>
      <w:r w:rsidRPr="00BA0373">
        <w:rPr>
          <w:rFonts w:ascii="Times New Roman" w:hAnsi="Times New Roman" w:cs="Times New Roman"/>
          <w:sz w:val="24"/>
          <w:szCs w:val="24"/>
          <w:lang w:val="en-US"/>
        </w:rPr>
        <w:lastRenderedPageBreak/>
        <w:t>(19%) were flexible-dose. The RoB was classified at low for 8 RCTs (57%) and at high for none.</w:t>
      </w:r>
    </w:p>
    <w:p w14:paraId="000000E0" w14:textId="77073834" w:rsidR="00252EC4" w:rsidRPr="00BA0373" w:rsidRDefault="003222AB" w:rsidP="00C45ACB">
      <w:pPr>
        <w:spacing w:before="120" w:line="480" w:lineRule="auto"/>
        <w:ind w:firstLine="700"/>
        <w:rPr>
          <w:rFonts w:ascii="Times New Roman" w:hAnsi="Times New Roman" w:cs="Times New Roman"/>
          <w:sz w:val="24"/>
          <w:szCs w:val="24"/>
          <w:lang w:val="en-US"/>
        </w:rPr>
      </w:pPr>
      <w:r w:rsidRPr="00BA0373">
        <w:rPr>
          <w:rFonts w:ascii="Times New Roman" w:hAnsi="Times New Roman" w:cs="Times New Roman"/>
          <w:sz w:val="24"/>
          <w:szCs w:val="24"/>
          <w:lang w:val="en-US"/>
        </w:rPr>
        <w:t>Figure 1 illustrates the best-fitting dose-response curves for MPH-equivalents (panels A to C) and AMP-equivalents (panels D to F) for fixed-dose (solid, blue) and flexible-dose (dashed, red) studies</w:t>
      </w:r>
      <w:r w:rsidR="00871244">
        <w:rPr>
          <w:rFonts w:ascii="Times New Roman" w:hAnsi="Times New Roman" w:cs="Times New Roman"/>
          <w:sz w:val="24"/>
          <w:szCs w:val="24"/>
          <w:lang w:val="en-US"/>
        </w:rPr>
        <w:t>;</w:t>
      </w:r>
      <w:r w:rsidRPr="00BA0373">
        <w:rPr>
          <w:rFonts w:ascii="Times New Roman" w:hAnsi="Times New Roman" w:cs="Times New Roman"/>
          <w:sz w:val="24"/>
          <w:szCs w:val="24"/>
          <w:lang w:val="en-US"/>
        </w:rPr>
        <w:t xml:space="preserve"> Table S2 describes the goodness-of-fit measures which were used to guide selection of the optimal dose-response trend for each outcome</w:t>
      </w:r>
      <w:r w:rsidR="0039609D">
        <w:rPr>
          <w:rFonts w:ascii="Times New Roman" w:hAnsi="Times New Roman" w:cs="Times New Roman"/>
          <w:sz w:val="24"/>
          <w:szCs w:val="24"/>
          <w:lang w:val="en-US"/>
        </w:rPr>
        <w:t>;</w:t>
      </w:r>
      <w:r w:rsidRPr="00BA0373">
        <w:rPr>
          <w:rFonts w:ascii="Times New Roman" w:hAnsi="Times New Roman" w:cs="Times New Roman"/>
          <w:sz w:val="24"/>
          <w:szCs w:val="24"/>
          <w:lang w:val="en-US"/>
        </w:rPr>
        <w:t xml:space="preserve"> Figure S2 illustrates the splines with knots at the 25</w:t>
      </w:r>
      <w:r w:rsidRPr="00BA0373">
        <w:rPr>
          <w:rFonts w:ascii="Times New Roman" w:hAnsi="Times New Roman" w:cs="Times New Roman"/>
          <w:sz w:val="24"/>
          <w:szCs w:val="24"/>
          <w:vertAlign w:val="superscript"/>
          <w:lang w:val="en-US"/>
        </w:rPr>
        <w:t>th</w:t>
      </w:r>
      <w:r w:rsidRPr="00BA0373">
        <w:rPr>
          <w:rFonts w:ascii="Times New Roman" w:hAnsi="Times New Roman" w:cs="Times New Roman"/>
          <w:sz w:val="24"/>
          <w:szCs w:val="24"/>
          <w:lang w:val="en-US"/>
        </w:rPr>
        <w:t>, 50</w:t>
      </w:r>
      <w:r w:rsidRPr="00BA0373">
        <w:rPr>
          <w:rFonts w:ascii="Times New Roman" w:hAnsi="Times New Roman" w:cs="Times New Roman"/>
          <w:sz w:val="24"/>
          <w:szCs w:val="24"/>
          <w:vertAlign w:val="superscript"/>
          <w:lang w:val="en-US"/>
        </w:rPr>
        <w:t>th</w:t>
      </w:r>
      <w:r w:rsidRPr="00BA0373">
        <w:rPr>
          <w:rFonts w:ascii="Times New Roman" w:hAnsi="Times New Roman" w:cs="Times New Roman"/>
          <w:sz w:val="24"/>
          <w:szCs w:val="24"/>
          <w:lang w:val="en-US"/>
        </w:rPr>
        <w:t xml:space="preserve"> and 75</w:t>
      </w:r>
      <w:r w:rsidRPr="00BA0373">
        <w:rPr>
          <w:rFonts w:ascii="Times New Roman" w:hAnsi="Times New Roman" w:cs="Times New Roman"/>
          <w:sz w:val="24"/>
          <w:szCs w:val="24"/>
          <w:vertAlign w:val="superscript"/>
          <w:lang w:val="en-US"/>
        </w:rPr>
        <w:t>th</w:t>
      </w:r>
      <w:r w:rsidRPr="00BA0373">
        <w:rPr>
          <w:rFonts w:ascii="Times New Roman" w:hAnsi="Times New Roman" w:cs="Times New Roman"/>
          <w:sz w:val="24"/>
          <w:szCs w:val="24"/>
          <w:lang w:val="en-US"/>
        </w:rPr>
        <w:t xml:space="preserve"> percentile when the spline was found the best-fitting model</w:t>
      </w:r>
      <w:r w:rsidR="00F42775">
        <w:rPr>
          <w:rFonts w:ascii="Times New Roman" w:hAnsi="Times New Roman" w:cs="Times New Roman"/>
          <w:sz w:val="24"/>
          <w:szCs w:val="24"/>
          <w:lang w:val="en-US"/>
        </w:rPr>
        <w:t>;</w:t>
      </w:r>
      <w:r w:rsidRPr="00BA0373">
        <w:rPr>
          <w:rFonts w:ascii="Times New Roman" w:hAnsi="Times New Roman" w:cs="Times New Roman"/>
          <w:sz w:val="24"/>
          <w:szCs w:val="24"/>
          <w:lang w:val="en-US"/>
        </w:rPr>
        <w:t xml:space="preserve"> Table S3 describes point SMD and RR with 95% CI for every 10 mg of MPH-equivalents and AMP-equivalents for each outcome</w:t>
      </w:r>
      <w:r w:rsidR="00974BD4">
        <w:rPr>
          <w:rFonts w:ascii="Times New Roman" w:hAnsi="Times New Roman" w:cs="Times New Roman"/>
          <w:sz w:val="24"/>
          <w:szCs w:val="24"/>
          <w:lang w:val="en-US"/>
        </w:rPr>
        <w:t>.</w:t>
      </w:r>
    </w:p>
    <w:p w14:paraId="000000E1" w14:textId="6B4EA200" w:rsidR="00252EC4" w:rsidRDefault="003222AB" w:rsidP="00C45ACB">
      <w:pPr>
        <w:spacing w:before="120" w:line="480" w:lineRule="auto"/>
        <w:ind w:firstLine="700"/>
        <w:rPr>
          <w:rFonts w:ascii="Times New Roman" w:eastAsia="Arial Unicode MS" w:hAnsi="Times New Roman" w:cs="Times New Roman"/>
          <w:sz w:val="24"/>
          <w:szCs w:val="24"/>
          <w:lang w:val="en-US"/>
        </w:rPr>
      </w:pPr>
      <w:r w:rsidRPr="00BA0373">
        <w:rPr>
          <w:rFonts w:ascii="Times New Roman" w:eastAsia="Arial Unicode MS" w:hAnsi="Times New Roman" w:cs="Times New Roman"/>
          <w:sz w:val="24"/>
          <w:szCs w:val="24"/>
          <w:lang w:val="en-US"/>
        </w:rPr>
        <w:t xml:space="preserve">For MPH, meta-analyses demonstrated a significant dose-response association between MPH-equivalents and efficacy in fixed-dose (Chi-square = </w:t>
      </w:r>
      <w:r w:rsidR="00E46284">
        <w:rPr>
          <w:rFonts w:ascii="Times New Roman" w:eastAsia="Arial Unicode MS" w:hAnsi="Times New Roman" w:cs="Times New Roman"/>
          <w:sz w:val="24"/>
          <w:szCs w:val="24"/>
          <w:lang w:val="en-US"/>
        </w:rPr>
        <w:t>206</w:t>
      </w:r>
      <w:r w:rsidR="00E46284" w:rsidRPr="00BA0373">
        <w:rPr>
          <w:rFonts w:ascii="Times New Roman" w:eastAsia="Arial Unicode MS" w:hAnsi="Times New Roman" w:cs="Times New Roman"/>
          <w:sz w:val="24"/>
          <w:szCs w:val="24"/>
          <w:lang w:val="en-US"/>
        </w:rPr>
        <w:t>.</w:t>
      </w:r>
      <w:r w:rsidR="00E46284">
        <w:rPr>
          <w:rFonts w:ascii="Times New Roman" w:eastAsia="Arial Unicode MS" w:hAnsi="Times New Roman" w:cs="Times New Roman"/>
          <w:sz w:val="24"/>
          <w:szCs w:val="24"/>
          <w:lang w:val="en-US"/>
        </w:rPr>
        <w:t>48</w:t>
      </w:r>
      <w:r w:rsidRPr="00BA0373">
        <w:rPr>
          <w:rFonts w:ascii="Times New Roman" w:eastAsia="Arial Unicode MS" w:hAnsi="Times New Roman" w:cs="Times New Roman"/>
          <w:sz w:val="24"/>
          <w:szCs w:val="24"/>
          <w:lang w:val="en-US"/>
        </w:rPr>
        <w:t xml:space="preserve">, p &lt; .0001) and flexible-dose (Chi-square = </w:t>
      </w:r>
      <w:r w:rsidR="00E46284">
        <w:rPr>
          <w:rFonts w:ascii="Times New Roman" w:eastAsia="Arial Unicode MS" w:hAnsi="Times New Roman" w:cs="Times New Roman"/>
          <w:sz w:val="24"/>
          <w:szCs w:val="24"/>
          <w:lang w:val="en-US"/>
        </w:rPr>
        <w:t>257.36</w:t>
      </w:r>
      <w:r w:rsidRPr="00BA0373">
        <w:rPr>
          <w:rFonts w:ascii="Times New Roman" w:eastAsia="Arial Unicode MS" w:hAnsi="Times New Roman" w:cs="Times New Roman"/>
          <w:sz w:val="24"/>
          <w:szCs w:val="24"/>
          <w:lang w:val="en-US"/>
        </w:rPr>
        <w:t>, p &lt; .0001) studies (Figure 2A). In a fixed-dose regimen, the curve demonstrated incrementally less additional improvements in SMD beyond 30 mg of MPH-equivalents. In a flexible-dose regimen, the curve demonstrated constant increments of 0.18 (95% CI 0.16, 0.20) in SMD for every 10 mg increase in doses of MPH-equivalents across the entire FDA-licensed dose range. Meta-analyses also demonstrated a significant dose-response association between MPH-equivalents and tolerability in fixed-dose (Chi-square = 8.6</w:t>
      </w:r>
      <w:r w:rsidR="00075F7C">
        <w:rPr>
          <w:rFonts w:ascii="Times New Roman" w:eastAsia="Arial Unicode MS" w:hAnsi="Times New Roman" w:cs="Times New Roman"/>
          <w:sz w:val="24"/>
          <w:szCs w:val="24"/>
          <w:lang w:val="en-US"/>
        </w:rPr>
        <w:t>1</w:t>
      </w:r>
      <w:r w:rsidRPr="00BA0373">
        <w:rPr>
          <w:rFonts w:ascii="Times New Roman" w:eastAsia="Arial Unicode MS" w:hAnsi="Times New Roman" w:cs="Times New Roman"/>
          <w:sz w:val="24"/>
          <w:szCs w:val="24"/>
          <w:lang w:val="en-US"/>
        </w:rPr>
        <w:t>, p = .003), but not in flexible-dose (Chi-square = 0.08, p = .77), studies (Figure 2B). In a fixed-dose regimen, there were constant increments of 3.</w:t>
      </w:r>
      <w:r w:rsidR="00075F7C">
        <w:rPr>
          <w:rFonts w:ascii="Times New Roman" w:eastAsia="Arial Unicode MS" w:hAnsi="Times New Roman" w:cs="Times New Roman"/>
          <w:sz w:val="24"/>
          <w:szCs w:val="24"/>
          <w:lang w:val="en-US"/>
        </w:rPr>
        <w:t>59</w:t>
      </w:r>
      <w:r w:rsidRPr="00BA0373">
        <w:rPr>
          <w:rFonts w:ascii="Times New Roman" w:eastAsia="Arial Unicode MS" w:hAnsi="Times New Roman" w:cs="Times New Roman"/>
          <w:sz w:val="24"/>
          <w:szCs w:val="24"/>
          <w:lang w:val="en-US"/>
        </w:rPr>
        <w:t>% (95% CI 1.1</w:t>
      </w:r>
      <w:r w:rsidR="00075F7C">
        <w:rPr>
          <w:rFonts w:ascii="Times New Roman" w:eastAsia="Arial Unicode MS" w:hAnsi="Times New Roman" w:cs="Times New Roman"/>
          <w:sz w:val="24"/>
          <w:szCs w:val="24"/>
          <w:lang w:val="en-US"/>
        </w:rPr>
        <w:t>8</w:t>
      </w:r>
      <w:r w:rsidRPr="00BA0373">
        <w:rPr>
          <w:rFonts w:ascii="Times New Roman" w:eastAsia="Arial Unicode MS" w:hAnsi="Times New Roman" w:cs="Times New Roman"/>
          <w:sz w:val="24"/>
          <w:szCs w:val="24"/>
          <w:lang w:val="en-US"/>
        </w:rPr>
        <w:t xml:space="preserve">%, 6.07%) on an exponential scale in the risk of discontinuing treatment due to AEs for every 1 mg increase in doses of MPH-equivalents across the entire FDA-licensed dose range. Lastly, meta-analyses demonstrated a significant dose-response association between MPH-equivalents and acceptability in flexible-dose (Chi-square = 14.25, p = .0002), but not in fixed-dose (Chi-square = 0, p = .98), studies (Figure 2C). In a flexible-dose regimen, there were constant decrements of −0.97% (95% CI −1.48%, −0.47%) on an exponential scale in </w:t>
      </w:r>
      <w:r w:rsidRPr="00BA0373">
        <w:rPr>
          <w:rFonts w:ascii="Times New Roman" w:eastAsia="Arial Unicode MS" w:hAnsi="Times New Roman" w:cs="Times New Roman"/>
          <w:sz w:val="24"/>
          <w:szCs w:val="24"/>
          <w:lang w:val="en-US"/>
        </w:rPr>
        <w:lastRenderedPageBreak/>
        <w:t>the risk of discontinuing treatment for any reason for every 1 mg increase in doses of MPH-equivalents across the entire FDA-licensed dose range.</w:t>
      </w:r>
    </w:p>
    <w:p w14:paraId="42A9CB4B" w14:textId="764ACE70" w:rsidR="00446F13" w:rsidRPr="00446F13" w:rsidRDefault="00446F13" w:rsidP="00446F13">
      <w:pPr>
        <w:spacing w:before="120" w:line="480" w:lineRule="auto"/>
        <w:ind w:firstLine="700"/>
        <w:rPr>
          <w:rFonts w:ascii="Times New Roman" w:hAnsi="Times New Roman" w:cs="Times New Roman"/>
          <w:sz w:val="24"/>
          <w:szCs w:val="24"/>
          <w:lang w:val="en-US"/>
        </w:rPr>
      </w:pPr>
      <w:r w:rsidRPr="00BA0373">
        <w:rPr>
          <w:rFonts w:ascii="Times New Roman" w:eastAsia="Arial Unicode MS" w:hAnsi="Times New Roman" w:cs="Times New Roman"/>
          <w:sz w:val="24"/>
          <w:szCs w:val="24"/>
          <w:lang w:val="en-US"/>
        </w:rPr>
        <w:t>Pairwise meta-analyses corroborated the findings from the dose-response meta-analyses</w:t>
      </w:r>
      <w:r>
        <w:rPr>
          <w:rFonts w:ascii="Times New Roman" w:hAnsi="Times New Roman" w:cs="Times New Roman"/>
          <w:sz w:val="24"/>
          <w:szCs w:val="24"/>
          <w:lang w:val="en-US"/>
        </w:rPr>
        <w:t xml:space="preserve">. </w:t>
      </w:r>
      <w:r w:rsidRPr="00BA0373">
        <w:rPr>
          <w:rFonts w:ascii="Times New Roman" w:hAnsi="Times New Roman" w:cs="Times New Roman"/>
          <w:sz w:val="24"/>
          <w:szCs w:val="24"/>
          <w:lang w:val="en-US"/>
        </w:rPr>
        <w:t>Figure 2 illustrates the DSMDs and RORs for each outcome for MPH.</w:t>
      </w:r>
      <w:r>
        <w:rPr>
          <w:rFonts w:ascii="Times New Roman" w:hAnsi="Times New Roman" w:cs="Times New Roman"/>
          <w:sz w:val="24"/>
          <w:szCs w:val="24"/>
          <w:lang w:val="en-US"/>
        </w:rPr>
        <w:t xml:space="preserve"> Meta-analyses demonstrated </w:t>
      </w:r>
      <w:r w:rsidRPr="00BA0373">
        <w:rPr>
          <w:rFonts w:ascii="Times New Roman" w:eastAsia="Arial Unicode MS" w:hAnsi="Times New Roman" w:cs="Times New Roman"/>
          <w:sz w:val="24"/>
          <w:szCs w:val="24"/>
          <w:lang w:val="en-US"/>
        </w:rPr>
        <w:t>greater change in ADHD symptoms with flexible</w:t>
      </w:r>
      <w:r w:rsidR="003E6671">
        <w:rPr>
          <w:rFonts w:ascii="Times New Roman" w:eastAsia="Arial Unicode MS" w:hAnsi="Times New Roman" w:cs="Times New Roman"/>
          <w:sz w:val="24"/>
          <w:szCs w:val="24"/>
          <w:lang w:val="en-US"/>
        </w:rPr>
        <w:t xml:space="preserve"> t</w:t>
      </w:r>
      <w:r w:rsidRPr="00BA0373">
        <w:rPr>
          <w:rFonts w:ascii="Times New Roman" w:eastAsia="Arial Unicode MS" w:hAnsi="Times New Roman" w:cs="Times New Roman"/>
          <w:sz w:val="24"/>
          <w:szCs w:val="24"/>
          <w:lang w:val="en-US"/>
        </w:rPr>
        <w:t>itration beyond 30 mg (DSMD = -0.22; 95% CI −0.34, −0.10; p = .0003), 40 mg (DSMD = −0.2</w:t>
      </w:r>
      <w:r w:rsidR="003E6671">
        <w:rPr>
          <w:rFonts w:ascii="Times New Roman" w:eastAsia="Arial Unicode MS" w:hAnsi="Times New Roman" w:cs="Times New Roman"/>
          <w:sz w:val="24"/>
          <w:szCs w:val="24"/>
          <w:lang w:val="en-US"/>
        </w:rPr>
        <w:t>1</w:t>
      </w:r>
      <w:r w:rsidRPr="00BA0373">
        <w:rPr>
          <w:rFonts w:ascii="Times New Roman" w:eastAsia="Arial Unicode MS" w:hAnsi="Times New Roman" w:cs="Times New Roman"/>
          <w:sz w:val="24"/>
          <w:szCs w:val="24"/>
          <w:lang w:val="en-US"/>
        </w:rPr>
        <w:t>; 95% CI −0.3</w:t>
      </w:r>
      <w:r w:rsidR="003E6671">
        <w:rPr>
          <w:rFonts w:ascii="Times New Roman" w:eastAsia="Arial Unicode MS" w:hAnsi="Times New Roman" w:cs="Times New Roman"/>
          <w:sz w:val="24"/>
          <w:szCs w:val="24"/>
          <w:lang w:val="en-US"/>
        </w:rPr>
        <w:t>4</w:t>
      </w:r>
      <w:r w:rsidRPr="00BA0373">
        <w:rPr>
          <w:rFonts w:ascii="Times New Roman" w:eastAsia="Arial Unicode MS" w:hAnsi="Times New Roman" w:cs="Times New Roman"/>
          <w:sz w:val="24"/>
          <w:szCs w:val="24"/>
          <w:lang w:val="en-US"/>
        </w:rPr>
        <w:t>, −0.0</w:t>
      </w:r>
      <w:r>
        <w:rPr>
          <w:rFonts w:ascii="Times New Roman" w:eastAsia="Arial Unicode MS" w:hAnsi="Times New Roman" w:cs="Times New Roman"/>
          <w:sz w:val="24"/>
          <w:szCs w:val="24"/>
          <w:lang w:val="en-US"/>
        </w:rPr>
        <w:t>9</w:t>
      </w:r>
      <w:r w:rsidRPr="00BA0373">
        <w:rPr>
          <w:rFonts w:ascii="Times New Roman" w:eastAsia="Arial Unicode MS" w:hAnsi="Times New Roman" w:cs="Times New Roman"/>
          <w:sz w:val="24"/>
          <w:szCs w:val="24"/>
          <w:lang w:val="en-US"/>
        </w:rPr>
        <w:t>; p = .0007) and 50 mg (DSMD = −0.</w:t>
      </w:r>
      <w:r w:rsidR="003E6671">
        <w:rPr>
          <w:rFonts w:ascii="Times New Roman" w:eastAsia="Arial Unicode MS" w:hAnsi="Times New Roman" w:cs="Times New Roman"/>
          <w:sz w:val="24"/>
          <w:szCs w:val="24"/>
          <w:lang w:val="en-US"/>
        </w:rPr>
        <w:t>2</w:t>
      </w:r>
      <w:r w:rsidRPr="00BA0373">
        <w:rPr>
          <w:rFonts w:ascii="Times New Roman" w:eastAsia="Arial Unicode MS" w:hAnsi="Times New Roman" w:cs="Times New Roman"/>
          <w:sz w:val="24"/>
          <w:szCs w:val="24"/>
          <w:lang w:val="en-US"/>
        </w:rPr>
        <w:t>1; 95% CI −0.</w:t>
      </w:r>
      <w:r w:rsidR="003E6671">
        <w:rPr>
          <w:rFonts w:ascii="Times New Roman" w:eastAsia="Arial Unicode MS" w:hAnsi="Times New Roman" w:cs="Times New Roman"/>
          <w:sz w:val="24"/>
          <w:szCs w:val="24"/>
          <w:lang w:val="en-US"/>
        </w:rPr>
        <w:t>34</w:t>
      </w:r>
      <w:r w:rsidRPr="00BA0373">
        <w:rPr>
          <w:rFonts w:ascii="Times New Roman" w:eastAsia="Arial Unicode MS" w:hAnsi="Times New Roman" w:cs="Times New Roman"/>
          <w:sz w:val="24"/>
          <w:szCs w:val="24"/>
          <w:lang w:val="en-US"/>
        </w:rPr>
        <w:t>, −0.0</w:t>
      </w:r>
      <w:r w:rsidR="003E6671">
        <w:rPr>
          <w:rFonts w:ascii="Times New Roman" w:eastAsia="Arial Unicode MS" w:hAnsi="Times New Roman" w:cs="Times New Roman"/>
          <w:sz w:val="24"/>
          <w:szCs w:val="24"/>
          <w:lang w:val="en-US"/>
        </w:rPr>
        <w:t>8</w:t>
      </w:r>
      <w:r w:rsidRPr="00BA0373">
        <w:rPr>
          <w:rFonts w:ascii="Times New Roman" w:eastAsia="Arial Unicode MS" w:hAnsi="Times New Roman" w:cs="Times New Roman"/>
          <w:sz w:val="24"/>
          <w:szCs w:val="24"/>
          <w:lang w:val="en-US"/>
        </w:rPr>
        <w:t>; p = .00</w:t>
      </w:r>
      <w:r>
        <w:rPr>
          <w:rFonts w:ascii="Times New Roman" w:eastAsia="Arial Unicode MS" w:hAnsi="Times New Roman" w:cs="Times New Roman"/>
          <w:sz w:val="24"/>
          <w:szCs w:val="24"/>
          <w:lang w:val="en-US"/>
        </w:rPr>
        <w:t>2</w:t>
      </w:r>
      <w:r w:rsidRPr="00BA0373">
        <w:rPr>
          <w:rFonts w:ascii="Times New Roman" w:eastAsia="Arial Unicode MS" w:hAnsi="Times New Roman" w:cs="Times New Roman"/>
          <w:sz w:val="24"/>
          <w:szCs w:val="24"/>
          <w:lang w:val="en-US"/>
        </w:rPr>
        <w:t>) of MPH-equivalents in comparison to lower fixed</w:t>
      </w:r>
      <w:r w:rsidR="003E6671">
        <w:rPr>
          <w:rFonts w:ascii="Times New Roman" w:eastAsia="Arial Unicode MS" w:hAnsi="Times New Roman" w:cs="Times New Roman"/>
          <w:sz w:val="24"/>
          <w:szCs w:val="24"/>
          <w:lang w:val="en-US"/>
        </w:rPr>
        <w:t xml:space="preserve"> </w:t>
      </w:r>
      <w:r w:rsidRPr="00BA0373">
        <w:rPr>
          <w:rFonts w:ascii="Times New Roman" w:eastAsia="Arial Unicode MS" w:hAnsi="Times New Roman" w:cs="Times New Roman"/>
          <w:sz w:val="24"/>
          <w:szCs w:val="24"/>
          <w:lang w:val="en-US"/>
        </w:rPr>
        <w:t>doses; decreased risk of dropouts due to AE with flexibl</w:t>
      </w:r>
      <w:r w:rsidR="003E6671">
        <w:rPr>
          <w:rFonts w:ascii="Times New Roman" w:eastAsia="Arial Unicode MS" w:hAnsi="Times New Roman" w:cs="Times New Roman"/>
          <w:sz w:val="24"/>
          <w:szCs w:val="24"/>
          <w:lang w:val="en-US"/>
        </w:rPr>
        <w:t xml:space="preserve">e </w:t>
      </w:r>
      <w:r w:rsidRPr="00BA0373">
        <w:rPr>
          <w:rFonts w:ascii="Times New Roman" w:eastAsia="Arial Unicode MS" w:hAnsi="Times New Roman" w:cs="Times New Roman"/>
          <w:sz w:val="24"/>
          <w:szCs w:val="24"/>
          <w:lang w:val="en-US"/>
        </w:rPr>
        <w:t>titration beyond 30 mg (ROR = 0.</w:t>
      </w:r>
      <w:r w:rsidR="003E6671">
        <w:rPr>
          <w:rFonts w:ascii="Times New Roman" w:eastAsia="Arial Unicode MS" w:hAnsi="Times New Roman" w:cs="Times New Roman"/>
          <w:sz w:val="24"/>
          <w:szCs w:val="24"/>
          <w:lang w:val="en-US"/>
        </w:rPr>
        <w:t>3</w:t>
      </w:r>
      <w:r w:rsidRPr="00BA0373">
        <w:rPr>
          <w:rFonts w:ascii="Times New Roman" w:eastAsia="Arial Unicode MS" w:hAnsi="Times New Roman" w:cs="Times New Roman"/>
          <w:sz w:val="24"/>
          <w:szCs w:val="24"/>
          <w:lang w:val="en-US"/>
        </w:rPr>
        <w:t>4; 95% CI 0.1</w:t>
      </w:r>
      <w:r w:rsidR="003E6671">
        <w:rPr>
          <w:rFonts w:ascii="Times New Roman" w:eastAsia="Arial Unicode MS" w:hAnsi="Times New Roman" w:cs="Times New Roman"/>
          <w:sz w:val="24"/>
          <w:szCs w:val="24"/>
          <w:lang w:val="en-US"/>
        </w:rPr>
        <w:t>5</w:t>
      </w:r>
      <w:r w:rsidRPr="00BA0373">
        <w:rPr>
          <w:rFonts w:ascii="Times New Roman" w:eastAsia="Arial Unicode MS" w:hAnsi="Times New Roman" w:cs="Times New Roman"/>
          <w:sz w:val="24"/>
          <w:szCs w:val="24"/>
          <w:lang w:val="en-US"/>
        </w:rPr>
        <w:t>, 0.</w:t>
      </w:r>
      <w:r w:rsidR="003E6671">
        <w:rPr>
          <w:rFonts w:ascii="Times New Roman" w:eastAsia="Arial Unicode MS" w:hAnsi="Times New Roman" w:cs="Times New Roman"/>
          <w:sz w:val="24"/>
          <w:szCs w:val="24"/>
          <w:lang w:val="en-US"/>
        </w:rPr>
        <w:t>7</w:t>
      </w:r>
      <w:r w:rsidRPr="00BA0373">
        <w:rPr>
          <w:rFonts w:ascii="Times New Roman" w:eastAsia="Arial Unicode MS" w:hAnsi="Times New Roman" w:cs="Times New Roman"/>
          <w:sz w:val="24"/>
          <w:szCs w:val="24"/>
          <w:lang w:val="en-US"/>
        </w:rPr>
        <w:t>9; p = .03) and 40 mg (ROR = 0.3</w:t>
      </w:r>
      <w:r w:rsidR="003E6671">
        <w:rPr>
          <w:rFonts w:ascii="Times New Roman" w:eastAsia="Arial Unicode MS" w:hAnsi="Times New Roman" w:cs="Times New Roman"/>
          <w:sz w:val="24"/>
          <w:szCs w:val="24"/>
          <w:lang w:val="en-US"/>
        </w:rPr>
        <w:t>3</w:t>
      </w:r>
      <w:r w:rsidRPr="00BA0373">
        <w:rPr>
          <w:rFonts w:ascii="Times New Roman" w:eastAsia="Arial Unicode MS" w:hAnsi="Times New Roman" w:cs="Times New Roman"/>
          <w:sz w:val="24"/>
          <w:szCs w:val="24"/>
          <w:lang w:val="en-US"/>
        </w:rPr>
        <w:t>; 95% CI 0.1</w:t>
      </w:r>
      <w:r w:rsidR="003E6671">
        <w:rPr>
          <w:rFonts w:ascii="Times New Roman" w:eastAsia="Arial Unicode MS" w:hAnsi="Times New Roman" w:cs="Times New Roman"/>
          <w:sz w:val="24"/>
          <w:szCs w:val="24"/>
          <w:lang w:val="en-US"/>
        </w:rPr>
        <w:t>3</w:t>
      </w:r>
      <w:r w:rsidRPr="00BA0373">
        <w:rPr>
          <w:rFonts w:ascii="Times New Roman" w:eastAsia="Arial Unicode MS" w:hAnsi="Times New Roman" w:cs="Times New Roman"/>
          <w:sz w:val="24"/>
          <w:szCs w:val="24"/>
          <w:lang w:val="en-US"/>
        </w:rPr>
        <w:t>, 0.</w:t>
      </w:r>
      <w:r w:rsidR="003E6671">
        <w:rPr>
          <w:rFonts w:ascii="Times New Roman" w:eastAsia="Arial Unicode MS" w:hAnsi="Times New Roman" w:cs="Times New Roman"/>
          <w:sz w:val="24"/>
          <w:szCs w:val="24"/>
          <w:lang w:val="en-US"/>
        </w:rPr>
        <w:t>86</w:t>
      </w:r>
      <w:r>
        <w:rPr>
          <w:rFonts w:ascii="Times New Roman" w:eastAsia="Arial Unicode MS" w:hAnsi="Times New Roman" w:cs="Times New Roman"/>
          <w:sz w:val="24"/>
          <w:szCs w:val="24"/>
          <w:lang w:val="en-US"/>
        </w:rPr>
        <w:t>,</w:t>
      </w:r>
      <w:r w:rsidRPr="00BA0373">
        <w:rPr>
          <w:rFonts w:ascii="Times New Roman" w:eastAsia="Arial Unicode MS" w:hAnsi="Times New Roman" w:cs="Times New Roman"/>
          <w:sz w:val="24"/>
          <w:szCs w:val="24"/>
          <w:lang w:val="en-US"/>
        </w:rPr>
        <w:t xml:space="preserve"> p = .03), but not 50 mg (ROR = 0.4</w:t>
      </w:r>
      <w:r w:rsidR="003E6671">
        <w:rPr>
          <w:rFonts w:ascii="Times New Roman" w:eastAsia="Arial Unicode MS" w:hAnsi="Times New Roman" w:cs="Times New Roman"/>
          <w:sz w:val="24"/>
          <w:szCs w:val="24"/>
          <w:lang w:val="en-US"/>
        </w:rPr>
        <w:t>0</w:t>
      </w:r>
      <w:r w:rsidRPr="00BA0373">
        <w:rPr>
          <w:rFonts w:ascii="Times New Roman" w:eastAsia="Arial Unicode MS" w:hAnsi="Times New Roman" w:cs="Times New Roman"/>
          <w:sz w:val="24"/>
          <w:szCs w:val="24"/>
          <w:lang w:val="en-US"/>
        </w:rPr>
        <w:t>; 95% CI 0.1</w:t>
      </w:r>
      <w:r w:rsidR="003E6671">
        <w:rPr>
          <w:rFonts w:ascii="Times New Roman" w:eastAsia="Arial Unicode MS" w:hAnsi="Times New Roman" w:cs="Times New Roman"/>
          <w:sz w:val="24"/>
          <w:szCs w:val="24"/>
          <w:lang w:val="en-US"/>
        </w:rPr>
        <w:t>2</w:t>
      </w:r>
      <w:r w:rsidRPr="00BA0373">
        <w:rPr>
          <w:rFonts w:ascii="Times New Roman" w:eastAsia="Arial Unicode MS" w:hAnsi="Times New Roman" w:cs="Times New Roman"/>
          <w:sz w:val="24"/>
          <w:szCs w:val="24"/>
          <w:lang w:val="en-US"/>
        </w:rPr>
        <w:t>, 1.</w:t>
      </w:r>
      <w:r w:rsidR="003E6671">
        <w:rPr>
          <w:rFonts w:ascii="Times New Roman" w:eastAsia="Arial Unicode MS" w:hAnsi="Times New Roman" w:cs="Times New Roman"/>
          <w:sz w:val="24"/>
          <w:szCs w:val="24"/>
          <w:lang w:val="en-US"/>
        </w:rPr>
        <w:t>32</w:t>
      </w:r>
      <w:r w:rsidRPr="00BA0373">
        <w:rPr>
          <w:rFonts w:ascii="Times New Roman" w:eastAsia="Arial Unicode MS" w:hAnsi="Times New Roman" w:cs="Times New Roman"/>
          <w:sz w:val="24"/>
          <w:szCs w:val="24"/>
          <w:lang w:val="en-US"/>
        </w:rPr>
        <w:t>, p = .1</w:t>
      </w:r>
      <w:r>
        <w:rPr>
          <w:rFonts w:ascii="Times New Roman" w:eastAsia="Arial Unicode MS" w:hAnsi="Times New Roman" w:cs="Times New Roman"/>
          <w:sz w:val="24"/>
          <w:szCs w:val="24"/>
          <w:lang w:val="en-US"/>
        </w:rPr>
        <w:t>8</w:t>
      </w:r>
      <w:r w:rsidRPr="00BA0373">
        <w:rPr>
          <w:rFonts w:ascii="Times New Roman" w:eastAsia="Arial Unicode MS" w:hAnsi="Times New Roman" w:cs="Times New Roman"/>
          <w:sz w:val="24"/>
          <w:szCs w:val="24"/>
          <w:lang w:val="en-US"/>
        </w:rPr>
        <w:t>), of MPH-equivalents in comparison to lower fixed</w:t>
      </w:r>
      <w:r w:rsidR="003E6671">
        <w:rPr>
          <w:rFonts w:ascii="Times New Roman" w:eastAsia="Arial Unicode MS" w:hAnsi="Times New Roman" w:cs="Times New Roman"/>
          <w:sz w:val="24"/>
          <w:szCs w:val="24"/>
          <w:lang w:val="en-US"/>
        </w:rPr>
        <w:t xml:space="preserve"> </w:t>
      </w:r>
      <w:r w:rsidRPr="00BA0373">
        <w:rPr>
          <w:rFonts w:ascii="Times New Roman" w:eastAsia="Arial Unicode MS" w:hAnsi="Times New Roman" w:cs="Times New Roman"/>
          <w:sz w:val="24"/>
          <w:szCs w:val="24"/>
          <w:lang w:val="en-US"/>
        </w:rPr>
        <w:t>doses; decreased risk of dropouts for any reason with flexible</w:t>
      </w:r>
      <w:r w:rsidR="003E6671">
        <w:rPr>
          <w:rFonts w:ascii="Times New Roman" w:eastAsia="Arial Unicode MS" w:hAnsi="Times New Roman" w:cs="Times New Roman"/>
          <w:sz w:val="24"/>
          <w:szCs w:val="24"/>
          <w:lang w:val="en-US"/>
        </w:rPr>
        <w:t xml:space="preserve"> </w:t>
      </w:r>
      <w:r w:rsidRPr="00BA0373">
        <w:rPr>
          <w:rFonts w:ascii="Times New Roman" w:eastAsia="Arial Unicode MS" w:hAnsi="Times New Roman" w:cs="Times New Roman"/>
          <w:sz w:val="24"/>
          <w:szCs w:val="24"/>
          <w:lang w:val="en-US"/>
        </w:rPr>
        <w:t>titration beyond 30 mg (ROR = 0.4</w:t>
      </w:r>
      <w:r w:rsidR="003E6671">
        <w:rPr>
          <w:rFonts w:ascii="Times New Roman" w:eastAsia="Arial Unicode MS" w:hAnsi="Times New Roman" w:cs="Times New Roman"/>
          <w:sz w:val="24"/>
          <w:szCs w:val="24"/>
          <w:lang w:val="en-US"/>
        </w:rPr>
        <w:t>2</w:t>
      </w:r>
      <w:r w:rsidRPr="00BA0373">
        <w:rPr>
          <w:rFonts w:ascii="Times New Roman" w:eastAsia="Arial Unicode MS" w:hAnsi="Times New Roman" w:cs="Times New Roman"/>
          <w:sz w:val="24"/>
          <w:szCs w:val="24"/>
          <w:lang w:val="en-US"/>
        </w:rPr>
        <w:t>; 95% CI 0.</w:t>
      </w:r>
      <w:r>
        <w:rPr>
          <w:rFonts w:ascii="Times New Roman" w:eastAsia="Arial Unicode MS" w:hAnsi="Times New Roman" w:cs="Times New Roman"/>
          <w:sz w:val="24"/>
          <w:szCs w:val="24"/>
          <w:lang w:val="en-US"/>
        </w:rPr>
        <w:t>2</w:t>
      </w:r>
      <w:r w:rsidR="003E6671">
        <w:rPr>
          <w:rFonts w:ascii="Times New Roman" w:eastAsia="Arial Unicode MS" w:hAnsi="Times New Roman" w:cs="Times New Roman"/>
          <w:sz w:val="24"/>
          <w:szCs w:val="24"/>
          <w:lang w:val="en-US"/>
        </w:rPr>
        <w:t>8</w:t>
      </w:r>
      <w:r w:rsidRPr="00BA0373">
        <w:rPr>
          <w:rFonts w:ascii="Times New Roman" w:eastAsia="Arial Unicode MS" w:hAnsi="Times New Roman" w:cs="Times New Roman"/>
          <w:sz w:val="24"/>
          <w:szCs w:val="24"/>
          <w:lang w:val="en-US"/>
        </w:rPr>
        <w:t>, 0.</w:t>
      </w:r>
      <w:r w:rsidR="003E6671">
        <w:rPr>
          <w:rFonts w:ascii="Times New Roman" w:eastAsia="Arial Unicode MS" w:hAnsi="Times New Roman" w:cs="Times New Roman"/>
          <w:sz w:val="24"/>
          <w:szCs w:val="24"/>
          <w:lang w:val="en-US"/>
        </w:rPr>
        <w:t>64</w:t>
      </w:r>
      <w:r w:rsidRPr="00BA0373">
        <w:rPr>
          <w:rFonts w:ascii="Times New Roman" w:eastAsia="Arial Unicode MS" w:hAnsi="Times New Roman" w:cs="Times New Roman"/>
          <w:sz w:val="24"/>
          <w:szCs w:val="24"/>
          <w:lang w:val="en-US"/>
        </w:rPr>
        <w:t>; p &lt; .0001), 40 mg (ROR = 0.4</w:t>
      </w:r>
      <w:r w:rsidR="003E6671">
        <w:rPr>
          <w:rFonts w:ascii="Times New Roman" w:eastAsia="Arial Unicode MS" w:hAnsi="Times New Roman" w:cs="Times New Roman"/>
          <w:sz w:val="24"/>
          <w:szCs w:val="24"/>
          <w:lang w:val="en-US"/>
        </w:rPr>
        <w:t>3</w:t>
      </w:r>
      <w:r w:rsidRPr="00BA0373">
        <w:rPr>
          <w:rFonts w:ascii="Times New Roman" w:eastAsia="Arial Unicode MS" w:hAnsi="Times New Roman" w:cs="Times New Roman"/>
          <w:sz w:val="24"/>
          <w:szCs w:val="24"/>
          <w:lang w:val="en-US"/>
        </w:rPr>
        <w:t>; 95% CI 0.2</w:t>
      </w:r>
      <w:r>
        <w:rPr>
          <w:rFonts w:ascii="Times New Roman" w:eastAsia="Arial Unicode MS" w:hAnsi="Times New Roman" w:cs="Times New Roman"/>
          <w:sz w:val="24"/>
          <w:szCs w:val="24"/>
          <w:lang w:val="en-US"/>
        </w:rPr>
        <w:t>9</w:t>
      </w:r>
      <w:r w:rsidRPr="00BA0373">
        <w:rPr>
          <w:rFonts w:ascii="Times New Roman" w:eastAsia="Arial Unicode MS" w:hAnsi="Times New Roman" w:cs="Times New Roman"/>
          <w:sz w:val="24"/>
          <w:szCs w:val="24"/>
          <w:lang w:val="en-US"/>
        </w:rPr>
        <w:t>, 0.</w:t>
      </w:r>
      <w:r w:rsidR="003E6671">
        <w:rPr>
          <w:rFonts w:ascii="Times New Roman" w:eastAsia="Arial Unicode MS" w:hAnsi="Times New Roman" w:cs="Times New Roman"/>
          <w:sz w:val="24"/>
          <w:szCs w:val="24"/>
          <w:lang w:val="en-US"/>
        </w:rPr>
        <w:t>62</w:t>
      </w:r>
      <w:r w:rsidRPr="00BA0373">
        <w:rPr>
          <w:rFonts w:ascii="Times New Roman" w:eastAsia="Arial Unicode MS" w:hAnsi="Times New Roman" w:cs="Times New Roman"/>
          <w:sz w:val="24"/>
          <w:szCs w:val="24"/>
          <w:lang w:val="en-US"/>
        </w:rPr>
        <w:t>; p &lt; .0001) and 50 mg (ROR = 0.5</w:t>
      </w:r>
      <w:r w:rsidR="003E6671">
        <w:rPr>
          <w:rFonts w:ascii="Times New Roman" w:eastAsia="Arial Unicode MS" w:hAnsi="Times New Roman" w:cs="Times New Roman"/>
          <w:sz w:val="24"/>
          <w:szCs w:val="24"/>
          <w:lang w:val="en-US"/>
        </w:rPr>
        <w:t>4</w:t>
      </w:r>
      <w:r w:rsidRPr="00BA0373">
        <w:rPr>
          <w:rFonts w:ascii="Times New Roman" w:eastAsia="Arial Unicode MS" w:hAnsi="Times New Roman" w:cs="Times New Roman"/>
          <w:sz w:val="24"/>
          <w:szCs w:val="24"/>
          <w:lang w:val="en-US"/>
        </w:rPr>
        <w:t>; 95% CI 0.3</w:t>
      </w:r>
      <w:r w:rsidR="003E6671">
        <w:rPr>
          <w:rFonts w:ascii="Times New Roman" w:eastAsia="Arial Unicode MS" w:hAnsi="Times New Roman" w:cs="Times New Roman"/>
          <w:sz w:val="24"/>
          <w:szCs w:val="24"/>
          <w:lang w:val="en-US"/>
        </w:rPr>
        <w:t>1</w:t>
      </w:r>
      <w:r w:rsidRPr="00BA0373">
        <w:rPr>
          <w:rFonts w:ascii="Times New Roman" w:eastAsia="Arial Unicode MS" w:hAnsi="Times New Roman" w:cs="Times New Roman"/>
          <w:sz w:val="24"/>
          <w:szCs w:val="24"/>
          <w:lang w:val="en-US"/>
        </w:rPr>
        <w:t>, 0.</w:t>
      </w:r>
      <w:r w:rsidR="003E6671">
        <w:rPr>
          <w:rFonts w:ascii="Times New Roman" w:eastAsia="Arial Unicode MS" w:hAnsi="Times New Roman" w:cs="Times New Roman"/>
          <w:sz w:val="24"/>
          <w:szCs w:val="24"/>
          <w:lang w:val="en-US"/>
        </w:rPr>
        <w:t>94</w:t>
      </w:r>
      <w:r w:rsidRPr="00BA0373">
        <w:rPr>
          <w:rFonts w:ascii="Times New Roman" w:eastAsia="Arial Unicode MS" w:hAnsi="Times New Roman" w:cs="Times New Roman"/>
          <w:sz w:val="24"/>
          <w:szCs w:val="24"/>
          <w:lang w:val="en-US"/>
        </w:rPr>
        <w:t>; p = .0</w:t>
      </w:r>
      <w:r>
        <w:rPr>
          <w:rFonts w:ascii="Times New Roman" w:eastAsia="Arial Unicode MS" w:hAnsi="Times New Roman" w:cs="Times New Roman"/>
          <w:sz w:val="24"/>
          <w:szCs w:val="24"/>
          <w:lang w:val="en-US"/>
        </w:rPr>
        <w:t>1</w:t>
      </w:r>
      <w:r w:rsidRPr="00BA0373">
        <w:rPr>
          <w:rFonts w:ascii="Times New Roman" w:eastAsia="Arial Unicode MS" w:hAnsi="Times New Roman" w:cs="Times New Roman"/>
          <w:sz w:val="24"/>
          <w:szCs w:val="24"/>
          <w:lang w:val="en-US"/>
        </w:rPr>
        <w:t>) of MPH-equivalents in comparison to lower fixed</w:t>
      </w:r>
      <w:r w:rsidR="003E6671">
        <w:rPr>
          <w:rFonts w:ascii="Times New Roman" w:eastAsia="Arial Unicode MS" w:hAnsi="Times New Roman" w:cs="Times New Roman"/>
          <w:sz w:val="24"/>
          <w:szCs w:val="24"/>
          <w:lang w:val="en-US"/>
        </w:rPr>
        <w:t xml:space="preserve"> </w:t>
      </w:r>
      <w:r w:rsidRPr="00BA0373">
        <w:rPr>
          <w:rFonts w:ascii="Times New Roman" w:eastAsia="Arial Unicode MS" w:hAnsi="Times New Roman" w:cs="Times New Roman"/>
          <w:sz w:val="24"/>
          <w:szCs w:val="24"/>
          <w:lang w:val="en-US"/>
        </w:rPr>
        <w:t>doses.</w:t>
      </w:r>
      <w:r>
        <w:rPr>
          <w:rFonts w:ascii="Times New Roman" w:eastAsia="Arial Unicode MS" w:hAnsi="Times New Roman" w:cs="Times New Roman"/>
          <w:sz w:val="24"/>
          <w:szCs w:val="24"/>
          <w:lang w:val="en-US"/>
        </w:rPr>
        <w:t xml:space="preserve"> Table S4 describes study-level characteristics of fixed-dose and flexible-dose trials </w:t>
      </w:r>
      <w:r w:rsidR="003E6671">
        <w:rPr>
          <w:rFonts w:ascii="Times New Roman" w:eastAsia="Arial Unicode MS" w:hAnsi="Times New Roman" w:cs="Times New Roman"/>
          <w:sz w:val="24"/>
          <w:szCs w:val="24"/>
          <w:lang w:val="en-US"/>
        </w:rPr>
        <w:t xml:space="preserve">and Figure S3 </w:t>
      </w:r>
      <w:r w:rsidR="003E6671">
        <w:rPr>
          <w:rFonts w:ascii="Times New Roman" w:hAnsi="Times New Roman" w:cs="Times New Roman"/>
          <w:sz w:val="24"/>
          <w:szCs w:val="24"/>
          <w:lang w:val="en-US"/>
        </w:rPr>
        <w:t xml:space="preserve">illustrates </w:t>
      </w:r>
      <w:r w:rsidR="003E6671" w:rsidRPr="00BA0373">
        <w:rPr>
          <w:rFonts w:ascii="Times New Roman" w:hAnsi="Times New Roman" w:cs="Times New Roman"/>
          <w:sz w:val="24"/>
          <w:szCs w:val="24"/>
          <w:lang w:val="en-US"/>
        </w:rPr>
        <w:t>the DSMDs and RORs</w:t>
      </w:r>
      <w:r w:rsidR="003E6671">
        <w:rPr>
          <w:rFonts w:ascii="Times New Roman" w:eastAsia="Arial Unicode MS" w:hAnsi="Times New Roman" w:cs="Times New Roman"/>
          <w:sz w:val="24"/>
          <w:szCs w:val="24"/>
          <w:lang w:val="en-US"/>
        </w:rPr>
        <w:t xml:space="preserve"> after </w:t>
      </w:r>
      <w:r w:rsidR="003E6671">
        <w:rPr>
          <w:rFonts w:ascii="Times New Roman" w:hAnsi="Times New Roman" w:cs="Times New Roman"/>
          <w:sz w:val="24"/>
          <w:szCs w:val="24"/>
          <w:lang w:val="en-US"/>
        </w:rPr>
        <w:t>adjustment for covariates</w:t>
      </w:r>
      <w:r w:rsidR="003E6671">
        <w:rPr>
          <w:rFonts w:ascii="Times New Roman" w:eastAsia="Arial Unicode MS" w:hAnsi="Times New Roman" w:cs="Times New Roman"/>
          <w:sz w:val="24"/>
          <w:szCs w:val="24"/>
          <w:lang w:val="en-US"/>
        </w:rPr>
        <w:t xml:space="preserve"> </w:t>
      </w:r>
      <w:r>
        <w:rPr>
          <w:rFonts w:ascii="Times New Roman" w:eastAsia="Arial Unicode MS" w:hAnsi="Times New Roman" w:cs="Times New Roman"/>
          <w:sz w:val="24"/>
          <w:szCs w:val="24"/>
          <w:lang w:val="en-US"/>
        </w:rPr>
        <w:t>for each outcome for MPH</w:t>
      </w:r>
      <w:r w:rsidR="003E6671">
        <w:rPr>
          <w:rFonts w:ascii="Times New Roman" w:eastAsia="Arial Unicode MS" w:hAnsi="Times New Roman" w:cs="Times New Roman"/>
          <w:sz w:val="24"/>
          <w:szCs w:val="24"/>
          <w:lang w:val="en-US"/>
        </w:rPr>
        <w:t>.</w:t>
      </w:r>
      <w:r>
        <w:rPr>
          <w:rFonts w:ascii="Times New Roman" w:eastAsia="Arial Unicode MS" w:hAnsi="Times New Roman" w:cs="Times New Roman"/>
          <w:sz w:val="24"/>
          <w:szCs w:val="24"/>
          <w:lang w:val="en-US"/>
        </w:rPr>
        <w:t xml:space="preserve"> </w:t>
      </w:r>
      <w:r>
        <w:rPr>
          <w:rFonts w:ascii="Times New Roman" w:hAnsi="Times New Roman" w:cs="Times New Roman"/>
          <w:sz w:val="24"/>
          <w:szCs w:val="24"/>
          <w:lang w:val="en-US"/>
        </w:rPr>
        <w:t xml:space="preserve">For efficacy, the DSMDs favored flexible-dose studies further. For acceptability, while ROR </w:t>
      </w:r>
      <w:r w:rsidR="0074781C">
        <w:rPr>
          <w:rFonts w:ascii="Times New Roman" w:hAnsi="Times New Roman" w:cs="Times New Roman"/>
          <w:sz w:val="24"/>
          <w:szCs w:val="24"/>
          <w:lang w:val="en-US"/>
        </w:rPr>
        <w:t xml:space="preserve">point </w:t>
      </w:r>
      <w:r>
        <w:rPr>
          <w:rFonts w:ascii="Times New Roman" w:hAnsi="Times New Roman" w:cs="Times New Roman"/>
          <w:sz w:val="24"/>
          <w:szCs w:val="24"/>
          <w:lang w:val="en-US"/>
        </w:rPr>
        <w:t xml:space="preserve">estimates were stable, there was marked decrease in precision </w:t>
      </w:r>
      <w:r w:rsidR="003E6671">
        <w:rPr>
          <w:rFonts w:ascii="Times New Roman" w:hAnsi="Times New Roman" w:cs="Times New Roman"/>
          <w:sz w:val="24"/>
          <w:szCs w:val="24"/>
          <w:lang w:val="en-US"/>
        </w:rPr>
        <w:t xml:space="preserve">and results were no longer significant for </w:t>
      </w:r>
      <w:r w:rsidR="003E6671" w:rsidRPr="00BA0373">
        <w:rPr>
          <w:rFonts w:ascii="Times New Roman" w:eastAsia="Arial Unicode MS" w:hAnsi="Times New Roman" w:cs="Times New Roman"/>
          <w:sz w:val="24"/>
          <w:szCs w:val="24"/>
          <w:lang w:val="en-US"/>
        </w:rPr>
        <w:t>flexible</w:t>
      </w:r>
      <w:r w:rsidR="003E6671">
        <w:rPr>
          <w:rFonts w:ascii="Times New Roman" w:eastAsia="Arial Unicode MS" w:hAnsi="Times New Roman" w:cs="Times New Roman"/>
          <w:sz w:val="24"/>
          <w:szCs w:val="24"/>
          <w:lang w:val="en-US"/>
        </w:rPr>
        <w:t xml:space="preserve"> </w:t>
      </w:r>
      <w:r w:rsidR="003E6671" w:rsidRPr="00BA0373">
        <w:rPr>
          <w:rFonts w:ascii="Times New Roman" w:eastAsia="Arial Unicode MS" w:hAnsi="Times New Roman" w:cs="Times New Roman"/>
          <w:sz w:val="24"/>
          <w:szCs w:val="24"/>
          <w:lang w:val="en-US"/>
        </w:rPr>
        <w:t xml:space="preserve">titration beyond </w:t>
      </w:r>
      <w:r w:rsidR="003E6671">
        <w:rPr>
          <w:rFonts w:ascii="Times New Roman" w:eastAsia="Arial Unicode MS" w:hAnsi="Times New Roman" w:cs="Times New Roman"/>
          <w:sz w:val="24"/>
          <w:szCs w:val="24"/>
          <w:lang w:val="en-US"/>
        </w:rPr>
        <w:t>40 mg and 50 mg over lower fixed doses</w:t>
      </w:r>
      <w:r>
        <w:rPr>
          <w:rFonts w:ascii="Times New Roman" w:hAnsi="Times New Roman" w:cs="Times New Roman"/>
          <w:sz w:val="24"/>
          <w:szCs w:val="24"/>
          <w:lang w:val="en-US"/>
        </w:rPr>
        <w:t>.</w:t>
      </w:r>
    </w:p>
    <w:p w14:paraId="101CC4B1" w14:textId="2EBA20BF" w:rsidR="00974BD4" w:rsidRDefault="00974BD4" w:rsidP="00974BD4">
      <w:pPr>
        <w:spacing w:before="120" w:line="480" w:lineRule="auto"/>
        <w:ind w:firstLine="700"/>
        <w:rPr>
          <w:rFonts w:ascii="Times New Roman" w:eastAsia="Arial Unicode MS" w:hAnsi="Times New Roman" w:cs="Times New Roman"/>
          <w:sz w:val="24"/>
          <w:szCs w:val="24"/>
          <w:lang w:val="en-US"/>
        </w:rPr>
      </w:pPr>
      <w:r w:rsidRPr="00BA0373">
        <w:rPr>
          <w:rFonts w:ascii="Times New Roman" w:eastAsia="Arial Unicode MS" w:hAnsi="Times New Roman" w:cs="Times New Roman"/>
          <w:sz w:val="24"/>
          <w:szCs w:val="24"/>
          <w:lang w:val="en-US"/>
        </w:rPr>
        <w:t xml:space="preserve">For AMP, meta-analyses demonstrated a significant dose-response association between AMP-equivalents and efficacy in fixed-dose (Chi-square = </w:t>
      </w:r>
      <w:r>
        <w:rPr>
          <w:rFonts w:ascii="Times New Roman" w:eastAsia="Arial Unicode MS" w:hAnsi="Times New Roman" w:cs="Times New Roman"/>
          <w:sz w:val="24"/>
          <w:szCs w:val="24"/>
          <w:lang w:val="en-US"/>
        </w:rPr>
        <w:t>82.17</w:t>
      </w:r>
      <w:r w:rsidRPr="00BA0373">
        <w:rPr>
          <w:rFonts w:ascii="Times New Roman" w:eastAsia="Arial Unicode MS" w:hAnsi="Times New Roman" w:cs="Times New Roman"/>
          <w:sz w:val="24"/>
          <w:szCs w:val="24"/>
          <w:lang w:val="en-US"/>
        </w:rPr>
        <w:t>, p &lt; .0001) and flexible-dose (Chi-square = 102.70, p &lt; .0001) studies (Figure 2D). In a fixed-dose regimen, the curve approached a plateau beyond 20 mg of AMP-equivalents. In a flexible-dose regimen, the curve resembled a straight line with constant increments of 0.42 (95% CI 0.34, 0.51) in SMD for every 10 mg increase in doses of AMP-equivalents across the entire FDA-</w:t>
      </w:r>
      <w:r w:rsidRPr="00BA0373">
        <w:rPr>
          <w:rFonts w:ascii="Times New Roman" w:eastAsia="Arial Unicode MS" w:hAnsi="Times New Roman" w:cs="Times New Roman"/>
          <w:sz w:val="24"/>
          <w:szCs w:val="24"/>
          <w:lang w:val="en-US"/>
        </w:rPr>
        <w:lastRenderedPageBreak/>
        <w:t>licensed dose range. Meta-analyses also demonstrated a significant dose-response association between AMP-equivalents and tolerability in fixed-dose (Chi-square = 7.69, p = .005) and flexible-dose (Chi-square = 4.35, p = .03) studies (Figure 2E). In a fixed-dose regimen, there were constant increments of 3.34% (95% CI 0.97%, 5.78%) on an exponential scale in the risk of discontinuing treatment due to AEs for every 1 mg increase in doses of AMP-equivalents across the entire FDA-licensed dose range. Likewise, in a flexible-dose regimen there were constant increments of 2.63% (95% CI 0.16%, 5.18%) on an exponential scale in the risk of discontinuing treatment due to AEs for every 1 mg increase in doses of AMP-equivalents across the entire FDA-licensed dose range. Lastly, meta-analyses demonstrated a significant dose-response association between AMP-equivalents and acceptability in flexible-dose (Chi-square = 3.87, p = .049), but not in fixed-dose (Chi-square = 0, p = .92), studies (Figure 2F). In a flexible-dose regimen, there were constant decrements of −1.39% (95% CI −2.75%, −0.01%) on an exponential scale in the risk of discontinuing treatment for any reason for every 1 mg increase in doses of AMP-equivalents across the entire FDA-licensed dose range.</w:t>
      </w:r>
    </w:p>
    <w:p w14:paraId="000000E4" w14:textId="11F21051" w:rsidR="00252EC4" w:rsidRPr="00BA0373" w:rsidRDefault="00446F13" w:rsidP="00446F13">
      <w:pPr>
        <w:spacing w:before="120" w:line="480" w:lineRule="auto"/>
        <w:ind w:firstLine="700"/>
        <w:rPr>
          <w:rFonts w:ascii="Times New Roman" w:hAnsi="Times New Roman" w:cs="Times New Roman"/>
          <w:sz w:val="24"/>
          <w:szCs w:val="24"/>
          <w:lang w:val="en-US"/>
        </w:rPr>
      </w:pPr>
      <w:r w:rsidRPr="00BA0373">
        <w:rPr>
          <w:rFonts w:ascii="Times New Roman" w:eastAsia="Arial Unicode MS" w:hAnsi="Times New Roman" w:cs="Times New Roman"/>
          <w:sz w:val="24"/>
          <w:szCs w:val="24"/>
          <w:lang w:val="en-US"/>
        </w:rPr>
        <w:t>Pairwise meta-analyses corroborated the findings from the dose-response meta-analyses</w:t>
      </w:r>
      <w:r>
        <w:rPr>
          <w:rFonts w:ascii="Times New Roman" w:hAnsi="Times New Roman" w:cs="Times New Roman"/>
          <w:sz w:val="24"/>
          <w:szCs w:val="24"/>
          <w:lang w:val="en-US"/>
        </w:rPr>
        <w:t xml:space="preserve">. </w:t>
      </w:r>
      <w:r w:rsidRPr="00BA0373">
        <w:rPr>
          <w:rFonts w:ascii="Times New Roman" w:hAnsi="Times New Roman" w:cs="Times New Roman"/>
          <w:sz w:val="24"/>
          <w:szCs w:val="24"/>
          <w:lang w:val="en-US"/>
        </w:rPr>
        <w:t xml:space="preserve">Figure 2 illustrates the DSMDs and RORs for each outcome for </w:t>
      </w:r>
      <w:r>
        <w:rPr>
          <w:rFonts w:ascii="Times New Roman" w:hAnsi="Times New Roman" w:cs="Times New Roman"/>
          <w:sz w:val="24"/>
          <w:szCs w:val="24"/>
          <w:lang w:val="en-US"/>
        </w:rPr>
        <w:t>AMP</w:t>
      </w:r>
      <w:r w:rsidRPr="00BA037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eastAsia="Arial Unicode MS" w:hAnsi="Times New Roman" w:cs="Times New Roman"/>
          <w:sz w:val="24"/>
          <w:szCs w:val="24"/>
          <w:lang w:val="en-US"/>
        </w:rPr>
        <w:t>M</w:t>
      </w:r>
      <w:r w:rsidR="003222AB" w:rsidRPr="00BA0373">
        <w:rPr>
          <w:rFonts w:ascii="Times New Roman" w:eastAsia="Arial Unicode MS" w:hAnsi="Times New Roman" w:cs="Times New Roman"/>
          <w:sz w:val="24"/>
          <w:szCs w:val="24"/>
          <w:lang w:val="en-US"/>
        </w:rPr>
        <w:t>eta-analyses demonstrated greater change in ADHD symptoms with flexible-titration beyond 20 mg (DSMD = -0.5</w:t>
      </w:r>
      <w:r w:rsidR="0074781C">
        <w:rPr>
          <w:rFonts w:ascii="Times New Roman" w:eastAsia="Arial Unicode MS" w:hAnsi="Times New Roman" w:cs="Times New Roman"/>
          <w:sz w:val="24"/>
          <w:szCs w:val="24"/>
          <w:lang w:val="en-US"/>
        </w:rPr>
        <w:t>0</w:t>
      </w:r>
      <w:r w:rsidR="003222AB" w:rsidRPr="00BA0373">
        <w:rPr>
          <w:rFonts w:ascii="Times New Roman" w:eastAsia="Arial Unicode MS" w:hAnsi="Times New Roman" w:cs="Times New Roman"/>
          <w:sz w:val="24"/>
          <w:szCs w:val="24"/>
          <w:lang w:val="en-US"/>
        </w:rPr>
        <w:t>; 95% CI −0.9</w:t>
      </w:r>
      <w:r w:rsidR="0074781C">
        <w:rPr>
          <w:rFonts w:ascii="Times New Roman" w:eastAsia="Arial Unicode MS" w:hAnsi="Times New Roman" w:cs="Times New Roman"/>
          <w:sz w:val="24"/>
          <w:szCs w:val="24"/>
          <w:lang w:val="en-US"/>
        </w:rPr>
        <w:t>3</w:t>
      </w:r>
      <w:r w:rsidR="003222AB" w:rsidRPr="00BA0373">
        <w:rPr>
          <w:rFonts w:ascii="Times New Roman" w:eastAsia="Arial Unicode MS" w:hAnsi="Times New Roman" w:cs="Times New Roman"/>
          <w:sz w:val="24"/>
          <w:szCs w:val="24"/>
          <w:lang w:val="en-US"/>
        </w:rPr>
        <w:t>, −0.</w:t>
      </w:r>
      <w:r w:rsidR="0074781C">
        <w:rPr>
          <w:rFonts w:ascii="Times New Roman" w:eastAsia="Arial Unicode MS" w:hAnsi="Times New Roman" w:cs="Times New Roman"/>
          <w:sz w:val="24"/>
          <w:szCs w:val="24"/>
          <w:lang w:val="en-US"/>
        </w:rPr>
        <w:t>07</w:t>
      </w:r>
      <w:r w:rsidR="003222AB" w:rsidRPr="00BA0373">
        <w:rPr>
          <w:rFonts w:ascii="Times New Roman" w:eastAsia="Arial Unicode MS" w:hAnsi="Times New Roman" w:cs="Times New Roman"/>
          <w:sz w:val="24"/>
          <w:szCs w:val="24"/>
          <w:lang w:val="en-US"/>
        </w:rPr>
        <w:t>; p = .01) and 30 mg (DSMD = -0.5</w:t>
      </w:r>
      <w:r w:rsidR="0074781C">
        <w:rPr>
          <w:rFonts w:ascii="Times New Roman" w:eastAsia="Arial Unicode MS" w:hAnsi="Times New Roman" w:cs="Times New Roman"/>
          <w:sz w:val="24"/>
          <w:szCs w:val="24"/>
          <w:lang w:val="en-US"/>
        </w:rPr>
        <w:t>9</w:t>
      </w:r>
      <w:r w:rsidR="003222AB" w:rsidRPr="00BA0373">
        <w:rPr>
          <w:rFonts w:ascii="Times New Roman" w:eastAsia="Arial Unicode MS" w:hAnsi="Times New Roman" w:cs="Times New Roman"/>
          <w:sz w:val="24"/>
          <w:szCs w:val="24"/>
          <w:lang w:val="en-US"/>
        </w:rPr>
        <w:t>; 95% CI −0.9</w:t>
      </w:r>
      <w:r w:rsidR="0074781C">
        <w:rPr>
          <w:rFonts w:ascii="Times New Roman" w:eastAsia="Arial Unicode MS" w:hAnsi="Times New Roman" w:cs="Times New Roman"/>
          <w:sz w:val="24"/>
          <w:szCs w:val="24"/>
          <w:lang w:val="en-US"/>
        </w:rPr>
        <w:t>9</w:t>
      </w:r>
      <w:r w:rsidR="003222AB" w:rsidRPr="00BA0373">
        <w:rPr>
          <w:rFonts w:ascii="Times New Roman" w:eastAsia="Arial Unicode MS" w:hAnsi="Times New Roman" w:cs="Times New Roman"/>
          <w:sz w:val="24"/>
          <w:szCs w:val="24"/>
          <w:lang w:val="en-US"/>
        </w:rPr>
        <w:t>, −0.</w:t>
      </w:r>
      <w:r w:rsidR="0074781C">
        <w:rPr>
          <w:rFonts w:ascii="Times New Roman" w:eastAsia="Arial Unicode MS" w:hAnsi="Times New Roman" w:cs="Times New Roman"/>
          <w:sz w:val="24"/>
          <w:szCs w:val="24"/>
          <w:lang w:val="en-US"/>
        </w:rPr>
        <w:t>18</w:t>
      </w:r>
      <w:r w:rsidR="003222AB" w:rsidRPr="00BA0373">
        <w:rPr>
          <w:rFonts w:ascii="Times New Roman" w:eastAsia="Arial Unicode MS" w:hAnsi="Times New Roman" w:cs="Times New Roman"/>
          <w:sz w:val="24"/>
          <w:szCs w:val="24"/>
          <w:lang w:val="en-US"/>
        </w:rPr>
        <w:t>; p = .00</w:t>
      </w:r>
      <w:r w:rsidR="00961F13">
        <w:rPr>
          <w:rFonts w:ascii="Times New Roman" w:eastAsia="Arial Unicode MS" w:hAnsi="Times New Roman" w:cs="Times New Roman"/>
          <w:sz w:val="24"/>
          <w:szCs w:val="24"/>
          <w:lang w:val="en-US"/>
        </w:rPr>
        <w:t>2</w:t>
      </w:r>
      <w:r w:rsidR="003222AB" w:rsidRPr="00BA0373">
        <w:rPr>
          <w:rFonts w:ascii="Times New Roman" w:eastAsia="Arial Unicode MS" w:hAnsi="Times New Roman" w:cs="Times New Roman"/>
          <w:sz w:val="24"/>
          <w:szCs w:val="24"/>
          <w:lang w:val="en-US"/>
        </w:rPr>
        <w:t>) of AMP-equivalents in comparison to lower fixed-doses; no significant differences in risk of dropouts due to AEs with flexible-titration beyond 20 mg (ROR = 1.3</w:t>
      </w:r>
      <w:r w:rsidR="0074781C">
        <w:rPr>
          <w:rFonts w:ascii="Times New Roman" w:eastAsia="Arial Unicode MS" w:hAnsi="Times New Roman" w:cs="Times New Roman"/>
          <w:sz w:val="24"/>
          <w:szCs w:val="24"/>
          <w:lang w:val="en-US"/>
        </w:rPr>
        <w:t>2</w:t>
      </w:r>
      <w:r w:rsidR="003222AB" w:rsidRPr="00BA0373">
        <w:rPr>
          <w:rFonts w:ascii="Times New Roman" w:eastAsia="Arial Unicode MS" w:hAnsi="Times New Roman" w:cs="Times New Roman"/>
          <w:sz w:val="24"/>
          <w:szCs w:val="24"/>
          <w:lang w:val="en-US"/>
        </w:rPr>
        <w:t>; 95% CI 0.</w:t>
      </w:r>
      <w:r w:rsidR="0074781C">
        <w:rPr>
          <w:rFonts w:ascii="Times New Roman" w:eastAsia="Arial Unicode MS" w:hAnsi="Times New Roman" w:cs="Times New Roman"/>
          <w:sz w:val="24"/>
          <w:szCs w:val="24"/>
          <w:lang w:val="en-US"/>
        </w:rPr>
        <w:t>38</w:t>
      </w:r>
      <w:r w:rsidR="003222AB" w:rsidRPr="00BA0373">
        <w:rPr>
          <w:rFonts w:ascii="Times New Roman" w:eastAsia="Arial Unicode MS" w:hAnsi="Times New Roman" w:cs="Times New Roman"/>
          <w:sz w:val="24"/>
          <w:szCs w:val="24"/>
          <w:lang w:val="en-US"/>
        </w:rPr>
        <w:t xml:space="preserve">, </w:t>
      </w:r>
      <w:r w:rsidR="0074781C">
        <w:rPr>
          <w:rFonts w:ascii="Times New Roman" w:eastAsia="Arial Unicode MS" w:hAnsi="Times New Roman" w:cs="Times New Roman"/>
          <w:sz w:val="24"/>
          <w:szCs w:val="24"/>
          <w:lang w:val="en-US"/>
        </w:rPr>
        <w:t>4</w:t>
      </w:r>
      <w:r w:rsidR="003222AB" w:rsidRPr="00BA0373">
        <w:rPr>
          <w:rFonts w:ascii="Times New Roman" w:eastAsia="Arial Unicode MS" w:hAnsi="Times New Roman" w:cs="Times New Roman"/>
          <w:sz w:val="24"/>
          <w:szCs w:val="24"/>
          <w:lang w:val="en-US"/>
        </w:rPr>
        <w:t>.</w:t>
      </w:r>
      <w:r w:rsidR="0074781C">
        <w:rPr>
          <w:rFonts w:ascii="Times New Roman" w:eastAsia="Arial Unicode MS" w:hAnsi="Times New Roman" w:cs="Times New Roman"/>
          <w:sz w:val="24"/>
          <w:szCs w:val="24"/>
          <w:lang w:val="en-US"/>
        </w:rPr>
        <w:t>5</w:t>
      </w:r>
      <w:r w:rsidR="003222AB" w:rsidRPr="00BA0373">
        <w:rPr>
          <w:rFonts w:ascii="Times New Roman" w:eastAsia="Arial Unicode MS" w:hAnsi="Times New Roman" w:cs="Times New Roman"/>
          <w:sz w:val="24"/>
          <w:szCs w:val="24"/>
          <w:lang w:val="en-US"/>
        </w:rPr>
        <w:t xml:space="preserve">1; p = .81) and 30 mg (ROR = </w:t>
      </w:r>
      <w:r w:rsidR="0074781C">
        <w:rPr>
          <w:rFonts w:ascii="Times New Roman" w:eastAsia="Arial Unicode MS" w:hAnsi="Times New Roman" w:cs="Times New Roman"/>
          <w:sz w:val="24"/>
          <w:szCs w:val="24"/>
          <w:lang w:val="en-US"/>
        </w:rPr>
        <w:t>0</w:t>
      </w:r>
      <w:r w:rsidR="003222AB" w:rsidRPr="00BA0373">
        <w:rPr>
          <w:rFonts w:ascii="Times New Roman" w:eastAsia="Arial Unicode MS" w:hAnsi="Times New Roman" w:cs="Times New Roman"/>
          <w:sz w:val="24"/>
          <w:szCs w:val="24"/>
          <w:lang w:val="en-US"/>
        </w:rPr>
        <w:t>.</w:t>
      </w:r>
      <w:r w:rsidR="0074781C">
        <w:rPr>
          <w:rFonts w:ascii="Times New Roman" w:eastAsia="Arial Unicode MS" w:hAnsi="Times New Roman" w:cs="Times New Roman"/>
          <w:sz w:val="24"/>
          <w:szCs w:val="24"/>
          <w:lang w:val="en-US"/>
        </w:rPr>
        <w:t>96</w:t>
      </w:r>
      <w:r w:rsidR="003222AB" w:rsidRPr="00BA0373">
        <w:rPr>
          <w:rFonts w:ascii="Times New Roman" w:eastAsia="Arial Unicode MS" w:hAnsi="Times New Roman" w:cs="Times New Roman"/>
          <w:sz w:val="24"/>
          <w:szCs w:val="24"/>
          <w:lang w:val="en-US"/>
        </w:rPr>
        <w:t>; 95% CI 0.</w:t>
      </w:r>
      <w:r w:rsidR="0074781C">
        <w:rPr>
          <w:rFonts w:ascii="Times New Roman" w:eastAsia="Arial Unicode MS" w:hAnsi="Times New Roman" w:cs="Times New Roman"/>
          <w:sz w:val="24"/>
          <w:szCs w:val="24"/>
          <w:lang w:val="en-US"/>
        </w:rPr>
        <w:t>29</w:t>
      </w:r>
      <w:r w:rsidR="003222AB" w:rsidRPr="00BA0373">
        <w:rPr>
          <w:rFonts w:ascii="Times New Roman" w:eastAsia="Arial Unicode MS" w:hAnsi="Times New Roman" w:cs="Times New Roman"/>
          <w:sz w:val="24"/>
          <w:szCs w:val="24"/>
          <w:lang w:val="en-US"/>
        </w:rPr>
        <w:t>, 3.</w:t>
      </w:r>
      <w:r w:rsidR="0074781C">
        <w:rPr>
          <w:rFonts w:ascii="Times New Roman" w:eastAsia="Arial Unicode MS" w:hAnsi="Times New Roman" w:cs="Times New Roman"/>
          <w:sz w:val="24"/>
          <w:szCs w:val="24"/>
          <w:lang w:val="en-US"/>
        </w:rPr>
        <w:t>15</w:t>
      </w:r>
      <w:r w:rsidR="003222AB" w:rsidRPr="00BA0373">
        <w:rPr>
          <w:rFonts w:ascii="Times New Roman" w:eastAsia="Arial Unicode MS" w:hAnsi="Times New Roman" w:cs="Times New Roman"/>
          <w:sz w:val="24"/>
          <w:szCs w:val="24"/>
          <w:lang w:val="en-US"/>
        </w:rPr>
        <w:t>; p = .73) of AMP-equivalents in comparison to lower fixed-doses; decreased risk of dropouts for any reason with flexible-titration beyond 20 mg (ROR = 0.</w:t>
      </w:r>
      <w:r w:rsidR="0074781C">
        <w:rPr>
          <w:rFonts w:ascii="Times New Roman" w:eastAsia="Arial Unicode MS" w:hAnsi="Times New Roman" w:cs="Times New Roman"/>
          <w:sz w:val="24"/>
          <w:szCs w:val="24"/>
          <w:lang w:val="en-US"/>
        </w:rPr>
        <w:t>54</w:t>
      </w:r>
      <w:r w:rsidR="003222AB" w:rsidRPr="00BA0373">
        <w:rPr>
          <w:rFonts w:ascii="Times New Roman" w:eastAsia="Arial Unicode MS" w:hAnsi="Times New Roman" w:cs="Times New Roman"/>
          <w:sz w:val="24"/>
          <w:szCs w:val="24"/>
          <w:lang w:val="en-US"/>
        </w:rPr>
        <w:t>; 95% CI 0.3</w:t>
      </w:r>
      <w:r w:rsidR="0074781C">
        <w:rPr>
          <w:rFonts w:ascii="Times New Roman" w:eastAsia="Arial Unicode MS" w:hAnsi="Times New Roman" w:cs="Times New Roman"/>
          <w:sz w:val="24"/>
          <w:szCs w:val="24"/>
          <w:lang w:val="en-US"/>
        </w:rPr>
        <w:t>1</w:t>
      </w:r>
      <w:r w:rsidR="003222AB" w:rsidRPr="00BA0373">
        <w:rPr>
          <w:rFonts w:ascii="Times New Roman" w:eastAsia="Arial Unicode MS" w:hAnsi="Times New Roman" w:cs="Times New Roman"/>
          <w:sz w:val="24"/>
          <w:szCs w:val="24"/>
          <w:lang w:val="en-US"/>
        </w:rPr>
        <w:t>, 0.9</w:t>
      </w:r>
      <w:r w:rsidR="0074781C">
        <w:rPr>
          <w:rFonts w:ascii="Times New Roman" w:eastAsia="Arial Unicode MS" w:hAnsi="Times New Roman" w:cs="Times New Roman"/>
          <w:sz w:val="24"/>
          <w:szCs w:val="24"/>
          <w:lang w:val="en-US"/>
        </w:rPr>
        <w:t>3</w:t>
      </w:r>
      <w:r w:rsidR="003222AB" w:rsidRPr="00BA0373">
        <w:rPr>
          <w:rFonts w:ascii="Times New Roman" w:eastAsia="Arial Unicode MS" w:hAnsi="Times New Roman" w:cs="Times New Roman"/>
          <w:sz w:val="24"/>
          <w:szCs w:val="24"/>
          <w:lang w:val="en-US"/>
        </w:rPr>
        <w:t>; p = .0</w:t>
      </w:r>
      <w:r w:rsidR="00961F13">
        <w:rPr>
          <w:rFonts w:ascii="Times New Roman" w:eastAsia="Arial Unicode MS" w:hAnsi="Times New Roman" w:cs="Times New Roman"/>
          <w:sz w:val="24"/>
          <w:szCs w:val="24"/>
          <w:lang w:val="en-US"/>
        </w:rPr>
        <w:t>4</w:t>
      </w:r>
      <w:r w:rsidR="003222AB" w:rsidRPr="00BA0373">
        <w:rPr>
          <w:rFonts w:ascii="Times New Roman" w:eastAsia="Arial Unicode MS" w:hAnsi="Times New Roman" w:cs="Times New Roman"/>
          <w:sz w:val="24"/>
          <w:szCs w:val="24"/>
          <w:lang w:val="en-US"/>
        </w:rPr>
        <w:t>) and 30 mg (ROR = 0.4</w:t>
      </w:r>
      <w:r w:rsidR="0074781C">
        <w:rPr>
          <w:rFonts w:ascii="Times New Roman" w:eastAsia="Arial Unicode MS" w:hAnsi="Times New Roman" w:cs="Times New Roman"/>
          <w:sz w:val="24"/>
          <w:szCs w:val="24"/>
          <w:lang w:val="en-US"/>
        </w:rPr>
        <w:t>3</w:t>
      </w:r>
      <w:r w:rsidR="003222AB" w:rsidRPr="00BA0373">
        <w:rPr>
          <w:rFonts w:ascii="Times New Roman" w:eastAsia="Arial Unicode MS" w:hAnsi="Times New Roman" w:cs="Times New Roman"/>
          <w:sz w:val="24"/>
          <w:szCs w:val="24"/>
          <w:lang w:val="en-US"/>
        </w:rPr>
        <w:t>; 95% CI 0.</w:t>
      </w:r>
      <w:r w:rsidR="0074781C">
        <w:rPr>
          <w:rFonts w:ascii="Times New Roman" w:eastAsia="Arial Unicode MS" w:hAnsi="Times New Roman" w:cs="Times New Roman"/>
          <w:sz w:val="24"/>
          <w:szCs w:val="24"/>
          <w:lang w:val="en-US"/>
        </w:rPr>
        <w:t>25</w:t>
      </w:r>
      <w:r w:rsidR="003222AB" w:rsidRPr="00BA0373">
        <w:rPr>
          <w:rFonts w:ascii="Times New Roman" w:eastAsia="Arial Unicode MS" w:hAnsi="Times New Roman" w:cs="Times New Roman"/>
          <w:sz w:val="24"/>
          <w:szCs w:val="24"/>
          <w:lang w:val="en-US"/>
        </w:rPr>
        <w:t>, 0.7</w:t>
      </w:r>
      <w:r w:rsidR="0074781C">
        <w:rPr>
          <w:rFonts w:ascii="Times New Roman" w:eastAsia="Arial Unicode MS" w:hAnsi="Times New Roman" w:cs="Times New Roman"/>
          <w:sz w:val="24"/>
          <w:szCs w:val="24"/>
          <w:lang w:val="en-US"/>
        </w:rPr>
        <w:t>6</w:t>
      </w:r>
      <w:r w:rsidR="003222AB" w:rsidRPr="00BA0373">
        <w:rPr>
          <w:rFonts w:ascii="Times New Roman" w:eastAsia="Arial Unicode MS" w:hAnsi="Times New Roman" w:cs="Times New Roman"/>
          <w:sz w:val="24"/>
          <w:szCs w:val="24"/>
          <w:lang w:val="en-US"/>
        </w:rPr>
        <w:t xml:space="preserve">; p = .003) of AMP-equivalents in comparison to </w:t>
      </w:r>
      <w:r w:rsidR="003222AB" w:rsidRPr="00BA0373">
        <w:rPr>
          <w:rFonts w:ascii="Times New Roman" w:eastAsia="Arial Unicode MS" w:hAnsi="Times New Roman" w:cs="Times New Roman"/>
          <w:sz w:val="24"/>
          <w:szCs w:val="24"/>
          <w:lang w:val="en-US"/>
        </w:rPr>
        <w:lastRenderedPageBreak/>
        <w:t>lower fixed-doses.</w:t>
      </w:r>
      <w:r>
        <w:rPr>
          <w:rFonts w:ascii="Times New Roman" w:eastAsia="Arial Unicode MS" w:hAnsi="Times New Roman" w:cs="Times New Roman"/>
          <w:sz w:val="24"/>
          <w:szCs w:val="24"/>
          <w:lang w:val="en-US"/>
        </w:rPr>
        <w:t xml:space="preserve"> Table S5 describes the study-level characteristics of fixed-dose and flexible-dose trials for each outcome for AMP. There were no significant imbalances between fixed-dose and flexible-dose studies for each outcome.</w:t>
      </w:r>
    </w:p>
    <w:p w14:paraId="4C48BD66" w14:textId="54421078" w:rsidR="00F60B40" w:rsidRDefault="00A62303" w:rsidP="00F60B40">
      <w:pPr>
        <w:spacing w:before="120" w:line="480" w:lineRule="auto"/>
        <w:ind w:firstLine="700"/>
        <w:rPr>
          <w:rFonts w:ascii="Times New Roman" w:hAnsi="Times New Roman" w:cs="Times New Roman"/>
          <w:sz w:val="24"/>
          <w:szCs w:val="24"/>
          <w:lang w:val="en-US"/>
        </w:rPr>
      </w:pPr>
      <w:r w:rsidRPr="00BA0373">
        <w:rPr>
          <w:rFonts w:ascii="Times New Roman" w:hAnsi="Times New Roman" w:cs="Times New Roman"/>
          <w:sz w:val="24"/>
          <w:szCs w:val="24"/>
          <w:lang w:val="en-US"/>
        </w:rPr>
        <w:t>Figure S</w:t>
      </w:r>
      <w:r w:rsidR="00446F13">
        <w:rPr>
          <w:rFonts w:ascii="Times New Roman" w:hAnsi="Times New Roman" w:cs="Times New Roman"/>
          <w:sz w:val="24"/>
          <w:szCs w:val="24"/>
          <w:lang w:val="en-US"/>
        </w:rPr>
        <w:t>4</w:t>
      </w:r>
      <w:r w:rsidRPr="00BA0373">
        <w:rPr>
          <w:rFonts w:ascii="Times New Roman" w:hAnsi="Times New Roman" w:cs="Times New Roman"/>
          <w:sz w:val="24"/>
          <w:szCs w:val="24"/>
          <w:lang w:val="en-US"/>
        </w:rPr>
        <w:t xml:space="preserve"> illustrates dose-response curves for ADHD symptom domains</w:t>
      </w:r>
      <w:r>
        <w:rPr>
          <w:rFonts w:ascii="Times New Roman" w:hAnsi="Times New Roman" w:cs="Times New Roman"/>
          <w:sz w:val="24"/>
          <w:szCs w:val="24"/>
          <w:lang w:val="en-US"/>
        </w:rPr>
        <w:t xml:space="preserve"> </w:t>
      </w:r>
      <w:r w:rsidRPr="00BA0373">
        <w:rPr>
          <w:rFonts w:ascii="Times New Roman" w:hAnsi="Times New Roman" w:cs="Times New Roman"/>
          <w:sz w:val="24"/>
          <w:szCs w:val="24"/>
          <w:lang w:val="en-US"/>
        </w:rPr>
        <w:t>– there were not large differences in the dose effects of MPH-equivalents and AMP-equivalents on inattention and hyperactivity/impulsivity symptoms.</w:t>
      </w:r>
      <w:r>
        <w:rPr>
          <w:rFonts w:ascii="Times New Roman" w:hAnsi="Times New Roman" w:cs="Times New Roman"/>
          <w:sz w:val="24"/>
          <w:szCs w:val="24"/>
          <w:lang w:val="en-US"/>
        </w:rPr>
        <w:t xml:space="preserve"> </w:t>
      </w:r>
      <w:r w:rsidR="003222AB" w:rsidRPr="00BA0373">
        <w:rPr>
          <w:rFonts w:ascii="Times New Roman" w:hAnsi="Times New Roman" w:cs="Times New Roman"/>
          <w:sz w:val="24"/>
          <w:szCs w:val="24"/>
          <w:lang w:val="en-US"/>
        </w:rPr>
        <w:t>Figure S</w:t>
      </w:r>
      <w:r w:rsidR="00446F13">
        <w:rPr>
          <w:rFonts w:ascii="Times New Roman" w:hAnsi="Times New Roman" w:cs="Times New Roman"/>
          <w:sz w:val="24"/>
          <w:szCs w:val="24"/>
          <w:lang w:val="en-US"/>
        </w:rPr>
        <w:t>5</w:t>
      </w:r>
      <w:r w:rsidR="003222AB" w:rsidRPr="00BA0373">
        <w:rPr>
          <w:rFonts w:ascii="Times New Roman" w:hAnsi="Times New Roman" w:cs="Times New Roman"/>
          <w:sz w:val="24"/>
          <w:szCs w:val="24"/>
          <w:lang w:val="en-US"/>
        </w:rPr>
        <w:t xml:space="preserve"> to S</w:t>
      </w:r>
      <w:r w:rsidR="00446F13">
        <w:rPr>
          <w:rFonts w:ascii="Times New Roman" w:hAnsi="Times New Roman" w:cs="Times New Roman"/>
          <w:sz w:val="24"/>
          <w:szCs w:val="24"/>
          <w:lang w:val="en-US"/>
        </w:rPr>
        <w:t>9</w:t>
      </w:r>
      <w:r w:rsidR="003222AB" w:rsidRPr="00BA0373">
        <w:rPr>
          <w:rFonts w:ascii="Times New Roman" w:hAnsi="Times New Roman" w:cs="Times New Roman"/>
          <w:sz w:val="24"/>
          <w:szCs w:val="24"/>
          <w:lang w:val="en-US"/>
        </w:rPr>
        <w:t xml:space="preserve"> illustrate the dose-response curves for analyses after excluding studies with moderate/high RoB, doses determined by weight, crossover design, concomitant psychotherapy and less than two weeks of duration. Findings remained stable across all sensitivity analyses. </w:t>
      </w:r>
    </w:p>
    <w:p w14:paraId="000000E6" w14:textId="228465F9" w:rsidR="00252EC4" w:rsidRPr="00BA0373" w:rsidRDefault="003222AB" w:rsidP="00C6347F">
      <w:pPr>
        <w:spacing w:before="360" w:line="480" w:lineRule="auto"/>
        <w:rPr>
          <w:rFonts w:ascii="Times New Roman" w:hAnsi="Times New Roman" w:cs="Times New Roman"/>
          <w:b/>
          <w:sz w:val="24"/>
          <w:szCs w:val="24"/>
          <w:lang w:val="en-US"/>
        </w:rPr>
      </w:pPr>
      <w:r w:rsidRPr="00BA0373">
        <w:rPr>
          <w:rFonts w:ascii="Times New Roman" w:hAnsi="Times New Roman" w:cs="Times New Roman"/>
          <w:b/>
          <w:sz w:val="24"/>
          <w:szCs w:val="24"/>
          <w:lang w:val="en-US"/>
        </w:rPr>
        <w:t>DISCUSSION</w:t>
      </w:r>
    </w:p>
    <w:p w14:paraId="000000E7" w14:textId="66ED578E" w:rsidR="00252EC4" w:rsidRPr="00BA0373" w:rsidRDefault="003222AB" w:rsidP="00E06874">
      <w:pPr>
        <w:spacing w:line="480" w:lineRule="auto"/>
        <w:ind w:firstLine="700"/>
        <w:rPr>
          <w:rFonts w:ascii="Times New Roman" w:hAnsi="Times New Roman" w:cs="Times New Roman"/>
          <w:sz w:val="24"/>
          <w:szCs w:val="24"/>
          <w:lang w:val="en-US"/>
        </w:rPr>
      </w:pPr>
      <w:r w:rsidRPr="00BA0373">
        <w:rPr>
          <w:rFonts w:ascii="Times New Roman" w:hAnsi="Times New Roman" w:cs="Times New Roman"/>
          <w:sz w:val="24"/>
          <w:szCs w:val="24"/>
          <w:lang w:val="en-US"/>
        </w:rPr>
        <w:t>We conducted the first meta-analysis [5</w:t>
      </w:r>
      <w:r w:rsidR="0067766E">
        <w:rPr>
          <w:rFonts w:ascii="Times New Roman" w:hAnsi="Times New Roman" w:cs="Times New Roman"/>
          <w:sz w:val="24"/>
          <w:szCs w:val="24"/>
          <w:lang w:val="en-US"/>
        </w:rPr>
        <w:t>5</w:t>
      </w:r>
      <w:r w:rsidRPr="00BA0373">
        <w:rPr>
          <w:rFonts w:ascii="Times New Roman" w:hAnsi="Times New Roman" w:cs="Times New Roman"/>
          <w:sz w:val="24"/>
          <w:szCs w:val="24"/>
          <w:lang w:val="en-US"/>
        </w:rPr>
        <w:t>] evaluating the effects of doses of MPH and AMP on clinical outcomes for children and</w:t>
      </w:r>
      <w:r w:rsidR="00D3277A">
        <w:rPr>
          <w:rFonts w:ascii="Times New Roman" w:hAnsi="Times New Roman" w:cs="Times New Roman"/>
          <w:sz w:val="24"/>
          <w:szCs w:val="24"/>
          <w:lang w:val="en-US"/>
        </w:rPr>
        <w:t xml:space="preserve"> </w:t>
      </w:r>
      <w:r w:rsidRPr="00BA0373">
        <w:rPr>
          <w:rFonts w:ascii="Times New Roman" w:hAnsi="Times New Roman" w:cs="Times New Roman"/>
          <w:sz w:val="24"/>
          <w:szCs w:val="24"/>
          <w:lang w:val="en-US"/>
        </w:rPr>
        <w:t xml:space="preserve">adolescents treated for ADHD. </w:t>
      </w:r>
      <w:r w:rsidR="00C43450">
        <w:rPr>
          <w:rFonts w:ascii="Times New Roman" w:hAnsi="Times New Roman" w:cs="Times New Roman"/>
          <w:sz w:val="24"/>
          <w:szCs w:val="24"/>
          <w:lang w:val="en-US"/>
        </w:rPr>
        <w:t xml:space="preserve">Fixed-dose trials are invaluable because they enable </w:t>
      </w:r>
      <w:r w:rsidR="00066E69">
        <w:rPr>
          <w:rFonts w:ascii="Times New Roman" w:hAnsi="Times New Roman" w:cs="Times New Roman"/>
          <w:sz w:val="24"/>
          <w:szCs w:val="24"/>
          <w:lang w:val="en-US"/>
        </w:rPr>
        <w:t>careful</w:t>
      </w:r>
      <w:r w:rsidR="00C43450">
        <w:rPr>
          <w:rFonts w:ascii="Times New Roman" w:hAnsi="Times New Roman" w:cs="Times New Roman"/>
          <w:sz w:val="24"/>
          <w:szCs w:val="24"/>
          <w:lang w:val="en-US"/>
        </w:rPr>
        <w:t xml:space="preserve"> examinations of dose-dependency and provide important information regarding efficacy and safety of new medications </w:t>
      </w:r>
      <w:r w:rsidR="00C004E9">
        <w:rPr>
          <w:rFonts w:ascii="Times New Roman" w:hAnsi="Times New Roman" w:cs="Times New Roman"/>
          <w:sz w:val="24"/>
          <w:szCs w:val="24"/>
          <w:lang w:val="en-US"/>
        </w:rPr>
        <w:t>in the</w:t>
      </w:r>
      <w:r w:rsidR="00C43450">
        <w:rPr>
          <w:rFonts w:ascii="Times New Roman" w:hAnsi="Times New Roman" w:cs="Times New Roman"/>
          <w:sz w:val="24"/>
          <w:szCs w:val="24"/>
          <w:lang w:val="en-US"/>
        </w:rPr>
        <w:t xml:space="preserve"> drug development</w:t>
      </w:r>
      <w:r w:rsidR="00C004E9">
        <w:rPr>
          <w:rFonts w:ascii="Times New Roman" w:hAnsi="Times New Roman" w:cs="Times New Roman"/>
          <w:sz w:val="24"/>
          <w:szCs w:val="24"/>
          <w:lang w:val="en-US"/>
        </w:rPr>
        <w:t xml:space="preserve"> process</w:t>
      </w:r>
      <w:r w:rsidR="00C43450">
        <w:rPr>
          <w:rFonts w:ascii="Times New Roman" w:hAnsi="Times New Roman" w:cs="Times New Roman"/>
          <w:sz w:val="24"/>
          <w:szCs w:val="24"/>
          <w:lang w:val="en-US"/>
        </w:rPr>
        <w:t xml:space="preserve"> [</w:t>
      </w:r>
      <w:r w:rsidR="0067766E">
        <w:rPr>
          <w:rFonts w:ascii="Times New Roman" w:hAnsi="Times New Roman" w:cs="Times New Roman"/>
          <w:sz w:val="24"/>
          <w:szCs w:val="24"/>
          <w:lang w:val="en-US"/>
        </w:rPr>
        <w:t>20</w:t>
      </w:r>
      <w:r w:rsidR="00C43450">
        <w:rPr>
          <w:rFonts w:ascii="Times New Roman" w:hAnsi="Times New Roman" w:cs="Times New Roman"/>
          <w:sz w:val="24"/>
          <w:szCs w:val="24"/>
          <w:lang w:val="en-US"/>
        </w:rPr>
        <w:t xml:space="preserve">]. However, flexible-dose trials </w:t>
      </w:r>
      <w:r w:rsidR="00C004E9">
        <w:rPr>
          <w:rFonts w:ascii="Times New Roman" w:hAnsi="Times New Roman" w:cs="Times New Roman"/>
          <w:sz w:val="24"/>
          <w:szCs w:val="24"/>
          <w:lang w:val="en-US"/>
        </w:rPr>
        <w:t xml:space="preserve">relate more closely to the clinical practice and their procedures </w:t>
      </w:r>
      <w:r w:rsidR="00F46699">
        <w:rPr>
          <w:rFonts w:ascii="Times New Roman" w:hAnsi="Times New Roman" w:cs="Times New Roman"/>
          <w:sz w:val="24"/>
          <w:szCs w:val="24"/>
          <w:lang w:val="en-US"/>
        </w:rPr>
        <w:t>(</w:t>
      </w:r>
      <w:r w:rsidR="00C004E9">
        <w:rPr>
          <w:rFonts w:ascii="Times New Roman" w:hAnsi="Times New Roman" w:cs="Times New Roman"/>
          <w:sz w:val="24"/>
          <w:szCs w:val="24"/>
          <w:lang w:val="en-US"/>
        </w:rPr>
        <w:t>individualized decisions to increase/decrease doses</w:t>
      </w:r>
      <w:r w:rsidR="00C004E9" w:rsidRPr="00C004E9">
        <w:rPr>
          <w:rFonts w:ascii="Times New Roman" w:hAnsi="Times New Roman" w:cs="Times New Roman"/>
          <w:sz w:val="24"/>
          <w:szCs w:val="24"/>
          <w:lang w:val="en-US"/>
        </w:rPr>
        <w:t xml:space="preserve"> </w:t>
      </w:r>
      <w:r w:rsidR="00C004E9">
        <w:rPr>
          <w:rFonts w:ascii="Times New Roman" w:hAnsi="Times New Roman" w:cs="Times New Roman"/>
          <w:sz w:val="24"/>
          <w:szCs w:val="24"/>
          <w:lang w:val="en-US"/>
        </w:rPr>
        <w:t xml:space="preserve">considering the patients’ ADHD symptom severity and intolerable </w:t>
      </w:r>
      <w:r w:rsidR="00DC58F3">
        <w:rPr>
          <w:rFonts w:ascii="Times New Roman" w:hAnsi="Times New Roman" w:cs="Times New Roman"/>
          <w:sz w:val="24"/>
          <w:szCs w:val="24"/>
          <w:lang w:val="en-US"/>
        </w:rPr>
        <w:t>AEs</w:t>
      </w:r>
      <w:r w:rsidR="00F46699">
        <w:rPr>
          <w:rFonts w:ascii="Times New Roman" w:hAnsi="Times New Roman" w:cs="Times New Roman"/>
          <w:sz w:val="24"/>
          <w:szCs w:val="24"/>
          <w:lang w:val="en-US"/>
        </w:rPr>
        <w:t>)</w:t>
      </w:r>
      <w:r w:rsidR="00C004E9">
        <w:rPr>
          <w:rFonts w:ascii="Times New Roman" w:hAnsi="Times New Roman" w:cs="Times New Roman"/>
          <w:sz w:val="24"/>
          <w:szCs w:val="24"/>
          <w:lang w:val="en-US"/>
        </w:rPr>
        <w:t xml:space="preserve"> might contribute to maximize the benefits and diminish the detriments of the higher doses. In our analyses, we found significant dose-response associations between </w:t>
      </w:r>
      <w:r w:rsidR="00E06874">
        <w:rPr>
          <w:rFonts w:ascii="Times New Roman" w:hAnsi="Times New Roman" w:cs="Times New Roman"/>
          <w:sz w:val="24"/>
          <w:szCs w:val="24"/>
          <w:lang w:val="en-US"/>
        </w:rPr>
        <w:t>stimulant</w:t>
      </w:r>
      <w:r w:rsidR="00C004E9">
        <w:rPr>
          <w:rFonts w:ascii="Times New Roman" w:hAnsi="Times New Roman" w:cs="Times New Roman"/>
          <w:sz w:val="24"/>
          <w:szCs w:val="24"/>
          <w:lang w:val="en-US"/>
        </w:rPr>
        <w:t xml:space="preserve"> doses and efficacy and tolerability in fixed-dose trials</w:t>
      </w:r>
      <w:r w:rsidR="00E06874">
        <w:rPr>
          <w:rFonts w:ascii="Times New Roman" w:hAnsi="Times New Roman" w:cs="Times New Roman"/>
          <w:sz w:val="24"/>
          <w:szCs w:val="24"/>
          <w:lang w:val="en-US"/>
        </w:rPr>
        <w:t xml:space="preserve"> for both MPH and AMP</w:t>
      </w:r>
      <w:r w:rsidR="00C004E9">
        <w:rPr>
          <w:rFonts w:ascii="Times New Roman" w:hAnsi="Times New Roman" w:cs="Times New Roman"/>
          <w:sz w:val="24"/>
          <w:szCs w:val="24"/>
          <w:lang w:val="en-US"/>
        </w:rPr>
        <w:t xml:space="preserve">. More specifically, </w:t>
      </w:r>
      <w:r w:rsidR="003B1ADC">
        <w:rPr>
          <w:rFonts w:ascii="Times New Roman" w:hAnsi="Times New Roman" w:cs="Times New Roman"/>
          <w:sz w:val="24"/>
          <w:szCs w:val="24"/>
          <w:lang w:val="en-US"/>
        </w:rPr>
        <w:t xml:space="preserve">we found </w:t>
      </w:r>
      <w:r w:rsidR="00C004E9" w:rsidRPr="00BA0373">
        <w:rPr>
          <w:rFonts w:ascii="Times New Roman" w:hAnsi="Times New Roman" w:cs="Times New Roman"/>
          <w:sz w:val="24"/>
          <w:szCs w:val="24"/>
          <w:lang w:val="en-US"/>
        </w:rPr>
        <w:t xml:space="preserve">increased </w:t>
      </w:r>
      <w:r w:rsidR="00AF7D6E">
        <w:rPr>
          <w:rFonts w:ascii="Times New Roman" w:hAnsi="Times New Roman" w:cs="Times New Roman"/>
          <w:sz w:val="24"/>
          <w:szCs w:val="24"/>
          <w:lang w:val="en-US"/>
        </w:rPr>
        <w:t>reductions in ADHD symptoms</w:t>
      </w:r>
      <w:r w:rsidR="00C004E9" w:rsidRPr="00BA0373">
        <w:rPr>
          <w:rFonts w:ascii="Times New Roman" w:hAnsi="Times New Roman" w:cs="Times New Roman"/>
          <w:sz w:val="24"/>
          <w:szCs w:val="24"/>
          <w:lang w:val="en-US"/>
        </w:rPr>
        <w:t xml:space="preserve"> and increased likelihood of discontinuation due to </w:t>
      </w:r>
      <w:r w:rsidR="00DC58F3">
        <w:rPr>
          <w:rFonts w:ascii="Times New Roman" w:hAnsi="Times New Roman" w:cs="Times New Roman"/>
          <w:sz w:val="24"/>
          <w:szCs w:val="24"/>
          <w:lang w:val="en-US"/>
        </w:rPr>
        <w:t>AEs</w:t>
      </w:r>
      <w:r w:rsidR="00C004E9" w:rsidRPr="00BA0373">
        <w:rPr>
          <w:rFonts w:ascii="Times New Roman" w:hAnsi="Times New Roman" w:cs="Times New Roman"/>
          <w:sz w:val="24"/>
          <w:szCs w:val="24"/>
          <w:lang w:val="en-US"/>
        </w:rPr>
        <w:t xml:space="preserve"> with increasing doses of stimulants. </w:t>
      </w:r>
      <w:r w:rsidR="00AF7D6E">
        <w:rPr>
          <w:rFonts w:ascii="Times New Roman" w:hAnsi="Times New Roman" w:cs="Times New Roman"/>
          <w:sz w:val="24"/>
          <w:szCs w:val="24"/>
          <w:lang w:val="en-US"/>
        </w:rPr>
        <w:t>However, t</w:t>
      </w:r>
      <w:r w:rsidR="00C004E9" w:rsidRPr="00BA0373">
        <w:rPr>
          <w:rFonts w:ascii="Times New Roman" w:hAnsi="Times New Roman" w:cs="Times New Roman"/>
          <w:sz w:val="24"/>
          <w:szCs w:val="24"/>
          <w:lang w:val="en-US"/>
        </w:rPr>
        <w:t xml:space="preserve">he </w:t>
      </w:r>
      <w:r w:rsidR="00AF7D6E">
        <w:rPr>
          <w:rFonts w:ascii="Times New Roman" w:hAnsi="Times New Roman" w:cs="Times New Roman"/>
          <w:sz w:val="24"/>
          <w:szCs w:val="24"/>
          <w:lang w:val="en-US"/>
        </w:rPr>
        <w:t>added gains in efficacy</w:t>
      </w:r>
      <w:r w:rsidR="00C004E9" w:rsidRPr="00BA0373">
        <w:rPr>
          <w:rFonts w:ascii="Times New Roman" w:hAnsi="Times New Roman" w:cs="Times New Roman"/>
          <w:sz w:val="24"/>
          <w:szCs w:val="24"/>
          <w:lang w:val="en-US"/>
        </w:rPr>
        <w:t xml:space="preserve"> decreased beyond 30mg of MPH or 20mg of AMP in fixed-dosed trials</w:t>
      </w:r>
      <w:r w:rsidR="00C004E9">
        <w:rPr>
          <w:rFonts w:ascii="Times New Roman" w:hAnsi="Times New Roman" w:cs="Times New Roman"/>
          <w:sz w:val="24"/>
          <w:szCs w:val="24"/>
          <w:lang w:val="en-US"/>
        </w:rPr>
        <w:t xml:space="preserve">. In contrast, </w:t>
      </w:r>
      <w:r w:rsidR="00AF7D6E">
        <w:rPr>
          <w:rFonts w:ascii="Times New Roman" w:hAnsi="Times New Roman" w:cs="Times New Roman"/>
          <w:sz w:val="24"/>
          <w:szCs w:val="24"/>
          <w:lang w:val="en-US"/>
        </w:rPr>
        <w:t xml:space="preserve">we found significant dose-response associations between </w:t>
      </w:r>
      <w:r w:rsidR="00E06874">
        <w:rPr>
          <w:rFonts w:ascii="Times New Roman" w:hAnsi="Times New Roman" w:cs="Times New Roman"/>
          <w:sz w:val="24"/>
          <w:szCs w:val="24"/>
          <w:lang w:val="en-US"/>
        </w:rPr>
        <w:t>stimulant</w:t>
      </w:r>
      <w:r w:rsidR="00AF7D6E">
        <w:rPr>
          <w:rFonts w:ascii="Times New Roman" w:hAnsi="Times New Roman" w:cs="Times New Roman"/>
          <w:sz w:val="24"/>
          <w:szCs w:val="24"/>
          <w:lang w:val="en-US"/>
        </w:rPr>
        <w:t xml:space="preserve"> doses and efficacy and acceptability </w:t>
      </w:r>
      <w:r w:rsidR="00F46699">
        <w:rPr>
          <w:rFonts w:ascii="Times New Roman" w:hAnsi="Times New Roman" w:cs="Times New Roman"/>
          <w:sz w:val="24"/>
          <w:szCs w:val="24"/>
          <w:lang w:val="en-US"/>
        </w:rPr>
        <w:t xml:space="preserve">in flexible-dose </w:t>
      </w:r>
      <w:r w:rsidR="00F46699">
        <w:rPr>
          <w:rFonts w:ascii="Times New Roman" w:hAnsi="Times New Roman" w:cs="Times New Roman"/>
          <w:sz w:val="24"/>
          <w:szCs w:val="24"/>
          <w:lang w:val="en-US"/>
        </w:rPr>
        <w:lastRenderedPageBreak/>
        <w:t>trials</w:t>
      </w:r>
      <w:r w:rsidR="00E06874">
        <w:rPr>
          <w:rFonts w:ascii="Times New Roman" w:hAnsi="Times New Roman" w:cs="Times New Roman"/>
          <w:sz w:val="24"/>
          <w:szCs w:val="24"/>
          <w:lang w:val="en-US"/>
        </w:rPr>
        <w:t xml:space="preserve"> for both MPH and AMP</w:t>
      </w:r>
      <w:r w:rsidR="00F46699">
        <w:rPr>
          <w:rFonts w:ascii="Times New Roman" w:hAnsi="Times New Roman" w:cs="Times New Roman"/>
          <w:sz w:val="24"/>
          <w:szCs w:val="24"/>
          <w:lang w:val="en-US"/>
        </w:rPr>
        <w:t>. More specifically, we found</w:t>
      </w:r>
      <w:r w:rsidR="00C004E9" w:rsidRPr="00BA0373">
        <w:rPr>
          <w:rFonts w:ascii="Times New Roman" w:hAnsi="Times New Roman" w:cs="Times New Roman"/>
          <w:sz w:val="24"/>
          <w:szCs w:val="24"/>
          <w:lang w:val="en-US"/>
        </w:rPr>
        <w:t xml:space="preserve"> </w:t>
      </w:r>
      <w:r w:rsidR="00C004E9">
        <w:rPr>
          <w:rFonts w:ascii="Times New Roman" w:hAnsi="Times New Roman" w:cs="Times New Roman"/>
          <w:sz w:val="24"/>
          <w:szCs w:val="24"/>
          <w:lang w:val="en-US"/>
        </w:rPr>
        <w:t>increased</w:t>
      </w:r>
      <w:r w:rsidR="00C004E9" w:rsidRPr="00BA0373">
        <w:rPr>
          <w:rFonts w:ascii="Times New Roman" w:hAnsi="Times New Roman" w:cs="Times New Roman"/>
          <w:sz w:val="24"/>
          <w:szCs w:val="24"/>
          <w:lang w:val="en-US"/>
        </w:rPr>
        <w:t xml:space="preserve"> </w:t>
      </w:r>
      <w:r w:rsidR="00F46699">
        <w:rPr>
          <w:rFonts w:ascii="Times New Roman" w:hAnsi="Times New Roman" w:cs="Times New Roman"/>
          <w:sz w:val="24"/>
          <w:szCs w:val="24"/>
          <w:lang w:val="en-US"/>
        </w:rPr>
        <w:t>reductions in ADHD symptoms</w:t>
      </w:r>
      <w:r w:rsidR="00F46699" w:rsidRPr="00BA0373">
        <w:rPr>
          <w:rFonts w:ascii="Times New Roman" w:hAnsi="Times New Roman" w:cs="Times New Roman"/>
          <w:sz w:val="24"/>
          <w:szCs w:val="24"/>
          <w:lang w:val="en-US"/>
        </w:rPr>
        <w:t xml:space="preserve"> </w:t>
      </w:r>
      <w:r w:rsidR="00C004E9" w:rsidRPr="00BA0373">
        <w:rPr>
          <w:rFonts w:ascii="Times New Roman" w:hAnsi="Times New Roman" w:cs="Times New Roman"/>
          <w:sz w:val="24"/>
          <w:szCs w:val="24"/>
          <w:lang w:val="en-US"/>
        </w:rPr>
        <w:t xml:space="preserve">and reduced </w:t>
      </w:r>
      <w:r w:rsidR="00C004E9">
        <w:rPr>
          <w:rFonts w:ascii="Times New Roman" w:hAnsi="Times New Roman" w:cs="Times New Roman"/>
          <w:sz w:val="24"/>
          <w:szCs w:val="24"/>
          <w:lang w:val="en-US"/>
        </w:rPr>
        <w:t xml:space="preserve">likelihood of discontinuations for any reason </w:t>
      </w:r>
      <w:r w:rsidR="00C004E9" w:rsidRPr="00BA0373">
        <w:rPr>
          <w:rFonts w:ascii="Times New Roman" w:hAnsi="Times New Roman" w:cs="Times New Roman"/>
          <w:sz w:val="24"/>
          <w:szCs w:val="24"/>
          <w:lang w:val="en-US"/>
        </w:rPr>
        <w:t>with increasing stimulant doses</w:t>
      </w:r>
      <w:r w:rsidR="00C004E9">
        <w:rPr>
          <w:rFonts w:ascii="Times New Roman" w:hAnsi="Times New Roman" w:cs="Times New Roman"/>
          <w:sz w:val="24"/>
          <w:szCs w:val="24"/>
          <w:lang w:val="en-US"/>
        </w:rPr>
        <w:t>. T</w:t>
      </w:r>
      <w:r w:rsidR="00C004E9" w:rsidRPr="00BA0373">
        <w:rPr>
          <w:rFonts w:ascii="Times New Roman" w:hAnsi="Times New Roman" w:cs="Times New Roman"/>
          <w:sz w:val="24"/>
          <w:szCs w:val="24"/>
          <w:lang w:val="en-US"/>
        </w:rPr>
        <w:t xml:space="preserve">he </w:t>
      </w:r>
      <w:r w:rsidR="00F46699">
        <w:rPr>
          <w:rFonts w:ascii="Times New Roman" w:hAnsi="Times New Roman" w:cs="Times New Roman"/>
          <w:sz w:val="24"/>
          <w:szCs w:val="24"/>
          <w:lang w:val="en-US"/>
        </w:rPr>
        <w:t>added gains</w:t>
      </w:r>
      <w:r w:rsidR="00C004E9" w:rsidRPr="00BA0373">
        <w:rPr>
          <w:rFonts w:ascii="Times New Roman" w:hAnsi="Times New Roman" w:cs="Times New Roman"/>
          <w:sz w:val="24"/>
          <w:szCs w:val="24"/>
          <w:lang w:val="en-US"/>
        </w:rPr>
        <w:t xml:space="preserve"> </w:t>
      </w:r>
      <w:r w:rsidR="00F46699">
        <w:rPr>
          <w:rFonts w:ascii="Times New Roman" w:hAnsi="Times New Roman" w:cs="Times New Roman"/>
          <w:sz w:val="24"/>
          <w:szCs w:val="24"/>
          <w:lang w:val="en-US"/>
        </w:rPr>
        <w:t>in</w:t>
      </w:r>
      <w:r w:rsidR="00C004E9" w:rsidRPr="00BA0373">
        <w:rPr>
          <w:rFonts w:ascii="Times New Roman" w:hAnsi="Times New Roman" w:cs="Times New Roman"/>
          <w:sz w:val="24"/>
          <w:szCs w:val="24"/>
          <w:lang w:val="en-US"/>
        </w:rPr>
        <w:t xml:space="preserve"> efficacy remained </w:t>
      </w:r>
      <w:r w:rsidR="00C004E9">
        <w:rPr>
          <w:rFonts w:ascii="Times New Roman" w:hAnsi="Times New Roman" w:cs="Times New Roman"/>
          <w:sz w:val="24"/>
          <w:szCs w:val="24"/>
          <w:lang w:val="en-US"/>
        </w:rPr>
        <w:t>constant</w:t>
      </w:r>
      <w:r w:rsidR="00C004E9" w:rsidRPr="00BA0373">
        <w:rPr>
          <w:rFonts w:ascii="Times New Roman" w:hAnsi="Times New Roman" w:cs="Times New Roman"/>
          <w:sz w:val="24"/>
          <w:szCs w:val="24"/>
          <w:lang w:val="en-US"/>
        </w:rPr>
        <w:t xml:space="preserve"> </w:t>
      </w:r>
      <w:r w:rsidR="00C004E9">
        <w:rPr>
          <w:rFonts w:ascii="Times New Roman" w:hAnsi="Times New Roman" w:cs="Times New Roman"/>
          <w:sz w:val="24"/>
          <w:szCs w:val="24"/>
          <w:lang w:val="en-US"/>
        </w:rPr>
        <w:t>across the FDA-licensed dose range for MPH and AMP in flexible-dose trials</w:t>
      </w:r>
      <w:r w:rsidR="00C004E9" w:rsidRPr="00BA0373">
        <w:rPr>
          <w:rFonts w:ascii="Times New Roman" w:hAnsi="Times New Roman" w:cs="Times New Roman"/>
          <w:sz w:val="24"/>
          <w:szCs w:val="24"/>
          <w:lang w:val="en-US"/>
        </w:rPr>
        <w:t xml:space="preserve">. </w:t>
      </w:r>
      <w:r w:rsidRPr="00BA0373">
        <w:rPr>
          <w:rFonts w:ascii="Times New Roman" w:hAnsi="Times New Roman" w:cs="Times New Roman"/>
          <w:sz w:val="24"/>
          <w:szCs w:val="24"/>
          <w:lang w:val="en-US"/>
        </w:rPr>
        <w:t xml:space="preserve">Taken together, our findings </w:t>
      </w:r>
      <w:r w:rsidR="00C6347F">
        <w:rPr>
          <w:rFonts w:ascii="Times New Roman" w:hAnsi="Times New Roman" w:cs="Times New Roman"/>
          <w:sz w:val="24"/>
          <w:szCs w:val="24"/>
          <w:lang w:val="en-US"/>
        </w:rPr>
        <w:t>from</w:t>
      </w:r>
      <w:r w:rsidRPr="00BA0373">
        <w:rPr>
          <w:rFonts w:ascii="Times New Roman" w:hAnsi="Times New Roman" w:cs="Times New Roman"/>
          <w:sz w:val="24"/>
          <w:szCs w:val="24"/>
          <w:lang w:val="en-US"/>
        </w:rPr>
        <w:t xml:space="preserve"> fixed-dose and flexible-dose studies provided compelling evidence in favor of </w:t>
      </w:r>
      <w:r w:rsidR="00E06874">
        <w:rPr>
          <w:rFonts w:ascii="Times New Roman" w:hAnsi="Times New Roman" w:cs="Times New Roman"/>
          <w:sz w:val="24"/>
          <w:szCs w:val="24"/>
          <w:lang w:val="en-US"/>
        </w:rPr>
        <w:t xml:space="preserve">titrating doses up to the maximum FDA-licensed doses unless </w:t>
      </w:r>
      <w:r w:rsidR="00E06874" w:rsidRPr="00BA0373">
        <w:rPr>
          <w:rFonts w:ascii="Times New Roman" w:hAnsi="Times New Roman" w:cs="Times New Roman"/>
          <w:sz w:val="24"/>
          <w:szCs w:val="24"/>
          <w:lang w:val="en-US"/>
        </w:rPr>
        <w:t xml:space="preserve">ADHD symptom </w:t>
      </w:r>
      <w:r w:rsidR="00E06874">
        <w:rPr>
          <w:rFonts w:ascii="Times New Roman" w:hAnsi="Times New Roman" w:cs="Times New Roman"/>
          <w:sz w:val="24"/>
          <w:szCs w:val="24"/>
          <w:lang w:val="en-US"/>
        </w:rPr>
        <w:t>severity diminishes to the point where there is little room for further improvement</w:t>
      </w:r>
      <w:r w:rsidR="00E06874" w:rsidRPr="00BA0373">
        <w:rPr>
          <w:rFonts w:ascii="Times New Roman" w:hAnsi="Times New Roman" w:cs="Times New Roman"/>
          <w:sz w:val="24"/>
          <w:szCs w:val="24"/>
          <w:lang w:val="en-US"/>
        </w:rPr>
        <w:t xml:space="preserve">, or dose-limiting </w:t>
      </w:r>
      <w:r w:rsidR="003C2C9B">
        <w:rPr>
          <w:rFonts w:ascii="Times New Roman" w:hAnsi="Times New Roman" w:cs="Times New Roman"/>
          <w:sz w:val="24"/>
          <w:szCs w:val="24"/>
          <w:lang w:val="en-US"/>
        </w:rPr>
        <w:t>AEs</w:t>
      </w:r>
      <w:r w:rsidR="00E06874" w:rsidRPr="00BA0373">
        <w:rPr>
          <w:rFonts w:ascii="Times New Roman" w:hAnsi="Times New Roman" w:cs="Times New Roman"/>
          <w:sz w:val="24"/>
          <w:szCs w:val="24"/>
          <w:lang w:val="en-US"/>
        </w:rPr>
        <w:t xml:space="preserve"> appear</w:t>
      </w:r>
      <w:r w:rsidR="003C2C9B">
        <w:rPr>
          <w:rFonts w:ascii="Times New Roman" w:hAnsi="Times New Roman" w:cs="Times New Roman"/>
          <w:sz w:val="24"/>
          <w:szCs w:val="24"/>
          <w:lang w:val="en-US"/>
        </w:rPr>
        <w:t>,</w:t>
      </w:r>
      <w:r w:rsidRPr="00BA0373">
        <w:rPr>
          <w:rFonts w:ascii="Times New Roman" w:hAnsi="Times New Roman" w:cs="Times New Roman"/>
          <w:sz w:val="24"/>
          <w:szCs w:val="24"/>
          <w:lang w:val="en-US"/>
        </w:rPr>
        <w:t xml:space="preserve"> in the management of ADHD in children/adolescents</w:t>
      </w:r>
      <w:r w:rsidR="003C2C9B">
        <w:rPr>
          <w:rFonts w:ascii="Times New Roman" w:hAnsi="Times New Roman" w:cs="Times New Roman"/>
          <w:sz w:val="24"/>
          <w:szCs w:val="24"/>
          <w:lang w:val="en-US"/>
        </w:rPr>
        <w:t>.</w:t>
      </w:r>
    </w:p>
    <w:p w14:paraId="000000E8" w14:textId="50D33995" w:rsidR="00252EC4" w:rsidRPr="00BA0373" w:rsidRDefault="003222AB" w:rsidP="0012522B">
      <w:pPr>
        <w:spacing w:line="480" w:lineRule="auto"/>
        <w:ind w:firstLine="700"/>
        <w:rPr>
          <w:rFonts w:ascii="Times New Roman" w:hAnsi="Times New Roman" w:cs="Times New Roman"/>
          <w:sz w:val="24"/>
          <w:szCs w:val="24"/>
          <w:lang w:val="en-US"/>
        </w:rPr>
      </w:pPr>
      <w:r w:rsidRPr="00BA0373">
        <w:rPr>
          <w:rFonts w:ascii="Times New Roman" w:hAnsi="Times New Roman" w:cs="Times New Roman"/>
          <w:sz w:val="24"/>
          <w:szCs w:val="24"/>
          <w:lang w:val="en-US"/>
        </w:rPr>
        <w:t>Clinical practice guidelines recommend flexible titration of stimulants in the management of ADHD in children/adolescents</w:t>
      </w:r>
      <w:r w:rsidR="004A02E7">
        <w:rPr>
          <w:rFonts w:ascii="Times New Roman" w:hAnsi="Times New Roman" w:cs="Times New Roman"/>
          <w:sz w:val="24"/>
          <w:szCs w:val="24"/>
          <w:lang w:val="en-US"/>
        </w:rPr>
        <w:t xml:space="preserve"> [2-5]</w:t>
      </w:r>
      <w:r w:rsidRPr="00BA0373">
        <w:rPr>
          <w:rFonts w:ascii="Times New Roman" w:hAnsi="Times New Roman" w:cs="Times New Roman"/>
          <w:sz w:val="24"/>
          <w:szCs w:val="24"/>
          <w:lang w:val="en-US"/>
        </w:rPr>
        <w:t>, but evidence from community treated children</w:t>
      </w:r>
      <w:r w:rsidR="00321786">
        <w:rPr>
          <w:rFonts w:ascii="Times New Roman" w:hAnsi="Times New Roman" w:cs="Times New Roman"/>
          <w:sz w:val="24"/>
          <w:szCs w:val="24"/>
          <w:lang w:val="en-US"/>
        </w:rPr>
        <w:t>/adolescents</w:t>
      </w:r>
      <w:r w:rsidRPr="00BA0373">
        <w:rPr>
          <w:rFonts w:ascii="Times New Roman" w:hAnsi="Times New Roman" w:cs="Times New Roman"/>
          <w:sz w:val="24"/>
          <w:szCs w:val="24"/>
          <w:lang w:val="en-US"/>
        </w:rPr>
        <w:t xml:space="preserve"> indicate that a relatively large proportion of children/adolescents (30%-40%) do not undergo dose escalation in routine practice in the US [</w:t>
      </w:r>
      <w:r w:rsidR="004A02E7">
        <w:rPr>
          <w:rFonts w:ascii="Times New Roman" w:hAnsi="Times New Roman" w:cs="Times New Roman"/>
          <w:sz w:val="24"/>
          <w:szCs w:val="24"/>
          <w:lang w:val="en-US"/>
        </w:rPr>
        <w:t>9</w:t>
      </w:r>
      <w:r w:rsidRPr="00BA0373">
        <w:rPr>
          <w:rFonts w:ascii="Times New Roman" w:hAnsi="Times New Roman" w:cs="Times New Roman"/>
          <w:sz w:val="24"/>
          <w:szCs w:val="24"/>
          <w:lang w:val="en-US"/>
        </w:rPr>
        <w:t>, 5</w:t>
      </w:r>
      <w:r w:rsidR="0067766E">
        <w:rPr>
          <w:rFonts w:ascii="Times New Roman" w:hAnsi="Times New Roman" w:cs="Times New Roman"/>
          <w:sz w:val="24"/>
          <w:szCs w:val="24"/>
          <w:lang w:val="en-US"/>
        </w:rPr>
        <w:t>6</w:t>
      </w:r>
      <w:r w:rsidRPr="00BA0373">
        <w:rPr>
          <w:rFonts w:ascii="Times New Roman" w:hAnsi="Times New Roman" w:cs="Times New Roman"/>
          <w:sz w:val="24"/>
          <w:szCs w:val="24"/>
          <w:lang w:val="en-US"/>
        </w:rPr>
        <w:t>], and when they do upwards titration often stops at relatively low doses [</w:t>
      </w:r>
      <w:r w:rsidR="004A02E7">
        <w:rPr>
          <w:rFonts w:ascii="Times New Roman" w:hAnsi="Times New Roman" w:cs="Times New Roman"/>
          <w:sz w:val="24"/>
          <w:szCs w:val="24"/>
          <w:lang w:val="en-US"/>
        </w:rPr>
        <w:t>9</w:t>
      </w:r>
      <w:r w:rsidRPr="00BA0373">
        <w:rPr>
          <w:rFonts w:ascii="Times New Roman" w:hAnsi="Times New Roman" w:cs="Times New Roman"/>
          <w:sz w:val="24"/>
          <w:szCs w:val="24"/>
          <w:lang w:val="en-US"/>
        </w:rPr>
        <w:t>].  Although individual fixed-dose RCTs [5</w:t>
      </w:r>
      <w:r w:rsidR="0067766E">
        <w:rPr>
          <w:rFonts w:ascii="Times New Roman" w:hAnsi="Times New Roman" w:cs="Times New Roman"/>
          <w:sz w:val="24"/>
          <w:szCs w:val="24"/>
          <w:lang w:val="en-US"/>
        </w:rPr>
        <w:t>7</w:t>
      </w:r>
      <w:r w:rsidRPr="00BA0373">
        <w:rPr>
          <w:rFonts w:ascii="Times New Roman" w:hAnsi="Times New Roman" w:cs="Times New Roman"/>
          <w:sz w:val="24"/>
          <w:szCs w:val="24"/>
          <w:lang w:val="en-US"/>
        </w:rPr>
        <w:t>-</w:t>
      </w:r>
      <w:r w:rsidR="0067766E">
        <w:rPr>
          <w:rFonts w:ascii="Times New Roman" w:hAnsi="Times New Roman" w:cs="Times New Roman"/>
          <w:sz w:val="24"/>
          <w:szCs w:val="24"/>
          <w:lang w:val="en-US"/>
        </w:rPr>
        <w:t>60</w:t>
      </w:r>
      <w:r w:rsidRPr="00BA0373">
        <w:rPr>
          <w:rFonts w:ascii="Times New Roman" w:hAnsi="Times New Roman" w:cs="Times New Roman"/>
          <w:sz w:val="24"/>
          <w:szCs w:val="24"/>
          <w:lang w:val="en-US"/>
        </w:rPr>
        <w:t>] had initially suggested</w:t>
      </w:r>
      <w:r w:rsidR="00535465">
        <w:rPr>
          <w:rFonts w:ascii="Times New Roman" w:hAnsi="Times New Roman" w:cs="Times New Roman"/>
          <w:sz w:val="24"/>
          <w:szCs w:val="24"/>
          <w:lang w:val="en-US"/>
        </w:rPr>
        <w:t xml:space="preserve"> that </w:t>
      </w:r>
      <w:r w:rsidRPr="00BA0373">
        <w:rPr>
          <w:rFonts w:ascii="Times New Roman" w:hAnsi="Times New Roman" w:cs="Times New Roman"/>
          <w:sz w:val="24"/>
          <w:szCs w:val="24"/>
          <w:lang w:val="en-US"/>
        </w:rPr>
        <w:t xml:space="preserve">higher doses of stimulants were associated with increased reductions in the severity of ADHD symptoms in children/adolescents, our findings demonstrate that even larger reductions in ADHD symptoms can be achieved </w:t>
      </w:r>
      <w:r w:rsidR="00E06874">
        <w:rPr>
          <w:rFonts w:ascii="Times New Roman" w:hAnsi="Times New Roman" w:cs="Times New Roman"/>
          <w:sz w:val="24"/>
          <w:szCs w:val="24"/>
          <w:lang w:val="en-US"/>
        </w:rPr>
        <w:t>if the</w:t>
      </w:r>
      <w:r w:rsidR="003C2C9B">
        <w:rPr>
          <w:rFonts w:ascii="Times New Roman" w:hAnsi="Times New Roman" w:cs="Times New Roman"/>
          <w:sz w:val="24"/>
          <w:szCs w:val="24"/>
          <w:lang w:val="en-US"/>
        </w:rPr>
        <w:t xml:space="preserve"> decision to use</w:t>
      </w:r>
      <w:r w:rsidR="00E06874">
        <w:rPr>
          <w:rFonts w:ascii="Times New Roman" w:hAnsi="Times New Roman" w:cs="Times New Roman"/>
          <w:sz w:val="24"/>
          <w:szCs w:val="24"/>
          <w:lang w:val="en-US"/>
        </w:rPr>
        <w:t xml:space="preserve"> higher doses</w:t>
      </w:r>
      <w:r w:rsidR="003C2C9B">
        <w:rPr>
          <w:rFonts w:ascii="Times New Roman" w:hAnsi="Times New Roman" w:cs="Times New Roman"/>
          <w:sz w:val="24"/>
          <w:szCs w:val="24"/>
          <w:lang w:val="en-US"/>
        </w:rPr>
        <w:t xml:space="preserve"> is individualized considering</w:t>
      </w:r>
      <w:r w:rsidR="00E06874">
        <w:rPr>
          <w:rFonts w:ascii="Times New Roman" w:hAnsi="Times New Roman" w:cs="Times New Roman"/>
          <w:sz w:val="24"/>
          <w:szCs w:val="24"/>
          <w:lang w:val="en-US"/>
        </w:rPr>
        <w:t xml:space="preserve"> </w:t>
      </w:r>
      <w:r w:rsidR="00535465">
        <w:rPr>
          <w:rFonts w:ascii="Times New Roman" w:hAnsi="Times New Roman" w:cs="Times New Roman"/>
          <w:sz w:val="24"/>
          <w:szCs w:val="24"/>
          <w:lang w:val="en-US"/>
        </w:rPr>
        <w:t>the severity</w:t>
      </w:r>
      <w:r w:rsidR="003C2C9B">
        <w:rPr>
          <w:rFonts w:ascii="Times New Roman" w:hAnsi="Times New Roman" w:cs="Times New Roman"/>
          <w:sz w:val="24"/>
          <w:szCs w:val="24"/>
          <w:lang w:val="en-US"/>
        </w:rPr>
        <w:t xml:space="preserve"> of</w:t>
      </w:r>
      <w:r w:rsidR="00E06874">
        <w:rPr>
          <w:rFonts w:ascii="Times New Roman" w:hAnsi="Times New Roman" w:cs="Times New Roman"/>
          <w:sz w:val="24"/>
          <w:szCs w:val="24"/>
          <w:lang w:val="en-US"/>
        </w:rPr>
        <w:t xml:space="preserve"> ADHD symptoms and dose-limiting </w:t>
      </w:r>
      <w:r w:rsidR="003C2C9B">
        <w:rPr>
          <w:rFonts w:ascii="Times New Roman" w:hAnsi="Times New Roman" w:cs="Times New Roman"/>
          <w:sz w:val="24"/>
          <w:szCs w:val="24"/>
          <w:lang w:val="en-US"/>
        </w:rPr>
        <w:t>AEs</w:t>
      </w:r>
      <w:r w:rsidR="00E06874">
        <w:rPr>
          <w:rFonts w:ascii="Times New Roman" w:hAnsi="Times New Roman" w:cs="Times New Roman"/>
          <w:sz w:val="24"/>
          <w:szCs w:val="24"/>
          <w:lang w:val="en-US"/>
        </w:rPr>
        <w:t xml:space="preserve">. </w:t>
      </w:r>
      <w:r w:rsidRPr="00BA0373">
        <w:rPr>
          <w:rFonts w:ascii="Times New Roman" w:hAnsi="Times New Roman" w:cs="Times New Roman"/>
          <w:sz w:val="24"/>
          <w:szCs w:val="24"/>
          <w:lang w:val="en-US"/>
        </w:rPr>
        <w:t xml:space="preserve">Notably, our flexible-dose curves demonstrated constant increments in SMD of ~0.2 and ~0.5 for every 10 mg of MPH-equivalents and AMP-equivalents across the entire FDA licensed dose for methylphenidate and mixed amphetamine salts, respectively, and this finding was strikingly replicated in our pairwise meta-analyses. </w:t>
      </w:r>
      <w:r w:rsidR="00945F15">
        <w:rPr>
          <w:rFonts w:ascii="Times New Roman" w:hAnsi="Times New Roman" w:cs="Times New Roman"/>
          <w:sz w:val="24"/>
          <w:szCs w:val="24"/>
          <w:lang w:val="en-US"/>
        </w:rPr>
        <w:t xml:space="preserve">Hence, our study provides definitive evidence that suboptimal treatment of ADHD is administered when </w:t>
      </w:r>
      <w:r w:rsidRPr="00BA0373">
        <w:rPr>
          <w:rFonts w:ascii="Times New Roman" w:hAnsi="Times New Roman" w:cs="Times New Roman"/>
          <w:sz w:val="24"/>
          <w:szCs w:val="24"/>
          <w:lang w:val="en-US"/>
        </w:rPr>
        <w:t>practitioners do not escalate doses</w:t>
      </w:r>
      <w:r w:rsidR="003C2C9B">
        <w:rPr>
          <w:rFonts w:ascii="Times New Roman" w:hAnsi="Times New Roman" w:cs="Times New Roman"/>
          <w:sz w:val="24"/>
          <w:szCs w:val="24"/>
          <w:lang w:val="en-US"/>
        </w:rPr>
        <w:t>,</w:t>
      </w:r>
      <w:r w:rsidRPr="00BA0373">
        <w:rPr>
          <w:rFonts w:ascii="Times New Roman" w:hAnsi="Times New Roman" w:cs="Times New Roman"/>
          <w:sz w:val="24"/>
          <w:szCs w:val="24"/>
          <w:lang w:val="en-US"/>
        </w:rPr>
        <w:t xml:space="preserve"> or stop escalation before maximum FDA-licensed doses</w:t>
      </w:r>
      <w:r w:rsidR="003C2C9B">
        <w:rPr>
          <w:rFonts w:ascii="Times New Roman" w:hAnsi="Times New Roman" w:cs="Times New Roman"/>
          <w:sz w:val="24"/>
          <w:szCs w:val="24"/>
          <w:lang w:val="en-US"/>
        </w:rPr>
        <w:t>,</w:t>
      </w:r>
      <w:r w:rsidRPr="00BA0373">
        <w:rPr>
          <w:rFonts w:ascii="Times New Roman" w:hAnsi="Times New Roman" w:cs="Times New Roman"/>
          <w:sz w:val="24"/>
          <w:szCs w:val="24"/>
          <w:lang w:val="en-US"/>
        </w:rPr>
        <w:t xml:space="preserve"> unless ADHD symptom </w:t>
      </w:r>
      <w:r w:rsidR="00757929">
        <w:rPr>
          <w:rFonts w:ascii="Times New Roman" w:hAnsi="Times New Roman" w:cs="Times New Roman"/>
          <w:sz w:val="24"/>
          <w:szCs w:val="24"/>
          <w:lang w:val="en-US"/>
        </w:rPr>
        <w:t xml:space="preserve">severity </w:t>
      </w:r>
      <w:r w:rsidR="003C2C9B">
        <w:rPr>
          <w:rFonts w:ascii="Times New Roman" w:hAnsi="Times New Roman" w:cs="Times New Roman"/>
          <w:sz w:val="24"/>
          <w:szCs w:val="24"/>
          <w:lang w:val="en-US"/>
        </w:rPr>
        <w:t>diminishes</w:t>
      </w:r>
      <w:r w:rsidR="00757929">
        <w:rPr>
          <w:rFonts w:ascii="Times New Roman" w:hAnsi="Times New Roman" w:cs="Times New Roman"/>
          <w:sz w:val="24"/>
          <w:szCs w:val="24"/>
          <w:lang w:val="en-US"/>
        </w:rPr>
        <w:t xml:space="preserve"> to the point where there is little room for further improvement</w:t>
      </w:r>
      <w:r w:rsidRPr="00BA0373">
        <w:rPr>
          <w:rFonts w:ascii="Times New Roman" w:hAnsi="Times New Roman" w:cs="Times New Roman"/>
          <w:sz w:val="24"/>
          <w:szCs w:val="24"/>
          <w:lang w:val="en-US"/>
        </w:rPr>
        <w:t xml:space="preserve">, or dose-limiting </w:t>
      </w:r>
      <w:r w:rsidR="003C2C9B">
        <w:rPr>
          <w:rFonts w:ascii="Times New Roman" w:hAnsi="Times New Roman" w:cs="Times New Roman"/>
          <w:sz w:val="24"/>
          <w:szCs w:val="24"/>
          <w:lang w:val="en-US"/>
        </w:rPr>
        <w:t>AEs</w:t>
      </w:r>
      <w:r w:rsidRPr="00BA0373">
        <w:rPr>
          <w:rFonts w:ascii="Times New Roman" w:hAnsi="Times New Roman" w:cs="Times New Roman"/>
          <w:sz w:val="24"/>
          <w:szCs w:val="24"/>
          <w:lang w:val="en-US"/>
        </w:rPr>
        <w:t xml:space="preserve"> appear.</w:t>
      </w:r>
    </w:p>
    <w:p w14:paraId="000000E9" w14:textId="545FE4A6" w:rsidR="00252EC4" w:rsidRPr="00BA0373" w:rsidRDefault="003222AB" w:rsidP="00EF19A8">
      <w:pPr>
        <w:spacing w:after="120" w:line="480" w:lineRule="auto"/>
        <w:ind w:firstLine="706"/>
        <w:rPr>
          <w:rFonts w:ascii="Times New Roman" w:hAnsi="Times New Roman" w:cs="Times New Roman"/>
          <w:sz w:val="24"/>
          <w:szCs w:val="24"/>
          <w:lang w:val="en-US"/>
        </w:rPr>
      </w:pPr>
      <w:r w:rsidRPr="00BA0373">
        <w:rPr>
          <w:rFonts w:ascii="Times New Roman" w:hAnsi="Times New Roman" w:cs="Times New Roman"/>
          <w:sz w:val="24"/>
          <w:szCs w:val="24"/>
          <w:lang w:val="en-US"/>
        </w:rPr>
        <w:lastRenderedPageBreak/>
        <w:t xml:space="preserve">Child and family preferences and concerns with </w:t>
      </w:r>
      <w:r w:rsidR="003C2C9B">
        <w:rPr>
          <w:rFonts w:ascii="Times New Roman" w:hAnsi="Times New Roman" w:cs="Times New Roman"/>
          <w:sz w:val="24"/>
          <w:szCs w:val="24"/>
          <w:lang w:val="en-US"/>
        </w:rPr>
        <w:t>AEs</w:t>
      </w:r>
      <w:r w:rsidRPr="00BA0373">
        <w:rPr>
          <w:rFonts w:ascii="Times New Roman" w:hAnsi="Times New Roman" w:cs="Times New Roman"/>
          <w:sz w:val="24"/>
          <w:szCs w:val="24"/>
          <w:lang w:val="en-US"/>
        </w:rPr>
        <w:t xml:space="preserve"> at higher doses are of crucial importance when escalating doses in routine clinical practice and must be considered. </w:t>
      </w:r>
      <w:r w:rsidR="00EF19A8">
        <w:rPr>
          <w:rFonts w:ascii="Times New Roman" w:hAnsi="Times New Roman" w:cs="Times New Roman"/>
          <w:sz w:val="24"/>
          <w:szCs w:val="24"/>
          <w:lang w:val="en-US"/>
        </w:rPr>
        <w:t xml:space="preserve">Indeed, </w:t>
      </w:r>
      <w:r w:rsidR="003C2C9B">
        <w:rPr>
          <w:rFonts w:ascii="Times New Roman" w:hAnsi="Times New Roman" w:cs="Times New Roman"/>
          <w:sz w:val="24"/>
          <w:szCs w:val="24"/>
          <w:lang w:val="en-US"/>
        </w:rPr>
        <w:t xml:space="preserve">surveys have shown </w:t>
      </w:r>
      <w:r w:rsidR="00EF19A8">
        <w:rPr>
          <w:rFonts w:ascii="Times New Roman" w:hAnsi="Times New Roman" w:cs="Times New Roman"/>
          <w:sz w:val="24"/>
          <w:szCs w:val="24"/>
          <w:lang w:val="en-US"/>
        </w:rPr>
        <w:t>some practitioners guide optimization according to child/family preferences [</w:t>
      </w:r>
      <w:r w:rsidR="004A02E7">
        <w:rPr>
          <w:rFonts w:ascii="Times New Roman" w:hAnsi="Times New Roman" w:cs="Times New Roman"/>
          <w:sz w:val="24"/>
          <w:szCs w:val="24"/>
          <w:lang w:val="en-US"/>
        </w:rPr>
        <w:t>6</w:t>
      </w:r>
      <w:r w:rsidR="0067766E">
        <w:rPr>
          <w:rFonts w:ascii="Times New Roman" w:hAnsi="Times New Roman" w:cs="Times New Roman"/>
          <w:sz w:val="24"/>
          <w:szCs w:val="24"/>
          <w:lang w:val="en-US"/>
        </w:rPr>
        <w:t>1</w:t>
      </w:r>
      <w:r w:rsidR="00EF19A8">
        <w:rPr>
          <w:rFonts w:ascii="Times New Roman" w:hAnsi="Times New Roman" w:cs="Times New Roman"/>
          <w:sz w:val="24"/>
          <w:szCs w:val="24"/>
          <w:lang w:val="en-US"/>
        </w:rPr>
        <w:t xml:space="preserve">] and </w:t>
      </w:r>
      <w:r w:rsidR="00EF19A8" w:rsidRPr="00BA0373">
        <w:rPr>
          <w:rFonts w:ascii="Times New Roman" w:hAnsi="Times New Roman" w:cs="Times New Roman"/>
          <w:sz w:val="24"/>
          <w:szCs w:val="24"/>
          <w:lang w:val="en-US"/>
        </w:rPr>
        <w:t xml:space="preserve">psychiatrists </w:t>
      </w:r>
      <w:r w:rsidR="00EF19A8">
        <w:rPr>
          <w:rFonts w:ascii="Times New Roman" w:hAnsi="Times New Roman" w:cs="Times New Roman"/>
          <w:sz w:val="24"/>
          <w:szCs w:val="24"/>
          <w:lang w:val="en-US"/>
        </w:rPr>
        <w:t xml:space="preserve">have </w:t>
      </w:r>
      <w:r w:rsidR="00EF19A8" w:rsidRPr="00BA0373">
        <w:rPr>
          <w:rFonts w:ascii="Times New Roman" w:hAnsi="Times New Roman" w:cs="Times New Roman"/>
          <w:sz w:val="24"/>
          <w:szCs w:val="24"/>
          <w:lang w:val="en-US"/>
        </w:rPr>
        <w:t xml:space="preserve">reported that the most common reason for not using </w:t>
      </w:r>
      <w:r w:rsidR="00EF19A8">
        <w:rPr>
          <w:rFonts w:ascii="Times New Roman" w:hAnsi="Times New Roman" w:cs="Times New Roman"/>
          <w:sz w:val="24"/>
          <w:szCs w:val="24"/>
          <w:lang w:val="en-US"/>
        </w:rPr>
        <w:t>a rigorous</w:t>
      </w:r>
      <w:r w:rsidR="00EF19A8" w:rsidRPr="00BA0373">
        <w:rPr>
          <w:rFonts w:ascii="Times New Roman" w:hAnsi="Times New Roman" w:cs="Times New Roman"/>
          <w:sz w:val="24"/>
          <w:szCs w:val="24"/>
          <w:lang w:val="en-US"/>
        </w:rPr>
        <w:t xml:space="preserve"> titration schedule was that family members declined further dose escalation once some improvement in the child’s behavior was observed [</w:t>
      </w:r>
      <w:r w:rsidR="009A4C36">
        <w:rPr>
          <w:rFonts w:ascii="Times New Roman" w:hAnsi="Times New Roman" w:cs="Times New Roman"/>
          <w:sz w:val="24"/>
          <w:szCs w:val="24"/>
          <w:lang w:val="en-US"/>
        </w:rPr>
        <w:t>8</w:t>
      </w:r>
      <w:r w:rsidR="00EF19A8" w:rsidRPr="00BA0373">
        <w:rPr>
          <w:rFonts w:ascii="Times New Roman" w:hAnsi="Times New Roman" w:cs="Times New Roman"/>
          <w:sz w:val="24"/>
          <w:szCs w:val="24"/>
          <w:lang w:val="en-US"/>
        </w:rPr>
        <w:t>].</w:t>
      </w:r>
      <w:r w:rsidR="00EF19A8">
        <w:rPr>
          <w:rFonts w:ascii="Times New Roman" w:hAnsi="Times New Roman" w:cs="Times New Roman"/>
          <w:sz w:val="24"/>
          <w:szCs w:val="24"/>
          <w:lang w:val="en-US"/>
        </w:rPr>
        <w:t xml:space="preserve"> </w:t>
      </w:r>
      <w:r w:rsidRPr="00BA0373">
        <w:rPr>
          <w:rFonts w:ascii="Times New Roman" w:hAnsi="Times New Roman" w:cs="Times New Roman"/>
          <w:sz w:val="24"/>
          <w:szCs w:val="24"/>
          <w:lang w:val="en-US"/>
        </w:rPr>
        <w:t xml:space="preserve">Evidence-based communication with families could help address </w:t>
      </w:r>
      <w:r w:rsidR="003C2C9B">
        <w:rPr>
          <w:rFonts w:ascii="Times New Roman" w:hAnsi="Times New Roman" w:cs="Times New Roman"/>
          <w:sz w:val="24"/>
          <w:szCs w:val="24"/>
          <w:lang w:val="en-US"/>
        </w:rPr>
        <w:t>their</w:t>
      </w:r>
      <w:r w:rsidRPr="00BA0373">
        <w:rPr>
          <w:rFonts w:ascii="Times New Roman" w:hAnsi="Times New Roman" w:cs="Times New Roman"/>
          <w:sz w:val="24"/>
          <w:szCs w:val="24"/>
          <w:lang w:val="en-US"/>
        </w:rPr>
        <w:t xml:space="preserve"> concerns regarding flexible titration to maximum FDA-licensed doses </w:t>
      </w:r>
      <w:r w:rsidR="003C2C9B">
        <w:rPr>
          <w:rFonts w:ascii="Times New Roman" w:hAnsi="Times New Roman" w:cs="Times New Roman"/>
          <w:sz w:val="24"/>
          <w:szCs w:val="24"/>
          <w:lang w:val="en-US"/>
        </w:rPr>
        <w:t xml:space="preserve">as needed, i.e., considering the presence of ADHD symptoms, and tolerated, i.e., considering the presence of dose-limiting AEs, </w:t>
      </w:r>
      <w:r w:rsidRPr="00BA0373">
        <w:rPr>
          <w:rFonts w:ascii="Times New Roman" w:hAnsi="Times New Roman" w:cs="Times New Roman"/>
          <w:sz w:val="24"/>
          <w:szCs w:val="24"/>
          <w:lang w:val="en-US"/>
        </w:rPr>
        <w:t>and our meta-analyses provide important evidence which should be used to inform these conversations. More specifically, our meta-analyses demonstrated that increments in doses of either MPH or AMP were associated with increased risk of treatment discontinuation due to AEs in a fixed-dose regimen. However, we note some of the short-term stimulant-related AEs, e.g., sleep disturbances and appetite change, can often be managed [6</w:t>
      </w:r>
      <w:r w:rsidR="0067766E">
        <w:rPr>
          <w:rFonts w:ascii="Times New Roman" w:hAnsi="Times New Roman" w:cs="Times New Roman"/>
          <w:sz w:val="24"/>
          <w:szCs w:val="24"/>
          <w:lang w:val="en-US"/>
        </w:rPr>
        <w:t>2</w:t>
      </w:r>
      <w:r w:rsidRPr="00BA0373">
        <w:rPr>
          <w:rFonts w:ascii="Times New Roman" w:hAnsi="Times New Roman" w:cs="Times New Roman"/>
          <w:sz w:val="24"/>
          <w:szCs w:val="24"/>
          <w:lang w:val="en-US"/>
        </w:rPr>
        <w:t xml:space="preserve">] and doses can be reduced if AEs become intolerable in flexible titration to avoid discontinuation. Indeed, our findings demonstrated flexible titration mitigated the risks of discontinuing treatment due to AEs: for methylphenidate, the association between MPH-equivalents and decreased tolerability was non-significant in a flexible-dose design; for AMP, flexible titration beyond 20 mg and 30 mg of AMP-equivalents was not significantly associated with decreased tolerability over lower fixed-doses. </w:t>
      </w:r>
      <w:r w:rsidR="00963D1A">
        <w:rPr>
          <w:rFonts w:ascii="Times New Roman" w:hAnsi="Times New Roman" w:cs="Times New Roman"/>
          <w:sz w:val="24"/>
          <w:szCs w:val="24"/>
          <w:lang w:val="en-US"/>
        </w:rPr>
        <w:t>By contrast</w:t>
      </w:r>
      <w:r w:rsidRPr="00BA0373">
        <w:rPr>
          <w:rFonts w:ascii="Times New Roman" w:hAnsi="Times New Roman" w:cs="Times New Roman"/>
          <w:sz w:val="24"/>
          <w:szCs w:val="24"/>
          <w:lang w:val="en-US"/>
        </w:rPr>
        <w:t xml:space="preserve">, our meta-analyses provide evidence that flexible titration up to maximum FDA-licensed doses </w:t>
      </w:r>
      <w:r w:rsidR="003C2C9B">
        <w:rPr>
          <w:rFonts w:ascii="Times New Roman" w:hAnsi="Times New Roman" w:cs="Times New Roman"/>
          <w:sz w:val="24"/>
          <w:szCs w:val="24"/>
          <w:lang w:val="en-US"/>
        </w:rPr>
        <w:t>as needed</w:t>
      </w:r>
      <w:r w:rsidR="0006657B">
        <w:rPr>
          <w:rFonts w:ascii="Times New Roman" w:hAnsi="Times New Roman" w:cs="Times New Roman"/>
          <w:sz w:val="24"/>
          <w:szCs w:val="24"/>
          <w:lang w:val="en-US"/>
        </w:rPr>
        <w:t xml:space="preserve"> </w:t>
      </w:r>
      <w:r w:rsidR="003C2C9B">
        <w:rPr>
          <w:rFonts w:ascii="Times New Roman" w:hAnsi="Times New Roman" w:cs="Times New Roman"/>
          <w:sz w:val="24"/>
          <w:szCs w:val="24"/>
          <w:lang w:val="en-US"/>
        </w:rPr>
        <w:t>and tolerated</w:t>
      </w:r>
      <w:r w:rsidR="000B5EC9" w:rsidRPr="00BA0373">
        <w:rPr>
          <w:rFonts w:ascii="Times New Roman" w:hAnsi="Times New Roman" w:cs="Times New Roman"/>
          <w:sz w:val="24"/>
          <w:szCs w:val="24"/>
          <w:lang w:val="en-US"/>
        </w:rPr>
        <w:t xml:space="preserve"> </w:t>
      </w:r>
      <w:r w:rsidR="003C2C9B">
        <w:rPr>
          <w:rFonts w:ascii="Times New Roman" w:hAnsi="Times New Roman" w:cs="Times New Roman"/>
          <w:sz w:val="24"/>
          <w:szCs w:val="24"/>
          <w:lang w:val="en-US"/>
        </w:rPr>
        <w:t>is</w:t>
      </w:r>
      <w:r w:rsidRPr="00BA0373">
        <w:rPr>
          <w:rFonts w:ascii="Times New Roman" w:hAnsi="Times New Roman" w:cs="Times New Roman"/>
          <w:sz w:val="24"/>
          <w:szCs w:val="24"/>
          <w:lang w:val="en-US"/>
        </w:rPr>
        <w:t xml:space="preserve"> </w:t>
      </w:r>
      <w:r w:rsidR="003659CB">
        <w:rPr>
          <w:rFonts w:ascii="Times New Roman" w:hAnsi="Times New Roman" w:cs="Times New Roman"/>
          <w:sz w:val="24"/>
          <w:szCs w:val="24"/>
          <w:lang w:val="en-US"/>
        </w:rPr>
        <w:t>in fact</w:t>
      </w:r>
      <w:r w:rsidRPr="00BA0373">
        <w:rPr>
          <w:rFonts w:ascii="Times New Roman" w:hAnsi="Times New Roman" w:cs="Times New Roman"/>
          <w:sz w:val="24"/>
          <w:szCs w:val="24"/>
          <w:lang w:val="en-US"/>
        </w:rPr>
        <w:t xml:space="preserve"> associated with a decreased risk of treatment discontinuation because the added efficacy obtained with flexible titration </w:t>
      </w:r>
      <w:r w:rsidR="00963D1A">
        <w:rPr>
          <w:rFonts w:ascii="Times New Roman" w:hAnsi="Times New Roman" w:cs="Times New Roman"/>
          <w:sz w:val="24"/>
          <w:szCs w:val="24"/>
          <w:lang w:val="en-US"/>
        </w:rPr>
        <w:t>is associated with a decreased likelihood of discontinuing stimulant treatment</w:t>
      </w:r>
      <w:r w:rsidRPr="00BA0373">
        <w:rPr>
          <w:rFonts w:ascii="Times New Roman" w:hAnsi="Times New Roman" w:cs="Times New Roman"/>
          <w:sz w:val="24"/>
          <w:szCs w:val="24"/>
          <w:lang w:val="en-US"/>
        </w:rPr>
        <w:t xml:space="preserve"> due to perceived lack of efficacy in the short-term [6</w:t>
      </w:r>
      <w:r w:rsidR="0067766E">
        <w:rPr>
          <w:rFonts w:ascii="Times New Roman" w:hAnsi="Times New Roman" w:cs="Times New Roman"/>
          <w:sz w:val="24"/>
          <w:szCs w:val="24"/>
          <w:lang w:val="en-US"/>
        </w:rPr>
        <w:t>3</w:t>
      </w:r>
      <w:r w:rsidRPr="00BA0373">
        <w:rPr>
          <w:rFonts w:ascii="Times New Roman" w:hAnsi="Times New Roman" w:cs="Times New Roman"/>
          <w:sz w:val="24"/>
          <w:szCs w:val="24"/>
          <w:lang w:val="en-US"/>
        </w:rPr>
        <w:t>].</w:t>
      </w:r>
    </w:p>
    <w:p w14:paraId="075C6CF6" w14:textId="6BF79354" w:rsidR="00C738CF" w:rsidRDefault="003222AB" w:rsidP="009E22DB">
      <w:pPr>
        <w:spacing w:line="480" w:lineRule="auto"/>
        <w:ind w:firstLine="700"/>
        <w:rPr>
          <w:rFonts w:ascii="Times New Roman" w:hAnsi="Times New Roman" w:cs="Times New Roman"/>
          <w:sz w:val="24"/>
          <w:szCs w:val="24"/>
          <w:lang w:val="en-US"/>
        </w:rPr>
      </w:pPr>
      <w:r w:rsidRPr="00BA0373">
        <w:rPr>
          <w:rFonts w:ascii="Times New Roman" w:hAnsi="Times New Roman" w:cs="Times New Roman"/>
          <w:sz w:val="24"/>
          <w:szCs w:val="24"/>
          <w:lang w:val="en-US"/>
        </w:rPr>
        <w:lastRenderedPageBreak/>
        <w:t>We note</w:t>
      </w:r>
      <w:r w:rsidR="00D3277A">
        <w:rPr>
          <w:rFonts w:ascii="Times New Roman" w:hAnsi="Times New Roman" w:cs="Times New Roman"/>
          <w:sz w:val="24"/>
          <w:szCs w:val="24"/>
          <w:lang w:val="en-US"/>
        </w:rPr>
        <w:t xml:space="preserve"> </w:t>
      </w:r>
      <w:r w:rsidRPr="00BA0373">
        <w:rPr>
          <w:rFonts w:ascii="Times New Roman" w:hAnsi="Times New Roman" w:cs="Times New Roman"/>
          <w:sz w:val="24"/>
          <w:szCs w:val="24"/>
          <w:lang w:val="en-US"/>
        </w:rPr>
        <w:t>that our</w:t>
      </w:r>
      <w:r w:rsidR="00D3277A">
        <w:rPr>
          <w:rFonts w:ascii="Times New Roman" w:hAnsi="Times New Roman" w:cs="Times New Roman"/>
          <w:sz w:val="24"/>
          <w:szCs w:val="24"/>
          <w:lang w:val="en-US"/>
        </w:rPr>
        <w:t xml:space="preserve"> </w:t>
      </w:r>
      <w:r w:rsidRPr="00BA0373">
        <w:rPr>
          <w:rFonts w:ascii="Times New Roman" w:hAnsi="Times New Roman" w:cs="Times New Roman"/>
          <w:sz w:val="24"/>
          <w:szCs w:val="24"/>
          <w:lang w:val="en-US"/>
        </w:rPr>
        <w:t>study was based on aggregated</w:t>
      </w:r>
      <w:r w:rsidRPr="0061457B">
        <w:rPr>
          <w:rFonts w:ascii="Times New Roman" w:hAnsi="Times New Roman" w:cs="Times New Roman"/>
          <w:sz w:val="24"/>
          <w:szCs w:val="24"/>
          <w:lang w:val="en-US"/>
        </w:rPr>
        <w:t xml:space="preserve"> </w:t>
      </w:r>
      <w:r w:rsidRPr="00BA0373">
        <w:rPr>
          <w:rFonts w:ascii="Times New Roman" w:hAnsi="Times New Roman" w:cs="Times New Roman"/>
          <w:sz w:val="24"/>
          <w:szCs w:val="24"/>
          <w:lang w:val="en-US"/>
        </w:rPr>
        <w:t xml:space="preserve">data (i.e., means and standard deviations, number of dropouts) reported in RCTs </w:t>
      </w:r>
      <w:r w:rsidR="0061457B">
        <w:rPr>
          <w:rFonts w:ascii="Times New Roman" w:hAnsi="Times New Roman" w:cs="Times New Roman"/>
          <w:sz w:val="24"/>
          <w:szCs w:val="24"/>
          <w:lang w:val="en-US"/>
        </w:rPr>
        <w:t xml:space="preserve">and was not designed to consider individual-level characteristics </w:t>
      </w:r>
      <w:r w:rsidR="0061457B" w:rsidRPr="00BA0373">
        <w:rPr>
          <w:rFonts w:ascii="Times New Roman" w:hAnsi="Times New Roman" w:cs="Times New Roman"/>
          <w:sz w:val="24"/>
          <w:szCs w:val="24"/>
          <w:lang w:val="en-US"/>
        </w:rPr>
        <w:t>(e.g., age, weight, comorbidities and even genetic background)</w:t>
      </w:r>
      <w:r w:rsidR="0061457B">
        <w:rPr>
          <w:rFonts w:ascii="Times New Roman" w:hAnsi="Times New Roman" w:cs="Times New Roman"/>
          <w:sz w:val="24"/>
          <w:szCs w:val="24"/>
          <w:lang w:val="en-US"/>
        </w:rPr>
        <w:t xml:space="preserve"> that could contribute </w:t>
      </w:r>
      <w:r w:rsidR="0061457B" w:rsidRPr="00BA0373">
        <w:rPr>
          <w:rFonts w:ascii="Times New Roman" w:hAnsi="Times New Roman" w:cs="Times New Roman"/>
          <w:sz w:val="24"/>
          <w:szCs w:val="24"/>
          <w:lang w:val="en-US"/>
        </w:rPr>
        <w:t>to different patterns of dose-</w:t>
      </w:r>
      <w:r w:rsidR="0061457B">
        <w:rPr>
          <w:rFonts w:ascii="Times New Roman" w:hAnsi="Times New Roman" w:cs="Times New Roman"/>
          <w:sz w:val="24"/>
          <w:szCs w:val="24"/>
          <w:lang w:val="en-US"/>
        </w:rPr>
        <w:t xml:space="preserve">response </w:t>
      </w:r>
      <w:r w:rsidR="0061457B" w:rsidRPr="00BA0373">
        <w:rPr>
          <w:rFonts w:ascii="Times New Roman" w:hAnsi="Times New Roman" w:cs="Times New Roman"/>
          <w:sz w:val="24"/>
          <w:szCs w:val="24"/>
          <w:lang w:val="en-US"/>
        </w:rPr>
        <w:t>across individuals</w:t>
      </w:r>
      <w:r w:rsidR="0061457B">
        <w:rPr>
          <w:rFonts w:ascii="Times New Roman" w:hAnsi="Times New Roman" w:cs="Times New Roman"/>
          <w:sz w:val="24"/>
          <w:szCs w:val="24"/>
          <w:lang w:val="en-US"/>
        </w:rPr>
        <w:t xml:space="preserve">. Consequently, our study is not </w:t>
      </w:r>
      <w:r w:rsidR="00D23A5D">
        <w:rPr>
          <w:rFonts w:ascii="Times New Roman" w:hAnsi="Times New Roman" w:cs="Times New Roman"/>
          <w:sz w:val="24"/>
          <w:szCs w:val="24"/>
          <w:lang w:val="en-US"/>
        </w:rPr>
        <w:t>suitable to</w:t>
      </w:r>
      <w:r w:rsidR="0061457B">
        <w:rPr>
          <w:rFonts w:ascii="Times New Roman" w:hAnsi="Times New Roman" w:cs="Times New Roman"/>
          <w:sz w:val="24"/>
          <w:szCs w:val="24"/>
          <w:lang w:val="en-US"/>
        </w:rPr>
        <w:t xml:space="preserve"> inform</w:t>
      </w:r>
      <w:r w:rsidR="0061457B" w:rsidRPr="00BA0373">
        <w:rPr>
          <w:rFonts w:ascii="Times New Roman" w:hAnsi="Times New Roman" w:cs="Times New Roman"/>
          <w:sz w:val="24"/>
          <w:szCs w:val="24"/>
          <w:lang w:val="en-US"/>
        </w:rPr>
        <w:t xml:space="preserve"> predictions of optimal doses or expected benefits (efficacy) and risks (tolerability; acceptability) </w:t>
      </w:r>
      <w:r w:rsidR="00115E8C">
        <w:rPr>
          <w:rFonts w:ascii="Times New Roman" w:hAnsi="Times New Roman" w:cs="Times New Roman"/>
          <w:sz w:val="24"/>
          <w:szCs w:val="24"/>
          <w:lang w:val="en-US"/>
        </w:rPr>
        <w:t xml:space="preserve">for different doses </w:t>
      </w:r>
      <w:r w:rsidR="0061457B">
        <w:rPr>
          <w:rFonts w:ascii="Times New Roman" w:hAnsi="Times New Roman" w:cs="Times New Roman"/>
          <w:sz w:val="24"/>
          <w:szCs w:val="24"/>
          <w:lang w:val="en-US"/>
        </w:rPr>
        <w:t xml:space="preserve">at the individual level </w:t>
      </w:r>
      <w:r w:rsidR="0061457B" w:rsidRPr="00BA0373">
        <w:rPr>
          <w:rFonts w:ascii="Times New Roman" w:hAnsi="Times New Roman" w:cs="Times New Roman"/>
          <w:sz w:val="24"/>
          <w:szCs w:val="24"/>
          <w:lang w:val="en-US"/>
        </w:rPr>
        <w:t>for each patient</w:t>
      </w:r>
      <w:r w:rsidR="00D23A5D">
        <w:rPr>
          <w:rFonts w:ascii="Times New Roman" w:hAnsi="Times New Roman" w:cs="Times New Roman"/>
          <w:sz w:val="24"/>
          <w:szCs w:val="24"/>
          <w:lang w:val="en-US"/>
        </w:rPr>
        <w:t>, which</w:t>
      </w:r>
      <w:r w:rsidR="0061457B">
        <w:rPr>
          <w:rFonts w:ascii="Times New Roman" w:hAnsi="Times New Roman" w:cs="Times New Roman"/>
          <w:sz w:val="24"/>
          <w:szCs w:val="24"/>
          <w:lang w:val="en-US"/>
        </w:rPr>
        <w:t xml:space="preserve"> </w:t>
      </w:r>
      <w:r w:rsidR="0061457B" w:rsidRPr="00BA0373">
        <w:rPr>
          <w:rFonts w:ascii="Times New Roman" w:hAnsi="Times New Roman" w:cs="Times New Roman"/>
          <w:sz w:val="24"/>
          <w:szCs w:val="24"/>
          <w:lang w:val="en-US"/>
        </w:rPr>
        <w:t>can only be addressed considering individual</w:t>
      </w:r>
      <w:r w:rsidR="008264FE">
        <w:rPr>
          <w:rFonts w:ascii="Times New Roman" w:hAnsi="Times New Roman" w:cs="Times New Roman"/>
          <w:sz w:val="24"/>
          <w:szCs w:val="24"/>
          <w:lang w:val="en-US"/>
        </w:rPr>
        <w:t>-level</w:t>
      </w:r>
      <w:r w:rsidR="0061457B" w:rsidRPr="00BA0373">
        <w:rPr>
          <w:rFonts w:ascii="Times New Roman" w:hAnsi="Times New Roman" w:cs="Times New Roman"/>
          <w:sz w:val="24"/>
          <w:szCs w:val="24"/>
          <w:lang w:val="en-US"/>
        </w:rPr>
        <w:t xml:space="preserve"> data</w:t>
      </w:r>
      <w:r w:rsidR="0061457B">
        <w:rPr>
          <w:rFonts w:ascii="Times New Roman" w:hAnsi="Times New Roman" w:cs="Times New Roman"/>
          <w:sz w:val="24"/>
          <w:szCs w:val="24"/>
          <w:lang w:val="en-US"/>
        </w:rPr>
        <w:t>.</w:t>
      </w:r>
      <w:r w:rsidR="0061457B" w:rsidRPr="0061457B">
        <w:rPr>
          <w:rFonts w:ascii="Times New Roman" w:hAnsi="Times New Roman" w:cs="Times New Roman"/>
          <w:sz w:val="24"/>
          <w:szCs w:val="24"/>
          <w:lang w:val="en-US"/>
        </w:rPr>
        <w:t xml:space="preserve"> </w:t>
      </w:r>
      <w:r w:rsidR="0061457B" w:rsidRPr="00BA0373">
        <w:rPr>
          <w:rFonts w:ascii="Times New Roman" w:hAnsi="Times New Roman" w:cs="Times New Roman"/>
          <w:sz w:val="24"/>
          <w:szCs w:val="24"/>
          <w:lang w:val="en-US"/>
        </w:rPr>
        <w:t xml:space="preserve">We stress that the </w:t>
      </w:r>
      <w:r w:rsidR="0061457B" w:rsidRPr="0061457B">
        <w:rPr>
          <w:rFonts w:ascii="Times New Roman" w:hAnsi="Times New Roman" w:cs="Times New Roman"/>
          <w:sz w:val="24"/>
          <w:szCs w:val="24"/>
          <w:lang w:val="en-US"/>
        </w:rPr>
        <w:t xml:space="preserve">average </w:t>
      </w:r>
      <w:r w:rsidR="0061457B" w:rsidRPr="00BA0373">
        <w:rPr>
          <w:rFonts w:ascii="Times New Roman" w:hAnsi="Times New Roman" w:cs="Times New Roman"/>
          <w:sz w:val="24"/>
          <w:szCs w:val="24"/>
          <w:lang w:val="en-US"/>
        </w:rPr>
        <w:t xml:space="preserve">treatment effects we found in favor of flexible titration likely indicate there are individuals who are going to experience substantially larger benefits with higher doses (e.g., 54 or 72 mg of methylphenidate </w:t>
      </w:r>
      <w:r w:rsidR="0061457B">
        <w:rPr>
          <w:rFonts w:ascii="Times New Roman" w:hAnsi="Times New Roman" w:cs="Times New Roman"/>
          <w:sz w:val="24"/>
          <w:szCs w:val="24"/>
          <w:lang w:val="en-US"/>
        </w:rPr>
        <w:t>osmotic,</w:t>
      </w:r>
      <w:r w:rsidR="0061457B" w:rsidRPr="00BA0373">
        <w:rPr>
          <w:rFonts w:ascii="Times New Roman" w:hAnsi="Times New Roman" w:cs="Times New Roman"/>
          <w:sz w:val="24"/>
          <w:szCs w:val="24"/>
          <w:lang w:val="en-US"/>
        </w:rPr>
        <w:t xml:space="preserve"> </w:t>
      </w:r>
      <w:r w:rsidR="0061457B">
        <w:rPr>
          <w:rFonts w:ascii="Times New Roman" w:hAnsi="Times New Roman" w:cs="Times New Roman"/>
          <w:sz w:val="24"/>
          <w:szCs w:val="24"/>
          <w:lang w:val="en-US"/>
        </w:rPr>
        <w:t>controlled-</w:t>
      </w:r>
      <w:r w:rsidR="0061457B" w:rsidRPr="00BA0373">
        <w:rPr>
          <w:rFonts w:ascii="Times New Roman" w:hAnsi="Times New Roman" w:cs="Times New Roman"/>
          <w:sz w:val="24"/>
          <w:szCs w:val="24"/>
          <w:lang w:val="en-US"/>
        </w:rPr>
        <w:t xml:space="preserve">release). In fact, extrapolation of our dose-response curves beyond FDA-licensed doses would suggest there are individuals who might even experience continued benefits beyond FDA-licensed doses, although this consideration is not based on available evidence and requires direct examination </w:t>
      </w:r>
      <w:r w:rsidR="00D23A5D">
        <w:rPr>
          <w:rFonts w:ascii="Times New Roman" w:hAnsi="Times New Roman" w:cs="Times New Roman"/>
          <w:sz w:val="24"/>
          <w:szCs w:val="24"/>
          <w:lang w:val="en-US"/>
        </w:rPr>
        <w:t>in</w:t>
      </w:r>
      <w:r w:rsidR="0061457B" w:rsidRPr="00BA0373">
        <w:rPr>
          <w:rFonts w:ascii="Times New Roman" w:hAnsi="Times New Roman" w:cs="Times New Roman"/>
          <w:sz w:val="24"/>
          <w:szCs w:val="24"/>
          <w:lang w:val="en-US"/>
        </w:rPr>
        <w:t xml:space="preserve"> future research. Regardless, our data does not support inferences on predicted optimal doses for a given patient. </w:t>
      </w:r>
      <w:r w:rsidR="00D97A31">
        <w:rPr>
          <w:rFonts w:ascii="Times New Roman" w:hAnsi="Times New Roman" w:cs="Times New Roman"/>
          <w:sz w:val="24"/>
          <w:szCs w:val="24"/>
          <w:lang w:val="en-US"/>
        </w:rPr>
        <w:t>Instead</w:t>
      </w:r>
      <w:r w:rsidR="008264FE" w:rsidRPr="008264FE">
        <w:rPr>
          <w:rFonts w:ascii="Times New Roman" w:hAnsi="Times New Roman" w:cs="Times New Roman"/>
          <w:sz w:val="24"/>
          <w:szCs w:val="24"/>
          <w:lang w:val="en-US"/>
        </w:rPr>
        <w:t xml:space="preserve">, our study </w:t>
      </w:r>
      <w:r w:rsidR="001D1B0A">
        <w:rPr>
          <w:rFonts w:ascii="Times New Roman" w:hAnsi="Times New Roman" w:cs="Times New Roman"/>
          <w:sz w:val="24"/>
          <w:szCs w:val="24"/>
          <w:lang w:val="en-US"/>
        </w:rPr>
        <w:t>represents</w:t>
      </w:r>
      <w:r w:rsidR="008264FE" w:rsidRPr="008264FE">
        <w:rPr>
          <w:rFonts w:ascii="Times New Roman" w:hAnsi="Times New Roman" w:cs="Times New Roman"/>
          <w:sz w:val="24"/>
          <w:szCs w:val="24"/>
          <w:lang w:val="en-US"/>
        </w:rPr>
        <w:t xml:space="preserve"> the most rigorous evidence applicable at the group level to provide general guidance and raise awareness in favor of careful and full dose</w:t>
      </w:r>
      <w:r w:rsidR="008264FE">
        <w:rPr>
          <w:rFonts w:ascii="Times New Roman" w:hAnsi="Times New Roman" w:cs="Times New Roman"/>
          <w:sz w:val="24"/>
          <w:szCs w:val="24"/>
          <w:lang w:val="en-US"/>
        </w:rPr>
        <w:t>-</w:t>
      </w:r>
      <w:r w:rsidR="008264FE" w:rsidRPr="008264FE">
        <w:rPr>
          <w:rFonts w:ascii="Times New Roman" w:hAnsi="Times New Roman" w:cs="Times New Roman"/>
          <w:sz w:val="24"/>
          <w:szCs w:val="24"/>
          <w:lang w:val="en-US"/>
        </w:rPr>
        <w:t>optimization in the management of ADHD in children and adolescents.</w:t>
      </w:r>
    </w:p>
    <w:p w14:paraId="56E24468" w14:textId="08688238" w:rsidR="009E22DB" w:rsidRPr="0061457B" w:rsidRDefault="009E22DB" w:rsidP="005C0BFA">
      <w:pPr>
        <w:spacing w:line="480" w:lineRule="auto"/>
        <w:ind w:firstLine="700"/>
        <w:rPr>
          <w:rFonts w:ascii="Times New Roman" w:hAnsi="Times New Roman" w:cs="Times New Roman"/>
          <w:sz w:val="24"/>
          <w:szCs w:val="24"/>
          <w:lang w:val="en-US"/>
        </w:rPr>
      </w:pPr>
      <w:r>
        <w:rPr>
          <w:rFonts w:ascii="Times New Roman" w:hAnsi="Times New Roman" w:cs="Times New Roman"/>
          <w:sz w:val="24"/>
          <w:szCs w:val="24"/>
          <w:lang w:val="en-US"/>
        </w:rPr>
        <w:t>Although practitioners</w:t>
      </w:r>
      <w:r w:rsidRPr="00BA0373">
        <w:rPr>
          <w:rFonts w:ascii="Times New Roman" w:hAnsi="Times New Roman" w:cs="Times New Roman"/>
          <w:sz w:val="24"/>
          <w:szCs w:val="24"/>
          <w:lang w:val="en-US"/>
        </w:rPr>
        <w:t xml:space="preserve"> are faced with the issue of starting a pharmacological treatment and choosing a dosing strategy</w:t>
      </w:r>
      <w:r>
        <w:rPr>
          <w:rFonts w:ascii="Times New Roman" w:hAnsi="Times New Roman" w:cs="Times New Roman"/>
          <w:sz w:val="24"/>
          <w:szCs w:val="24"/>
          <w:lang w:val="en-US"/>
        </w:rPr>
        <w:t>, and o</w:t>
      </w:r>
      <w:r w:rsidRPr="00BA0373">
        <w:rPr>
          <w:rFonts w:ascii="Times New Roman" w:hAnsi="Times New Roman" w:cs="Times New Roman"/>
          <w:sz w:val="24"/>
          <w:szCs w:val="24"/>
          <w:lang w:val="en-US"/>
        </w:rPr>
        <w:t>ur meta-analysis provides the most rigorous evidence</w:t>
      </w:r>
      <w:r>
        <w:rPr>
          <w:rFonts w:ascii="Times New Roman" w:hAnsi="Times New Roman" w:cs="Times New Roman"/>
          <w:sz w:val="24"/>
          <w:szCs w:val="24"/>
          <w:lang w:val="en-US"/>
        </w:rPr>
        <w:t xml:space="preserve"> </w:t>
      </w:r>
      <w:r w:rsidRPr="00BA0373">
        <w:rPr>
          <w:rFonts w:ascii="Times New Roman" w:hAnsi="Times New Roman" w:cs="Times New Roman"/>
          <w:sz w:val="24"/>
          <w:szCs w:val="24"/>
          <w:lang w:val="en-US"/>
        </w:rPr>
        <w:t xml:space="preserve">in favor of </w:t>
      </w:r>
      <w:r w:rsidR="003C2C9B">
        <w:rPr>
          <w:rFonts w:ascii="Times New Roman" w:hAnsi="Times New Roman" w:cs="Times New Roman"/>
          <w:sz w:val="24"/>
          <w:szCs w:val="24"/>
          <w:lang w:val="en-US"/>
        </w:rPr>
        <w:t xml:space="preserve">full </w:t>
      </w:r>
      <w:r w:rsidRPr="00BA0373">
        <w:rPr>
          <w:rFonts w:ascii="Times New Roman" w:hAnsi="Times New Roman" w:cs="Times New Roman"/>
          <w:sz w:val="24"/>
          <w:szCs w:val="24"/>
          <w:lang w:val="en-US"/>
        </w:rPr>
        <w:t xml:space="preserve">flexible titration to maximum FDA-licensed doses </w:t>
      </w:r>
      <w:r w:rsidR="003C2C9B">
        <w:rPr>
          <w:rFonts w:ascii="Times New Roman" w:hAnsi="Times New Roman" w:cs="Times New Roman"/>
          <w:sz w:val="24"/>
          <w:szCs w:val="24"/>
          <w:lang w:val="en-US"/>
        </w:rPr>
        <w:t>as needed</w:t>
      </w:r>
      <w:r w:rsidR="00C65D68">
        <w:rPr>
          <w:rFonts w:ascii="Times New Roman" w:hAnsi="Times New Roman" w:cs="Times New Roman"/>
          <w:sz w:val="24"/>
          <w:szCs w:val="24"/>
          <w:lang w:val="en-US"/>
        </w:rPr>
        <w:t xml:space="preserve"> </w:t>
      </w:r>
      <w:r w:rsidR="003C2C9B">
        <w:rPr>
          <w:rFonts w:ascii="Times New Roman" w:hAnsi="Times New Roman" w:cs="Times New Roman"/>
          <w:sz w:val="24"/>
          <w:szCs w:val="24"/>
          <w:lang w:val="en-US"/>
        </w:rPr>
        <w:t>and tolerated</w:t>
      </w:r>
      <w:r>
        <w:rPr>
          <w:rFonts w:ascii="Times New Roman" w:hAnsi="Times New Roman" w:cs="Times New Roman"/>
          <w:sz w:val="24"/>
          <w:szCs w:val="24"/>
          <w:lang w:val="en-US"/>
        </w:rPr>
        <w:t>, we note</w:t>
      </w:r>
      <w:r w:rsidR="004930A2">
        <w:rPr>
          <w:rFonts w:ascii="Times New Roman" w:hAnsi="Times New Roman" w:cs="Times New Roman"/>
          <w:sz w:val="24"/>
          <w:szCs w:val="24"/>
          <w:lang w:val="en-US"/>
        </w:rPr>
        <w:t xml:space="preserve"> that the</w:t>
      </w:r>
      <w:r>
        <w:rPr>
          <w:rFonts w:ascii="Times New Roman" w:hAnsi="Times New Roman" w:cs="Times New Roman"/>
          <w:sz w:val="24"/>
          <w:szCs w:val="24"/>
          <w:lang w:val="en-US"/>
        </w:rPr>
        <w:t xml:space="preserve"> treatment of ADHD in children/adolescents is a long-term intervention. Unfortunately, our data </w:t>
      </w:r>
      <w:r w:rsidR="004930A2">
        <w:rPr>
          <w:rFonts w:ascii="Times New Roman" w:hAnsi="Times New Roman" w:cs="Times New Roman"/>
          <w:sz w:val="24"/>
          <w:szCs w:val="24"/>
          <w:lang w:val="en-US"/>
        </w:rPr>
        <w:t>are</w:t>
      </w:r>
      <w:r>
        <w:rPr>
          <w:rFonts w:ascii="Times New Roman" w:hAnsi="Times New Roman" w:cs="Times New Roman"/>
          <w:sz w:val="24"/>
          <w:szCs w:val="24"/>
          <w:lang w:val="en-US"/>
        </w:rPr>
        <w:t xml:space="preserve"> limited to the short-term </w:t>
      </w:r>
      <w:r w:rsidR="00454CDF">
        <w:rPr>
          <w:rFonts w:ascii="Times New Roman" w:hAnsi="Times New Roman" w:cs="Times New Roman"/>
          <w:sz w:val="24"/>
          <w:szCs w:val="24"/>
          <w:lang w:val="en-US"/>
        </w:rPr>
        <w:t xml:space="preserve">and as such </w:t>
      </w:r>
      <w:r w:rsidR="004930A2">
        <w:rPr>
          <w:rFonts w:ascii="Times New Roman" w:hAnsi="Times New Roman" w:cs="Times New Roman"/>
          <w:sz w:val="24"/>
          <w:szCs w:val="24"/>
          <w:lang w:val="en-US"/>
        </w:rPr>
        <w:t>they</w:t>
      </w:r>
      <w:r w:rsidR="00454CDF">
        <w:rPr>
          <w:rFonts w:ascii="Times New Roman" w:hAnsi="Times New Roman" w:cs="Times New Roman"/>
          <w:sz w:val="24"/>
          <w:szCs w:val="24"/>
          <w:lang w:val="en-US"/>
        </w:rPr>
        <w:t xml:space="preserve"> cannot inform on important </w:t>
      </w:r>
      <w:r w:rsidR="00F13AC6">
        <w:rPr>
          <w:rFonts w:ascii="Times New Roman" w:hAnsi="Times New Roman" w:cs="Times New Roman"/>
          <w:sz w:val="24"/>
          <w:szCs w:val="24"/>
          <w:lang w:val="en-US"/>
        </w:rPr>
        <w:t>questions</w:t>
      </w:r>
      <w:r w:rsidR="00454CDF">
        <w:rPr>
          <w:rFonts w:ascii="Times New Roman" w:hAnsi="Times New Roman" w:cs="Times New Roman"/>
          <w:sz w:val="24"/>
          <w:szCs w:val="24"/>
          <w:lang w:val="en-US"/>
        </w:rPr>
        <w:t xml:space="preserve"> of the long-term treatment of children/adolescents with ADHD. </w:t>
      </w:r>
      <w:r w:rsidR="00F13AC6">
        <w:rPr>
          <w:rFonts w:ascii="Times New Roman" w:hAnsi="Times New Roman" w:cs="Times New Roman"/>
          <w:sz w:val="24"/>
          <w:szCs w:val="24"/>
          <w:lang w:val="en-US"/>
        </w:rPr>
        <w:t xml:space="preserve">First, </w:t>
      </w:r>
      <w:r w:rsidR="005C0BFA">
        <w:rPr>
          <w:rFonts w:ascii="Times New Roman" w:hAnsi="Times New Roman" w:cs="Times New Roman"/>
          <w:sz w:val="24"/>
          <w:szCs w:val="24"/>
          <w:lang w:val="en-US"/>
        </w:rPr>
        <w:t xml:space="preserve">dose adjustments might be required in the </w:t>
      </w:r>
      <w:r w:rsidR="00F13AC6">
        <w:rPr>
          <w:rFonts w:ascii="Times New Roman" w:hAnsi="Times New Roman" w:cs="Times New Roman"/>
          <w:sz w:val="24"/>
          <w:szCs w:val="24"/>
          <w:lang w:val="en-US"/>
        </w:rPr>
        <w:t>maintenance phase of stimulant treatment</w:t>
      </w:r>
      <w:r w:rsidR="005C0BFA">
        <w:rPr>
          <w:rFonts w:ascii="Times New Roman" w:hAnsi="Times New Roman" w:cs="Times New Roman"/>
          <w:sz w:val="24"/>
          <w:szCs w:val="24"/>
          <w:lang w:val="en-US"/>
        </w:rPr>
        <w:t xml:space="preserve">. There likely exists a </w:t>
      </w:r>
      <w:r w:rsidR="00F13AC6">
        <w:rPr>
          <w:rFonts w:ascii="Times New Roman" w:hAnsi="Times New Roman" w:cs="Times New Roman"/>
          <w:sz w:val="24"/>
          <w:szCs w:val="24"/>
          <w:lang w:val="en-US"/>
        </w:rPr>
        <w:t>strong correlation between end-of-titration optimal dose and maintenance dose</w:t>
      </w:r>
      <w:r w:rsidR="005C0BFA">
        <w:rPr>
          <w:rFonts w:ascii="Times New Roman" w:hAnsi="Times New Roman" w:cs="Times New Roman"/>
          <w:sz w:val="24"/>
          <w:szCs w:val="24"/>
          <w:lang w:val="en-US"/>
        </w:rPr>
        <w:t xml:space="preserve"> </w:t>
      </w:r>
      <w:r w:rsidR="005C0BFA">
        <w:rPr>
          <w:rFonts w:ascii="Times New Roman" w:hAnsi="Times New Roman" w:cs="Times New Roman"/>
          <w:sz w:val="24"/>
          <w:szCs w:val="24"/>
          <w:lang w:val="en-US"/>
        </w:rPr>
        <w:lastRenderedPageBreak/>
        <w:t>[6</w:t>
      </w:r>
      <w:r w:rsidR="0067766E">
        <w:rPr>
          <w:rFonts w:ascii="Times New Roman" w:hAnsi="Times New Roman" w:cs="Times New Roman"/>
          <w:sz w:val="24"/>
          <w:szCs w:val="24"/>
          <w:lang w:val="en-US"/>
        </w:rPr>
        <w:t>4</w:t>
      </w:r>
      <w:r w:rsidR="005C0BFA">
        <w:rPr>
          <w:rFonts w:ascii="Times New Roman" w:hAnsi="Times New Roman" w:cs="Times New Roman"/>
          <w:sz w:val="24"/>
          <w:szCs w:val="24"/>
          <w:lang w:val="en-US"/>
        </w:rPr>
        <w:t>]</w:t>
      </w:r>
      <w:r w:rsidR="00F13AC6">
        <w:rPr>
          <w:rFonts w:ascii="Times New Roman" w:hAnsi="Times New Roman" w:cs="Times New Roman"/>
          <w:sz w:val="24"/>
          <w:szCs w:val="24"/>
          <w:lang w:val="en-US"/>
        </w:rPr>
        <w:t xml:space="preserve">, </w:t>
      </w:r>
      <w:r w:rsidR="005C0BFA">
        <w:rPr>
          <w:rFonts w:ascii="Times New Roman" w:hAnsi="Times New Roman" w:cs="Times New Roman"/>
          <w:sz w:val="24"/>
          <w:szCs w:val="24"/>
          <w:lang w:val="en-US"/>
        </w:rPr>
        <w:t xml:space="preserve">but </w:t>
      </w:r>
      <w:r w:rsidR="00F13AC6">
        <w:rPr>
          <w:rFonts w:ascii="Times New Roman" w:hAnsi="Times New Roman" w:cs="Times New Roman"/>
          <w:sz w:val="24"/>
          <w:szCs w:val="24"/>
          <w:lang w:val="en-US"/>
        </w:rPr>
        <w:t xml:space="preserve">it is </w:t>
      </w:r>
      <w:r w:rsidR="005C0BFA">
        <w:rPr>
          <w:rFonts w:ascii="Times New Roman" w:hAnsi="Times New Roman" w:cs="Times New Roman"/>
          <w:sz w:val="24"/>
          <w:szCs w:val="24"/>
          <w:lang w:val="en-US"/>
        </w:rPr>
        <w:t>possible</w:t>
      </w:r>
      <w:r w:rsidR="00F13AC6">
        <w:rPr>
          <w:rFonts w:ascii="Times New Roman" w:hAnsi="Times New Roman" w:cs="Times New Roman"/>
          <w:sz w:val="24"/>
          <w:szCs w:val="24"/>
          <w:lang w:val="en-US"/>
        </w:rPr>
        <w:t xml:space="preserve"> that some children/adolescents may need dose increments which may fall beyond the FDA-licensed dose range if maximum doses were considered optimal </w:t>
      </w:r>
      <w:r w:rsidR="005C0BFA">
        <w:rPr>
          <w:rFonts w:ascii="Times New Roman" w:hAnsi="Times New Roman" w:cs="Times New Roman"/>
          <w:sz w:val="24"/>
          <w:szCs w:val="24"/>
          <w:lang w:val="en-US"/>
        </w:rPr>
        <w:t xml:space="preserve">during titration; the effects of using doses </w:t>
      </w:r>
      <w:r w:rsidR="005C0BFA" w:rsidRPr="00BA0373">
        <w:rPr>
          <w:rFonts w:ascii="Times New Roman" w:hAnsi="Times New Roman" w:cs="Times New Roman"/>
          <w:sz w:val="24"/>
          <w:szCs w:val="24"/>
          <w:lang w:val="en-US"/>
        </w:rPr>
        <w:t xml:space="preserve">beyond </w:t>
      </w:r>
      <w:r w:rsidR="005C0BFA">
        <w:rPr>
          <w:rFonts w:ascii="Times New Roman" w:hAnsi="Times New Roman" w:cs="Times New Roman"/>
          <w:sz w:val="24"/>
          <w:szCs w:val="24"/>
          <w:lang w:val="en-US"/>
        </w:rPr>
        <w:t xml:space="preserve">the </w:t>
      </w:r>
      <w:r w:rsidR="005C0BFA" w:rsidRPr="00BA0373">
        <w:rPr>
          <w:rFonts w:ascii="Times New Roman" w:hAnsi="Times New Roman" w:cs="Times New Roman"/>
          <w:sz w:val="24"/>
          <w:szCs w:val="24"/>
          <w:lang w:val="en-US"/>
        </w:rPr>
        <w:t xml:space="preserve">FDA-licensed </w:t>
      </w:r>
      <w:r w:rsidR="005C0BFA">
        <w:rPr>
          <w:rFonts w:ascii="Times New Roman" w:hAnsi="Times New Roman" w:cs="Times New Roman"/>
          <w:sz w:val="24"/>
          <w:szCs w:val="24"/>
          <w:lang w:val="en-US"/>
        </w:rPr>
        <w:t xml:space="preserve">range are unclear and </w:t>
      </w:r>
      <w:r w:rsidR="005C0BFA" w:rsidRPr="00BA0373">
        <w:rPr>
          <w:rFonts w:ascii="Times New Roman" w:hAnsi="Times New Roman" w:cs="Times New Roman"/>
          <w:sz w:val="24"/>
          <w:szCs w:val="24"/>
          <w:lang w:val="en-US"/>
        </w:rPr>
        <w:t>require</w:t>
      </w:r>
      <w:r w:rsidR="005C0BFA">
        <w:rPr>
          <w:rFonts w:ascii="Times New Roman" w:hAnsi="Times New Roman" w:cs="Times New Roman"/>
          <w:sz w:val="24"/>
          <w:szCs w:val="24"/>
          <w:lang w:val="en-US"/>
        </w:rPr>
        <w:t xml:space="preserve"> </w:t>
      </w:r>
      <w:r w:rsidR="005C0BFA" w:rsidRPr="00BA0373">
        <w:rPr>
          <w:rFonts w:ascii="Times New Roman" w:hAnsi="Times New Roman" w:cs="Times New Roman"/>
          <w:sz w:val="24"/>
          <w:szCs w:val="24"/>
          <w:lang w:val="en-US"/>
        </w:rPr>
        <w:t>direct examination by future research.</w:t>
      </w:r>
      <w:r w:rsidR="005C0BFA">
        <w:rPr>
          <w:rFonts w:ascii="Times New Roman" w:hAnsi="Times New Roman" w:cs="Times New Roman"/>
          <w:sz w:val="24"/>
          <w:szCs w:val="24"/>
          <w:lang w:val="en-US"/>
        </w:rPr>
        <w:t xml:space="preserve"> Second, some </w:t>
      </w:r>
      <w:r w:rsidR="00DC58F3">
        <w:rPr>
          <w:rFonts w:ascii="Times New Roman" w:hAnsi="Times New Roman" w:cs="Times New Roman"/>
          <w:sz w:val="24"/>
          <w:szCs w:val="24"/>
          <w:lang w:val="en-US"/>
        </w:rPr>
        <w:t>AEs</w:t>
      </w:r>
      <w:r w:rsidR="005C0BFA">
        <w:rPr>
          <w:rFonts w:ascii="Times New Roman" w:hAnsi="Times New Roman" w:cs="Times New Roman"/>
          <w:sz w:val="24"/>
          <w:szCs w:val="24"/>
          <w:lang w:val="en-US"/>
        </w:rPr>
        <w:t xml:space="preserve"> </w:t>
      </w:r>
      <w:r w:rsidR="00FC7C86">
        <w:rPr>
          <w:rFonts w:ascii="Times New Roman" w:hAnsi="Times New Roman" w:cs="Times New Roman"/>
          <w:sz w:val="24"/>
          <w:szCs w:val="24"/>
          <w:lang w:val="en-US"/>
        </w:rPr>
        <w:t>which might only be present in the long-term may be associated with cumulative stimulant doses. For instance, the MTA follow-up study recently reported for the first time a significant association between stimulant use over development and decreased adult height, which could be due to higher cumulative stimulant doses in the MTA sample in comparison to those from studies reporting negative findings [6</w:t>
      </w:r>
      <w:r w:rsidR="0067766E">
        <w:rPr>
          <w:rFonts w:ascii="Times New Roman" w:hAnsi="Times New Roman" w:cs="Times New Roman"/>
          <w:sz w:val="24"/>
          <w:szCs w:val="24"/>
          <w:lang w:val="en-US"/>
        </w:rPr>
        <w:t>5</w:t>
      </w:r>
      <w:r w:rsidR="00FC7C86">
        <w:rPr>
          <w:rFonts w:ascii="Times New Roman" w:hAnsi="Times New Roman" w:cs="Times New Roman"/>
          <w:sz w:val="24"/>
          <w:szCs w:val="24"/>
          <w:lang w:val="en-US"/>
        </w:rPr>
        <w:t xml:space="preserve">]. Although </w:t>
      </w:r>
      <w:r w:rsidR="004930A2">
        <w:rPr>
          <w:rFonts w:ascii="Times New Roman" w:hAnsi="Times New Roman" w:cs="Times New Roman"/>
          <w:sz w:val="24"/>
          <w:szCs w:val="24"/>
          <w:lang w:val="en-US"/>
        </w:rPr>
        <w:t>the impact on</w:t>
      </w:r>
      <w:r w:rsidR="00FC7C86">
        <w:rPr>
          <w:rFonts w:ascii="Times New Roman" w:hAnsi="Times New Roman" w:cs="Times New Roman"/>
          <w:sz w:val="24"/>
          <w:szCs w:val="24"/>
          <w:lang w:val="en-US"/>
        </w:rPr>
        <w:t xml:space="preserve"> adult height is debatable considering the burden of ADHD, other long-term </w:t>
      </w:r>
      <w:r w:rsidR="00DC58F3">
        <w:rPr>
          <w:rFonts w:ascii="Times New Roman" w:hAnsi="Times New Roman" w:cs="Times New Roman"/>
          <w:sz w:val="24"/>
          <w:szCs w:val="24"/>
          <w:lang w:val="en-US"/>
        </w:rPr>
        <w:t>AEs</w:t>
      </w:r>
      <w:r w:rsidR="00FC7C86">
        <w:rPr>
          <w:rFonts w:ascii="Times New Roman" w:hAnsi="Times New Roman" w:cs="Times New Roman"/>
          <w:sz w:val="24"/>
          <w:szCs w:val="24"/>
          <w:lang w:val="en-US"/>
        </w:rPr>
        <w:t xml:space="preserve"> such </w:t>
      </w:r>
      <w:r w:rsidR="00747FB0">
        <w:rPr>
          <w:rFonts w:ascii="Times New Roman" w:hAnsi="Times New Roman" w:cs="Times New Roman"/>
          <w:sz w:val="24"/>
          <w:szCs w:val="24"/>
          <w:lang w:val="en-US"/>
        </w:rPr>
        <w:t>as increments in heart rate</w:t>
      </w:r>
      <w:r w:rsidR="00FC7C86">
        <w:rPr>
          <w:rFonts w:ascii="Times New Roman" w:hAnsi="Times New Roman" w:cs="Times New Roman"/>
          <w:sz w:val="24"/>
          <w:szCs w:val="24"/>
          <w:lang w:val="en-US"/>
        </w:rPr>
        <w:t xml:space="preserve"> [6</w:t>
      </w:r>
      <w:r w:rsidR="0067766E">
        <w:rPr>
          <w:rFonts w:ascii="Times New Roman" w:hAnsi="Times New Roman" w:cs="Times New Roman"/>
          <w:sz w:val="24"/>
          <w:szCs w:val="24"/>
          <w:lang w:val="en-US"/>
        </w:rPr>
        <w:t>6</w:t>
      </w:r>
      <w:r w:rsidR="00FC7C86" w:rsidRPr="00BA0373">
        <w:rPr>
          <w:rFonts w:ascii="Times New Roman" w:hAnsi="Times New Roman" w:cs="Times New Roman"/>
          <w:sz w:val="24"/>
          <w:szCs w:val="24"/>
          <w:lang w:val="en-US"/>
        </w:rPr>
        <w:t>]</w:t>
      </w:r>
      <w:r w:rsidR="00FC7C86">
        <w:rPr>
          <w:rFonts w:ascii="Times New Roman" w:hAnsi="Times New Roman" w:cs="Times New Roman"/>
          <w:sz w:val="24"/>
          <w:szCs w:val="24"/>
          <w:lang w:val="en-US"/>
        </w:rPr>
        <w:t xml:space="preserve"> could also be associated with cumulative stimulant doses</w:t>
      </w:r>
      <w:r w:rsidR="00747FB0">
        <w:rPr>
          <w:rFonts w:ascii="Times New Roman" w:hAnsi="Times New Roman" w:cs="Times New Roman"/>
          <w:sz w:val="24"/>
          <w:szCs w:val="24"/>
          <w:lang w:val="en-US"/>
        </w:rPr>
        <w:t xml:space="preserve"> and could be particularly burdensome</w:t>
      </w:r>
      <w:r w:rsidR="00FC7C86">
        <w:rPr>
          <w:rFonts w:ascii="Times New Roman" w:hAnsi="Times New Roman" w:cs="Times New Roman"/>
          <w:sz w:val="24"/>
          <w:szCs w:val="24"/>
          <w:lang w:val="en-US"/>
        </w:rPr>
        <w:t xml:space="preserve">. </w:t>
      </w:r>
      <w:r w:rsidR="00747FB0">
        <w:rPr>
          <w:rFonts w:ascii="Times New Roman" w:hAnsi="Times New Roman" w:cs="Times New Roman"/>
          <w:sz w:val="24"/>
          <w:szCs w:val="24"/>
          <w:lang w:val="en-US"/>
        </w:rPr>
        <w:t xml:space="preserve">The cumulative effects of stimulant doses also warrant </w:t>
      </w:r>
      <w:r w:rsidR="00747FB0" w:rsidRPr="00BA0373">
        <w:rPr>
          <w:rFonts w:ascii="Times New Roman" w:hAnsi="Times New Roman" w:cs="Times New Roman"/>
          <w:sz w:val="24"/>
          <w:szCs w:val="24"/>
          <w:lang w:val="en-US"/>
        </w:rPr>
        <w:t>direct examination by future research</w:t>
      </w:r>
      <w:r w:rsidR="00747FB0">
        <w:rPr>
          <w:rFonts w:ascii="Times New Roman" w:hAnsi="Times New Roman" w:cs="Times New Roman"/>
          <w:sz w:val="24"/>
          <w:szCs w:val="24"/>
          <w:lang w:val="en-US"/>
        </w:rPr>
        <w:t xml:space="preserve">. </w:t>
      </w:r>
    </w:p>
    <w:p w14:paraId="000000EB" w14:textId="723D6C0F" w:rsidR="00252EC4" w:rsidRPr="00BA0373" w:rsidRDefault="006D138E" w:rsidP="0012522B">
      <w:pPr>
        <w:spacing w:line="480" w:lineRule="auto"/>
        <w:ind w:firstLine="700"/>
        <w:rPr>
          <w:rFonts w:ascii="Times New Roman" w:hAnsi="Times New Roman" w:cs="Times New Roman"/>
          <w:sz w:val="24"/>
          <w:szCs w:val="24"/>
          <w:lang w:val="en-US"/>
        </w:rPr>
      </w:pPr>
      <w:r w:rsidRPr="00BA0373">
        <w:rPr>
          <w:rFonts w:ascii="Times New Roman" w:hAnsi="Times New Roman" w:cs="Times New Roman"/>
          <w:sz w:val="24"/>
          <w:szCs w:val="24"/>
          <w:lang w:val="en-US"/>
        </w:rPr>
        <w:t xml:space="preserve">Our </w:t>
      </w:r>
      <w:r w:rsidR="003C2C9B">
        <w:rPr>
          <w:rFonts w:ascii="Times New Roman" w:hAnsi="Times New Roman" w:cs="Times New Roman"/>
          <w:sz w:val="24"/>
          <w:szCs w:val="24"/>
          <w:lang w:val="en-US"/>
        </w:rPr>
        <w:t>study has</w:t>
      </w:r>
      <w:r w:rsidRPr="00BA0373">
        <w:rPr>
          <w:rFonts w:ascii="Times New Roman" w:hAnsi="Times New Roman" w:cs="Times New Roman"/>
          <w:sz w:val="24"/>
          <w:szCs w:val="24"/>
          <w:lang w:val="en-US"/>
        </w:rPr>
        <w:t xml:space="preserve"> limitations. </w:t>
      </w:r>
      <w:r>
        <w:rPr>
          <w:rFonts w:ascii="Times New Roman" w:hAnsi="Times New Roman" w:cs="Times New Roman"/>
          <w:sz w:val="24"/>
          <w:szCs w:val="24"/>
          <w:lang w:val="en-US"/>
        </w:rPr>
        <w:t>W</w:t>
      </w:r>
      <w:r w:rsidR="003222AB" w:rsidRPr="00BA0373">
        <w:rPr>
          <w:rFonts w:ascii="Times New Roman" w:hAnsi="Times New Roman" w:cs="Times New Roman"/>
          <w:sz w:val="24"/>
          <w:szCs w:val="24"/>
          <w:lang w:val="en-US"/>
        </w:rPr>
        <w:t xml:space="preserve">e note </w:t>
      </w:r>
      <w:r w:rsidR="00DC58F3">
        <w:rPr>
          <w:rFonts w:ascii="Times New Roman" w:hAnsi="Times New Roman" w:cs="Times New Roman"/>
          <w:sz w:val="24"/>
          <w:szCs w:val="24"/>
          <w:lang w:val="en-US"/>
        </w:rPr>
        <w:t>we</w:t>
      </w:r>
      <w:r w:rsidR="003222AB" w:rsidRPr="00BA0373">
        <w:rPr>
          <w:rFonts w:ascii="Times New Roman" w:hAnsi="Times New Roman" w:cs="Times New Roman"/>
          <w:sz w:val="24"/>
          <w:szCs w:val="24"/>
          <w:lang w:val="en-US"/>
        </w:rPr>
        <w:t xml:space="preserve"> only considered change in ADHD symptoms as the efficacy outcome rather than functional outcomes [6</w:t>
      </w:r>
      <w:r w:rsidR="0067766E">
        <w:rPr>
          <w:rFonts w:ascii="Times New Roman" w:hAnsi="Times New Roman" w:cs="Times New Roman"/>
          <w:sz w:val="24"/>
          <w:szCs w:val="24"/>
          <w:lang w:val="en-US"/>
        </w:rPr>
        <w:t>7</w:t>
      </w:r>
      <w:r w:rsidR="003222AB" w:rsidRPr="00BA0373">
        <w:rPr>
          <w:rFonts w:ascii="Times New Roman" w:hAnsi="Times New Roman" w:cs="Times New Roman"/>
          <w:sz w:val="24"/>
          <w:szCs w:val="24"/>
          <w:lang w:val="en-US"/>
        </w:rPr>
        <w:t>] or associated psychopathology, e.g., emotional dysregulation [6</w:t>
      </w:r>
      <w:r w:rsidR="0067766E">
        <w:rPr>
          <w:rFonts w:ascii="Times New Roman" w:hAnsi="Times New Roman" w:cs="Times New Roman"/>
          <w:sz w:val="24"/>
          <w:szCs w:val="24"/>
          <w:lang w:val="en-US"/>
        </w:rPr>
        <w:t>8</w:t>
      </w:r>
      <w:r w:rsidR="003222AB" w:rsidRPr="00BA0373">
        <w:rPr>
          <w:rFonts w:ascii="Times New Roman" w:hAnsi="Times New Roman" w:cs="Times New Roman"/>
          <w:sz w:val="24"/>
          <w:szCs w:val="24"/>
          <w:lang w:val="en-US"/>
        </w:rPr>
        <w:t>, 6</w:t>
      </w:r>
      <w:r w:rsidR="0067766E">
        <w:rPr>
          <w:rFonts w:ascii="Times New Roman" w:hAnsi="Times New Roman" w:cs="Times New Roman"/>
          <w:sz w:val="24"/>
          <w:szCs w:val="24"/>
          <w:lang w:val="en-US"/>
        </w:rPr>
        <w:t>9</w:t>
      </w:r>
      <w:r w:rsidR="003222AB" w:rsidRPr="00BA0373">
        <w:rPr>
          <w:rFonts w:ascii="Times New Roman" w:hAnsi="Times New Roman" w:cs="Times New Roman"/>
          <w:sz w:val="24"/>
          <w:szCs w:val="24"/>
          <w:lang w:val="en-US"/>
        </w:rPr>
        <w:t>], which reflects the availability of outcomes in individual RCTs</w:t>
      </w:r>
      <w:r w:rsidR="00D3277A">
        <w:rPr>
          <w:rFonts w:ascii="Times New Roman" w:hAnsi="Times New Roman" w:cs="Times New Roman"/>
          <w:sz w:val="24"/>
          <w:szCs w:val="24"/>
          <w:lang w:val="en-US"/>
        </w:rPr>
        <w:t>.</w:t>
      </w:r>
      <w:r w:rsidR="003222AB" w:rsidRPr="00BA0373">
        <w:rPr>
          <w:rFonts w:ascii="Times New Roman" w:hAnsi="Times New Roman" w:cs="Times New Roman"/>
          <w:sz w:val="24"/>
          <w:szCs w:val="24"/>
          <w:lang w:val="en-US"/>
        </w:rPr>
        <w:t xml:space="preserve"> In fact, the majority of RCTs </w:t>
      </w:r>
      <w:r w:rsidR="00DC58F3">
        <w:rPr>
          <w:rFonts w:ascii="Times New Roman" w:hAnsi="Times New Roman" w:cs="Times New Roman"/>
          <w:sz w:val="24"/>
          <w:szCs w:val="24"/>
          <w:lang w:val="en-US"/>
        </w:rPr>
        <w:t>for</w:t>
      </w:r>
      <w:r w:rsidR="003222AB" w:rsidRPr="00BA0373">
        <w:rPr>
          <w:rFonts w:ascii="Times New Roman" w:hAnsi="Times New Roman" w:cs="Times New Roman"/>
          <w:sz w:val="24"/>
          <w:szCs w:val="24"/>
          <w:lang w:val="en-US"/>
        </w:rPr>
        <w:t xml:space="preserve"> ADHD still use ADHD symptoms as the primary outcome [6</w:t>
      </w:r>
      <w:r w:rsidR="0067766E">
        <w:rPr>
          <w:rFonts w:ascii="Times New Roman" w:hAnsi="Times New Roman" w:cs="Times New Roman"/>
          <w:sz w:val="24"/>
          <w:szCs w:val="24"/>
          <w:lang w:val="en-US"/>
        </w:rPr>
        <w:t>7]</w:t>
      </w:r>
      <w:r w:rsidR="003222AB" w:rsidRPr="00BA0373">
        <w:rPr>
          <w:rFonts w:ascii="Times New Roman" w:hAnsi="Times New Roman" w:cs="Times New Roman"/>
          <w:sz w:val="24"/>
          <w:szCs w:val="24"/>
          <w:lang w:val="en-US"/>
        </w:rPr>
        <w:t xml:space="preserve">, which limits our ability to examine other outcomes for efficacy. Future research should consider examining dose-response curves of stimulants for functional outcomes and accompanying psychopathology when more data is available. However, we note most of the current clinical practice guidelines still recommend dose-optimization against ADHD symptoms rather than functioning or accompanying psychopathology [2-4], with a few notable exceptions [5]. </w:t>
      </w:r>
      <w:r w:rsidR="00747FB0">
        <w:rPr>
          <w:rFonts w:ascii="Times New Roman" w:hAnsi="Times New Roman" w:cs="Times New Roman"/>
          <w:sz w:val="24"/>
          <w:szCs w:val="24"/>
          <w:lang w:val="en-US"/>
        </w:rPr>
        <w:t>Besides, o</w:t>
      </w:r>
      <w:r w:rsidR="003222AB" w:rsidRPr="00BA0373">
        <w:rPr>
          <w:rFonts w:ascii="Times New Roman" w:hAnsi="Times New Roman" w:cs="Times New Roman"/>
          <w:sz w:val="24"/>
          <w:szCs w:val="24"/>
          <w:lang w:val="en-US"/>
        </w:rPr>
        <w:t>ur definition of tolerability only considered dropouts due to AE</w:t>
      </w:r>
      <w:r w:rsidR="00DC58F3">
        <w:rPr>
          <w:rFonts w:ascii="Times New Roman" w:hAnsi="Times New Roman" w:cs="Times New Roman"/>
          <w:sz w:val="24"/>
          <w:szCs w:val="24"/>
          <w:lang w:val="en-US"/>
        </w:rPr>
        <w:t>s</w:t>
      </w:r>
      <w:r w:rsidR="003222AB" w:rsidRPr="00BA0373">
        <w:rPr>
          <w:rFonts w:ascii="Times New Roman" w:hAnsi="Times New Roman" w:cs="Times New Roman"/>
          <w:sz w:val="24"/>
          <w:szCs w:val="24"/>
          <w:lang w:val="en-US"/>
        </w:rPr>
        <w:t xml:space="preserve">; a detailed examination of individual </w:t>
      </w:r>
      <w:r w:rsidR="00DC58F3">
        <w:rPr>
          <w:rFonts w:ascii="Times New Roman" w:hAnsi="Times New Roman" w:cs="Times New Roman"/>
          <w:sz w:val="24"/>
          <w:szCs w:val="24"/>
          <w:lang w:val="en-US"/>
        </w:rPr>
        <w:t>AEs</w:t>
      </w:r>
      <w:r w:rsidR="003222AB" w:rsidRPr="00BA0373">
        <w:rPr>
          <w:rFonts w:ascii="Times New Roman" w:hAnsi="Times New Roman" w:cs="Times New Roman"/>
          <w:sz w:val="24"/>
          <w:szCs w:val="24"/>
          <w:lang w:val="en-US"/>
        </w:rPr>
        <w:t xml:space="preserve"> should be addressed n in future research. We also note stimulant medications have differing pharmacokinetic properties which may affect the efficacy and tolerability even if given in the same total daily </w:t>
      </w:r>
      <w:r w:rsidR="003222AB" w:rsidRPr="00BA0373">
        <w:rPr>
          <w:rFonts w:ascii="Times New Roman" w:hAnsi="Times New Roman" w:cs="Times New Roman"/>
          <w:sz w:val="24"/>
          <w:szCs w:val="24"/>
          <w:lang w:val="en-US"/>
        </w:rPr>
        <w:lastRenderedPageBreak/>
        <w:t xml:space="preserve">dose. We did not investigate dose-response associations considering doses by weight (mg/kg/day) because </w:t>
      </w:r>
      <w:r w:rsidR="00D23A5D">
        <w:rPr>
          <w:rFonts w:ascii="Times New Roman" w:hAnsi="Times New Roman" w:cs="Times New Roman"/>
          <w:sz w:val="24"/>
          <w:szCs w:val="24"/>
          <w:lang w:val="en-US"/>
        </w:rPr>
        <w:t>a small number of</w:t>
      </w:r>
      <w:r w:rsidR="003222AB" w:rsidRPr="00BA0373">
        <w:rPr>
          <w:rFonts w:ascii="Times New Roman" w:hAnsi="Times New Roman" w:cs="Times New Roman"/>
          <w:sz w:val="24"/>
          <w:szCs w:val="24"/>
          <w:lang w:val="en-US"/>
        </w:rPr>
        <w:t xml:space="preserve"> studies adopted such dosing design, but future studies could examine this question if more data </w:t>
      </w:r>
      <w:r w:rsidR="00D23A5D">
        <w:rPr>
          <w:rFonts w:ascii="Times New Roman" w:hAnsi="Times New Roman" w:cs="Times New Roman"/>
          <w:sz w:val="24"/>
          <w:szCs w:val="24"/>
          <w:lang w:val="en-US"/>
        </w:rPr>
        <w:t>are</w:t>
      </w:r>
      <w:r w:rsidR="003222AB" w:rsidRPr="00BA0373">
        <w:rPr>
          <w:rFonts w:ascii="Times New Roman" w:hAnsi="Times New Roman" w:cs="Times New Roman"/>
          <w:sz w:val="24"/>
          <w:szCs w:val="24"/>
          <w:lang w:val="en-US"/>
        </w:rPr>
        <w:t xml:space="preserve"> available. </w:t>
      </w:r>
      <w:r w:rsidR="00F60B40">
        <w:rPr>
          <w:rFonts w:ascii="Times New Roman" w:hAnsi="Times New Roman" w:cs="Times New Roman"/>
          <w:sz w:val="24"/>
          <w:szCs w:val="24"/>
          <w:lang w:val="en-US"/>
        </w:rPr>
        <w:t xml:space="preserve">Also, our DSMD/ROR analyses could be subject to residual confounding due to unmeasured variables. </w:t>
      </w:r>
      <w:r w:rsidR="003222AB" w:rsidRPr="00BA0373">
        <w:rPr>
          <w:rFonts w:ascii="Times New Roman" w:hAnsi="Times New Roman" w:cs="Times New Roman"/>
          <w:sz w:val="24"/>
          <w:szCs w:val="24"/>
          <w:lang w:val="en-US"/>
        </w:rPr>
        <w:t>Lastly, children who participate in RCTs may be more motivated to receive stimulants or, alternatively, their parents may be more willing to accept higher doses than in community care. This difference may affect the generalizability of our results.</w:t>
      </w:r>
    </w:p>
    <w:p w14:paraId="000000ED" w14:textId="1AC40900" w:rsidR="00252EC4" w:rsidRDefault="003222AB" w:rsidP="0012522B">
      <w:pPr>
        <w:spacing w:line="480" w:lineRule="auto"/>
        <w:rPr>
          <w:rFonts w:ascii="Times New Roman" w:hAnsi="Times New Roman" w:cs="Times New Roman"/>
          <w:sz w:val="24"/>
          <w:szCs w:val="24"/>
          <w:lang w:val="en-US"/>
        </w:rPr>
      </w:pPr>
      <w:r w:rsidRPr="00BA0373">
        <w:rPr>
          <w:rFonts w:ascii="Times New Roman" w:hAnsi="Times New Roman" w:cs="Times New Roman"/>
          <w:sz w:val="24"/>
          <w:szCs w:val="24"/>
          <w:lang w:val="en-US"/>
        </w:rPr>
        <w:t xml:space="preserve">        </w:t>
      </w:r>
      <w:r w:rsidRPr="00BA0373">
        <w:rPr>
          <w:rFonts w:ascii="Times New Roman" w:hAnsi="Times New Roman" w:cs="Times New Roman"/>
          <w:sz w:val="24"/>
          <w:szCs w:val="24"/>
          <w:lang w:val="en-US"/>
        </w:rPr>
        <w:tab/>
        <w:t>Notwithstanding these caveats, the present meta-analysis provides evidence demonstrating the importance of dose-optimization</w:t>
      </w:r>
      <w:r w:rsidR="000B5EC9">
        <w:rPr>
          <w:rFonts w:ascii="Times New Roman" w:hAnsi="Times New Roman" w:cs="Times New Roman"/>
          <w:sz w:val="24"/>
          <w:szCs w:val="24"/>
          <w:lang w:val="en-US"/>
        </w:rPr>
        <w:t xml:space="preserve"> </w:t>
      </w:r>
      <w:r w:rsidRPr="00BA0373">
        <w:rPr>
          <w:rFonts w:ascii="Times New Roman" w:hAnsi="Times New Roman" w:cs="Times New Roman"/>
          <w:sz w:val="24"/>
          <w:szCs w:val="24"/>
          <w:lang w:val="en-US"/>
        </w:rPr>
        <w:t xml:space="preserve">across the entire FDA-licensed dose range </w:t>
      </w:r>
      <w:r w:rsidR="000B5EC9" w:rsidRPr="00BA0373">
        <w:rPr>
          <w:rFonts w:ascii="Times New Roman" w:hAnsi="Times New Roman" w:cs="Times New Roman"/>
          <w:sz w:val="24"/>
          <w:szCs w:val="24"/>
          <w:lang w:val="en-US"/>
        </w:rPr>
        <w:t xml:space="preserve">unless ADHD symptoms </w:t>
      </w:r>
      <w:r w:rsidR="000B5EC9">
        <w:rPr>
          <w:rFonts w:ascii="Times New Roman" w:hAnsi="Times New Roman" w:cs="Times New Roman"/>
          <w:sz w:val="24"/>
          <w:szCs w:val="24"/>
          <w:lang w:val="en-US"/>
        </w:rPr>
        <w:t>severity diminishes to the point where there is little room for further improvement</w:t>
      </w:r>
      <w:r w:rsidR="000B5EC9" w:rsidRPr="00BA0373">
        <w:rPr>
          <w:rFonts w:ascii="Times New Roman" w:hAnsi="Times New Roman" w:cs="Times New Roman"/>
          <w:sz w:val="24"/>
          <w:szCs w:val="24"/>
          <w:lang w:val="en-US"/>
        </w:rPr>
        <w:t xml:space="preserve">, or dose-limiting </w:t>
      </w:r>
      <w:r w:rsidR="003C2C9B">
        <w:rPr>
          <w:rFonts w:ascii="Times New Roman" w:hAnsi="Times New Roman" w:cs="Times New Roman"/>
          <w:sz w:val="24"/>
          <w:szCs w:val="24"/>
          <w:lang w:val="en-US"/>
        </w:rPr>
        <w:t>AEs</w:t>
      </w:r>
      <w:r w:rsidR="000B5EC9" w:rsidRPr="00BA0373">
        <w:rPr>
          <w:rFonts w:ascii="Times New Roman" w:hAnsi="Times New Roman" w:cs="Times New Roman"/>
          <w:sz w:val="24"/>
          <w:szCs w:val="24"/>
          <w:lang w:val="en-US"/>
        </w:rPr>
        <w:t xml:space="preserve"> appear, </w:t>
      </w:r>
      <w:r w:rsidRPr="00BA0373">
        <w:rPr>
          <w:rFonts w:ascii="Times New Roman" w:hAnsi="Times New Roman" w:cs="Times New Roman"/>
          <w:sz w:val="24"/>
          <w:szCs w:val="24"/>
          <w:lang w:val="en-US"/>
        </w:rPr>
        <w:t>in the management of ADHD in children/adolescents. Clear, evidence-based communication with families about the importance of escalating doses could help decrease their concerns regarding higher doses.</w:t>
      </w:r>
    </w:p>
    <w:p w14:paraId="4026A000" w14:textId="5C1FB2D3" w:rsidR="00A84A7E" w:rsidRPr="00A84A7E" w:rsidRDefault="00A84A7E" w:rsidP="0012522B">
      <w:pPr>
        <w:spacing w:line="480" w:lineRule="auto"/>
        <w:rPr>
          <w:rFonts w:ascii="Times New Roman" w:hAnsi="Times New Roman" w:cs="Times New Roman"/>
          <w:sz w:val="24"/>
          <w:szCs w:val="24"/>
          <w:lang w:val="en-US"/>
        </w:rPr>
        <w:sectPr w:rsidR="00A84A7E" w:rsidRPr="00A84A7E" w:rsidSect="002261F8">
          <w:pgSz w:w="11909" w:h="16834"/>
          <w:pgMar w:top="1440" w:right="1440" w:bottom="1440" w:left="1440" w:header="720" w:footer="720" w:gutter="0"/>
          <w:cols w:space="720"/>
          <w:docGrid w:linePitch="299"/>
        </w:sectPr>
      </w:pPr>
    </w:p>
    <w:p w14:paraId="000000EE" w14:textId="77777777" w:rsidR="00252EC4" w:rsidRPr="00BA0373" w:rsidRDefault="003222AB" w:rsidP="0012522B">
      <w:pPr>
        <w:spacing w:line="480" w:lineRule="auto"/>
        <w:rPr>
          <w:rFonts w:ascii="Times New Roman" w:hAnsi="Times New Roman" w:cs="Times New Roman"/>
          <w:b/>
          <w:sz w:val="24"/>
          <w:szCs w:val="24"/>
          <w:lang w:val="en-US"/>
        </w:rPr>
      </w:pPr>
      <w:r w:rsidRPr="00BA0373">
        <w:rPr>
          <w:rFonts w:ascii="Times New Roman" w:hAnsi="Times New Roman" w:cs="Times New Roman"/>
          <w:b/>
          <w:sz w:val="24"/>
          <w:szCs w:val="24"/>
          <w:lang w:val="en-US"/>
        </w:rPr>
        <w:t>Conflict of interest.</w:t>
      </w:r>
    </w:p>
    <w:p w14:paraId="000000EF" w14:textId="58CB304F" w:rsidR="00252EC4" w:rsidRDefault="003222AB" w:rsidP="0012522B">
      <w:pPr>
        <w:spacing w:line="480" w:lineRule="auto"/>
        <w:rPr>
          <w:rFonts w:ascii="Times New Roman" w:hAnsi="Times New Roman" w:cs="Times New Roman"/>
          <w:sz w:val="24"/>
          <w:szCs w:val="24"/>
          <w:lang w:val="en-US"/>
        </w:rPr>
      </w:pPr>
      <w:r w:rsidRPr="00BA0373">
        <w:rPr>
          <w:rFonts w:ascii="Times New Roman" w:hAnsi="Times New Roman" w:cs="Times New Roman"/>
          <w:sz w:val="24"/>
          <w:szCs w:val="24"/>
          <w:lang w:val="en-US"/>
        </w:rPr>
        <w:t xml:space="preserve">The authors report no underlying conflicts of interest. </w:t>
      </w:r>
      <w:r w:rsidRPr="00E46284">
        <w:rPr>
          <w:rFonts w:ascii="Times New Roman" w:hAnsi="Times New Roman" w:cs="Times New Roman"/>
          <w:sz w:val="24"/>
          <w:szCs w:val="24"/>
        </w:rPr>
        <w:t>Dr. Farhat receive</w:t>
      </w:r>
      <w:r w:rsidR="001D7EC9">
        <w:rPr>
          <w:rFonts w:ascii="Times New Roman" w:hAnsi="Times New Roman" w:cs="Times New Roman"/>
          <w:sz w:val="24"/>
          <w:szCs w:val="24"/>
        </w:rPr>
        <w:t>s</w:t>
      </w:r>
      <w:r w:rsidRPr="00E46284">
        <w:rPr>
          <w:rFonts w:ascii="Times New Roman" w:hAnsi="Times New Roman" w:cs="Times New Roman"/>
          <w:sz w:val="24"/>
          <w:szCs w:val="24"/>
        </w:rPr>
        <w:t xml:space="preserve"> salary support from 21/08540-0 by Fundação de Amparo à Pesquisa do Estado de São Paulo (FAPESP). </w:t>
      </w:r>
      <w:r w:rsidRPr="00BA0373">
        <w:rPr>
          <w:rFonts w:ascii="Times New Roman" w:hAnsi="Times New Roman" w:cs="Times New Roman"/>
          <w:sz w:val="24"/>
          <w:szCs w:val="24"/>
          <w:lang w:val="en-US"/>
        </w:rPr>
        <w:t xml:space="preserve">Dr. Flores received salary support from T32MH018268 (NIMH). Dr. Cortese declares honoraria and reimbursement for travel and accommodation expenses for lectures from the following non-profit associations: Association for Child and Adolescent Central Health (ACAMH), Canadian ADHD Alliance Resource (CADDRA), British Association of Pharmacology (BAP), and from Healthcare Convention for educational activity on ADHD. Dr. Polanczyk has served as a consultant/speaker to Shire/Takeda, Ache, Novo Nordisk and Medice and has received royalties from Editora Manole. </w:t>
      </w:r>
      <w:r w:rsidRPr="00E46284">
        <w:rPr>
          <w:rFonts w:ascii="Times New Roman" w:hAnsi="Times New Roman" w:cs="Times New Roman"/>
          <w:sz w:val="24"/>
          <w:szCs w:val="24"/>
        </w:rPr>
        <w:t xml:space="preserve">Dr. Polanczyk receives research support from Fundação de Amparo à Pesquisa do Estado de São Paulo (FAPESP) (grant 16/22455-8). </w:t>
      </w:r>
      <w:r w:rsidRPr="00BA0373">
        <w:rPr>
          <w:rFonts w:ascii="Times New Roman" w:hAnsi="Times New Roman" w:cs="Times New Roman"/>
          <w:sz w:val="24"/>
          <w:szCs w:val="24"/>
          <w:lang w:val="en-US"/>
        </w:rPr>
        <w:t>Dr. Bloch receives contracted research support from Therapix Biosciences, Neurocrine Biosciences, Janssen Pharmaceuticals and Biohaven Pharmaceuticals, but none provided support for the current manuscript. Dr. Bloch also receives additional research support from NIH. The other authors report no financial relationships with commercial interests.</w:t>
      </w:r>
    </w:p>
    <w:p w14:paraId="659162A9" w14:textId="77777777" w:rsidR="001D7EC9" w:rsidRPr="00BA0373" w:rsidRDefault="001D7EC9" w:rsidP="0012522B">
      <w:pPr>
        <w:spacing w:line="480" w:lineRule="auto"/>
        <w:rPr>
          <w:rFonts w:ascii="Times New Roman" w:hAnsi="Times New Roman" w:cs="Times New Roman"/>
          <w:sz w:val="24"/>
          <w:szCs w:val="24"/>
          <w:lang w:val="en-US"/>
        </w:rPr>
      </w:pPr>
    </w:p>
    <w:p w14:paraId="000000F0" w14:textId="77777777" w:rsidR="00252EC4" w:rsidRPr="00BA0373" w:rsidRDefault="003222AB" w:rsidP="0012522B">
      <w:pPr>
        <w:spacing w:line="480" w:lineRule="auto"/>
        <w:rPr>
          <w:rFonts w:ascii="Times New Roman" w:hAnsi="Times New Roman" w:cs="Times New Roman"/>
          <w:b/>
          <w:sz w:val="24"/>
          <w:szCs w:val="24"/>
          <w:lang w:val="en-US"/>
        </w:rPr>
      </w:pPr>
      <w:r w:rsidRPr="00BA0373">
        <w:rPr>
          <w:rFonts w:ascii="Times New Roman" w:hAnsi="Times New Roman" w:cs="Times New Roman"/>
          <w:b/>
          <w:sz w:val="24"/>
          <w:szCs w:val="24"/>
          <w:lang w:val="en-US"/>
        </w:rPr>
        <w:t>Acknowledgement.</w:t>
      </w:r>
    </w:p>
    <w:p w14:paraId="000000F1" w14:textId="1F6B5C6C" w:rsidR="00252EC4" w:rsidRDefault="003222AB" w:rsidP="0012522B">
      <w:pPr>
        <w:spacing w:line="480" w:lineRule="auto"/>
        <w:rPr>
          <w:rFonts w:ascii="Times New Roman" w:hAnsi="Times New Roman" w:cs="Times New Roman"/>
          <w:sz w:val="24"/>
          <w:szCs w:val="24"/>
          <w:lang w:val="en-US"/>
        </w:rPr>
      </w:pPr>
      <w:r w:rsidRPr="00BA0373">
        <w:rPr>
          <w:rFonts w:ascii="Times New Roman" w:hAnsi="Times New Roman" w:cs="Times New Roman"/>
          <w:sz w:val="24"/>
          <w:szCs w:val="24"/>
          <w:lang w:val="en-US"/>
        </w:rPr>
        <w:t>There was no direct financial support received for this work. The authors express the sincerest appreciation and gratitude to the European ADHD Guideline Group (EAGG) for making publicly available the dataset of their network meta-analysis.</w:t>
      </w:r>
    </w:p>
    <w:p w14:paraId="74C55A2C" w14:textId="52215101" w:rsidR="004C5E65" w:rsidRDefault="004C5E65" w:rsidP="0012522B">
      <w:pPr>
        <w:spacing w:line="480" w:lineRule="auto"/>
        <w:rPr>
          <w:rFonts w:ascii="Times New Roman" w:hAnsi="Times New Roman" w:cs="Times New Roman"/>
          <w:sz w:val="24"/>
          <w:szCs w:val="24"/>
          <w:lang w:val="en-US"/>
        </w:rPr>
      </w:pPr>
    </w:p>
    <w:p w14:paraId="632D797D" w14:textId="4CDCAFFA" w:rsidR="004C5E65" w:rsidRDefault="004C5E65" w:rsidP="0012522B">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Author contributions.</w:t>
      </w:r>
    </w:p>
    <w:p w14:paraId="4957ECF3" w14:textId="3203A5C9" w:rsidR="004C5E65" w:rsidRPr="004C5E65" w:rsidRDefault="004C5E65" w:rsidP="0012522B">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LCF, GVP and MHB conceived the idea. LCF, EB, AL, SC acquired the data. LCF, JF, VJAQ, AL, MHB analyzed the data. LCF, GVP, MHB wrote the first draft. SC provided key expert comments on the analyses and first draft. All authors contributed to writing and editing of the final draft.</w:t>
      </w:r>
    </w:p>
    <w:p w14:paraId="000000F2" w14:textId="2EC851EE" w:rsidR="00252EC4" w:rsidRDefault="00252EC4" w:rsidP="0012522B">
      <w:pPr>
        <w:spacing w:line="480" w:lineRule="auto"/>
        <w:rPr>
          <w:rFonts w:ascii="Times New Roman" w:eastAsia="Times New Roman" w:hAnsi="Times New Roman" w:cs="Times New Roman"/>
          <w:sz w:val="24"/>
          <w:szCs w:val="24"/>
          <w:lang w:val="en-US"/>
        </w:rPr>
      </w:pPr>
    </w:p>
    <w:p w14:paraId="293627D4" w14:textId="77777777" w:rsidR="00A84A7E" w:rsidRDefault="00A84A7E" w:rsidP="0012522B">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Supplementary information</w:t>
      </w:r>
    </w:p>
    <w:p w14:paraId="55FBE277" w14:textId="1DE9B0F3" w:rsidR="00A84A7E" w:rsidRPr="00A84A7E" w:rsidRDefault="00A84A7E" w:rsidP="0012522B">
      <w:pPr>
        <w:spacing w:line="480" w:lineRule="auto"/>
        <w:rPr>
          <w:rFonts w:ascii="Times New Roman" w:hAnsi="Times New Roman" w:cs="Times New Roman"/>
          <w:sz w:val="24"/>
          <w:szCs w:val="24"/>
          <w:u w:val="single"/>
          <w:lang w:val="en-US"/>
        </w:rPr>
      </w:pPr>
      <w:r w:rsidRPr="00A84A7E">
        <w:rPr>
          <w:rFonts w:ascii="Times New Roman" w:hAnsi="Times New Roman" w:cs="Times New Roman"/>
          <w:sz w:val="24"/>
          <w:szCs w:val="24"/>
          <w:lang w:val="en-US"/>
        </w:rPr>
        <w:t>Supplementary information is available at MP’s website</w:t>
      </w:r>
    </w:p>
    <w:p w14:paraId="000000F3" w14:textId="77777777" w:rsidR="00252EC4" w:rsidRPr="00BA0373" w:rsidRDefault="00252EC4" w:rsidP="0012522B">
      <w:pPr>
        <w:spacing w:line="480" w:lineRule="auto"/>
        <w:rPr>
          <w:rFonts w:ascii="Times New Roman" w:eastAsia="Times New Roman" w:hAnsi="Times New Roman" w:cs="Times New Roman"/>
          <w:sz w:val="24"/>
          <w:szCs w:val="24"/>
          <w:lang w:val="en-US"/>
        </w:rPr>
      </w:pPr>
    </w:p>
    <w:p w14:paraId="000000F4" w14:textId="77777777" w:rsidR="00252EC4" w:rsidRPr="00BA0373" w:rsidRDefault="00252EC4" w:rsidP="0012522B">
      <w:pPr>
        <w:spacing w:line="480" w:lineRule="auto"/>
        <w:rPr>
          <w:rFonts w:ascii="Times New Roman" w:eastAsia="Times New Roman" w:hAnsi="Times New Roman" w:cs="Times New Roman"/>
          <w:sz w:val="24"/>
          <w:szCs w:val="24"/>
          <w:lang w:val="en-US"/>
        </w:rPr>
      </w:pPr>
    </w:p>
    <w:p w14:paraId="7F010170" w14:textId="77777777" w:rsidR="00D3277A" w:rsidRDefault="00D3277A" w:rsidP="0012522B">
      <w:pPr>
        <w:spacing w:line="480" w:lineRule="auto"/>
        <w:rPr>
          <w:rFonts w:ascii="Times New Roman" w:eastAsia="Times New Roman" w:hAnsi="Times New Roman" w:cs="Times New Roman"/>
          <w:sz w:val="24"/>
          <w:szCs w:val="24"/>
          <w:lang w:val="en-US"/>
        </w:rPr>
        <w:sectPr w:rsidR="00D3277A" w:rsidSect="001D7EC9">
          <w:pgSz w:w="11909" w:h="16834"/>
          <w:pgMar w:top="1440" w:right="1440" w:bottom="1440" w:left="1440" w:header="720" w:footer="720" w:gutter="0"/>
          <w:cols w:space="720"/>
          <w:docGrid w:linePitch="299"/>
        </w:sectPr>
      </w:pPr>
    </w:p>
    <w:p w14:paraId="4EE60CEA" w14:textId="77777777" w:rsidR="009A4C36" w:rsidRPr="00BA0373" w:rsidRDefault="009A4C36" w:rsidP="009A4C36">
      <w:pPr>
        <w:spacing w:line="480" w:lineRule="auto"/>
        <w:rPr>
          <w:rFonts w:ascii="Times New Roman" w:hAnsi="Times New Roman" w:cs="Times New Roman"/>
          <w:b/>
          <w:sz w:val="24"/>
          <w:szCs w:val="24"/>
          <w:lang w:val="en-US"/>
        </w:rPr>
      </w:pPr>
      <w:r w:rsidRPr="00BA0373">
        <w:rPr>
          <w:rFonts w:ascii="Times New Roman" w:hAnsi="Times New Roman" w:cs="Times New Roman"/>
          <w:b/>
          <w:sz w:val="24"/>
          <w:szCs w:val="24"/>
          <w:lang w:val="en-US"/>
        </w:rPr>
        <w:t>REFERENCES</w:t>
      </w:r>
    </w:p>
    <w:p w14:paraId="6A8A408D" w14:textId="37ACF5D8"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 xml:space="preserve">1.     </w:t>
      </w:r>
      <w:r w:rsidRPr="00BA0373">
        <w:rPr>
          <w:rFonts w:ascii="Times New Roman" w:eastAsia="Times New Roman" w:hAnsi="Times New Roman" w:cs="Times New Roman"/>
          <w:sz w:val="24"/>
          <w:szCs w:val="24"/>
          <w:lang w:val="en-US"/>
        </w:rPr>
        <w:tab/>
        <w:t xml:space="preserve">Cortese S. Pharmacologic Treatment of Attention Deficit-Hyperactivity Disorder. </w:t>
      </w:r>
      <w:r w:rsidRPr="00A30C79">
        <w:rPr>
          <w:rFonts w:ascii="Times New Roman" w:eastAsia="Times New Roman" w:hAnsi="Times New Roman" w:cs="Times New Roman"/>
          <w:i/>
          <w:iCs/>
          <w:sz w:val="24"/>
          <w:szCs w:val="24"/>
          <w:lang w:val="en-US"/>
        </w:rPr>
        <w:t>N Engl J Med</w:t>
      </w:r>
      <w:r w:rsidRPr="00BA0373">
        <w:rPr>
          <w:rFonts w:ascii="Times New Roman" w:eastAsia="Times New Roman" w:hAnsi="Times New Roman" w:cs="Times New Roman"/>
          <w:sz w:val="24"/>
          <w:szCs w:val="24"/>
          <w:lang w:val="en-US"/>
        </w:rPr>
        <w:t xml:space="preserve"> 2020;383(11):1050-6.</w:t>
      </w:r>
    </w:p>
    <w:p w14:paraId="54DB4F5E" w14:textId="575D335B"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 xml:space="preserve">2.     </w:t>
      </w:r>
      <w:r w:rsidRPr="00BA0373">
        <w:rPr>
          <w:rFonts w:ascii="Times New Roman" w:eastAsia="Times New Roman" w:hAnsi="Times New Roman" w:cs="Times New Roman"/>
          <w:sz w:val="24"/>
          <w:szCs w:val="24"/>
          <w:lang w:val="en-US"/>
        </w:rPr>
        <w:tab/>
        <w:t>National Institute for Health and Care Excellence. Attention deficit hyperactivity disorder: diagnosis and management 2018 [Available from:</w:t>
      </w:r>
      <w:hyperlink r:id="rId10">
        <w:r w:rsidRPr="00BA0373">
          <w:rPr>
            <w:rFonts w:ascii="Times New Roman" w:eastAsia="Times New Roman" w:hAnsi="Times New Roman" w:cs="Times New Roman"/>
            <w:sz w:val="24"/>
            <w:szCs w:val="24"/>
            <w:lang w:val="en-US"/>
          </w:rPr>
          <w:t xml:space="preserve"> </w:t>
        </w:r>
      </w:hyperlink>
      <w:hyperlink r:id="rId11">
        <w:r w:rsidRPr="00BA0373">
          <w:rPr>
            <w:rFonts w:ascii="Times New Roman" w:eastAsia="Times New Roman" w:hAnsi="Times New Roman" w:cs="Times New Roman"/>
            <w:color w:val="1155CC"/>
            <w:sz w:val="24"/>
            <w:szCs w:val="24"/>
            <w:u w:val="single"/>
            <w:lang w:val="en-US"/>
          </w:rPr>
          <w:t>https://www.nice.org.uk/guidance/ng87</w:t>
        </w:r>
      </w:hyperlink>
      <w:r w:rsidR="00BB3178">
        <w:rPr>
          <w:rFonts w:ascii="Times New Roman" w:eastAsia="Times New Roman" w:hAnsi="Times New Roman" w:cs="Times New Roman"/>
          <w:color w:val="1155CC"/>
          <w:sz w:val="24"/>
          <w:szCs w:val="24"/>
          <w:u w:val="single"/>
          <w:lang w:val="en-US"/>
        </w:rPr>
        <w:t>]</w:t>
      </w:r>
      <w:r w:rsidRPr="00BA0373">
        <w:rPr>
          <w:rFonts w:ascii="Times New Roman" w:eastAsia="Times New Roman" w:hAnsi="Times New Roman" w:cs="Times New Roman"/>
          <w:sz w:val="24"/>
          <w:szCs w:val="24"/>
          <w:lang w:val="en-US"/>
        </w:rPr>
        <w:t>.</w:t>
      </w:r>
    </w:p>
    <w:p w14:paraId="7C80A36F" w14:textId="335D8AC5"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 xml:space="preserve">3.     </w:t>
      </w:r>
      <w:r w:rsidRPr="00BA0373">
        <w:rPr>
          <w:rFonts w:ascii="Times New Roman" w:eastAsia="Times New Roman" w:hAnsi="Times New Roman" w:cs="Times New Roman"/>
          <w:sz w:val="24"/>
          <w:szCs w:val="24"/>
          <w:lang w:val="en-US"/>
        </w:rPr>
        <w:tab/>
        <w:t xml:space="preserve">Wolraich ML, Hagan JF, Jr., Allan C, Chan E, Davison D, Earls M, et al. Clinical Practice Guideline for the Diagnosis, Evaluation, and Treatment of Attention-Deficit/Hyperactivity Disorder in Children and Adolescents. </w:t>
      </w:r>
      <w:r w:rsidRPr="00A30C79">
        <w:rPr>
          <w:rFonts w:ascii="Times New Roman" w:eastAsia="Times New Roman" w:hAnsi="Times New Roman" w:cs="Times New Roman"/>
          <w:i/>
          <w:iCs/>
          <w:sz w:val="24"/>
          <w:szCs w:val="24"/>
          <w:lang w:val="en-US"/>
        </w:rPr>
        <w:t>Pediatric</w:t>
      </w:r>
      <w:r w:rsidR="00A30C79">
        <w:rPr>
          <w:rFonts w:ascii="Times New Roman" w:eastAsia="Times New Roman" w:hAnsi="Times New Roman" w:cs="Times New Roman"/>
          <w:i/>
          <w:iCs/>
          <w:sz w:val="24"/>
          <w:szCs w:val="24"/>
          <w:lang w:val="en-US"/>
        </w:rPr>
        <w:t>s</w:t>
      </w:r>
      <w:r w:rsidRPr="00BA0373">
        <w:rPr>
          <w:rFonts w:ascii="Times New Roman" w:eastAsia="Times New Roman" w:hAnsi="Times New Roman" w:cs="Times New Roman"/>
          <w:sz w:val="24"/>
          <w:szCs w:val="24"/>
          <w:lang w:val="en-US"/>
        </w:rPr>
        <w:t xml:space="preserve"> 2019;144(4)</w:t>
      </w:r>
      <w:r w:rsidR="00A30C79">
        <w:rPr>
          <w:rFonts w:ascii="Times New Roman" w:eastAsia="Times New Roman" w:hAnsi="Times New Roman" w:cs="Times New Roman"/>
          <w:sz w:val="24"/>
          <w:szCs w:val="24"/>
          <w:lang w:val="en-US"/>
        </w:rPr>
        <w:t>:e20192528</w:t>
      </w:r>
      <w:r w:rsidRPr="00BA0373">
        <w:rPr>
          <w:rFonts w:ascii="Times New Roman" w:eastAsia="Times New Roman" w:hAnsi="Times New Roman" w:cs="Times New Roman"/>
          <w:sz w:val="24"/>
          <w:szCs w:val="24"/>
          <w:lang w:val="en-US"/>
        </w:rPr>
        <w:t>.</w:t>
      </w:r>
    </w:p>
    <w:p w14:paraId="6E0AD4CE" w14:textId="4945CABF"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 xml:space="preserve">4.     </w:t>
      </w:r>
      <w:r w:rsidRPr="00BA0373">
        <w:rPr>
          <w:rFonts w:ascii="Times New Roman" w:eastAsia="Times New Roman" w:hAnsi="Times New Roman" w:cs="Times New Roman"/>
          <w:sz w:val="24"/>
          <w:szCs w:val="24"/>
          <w:lang w:val="en-US"/>
        </w:rPr>
        <w:tab/>
        <w:t xml:space="preserve">Pliszka S. Practice parameter for the assessment and treatment of children and adolescents with attention-deficit/hyperactivity disorder. </w:t>
      </w:r>
      <w:r w:rsidRPr="00A30C79">
        <w:rPr>
          <w:rFonts w:ascii="Times New Roman" w:eastAsia="Times New Roman" w:hAnsi="Times New Roman" w:cs="Times New Roman"/>
          <w:i/>
          <w:iCs/>
          <w:sz w:val="24"/>
          <w:szCs w:val="24"/>
          <w:lang w:val="en-US"/>
        </w:rPr>
        <w:t>J Am Acad Child Adolesc Psychiatry</w:t>
      </w:r>
      <w:r w:rsidRPr="00BA0373">
        <w:rPr>
          <w:rFonts w:ascii="Times New Roman" w:eastAsia="Times New Roman" w:hAnsi="Times New Roman" w:cs="Times New Roman"/>
          <w:sz w:val="24"/>
          <w:szCs w:val="24"/>
          <w:lang w:val="en-US"/>
        </w:rPr>
        <w:t xml:space="preserve"> 2007;46(7):894-921.</w:t>
      </w:r>
    </w:p>
    <w:p w14:paraId="3092C9DD" w14:textId="17483C80"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 xml:space="preserve">5.     </w:t>
      </w:r>
      <w:r w:rsidRPr="00BA0373">
        <w:rPr>
          <w:rFonts w:ascii="Times New Roman" w:eastAsia="Times New Roman" w:hAnsi="Times New Roman" w:cs="Times New Roman"/>
          <w:sz w:val="24"/>
          <w:szCs w:val="24"/>
          <w:lang w:val="en-US"/>
        </w:rPr>
        <w:tab/>
        <w:t>Canadian ADHD Resource Alliance (CADDRA). Canadian ADHD Practice Guidelines, Fourth Edition, Toronto</w:t>
      </w:r>
      <w:r w:rsidR="00A30C79">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2018.</w:t>
      </w:r>
    </w:p>
    <w:p w14:paraId="0A56F3D6" w14:textId="5E556E18"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 xml:space="preserve">6.     </w:t>
      </w:r>
      <w:r w:rsidRPr="00BA0373">
        <w:rPr>
          <w:rFonts w:ascii="Times New Roman" w:eastAsia="Times New Roman" w:hAnsi="Times New Roman" w:cs="Times New Roman"/>
          <w:sz w:val="24"/>
          <w:szCs w:val="24"/>
          <w:lang w:val="en-US"/>
        </w:rPr>
        <w:tab/>
        <w:t xml:space="preserve">Cortese S, Adamo N, Del Giovane C, Mohr-Jensen C, Hayes AJ, Carucci S, et al. Comparative efficacy and tolerability of medications for attention-deficit hyperactivity disorder in children, adolescents, and adults: a systematic review and network meta-analysis. </w:t>
      </w:r>
      <w:r w:rsidRPr="00A30C79">
        <w:rPr>
          <w:rFonts w:ascii="Times New Roman" w:eastAsia="Times New Roman" w:hAnsi="Times New Roman" w:cs="Times New Roman"/>
          <w:i/>
          <w:iCs/>
          <w:sz w:val="24"/>
          <w:szCs w:val="24"/>
          <w:lang w:val="en-US"/>
        </w:rPr>
        <w:t>Lancet Psychiatry</w:t>
      </w:r>
      <w:r w:rsidRPr="00BA0373">
        <w:rPr>
          <w:rFonts w:ascii="Times New Roman" w:eastAsia="Times New Roman" w:hAnsi="Times New Roman" w:cs="Times New Roman"/>
          <w:sz w:val="24"/>
          <w:szCs w:val="24"/>
          <w:lang w:val="en-US"/>
        </w:rPr>
        <w:t xml:space="preserve"> 2018;5(9):727-</w:t>
      </w:r>
      <w:r w:rsidR="00A30C79">
        <w:rPr>
          <w:rFonts w:ascii="Times New Roman" w:eastAsia="Times New Roman" w:hAnsi="Times New Roman" w:cs="Times New Roman"/>
          <w:sz w:val="24"/>
          <w:szCs w:val="24"/>
          <w:lang w:val="en-US"/>
        </w:rPr>
        <w:t>7</w:t>
      </w:r>
      <w:r w:rsidRPr="00BA0373">
        <w:rPr>
          <w:rFonts w:ascii="Times New Roman" w:eastAsia="Times New Roman" w:hAnsi="Times New Roman" w:cs="Times New Roman"/>
          <w:sz w:val="24"/>
          <w:szCs w:val="24"/>
          <w:lang w:val="en-US"/>
        </w:rPr>
        <w:t>38.</w:t>
      </w:r>
    </w:p>
    <w:p w14:paraId="44D51655" w14:textId="31F23FC7"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 xml:space="preserve">7.     </w:t>
      </w:r>
      <w:r w:rsidRPr="00BA0373">
        <w:rPr>
          <w:rFonts w:ascii="Times New Roman" w:eastAsia="Times New Roman" w:hAnsi="Times New Roman" w:cs="Times New Roman"/>
          <w:sz w:val="24"/>
          <w:szCs w:val="24"/>
          <w:lang w:val="en-US"/>
        </w:rPr>
        <w:tab/>
      </w:r>
      <w:r w:rsidRPr="004C5E65">
        <w:rPr>
          <w:rFonts w:ascii="Times New Roman" w:eastAsia="Times New Roman" w:hAnsi="Times New Roman" w:cs="Times New Roman"/>
          <w:sz w:val="24"/>
          <w:szCs w:val="24"/>
        </w:rPr>
        <w:t xml:space="preserve">Correll CU, Cortese S, Croatto G, Monaco F, Krinitski D, Arrondo G, et al. </w:t>
      </w:r>
      <w:r w:rsidRPr="00BA0373">
        <w:rPr>
          <w:rFonts w:ascii="Times New Roman" w:eastAsia="Times New Roman" w:hAnsi="Times New Roman" w:cs="Times New Roman"/>
          <w:sz w:val="24"/>
          <w:szCs w:val="24"/>
          <w:lang w:val="en-US"/>
        </w:rPr>
        <w:t xml:space="preserve">Efficacy and acceptability of pharmacological, psychosocial, and brain stimulation interventions in children and adolescents with mental disorders: an umbrella review. </w:t>
      </w:r>
      <w:r w:rsidRPr="00A30C79">
        <w:rPr>
          <w:rFonts w:ascii="Times New Roman" w:eastAsia="Times New Roman" w:hAnsi="Times New Roman" w:cs="Times New Roman"/>
          <w:i/>
          <w:iCs/>
          <w:sz w:val="24"/>
          <w:szCs w:val="24"/>
          <w:lang w:val="en-US"/>
        </w:rPr>
        <w:t>World Psychiatry</w:t>
      </w:r>
      <w:r w:rsidRPr="00BA0373">
        <w:rPr>
          <w:rFonts w:ascii="Times New Roman" w:eastAsia="Times New Roman" w:hAnsi="Times New Roman" w:cs="Times New Roman"/>
          <w:sz w:val="24"/>
          <w:szCs w:val="24"/>
          <w:lang w:val="en-US"/>
        </w:rPr>
        <w:t xml:space="preserve"> 2021;20(2):244-75.</w:t>
      </w:r>
    </w:p>
    <w:p w14:paraId="3DC6A08F" w14:textId="31B61938" w:rsidR="009A4C36" w:rsidRPr="00BA0373" w:rsidRDefault="009A4C36" w:rsidP="009A4C36">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 xml:space="preserve">Pliszka SR, Lopez M, Crismon ML, Toprac MG, Hughes CW, Emslie GJ, et al. A feasibility study of the children's medication algorithm project (CMAP) algorithm for the treatment of ADHD. </w:t>
      </w:r>
      <w:r w:rsidRPr="00A30C79">
        <w:rPr>
          <w:rFonts w:ascii="Times New Roman" w:eastAsia="Times New Roman" w:hAnsi="Times New Roman" w:cs="Times New Roman"/>
          <w:i/>
          <w:iCs/>
          <w:sz w:val="24"/>
          <w:szCs w:val="24"/>
          <w:lang w:val="en-US"/>
        </w:rPr>
        <w:t>J Am Acad Child Adolesc Psychiatry</w:t>
      </w:r>
      <w:r w:rsidRPr="00BA0373">
        <w:rPr>
          <w:rFonts w:ascii="Times New Roman" w:eastAsia="Times New Roman" w:hAnsi="Times New Roman" w:cs="Times New Roman"/>
          <w:sz w:val="24"/>
          <w:szCs w:val="24"/>
          <w:lang w:val="en-US"/>
        </w:rPr>
        <w:t xml:space="preserve"> 2003;42(3):279-</w:t>
      </w:r>
      <w:r w:rsidR="00A30C79">
        <w:rPr>
          <w:rFonts w:ascii="Times New Roman" w:eastAsia="Times New Roman" w:hAnsi="Times New Roman" w:cs="Times New Roman"/>
          <w:sz w:val="24"/>
          <w:szCs w:val="24"/>
          <w:lang w:val="en-US"/>
        </w:rPr>
        <w:t>2</w:t>
      </w:r>
      <w:r w:rsidRPr="00BA0373">
        <w:rPr>
          <w:rFonts w:ascii="Times New Roman" w:eastAsia="Times New Roman" w:hAnsi="Times New Roman" w:cs="Times New Roman"/>
          <w:sz w:val="24"/>
          <w:szCs w:val="24"/>
          <w:lang w:val="en-US"/>
        </w:rPr>
        <w:t>87.</w:t>
      </w:r>
    </w:p>
    <w:p w14:paraId="080A5416" w14:textId="78510C9F" w:rsidR="009A4C36" w:rsidRPr="00BA0373" w:rsidRDefault="009A4C36" w:rsidP="009A4C36">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 xml:space="preserve">Olfson M, Marcus S, Wan G. Stimulant dosing for children with ADHD: a medical claims analysis. </w:t>
      </w:r>
      <w:r w:rsidRPr="00A30C79">
        <w:rPr>
          <w:rFonts w:ascii="Times New Roman" w:eastAsia="Times New Roman" w:hAnsi="Times New Roman" w:cs="Times New Roman"/>
          <w:i/>
          <w:iCs/>
          <w:sz w:val="24"/>
          <w:szCs w:val="24"/>
          <w:lang w:val="en-US"/>
        </w:rPr>
        <w:t>J Am Acad Child Adolesc Psychiatry</w:t>
      </w:r>
      <w:r w:rsidRPr="00BA0373">
        <w:rPr>
          <w:rFonts w:ascii="Times New Roman" w:eastAsia="Times New Roman" w:hAnsi="Times New Roman" w:cs="Times New Roman"/>
          <w:sz w:val="24"/>
          <w:szCs w:val="24"/>
          <w:lang w:val="en-US"/>
        </w:rPr>
        <w:t xml:space="preserve"> 2009;48(1):51-</w:t>
      </w:r>
      <w:r w:rsidR="00BB3178">
        <w:rPr>
          <w:rFonts w:ascii="Times New Roman" w:eastAsia="Times New Roman" w:hAnsi="Times New Roman" w:cs="Times New Roman"/>
          <w:sz w:val="24"/>
          <w:szCs w:val="24"/>
          <w:lang w:val="en-US"/>
        </w:rPr>
        <w:t>5</w:t>
      </w:r>
      <w:r w:rsidRPr="00BA0373">
        <w:rPr>
          <w:rFonts w:ascii="Times New Roman" w:eastAsia="Times New Roman" w:hAnsi="Times New Roman" w:cs="Times New Roman"/>
          <w:sz w:val="24"/>
          <w:szCs w:val="24"/>
          <w:lang w:val="en-US"/>
        </w:rPr>
        <w:t>9.</w:t>
      </w:r>
    </w:p>
    <w:p w14:paraId="0F488412" w14:textId="1DF5C346"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0</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 xml:space="preserve">Brinkman WB, Baum R, Kelleher KJ, Peugh J, Gardner W, Lichtenstein P, et al. Relationship Between Attention-Deficit/Hyperactivity Disorder Care and Medication Continuity. </w:t>
      </w:r>
      <w:r w:rsidRPr="00A30C79">
        <w:rPr>
          <w:rFonts w:ascii="Times New Roman" w:eastAsia="Times New Roman" w:hAnsi="Times New Roman" w:cs="Times New Roman"/>
          <w:i/>
          <w:iCs/>
          <w:sz w:val="24"/>
          <w:szCs w:val="24"/>
          <w:lang w:val="en-US"/>
        </w:rPr>
        <w:t>J Am Acad Child Adolesc Psychiatry</w:t>
      </w:r>
      <w:r w:rsidRPr="00BA0373">
        <w:rPr>
          <w:rFonts w:ascii="Times New Roman" w:eastAsia="Times New Roman" w:hAnsi="Times New Roman" w:cs="Times New Roman"/>
          <w:sz w:val="24"/>
          <w:szCs w:val="24"/>
          <w:lang w:val="en-US"/>
        </w:rPr>
        <w:t xml:space="preserve"> 2016;55(4):289-</w:t>
      </w:r>
      <w:r w:rsidR="00BB3178">
        <w:rPr>
          <w:rFonts w:ascii="Times New Roman" w:eastAsia="Times New Roman" w:hAnsi="Times New Roman" w:cs="Times New Roman"/>
          <w:sz w:val="24"/>
          <w:szCs w:val="24"/>
          <w:lang w:val="en-US"/>
        </w:rPr>
        <w:t>2</w:t>
      </w:r>
      <w:r w:rsidRPr="00BA0373">
        <w:rPr>
          <w:rFonts w:ascii="Times New Roman" w:eastAsia="Times New Roman" w:hAnsi="Times New Roman" w:cs="Times New Roman"/>
          <w:sz w:val="24"/>
          <w:szCs w:val="24"/>
          <w:lang w:val="en-US"/>
        </w:rPr>
        <w:t>94.</w:t>
      </w:r>
    </w:p>
    <w:p w14:paraId="6BFF633B" w14:textId="4E473CD6" w:rsidR="009A4C36" w:rsidRPr="004C5E65"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1</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 xml:space="preserve">Brinkman WB, Sucharew H, Majcher JH, Epstein JN. Predictors of Medication Continuity in Children With ADHD. </w:t>
      </w:r>
      <w:r w:rsidRPr="004C5E65">
        <w:rPr>
          <w:rFonts w:ascii="Times New Roman" w:eastAsia="Times New Roman" w:hAnsi="Times New Roman" w:cs="Times New Roman"/>
          <w:i/>
          <w:iCs/>
          <w:sz w:val="24"/>
          <w:szCs w:val="24"/>
          <w:lang w:val="en-US"/>
        </w:rPr>
        <w:t>Pediatrics</w:t>
      </w:r>
      <w:r w:rsidRPr="004C5E65">
        <w:rPr>
          <w:rFonts w:ascii="Times New Roman" w:eastAsia="Times New Roman" w:hAnsi="Times New Roman" w:cs="Times New Roman"/>
          <w:sz w:val="24"/>
          <w:szCs w:val="24"/>
          <w:lang w:val="en-US"/>
        </w:rPr>
        <w:t xml:space="preserve"> 2018;141(6)</w:t>
      </w:r>
      <w:r w:rsidR="00A30C79" w:rsidRPr="004C5E65">
        <w:rPr>
          <w:rFonts w:ascii="Times New Roman" w:eastAsia="Times New Roman" w:hAnsi="Times New Roman" w:cs="Times New Roman"/>
          <w:sz w:val="24"/>
          <w:szCs w:val="24"/>
          <w:lang w:val="en-US"/>
        </w:rPr>
        <w:t>:e20172580</w:t>
      </w:r>
      <w:r w:rsidRPr="004C5E65">
        <w:rPr>
          <w:rFonts w:ascii="Times New Roman" w:eastAsia="Times New Roman" w:hAnsi="Times New Roman" w:cs="Times New Roman"/>
          <w:sz w:val="24"/>
          <w:szCs w:val="24"/>
          <w:lang w:val="en-US"/>
        </w:rPr>
        <w:t>.</w:t>
      </w:r>
    </w:p>
    <w:p w14:paraId="034477CB" w14:textId="0BEA1B46" w:rsidR="0067766E" w:rsidRPr="0067766E" w:rsidRDefault="0067766E" w:rsidP="009A4C36">
      <w:pPr>
        <w:spacing w:line="480" w:lineRule="auto"/>
        <w:rPr>
          <w:rFonts w:ascii="Times New Roman" w:eastAsia="Times New Roman" w:hAnsi="Times New Roman" w:cs="Times New Roman"/>
          <w:sz w:val="24"/>
          <w:szCs w:val="24"/>
          <w:lang w:val="en-US"/>
        </w:rPr>
      </w:pPr>
      <w:r w:rsidRPr="004C5E65">
        <w:rPr>
          <w:rFonts w:ascii="Times New Roman" w:eastAsia="Times New Roman" w:hAnsi="Times New Roman" w:cs="Times New Roman"/>
          <w:sz w:val="24"/>
          <w:szCs w:val="24"/>
          <w:lang w:val="en-US"/>
        </w:rPr>
        <w:t xml:space="preserve">12.   </w:t>
      </w:r>
      <w:r w:rsidRPr="004C5E65">
        <w:rPr>
          <w:rFonts w:ascii="Times New Roman" w:eastAsia="Times New Roman" w:hAnsi="Times New Roman" w:cs="Times New Roman"/>
          <w:sz w:val="24"/>
          <w:szCs w:val="24"/>
          <w:lang w:val="en-US"/>
        </w:rPr>
        <w:tab/>
      </w:r>
      <w:r w:rsidRPr="0067766E">
        <w:rPr>
          <w:rFonts w:ascii="Times New Roman" w:eastAsia="Times New Roman" w:hAnsi="Times New Roman" w:cs="Times New Roman"/>
          <w:sz w:val="24"/>
          <w:szCs w:val="24"/>
        </w:rPr>
        <w:t>Cortese S, Panei P, Arcieri R, Germinario EAP, Capuano E, Margari L, et al.</w:t>
      </w:r>
      <w:r>
        <w:rPr>
          <w:rFonts w:ascii="Times New Roman" w:eastAsia="Times New Roman" w:hAnsi="Times New Roman" w:cs="Times New Roman"/>
          <w:sz w:val="24"/>
          <w:szCs w:val="24"/>
        </w:rPr>
        <w:t xml:space="preserve"> </w:t>
      </w:r>
      <w:r w:rsidRPr="0067766E">
        <w:rPr>
          <w:rFonts w:ascii="Times New Roman" w:eastAsia="Times New Roman" w:hAnsi="Times New Roman" w:cs="Times New Roman"/>
          <w:sz w:val="24"/>
          <w:szCs w:val="24"/>
          <w:lang w:val="en-US"/>
        </w:rPr>
        <w:t>Safety of Methylphenidate and Atomoxetine in Children with Attention-Defici</w:t>
      </w:r>
      <w:r>
        <w:rPr>
          <w:rFonts w:ascii="Times New Roman" w:eastAsia="Times New Roman" w:hAnsi="Times New Roman" w:cs="Times New Roman"/>
          <w:sz w:val="24"/>
          <w:szCs w:val="24"/>
          <w:lang w:val="en-US"/>
        </w:rPr>
        <w:t xml:space="preserve">t/Hyperactivity Disorder (ADHD): Data from the Italian National ADHD Registry. </w:t>
      </w:r>
      <w:r w:rsidRPr="004A76C5">
        <w:rPr>
          <w:rFonts w:ascii="Times New Roman" w:eastAsia="Times New Roman" w:hAnsi="Times New Roman" w:cs="Times New Roman"/>
          <w:i/>
          <w:iCs/>
          <w:sz w:val="24"/>
          <w:szCs w:val="24"/>
          <w:lang w:val="en-US"/>
        </w:rPr>
        <w:t>CNS Drugs</w:t>
      </w:r>
      <w:r>
        <w:rPr>
          <w:rFonts w:ascii="Times New Roman" w:eastAsia="Times New Roman" w:hAnsi="Times New Roman" w:cs="Times New Roman"/>
          <w:sz w:val="24"/>
          <w:szCs w:val="24"/>
          <w:lang w:val="en-US"/>
        </w:rPr>
        <w:t xml:space="preserve"> 1995;29(10):865-877.</w:t>
      </w:r>
    </w:p>
    <w:p w14:paraId="3F8EAD38" w14:textId="56A93940"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1</w:t>
      </w:r>
      <w:r w:rsidR="0067766E">
        <w:rPr>
          <w:rFonts w:ascii="Times New Roman" w:eastAsia="Times New Roman" w:hAnsi="Times New Roman" w:cs="Times New Roman"/>
          <w:sz w:val="24"/>
          <w:szCs w:val="24"/>
          <w:lang w:val="en-US"/>
        </w:rPr>
        <w:t>3</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 xml:space="preserve">The MTA Cooperative Group. A 14-month randomized clinical trial of treatment strategies for attention-deficit/hyperactivity disorder. The MTA Cooperative Group. Multimodal Treatment Study of Children with ADHD. </w:t>
      </w:r>
      <w:r w:rsidRPr="004A76C5">
        <w:rPr>
          <w:rFonts w:ascii="Times New Roman" w:eastAsia="Times New Roman" w:hAnsi="Times New Roman" w:cs="Times New Roman"/>
          <w:i/>
          <w:iCs/>
          <w:sz w:val="24"/>
          <w:szCs w:val="24"/>
          <w:lang w:val="en-US"/>
        </w:rPr>
        <w:t>Arch Gen Psychiatry</w:t>
      </w:r>
      <w:r w:rsidRPr="00BA0373">
        <w:rPr>
          <w:rFonts w:ascii="Times New Roman" w:eastAsia="Times New Roman" w:hAnsi="Times New Roman" w:cs="Times New Roman"/>
          <w:sz w:val="24"/>
          <w:szCs w:val="24"/>
          <w:lang w:val="en-US"/>
        </w:rPr>
        <w:t xml:space="preserve"> 1999;56(12):1073-</w:t>
      </w:r>
      <w:r w:rsidR="004A76C5">
        <w:rPr>
          <w:rFonts w:ascii="Times New Roman" w:eastAsia="Times New Roman" w:hAnsi="Times New Roman" w:cs="Times New Roman"/>
          <w:sz w:val="24"/>
          <w:szCs w:val="24"/>
          <w:lang w:val="en-US"/>
        </w:rPr>
        <w:t>10</w:t>
      </w:r>
      <w:r w:rsidRPr="00BA0373">
        <w:rPr>
          <w:rFonts w:ascii="Times New Roman" w:eastAsia="Times New Roman" w:hAnsi="Times New Roman" w:cs="Times New Roman"/>
          <w:sz w:val="24"/>
          <w:szCs w:val="24"/>
          <w:lang w:val="en-US"/>
        </w:rPr>
        <w:t>86.</w:t>
      </w:r>
    </w:p>
    <w:p w14:paraId="5F980EA4" w14:textId="608C92D7"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1</w:t>
      </w:r>
      <w:r w:rsidR="0067766E">
        <w:rPr>
          <w:rFonts w:ascii="Times New Roman" w:eastAsia="Times New Roman" w:hAnsi="Times New Roman" w:cs="Times New Roman"/>
          <w:sz w:val="24"/>
          <w:szCs w:val="24"/>
          <w:lang w:val="en-US"/>
        </w:rPr>
        <w:t>4</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 xml:space="preserve">Zima BT, Bussing R, Tang L, Zhang L, Ettner S, Belin TR, et al. Quality of care for childhood attention-deficit/hyperactivity disorder in a managed care medicaid program. </w:t>
      </w:r>
      <w:r w:rsidR="004A76C5" w:rsidRPr="004A76C5">
        <w:rPr>
          <w:rFonts w:ascii="Times New Roman" w:eastAsia="Times New Roman" w:hAnsi="Times New Roman" w:cs="Times New Roman"/>
          <w:i/>
          <w:iCs/>
          <w:sz w:val="24"/>
          <w:szCs w:val="24"/>
          <w:lang w:val="en-US"/>
        </w:rPr>
        <w:t>J Am Acad Child Adolesc Psychiatry</w:t>
      </w:r>
      <w:r w:rsidRPr="00BA0373">
        <w:rPr>
          <w:rFonts w:ascii="Times New Roman" w:eastAsia="Times New Roman" w:hAnsi="Times New Roman" w:cs="Times New Roman"/>
          <w:sz w:val="24"/>
          <w:szCs w:val="24"/>
          <w:lang w:val="en-US"/>
        </w:rPr>
        <w:t xml:space="preserve"> 2010;49(12):1225-123</w:t>
      </w:r>
      <w:r w:rsidR="004A76C5">
        <w:rPr>
          <w:rFonts w:ascii="Times New Roman" w:eastAsia="Times New Roman" w:hAnsi="Times New Roman" w:cs="Times New Roman"/>
          <w:sz w:val="24"/>
          <w:szCs w:val="24"/>
          <w:lang w:val="en-US"/>
        </w:rPr>
        <w:t>7</w:t>
      </w:r>
      <w:r w:rsidRPr="00BA0373">
        <w:rPr>
          <w:rFonts w:ascii="Times New Roman" w:eastAsia="Times New Roman" w:hAnsi="Times New Roman" w:cs="Times New Roman"/>
          <w:sz w:val="24"/>
          <w:szCs w:val="24"/>
          <w:lang w:val="en-US"/>
        </w:rPr>
        <w:t>.</w:t>
      </w:r>
    </w:p>
    <w:p w14:paraId="6776867D" w14:textId="7B7B417E"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1</w:t>
      </w:r>
      <w:r w:rsidR="0067766E">
        <w:rPr>
          <w:rFonts w:ascii="Times New Roman" w:eastAsia="Times New Roman" w:hAnsi="Times New Roman" w:cs="Times New Roman"/>
          <w:sz w:val="24"/>
          <w:szCs w:val="24"/>
          <w:lang w:val="en-US"/>
        </w:rPr>
        <w:t>5</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 xml:space="preserve">Olfson M. Evaluating the quality of community care for attention-deficit/hyperactivity disorder. </w:t>
      </w:r>
      <w:r w:rsidRPr="004A76C5">
        <w:rPr>
          <w:rFonts w:ascii="Times New Roman" w:eastAsia="Times New Roman" w:hAnsi="Times New Roman" w:cs="Times New Roman"/>
          <w:i/>
          <w:iCs/>
          <w:sz w:val="24"/>
          <w:szCs w:val="24"/>
          <w:lang w:val="en-US"/>
        </w:rPr>
        <w:t>J Am Acad Child Adolesc Psychiatry</w:t>
      </w:r>
      <w:r w:rsidRPr="00BA0373">
        <w:rPr>
          <w:rFonts w:ascii="Times New Roman" w:eastAsia="Times New Roman" w:hAnsi="Times New Roman" w:cs="Times New Roman"/>
          <w:sz w:val="24"/>
          <w:szCs w:val="24"/>
          <w:lang w:val="en-US"/>
        </w:rPr>
        <w:t xml:space="preserve"> 2010;49(12):1183-</w:t>
      </w:r>
      <w:r w:rsidR="00BB3178">
        <w:rPr>
          <w:rFonts w:ascii="Times New Roman" w:eastAsia="Times New Roman" w:hAnsi="Times New Roman" w:cs="Times New Roman"/>
          <w:sz w:val="24"/>
          <w:szCs w:val="24"/>
          <w:lang w:val="en-US"/>
        </w:rPr>
        <w:t>118</w:t>
      </w:r>
      <w:r w:rsidRPr="00BA0373">
        <w:rPr>
          <w:rFonts w:ascii="Times New Roman" w:eastAsia="Times New Roman" w:hAnsi="Times New Roman" w:cs="Times New Roman"/>
          <w:sz w:val="24"/>
          <w:szCs w:val="24"/>
          <w:lang w:val="en-US"/>
        </w:rPr>
        <w:t>5.</w:t>
      </w:r>
    </w:p>
    <w:p w14:paraId="49124C3E" w14:textId="3C9D5965"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1</w:t>
      </w:r>
      <w:r w:rsidR="0067766E">
        <w:rPr>
          <w:rFonts w:ascii="Times New Roman" w:eastAsia="Times New Roman" w:hAnsi="Times New Roman" w:cs="Times New Roman"/>
          <w:sz w:val="24"/>
          <w:szCs w:val="24"/>
          <w:lang w:val="en-US"/>
        </w:rPr>
        <w:t>6</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 xml:space="preserve">Comer JS, Olfson M, Mojtabai R. National trends in child and adolescent psychotropic polypharmacy in office-based practice, 1996-2007. </w:t>
      </w:r>
      <w:r w:rsidRPr="004A76C5">
        <w:rPr>
          <w:rFonts w:ascii="Times New Roman" w:eastAsia="Times New Roman" w:hAnsi="Times New Roman" w:cs="Times New Roman"/>
          <w:i/>
          <w:iCs/>
          <w:sz w:val="24"/>
          <w:szCs w:val="24"/>
          <w:lang w:val="en-US"/>
        </w:rPr>
        <w:t>J Am Acad Child Adolesc Psychiatry</w:t>
      </w:r>
      <w:r w:rsidRPr="00BA0373">
        <w:rPr>
          <w:rFonts w:ascii="Times New Roman" w:eastAsia="Times New Roman" w:hAnsi="Times New Roman" w:cs="Times New Roman"/>
          <w:sz w:val="24"/>
          <w:szCs w:val="24"/>
          <w:lang w:val="en-US"/>
        </w:rPr>
        <w:t xml:space="preserve"> 2010;49(10):1001-</w:t>
      </w:r>
      <w:r w:rsidR="00BB3178">
        <w:rPr>
          <w:rFonts w:ascii="Times New Roman" w:eastAsia="Times New Roman" w:hAnsi="Times New Roman" w:cs="Times New Roman"/>
          <w:sz w:val="24"/>
          <w:szCs w:val="24"/>
          <w:lang w:val="en-US"/>
        </w:rPr>
        <w:t>10</w:t>
      </w:r>
      <w:r w:rsidRPr="00BA0373">
        <w:rPr>
          <w:rFonts w:ascii="Times New Roman" w:eastAsia="Times New Roman" w:hAnsi="Times New Roman" w:cs="Times New Roman"/>
          <w:sz w:val="24"/>
          <w:szCs w:val="24"/>
          <w:lang w:val="en-US"/>
        </w:rPr>
        <w:t>10.</w:t>
      </w:r>
    </w:p>
    <w:p w14:paraId="5E03B067" w14:textId="73D7E5F2"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1</w:t>
      </w:r>
      <w:r w:rsidR="0067766E">
        <w:rPr>
          <w:rFonts w:ascii="Times New Roman" w:eastAsia="Times New Roman" w:hAnsi="Times New Roman" w:cs="Times New Roman"/>
          <w:sz w:val="24"/>
          <w:szCs w:val="24"/>
          <w:lang w:val="en-US"/>
        </w:rPr>
        <w:t>7</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 xml:space="preserve">Sultan RS, Wang S, Crystal S, Olfson M. Antipsychotic Treatment Among Youths With Attention-Deficit/Hyperactivity Disorder. </w:t>
      </w:r>
      <w:r w:rsidRPr="004A76C5">
        <w:rPr>
          <w:rFonts w:ascii="Times New Roman" w:eastAsia="Times New Roman" w:hAnsi="Times New Roman" w:cs="Times New Roman"/>
          <w:i/>
          <w:iCs/>
          <w:sz w:val="24"/>
          <w:szCs w:val="24"/>
          <w:lang w:val="en-US"/>
        </w:rPr>
        <w:t xml:space="preserve">JAMA </w:t>
      </w:r>
      <w:r w:rsidR="004A76C5">
        <w:rPr>
          <w:rFonts w:ascii="Times New Roman" w:eastAsia="Times New Roman" w:hAnsi="Times New Roman" w:cs="Times New Roman"/>
          <w:i/>
          <w:iCs/>
          <w:sz w:val="24"/>
          <w:szCs w:val="24"/>
          <w:lang w:val="en-US"/>
        </w:rPr>
        <w:t>Netw</w:t>
      </w:r>
      <w:r w:rsidRPr="004A76C5">
        <w:rPr>
          <w:rFonts w:ascii="Times New Roman" w:eastAsia="Times New Roman" w:hAnsi="Times New Roman" w:cs="Times New Roman"/>
          <w:i/>
          <w:iCs/>
          <w:sz w:val="24"/>
          <w:szCs w:val="24"/>
          <w:lang w:val="en-US"/>
        </w:rPr>
        <w:t xml:space="preserve"> Open</w:t>
      </w:r>
      <w:r w:rsidRPr="00BA0373">
        <w:rPr>
          <w:rFonts w:ascii="Times New Roman" w:eastAsia="Times New Roman" w:hAnsi="Times New Roman" w:cs="Times New Roman"/>
          <w:sz w:val="24"/>
          <w:szCs w:val="24"/>
          <w:lang w:val="en-US"/>
        </w:rPr>
        <w:t xml:space="preserve"> 2019;2(7):e197850.</w:t>
      </w:r>
    </w:p>
    <w:p w14:paraId="4E933D01" w14:textId="72AE12F5" w:rsidR="009A4C36" w:rsidRPr="004C5E65"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1</w:t>
      </w:r>
      <w:r w:rsidR="0067766E">
        <w:rPr>
          <w:rFonts w:ascii="Times New Roman" w:eastAsia="Times New Roman" w:hAnsi="Times New Roman" w:cs="Times New Roman"/>
          <w:sz w:val="24"/>
          <w:szCs w:val="24"/>
          <w:lang w:val="en-US"/>
        </w:rPr>
        <w:t>8</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 xml:space="preserve">Girand HL, Litkowiec S, Sohn M. Attention-Deficit/Hyperactivity Disorder and Psychotropic Polypharmacy Prescribing Trends. </w:t>
      </w:r>
      <w:r w:rsidRPr="004C5E65">
        <w:rPr>
          <w:rFonts w:ascii="Times New Roman" w:eastAsia="Times New Roman" w:hAnsi="Times New Roman" w:cs="Times New Roman"/>
          <w:i/>
          <w:iCs/>
          <w:sz w:val="24"/>
          <w:szCs w:val="24"/>
          <w:lang w:val="en-US"/>
        </w:rPr>
        <w:t>Pediatrics</w:t>
      </w:r>
      <w:r w:rsidRPr="004C5E65">
        <w:rPr>
          <w:rFonts w:ascii="Times New Roman" w:eastAsia="Times New Roman" w:hAnsi="Times New Roman" w:cs="Times New Roman"/>
          <w:sz w:val="24"/>
          <w:szCs w:val="24"/>
          <w:lang w:val="en-US"/>
        </w:rPr>
        <w:t xml:space="preserve"> 2020;146(1)</w:t>
      </w:r>
      <w:r w:rsidR="00996147" w:rsidRPr="004C5E65">
        <w:rPr>
          <w:rFonts w:ascii="Times New Roman" w:eastAsia="Times New Roman" w:hAnsi="Times New Roman" w:cs="Times New Roman"/>
          <w:sz w:val="24"/>
          <w:szCs w:val="24"/>
          <w:lang w:val="en-US"/>
        </w:rPr>
        <w:t>:e2019</w:t>
      </w:r>
      <w:r w:rsidR="004A76C5" w:rsidRPr="004C5E65">
        <w:rPr>
          <w:rFonts w:ascii="Times New Roman" w:eastAsia="Times New Roman" w:hAnsi="Times New Roman" w:cs="Times New Roman"/>
          <w:sz w:val="24"/>
          <w:szCs w:val="24"/>
          <w:lang w:val="en-US"/>
        </w:rPr>
        <w:t>2832</w:t>
      </w:r>
      <w:r w:rsidRPr="004C5E65">
        <w:rPr>
          <w:rFonts w:ascii="Times New Roman" w:eastAsia="Times New Roman" w:hAnsi="Times New Roman" w:cs="Times New Roman"/>
          <w:sz w:val="24"/>
          <w:szCs w:val="24"/>
          <w:lang w:val="en-US"/>
        </w:rPr>
        <w:t>.</w:t>
      </w:r>
    </w:p>
    <w:p w14:paraId="01982430" w14:textId="7DB4282F" w:rsidR="009A4C36" w:rsidRPr="00BA0373" w:rsidRDefault="009A4C36" w:rsidP="009A4C36">
      <w:pPr>
        <w:spacing w:line="480" w:lineRule="auto"/>
        <w:rPr>
          <w:rFonts w:ascii="Times New Roman" w:eastAsia="Times New Roman" w:hAnsi="Times New Roman" w:cs="Times New Roman"/>
          <w:sz w:val="24"/>
          <w:szCs w:val="24"/>
          <w:lang w:val="en-US"/>
        </w:rPr>
      </w:pPr>
      <w:r w:rsidRPr="004C5E65">
        <w:rPr>
          <w:rFonts w:ascii="Times New Roman" w:eastAsia="Times New Roman" w:hAnsi="Times New Roman" w:cs="Times New Roman"/>
          <w:sz w:val="24"/>
          <w:szCs w:val="24"/>
          <w:lang w:val="en-US"/>
        </w:rPr>
        <w:t>1</w:t>
      </w:r>
      <w:r w:rsidR="0067766E" w:rsidRPr="004C5E65">
        <w:rPr>
          <w:rFonts w:ascii="Times New Roman" w:eastAsia="Times New Roman" w:hAnsi="Times New Roman" w:cs="Times New Roman"/>
          <w:sz w:val="24"/>
          <w:szCs w:val="24"/>
          <w:lang w:val="en-US"/>
        </w:rPr>
        <w:t>9</w:t>
      </w:r>
      <w:r w:rsidRPr="004C5E65">
        <w:rPr>
          <w:rFonts w:ascii="Times New Roman" w:eastAsia="Times New Roman" w:hAnsi="Times New Roman" w:cs="Times New Roman"/>
          <w:sz w:val="24"/>
          <w:szCs w:val="24"/>
          <w:lang w:val="en-US"/>
        </w:rPr>
        <w:t xml:space="preserve">.   </w:t>
      </w:r>
      <w:r w:rsidRPr="004C5E65">
        <w:rPr>
          <w:rFonts w:ascii="Times New Roman" w:eastAsia="Times New Roman" w:hAnsi="Times New Roman" w:cs="Times New Roman"/>
          <w:sz w:val="24"/>
          <w:szCs w:val="24"/>
          <w:lang w:val="en-US"/>
        </w:rPr>
        <w:tab/>
      </w:r>
      <w:r w:rsidRPr="00E037DF">
        <w:rPr>
          <w:rFonts w:ascii="Times New Roman" w:eastAsia="Times New Roman" w:hAnsi="Times New Roman" w:cs="Times New Roman"/>
          <w:sz w:val="24"/>
          <w:szCs w:val="24"/>
        </w:rPr>
        <w:t xml:space="preserve">Correll CU, Manu P, Olshanskiy V, Napolitano B, Kane JM, Malhotra AK. </w:t>
      </w:r>
      <w:r w:rsidRPr="00BA0373">
        <w:rPr>
          <w:rFonts w:ascii="Times New Roman" w:eastAsia="Times New Roman" w:hAnsi="Times New Roman" w:cs="Times New Roman"/>
          <w:sz w:val="24"/>
          <w:szCs w:val="24"/>
          <w:lang w:val="en-US"/>
        </w:rPr>
        <w:t xml:space="preserve">Cardiometabolic risk of second-generation antipsychotic medications during first-time use in children and adolescents. </w:t>
      </w:r>
      <w:r w:rsidR="00996147">
        <w:rPr>
          <w:rFonts w:ascii="Times New Roman" w:eastAsia="Times New Roman" w:hAnsi="Times New Roman" w:cs="Times New Roman"/>
          <w:i/>
          <w:iCs/>
          <w:sz w:val="24"/>
          <w:szCs w:val="24"/>
          <w:lang w:val="en-US"/>
        </w:rPr>
        <w:t>JAMA</w:t>
      </w:r>
      <w:r w:rsidRPr="00BA0373">
        <w:rPr>
          <w:rFonts w:ascii="Times New Roman" w:eastAsia="Times New Roman" w:hAnsi="Times New Roman" w:cs="Times New Roman"/>
          <w:sz w:val="24"/>
          <w:szCs w:val="24"/>
          <w:lang w:val="en-US"/>
        </w:rPr>
        <w:t xml:space="preserve"> 2009;302(16):1765-</w:t>
      </w:r>
      <w:r w:rsidR="00E43500">
        <w:rPr>
          <w:rFonts w:ascii="Times New Roman" w:eastAsia="Times New Roman" w:hAnsi="Times New Roman" w:cs="Times New Roman"/>
          <w:sz w:val="24"/>
          <w:szCs w:val="24"/>
          <w:lang w:val="en-US"/>
        </w:rPr>
        <w:t>17</w:t>
      </w:r>
      <w:r w:rsidRPr="00BA0373">
        <w:rPr>
          <w:rFonts w:ascii="Times New Roman" w:eastAsia="Times New Roman" w:hAnsi="Times New Roman" w:cs="Times New Roman"/>
          <w:sz w:val="24"/>
          <w:szCs w:val="24"/>
          <w:lang w:val="en-US"/>
        </w:rPr>
        <w:t>73.</w:t>
      </w:r>
    </w:p>
    <w:p w14:paraId="44B0EA3A" w14:textId="17A72FEC" w:rsidR="009A4C36" w:rsidRPr="00BA0373" w:rsidRDefault="0067766E" w:rsidP="009A4C36">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w:t>
      </w:r>
      <w:r w:rsidR="009A4C36" w:rsidRPr="00BA0373">
        <w:rPr>
          <w:rFonts w:ascii="Times New Roman" w:eastAsia="Times New Roman" w:hAnsi="Times New Roman" w:cs="Times New Roman"/>
          <w:sz w:val="24"/>
          <w:szCs w:val="24"/>
          <w:lang w:val="en-US"/>
        </w:rPr>
        <w:t xml:space="preserve">.   </w:t>
      </w:r>
      <w:r w:rsidR="009A4C36" w:rsidRPr="00BA0373">
        <w:rPr>
          <w:rFonts w:ascii="Times New Roman" w:eastAsia="Times New Roman" w:hAnsi="Times New Roman" w:cs="Times New Roman"/>
          <w:sz w:val="24"/>
          <w:szCs w:val="24"/>
          <w:lang w:val="en-US"/>
        </w:rPr>
        <w:tab/>
        <w:t>U.S. Department of Health and Human Services Food and Drug Administration Center for Drug Evaluation and Research (CDER). Attention Deficit Hyperactivity Disorder: Developing Stimulant Drugs for Treatment Guidance for Industry. 2019.</w:t>
      </w:r>
    </w:p>
    <w:p w14:paraId="52169407" w14:textId="209CBFEB"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2</w:t>
      </w:r>
      <w:r w:rsidR="0067766E">
        <w:rPr>
          <w:rFonts w:ascii="Times New Roman" w:eastAsia="Times New Roman" w:hAnsi="Times New Roman" w:cs="Times New Roman"/>
          <w:sz w:val="24"/>
          <w:szCs w:val="24"/>
          <w:lang w:val="en-US"/>
        </w:rPr>
        <w:t>1</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Farhat LC, Polanczyk GV, Bloch MH. Dose-response  relationship  of stimulants  for  attention-deficit/hyperactivity disorder: protocol  for  a systematic  review  and  dose-response  meta-analysis 2019 [Available from:</w:t>
      </w:r>
      <w:hyperlink r:id="rId12">
        <w:r w:rsidRPr="00BA0373">
          <w:rPr>
            <w:rFonts w:ascii="Times New Roman" w:eastAsia="Times New Roman" w:hAnsi="Times New Roman" w:cs="Times New Roman"/>
            <w:sz w:val="24"/>
            <w:szCs w:val="24"/>
            <w:lang w:val="en-US"/>
          </w:rPr>
          <w:t xml:space="preserve"> </w:t>
        </w:r>
      </w:hyperlink>
      <w:hyperlink r:id="rId13">
        <w:r w:rsidRPr="00BA0373">
          <w:rPr>
            <w:rFonts w:ascii="Times New Roman" w:eastAsia="Times New Roman" w:hAnsi="Times New Roman" w:cs="Times New Roman"/>
            <w:color w:val="1155CC"/>
            <w:sz w:val="24"/>
            <w:szCs w:val="24"/>
            <w:u w:val="single"/>
            <w:lang w:val="en-US"/>
          </w:rPr>
          <w:t>https://na2.documents.adobe.com/public/fs?aid=CBFCIBAA3AAABLblqZhDCP-ABmHDdy2Tn50YWWtMjlqh8rQ_uuFwUiZZKZ5KuxDzAddf18HWkxWsbWH5NL8Q%2A&amp;dc_remove=true</w:t>
        </w:r>
      </w:hyperlink>
      <w:r w:rsidR="00E43500">
        <w:rPr>
          <w:rFonts w:ascii="Times New Roman" w:eastAsia="Times New Roman" w:hAnsi="Times New Roman" w:cs="Times New Roman"/>
          <w:color w:val="1155CC"/>
          <w:sz w:val="24"/>
          <w:szCs w:val="24"/>
          <w:u w:val="single"/>
          <w:lang w:val="en-US"/>
        </w:rPr>
        <w:t>]</w:t>
      </w:r>
      <w:r w:rsidRPr="00BA0373">
        <w:rPr>
          <w:rFonts w:ascii="Times New Roman" w:eastAsia="Times New Roman" w:hAnsi="Times New Roman" w:cs="Times New Roman"/>
          <w:sz w:val="24"/>
          <w:szCs w:val="24"/>
          <w:lang w:val="en-US"/>
        </w:rPr>
        <w:t>.</w:t>
      </w:r>
    </w:p>
    <w:p w14:paraId="4739B77F" w14:textId="20E937C0"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2</w:t>
      </w:r>
      <w:r w:rsidR="0067766E">
        <w:rPr>
          <w:rFonts w:ascii="Times New Roman" w:eastAsia="Times New Roman" w:hAnsi="Times New Roman" w:cs="Times New Roman"/>
          <w:sz w:val="24"/>
          <w:szCs w:val="24"/>
          <w:lang w:val="en-US"/>
        </w:rPr>
        <w:t>2</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 xml:space="preserve">Greenhill LL, Abikoff HB, Arnold LE, Cantwell DP, Conners CK, Elliott G, et al. Medication treatment strategies in the MTA Study: relevance to clinicians and researchers. </w:t>
      </w:r>
      <w:r w:rsidRPr="00996147">
        <w:rPr>
          <w:rFonts w:ascii="Times New Roman" w:eastAsia="Times New Roman" w:hAnsi="Times New Roman" w:cs="Times New Roman"/>
          <w:i/>
          <w:iCs/>
          <w:sz w:val="24"/>
          <w:szCs w:val="24"/>
          <w:lang w:val="en-US"/>
        </w:rPr>
        <w:t>J Am Acad Child Adolesc Psychiatry</w:t>
      </w:r>
      <w:r w:rsidRPr="00BA0373">
        <w:rPr>
          <w:rFonts w:ascii="Times New Roman" w:eastAsia="Times New Roman" w:hAnsi="Times New Roman" w:cs="Times New Roman"/>
          <w:sz w:val="24"/>
          <w:szCs w:val="24"/>
          <w:lang w:val="en-US"/>
        </w:rPr>
        <w:t xml:space="preserve"> 1996;35(10):1304-</w:t>
      </w:r>
      <w:r w:rsidR="00E43500">
        <w:rPr>
          <w:rFonts w:ascii="Times New Roman" w:eastAsia="Times New Roman" w:hAnsi="Times New Roman" w:cs="Times New Roman"/>
          <w:sz w:val="24"/>
          <w:szCs w:val="24"/>
          <w:lang w:val="en-US"/>
        </w:rPr>
        <w:t>13</w:t>
      </w:r>
      <w:r w:rsidRPr="00BA0373">
        <w:rPr>
          <w:rFonts w:ascii="Times New Roman" w:eastAsia="Times New Roman" w:hAnsi="Times New Roman" w:cs="Times New Roman"/>
          <w:sz w:val="24"/>
          <w:szCs w:val="24"/>
          <w:lang w:val="en-US"/>
        </w:rPr>
        <w:t>13.</w:t>
      </w:r>
    </w:p>
    <w:p w14:paraId="0C414CA5" w14:textId="072B863B"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2</w:t>
      </w:r>
      <w:r w:rsidR="0067766E">
        <w:rPr>
          <w:rFonts w:ascii="Times New Roman" w:eastAsia="Times New Roman" w:hAnsi="Times New Roman" w:cs="Times New Roman"/>
          <w:sz w:val="24"/>
          <w:szCs w:val="24"/>
          <w:lang w:val="en-US"/>
        </w:rPr>
        <w:t>3</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Centers for Disease Control and Prevention National Center for Health Statistics. CDC growth charts: United States.</w:t>
      </w:r>
      <w:hyperlink r:id="rId14">
        <w:r w:rsidRPr="00BA0373">
          <w:rPr>
            <w:rFonts w:ascii="Times New Roman" w:eastAsia="Times New Roman" w:hAnsi="Times New Roman" w:cs="Times New Roman"/>
            <w:color w:val="1155CC"/>
            <w:sz w:val="24"/>
            <w:szCs w:val="24"/>
            <w:u w:val="single"/>
            <w:lang w:val="en-US"/>
          </w:rPr>
          <w:t>http://www.cdc.gov/growthcharts/</w:t>
        </w:r>
      </w:hyperlink>
      <w:r w:rsidRPr="00BA0373">
        <w:rPr>
          <w:rFonts w:ascii="Times New Roman" w:eastAsia="Times New Roman" w:hAnsi="Times New Roman" w:cs="Times New Roman"/>
          <w:sz w:val="24"/>
          <w:szCs w:val="24"/>
          <w:lang w:val="en-US"/>
        </w:rPr>
        <w:t>. May 30, 2000.</w:t>
      </w:r>
    </w:p>
    <w:p w14:paraId="402610AF" w14:textId="0406F51C"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2</w:t>
      </w:r>
      <w:r w:rsidR="0067766E">
        <w:rPr>
          <w:rFonts w:ascii="Times New Roman" w:eastAsia="Times New Roman" w:hAnsi="Times New Roman" w:cs="Times New Roman"/>
          <w:sz w:val="24"/>
          <w:szCs w:val="24"/>
          <w:lang w:val="en-US"/>
        </w:rPr>
        <w:t>4</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DuPaul GJ, Power TJ, Anastopoulos AD, Reid R. ADHD Rating Scale—IV: Checklists, norms, and clinical interpretation. Guilford Press</w:t>
      </w:r>
      <w:r w:rsidR="00996147">
        <w:rPr>
          <w:rFonts w:ascii="Times New Roman" w:eastAsia="Times New Roman" w:hAnsi="Times New Roman" w:cs="Times New Roman"/>
          <w:sz w:val="24"/>
          <w:szCs w:val="24"/>
          <w:lang w:val="en-US"/>
        </w:rPr>
        <w:t xml:space="preserve">: </w:t>
      </w:r>
      <w:r w:rsidR="00996147" w:rsidRPr="00BA0373">
        <w:rPr>
          <w:rFonts w:ascii="Times New Roman" w:eastAsia="Times New Roman" w:hAnsi="Times New Roman" w:cs="Times New Roman"/>
          <w:sz w:val="24"/>
          <w:szCs w:val="24"/>
          <w:lang w:val="en-US"/>
        </w:rPr>
        <w:t>New York</w:t>
      </w:r>
      <w:r w:rsidR="00996147">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1998.</w:t>
      </w:r>
    </w:p>
    <w:p w14:paraId="0F5AF300" w14:textId="61F77757"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2</w:t>
      </w:r>
      <w:r w:rsidR="0067766E">
        <w:rPr>
          <w:rFonts w:ascii="Times New Roman" w:eastAsia="Times New Roman" w:hAnsi="Times New Roman" w:cs="Times New Roman"/>
          <w:sz w:val="24"/>
          <w:szCs w:val="24"/>
          <w:lang w:val="en-US"/>
        </w:rPr>
        <w:t>5</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r>
      <w:r w:rsidR="00996147">
        <w:rPr>
          <w:rFonts w:ascii="Times New Roman" w:eastAsia="Times New Roman" w:hAnsi="Times New Roman" w:cs="Times New Roman"/>
          <w:sz w:val="24"/>
          <w:szCs w:val="24"/>
          <w:lang w:val="en-US"/>
        </w:rPr>
        <w:t xml:space="preserve">DuPaul GJ, Power TJ, Anastopoulos AD, Reid R. </w:t>
      </w:r>
      <w:r w:rsidRPr="00BA0373">
        <w:rPr>
          <w:rFonts w:ascii="Times New Roman" w:eastAsia="Times New Roman" w:hAnsi="Times New Roman" w:cs="Times New Roman"/>
          <w:sz w:val="24"/>
          <w:szCs w:val="24"/>
          <w:lang w:val="en-US"/>
        </w:rPr>
        <w:t>ADHD Rating Scale-5 for children and adolescents: Checklists, norms, and clinical interpretation</w:t>
      </w:r>
      <w:r w:rsidR="00996147" w:rsidRPr="00996147">
        <w:rPr>
          <w:rFonts w:ascii="Times New Roman" w:eastAsia="Times New Roman" w:hAnsi="Times New Roman" w:cs="Times New Roman"/>
          <w:sz w:val="24"/>
          <w:szCs w:val="24"/>
          <w:lang w:val="en-US"/>
        </w:rPr>
        <w:t xml:space="preserve"> </w:t>
      </w:r>
      <w:r w:rsidR="00996147" w:rsidRPr="00BA0373">
        <w:rPr>
          <w:rFonts w:ascii="Times New Roman" w:eastAsia="Times New Roman" w:hAnsi="Times New Roman" w:cs="Times New Roman"/>
          <w:sz w:val="24"/>
          <w:szCs w:val="24"/>
          <w:lang w:val="en-US"/>
        </w:rPr>
        <w:t>Guilford Press</w:t>
      </w:r>
      <w:r w:rsidR="00996147">
        <w:rPr>
          <w:rFonts w:ascii="Times New Roman" w:eastAsia="Times New Roman" w:hAnsi="Times New Roman" w:cs="Times New Roman"/>
          <w:sz w:val="24"/>
          <w:szCs w:val="24"/>
          <w:lang w:val="en-US"/>
        </w:rPr>
        <w:t xml:space="preserve">: </w:t>
      </w:r>
      <w:r w:rsidR="00996147" w:rsidRPr="00BA0373">
        <w:rPr>
          <w:rFonts w:ascii="Times New Roman" w:eastAsia="Times New Roman" w:hAnsi="Times New Roman" w:cs="Times New Roman"/>
          <w:sz w:val="24"/>
          <w:szCs w:val="24"/>
          <w:lang w:val="en-US"/>
        </w:rPr>
        <w:t>New York</w:t>
      </w:r>
      <w:r w:rsidR="00996147">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2016.</w:t>
      </w:r>
    </w:p>
    <w:p w14:paraId="2F291048" w14:textId="3CD6E131"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2</w:t>
      </w:r>
      <w:r w:rsidR="0067766E">
        <w:rPr>
          <w:rFonts w:ascii="Times New Roman" w:eastAsia="Times New Roman" w:hAnsi="Times New Roman" w:cs="Times New Roman"/>
          <w:sz w:val="24"/>
          <w:szCs w:val="24"/>
          <w:lang w:val="en-US"/>
        </w:rPr>
        <w:t>6</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 xml:space="preserve">Bussing R, Fernandez M, Harwood M, Wei H, Garvan CW, Eyberg SM, et al. Parent and teacher SNAP-IV ratings of attention deficit hyperactivity disorder symptoms: psychometric properties and normative ratings from a school district sample. </w:t>
      </w:r>
      <w:r w:rsidRPr="00E4705D">
        <w:rPr>
          <w:rFonts w:ascii="Times New Roman" w:eastAsia="Times New Roman" w:hAnsi="Times New Roman" w:cs="Times New Roman"/>
          <w:i/>
          <w:iCs/>
          <w:sz w:val="24"/>
          <w:szCs w:val="24"/>
          <w:lang w:val="en-US"/>
        </w:rPr>
        <w:t>Assessment</w:t>
      </w:r>
      <w:r w:rsidRPr="00BA0373">
        <w:rPr>
          <w:rFonts w:ascii="Times New Roman" w:eastAsia="Times New Roman" w:hAnsi="Times New Roman" w:cs="Times New Roman"/>
          <w:sz w:val="24"/>
          <w:szCs w:val="24"/>
          <w:lang w:val="en-US"/>
        </w:rPr>
        <w:t xml:space="preserve"> 2008;15(3):317-</w:t>
      </w:r>
      <w:r w:rsidR="00E43500">
        <w:rPr>
          <w:rFonts w:ascii="Times New Roman" w:eastAsia="Times New Roman" w:hAnsi="Times New Roman" w:cs="Times New Roman"/>
          <w:sz w:val="24"/>
          <w:szCs w:val="24"/>
          <w:lang w:val="en-US"/>
        </w:rPr>
        <w:t>3</w:t>
      </w:r>
      <w:r w:rsidRPr="00BA0373">
        <w:rPr>
          <w:rFonts w:ascii="Times New Roman" w:eastAsia="Times New Roman" w:hAnsi="Times New Roman" w:cs="Times New Roman"/>
          <w:sz w:val="24"/>
          <w:szCs w:val="24"/>
          <w:lang w:val="en-US"/>
        </w:rPr>
        <w:t>28.</w:t>
      </w:r>
    </w:p>
    <w:p w14:paraId="5562665B" w14:textId="6B1C6EE3"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2</w:t>
      </w:r>
      <w:r w:rsidR="0067766E">
        <w:rPr>
          <w:rFonts w:ascii="Times New Roman" w:eastAsia="Times New Roman" w:hAnsi="Times New Roman" w:cs="Times New Roman"/>
          <w:sz w:val="24"/>
          <w:szCs w:val="24"/>
          <w:lang w:val="en-US"/>
        </w:rPr>
        <w:t>7</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Conners CK, Sitarenios G, Parker JD, Epstein JN. Revision and restandardization of the Conners Teacher Rating Scale (CTRS-R): factor structure, reliability, and criterion validity</w:t>
      </w:r>
      <w:r w:rsidRPr="00E4705D">
        <w:rPr>
          <w:rFonts w:ascii="Times New Roman" w:eastAsia="Times New Roman" w:hAnsi="Times New Roman" w:cs="Times New Roman"/>
          <w:i/>
          <w:iCs/>
          <w:sz w:val="24"/>
          <w:szCs w:val="24"/>
          <w:lang w:val="en-US"/>
        </w:rPr>
        <w:t>. J Abnorm Child Psychol</w:t>
      </w:r>
      <w:r w:rsidRPr="00BA0373">
        <w:rPr>
          <w:rFonts w:ascii="Times New Roman" w:eastAsia="Times New Roman" w:hAnsi="Times New Roman" w:cs="Times New Roman"/>
          <w:sz w:val="24"/>
          <w:szCs w:val="24"/>
          <w:lang w:val="en-US"/>
        </w:rPr>
        <w:t xml:space="preserve"> 1998;26(4):279-</w:t>
      </w:r>
      <w:r w:rsidR="00E43500">
        <w:rPr>
          <w:rFonts w:ascii="Times New Roman" w:eastAsia="Times New Roman" w:hAnsi="Times New Roman" w:cs="Times New Roman"/>
          <w:sz w:val="24"/>
          <w:szCs w:val="24"/>
          <w:lang w:val="en-US"/>
        </w:rPr>
        <w:t>2</w:t>
      </w:r>
      <w:r w:rsidRPr="00BA0373">
        <w:rPr>
          <w:rFonts w:ascii="Times New Roman" w:eastAsia="Times New Roman" w:hAnsi="Times New Roman" w:cs="Times New Roman"/>
          <w:sz w:val="24"/>
          <w:szCs w:val="24"/>
          <w:lang w:val="en-US"/>
        </w:rPr>
        <w:t>91.</w:t>
      </w:r>
    </w:p>
    <w:p w14:paraId="3AFDA6D9" w14:textId="6C0085DD"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2</w:t>
      </w:r>
      <w:r w:rsidR="0067766E">
        <w:rPr>
          <w:rFonts w:ascii="Times New Roman" w:eastAsia="Times New Roman" w:hAnsi="Times New Roman" w:cs="Times New Roman"/>
          <w:sz w:val="24"/>
          <w:szCs w:val="24"/>
          <w:lang w:val="en-US"/>
        </w:rPr>
        <w:t>8</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 xml:space="preserve">Conners CK, Sitarenios G, Parker JD, Epstein JN. The revised Conners' Parent Rating Scale (CPRS-R): factor structure, reliability, and criterion validity. </w:t>
      </w:r>
      <w:r w:rsidRPr="00E4705D">
        <w:rPr>
          <w:rFonts w:ascii="Times New Roman" w:eastAsia="Times New Roman" w:hAnsi="Times New Roman" w:cs="Times New Roman"/>
          <w:i/>
          <w:iCs/>
          <w:sz w:val="24"/>
          <w:szCs w:val="24"/>
          <w:lang w:val="en-US"/>
        </w:rPr>
        <w:t>J Abnorm Child Psychol</w:t>
      </w:r>
      <w:r w:rsidRPr="00BA0373">
        <w:rPr>
          <w:rFonts w:ascii="Times New Roman" w:eastAsia="Times New Roman" w:hAnsi="Times New Roman" w:cs="Times New Roman"/>
          <w:sz w:val="24"/>
          <w:szCs w:val="24"/>
          <w:lang w:val="en-US"/>
        </w:rPr>
        <w:t xml:space="preserve"> 1998;26(4):257-</w:t>
      </w:r>
      <w:r w:rsidR="00E43500">
        <w:rPr>
          <w:rFonts w:ascii="Times New Roman" w:eastAsia="Times New Roman" w:hAnsi="Times New Roman" w:cs="Times New Roman"/>
          <w:sz w:val="24"/>
          <w:szCs w:val="24"/>
          <w:lang w:val="en-US"/>
        </w:rPr>
        <w:t>2</w:t>
      </w:r>
      <w:r w:rsidRPr="00BA0373">
        <w:rPr>
          <w:rFonts w:ascii="Times New Roman" w:eastAsia="Times New Roman" w:hAnsi="Times New Roman" w:cs="Times New Roman"/>
          <w:sz w:val="24"/>
          <w:szCs w:val="24"/>
          <w:lang w:val="en-US"/>
        </w:rPr>
        <w:t>68.</w:t>
      </w:r>
    </w:p>
    <w:p w14:paraId="2FF69AFD" w14:textId="2B68BBFC"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2</w:t>
      </w:r>
      <w:r w:rsidR="0067766E">
        <w:rPr>
          <w:rFonts w:ascii="Times New Roman" w:eastAsia="Times New Roman" w:hAnsi="Times New Roman" w:cs="Times New Roman"/>
          <w:sz w:val="24"/>
          <w:szCs w:val="24"/>
          <w:lang w:val="en-US"/>
        </w:rPr>
        <w:t>9</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 xml:space="preserve">Sterne JAC, Savović J, Page MJ, Elbers RG, Blencowe NS, Boutron I, et al. RoB 2: a revised tool for assessing risk of bias in randomised trials. </w:t>
      </w:r>
      <w:r w:rsidR="00E4705D">
        <w:rPr>
          <w:rFonts w:ascii="Times New Roman" w:eastAsia="Times New Roman" w:hAnsi="Times New Roman" w:cs="Times New Roman"/>
          <w:i/>
          <w:iCs/>
          <w:sz w:val="24"/>
          <w:szCs w:val="24"/>
          <w:lang w:val="en-US"/>
        </w:rPr>
        <w:t>BMJ</w:t>
      </w:r>
      <w:r w:rsidRPr="00BA0373">
        <w:rPr>
          <w:rFonts w:ascii="Times New Roman" w:eastAsia="Times New Roman" w:hAnsi="Times New Roman" w:cs="Times New Roman"/>
          <w:sz w:val="24"/>
          <w:szCs w:val="24"/>
          <w:lang w:val="en-US"/>
        </w:rPr>
        <w:t xml:space="preserve"> 2019;366:l4898.</w:t>
      </w:r>
    </w:p>
    <w:p w14:paraId="22A4B2AE" w14:textId="373963DF" w:rsidR="009A4C36" w:rsidRPr="00BA0373" w:rsidRDefault="0067766E" w:rsidP="009A4C36">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30</w:t>
      </w:r>
      <w:r w:rsidR="009A4C36" w:rsidRPr="00BA0373">
        <w:rPr>
          <w:rFonts w:ascii="Times New Roman" w:eastAsia="Times New Roman" w:hAnsi="Times New Roman" w:cs="Times New Roman"/>
          <w:sz w:val="24"/>
          <w:szCs w:val="24"/>
          <w:lang w:val="en-US"/>
        </w:rPr>
        <w:t xml:space="preserve">.   </w:t>
      </w:r>
      <w:r w:rsidR="009A4C36" w:rsidRPr="00BA0373">
        <w:rPr>
          <w:rFonts w:ascii="Times New Roman" w:eastAsia="Times New Roman" w:hAnsi="Times New Roman" w:cs="Times New Roman"/>
          <w:sz w:val="24"/>
          <w:szCs w:val="24"/>
          <w:lang w:val="en-US"/>
        </w:rPr>
        <w:tab/>
        <w:t>US Food &amp; Drug Administration. Drugs@FDA: FDA-Approved Drugs  [Available from:</w:t>
      </w:r>
      <w:hyperlink r:id="rId15">
        <w:r w:rsidR="009A4C36" w:rsidRPr="00BA0373">
          <w:rPr>
            <w:rFonts w:ascii="Times New Roman" w:eastAsia="Times New Roman" w:hAnsi="Times New Roman" w:cs="Times New Roman"/>
            <w:sz w:val="24"/>
            <w:szCs w:val="24"/>
            <w:lang w:val="en-US"/>
          </w:rPr>
          <w:t xml:space="preserve"> </w:t>
        </w:r>
      </w:hyperlink>
      <w:hyperlink r:id="rId16">
        <w:r w:rsidR="009A4C36" w:rsidRPr="00BA0373">
          <w:rPr>
            <w:rFonts w:ascii="Times New Roman" w:eastAsia="Times New Roman" w:hAnsi="Times New Roman" w:cs="Times New Roman"/>
            <w:color w:val="1155CC"/>
            <w:sz w:val="24"/>
            <w:szCs w:val="24"/>
            <w:u w:val="single"/>
            <w:lang w:val="en-US"/>
          </w:rPr>
          <w:t>https://www.accessdata.fda.gov/scripts/cder/daf/index.cfm</w:t>
        </w:r>
      </w:hyperlink>
      <w:r w:rsidR="009A4C36" w:rsidRPr="00BA0373">
        <w:rPr>
          <w:rFonts w:ascii="Times New Roman" w:eastAsia="Times New Roman" w:hAnsi="Times New Roman" w:cs="Times New Roman"/>
          <w:sz w:val="24"/>
          <w:szCs w:val="24"/>
          <w:lang w:val="en-US"/>
        </w:rPr>
        <w:t>.</w:t>
      </w:r>
    </w:p>
    <w:p w14:paraId="23677DBA" w14:textId="72408E2F"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3</w:t>
      </w:r>
      <w:r w:rsidR="0067766E">
        <w:rPr>
          <w:rFonts w:ascii="Times New Roman" w:eastAsia="Times New Roman" w:hAnsi="Times New Roman" w:cs="Times New Roman"/>
          <w:sz w:val="24"/>
          <w:szCs w:val="24"/>
          <w:lang w:val="en-US"/>
        </w:rPr>
        <w:t>1</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 xml:space="preserve">Steingard R, Taskiran S, Connor DF, Markowitz JS, Stein MA. New Formulations of Stimulants: An Update for Clinicians. </w:t>
      </w:r>
      <w:r w:rsidR="00E4705D" w:rsidRPr="00E4705D">
        <w:rPr>
          <w:rFonts w:ascii="Times New Roman" w:eastAsia="Times New Roman" w:hAnsi="Times New Roman" w:cs="Times New Roman"/>
          <w:i/>
          <w:iCs/>
          <w:sz w:val="24"/>
          <w:szCs w:val="24"/>
          <w:lang w:val="en-US"/>
        </w:rPr>
        <w:t>J Child Adolesc Psychopharmacol</w:t>
      </w:r>
      <w:r w:rsidRPr="00BA0373">
        <w:rPr>
          <w:rFonts w:ascii="Times New Roman" w:eastAsia="Times New Roman" w:hAnsi="Times New Roman" w:cs="Times New Roman"/>
          <w:sz w:val="24"/>
          <w:szCs w:val="24"/>
          <w:lang w:val="en-US"/>
        </w:rPr>
        <w:t xml:space="preserve"> 2019;29(5):324-</w:t>
      </w:r>
      <w:r w:rsidR="00E43500">
        <w:rPr>
          <w:rFonts w:ascii="Times New Roman" w:eastAsia="Times New Roman" w:hAnsi="Times New Roman" w:cs="Times New Roman"/>
          <w:sz w:val="24"/>
          <w:szCs w:val="24"/>
          <w:lang w:val="en-US"/>
        </w:rPr>
        <w:t>3</w:t>
      </w:r>
      <w:r w:rsidRPr="00BA0373">
        <w:rPr>
          <w:rFonts w:ascii="Times New Roman" w:eastAsia="Times New Roman" w:hAnsi="Times New Roman" w:cs="Times New Roman"/>
          <w:sz w:val="24"/>
          <w:szCs w:val="24"/>
          <w:lang w:val="en-US"/>
        </w:rPr>
        <w:t>39.</w:t>
      </w:r>
    </w:p>
    <w:p w14:paraId="544F0B1B" w14:textId="275201CE"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3</w:t>
      </w:r>
      <w:r w:rsidR="0067766E">
        <w:rPr>
          <w:rFonts w:ascii="Times New Roman" w:eastAsia="Times New Roman" w:hAnsi="Times New Roman" w:cs="Times New Roman"/>
          <w:sz w:val="24"/>
          <w:szCs w:val="24"/>
          <w:lang w:val="en-US"/>
        </w:rPr>
        <w:t>2</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 xml:space="preserve">Swanson JM, Arnold LE, Molina BSG, Sibley MH, Hechtman LT, Hinshaw SP, et al. Young adult outcomes in the follow-up of the multimodal treatment study of attention-deficit/hyperactivity disorder: symptom persistence, source discrepancy, and height suppression. </w:t>
      </w:r>
      <w:r w:rsidRPr="00E4705D">
        <w:rPr>
          <w:rFonts w:ascii="Times New Roman" w:eastAsia="Times New Roman" w:hAnsi="Times New Roman" w:cs="Times New Roman"/>
          <w:i/>
          <w:iCs/>
          <w:sz w:val="24"/>
          <w:szCs w:val="24"/>
          <w:lang w:val="en-US"/>
        </w:rPr>
        <w:t>J Child Psychol Psychiatry</w:t>
      </w:r>
      <w:r w:rsidRPr="00BA0373">
        <w:rPr>
          <w:rFonts w:ascii="Times New Roman" w:eastAsia="Times New Roman" w:hAnsi="Times New Roman" w:cs="Times New Roman"/>
          <w:sz w:val="24"/>
          <w:szCs w:val="24"/>
          <w:lang w:val="en-US"/>
        </w:rPr>
        <w:t xml:space="preserve"> 2017;58(6):663-</w:t>
      </w:r>
      <w:r w:rsidR="00E43500">
        <w:rPr>
          <w:rFonts w:ascii="Times New Roman" w:eastAsia="Times New Roman" w:hAnsi="Times New Roman" w:cs="Times New Roman"/>
          <w:sz w:val="24"/>
          <w:szCs w:val="24"/>
          <w:lang w:val="en-US"/>
        </w:rPr>
        <w:t>6</w:t>
      </w:r>
      <w:r w:rsidRPr="00BA0373">
        <w:rPr>
          <w:rFonts w:ascii="Times New Roman" w:eastAsia="Times New Roman" w:hAnsi="Times New Roman" w:cs="Times New Roman"/>
          <w:sz w:val="24"/>
          <w:szCs w:val="24"/>
          <w:lang w:val="en-US"/>
        </w:rPr>
        <w:t>78.</w:t>
      </w:r>
    </w:p>
    <w:p w14:paraId="7769F009" w14:textId="1FCE50CB"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3</w:t>
      </w:r>
      <w:r w:rsidR="0067766E">
        <w:rPr>
          <w:rFonts w:ascii="Times New Roman" w:eastAsia="Times New Roman" w:hAnsi="Times New Roman" w:cs="Times New Roman"/>
          <w:sz w:val="24"/>
          <w:szCs w:val="24"/>
          <w:lang w:val="en-US"/>
        </w:rPr>
        <w:t>3</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Center for drug evaluation and research. Clinical Pharmacology and Biopharmaceutics Review(s): Application Number 205831. FDA Drug Approvals and Databases2014. p. 5-7.</w:t>
      </w:r>
    </w:p>
    <w:p w14:paraId="362A7252" w14:textId="5E4902A1"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3</w:t>
      </w:r>
      <w:r w:rsidR="0067766E">
        <w:rPr>
          <w:rFonts w:ascii="Times New Roman" w:eastAsia="Times New Roman" w:hAnsi="Times New Roman" w:cs="Times New Roman"/>
          <w:sz w:val="24"/>
          <w:szCs w:val="24"/>
          <w:lang w:val="en-US"/>
        </w:rPr>
        <w:t>4</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Center for drug evaluation and research. Clinical Pharmacology and Biopharmaceutics Review(s): Application Number 21-259. FDA Drug Approvals and Databases2001. p. 4-8.</w:t>
      </w:r>
    </w:p>
    <w:p w14:paraId="157080BE" w14:textId="0BFEC905"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3</w:t>
      </w:r>
      <w:r w:rsidR="0067766E">
        <w:rPr>
          <w:rFonts w:ascii="Times New Roman" w:eastAsia="Times New Roman" w:hAnsi="Times New Roman" w:cs="Times New Roman"/>
          <w:sz w:val="24"/>
          <w:szCs w:val="24"/>
          <w:lang w:val="en-US"/>
        </w:rPr>
        <w:t>5</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Center for drug evaluation and research. Clinical Pharmacology and Biopharmaceutics Review(s): Application Number 21-284. FDA Drug Approvals and Databases2001. p. 17-</w:t>
      </w:r>
      <w:r w:rsidR="00E43500">
        <w:rPr>
          <w:rFonts w:ascii="Times New Roman" w:eastAsia="Times New Roman" w:hAnsi="Times New Roman" w:cs="Times New Roman"/>
          <w:sz w:val="24"/>
          <w:szCs w:val="24"/>
          <w:lang w:val="en-US"/>
        </w:rPr>
        <w:t>1</w:t>
      </w:r>
      <w:r w:rsidRPr="00BA0373">
        <w:rPr>
          <w:rFonts w:ascii="Times New Roman" w:eastAsia="Times New Roman" w:hAnsi="Times New Roman" w:cs="Times New Roman"/>
          <w:sz w:val="24"/>
          <w:szCs w:val="24"/>
          <w:lang w:val="en-US"/>
        </w:rPr>
        <w:t>8.</w:t>
      </w:r>
    </w:p>
    <w:p w14:paraId="1807C168" w14:textId="48726975"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3</w:t>
      </w:r>
      <w:r w:rsidR="0067766E">
        <w:rPr>
          <w:rFonts w:ascii="Times New Roman" w:eastAsia="Times New Roman" w:hAnsi="Times New Roman" w:cs="Times New Roman"/>
          <w:sz w:val="24"/>
          <w:szCs w:val="24"/>
          <w:lang w:val="en-US"/>
        </w:rPr>
        <w:t>6</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Center for drug evaluation and research. Clinical Pharmacology and Biopharmaceutics Review(s): Application Number 202-100. FDA Drug Approvals and Databases2012. p. 32-</w:t>
      </w:r>
      <w:r w:rsidR="00E43500">
        <w:rPr>
          <w:rFonts w:ascii="Times New Roman" w:eastAsia="Times New Roman" w:hAnsi="Times New Roman" w:cs="Times New Roman"/>
          <w:sz w:val="24"/>
          <w:szCs w:val="24"/>
          <w:lang w:val="en-US"/>
        </w:rPr>
        <w:t>3</w:t>
      </w:r>
      <w:r w:rsidRPr="00BA0373">
        <w:rPr>
          <w:rFonts w:ascii="Times New Roman" w:eastAsia="Times New Roman" w:hAnsi="Times New Roman" w:cs="Times New Roman"/>
          <w:sz w:val="24"/>
          <w:szCs w:val="24"/>
          <w:lang w:val="en-US"/>
        </w:rPr>
        <w:t>3.</w:t>
      </w:r>
    </w:p>
    <w:p w14:paraId="7C937816" w14:textId="68448086"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3</w:t>
      </w:r>
      <w:r w:rsidR="0067766E">
        <w:rPr>
          <w:rFonts w:ascii="Times New Roman" w:eastAsia="Times New Roman" w:hAnsi="Times New Roman" w:cs="Times New Roman"/>
          <w:sz w:val="24"/>
          <w:szCs w:val="24"/>
          <w:lang w:val="en-US"/>
        </w:rPr>
        <w:t>7</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Center for drug evaluation and research. Clinical Pharmacology and Biopharmaceutics Review(s): Application Number 21-121. FDA Drug Approvals and Databases2000. p. 16-</w:t>
      </w:r>
      <w:r w:rsidR="00E43500">
        <w:rPr>
          <w:rFonts w:ascii="Times New Roman" w:eastAsia="Times New Roman" w:hAnsi="Times New Roman" w:cs="Times New Roman"/>
          <w:sz w:val="24"/>
          <w:szCs w:val="24"/>
          <w:lang w:val="en-US"/>
        </w:rPr>
        <w:t>1</w:t>
      </w:r>
      <w:r w:rsidRPr="00BA0373">
        <w:rPr>
          <w:rFonts w:ascii="Times New Roman" w:eastAsia="Times New Roman" w:hAnsi="Times New Roman" w:cs="Times New Roman"/>
          <w:sz w:val="24"/>
          <w:szCs w:val="24"/>
          <w:lang w:val="en-US"/>
        </w:rPr>
        <w:t>9.</w:t>
      </w:r>
    </w:p>
    <w:p w14:paraId="4072E4DF" w14:textId="27037869"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3</w:t>
      </w:r>
      <w:r w:rsidR="0067766E">
        <w:rPr>
          <w:rFonts w:ascii="Times New Roman" w:eastAsia="Times New Roman" w:hAnsi="Times New Roman" w:cs="Times New Roman"/>
          <w:sz w:val="24"/>
          <w:szCs w:val="24"/>
          <w:lang w:val="en-US"/>
        </w:rPr>
        <w:t>8</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Center for drug evaluation and research. Clinical Pharmacology and Biopharmaceutics Review(s): Application Number 21-278. FDA Drug Approvals and Databases2001. p. 13-</w:t>
      </w:r>
      <w:r w:rsidR="00E43500">
        <w:rPr>
          <w:rFonts w:ascii="Times New Roman" w:eastAsia="Times New Roman" w:hAnsi="Times New Roman" w:cs="Times New Roman"/>
          <w:sz w:val="24"/>
          <w:szCs w:val="24"/>
          <w:lang w:val="en-US"/>
        </w:rPr>
        <w:t>1</w:t>
      </w:r>
      <w:r w:rsidRPr="00BA0373">
        <w:rPr>
          <w:rFonts w:ascii="Times New Roman" w:eastAsia="Times New Roman" w:hAnsi="Times New Roman" w:cs="Times New Roman"/>
          <w:sz w:val="24"/>
          <w:szCs w:val="24"/>
          <w:lang w:val="en-US"/>
        </w:rPr>
        <w:t>7.</w:t>
      </w:r>
    </w:p>
    <w:p w14:paraId="12C302AD" w14:textId="04242342"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3</w:t>
      </w:r>
      <w:r w:rsidR="0067766E">
        <w:rPr>
          <w:rFonts w:ascii="Times New Roman" w:eastAsia="Times New Roman" w:hAnsi="Times New Roman" w:cs="Times New Roman"/>
          <w:sz w:val="24"/>
          <w:szCs w:val="24"/>
          <w:lang w:val="en-US"/>
        </w:rPr>
        <w:t>9</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Center for drug evaluation and research. Clinical Pharmacology and Biopharmaceutics Review(s): Application Number 21-802. FDA Drug Approvals and Databases2004. p. 29.</w:t>
      </w:r>
    </w:p>
    <w:p w14:paraId="5E4A5B25" w14:textId="62C7550F" w:rsidR="009A4C36" w:rsidRPr="00BA0373" w:rsidRDefault="0067766E" w:rsidP="009A4C36">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40</w:t>
      </w:r>
      <w:r w:rsidR="009A4C36" w:rsidRPr="00BA0373">
        <w:rPr>
          <w:rFonts w:ascii="Times New Roman" w:eastAsia="Times New Roman" w:hAnsi="Times New Roman" w:cs="Times New Roman"/>
          <w:sz w:val="24"/>
          <w:szCs w:val="24"/>
          <w:lang w:val="en-US"/>
        </w:rPr>
        <w:t xml:space="preserve">.   </w:t>
      </w:r>
      <w:r w:rsidR="009A4C36" w:rsidRPr="00BA0373">
        <w:rPr>
          <w:rFonts w:ascii="Times New Roman" w:eastAsia="Times New Roman" w:hAnsi="Times New Roman" w:cs="Times New Roman"/>
          <w:sz w:val="24"/>
          <w:szCs w:val="24"/>
          <w:lang w:val="en-US"/>
        </w:rPr>
        <w:tab/>
        <w:t>Center for drug evaluation and research. Clinical Pharmacology and Biopharmaceutics Review(s): Application Number 205489. FDA Drug Approvals and Databases2016. p. 29.</w:t>
      </w:r>
    </w:p>
    <w:p w14:paraId="65979266" w14:textId="650BE563"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4</w:t>
      </w:r>
      <w:r w:rsidR="0067766E">
        <w:rPr>
          <w:rFonts w:ascii="Times New Roman" w:eastAsia="Times New Roman" w:hAnsi="Times New Roman" w:cs="Times New Roman"/>
          <w:sz w:val="24"/>
          <w:szCs w:val="24"/>
          <w:lang w:val="en-US"/>
        </w:rPr>
        <w:t>1</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Center for drug evaluation and research. Clinical Pharmacology and Biopharmaceutics Review(s): Application Number 21-514. FDA Drug Approvals and Databases2005. p. 4-8.</w:t>
      </w:r>
    </w:p>
    <w:p w14:paraId="02D84BD8" w14:textId="09CA0E71"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4</w:t>
      </w:r>
      <w:r w:rsidR="0067766E">
        <w:rPr>
          <w:rFonts w:ascii="Times New Roman" w:eastAsia="Times New Roman" w:hAnsi="Times New Roman" w:cs="Times New Roman"/>
          <w:sz w:val="24"/>
          <w:szCs w:val="24"/>
          <w:lang w:val="en-US"/>
        </w:rPr>
        <w:t>2</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 xml:space="preserve">Center for drug evaluation and research. Approved Labeling: Application Number </w:t>
      </w:r>
      <w:r>
        <w:rPr>
          <w:rFonts w:ascii="Times New Roman" w:eastAsia="Times New Roman" w:hAnsi="Times New Roman" w:cs="Times New Roman"/>
          <w:sz w:val="24"/>
          <w:szCs w:val="24"/>
          <w:lang w:val="en-US"/>
        </w:rPr>
        <w:t>11-522/S-030</w:t>
      </w:r>
      <w:r w:rsidRPr="00BA0373">
        <w:rPr>
          <w:rFonts w:ascii="Times New Roman" w:eastAsia="Times New Roman" w:hAnsi="Times New Roman" w:cs="Times New Roman"/>
          <w:sz w:val="24"/>
          <w:szCs w:val="24"/>
          <w:lang w:val="en-US"/>
        </w:rPr>
        <w:t>. FDA Drug Approvals and Databases200</w:t>
      </w:r>
      <w:r>
        <w:rPr>
          <w:rFonts w:ascii="Times New Roman" w:eastAsia="Times New Roman" w:hAnsi="Times New Roman" w:cs="Times New Roman"/>
          <w:sz w:val="24"/>
          <w:szCs w:val="24"/>
          <w:lang w:val="en-US"/>
        </w:rPr>
        <w:t>2</w:t>
      </w:r>
      <w:r w:rsidRPr="00BA0373">
        <w:rPr>
          <w:rFonts w:ascii="Times New Roman" w:eastAsia="Times New Roman" w:hAnsi="Times New Roman" w:cs="Times New Roman"/>
          <w:sz w:val="24"/>
          <w:szCs w:val="24"/>
          <w:lang w:val="en-US"/>
        </w:rPr>
        <w:t>. p. 1-2.</w:t>
      </w:r>
    </w:p>
    <w:p w14:paraId="3EE24974" w14:textId="2A7892DF"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4</w:t>
      </w:r>
      <w:r w:rsidR="0067766E">
        <w:rPr>
          <w:rFonts w:ascii="Times New Roman" w:eastAsia="Times New Roman" w:hAnsi="Times New Roman" w:cs="Times New Roman"/>
          <w:sz w:val="24"/>
          <w:szCs w:val="24"/>
          <w:lang w:val="en-US"/>
        </w:rPr>
        <w:t>3</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Center for drug evaluation and research. Clinical Pharmacology and Biopharmaceutics Review(s): Application Number 022063. FDA Drug Approvals and Databases2016. p. 20.</w:t>
      </w:r>
    </w:p>
    <w:p w14:paraId="0A28B286" w14:textId="6729BED0"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4</w:t>
      </w:r>
      <w:r w:rsidR="0067766E">
        <w:rPr>
          <w:rFonts w:ascii="Times New Roman" w:eastAsia="Times New Roman" w:hAnsi="Times New Roman" w:cs="Times New Roman"/>
          <w:sz w:val="24"/>
          <w:szCs w:val="24"/>
          <w:lang w:val="en-US"/>
        </w:rPr>
        <w:t>4</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Center for drug evaluation and research. Printed Labeling: Application Number 204326. FDA Drug Approvals and Databases2016. p. 4.</w:t>
      </w:r>
    </w:p>
    <w:p w14:paraId="56557ED1" w14:textId="19FA9105" w:rsidR="009A4C36"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4</w:t>
      </w:r>
      <w:r w:rsidR="0067766E">
        <w:rPr>
          <w:rFonts w:ascii="Times New Roman" w:eastAsia="Times New Roman" w:hAnsi="Times New Roman" w:cs="Times New Roman"/>
          <w:sz w:val="24"/>
          <w:szCs w:val="24"/>
          <w:lang w:val="en-US"/>
        </w:rPr>
        <w:t>5</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Center for drug evaluation and research. Pharmacology Reviews: Application Number 208147. FDA Drug Approvals and Databases2014. p. 5.</w:t>
      </w:r>
    </w:p>
    <w:p w14:paraId="28EF0459" w14:textId="7F2EF66A" w:rsidR="009A4C36" w:rsidRPr="00BA0373" w:rsidRDefault="009A4C36" w:rsidP="009A4C36">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r w:rsidR="0067766E">
        <w:rPr>
          <w:rFonts w:ascii="Times New Roman" w:eastAsia="Times New Roman" w:hAnsi="Times New Roman" w:cs="Times New Roman"/>
          <w:sz w:val="24"/>
          <w:szCs w:val="24"/>
          <w:lang w:val="en-US"/>
        </w:rPr>
        <w:t>6</w:t>
      </w:r>
      <w:r>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Center for drug evaluation and research. Clinical Pharmacology and Biopharmaceutics Review(s): Application Number 21-977. FDA Drug Approvals and Databases2006. p. 21-30.</w:t>
      </w:r>
    </w:p>
    <w:p w14:paraId="74869DCD" w14:textId="350F4EE2"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4</w:t>
      </w:r>
      <w:r w:rsidR="0067766E">
        <w:rPr>
          <w:rFonts w:ascii="Times New Roman" w:eastAsia="Times New Roman" w:hAnsi="Times New Roman" w:cs="Times New Roman"/>
          <w:sz w:val="24"/>
          <w:szCs w:val="24"/>
          <w:lang w:val="en-US"/>
        </w:rPr>
        <w:t>7</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 xml:space="preserve">Greenland S, Longnecker MP. Methods for trend estimation from summarized dose-response data, with applications to meta-analysis. </w:t>
      </w:r>
      <w:r w:rsidRPr="00E4705D">
        <w:rPr>
          <w:rFonts w:ascii="Times New Roman" w:eastAsia="Times New Roman" w:hAnsi="Times New Roman" w:cs="Times New Roman"/>
          <w:i/>
          <w:iCs/>
          <w:sz w:val="24"/>
          <w:szCs w:val="24"/>
          <w:lang w:val="en-US"/>
        </w:rPr>
        <w:t>Am J Epidemiol</w:t>
      </w:r>
      <w:r w:rsidRPr="00BA0373">
        <w:rPr>
          <w:rFonts w:ascii="Times New Roman" w:eastAsia="Times New Roman" w:hAnsi="Times New Roman" w:cs="Times New Roman"/>
          <w:sz w:val="24"/>
          <w:szCs w:val="24"/>
          <w:lang w:val="en-US"/>
        </w:rPr>
        <w:t xml:space="preserve"> 1992;135(11):1301-9.</w:t>
      </w:r>
    </w:p>
    <w:p w14:paraId="6B60A8A6" w14:textId="2B60A10E"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4</w:t>
      </w:r>
      <w:r w:rsidR="0067766E">
        <w:rPr>
          <w:rFonts w:ascii="Times New Roman" w:eastAsia="Times New Roman" w:hAnsi="Times New Roman" w:cs="Times New Roman"/>
          <w:sz w:val="24"/>
          <w:szCs w:val="24"/>
          <w:lang w:val="en-US"/>
        </w:rPr>
        <w:t>8</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 xml:space="preserve">Crippa A, Discacciati A, Bottai M, Spiegelman D, Orsini N. One-stage dose-response meta-analysis for aggregated data. </w:t>
      </w:r>
      <w:r w:rsidRPr="00E4705D">
        <w:rPr>
          <w:rFonts w:ascii="Times New Roman" w:eastAsia="Times New Roman" w:hAnsi="Times New Roman" w:cs="Times New Roman"/>
          <w:i/>
          <w:iCs/>
          <w:sz w:val="24"/>
          <w:szCs w:val="24"/>
          <w:lang w:val="en-US"/>
        </w:rPr>
        <w:t>Stat Methods Med Res</w:t>
      </w:r>
      <w:r w:rsidRPr="00BA0373">
        <w:rPr>
          <w:rFonts w:ascii="Times New Roman" w:eastAsia="Times New Roman" w:hAnsi="Times New Roman" w:cs="Times New Roman"/>
          <w:sz w:val="24"/>
          <w:szCs w:val="24"/>
          <w:lang w:val="en-US"/>
        </w:rPr>
        <w:t xml:space="preserve"> 2019;28(5):1579-</w:t>
      </w:r>
      <w:r w:rsidR="00E43500">
        <w:rPr>
          <w:rFonts w:ascii="Times New Roman" w:eastAsia="Times New Roman" w:hAnsi="Times New Roman" w:cs="Times New Roman"/>
          <w:sz w:val="24"/>
          <w:szCs w:val="24"/>
          <w:lang w:val="en-US"/>
        </w:rPr>
        <w:t>15</w:t>
      </w:r>
      <w:r w:rsidRPr="00BA0373">
        <w:rPr>
          <w:rFonts w:ascii="Times New Roman" w:eastAsia="Times New Roman" w:hAnsi="Times New Roman" w:cs="Times New Roman"/>
          <w:sz w:val="24"/>
          <w:szCs w:val="24"/>
          <w:lang w:val="en-US"/>
        </w:rPr>
        <w:t>96.</w:t>
      </w:r>
    </w:p>
    <w:p w14:paraId="7632C6C9" w14:textId="5F0C371C"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4</w:t>
      </w:r>
      <w:r w:rsidR="0067766E">
        <w:rPr>
          <w:rFonts w:ascii="Times New Roman" w:eastAsia="Times New Roman" w:hAnsi="Times New Roman" w:cs="Times New Roman"/>
          <w:sz w:val="24"/>
          <w:szCs w:val="24"/>
          <w:lang w:val="en-US"/>
        </w:rPr>
        <w:t>9</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 xml:space="preserve">Crippa A, Orsini N. Dose-response meta-analysis of differences in means. </w:t>
      </w:r>
      <w:r w:rsidRPr="00E4705D">
        <w:rPr>
          <w:rFonts w:ascii="Times New Roman" w:eastAsia="Times New Roman" w:hAnsi="Times New Roman" w:cs="Times New Roman"/>
          <w:i/>
          <w:iCs/>
          <w:sz w:val="24"/>
          <w:szCs w:val="24"/>
          <w:lang w:val="en-US"/>
        </w:rPr>
        <w:t>BMC Med Res Methodol</w:t>
      </w:r>
      <w:r w:rsidRPr="00BA0373">
        <w:rPr>
          <w:rFonts w:ascii="Times New Roman" w:eastAsia="Times New Roman" w:hAnsi="Times New Roman" w:cs="Times New Roman"/>
          <w:sz w:val="24"/>
          <w:szCs w:val="24"/>
          <w:lang w:val="en-US"/>
        </w:rPr>
        <w:t xml:space="preserve"> 2016;16:91.</w:t>
      </w:r>
    </w:p>
    <w:p w14:paraId="15010F2C" w14:textId="649246AD" w:rsidR="009A4C36" w:rsidRPr="00BA0373" w:rsidRDefault="0067766E" w:rsidP="009A4C36">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50</w:t>
      </w:r>
      <w:r w:rsidR="009A4C36" w:rsidRPr="00BA0373">
        <w:rPr>
          <w:rFonts w:ascii="Times New Roman" w:eastAsia="Times New Roman" w:hAnsi="Times New Roman" w:cs="Times New Roman"/>
          <w:sz w:val="24"/>
          <w:szCs w:val="24"/>
          <w:lang w:val="en-US"/>
        </w:rPr>
        <w:t xml:space="preserve">.   </w:t>
      </w:r>
      <w:r w:rsidR="009A4C36" w:rsidRPr="00BA0373">
        <w:rPr>
          <w:rFonts w:ascii="Times New Roman" w:eastAsia="Times New Roman" w:hAnsi="Times New Roman" w:cs="Times New Roman"/>
          <w:sz w:val="24"/>
          <w:szCs w:val="24"/>
          <w:lang w:val="en-US"/>
        </w:rPr>
        <w:tab/>
        <w:t xml:space="preserve">Crippa A, Orsini N. Multivariate Dose-Response Meta-Analysis: The dosresmeta R Package. </w:t>
      </w:r>
      <w:r w:rsidR="005E60C4">
        <w:rPr>
          <w:rFonts w:ascii="Times New Roman" w:eastAsia="Times New Roman" w:hAnsi="Times New Roman" w:cs="Times New Roman"/>
          <w:i/>
          <w:iCs/>
          <w:sz w:val="24"/>
          <w:szCs w:val="24"/>
          <w:lang w:val="en-US"/>
        </w:rPr>
        <w:t>J Stat</w:t>
      </w:r>
      <w:r w:rsidR="008A46DD">
        <w:rPr>
          <w:rFonts w:ascii="Times New Roman" w:eastAsia="Times New Roman" w:hAnsi="Times New Roman" w:cs="Times New Roman"/>
          <w:i/>
          <w:iCs/>
          <w:sz w:val="24"/>
          <w:szCs w:val="24"/>
          <w:lang w:val="en-US"/>
        </w:rPr>
        <w:t xml:space="preserve"> </w:t>
      </w:r>
      <w:r w:rsidR="008A46DD" w:rsidRPr="008A46DD">
        <w:rPr>
          <w:rFonts w:ascii="Times New Roman" w:eastAsia="Times New Roman" w:hAnsi="Times New Roman" w:cs="Times New Roman"/>
          <w:i/>
          <w:iCs/>
          <w:sz w:val="24"/>
          <w:szCs w:val="24"/>
          <w:lang w:val="en-US"/>
        </w:rPr>
        <w:t>Softw</w:t>
      </w:r>
      <w:r w:rsidR="008A46DD">
        <w:rPr>
          <w:rFonts w:ascii="Times New Roman" w:eastAsia="Times New Roman" w:hAnsi="Times New Roman" w:cs="Times New Roman"/>
          <w:sz w:val="24"/>
          <w:szCs w:val="24"/>
          <w:lang w:val="en-US"/>
        </w:rPr>
        <w:t xml:space="preserve"> </w:t>
      </w:r>
      <w:r w:rsidR="009A4C36" w:rsidRPr="008A46DD">
        <w:rPr>
          <w:rFonts w:ascii="Times New Roman" w:eastAsia="Times New Roman" w:hAnsi="Times New Roman" w:cs="Times New Roman"/>
          <w:sz w:val="24"/>
          <w:szCs w:val="24"/>
          <w:lang w:val="en-US"/>
        </w:rPr>
        <w:t>2016</w:t>
      </w:r>
      <w:r w:rsidR="009A4C36" w:rsidRPr="00BA0373">
        <w:rPr>
          <w:rFonts w:ascii="Times New Roman" w:eastAsia="Times New Roman" w:hAnsi="Times New Roman" w:cs="Times New Roman"/>
          <w:sz w:val="24"/>
          <w:szCs w:val="24"/>
          <w:lang w:val="en-US"/>
        </w:rPr>
        <w:t>;72(Code Snippet 1):</w:t>
      </w:r>
      <w:r w:rsidR="008A46DD">
        <w:rPr>
          <w:rFonts w:ascii="Times New Roman" w:eastAsia="Times New Roman" w:hAnsi="Times New Roman" w:cs="Times New Roman"/>
          <w:sz w:val="24"/>
          <w:szCs w:val="24"/>
          <w:lang w:val="en-US"/>
        </w:rPr>
        <w:t>1-</w:t>
      </w:r>
      <w:r w:rsidR="009A4C36" w:rsidRPr="00BA0373">
        <w:rPr>
          <w:rFonts w:ascii="Times New Roman" w:eastAsia="Times New Roman" w:hAnsi="Times New Roman" w:cs="Times New Roman"/>
          <w:sz w:val="24"/>
          <w:szCs w:val="24"/>
          <w:lang w:val="en-US"/>
        </w:rPr>
        <w:t>15.</w:t>
      </w:r>
    </w:p>
    <w:p w14:paraId="64AFD217" w14:textId="371CC906"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5</w:t>
      </w:r>
      <w:r w:rsidR="0067766E">
        <w:rPr>
          <w:rFonts w:ascii="Times New Roman" w:eastAsia="Times New Roman" w:hAnsi="Times New Roman" w:cs="Times New Roman"/>
          <w:sz w:val="24"/>
          <w:szCs w:val="24"/>
          <w:lang w:val="en-US"/>
        </w:rPr>
        <w:t>1</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 xml:space="preserve">Furukawa TA, Salanti G, Cowen PJ, Leucht S, Cipriani A. No benefit from flexible titration above minimum licensed dose in prescribing antidepressants for major depression: systematic review. </w:t>
      </w:r>
      <w:r w:rsidRPr="005E60C4">
        <w:rPr>
          <w:rFonts w:ascii="Times New Roman" w:eastAsia="Times New Roman" w:hAnsi="Times New Roman" w:cs="Times New Roman"/>
          <w:i/>
          <w:iCs/>
          <w:sz w:val="24"/>
          <w:szCs w:val="24"/>
          <w:lang w:val="en-US"/>
        </w:rPr>
        <w:t>Acta Psychiatr Scand</w:t>
      </w:r>
      <w:r w:rsidRPr="00BA0373">
        <w:rPr>
          <w:rFonts w:ascii="Times New Roman" w:eastAsia="Times New Roman" w:hAnsi="Times New Roman" w:cs="Times New Roman"/>
          <w:sz w:val="24"/>
          <w:szCs w:val="24"/>
          <w:lang w:val="en-US"/>
        </w:rPr>
        <w:t xml:space="preserve"> 2020;141(5):401-</w:t>
      </w:r>
      <w:r w:rsidR="00E43500">
        <w:rPr>
          <w:rFonts w:ascii="Times New Roman" w:eastAsia="Times New Roman" w:hAnsi="Times New Roman" w:cs="Times New Roman"/>
          <w:sz w:val="24"/>
          <w:szCs w:val="24"/>
          <w:lang w:val="en-US"/>
        </w:rPr>
        <w:t>40</w:t>
      </w:r>
      <w:r w:rsidRPr="00BA0373">
        <w:rPr>
          <w:rFonts w:ascii="Times New Roman" w:eastAsia="Times New Roman" w:hAnsi="Times New Roman" w:cs="Times New Roman"/>
          <w:sz w:val="24"/>
          <w:szCs w:val="24"/>
          <w:lang w:val="en-US"/>
        </w:rPr>
        <w:t>9.</w:t>
      </w:r>
    </w:p>
    <w:p w14:paraId="481BA4A8" w14:textId="543602F8"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5</w:t>
      </w:r>
      <w:r w:rsidR="0067766E">
        <w:rPr>
          <w:rFonts w:ascii="Times New Roman" w:eastAsia="Times New Roman" w:hAnsi="Times New Roman" w:cs="Times New Roman"/>
          <w:sz w:val="24"/>
          <w:szCs w:val="24"/>
          <w:lang w:val="en-US"/>
        </w:rPr>
        <w:t>2</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Furukawa TA, Cipriani A, Cowen PJ, Leucht S, Egger M, Salanti G. Optimal dose of selective serotonin reuptake inhibitors, venlafaxine, and mirtazapine in major depression: a systematic review and dose-response meta-analysis</w:t>
      </w:r>
      <w:r w:rsidRPr="005E60C4">
        <w:rPr>
          <w:rFonts w:ascii="Times New Roman" w:eastAsia="Times New Roman" w:hAnsi="Times New Roman" w:cs="Times New Roman"/>
          <w:sz w:val="24"/>
          <w:szCs w:val="24"/>
          <w:lang w:val="en-US"/>
        </w:rPr>
        <w:t>.</w:t>
      </w:r>
      <w:r w:rsidRPr="005E60C4">
        <w:rPr>
          <w:rFonts w:ascii="Times New Roman" w:eastAsia="Times New Roman" w:hAnsi="Times New Roman" w:cs="Times New Roman"/>
          <w:i/>
          <w:iCs/>
          <w:sz w:val="24"/>
          <w:szCs w:val="24"/>
          <w:lang w:val="en-US"/>
        </w:rPr>
        <w:t xml:space="preserve"> Lancet Psychiatry</w:t>
      </w:r>
      <w:r w:rsidRPr="00BA0373">
        <w:rPr>
          <w:rFonts w:ascii="Times New Roman" w:eastAsia="Times New Roman" w:hAnsi="Times New Roman" w:cs="Times New Roman"/>
          <w:sz w:val="24"/>
          <w:szCs w:val="24"/>
          <w:lang w:val="en-US"/>
        </w:rPr>
        <w:t xml:space="preserve"> 2019;6(7):601-</w:t>
      </w:r>
      <w:r w:rsidR="00E43500">
        <w:rPr>
          <w:rFonts w:ascii="Times New Roman" w:eastAsia="Times New Roman" w:hAnsi="Times New Roman" w:cs="Times New Roman"/>
          <w:sz w:val="24"/>
          <w:szCs w:val="24"/>
          <w:lang w:val="en-US"/>
        </w:rPr>
        <w:t>60</w:t>
      </w:r>
      <w:r w:rsidRPr="00BA0373">
        <w:rPr>
          <w:rFonts w:ascii="Times New Roman" w:eastAsia="Times New Roman" w:hAnsi="Times New Roman" w:cs="Times New Roman"/>
          <w:sz w:val="24"/>
          <w:szCs w:val="24"/>
          <w:lang w:val="en-US"/>
        </w:rPr>
        <w:t>9.</w:t>
      </w:r>
    </w:p>
    <w:p w14:paraId="678894E0" w14:textId="6301B97E"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5</w:t>
      </w:r>
      <w:r w:rsidR="0067766E">
        <w:rPr>
          <w:rFonts w:ascii="Times New Roman" w:eastAsia="Times New Roman" w:hAnsi="Times New Roman" w:cs="Times New Roman"/>
          <w:sz w:val="24"/>
          <w:szCs w:val="24"/>
          <w:lang w:val="en-US"/>
        </w:rPr>
        <w:t>3</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 xml:space="preserve">Rücker G, Cates CJ, Schwarzer G. Methods for including information from multi-arm trials in pairwise meta-analysis. </w:t>
      </w:r>
      <w:r w:rsidRPr="005E60C4">
        <w:rPr>
          <w:rFonts w:ascii="Times New Roman" w:eastAsia="Times New Roman" w:hAnsi="Times New Roman" w:cs="Times New Roman"/>
          <w:i/>
          <w:iCs/>
          <w:sz w:val="24"/>
          <w:szCs w:val="24"/>
          <w:lang w:val="en-US"/>
        </w:rPr>
        <w:t>Res Synth Methods</w:t>
      </w:r>
      <w:r w:rsidRPr="00BA0373">
        <w:rPr>
          <w:rFonts w:ascii="Times New Roman" w:eastAsia="Times New Roman" w:hAnsi="Times New Roman" w:cs="Times New Roman"/>
          <w:sz w:val="24"/>
          <w:szCs w:val="24"/>
          <w:lang w:val="en-US"/>
        </w:rPr>
        <w:t xml:space="preserve"> 2017;8(4):392-403.</w:t>
      </w:r>
    </w:p>
    <w:p w14:paraId="7DC43907" w14:textId="5514C76C"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5</w:t>
      </w:r>
      <w:r w:rsidR="0067766E">
        <w:rPr>
          <w:rFonts w:ascii="Times New Roman" w:eastAsia="Times New Roman" w:hAnsi="Times New Roman" w:cs="Times New Roman"/>
          <w:sz w:val="24"/>
          <w:szCs w:val="24"/>
          <w:lang w:val="en-US"/>
        </w:rPr>
        <w:t>4</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 xml:space="preserve">Balduzzi S, Rücker G, Schwarzer G. How to perform a meta-analysis with R: a practical tutorial. </w:t>
      </w:r>
      <w:r w:rsidRPr="005E60C4">
        <w:rPr>
          <w:rFonts w:ascii="Times New Roman" w:eastAsia="Times New Roman" w:hAnsi="Times New Roman" w:cs="Times New Roman"/>
          <w:i/>
          <w:iCs/>
          <w:sz w:val="24"/>
          <w:szCs w:val="24"/>
          <w:lang w:val="en-US"/>
        </w:rPr>
        <w:t>Evid Based Ment Health</w:t>
      </w:r>
      <w:r w:rsidRPr="00BA0373">
        <w:rPr>
          <w:rFonts w:ascii="Times New Roman" w:eastAsia="Times New Roman" w:hAnsi="Times New Roman" w:cs="Times New Roman"/>
          <w:sz w:val="24"/>
          <w:szCs w:val="24"/>
          <w:lang w:val="en-US"/>
        </w:rPr>
        <w:t xml:space="preserve"> 2019;22(4):153-</w:t>
      </w:r>
      <w:r w:rsidR="00E43500">
        <w:rPr>
          <w:rFonts w:ascii="Times New Roman" w:eastAsia="Times New Roman" w:hAnsi="Times New Roman" w:cs="Times New Roman"/>
          <w:sz w:val="24"/>
          <w:szCs w:val="24"/>
          <w:lang w:val="en-US"/>
        </w:rPr>
        <w:t>1</w:t>
      </w:r>
      <w:r w:rsidRPr="00BA0373">
        <w:rPr>
          <w:rFonts w:ascii="Times New Roman" w:eastAsia="Times New Roman" w:hAnsi="Times New Roman" w:cs="Times New Roman"/>
          <w:sz w:val="24"/>
          <w:szCs w:val="24"/>
          <w:lang w:val="en-US"/>
        </w:rPr>
        <w:t>60.</w:t>
      </w:r>
    </w:p>
    <w:p w14:paraId="6BCCB1B5" w14:textId="1933604A"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5</w:t>
      </w:r>
      <w:r w:rsidR="0067766E">
        <w:rPr>
          <w:rFonts w:ascii="Times New Roman" w:eastAsia="Times New Roman" w:hAnsi="Times New Roman" w:cs="Times New Roman"/>
          <w:sz w:val="24"/>
          <w:szCs w:val="24"/>
          <w:lang w:val="en-US"/>
        </w:rPr>
        <w:t>5</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 xml:space="preserve">Faraone SV, Banaschewski T, Coghill D, Zheng Y, Biederman J, Bellgrove MA, et al. The World Federation of ADHD International Consensus Statement: 208 Evidence-based conclusions about the disorder. </w:t>
      </w:r>
      <w:r w:rsidRPr="005E60C4">
        <w:rPr>
          <w:rFonts w:ascii="Times New Roman" w:eastAsia="Times New Roman" w:hAnsi="Times New Roman" w:cs="Times New Roman"/>
          <w:i/>
          <w:iCs/>
          <w:sz w:val="24"/>
          <w:szCs w:val="24"/>
          <w:lang w:val="en-US"/>
        </w:rPr>
        <w:t>Neurosci Biobehav Rev</w:t>
      </w:r>
      <w:r w:rsidRPr="00BA0373">
        <w:rPr>
          <w:rFonts w:ascii="Times New Roman" w:eastAsia="Times New Roman" w:hAnsi="Times New Roman" w:cs="Times New Roman"/>
          <w:sz w:val="24"/>
          <w:szCs w:val="24"/>
          <w:lang w:val="en-US"/>
        </w:rPr>
        <w:t xml:space="preserve"> 2021;128:789-818.</w:t>
      </w:r>
    </w:p>
    <w:p w14:paraId="26CA69D0" w14:textId="56B520DF"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5</w:t>
      </w:r>
      <w:r w:rsidR="0067766E">
        <w:rPr>
          <w:rFonts w:ascii="Times New Roman" w:eastAsia="Times New Roman" w:hAnsi="Times New Roman" w:cs="Times New Roman"/>
          <w:sz w:val="24"/>
          <w:szCs w:val="24"/>
          <w:lang w:val="en-US"/>
        </w:rPr>
        <w:t>6</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 xml:space="preserve">Brinkman WB, Baum R, Kelleher KJ, Peugh J, Gardner W, Lichtenstein P, et al. Relationship Between Attention-Deficit/Hyperactivity Disorder Care and Medication Continuity. </w:t>
      </w:r>
      <w:r w:rsidR="005E60C4">
        <w:rPr>
          <w:rFonts w:ascii="Times New Roman" w:eastAsia="Times New Roman" w:hAnsi="Times New Roman" w:cs="Times New Roman"/>
          <w:i/>
          <w:iCs/>
          <w:sz w:val="24"/>
          <w:szCs w:val="24"/>
          <w:lang w:val="en-US"/>
        </w:rPr>
        <w:t>J Am Acad Child Adolesc Psychiatry</w:t>
      </w:r>
      <w:r w:rsidRPr="00BA0373">
        <w:rPr>
          <w:rFonts w:ascii="Times New Roman" w:eastAsia="Times New Roman" w:hAnsi="Times New Roman" w:cs="Times New Roman"/>
          <w:sz w:val="24"/>
          <w:szCs w:val="24"/>
          <w:lang w:val="en-US"/>
        </w:rPr>
        <w:t xml:space="preserve"> 2016;55(4):289-</w:t>
      </w:r>
      <w:r w:rsidR="00E43500">
        <w:rPr>
          <w:rFonts w:ascii="Times New Roman" w:eastAsia="Times New Roman" w:hAnsi="Times New Roman" w:cs="Times New Roman"/>
          <w:sz w:val="24"/>
          <w:szCs w:val="24"/>
          <w:lang w:val="en-US"/>
        </w:rPr>
        <w:t>2</w:t>
      </w:r>
      <w:r w:rsidRPr="00BA0373">
        <w:rPr>
          <w:rFonts w:ascii="Times New Roman" w:eastAsia="Times New Roman" w:hAnsi="Times New Roman" w:cs="Times New Roman"/>
          <w:sz w:val="24"/>
          <w:szCs w:val="24"/>
          <w:lang w:val="en-US"/>
        </w:rPr>
        <w:t>94.</w:t>
      </w:r>
    </w:p>
    <w:p w14:paraId="3E4A0A2F" w14:textId="203A7475"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5</w:t>
      </w:r>
      <w:r w:rsidR="0067766E">
        <w:rPr>
          <w:rFonts w:ascii="Times New Roman" w:eastAsia="Times New Roman" w:hAnsi="Times New Roman" w:cs="Times New Roman"/>
          <w:sz w:val="24"/>
          <w:szCs w:val="24"/>
          <w:lang w:val="en-US"/>
        </w:rPr>
        <w:t>7</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 xml:space="preserve">Stein MA, Sarampote CS, Waldman ID, Robb AS, Conlon C, Pearl PL, et al. A dose-response study of OROS methylphenidate in children with attention-deficit/hyperactivity disorder. </w:t>
      </w:r>
      <w:r w:rsidRPr="005E60C4">
        <w:rPr>
          <w:rFonts w:ascii="Times New Roman" w:eastAsia="Times New Roman" w:hAnsi="Times New Roman" w:cs="Times New Roman"/>
          <w:i/>
          <w:iCs/>
          <w:sz w:val="24"/>
          <w:szCs w:val="24"/>
          <w:lang w:val="en-US"/>
        </w:rPr>
        <w:t>Pediatrics</w:t>
      </w:r>
      <w:r w:rsidRPr="00BA0373">
        <w:rPr>
          <w:rFonts w:ascii="Times New Roman" w:eastAsia="Times New Roman" w:hAnsi="Times New Roman" w:cs="Times New Roman"/>
          <w:sz w:val="24"/>
          <w:szCs w:val="24"/>
          <w:lang w:val="en-US"/>
        </w:rPr>
        <w:t xml:space="preserve"> 2003;112(5):e404.</w:t>
      </w:r>
    </w:p>
    <w:p w14:paraId="39757AB3" w14:textId="7D4A2355"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5</w:t>
      </w:r>
      <w:r w:rsidR="0067766E">
        <w:rPr>
          <w:rFonts w:ascii="Times New Roman" w:eastAsia="Times New Roman" w:hAnsi="Times New Roman" w:cs="Times New Roman"/>
          <w:sz w:val="24"/>
          <w:szCs w:val="24"/>
          <w:lang w:val="en-US"/>
        </w:rPr>
        <w:t>8</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 xml:space="preserve">Rapport MD, Stoner G, DuPaul GJ, Kelly KL, Tucker SB, Schoeler T. Attention deficit disorder and methylphenidate: a multilevel analysis of dose-response effects on children's impulsivity across settings. </w:t>
      </w:r>
      <w:r w:rsidRPr="005E60C4">
        <w:rPr>
          <w:rFonts w:ascii="Times New Roman" w:eastAsia="Times New Roman" w:hAnsi="Times New Roman" w:cs="Times New Roman"/>
          <w:i/>
          <w:iCs/>
          <w:sz w:val="24"/>
          <w:szCs w:val="24"/>
          <w:lang w:val="en-US"/>
        </w:rPr>
        <w:t>J Am Acad Child Adolesc Psychiatry</w:t>
      </w:r>
      <w:r w:rsidRPr="00BA0373">
        <w:rPr>
          <w:rFonts w:ascii="Times New Roman" w:eastAsia="Times New Roman" w:hAnsi="Times New Roman" w:cs="Times New Roman"/>
          <w:sz w:val="24"/>
          <w:szCs w:val="24"/>
          <w:lang w:val="en-US"/>
        </w:rPr>
        <w:t xml:space="preserve"> 1988;27(1):60-</w:t>
      </w:r>
      <w:r w:rsidR="00E43500">
        <w:rPr>
          <w:rFonts w:ascii="Times New Roman" w:eastAsia="Times New Roman" w:hAnsi="Times New Roman" w:cs="Times New Roman"/>
          <w:sz w:val="24"/>
          <w:szCs w:val="24"/>
          <w:lang w:val="en-US"/>
        </w:rPr>
        <w:t>6</w:t>
      </w:r>
      <w:r w:rsidRPr="00BA0373">
        <w:rPr>
          <w:rFonts w:ascii="Times New Roman" w:eastAsia="Times New Roman" w:hAnsi="Times New Roman" w:cs="Times New Roman"/>
          <w:sz w:val="24"/>
          <w:szCs w:val="24"/>
          <w:lang w:val="en-US"/>
        </w:rPr>
        <w:t>9.</w:t>
      </w:r>
    </w:p>
    <w:p w14:paraId="6AF105C2" w14:textId="5B6643F6" w:rsidR="009A4C36" w:rsidRPr="00BA0373" w:rsidRDefault="009A4C36" w:rsidP="009A4C36">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r w:rsidR="0067766E">
        <w:rPr>
          <w:rFonts w:ascii="Times New Roman" w:eastAsia="Times New Roman" w:hAnsi="Times New Roman" w:cs="Times New Roman"/>
          <w:sz w:val="24"/>
          <w:szCs w:val="24"/>
          <w:lang w:val="en-US"/>
        </w:rPr>
        <w:t>9</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 xml:space="preserve">DuPaul GJ, Anastopoulos AD, Kwasnik D, Barkley RA, McMurray MB. Methylphenidate effects on children with attention deficit hyperactivity disorder: Self-report of symptoms, side-effects, and self-esteem. </w:t>
      </w:r>
      <w:r w:rsidR="005E60C4" w:rsidRPr="005E60C4">
        <w:rPr>
          <w:rFonts w:ascii="Times New Roman" w:eastAsia="Times New Roman" w:hAnsi="Times New Roman" w:cs="Times New Roman"/>
          <w:i/>
          <w:iCs/>
          <w:sz w:val="24"/>
          <w:szCs w:val="24"/>
          <w:lang w:val="en-US"/>
        </w:rPr>
        <w:t>J</w:t>
      </w:r>
      <w:r w:rsidRPr="005E60C4">
        <w:rPr>
          <w:rFonts w:ascii="Times New Roman" w:eastAsia="Times New Roman" w:hAnsi="Times New Roman" w:cs="Times New Roman"/>
          <w:i/>
          <w:iCs/>
          <w:sz w:val="24"/>
          <w:szCs w:val="24"/>
          <w:lang w:val="en-US"/>
        </w:rPr>
        <w:t xml:space="preserve"> </w:t>
      </w:r>
      <w:r w:rsidR="005E60C4" w:rsidRPr="005E60C4">
        <w:rPr>
          <w:rFonts w:ascii="Times New Roman" w:eastAsia="Times New Roman" w:hAnsi="Times New Roman" w:cs="Times New Roman"/>
          <w:i/>
          <w:iCs/>
          <w:sz w:val="24"/>
          <w:szCs w:val="24"/>
          <w:lang w:val="en-US"/>
        </w:rPr>
        <w:t>Atten</w:t>
      </w:r>
      <w:r w:rsidRPr="005E60C4">
        <w:rPr>
          <w:rFonts w:ascii="Times New Roman" w:eastAsia="Times New Roman" w:hAnsi="Times New Roman" w:cs="Times New Roman"/>
          <w:i/>
          <w:iCs/>
          <w:sz w:val="24"/>
          <w:szCs w:val="24"/>
          <w:lang w:val="en-US"/>
        </w:rPr>
        <w:t xml:space="preserve"> </w:t>
      </w:r>
      <w:r w:rsidR="005E60C4" w:rsidRPr="005E60C4">
        <w:rPr>
          <w:rFonts w:ascii="Times New Roman" w:eastAsia="Times New Roman" w:hAnsi="Times New Roman" w:cs="Times New Roman"/>
          <w:i/>
          <w:iCs/>
          <w:sz w:val="24"/>
          <w:szCs w:val="24"/>
          <w:lang w:val="en-US"/>
        </w:rPr>
        <w:t>Disord</w:t>
      </w:r>
      <w:r w:rsidRPr="00BA0373">
        <w:rPr>
          <w:rFonts w:ascii="Times New Roman" w:eastAsia="Times New Roman" w:hAnsi="Times New Roman" w:cs="Times New Roman"/>
          <w:sz w:val="24"/>
          <w:szCs w:val="24"/>
          <w:lang w:val="en-US"/>
        </w:rPr>
        <w:t xml:space="preserve"> 1996;1(1):3-15.</w:t>
      </w:r>
    </w:p>
    <w:p w14:paraId="3B76D06C" w14:textId="3CA685E2" w:rsidR="009A4C36" w:rsidRDefault="0067766E" w:rsidP="009A4C36">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60</w:t>
      </w:r>
      <w:r w:rsidR="009A4C36" w:rsidRPr="00BA0373">
        <w:rPr>
          <w:rFonts w:ascii="Times New Roman" w:eastAsia="Times New Roman" w:hAnsi="Times New Roman" w:cs="Times New Roman"/>
          <w:sz w:val="24"/>
          <w:szCs w:val="24"/>
          <w:lang w:val="en-US"/>
        </w:rPr>
        <w:t xml:space="preserve">.   </w:t>
      </w:r>
      <w:r w:rsidR="009A4C36" w:rsidRPr="00BA0373">
        <w:rPr>
          <w:rFonts w:ascii="Times New Roman" w:eastAsia="Times New Roman" w:hAnsi="Times New Roman" w:cs="Times New Roman"/>
          <w:sz w:val="24"/>
          <w:szCs w:val="24"/>
          <w:lang w:val="en-US"/>
        </w:rPr>
        <w:tab/>
        <w:t xml:space="preserve">Barkley RA, DuPaul GJ, McMurray MB. Attention deficit disorder with and without hyperactivity: clinical response to three dose levels of methylphenidate. </w:t>
      </w:r>
      <w:r w:rsidR="009A4C36" w:rsidRPr="005E60C4">
        <w:rPr>
          <w:rFonts w:ascii="Times New Roman" w:eastAsia="Times New Roman" w:hAnsi="Times New Roman" w:cs="Times New Roman"/>
          <w:i/>
          <w:iCs/>
          <w:sz w:val="24"/>
          <w:szCs w:val="24"/>
          <w:lang w:val="en-US"/>
        </w:rPr>
        <w:t>Pediatrics</w:t>
      </w:r>
      <w:r w:rsidR="009A4C36" w:rsidRPr="00BA0373">
        <w:rPr>
          <w:rFonts w:ascii="Times New Roman" w:eastAsia="Times New Roman" w:hAnsi="Times New Roman" w:cs="Times New Roman"/>
          <w:sz w:val="24"/>
          <w:szCs w:val="24"/>
          <w:lang w:val="en-US"/>
        </w:rPr>
        <w:t xml:space="preserve"> 1991;87(4):519-</w:t>
      </w:r>
      <w:r w:rsidR="00E43500">
        <w:rPr>
          <w:rFonts w:ascii="Times New Roman" w:eastAsia="Times New Roman" w:hAnsi="Times New Roman" w:cs="Times New Roman"/>
          <w:sz w:val="24"/>
          <w:szCs w:val="24"/>
          <w:lang w:val="en-US"/>
        </w:rPr>
        <w:t>5</w:t>
      </w:r>
      <w:r w:rsidR="009A4C36" w:rsidRPr="00BA0373">
        <w:rPr>
          <w:rFonts w:ascii="Times New Roman" w:eastAsia="Times New Roman" w:hAnsi="Times New Roman" w:cs="Times New Roman"/>
          <w:sz w:val="24"/>
          <w:szCs w:val="24"/>
          <w:lang w:val="en-US"/>
        </w:rPr>
        <w:t>31.</w:t>
      </w:r>
    </w:p>
    <w:p w14:paraId="58269D45" w14:textId="648E2822" w:rsidR="009A4C36" w:rsidRPr="00BA0373" w:rsidRDefault="009A4C36" w:rsidP="009A4C36">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r w:rsidR="0067766E">
        <w:rPr>
          <w:rFonts w:ascii="Times New Roman" w:eastAsia="Times New Roman" w:hAnsi="Times New Roman" w:cs="Times New Roman"/>
          <w:sz w:val="24"/>
          <w:szCs w:val="24"/>
          <w:lang w:val="en-US"/>
        </w:rPr>
        <w:t>1</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 xml:space="preserve">Kovshoff H, Vrijens M, Thompson M, Yardley L, Hodgkins P, Sonuga-Barke EJ, et al. What influences clinicians' decisions about ADHD medication? Initial data from the Influences on Prescribing for ADHD Questionnaire (IPAQ). </w:t>
      </w:r>
      <w:r w:rsidRPr="005E60C4">
        <w:rPr>
          <w:rFonts w:ascii="Times New Roman" w:eastAsia="Times New Roman" w:hAnsi="Times New Roman" w:cs="Times New Roman"/>
          <w:i/>
          <w:iCs/>
          <w:sz w:val="24"/>
          <w:szCs w:val="24"/>
          <w:lang w:val="en-US"/>
        </w:rPr>
        <w:t>Eur Child Adolesc Psychiatry</w:t>
      </w:r>
      <w:r w:rsidRPr="00BA0373">
        <w:rPr>
          <w:rFonts w:ascii="Times New Roman" w:eastAsia="Times New Roman" w:hAnsi="Times New Roman" w:cs="Times New Roman"/>
          <w:sz w:val="24"/>
          <w:szCs w:val="24"/>
          <w:lang w:val="en-US"/>
        </w:rPr>
        <w:t xml:space="preserve"> 2013;22(9):533-</w:t>
      </w:r>
      <w:r w:rsidR="00E43500">
        <w:rPr>
          <w:rFonts w:ascii="Times New Roman" w:eastAsia="Times New Roman" w:hAnsi="Times New Roman" w:cs="Times New Roman"/>
          <w:sz w:val="24"/>
          <w:szCs w:val="24"/>
          <w:lang w:val="en-US"/>
        </w:rPr>
        <w:t>5</w:t>
      </w:r>
      <w:r w:rsidRPr="00BA0373">
        <w:rPr>
          <w:rFonts w:ascii="Times New Roman" w:eastAsia="Times New Roman" w:hAnsi="Times New Roman" w:cs="Times New Roman"/>
          <w:sz w:val="24"/>
          <w:szCs w:val="24"/>
          <w:lang w:val="en-US"/>
        </w:rPr>
        <w:t>42.</w:t>
      </w:r>
    </w:p>
    <w:p w14:paraId="5C6C3855" w14:textId="00AC1429"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6</w:t>
      </w:r>
      <w:r w:rsidR="0067766E">
        <w:rPr>
          <w:rFonts w:ascii="Times New Roman" w:eastAsia="Times New Roman" w:hAnsi="Times New Roman" w:cs="Times New Roman"/>
          <w:sz w:val="24"/>
          <w:szCs w:val="24"/>
          <w:lang w:val="en-US"/>
        </w:rPr>
        <w:t>2</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 xml:space="preserve">Cortese S, Holtmann M, Banaschewski T, Buitelaar J, Coghill D, Danckaerts M, et al. Practitioner review: current best practice in the management of adverse events during treatment with ADHD medications in children and adolescents. </w:t>
      </w:r>
      <w:r w:rsidRPr="005E60C4">
        <w:rPr>
          <w:rFonts w:ascii="Times New Roman" w:eastAsia="Times New Roman" w:hAnsi="Times New Roman" w:cs="Times New Roman"/>
          <w:i/>
          <w:iCs/>
          <w:sz w:val="24"/>
          <w:szCs w:val="24"/>
          <w:lang w:val="en-US"/>
        </w:rPr>
        <w:t>J Child Psychol Psychiatry</w:t>
      </w:r>
      <w:r w:rsidRPr="00BA0373">
        <w:rPr>
          <w:rFonts w:ascii="Times New Roman" w:eastAsia="Times New Roman" w:hAnsi="Times New Roman" w:cs="Times New Roman"/>
          <w:sz w:val="24"/>
          <w:szCs w:val="24"/>
          <w:lang w:val="en-US"/>
        </w:rPr>
        <w:t xml:space="preserve"> 2013;54(3):227-</w:t>
      </w:r>
      <w:r w:rsidR="00E43500">
        <w:rPr>
          <w:rFonts w:ascii="Times New Roman" w:eastAsia="Times New Roman" w:hAnsi="Times New Roman" w:cs="Times New Roman"/>
          <w:sz w:val="24"/>
          <w:szCs w:val="24"/>
          <w:lang w:val="en-US"/>
        </w:rPr>
        <w:t>2</w:t>
      </w:r>
      <w:r w:rsidRPr="00BA0373">
        <w:rPr>
          <w:rFonts w:ascii="Times New Roman" w:eastAsia="Times New Roman" w:hAnsi="Times New Roman" w:cs="Times New Roman"/>
          <w:sz w:val="24"/>
          <w:szCs w:val="24"/>
          <w:lang w:val="en-US"/>
        </w:rPr>
        <w:t>46.</w:t>
      </w:r>
    </w:p>
    <w:p w14:paraId="3EB9EDAB" w14:textId="448014D5" w:rsidR="009A4C36"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6</w:t>
      </w:r>
      <w:r w:rsidR="0067766E">
        <w:rPr>
          <w:rFonts w:ascii="Times New Roman" w:eastAsia="Times New Roman" w:hAnsi="Times New Roman" w:cs="Times New Roman"/>
          <w:sz w:val="24"/>
          <w:szCs w:val="24"/>
          <w:lang w:val="en-US"/>
        </w:rPr>
        <w:t>3</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 xml:space="preserve">Brinkman WB, Simon JO, Epstein JN. Reasons Why Children and Adolescents With Attention-Deficit/Hyperactivity Disorder Stop and Restart Taking Medicine. </w:t>
      </w:r>
      <w:r w:rsidRPr="005E60C4">
        <w:rPr>
          <w:rFonts w:ascii="Times New Roman" w:eastAsia="Times New Roman" w:hAnsi="Times New Roman" w:cs="Times New Roman"/>
          <w:i/>
          <w:iCs/>
          <w:sz w:val="24"/>
          <w:szCs w:val="24"/>
          <w:lang w:val="en-US"/>
        </w:rPr>
        <w:t>Acad Pediatr</w:t>
      </w:r>
      <w:r w:rsidRPr="00BA0373">
        <w:rPr>
          <w:rFonts w:ascii="Times New Roman" w:eastAsia="Times New Roman" w:hAnsi="Times New Roman" w:cs="Times New Roman"/>
          <w:sz w:val="24"/>
          <w:szCs w:val="24"/>
          <w:lang w:val="en-US"/>
        </w:rPr>
        <w:t xml:space="preserve"> 2018;18(3):273-</w:t>
      </w:r>
      <w:r w:rsidR="00E43500">
        <w:rPr>
          <w:rFonts w:ascii="Times New Roman" w:eastAsia="Times New Roman" w:hAnsi="Times New Roman" w:cs="Times New Roman"/>
          <w:sz w:val="24"/>
          <w:szCs w:val="24"/>
          <w:lang w:val="en-US"/>
        </w:rPr>
        <w:t>2</w:t>
      </w:r>
      <w:r w:rsidRPr="00BA0373">
        <w:rPr>
          <w:rFonts w:ascii="Times New Roman" w:eastAsia="Times New Roman" w:hAnsi="Times New Roman" w:cs="Times New Roman"/>
          <w:sz w:val="24"/>
          <w:szCs w:val="24"/>
          <w:lang w:val="en-US"/>
        </w:rPr>
        <w:t>80.</w:t>
      </w:r>
    </w:p>
    <w:p w14:paraId="7DDF9C53" w14:textId="5F39B921"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6</w:t>
      </w:r>
      <w:r w:rsidR="0067766E">
        <w:rPr>
          <w:rFonts w:ascii="Times New Roman" w:eastAsia="Times New Roman" w:hAnsi="Times New Roman" w:cs="Times New Roman"/>
          <w:sz w:val="24"/>
          <w:szCs w:val="24"/>
          <w:lang w:val="en-US"/>
        </w:rPr>
        <w:t>4</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 xml:space="preserve">Vitiello B, Severe JB, Greenhill LL, Arnold LE, Abikoff HB, Bukstein OG, et al. Methylphenidate dosage for children with ADHD over time under controlled conditions: lessons from the MTA. </w:t>
      </w:r>
      <w:r w:rsidRPr="005E60C4">
        <w:rPr>
          <w:rFonts w:ascii="Times New Roman" w:eastAsia="Times New Roman" w:hAnsi="Times New Roman" w:cs="Times New Roman"/>
          <w:i/>
          <w:iCs/>
          <w:sz w:val="24"/>
          <w:szCs w:val="24"/>
          <w:lang w:val="en-US"/>
        </w:rPr>
        <w:t>J Am Acad Child Adolesc Psychiatr</w:t>
      </w:r>
      <w:r w:rsidR="005E60C4">
        <w:rPr>
          <w:rFonts w:ascii="Times New Roman" w:eastAsia="Times New Roman" w:hAnsi="Times New Roman" w:cs="Times New Roman"/>
          <w:i/>
          <w:iCs/>
          <w:sz w:val="24"/>
          <w:szCs w:val="24"/>
          <w:lang w:val="en-US"/>
        </w:rPr>
        <w:t>y</w:t>
      </w:r>
      <w:r w:rsidRPr="00BA0373">
        <w:rPr>
          <w:rFonts w:ascii="Times New Roman" w:eastAsia="Times New Roman" w:hAnsi="Times New Roman" w:cs="Times New Roman"/>
          <w:sz w:val="24"/>
          <w:szCs w:val="24"/>
          <w:lang w:val="en-US"/>
        </w:rPr>
        <w:t xml:space="preserve"> 2001;40(2):188-</w:t>
      </w:r>
      <w:r w:rsidR="005E60C4">
        <w:rPr>
          <w:rFonts w:ascii="Times New Roman" w:eastAsia="Times New Roman" w:hAnsi="Times New Roman" w:cs="Times New Roman"/>
          <w:sz w:val="24"/>
          <w:szCs w:val="24"/>
          <w:lang w:val="en-US"/>
        </w:rPr>
        <w:t>1</w:t>
      </w:r>
      <w:r w:rsidRPr="00BA0373">
        <w:rPr>
          <w:rFonts w:ascii="Times New Roman" w:eastAsia="Times New Roman" w:hAnsi="Times New Roman" w:cs="Times New Roman"/>
          <w:sz w:val="24"/>
          <w:szCs w:val="24"/>
          <w:lang w:val="en-US"/>
        </w:rPr>
        <w:t>96.</w:t>
      </w:r>
    </w:p>
    <w:p w14:paraId="067D08E1" w14:textId="7A5C419D"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6</w:t>
      </w:r>
      <w:r w:rsidR="0067766E">
        <w:rPr>
          <w:rFonts w:ascii="Times New Roman" w:eastAsia="Times New Roman" w:hAnsi="Times New Roman" w:cs="Times New Roman"/>
          <w:sz w:val="24"/>
          <w:szCs w:val="24"/>
          <w:lang w:val="en-US"/>
        </w:rPr>
        <w:t>5</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 xml:space="preserve">Greenhill LL, Swanson JM, Hechtman L, Waxmonsky J, Arnold LE, Molina BSG, et al. Trajectories of Growth Associated With Long-Term Stimulant Medication in the Multimodal Treatment Study of Attention-Deficit/Hyperactivity Disorder. </w:t>
      </w:r>
      <w:r w:rsidRPr="00E43500">
        <w:rPr>
          <w:rFonts w:ascii="Times New Roman" w:eastAsia="Times New Roman" w:hAnsi="Times New Roman" w:cs="Times New Roman"/>
          <w:i/>
          <w:iCs/>
          <w:sz w:val="24"/>
          <w:szCs w:val="24"/>
          <w:lang w:val="en-US"/>
        </w:rPr>
        <w:t>J Am Acad Child Adolesc Psychiatr</w:t>
      </w:r>
      <w:r w:rsidR="00E43500" w:rsidRPr="00E43500">
        <w:rPr>
          <w:rFonts w:ascii="Times New Roman" w:eastAsia="Times New Roman" w:hAnsi="Times New Roman" w:cs="Times New Roman"/>
          <w:i/>
          <w:iCs/>
          <w:sz w:val="24"/>
          <w:szCs w:val="24"/>
          <w:lang w:val="en-US"/>
        </w:rPr>
        <w:t>y</w:t>
      </w:r>
      <w:r w:rsidRPr="00BA0373">
        <w:rPr>
          <w:rFonts w:ascii="Times New Roman" w:eastAsia="Times New Roman" w:hAnsi="Times New Roman" w:cs="Times New Roman"/>
          <w:sz w:val="24"/>
          <w:szCs w:val="24"/>
          <w:lang w:val="en-US"/>
        </w:rPr>
        <w:t xml:space="preserve"> 20</w:t>
      </w:r>
      <w:r w:rsidR="00E43500">
        <w:rPr>
          <w:rFonts w:ascii="Times New Roman" w:eastAsia="Times New Roman" w:hAnsi="Times New Roman" w:cs="Times New Roman"/>
          <w:sz w:val="24"/>
          <w:szCs w:val="24"/>
          <w:lang w:val="en-US"/>
        </w:rPr>
        <w:t>20;59(8):978-989.</w:t>
      </w:r>
    </w:p>
    <w:p w14:paraId="05CA426F" w14:textId="7774AED7" w:rsidR="009A4C36" w:rsidRPr="00BA0373" w:rsidRDefault="009A4C36" w:rsidP="009A4C36">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r w:rsidR="0067766E">
        <w:rPr>
          <w:rFonts w:ascii="Times New Roman" w:eastAsia="Times New Roman" w:hAnsi="Times New Roman" w:cs="Times New Roman"/>
          <w:sz w:val="24"/>
          <w:szCs w:val="24"/>
          <w:lang w:val="en-US"/>
        </w:rPr>
        <w:t>6</w:t>
      </w:r>
      <w:r>
        <w:rPr>
          <w:rFonts w:ascii="Times New Roman" w:eastAsia="Times New Roman" w:hAnsi="Times New Roman" w:cs="Times New Roman"/>
          <w:sz w:val="24"/>
          <w:szCs w:val="24"/>
          <w:lang w:val="en-US"/>
        </w:rPr>
        <w:t>.</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 xml:space="preserve">Vitiello B, Elliott GR, Swanson JM, Arnold LE, Hechtman L, Abikoff H, et al. Blood pressure and heart rate over 10 years in the multimodal treatment study of children with ADHD. </w:t>
      </w:r>
      <w:r w:rsidRPr="00E43500">
        <w:rPr>
          <w:rFonts w:ascii="Times New Roman" w:eastAsia="Times New Roman" w:hAnsi="Times New Roman" w:cs="Times New Roman"/>
          <w:i/>
          <w:iCs/>
          <w:sz w:val="24"/>
          <w:szCs w:val="24"/>
          <w:lang w:val="en-US"/>
        </w:rPr>
        <w:t>Am J Psychiatry</w:t>
      </w:r>
      <w:r w:rsidRPr="00BA0373">
        <w:rPr>
          <w:rFonts w:ascii="Times New Roman" w:eastAsia="Times New Roman" w:hAnsi="Times New Roman" w:cs="Times New Roman"/>
          <w:sz w:val="24"/>
          <w:szCs w:val="24"/>
          <w:lang w:val="en-US"/>
        </w:rPr>
        <w:t xml:space="preserve"> 2012;169(2):167-</w:t>
      </w:r>
      <w:r w:rsidR="00E43500">
        <w:rPr>
          <w:rFonts w:ascii="Times New Roman" w:eastAsia="Times New Roman" w:hAnsi="Times New Roman" w:cs="Times New Roman"/>
          <w:sz w:val="24"/>
          <w:szCs w:val="24"/>
          <w:lang w:val="en-US"/>
        </w:rPr>
        <w:t>1</w:t>
      </w:r>
      <w:r w:rsidRPr="00BA0373">
        <w:rPr>
          <w:rFonts w:ascii="Times New Roman" w:eastAsia="Times New Roman" w:hAnsi="Times New Roman" w:cs="Times New Roman"/>
          <w:sz w:val="24"/>
          <w:szCs w:val="24"/>
          <w:lang w:val="en-US"/>
        </w:rPr>
        <w:t>77.</w:t>
      </w:r>
    </w:p>
    <w:p w14:paraId="3B63539F" w14:textId="1C4E0078"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6</w:t>
      </w:r>
      <w:r w:rsidR="0067766E">
        <w:rPr>
          <w:rFonts w:ascii="Times New Roman" w:eastAsia="Times New Roman" w:hAnsi="Times New Roman" w:cs="Times New Roman"/>
          <w:sz w:val="24"/>
          <w:szCs w:val="24"/>
          <w:lang w:val="en-US"/>
        </w:rPr>
        <w:t>7</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 xml:space="preserve">Wong ICK, Banaschewski T, Buitelaar J, Cortese S, Döpfner M, Simonoff E, et al. Emerging challenges in pharmacotherapy research on attention-deficit hyperactivity disorder-outcome measures beyond symptom control and clinical trials. </w:t>
      </w:r>
      <w:r w:rsidRPr="00E43500">
        <w:rPr>
          <w:rFonts w:ascii="Times New Roman" w:eastAsia="Times New Roman" w:hAnsi="Times New Roman" w:cs="Times New Roman"/>
          <w:i/>
          <w:iCs/>
          <w:sz w:val="24"/>
          <w:szCs w:val="24"/>
          <w:lang w:val="en-US"/>
        </w:rPr>
        <w:t>Lancet Psychiatry</w:t>
      </w:r>
      <w:r w:rsidRPr="00BA0373">
        <w:rPr>
          <w:rFonts w:ascii="Times New Roman" w:eastAsia="Times New Roman" w:hAnsi="Times New Roman" w:cs="Times New Roman"/>
          <w:sz w:val="24"/>
          <w:szCs w:val="24"/>
          <w:lang w:val="en-US"/>
        </w:rPr>
        <w:t xml:space="preserve"> 2019;6(6):528-</w:t>
      </w:r>
      <w:r w:rsidR="00E43500">
        <w:rPr>
          <w:rFonts w:ascii="Times New Roman" w:eastAsia="Times New Roman" w:hAnsi="Times New Roman" w:cs="Times New Roman"/>
          <w:sz w:val="24"/>
          <w:szCs w:val="24"/>
          <w:lang w:val="en-US"/>
        </w:rPr>
        <w:t>5</w:t>
      </w:r>
      <w:r w:rsidRPr="00BA0373">
        <w:rPr>
          <w:rFonts w:ascii="Times New Roman" w:eastAsia="Times New Roman" w:hAnsi="Times New Roman" w:cs="Times New Roman"/>
          <w:sz w:val="24"/>
          <w:szCs w:val="24"/>
          <w:lang w:val="en-US"/>
        </w:rPr>
        <w:t>37.</w:t>
      </w:r>
    </w:p>
    <w:p w14:paraId="6C8BD68C" w14:textId="53AFDA14" w:rsidR="009A4C36" w:rsidRPr="00BA0373" w:rsidRDefault="009A4C36" w:rsidP="009A4C36">
      <w:pPr>
        <w:spacing w:line="480" w:lineRule="auto"/>
        <w:rPr>
          <w:rFonts w:ascii="Times New Roman" w:eastAsia="Times New Roman" w:hAnsi="Times New Roman" w:cs="Times New Roman"/>
          <w:sz w:val="24"/>
          <w:szCs w:val="24"/>
          <w:lang w:val="en-US"/>
        </w:rPr>
      </w:pPr>
      <w:r w:rsidRPr="00BA0373">
        <w:rPr>
          <w:rFonts w:ascii="Times New Roman" w:eastAsia="Times New Roman" w:hAnsi="Times New Roman" w:cs="Times New Roman"/>
          <w:sz w:val="24"/>
          <w:szCs w:val="24"/>
          <w:lang w:val="en-US"/>
        </w:rPr>
        <w:t>6</w:t>
      </w:r>
      <w:r w:rsidR="0067766E">
        <w:rPr>
          <w:rFonts w:ascii="Times New Roman" w:eastAsia="Times New Roman" w:hAnsi="Times New Roman" w:cs="Times New Roman"/>
          <w:sz w:val="24"/>
          <w:szCs w:val="24"/>
          <w:lang w:val="en-US"/>
        </w:rPr>
        <w:t>8</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 xml:space="preserve">Cortese S, Novins DK. Editorial: Why JAACAP Published an "Inconclusive" Trial: Optimize, Optimize, Optimize Psychostimulant Treatment. </w:t>
      </w:r>
      <w:r w:rsidRPr="00E43500">
        <w:rPr>
          <w:rFonts w:ascii="Times New Roman" w:eastAsia="Times New Roman" w:hAnsi="Times New Roman" w:cs="Times New Roman"/>
          <w:i/>
          <w:iCs/>
          <w:sz w:val="24"/>
          <w:szCs w:val="24"/>
          <w:lang w:val="en-US"/>
        </w:rPr>
        <w:t>J Am Acad Child Adolesc Psychiatry</w:t>
      </w:r>
      <w:r w:rsidRPr="00BA0373">
        <w:rPr>
          <w:rFonts w:ascii="Times New Roman" w:eastAsia="Times New Roman" w:hAnsi="Times New Roman" w:cs="Times New Roman"/>
          <w:sz w:val="24"/>
          <w:szCs w:val="24"/>
          <w:lang w:val="en-US"/>
        </w:rPr>
        <w:t xml:space="preserve"> 202</w:t>
      </w:r>
      <w:r w:rsidR="00E43500">
        <w:rPr>
          <w:rFonts w:ascii="Times New Roman" w:eastAsia="Times New Roman" w:hAnsi="Times New Roman" w:cs="Times New Roman"/>
          <w:sz w:val="24"/>
          <w:szCs w:val="24"/>
          <w:lang w:val="en-US"/>
        </w:rPr>
        <w:t>1;60(2):213-215.</w:t>
      </w:r>
    </w:p>
    <w:p w14:paraId="048EC852" w14:textId="275BA798" w:rsidR="00D3277A" w:rsidRDefault="009A4C36" w:rsidP="0012522B">
      <w:pPr>
        <w:spacing w:line="480" w:lineRule="auto"/>
        <w:rPr>
          <w:rFonts w:ascii="Times New Roman" w:eastAsia="Times New Roman" w:hAnsi="Times New Roman" w:cs="Times New Roman"/>
          <w:sz w:val="24"/>
          <w:szCs w:val="24"/>
          <w:lang w:val="en-US"/>
        </w:rPr>
        <w:sectPr w:rsidR="00D3277A" w:rsidSect="001D7EC9">
          <w:pgSz w:w="11909" w:h="16834"/>
          <w:pgMar w:top="1440" w:right="1440" w:bottom="1440" w:left="1440" w:header="720" w:footer="720" w:gutter="0"/>
          <w:cols w:space="720"/>
          <w:docGrid w:linePitch="299"/>
        </w:sectPr>
      </w:pPr>
      <w:r w:rsidRPr="00BA0373">
        <w:rPr>
          <w:rFonts w:ascii="Times New Roman" w:eastAsia="Times New Roman" w:hAnsi="Times New Roman" w:cs="Times New Roman"/>
          <w:sz w:val="24"/>
          <w:szCs w:val="24"/>
          <w:lang w:val="en-US"/>
        </w:rPr>
        <w:t>6</w:t>
      </w:r>
      <w:r w:rsidR="0067766E">
        <w:rPr>
          <w:rFonts w:ascii="Times New Roman" w:eastAsia="Times New Roman" w:hAnsi="Times New Roman" w:cs="Times New Roman"/>
          <w:sz w:val="24"/>
          <w:szCs w:val="24"/>
          <w:lang w:val="en-US"/>
        </w:rPr>
        <w:t>9</w:t>
      </w:r>
      <w:r w:rsidRPr="00BA0373">
        <w:rPr>
          <w:rFonts w:ascii="Times New Roman" w:eastAsia="Times New Roman" w:hAnsi="Times New Roman" w:cs="Times New Roman"/>
          <w:sz w:val="24"/>
          <w:szCs w:val="24"/>
          <w:lang w:val="en-US"/>
        </w:rPr>
        <w:t xml:space="preserve">.   </w:t>
      </w:r>
      <w:r w:rsidRPr="00BA0373">
        <w:rPr>
          <w:rFonts w:ascii="Times New Roman" w:eastAsia="Times New Roman" w:hAnsi="Times New Roman" w:cs="Times New Roman"/>
          <w:sz w:val="24"/>
          <w:szCs w:val="24"/>
          <w:lang w:val="en-US"/>
        </w:rPr>
        <w:tab/>
        <w:t xml:space="preserve">Blader JC, Pliszka SR, Kafantaris V, Foley CA, Carlson GA, Crowell JA, et al. Stepped Treatment for Attention-Deficit/Hyperactivity Disorder and Aggressive Behavior: A Randomized, Controlled Trial of Adjunctive Risperidone, Divalproex Sodium, or Placebo After Stimulant Medication Optimization. </w:t>
      </w:r>
      <w:r w:rsidRPr="00E43500">
        <w:rPr>
          <w:rFonts w:ascii="Times New Roman" w:eastAsia="Times New Roman" w:hAnsi="Times New Roman" w:cs="Times New Roman"/>
          <w:i/>
          <w:iCs/>
          <w:sz w:val="24"/>
          <w:szCs w:val="24"/>
          <w:lang w:val="en-US"/>
        </w:rPr>
        <w:t>J Am Acad Child Adolesc Psychiatry</w:t>
      </w:r>
      <w:r w:rsidRPr="00BA0373">
        <w:rPr>
          <w:rFonts w:ascii="Times New Roman" w:eastAsia="Times New Roman" w:hAnsi="Times New Roman" w:cs="Times New Roman"/>
          <w:sz w:val="24"/>
          <w:szCs w:val="24"/>
          <w:lang w:val="en-US"/>
        </w:rPr>
        <w:t xml:space="preserve"> 202</w:t>
      </w:r>
      <w:r w:rsidR="00E43500">
        <w:rPr>
          <w:rFonts w:ascii="Times New Roman" w:eastAsia="Times New Roman" w:hAnsi="Times New Roman" w:cs="Times New Roman"/>
          <w:sz w:val="24"/>
          <w:szCs w:val="24"/>
          <w:lang w:val="en-US"/>
        </w:rPr>
        <w:t>1;60(2):236-251.</w:t>
      </w:r>
    </w:p>
    <w:p w14:paraId="0000013F" w14:textId="77777777" w:rsidR="00252EC4" w:rsidRPr="00BA0373" w:rsidRDefault="003222AB" w:rsidP="0012522B">
      <w:pPr>
        <w:spacing w:line="480" w:lineRule="auto"/>
        <w:rPr>
          <w:rFonts w:ascii="Times New Roman" w:hAnsi="Times New Roman" w:cs="Times New Roman"/>
          <w:b/>
          <w:sz w:val="24"/>
          <w:szCs w:val="24"/>
          <w:lang w:val="en-US"/>
        </w:rPr>
      </w:pPr>
      <w:r w:rsidRPr="00BA0373">
        <w:rPr>
          <w:rFonts w:ascii="Times New Roman" w:hAnsi="Times New Roman" w:cs="Times New Roman"/>
          <w:b/>
          <w:sz w:val="24"/>
          <w:szCs w:val="24"/>
          <w:lang w:val="en-US"/>
        </w:rPr>
        <w:t>FIGURES</w:t>
      </w:r>
    </w:p>
    <w:p w14:paraId="00000140" w14:textId="64F1C8D6" w:rsidR="00252EC4" w:rsidRPr="00BA0373" w:rsidRDefault="003222AB" w:rsidP="0012522B">
      <w:pPr>
        <w:spacing w:line="480" w:lineRule="auto"/>
        <w:ind w:right="-500"/>
        <w:rPr>
          <w:rFonts w:ascii="Times New Roman" w:hAnsi="Times New Roman" w:cs="Times New Roman"/>
          <w:sz w:val="24"/>
          <w:szCs w:val="24"/>
          <w:lang w:val="en-US"/>
        </w:rPr>
      </w:pPr>
      <w:r w:rsidRPr="00BA0373">
        <w:rPr>
          <w:rFonts w:ascii="Times New Roman" w:hAnsi="Times New Roman" w:cs="Times New Roman"/>
          <w:b/>
          <w:sz w:val="24"/>
          <w:szCs w:val="24"/>
          <w:lang w:val="en-US"/>
        </w:rPr>
        <w:t xml:space="preserve">Figure 1.  Dose-response curves for methylphenidate (panels A to C) and amphetamine (panels D to F) products. </w:t>
      </w:r>
      <w:r w:rsidRPr="00BA0373">
        <w:rPr>
          <w:rFonts w:ascii="Times New Roman" w:hAnsi="Times New Roman" w:cs="Times New Roman"/>
          <w:sz w:val="24"/>
          <w:szCs w:val="24"/>
          <w:lang w:val="en-US"/>
        </w:rPr>
        <w:t>Curves represent average effect sizes for efficacy (panels A and D), tolerability (panels B and E) and acceptability (panels C and F) and equivalent doses for methylphenidate (MPH) and amphetamine (AMP) for fixed-dose (solid, blue) and flexible-dose (dashed, red) studies. Point estimates are represented with 95% confidence intervals for every 10 mg of MPH- or AMP-equivalents.</w:t>
      </w:r>
      <w:r w:rsidR="00BD78C1">
        <w:rPr>
          <w:rFonts w:ascii="Times New Roman" w:hAnsi="Times New Roman" w:cs="Times New Roman"/>
          <w:sz w:val="24"/>
          <w:szCs w:val="24"/>
          <w:lang w:val="en-US"/>
        </w:rPr>
        <w:t xml:space="preserve"> The arrow in the Y-axis represents the direction towards added benefits.</w:t>
      </w:r>
    </w:p>
    <w:p w14:paraId="00000141" w14:textId="77777777" w:rsidR="00252EC4" w:rsidRPr="00BA0373" w:rsidRDefault="00252EC4" w:rsidP="0012522B">
      <w:pPr>
        <w:spacing w:line="480" w:lineRule="auto"/>
        <w:ind w:right="-500"/>
        <w:rPr>
          <w:rFonts w:ascii="Times New Roman" w:hAnsi="Times New Roman" w:cs="Times New Roman"/>
          <w:sz w:val="24"/>
          <w:szCs w:val="24"/>
          <w:lang w:val="en-US"/>
        </w:rPr>
      </w:pPr>
    </w:p>
    <w:p w14:paraId="00000142" w14:textId="77777777" w:rsidR="00252EC4" w:rsidRPr="00BA0373" w:rsidRDefault="003222AB" w:rsidP="0012522B">
      <w:pPr>
        <w:spacing w:line="480" w:lineRule="auto"/>
        <w:ind w:right="-500"/>
        <w:rPr>
          <w:rFonts w:ascii="Times New Roman" w:hAnsi="Times New Roman" w:cs="Times New Roman"/>
          <w:sz w:val="24"/>
          <w:szCs w:val="24"/>
          <w:lang w:val="en-US"/>
        </w:rPr>
      </w:pPr>
      <w:r w:rsidRPr="00BA0373">
        <w:rPr>
          <w:rFonts w:ascii="Times New Roman" w:hAnsi="Times New Roman" w:cs="Times New Roman"/>
          <w:b/>
          <w:sz w:val="24"/>
          <w:szCs w:val="24"/>
          <w:lang w:val="en-US"/>
        </w:rPr>
        <w:t>Figure 2. Indirect comparisons of flexible-dose versus low fixed-dose studies</w:t>
      </w:r>
      <w:r w:rsidRPr="00BA0373">
        <w:rPr>
          <w:rFonts w:ascii="Times New Roman" w:hAnsi="Times New Roman" w:cs="Times New Roman"/>
          <w:sz w:val="24"/>
          <w:szCs w:val="24"/>
          <w:lang w:val="en-US"/>
        </w:rPr>
        <w:t>. Forest plots illustrate differences in standardized mean difference (DSMDs) of efficacy and ratio of odds ratio (ROR) of tolerability and acceptability with 95% confidence intervals (CI) for methylphenidate (MPH) and amphetamine (AMP) of flexible-dose studies over smaller fixed-doses. For MPH, 30 mg, 40 mg and 50 mg of MPH-equivalents were used as threshold. For AMP, 20 mg and 30 mg of AMP-equivalents were used as threshold</w:t>
      </w:r>
    </w:p>
    <w:p w14:paraId="00000143" w14:textId="77777777" w:rsidR="00252EC4" w:rsidRPr="00BA0373" w:rsidRDefault="00252EC4" w:rsidP="0012522B">
      <w:pPr>
        <w:spacing w:line="480" w:lineRule="auto"/>
        <w:rPr>
          <w:rFonts w:ascii="Times New Roman" w:hAnsi="Times New Roman" w:cs="Times New Roman"/>
          <w:sz w:val="24"/>
          <w:szCs w:val="24"/>
          <w:lang w:val="en-US"/>
        </w:rPr>
      </w:pPr>
    </w:p>
    <w:p w14:paraId="00000144" w14:textId="77777777" w:rsidR="00252EC4" w:rsidRPr="00BA0373" w:rsidRDefault="00252EC4" w:rsidP="0012522B">
      <w:pPr>
        <w:spacing w:line="480" w:lineRule="auto"/>
        <w:rPr>
          <w:rFonts w:ascii="Times New Roman" w:hAnsi="Times New Roman" w:cs="Times New Roman"/>
          <w:sz w:val="24"/>
          <w:szCs w:val="24"/>
          <w:lang w:val="en-US"/>
        </w:rPr>
      </w:pPr>
    </w:p>
    <w:p w14:paraId="00000145" w14:textId="77777777" w:rsidR="00252EC4" w:rsidRPr="00BA0373" w:rsidRDefault="00252EC4" w:rsidP="0012522B">
      <w:pPr>
        <w:spacing w:line="480" w:lineRule="auto"/>
        <w:rPr>
          <w:rFonts w:ascii="Times New Roman" w:hAnsi="Times New Roman" w:cs="Times New Roman"/>
          <w:sz w:val="24"/>
          <w:szCs w:val="24"/>
          <w:lang w:val="en-US"/>
        </w:rPr>
      </w:pPr>
    </w:p>
    <w:p w14:paraId="00000146" w14:textId="77777777" w:rsidR="00252EC4" w:rsidRPr="00BA0373" w:rsidRDefault="00252EC4" w:rsidP="0012522B">
      <w:pPr>
        <w:spacing w:line="480" w:lineRule="auto"/>
        <w:rPr>
          <w:rFonts w:ascii="Times New Roman" w:hAnsi="Times New Roman" w:cs="Times New Roman"/>
          <w:sz w:val="24"/>
          <w:szCs w:val="24"/>
          <w:lang w:val="en-US"/>
        </w:rPr>
      </w:pPr>
    </w:p>
    <w:p w14:paraId="00000147" w14:textId="77777777" w:rsidR="00252EC4" w:rsidRPr="00BA0373" w:rsidRDefault="00252EC4" w:rsidP="0012522B">
      <w:pPr>
        <w:spacing w:line="480" w:lineRule="auto"/>
        <w:rPr>
          <w:rFonts w:ascii="Times New Roman" w:hAnsi="Times New Roman" w:cs="Times New Roman"/>
          <w:sz w:val="24"/>
          <w:szCs w:val="24"/>
          <w:lang w:val="en-US"/>
        </w:rPr>
      </w:pPr>
    </w:p>
    <w:p w14:paraId="00000152" w14:textId="77777777" w:rsidR="00252EC4" w:rsidRPr="00BA0373" w:rsidRDefault="00252EC4" w:rsidP="0012522B">
      <w:pPr>
        <w:spacing w:line="480" w:lineRule="auto"/>
        <w:rPr>
          <w:rFonts w:ascii="Times New Roman" w:hAnsi="Times New Roman" w:cs="Times New Roman"/>
          <w:sz w:val="24"/>
          <w:szCs w:val="24"/>
          <w:lang w:val="en-US"/>
        </w:rPr>
      </w:pPr>
    </w:p>
    <w:p w14:paraId="00000153" w14:textId="77777777" w:rsidR="00252EC4" w:rsidRPr="00BA0373" w:rsidRDefault="00252EC4" w:rsidP="0012522B">
      <w:pPr>
        <w:spacing w:line="480" w:lineRule="auto"/>
        <w:rPr>
          <w:rFonts w:ascii="Times New Roman" w:hAnsi="Times New Roman" w:cs="Times New Roman"/>
          <w:sz w:val="24"/>
          <w:szCs w:val="24"/>
          <w:lang w:val="en-US"/>
        </w:rPr>
      </w:pPr>
    </w:p>
    <w:p w14:paraId="00000154" w14:textId="77777777" w:rsidR="00252EC4" w:rsidRPr="00BA0373" w:rsidRDefault="00252EC4" w:rsidP="0012522B">
      <w:pPr>
        <w:spacing w:line="480" w:lineRule="auto"/>
        <w:rPr>
          <w:rFonts w:ascii="Times New Roman" w:hAnsi="Times New Roman" w:cs="Times New Roman"/>
          <w:sz w:val="24"/>
          <w:szCs w:val="24"/>
          <w:lang w:val="en-US"/>
        </w:rPr>
      </w:pPr>
    </w:p>
    <w:p w14:paraId="00000155" w14:textId="77777777" w:rsidR="00252EC4" w:rsidRPr="00BA0373" w:rsidRDefault="00252EC4" w:rsidP="0012522B">
      <w:pPr>
        <w:spacing w:line="480" w:lineRule="auto"/>
        <w:rPr>
          <w:rFonts w:ascii="Times New Roman" w:hAnsi="Times New Roman" w:cs="Times New Roman"/>
          <w:sz w:val="24"/>
          <w:szCs w:val="24"/>
          <w:lang w:val="en-US"/>
        </w:rPr>
      </w:pPr>
    </w:p>
    <w:p w14:paraId="00000157" w14:textId="77777777" w:rsidR="00252EC4" w:rsidRPr="00BA0373" w:rsidRDefault="00252EC4" w:rsidP="0012522B">
      <w:pPr>
        <w:spacing w:line="480" w:lineRule="auto"/>
        <w:rPr>
          <w:rFonts w:ascii="Times New Roman" w:hAnsi="Times New Roman" w:cs="Times New Roman"/>
          <w:sz w:val="24"/>
          <w:szCs w:val="24"/>
          <w:lang w:val="en-US"/>
        </w:rPr>
      </w:pPr>
    </w:p>
    <w:sectPr w:rsidR="00252EC4" w:rsidRPr="00BA0373" w:rsidSect="001D7EC9">
      <w:pgSz w:w="11909" w:h="16834"/>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68F75" w14:textId="77777777" w:rsidR="00122C79" w:rsidRDefault="00122C79" w:rsidP="00BA0373">
      <w:pPr>
        <w:spacing w:line="240" w:lineRule="auto"/>
      </w:pPr>
      <w:r>
        <w:separator/>
      </w:r>
    </w:p>
  </w:endnote>
  <w:endnote w:type="continuationSeparator" w:id="0">
    <w:p w14:paraId="239CA4A4" w14:textId="77777777" w:rsidR="00122C79" w:rsidRDefault="00122C79" w:rsidP="00BA03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52959025"/>
      <w:docPartObj>
        <w:docPartGallery w:val="Page Numbers (Bottom of Page)"/>
        <w:docPartUnique/>
      </w:docPartObj>
    </w:sdtPr>
    <w:sdtEndPr>
      <w:rPr>
        <w:rStyle w:val="PageNumber"/>
      </w:rPr>
    </w:sdtEndPr>
    <w:sdtContent>
      <w:p w14:paraId="4A8C88B0" w14:textId="0C4B9935" w:rsidR="00BA0373" w:rsidRDefault="00BA0373" w:rsidP="00BA700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DC6066" w14:textId="77777777" w:rsidR="00BA0373" w:rsidRDefault="00BA0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8552930"/>
      <w:docPartObj>
        <w:docPartGallery w:val="Page Numbers (Bottom of Page)"/>
        <w:docPartUnique/>
      </w:docPartObj>
    </w:sdtPr>
    <w:sdtEndPr>
      <w:rPr>
        <w:rStyle w:val="PageNumber"/>
      </w:rPr>
    </w:sdtEndPr>
    <w:sdtContent>
      <w:p w14:paraId="2DBDACFA" w14:textId="5AB555DC" w:rsidR="00BA0373" w:rsidRDefault="00BA0373" w:rsidP="00BA7006">
        <w:pPr>
          <w:pStyle w:val="Footer"/>
          <w:framePr w:wrap="none" w:vAnchor="text" w:hAnchor="margin" w:xAlign="center" w:y="1"/>
          <w:rPr>
            <w:rStyle w:val="PageNumber"/>
          </w:rPr>
        </w:pPr>
        <w:r w:rsidRPr="0012522B">
          <w:rPr>
            <w:rStyle w:val="PageNumber"/>
            <w:rFonts w:ascii="Times New Roman" w:hAnsi="Times New Roman" w:cs="Times New Roman"/>
          </w:rPr>
          <w:fldChar w:fldCharType="begin"/>
        </w:r>
        <w:r w:rsidRPr="0012522B">
          <w:rPr>
            <w:rStyle w:val="PageNumber"/>
            <w:rFonts w:ascii="Times New Roman" w:hAnsi="Times New Roman" w:cs="Times New Roman"/>
          </w:rPr>
          <w:instrText xml:space="preserve"> PAGE </w:instrText>
        </w:r>
        <w:r w:rsidRPr="0012522B">
          <w:rPr>
            <w:rStyle w:val="PageNumber"/>
            <w:rFonts w:ascii="Times New Roman" w:hAnsi="Times New Roman" w:cs="Times New Roman"/>
          </w:rPr>
          <w:fldChar w:fldCharType="separate"/>
        </w:r>
        <w:r w:rsidRPr="0012522B">
          <w:rPr>
            <w:rStyle w:val="PageNumber"/>
            <w:rFonts w:ascii="Times New Roman" w:hAnsi="Times New Roman" w:cs="Times New Roman"/>
            <w:noProof/>
          </w:rPr>
          <w:t>1</w:t>
        </w:r>
        <w:r w:rsidRPr="0012522B">
          <w:rPr>
            <w:rStyle w:val="PageNumber"/>
            <w:rFonts w:ascii="Times New Roman" w:hAnsi="Times New Roman" w:cs="Times New Roman"/>
          </w:rPr>
          <w:fldChar w:fldCharType="end"/>
        </w:r>
      </w:p>
    </w:sdtContent>
  </w:sdt>
  <w:p w14:paraId="4E2C87E9" w14:textId="77777777" w:rsidR="00BA0373" w:rsidRDefault="00BA0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2146D" w14:textId="77777777" w:rsidR="00122C79" w:rsidRDefault="00122C79" w:rsidP="00BA0373">
      <w:pPr>
        <w:spacing w:line="240" w:lineRule="auto"/>
      </w:pPr>
      <w:r>
        <w:separator/>
      </w:r>
    </w:p>
  </w:footnote>
  <w:footnote w:type="continuationSeparator" w:id="0">
    <w:p w14:paraId="1882EB3F" w14:textId="77777777" w:rsidR="00122C79" w:rsidRDefault="00122C79" w:rsidP="00BA03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473E3"/>
    <w:multiLevelType w:val="multilevel"/>
    <w:tmpl w:val="2D8E0B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C022F2A"/>
    <w:multiLevelType w:val="multilevel"/>
    <w:tmpl w:val="1BFE3FB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EC4"/>
    <w:rsid w:val="00011A10"/>
    <w:rsid w:val="00054C7D"/>
    <w:rsid w:val="0006657B"/>
    <w:rsid w:val="00066E69"/>
    <w:rsid w:val="0007390A"/>
    <w:rsid w:val="00075F7C"/>
    <w:rsid w:val="000A5EB3"/>
    <w:rsid w:val="000B5269"/>
    <w:rsid w:val="000B5EC9"/>
    <w:rsid w:val="00115E8C"/>
    <w:rsid w:val="00122C79"/>
    <w:rsid w:val="0012522B"/>
    <w:rsid w:val="00133BBF"/>
    <w:rsid w:val="00140440"/>
    <w:rsid w:val="0019242A"/>
    <w:rsid w:val="00194781"/>
    <w:rsid w:val="001A0807"/>
    <w:rsid w:val="001D1B0A"/>
    <w:rsid w:val="001D38EB"/>
    <w:rsid w:val="001D7EC9"/>
    <w:rsid w:val="0020272F"/>
    <w:rsid w:val="00213E91"/>
    <w:rsid w:val="002261F8"/>
    <w:rsid w:val="00252EC4"/>
    <w:rsid w:val="002711B4"/>
    <w:rsid w:val="002751F4"/>
    <w:rsid w:val="002A242E"/>
    <w:rsid w:val="00321786"/>
    <w:rsid w:val="003222AB"/>
    <w:rsid w:val="00322F23"/>
    <w:rsid w:val="0035127E"/>
    <w:rsid w:val="00360A80"/>
    <w:rsid w:val="003659CB"/>
    <w:rsid w:val="00366745"/>
    <w:rsid w:val="00380420"/>
    <w:rsid w:val="0039609D"/>
    <w:rsid w:val="003A7117"/>
    <w:rsid w:val="003B1ADC"/>
    <w:rsid w:val="003C2C9B"/>
    <w:rsid w:val="003C78EF"/>
    <w:rsid w:val="003D7FC9"/>
    <w:rsid w:val="003E6671"/>
    <w:rsid w:val="003F7AE3"/>
    <w:rsid w:val="004102D5"/>
    <w:rsid w:val="004274E9"/>
    <w:rsid w:val="00433A5C"/>
    <w:rsid w:val="00446F13"/>
    <w:rsid w:val="00454CDF"/>
    <w:rsid w:val="00455337"/>
    <w:rsid w:val="004807AE"/>
    <w:rsid w:val="004930A2"/>
    <w:rsid w:val="00494413"/>
    <w:rsid w:val="004A02E7"/>
    <w:rsid w:val="004A76C5"/>
    <w:rsid w:val="004B06A7"/>
    <w:rsid w:val="004C5E65"/>
    <w:rsid w:val="004C7A49"/>
    <w:rsid w:val="004D486A"/>
    <w:rsid w:val="004F6783"/>
    <w:rsid w:val="004F785E"/>
    <w:rsid w:val="00501680"/>
    <w:rsid w:val="00526863"/>
    <w:rsid w:val="00531198"/>
    <w:rsid w:val="00535465"/>
    <w:rsid w:val="005C026F"/>
    <w:rsid w:val="005C0BFA"/>
    <w:rsid w:val="005D112D"/>
    <w:rsid w:val="005D14B3"/>
    <w:rsid w:val="005E60C4"/>
    <w:rsid w:val="005F49AF"/>
    <w:rsid w:val="0061457B"/>
    <w:rsid w:val="00635CB4"/>
    <w:rsid w:val="0067766E"/>
    <w:rsid w:val="006B45EE"/>
    <w:rsid w:val="006B46FF"/>
    <w:rsid w:val="006D138E"/>
    <w:rsid w:val="006D4428"/>
    <w:rsid w:val="006E0D09"/>
    <w:rsid w:val="006E2865"/>
    <w:rsid w:val="006F3D56"/>
    <w:rsid w:val="0071175D"/>
    <w:rsid w:val="0074781C"/>
    <w:rsid w:val="00747FB0"/>
    <w:rsid w:val="00757929"/>
    <w:rsid w:val="007663FC"/>
    <w:rsid w:val="00816920"/>
    <w:rsid w:val="00824120"/>
    <w:rsid w:val="008264FE"/>
    <w:rsid w:val="00852C5F"/>
    <w:rsid w:val="00871244"/>
    <w:rsid w:val="008A0D2D"/>
    <w:rsid w:val="008A46DD"/>
    <w:rsid w:val="00902CC3"/>
    <w:rsid w:val="0093129C"/>
    <w:rsid w:val="0093487A"/>
    <w:rsid w:val="00945F15"/>
    <w:rsid w:val="00961F13"/>
    <w:rsid w:val="00963D1A"/>
    <w:rsid w:val="009679B8"/>
    <w:rsid w:val="00974BD4"/>
    <w:rsid w:val="0097577F"/>
    <w:rsid w:val="00996147"/>
    <w:rsid w:val="009A4C36"/>
    <w:rsid w:val="009A7FEC"/>
    <w:rsid w:val="009B6102"/>
    <w:rsid w:val="009C08E4"/>
    <w:rsid w:val="009D4106"/>
    <w:rsid w:val="009E22DB"/>
    <w:rsid w:val="009F2208"/>
    <w:rsid w:val="009F66F3"/>
    <w:rsid w:val="00A30C79"/>
    <w:rsid w:val="00A5086D"/>
    <w:rsid w:val="00A62303"/>
    <w:rsid w:val="00A84A7E"/>
    <w:rsid w:val="00AD035E"/>
    <w:rsid w:val="00AF7D6E"/>
    <w:rsid w:val="00B05EC0"/>
    <w:rsid w:val="00B14BB2"/>
    <w:rsid w:val="00B17D8D"/>
    <w:rsid w:val="00B318AB"/>
    <w:rsid w:val="00B5341C"/>
    <w:rsid w:val="00B7303A"/>
    <w:rsid w:val="00B82766"/>
    <w:rsid w:val="00B95EA2"/>
    <w:rsid w:val="00BA0373"/>
    <w:rsid w:val="00BB3178"/>
    <w:rsid w:val="00BD78C1"/>
    <w:rsid w:val="00C004E9"/>
    <w:rsid w:val="00C377E2"/>
    <w:rsid w:val="00C4187E"/>
    <w:rsid w:val="00C43450"/>
    <w:rsid w:val="00C45ACB"/>
    <w:rsid w:val="00C6347F"/>
    <w:rsid w:val="00C65D68"/>
    <w:rsid w:val="00C738CF"/>
    <w:rsid w:val="00CA0867"/>
    <w:rsid w:val="00D07605"/>
    <w:rsid w:val="00D23A5D"/>
    <w:rsid w:val="00D3277A"/>
    <w:rsid w:val="00D46E57"/>
    <w:rsid w:val="00D627DE"/>
    <w:rsid w:val="00D97A31"/>
    <w:rsid w:val="00DA083D"/>
    <w:rsid w:val="00DC58F3"/>
    <w:rsid w:val="00E037DF"/>
    <w:rsid w:val="00E06874"/>
    <w:rsid w:val="00E11FF1"/>
    <w:rsid w:val="00E12DF8"/>
    <w:rsid w:val="00E15120"/>
    <w:rsid w:val="00E2515E"/>
    <w:rsid w:val="00E43500"/>
    <w:rsid w:val="00E46284"/>
    <w:rsid w:val="00E4705D"/>
    <w:rsid w:val="00E52E38"/>
    <w:rsid w:val="00E56551"/>
    <w:rsid w:val="00E63D95"/>
    <w:rsid w:val="00EF19A8"/>
    <w:rsid w:val="00EF33AF"/>
    <w:rsid w:val="00F13AC6"/>
    <w:rsid w:val="00F24920"/>
    <w:rsid w:val="00F3374A"/>
    <w:rsid w:val="00F42775"/>
    <w:rsid w:val="00F46699"/>
    <w:rsid w:val="00F60B40"/>
    <w:rsid w:val="00F745F2"/>
    <w:rsid w:val="00F84965"/>
    <w:rsid w:val="00FC7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25C2"/>
  <w15:docId w15:val="{7DD1F337-3765-C84C-B0ED-E752F4CB8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BA0373"/>
    <w:pPr>
      <w:tabs>
        <w:tab w:val="center" w:pos="4513"/>
        <w:tab w:val="right" w:pos="9026"/>
      </w:tabs>
      <w:spacing w:line="240" w:lineRule="auto"/>
    </w:pPr>
  </w:style>
  <w:style w:type="character" w:customStyle="1" w:styleId="HeaderChar">
    <w:name w:val="Header Char"/>
    <w:basedOn w:val="DefaultParagraphFont"/>
    <w:link w:val="Header"/>
    <w:uiPriority w:val="99"/>
    <w:rsid w:val="00BA0373"/>
  </w:style>
  <w:style w:type="paragraph" w:styleId="Footer">
    <w:name w:val="footer"/>
    <w:basedOn w:val="Normal"/>
    <w:link w:val="FooterChar"/>
    <w:uiPriority w:val="99"/>
    <w:unhideWhenUsed/>
    <w:rsid w:val="00BA0373"/>
    <w:pPr>
      <w:tabs>
        <w:tab w:val="center" w:pos="4513"/>
        <w:tab w:val="right" w:pos="9026"/>
      </w:tabs>
      <w:spacing w:line="240" w:lineRule="auto"/>
    </w:pPr>
  </w:style>
  <w:style w:type="character" w:customStyle="1" w:styleId="FooterChar">
    <w:name w:val="Footer Char"/>
    <w:basedOn w:val="DefaultParagraphFont"/>
    <w:link w:val="Footer"/>
    <w:uiPriority w:val="99"/>
    <w:rsid w:val="00BA0373"/>
  </w:style>
  <w:style w:type="character" w:styleId="PageNumber">
    <w:name w:val="page number"/>
    <w:basedOn w:val="DefaultParagraphFont"/>
    <w:uiPriority w:val="99"/>
    <w:semiHidden/>
    <w:unhideWhenUsed/>
    <w:rsid w:val="00BA0373"/>
  </w:style>
  <w:style w:type="character" w:styleId="LineNumber">
    <w:name w:val="line number"/>
    <w:basedOn w:val="DefaultParagraphFont"/>
    <w:uiPriority w:val="99"/>
    <w:semiHidden/>
    <w:unhideWhenUsed/>
    <w:rsid w:val="00C45ACB"/>
  </w:style>
  <w:style w:type="character" w:styleId="Hyperlink">
    <w:name w:val="Hyperlink"/>
    <w:basedOn w:val="DefaultParagraphFont"/>
    <w:uiPriority w:val="99"/>
    <w:unhideWhenUsed/>
    <w:rsid w:val="00852C5F"/>
    <w:rPr>
      <w:color w:val="0000FF" w:themeColor="hyperlink"/>
      <w:u w:val="single"/>
    </w:rPr>
  </w:style>
  <w:style w:type="character" w:styleId="UnresolvedMention">
    <w:name w:val="Unresolved Mention"/>
    <w:basedOn w:val="DefaultParagraphFont"/>
    <w:uiPriority w:val="99"/>
    <w:semiHidden/>
    <w:unhideWhenUsed/>
    <w:rsid w:val="00852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305889">
      <w:bodyDiv w:val="1"/>
      <w:marLeft w:val="0"/>
      <w:marRight w:val="0"/>
      <w:marTop w:val="0"/>
      <w:marBottom w:val="0"/>
      <w:divBdr>
        <w:top w:val="none" w:sz="0" w:space="0" w:color="auto"/>
        <w:left w:val="none" w:sz="0" w:space="0" w:color="auto"/>
        <w:bottom w:val="none" w:sz="0" w:space="0" w:color="auto"/>
        <w:right w:val="none" w:sz="0" w:space="0" w:color="auto"/>
      </w:divBdr>
    </w:div>
    <w:div w:id="1180194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na2.documents.adobe.com/public/fs?aid=CBFCIBAA3AAABLblqZhDCP-ABmHDdy2Tn50YWWtMjlqh8rQ_uuFwUiZZKZ5KuxDzAddf18HWkxWsbWH5NL8Q%2A&amp;dc_remove=tru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2.documents.adobe.com/public/fs?aid=CBFCIBAA3AAABLblqZhDCP-ABmHDdy2Tn50YWWtMjlqh8rQ_uuFwUiZZKZ5KuxDzAddf18HWkxWsbWH5NL8Q%2A&amp;dc_remove=tru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ccessdata.fda.gov/scripts/cder/daf/index.c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87" TargetMode="External"/><Relationship Id="rId5" Type="http://schemas.openxmlformats.org/officeDocument/2006/relationships/webSettings" Target="webSettings.xml"/><Relationship Id="rId15" Type="http://schemas.openxmlformats.org/officeDocument/2006/relationships/hyperlink" Target="https://www.accessdata.fda.gov/scripts/cder/daf/index.cfm" TargetMode="External"/><Relationship Id="rId10" Type="http://schemas.openxmlformats.org/officeDocument/2006/relationships/hyperlink" Target="https://www.nice.org.uk/guidance/ng87"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dc.gov/growthcha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8A866-734D-DF4E-B96C-7C9CDA08C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8374</Words>
  <Characters>47732</Characters>
  <Application>Microsoft Office Word</Application>
  <DocSecurity>0</DocSecurity>
  <Lines>397</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Carlos Farhat</dc:creator>
  <cp:lastModifiedBy>Sam Cortese</cp:lastModifiedBy>
  <cp:revision>2</cp:revision>
  <dcterms:created xsi:type="dcterms:W3CDTF">2022-04-12T06:23:00Z</dcterms:created>
  <dcterms:modified xsi:type="dcterms:W3CDTF">2022-04-12T06:23:00Z</dcterms:modified>
</cp:coreProperties>
</file>