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CB1AB" w14:textId="18ECA306" w:rsidR="00D45805" w:rsidRDefault="00D45805" w:rsidP="002C3DCF">
      <w:pPr>
        <w:pStyle w:val="Heading1"/>
        <w:jc w:val="center"/>
        <w:rPr>
          <w:i/>
        </w:rPr>
      </w:pPr>
      <w:bookmarkStart w:id="0" w:name="_GoBack"/>
      <w:bookmarkEnd w:id="0"/>
      <w:r w:rsidRPr="002C3DCF">
        <w:rPr>
          <w:i/>
        </w:rPr>
        <w:t>Improving the reporting of economic evaluation in osteoporosis: the value of CHEERS</w:t>
      </w:r>
      <w:r w:rsidR="00F85673">
        <w:rPr>
          <w:i/>
        </w:rPr>
        <w:t xml:space="preserve"> </w:t>
      </w:r>
      <w:r w:rsidRPr="002C3DCF">
        <w:rPr>
          <w:i/>
        </w:rPr>
        <w:t>2</w:t>
      </w:r>
      <w:r w:rsidR="00F85673">
        <w:rPr>
          <w:i/>
        </w:rPr>
        <w:t>022</w:t>
      </w:r>
      <w:r w:rsidR="00E050A2" w:rsidRPr="002C3DCF">
        <w:rPr>
          <w:i/>
        </w:rPr>
        <w:t xml:space="preserve"> statement</w:t>
      </w:r>
    </w:p>
    <w:p w14:paraId="7052EA5E" w14:textId="77777777" w:rsidR="002C3DCF" w:rsidRPr="002C3DCF" w:rsidRDefault="002C3DCF" w:rsidP="002C3DCF">
      <w:pPr>
        <w:rPr>
          <w:lang w:val="en-US" w:eastAsia="zh-CN"/>
        </w:rPr>
      </w:pPr>
    </w:p>
    <w:p w14:paraId="6488BF3E" w14:textId="487DBE31" w:rsidR="009C7408" w:rsidRPr="00317681" w:rsidRDefault="00D45805" w:rsidP="002C3DCF">
      <w:pPr>
        <w:rPr>
          <w:rFonts w:ascii="Times New Roman" w:eastAsia="DengXian" w:hAnsi="Times New Roman" w:cs="Times New Roman"/>
          <w:kern w:val="28"/>
          <w:sz w:val="24"/>
          <w:szCs w:val="24"/>
          <w:lang w:val="en-US" w:eastAsia="zh-CN"/>
        </w:rPr>
      </w:pPr>
      <w:r w:rsidRPr="00317681">
        <w:rPr>
          <w:rFonts w:ascii="Times New Roman" w:eastAsia="DengXian" w:hAnsi="Times New Roman" w:cs="Times New Roman"/>
          <w:b/>
          <w:kern w:val="28"/>
          <w:sz w:val="24"/>
          <w:szCs w:val="24"/>
          <w:lang w:val="en-US" w:eastAsia="zh-CN"/>
        </w:rPr>
        <w:t>Authors:</w:t>
      </w:r>
      <w:r w:rsidRPr="00317681">
        <w:rPr>
          <w:rFonts w:ascii="Times New Roman" w:eastAsia="DengXian" w:hAnsi="Times New Roman" w:cs="Times New Roman"/>
          <w:kern w:val="28"/>
          <w:sz w:val="24"/>
          <w:szCs w:val="24"/>
          <w:lang w:val="en-US" w:eastAsia="zh-CN"/>
        </w:rPr>
        <w:t xml:space="preserve"> </w:t>
      </w:r>
      <w:proofErr w:type="spellStart"/>
      <w:r w:rsidRPr="00317681">
        <w:rPr>
          <w:rFonts w:ascii="Times New Roman" w:eastAsia="DengXian" w:hAnsi="Times New Roman" w:cs="Times New Roman"/>
          <w:kern w:val="28"/>
          <w:sz w:val="24"/>
          <w:szCs w:val="24"/>
          <w:lang w:val="en-US" w:eastAsia="zh-CN"/>
        </w:rPr>
        <w:t>Mickael</w:t>
      </w:r>
      <w:proofErr w:type="spellEnd"/>
      <w:r w:rsidRPr="00317681">
        <w:rPr>
          <w:rFonts w:ascii="Times New Roman" w:eastAsia="DengXian" w:hAnsi="Times New Roman" w:cs="Times New Roman"/>
          <w:kern w:val="28"/>
          <w:sz w:val="24"/>
          <w:szCs w:val="24"/>
          <w:lang w:val="en-US" w:eastAsia="zh-CN"/>
        </w:rPr>
        <w:t xml:space="preserve"> Hiligsmann</w:t>
      </w:r>
      <w:r w:rsidR="00F81277" w:rsidRPr="00317681">
        <w:rPr>
          <w:rFonts w:ascii="Times New Roman" w:eastAsia="DengXian" w:hAnsi="Times New Roman" w:cs="Times New Roman" w:hint="eastAsia"/>
          <w:kern w:val="28"/>
          <w:sz w:val="24"/>
          <w:szCs w:val="24"/>
          <w:vertAlign w:val="superscript"/>
          <w:lang w:val="en-US" w:eastAsia="zh-CN"/>
        </w:rPr>
        <w:t>1</w:t>
      </w:r>
      <w:r w:rsidRPr="00317681">
        <w:rPr>
          <w:rFonts w:ascii="Times New Roman" w:eastAsia="DengXian" w:hAnsi="Times New Roman" w:cs="Times New Roman"/>
          <w:kern w:val="28"/>
          <w:sz w:val="24"/>
          <w:szCs w:val="24"/>
          <w:lang w:val="en-US" w:eastAsia="zh-CN"/>
        </w:rPr>
        <w:t xml:space="preserve">, </w:t>
      </w:r>
      <w:proofErr w:type="spellStart"/>
      <w:r w:rsidRPr="00317681">
        <w:rPr>
          <w:rFonts w:ascii="Times New Roman" w:eastAsia="DengXian" w:hAnsi="Times New Roman" w:cs="Times New Roman"/>
          <w:kern w:val="28"/>
          <w:sz w:val="24"/>
          <w:szCs w:val="24"/>
          <w:lang w:val="en-US" w:eastAsia="zh-CN"/>
        </w:rPr>
        <w:t>Nannan</w:t>
      </w:r>
      <w:proofErr w:type="spellEnd"/>
      <w:r w:rsidRPr="00317681">
        <w:rPr>
          <w:rFonts w:ascii="Times New Roman" w:eastAsia="DengXian" w:hAnsi="Times New Roman" w:cs="Times New Roman"/>
          <w:kern w:val="28"/>
          <w:sz w:val="24"/>
          <w:szCs w:val="24"/>
          <w:lang w:val="en-US" w:eastAsia="zh-CN"/>
        </w:rPr>
        <w:t xml:space="preserve"> Li</w:t>
      </w:r>
      <w:r w:rsidR="00F81277" w:rsidRPr="00317681">
        <w:rPr>
          <w:rFonts w:ascii="Times New Roman" w:eastAsia="DengXian" w:hAnsi="Times New Roman" w:cs="Times New Roman" w:hint="eastAsia"/>
          <w:kern w:val="28"/>
          <w:sz w:val="24"/>
          <w:szCs w:val="24"/>
          <w:vertAlign w:val="superscript"/>
          <w:lang w:val="en-US" w:eastAsia="zh-CN"/>
        </w:rPr>
        <w:t>1</w:t>
      </w:r>
      <w:r w:rsidRPr="00317681">
        <w:rPr>
          <w:rFonts w:ascii="Times New Roman" w:eastAsia="DengXian" w:hAnsi="Times New Roman" w:cs="Times New Roman"/>
          <w:kern w:val="28"/>
          <w:sz w:val="24"/>
          <w:szCs w:val="24"/>
          <w:lang w:val="en-US" w:eastAsia="zh-CN"/>
        </w:rPr>
        <w:t>, Cyrus Cooper</w:t>
      </w:r>
      <w:r w:rsidR="00F81277" w:rsidRPr="00317681">
        <w:rPr>
          <w:rFonts w:ascii="Times New Roman" w:eastAsia="DengXian" w:hAnsi="Times New Roman" w:cs="Times New Roman" w:hint="eastAsia"/>
          <w:kern w:val="28"/>
          <w:sz w:val="24"/>
          <w:szCs w:val="24"/>
          <w:vertAlign w:val="superscript"/>
          <w:lang w:val="en-US" w:eastAsia="zh-CN"/>
        </w:rPr>
        <w:t>2</w:t>
      </w:r>
      <w:r w:rsidRPr="00317681">
        <w:rPr>
          <w:rFonts w:ascii="Times New Roman" w:eastAsia="DengXian" w:hAnsi="Times New Roman" w:cs="Times New Roman"/>
          <w:kern w:val="28"/>
          <w:sz w:val="24"/>
          <w:szCs w:val="24"/>
          <w:lang w:val="en-US" w:eastAsia="zh-CN"/>
        </w:rPr>
        <w:t>, Jean-Yves Reginster</w:t>
      </w:r>
      <w:r w:rsidR="00F81277" w:rsidRPr="00317681">
        <w:rPr>
          <w:rFonts w:ascii="Times New Roman" w:eastAsia="DengXian" w:hAnsi="Times New Roman" w:cs="Times New Roman" w:hint="eastAsia"/>
          <w:kern w:val="28"/>
          <w:sz w:val="24"/>
          <w:szCs w:val="24"/>
          <w:vertAlign w:val="superscript"/>
          <w:lang w:val="en-US" w:eastAsia="zh-CN"/>
        </w:rPr>
        <w:t>3</w:t>
      </w:r>
      <w:r w:rsidRPr="00317681">
        <w:rPr>
          <w:rFonts w:ascii="Times New Roman" w:eastAsia="DengXian" w:hAnsi="Times New Roman" w:cs="Times New Roman"/>
          <w:kern w:val="28"/>
          <w:sz w:val="24"/>
          <w:szCs w:val="24"/>
          <w:lang w:val="en-US" w:eastAsia="zh-CN"/>
        </w:rPr>
        <w:t>, Stuart Silverman</w:t>
      </w:r>
      <w:r w:rsidR="00F81277" w:rsidRPr="00317681">
        <w:rPr>
          <w:rFonts w:ascii="Times New Roman" w:eastAsia="DengXian" w:hAnsi="Times New Roman" w:cs="Times New Roman" w:hint="eastAsia"/>
          <w:kern w:val="28"/>
          <w:sz w:val="24"/>
          <w:szCs w:val="24"/>
          <w:vertAlign w:val="superscript"/>
          <w:lang w:val="en-US" w:eastAsia="zh-CN"/>
        </w:rPr>
        <w:t>4</w:t>
      </w:r>
      <w:r w:rsidRPr="00317681">
        <w:rPr>
          <w:rFonts w:ascii="Times New Roman" w:eastAsia="DengXian" w:hAnsi="Times New Roman" w:cs="Times New Roman"/>
          <w:kern w:val="28"/>
          <w:sz w:val="24"/>
          <w:szCs w:val="24"/>
          <w:lang w:val="en-US" w:eastAsia="zh-CN"/>
        </w:rPr>
        <w:t>, Chris Carswell</w:t>
      </w:r>
      <w:r w:rsidR="00F81277" w:rsidRPr="00317681">
        <w:rPr>
          <w:rFonts w:ascii="Times New Roman" w:eastAsia="DengXian" w:hAnsi="Times New Roman" w:cs="Times New Roman" w:hint="eastAsia"/>
          <w:kern w:val="28"/>
          <w:sz w:val="24"/>
          <w:szCs w:val="24"/>
          <w:vertAlign w:val="superscript"/>
          <w:lang w:val="en-US" w:eastAsia="zh-CN"/>
        </w:rPr>
        <w:t>5</w:t>
      </w:r>
      <w:r w:rsidRPr="00317681">
        <w:rPr>
          <w:rFonts w:ascii="Times New Roman" w:eastAsia="DengXian" w:hAnsi="Times New Roman" w:cs="Times New Roman"/>
          <w:kern w:val="28"/>
          <w:sz w:val="24"/>
          <w:szCs w:val="24"/>
          <w:lang w:val="en-US" w:eastAsia="zh-CN"/>
        </w:rPr>
        <w:t>, Don Husereau</w:t>
      </w:r>
      <w:r w:rsidR="002B6D56">
        <w:rPr>
          <w:rFonts w:ascii="Times New Roman" w:eastAsia="DengXian" w:hAnsi="Times New Roman" w:cs="Times New Roman"/>
          <w:kern w:val="28"/>
          <w:sz w:val="24"/>
          <w:szCs w:val="24"/>
          <w:vertAlign w:val="superscript"/>
          <w:lang w:val="en-US" w:eastAsia="zh-CN"/>
        </w:rPr>
        <w:t>6</w:t>
      </w:r>
    </w:p>
    <w:p w14:paraId="6D1D8A5B" w14:textId="77777777" w:rsidR="00D45805" w:rsidRDefault="00D45805">
      <w:pPr>
        <w:rPr>
          <w:lang w:val="en-US"/>
        </w:rPr>
      </w:pPr>
    </w:p>
    <w:p w14:paraId="2151C749" w14:textId="2211131D" w:rsidR="00D45805" w:rsidRPr="00317681" w:rsidRDefault="00D45805">
      <w:pPr>
        <w:rPr>
          <w:rFonts w:ascii="Times New Roman" w:eastAsia="DengXian" w:hAnsi="Times New Roman" w:cs="Times New Roman"/>
          <w:b/>
          <w:kern w:val="28"/>
          <w:sz w:val="24"/>
          <w:szCs w:val="24"/>
          <w:lang w:val="en-US" w:eastAsia="zh-CN"/>
        </w:rPr>
      </w:pPr>
      <w:r w:rsidRPr="00317681">
        <w:rPr>
          <w:rFonts w:ascii="Times New Roman" w:eastAsia="DengXian" w:hAnsi="Times New Roman" w:cs="Times New Roman"/>
          <w:b/>
          <w:kern w:val="28"/>
          <w:sz w:val="24"/>
          <w:szCs w:val="24"/>
          <w:lang w:val="en-US" w:eastAsia="zh-CN"/>
        </w:rPr>
        <w:t>Affiliations</w:t>
      </w:r>
    </w:p>
    <w:p w14:paraId="7C797DA7" w14:textId="461197A2" w:rsidR="009B5E10" w:rsidRPr="00317681" w:rsidRDefault="009B5E10" w:rsidP="00F85673">
      <w:pPr>
        <w:spacing w:after="0" w:line="240" w:lineRule="auto"/>
        <w:ind w:left="245" w:hanging="245"/>
        <w:jc w:val="both"/>
        <w:rPr>
          <w:rFonts w:ascii="Times New Roman" w:eastAsia="DengXian" w:hAnsi="Times New Roman" w:cs="Times New Roman"/>
          <w:kern w:val="28"/>
          <w:sz w:val="24"/>
          <w:szCs w:val="24"/>
          <w:lang w:val="en-US" w:eastAsia="zh-CN"/>
        </w:rPr>
      </w:pPr>
      <w:r w:rsidRPr="00317681">
        <w:rPr>
          <w:rFonts w:ascii="Times New Roman" w:eastAsia="DengXian" w:hAnsi="Times New Roman" w:cs="Times New Roman" w:hint="eastAsia"/>
          <w:kern w:val="28"/>
          <w:sz w:val="24"/>
          <w:szCs w:val="24"/>
          <w:lang w:val="en-US" w:eastAsia="zh-CN"/>
        </w:rPr>
        <w:t>1.</w:t>
      </w:r>
      <w:r w:rsidRPr="00317681">
        <w:rPr>
          <w:rFonts w:ascii="Times New Roman" w:eastAsia="DengXian" w:hAnsi="Times New Roman" w:cs="Times New Roman"/>
          <w:kern w:val="28"/>
          <w:sz w:val="24"/>
          <w:szCs w:val="24"/>
          <w:lang w:val="en-US" w:eastAsia="zh-CN"/>
        </w:rPr>
        <w:t xml:space="preserve"> Department of Health Services Research, CAPHRI Care and Public Health Research Institute, Maastricht University, Maastricht, the Netherlands</w:t>
      </w:r>
    </w:p>
    <w:p w14:paraId="2BF2E9C9" w14:textId="3EE9AF7E" w:rsidR="009B5E10" w:rsidRPr="00317681" w:rsidRDefault="009B5E10" w:rsidP="00F85673">
      <w:pPr>
        <w:spacing w:after="0" w:line="240" w:lineRule="auto"/>
        <w:ind w:left="245" w:hanging="245"/>
        <w:jc w:val="both"/>
        <w:rPr>
          <w:rFonts w:ascii="Times New Roman" w:eastAsia="DengXian" w:hAnsi="Times New Roman" w:cs="Times New Roman"/>
          <w:kern w:val="28"/>
          <w:sz w:val="24"/>
          <w:szCs w:val="24"/>
          <w:lang w:val="en-US" w:eastAsia="zh-CN"/>
        </w:rPr>
      </w:pPr>
      <w:r w:rsidRPr="00317681">
        <w:rPr>
          <w:rFonts w:ascii="Times New Roman" w:eastAsia="DengXian" w:hAnsi="Times New Roman" w:cs="Times New Roman" w:hint="eastAsia"/>
          <w:kern w:val="28"/>
          <w:sz w:val="24"/>
          <w:szCs w:val="24"/>
          <w:lang w:val="en-US" w:eastAsia="zh-CN"/>
        </w:rPr>
        <w:t>2.</w:t>
      </w:r>
      <w:r w:rsidRPr="00317681">
        <w:rPr>
          <w:rFonts w:ascii="Times New Roman" w:eastAsia="DengXian" w:hAnsi="Times New Roman" w:cs="Times New Roman"/>
          <w:kern w:val="28"/>
          <w:sz w:val="24"/>
          <w:szCs w:val="24"/>
          <w:lang w:val="en-US" w:eastAsia="zh-CN"/>
        </w:rPr>
        <w:t xml:space="preserve"> </w:t>
      </w:r>
      <w:r w:rsidR="00BF6E01" w:rsidRPr="00317681">
        <w:rPr>
          <w:rFonts w:ascii="Times New Roman" w:eastAsia="DengXian" w:hAnsi="Times New Roman" w:cs="Times New Roman"/>
          <w:kern w:val="28"/>
          <w:sz w:val="24"/>
          <w:szCs w:val="24"/>
          <w:lang w:val="en-US" w:eastAsia="zh-CN"/>
        </w:rPr>
        <w:t xml:space="preserve">MRC </w:t>
      </w:r>
      <w:r w:rsidRPr="00317681">
        <w:rPr>
          <w:rFonts w:ascii="Times New Roman" w:eastAsia="DengXian" w:hAnsi="Times New Roman" w:cs="Times New Roman"/>
          <w:kern w:val="28"/>
          <w:sz w:val="24"/>
          <w:szCs w:val="24"/>
          <w:lang w:val="en-US" w:eastAsia="zh-CN"/>
        </w:rPr>
        <w:t>Lifecourse Epidemiology Unit, University of Southampton, Southampton General Hospital, Southampton, UK</w:t>
      </w:r>
    </w:p>
    <w:p w14:paraId="25FE3A29" w14:textId="55C2480C" w:rsidR="00BF6E01" w:rsidRPr="00317681" w:rsidRDefault="00BF6E01" w:rsidP="00F85673">
      <w:pPr>
        <w:spacing w:after="0" w:line="240" w:lineRule="auto"/>
        <w:ind w:left="245" w:hanging="245"/>
        <w:jc w:val="both"/>
        <w:rPr>
          <w:rFonts w:ascii="Times New Roman" w:eastAsia="DengXian" w:hAnsi="Times New Roman" w:cs="Times New Roman"/>
          <w:kern w:val="28"/>
          <w:sz w:val="24"/>
          <w:szCs w:val="24"/>
          <w:lang w:val="en-US" w:eastAsia="zh-CN"/>
        </w:rPr>
      </w:pPr>
      <w:r w:rsidRPr="00317681">
        <w:rPr>
          <w:rFonts w:ascii="Times New Roman" w:eastAsia="DengXian" w:hAnsi="Times New Roman" w:cs="Times New Roman" w:hint="eastAsia"/>
          <w:kern w:val="28"/>
          <w:sz w:val="24"/>
          <w:szCs w:val="24"/>
          <w:lang w:val="en-US" w:eastAsia="zh-CN"/>
        </w:rPr>
        <w:t>3.</w:t>
      </w:r>
      <w:r w:rsidRPr="00317681">
        <w:rPr>
          <w:rFonts w:ascii="Times New Roman" w:eastAsia="DengXian" w:hAnsi="Times New Roman" w:cs="Times New Roman"/>
          <w:kern w:val="28"/>
          <w:sz w:val="24"/>
          <w:szCs w:val="24"/>
          <w:lang w:val="en-US" w:eastAsia="zh-CN"/>
        </w:rPr>
        <w:t xml:space="preserve"> WHO Collaborating Center for Public Health aspects of musculo-skeletal health and ageing, Division of Public Health, Epidemiology and Health Economics, University of Liège, Belgium</w:t>
      </w:r>
    </w:p>
    <w:p w14:paraId="1952CD60" w14:textId="3CAD7FA5" w:rsidR="00BF6E01" w:rsidRPr="00A40D94" w:rsidRDefault="00BF6E01" w:rsidP="00A40D94">
      <w:pPr>
        <w:spacing w:after="0" w:line="240" w:lineRule="auto"/>
        <w:ind w:left="245" w:hanging="245"/>
        <w:jc w:val="both"/>
        <w:rPr>
          <w:rFonts w:ascii="Times New Roman" w:eastAsia="DengXian" w:hAnsi="Times New Roman" w:cs="Times New Roman"/>
          <w:kern w:val="28"/>
          <w:sz w:val="24"/>
          <w:szCs w:val="24"/>
          <w:lang w:val="en-US" w:eastAsia="zh-CN"/>
        </w:rPr>
      </w:pPr>
      <w:r w:rsidRPr="00317681">
        <w:rPr>
          <w:rFonts w:ascii="Times New Roman" w:eastAsia="DengXian" w:hAnsi="Times New Roman" w:cs="Times New Roman" w:hint="eastAsia"/>
          <w:kern w:val="28"/>
          <w:sz w:val="24"/>
          <w:szCs w:val="24"/>
          <w:lang w:val="en-US" w:eastAsia="zh-CN"/>
        </w:rPr>
        <w:t>4.</w:t>
      </w:r>
      <w:r w:rsidRPr="00317681">
        <w:rPr>
          <w:rFonts w:ascii="Times New Roman" w:eastAsia="DengXian" w:hAnsi="Times New Roman" w:cs="Times New Roman"/>
          <w:kern w:val="28"/>
          <w:sz w:val="24"/>
          <w:szCs w:val="24"/>
          <w:lang w:val="en-US" w:eastAsia="zh-CN"/>
        </w:rPr>
        <w:t xml:space="preserve"> </w:t>
      </w:r>
      <w:r w:rsidR="00A40D94" w:rsidRPr="00A40D94">
        <w:rPr>
          <w:rFonts w:ascii="Times New Roman" w:eastAsia="DengXian" w:hAnsi="Times New Roman" w:cs="Times New Roman"/>
          <w:kern w:val="28"/>
          <w:sz w:val="24"/>
          <w:szCs w:val="24"/>
          <w:lang w:val="en-US" w:eastAsia="zh-CN"/>
        </w:rPr>
        <w:t>Cedars-Sinai Medical Center, Los Angeles, US</w:t>
      </w:r>
    </w:p>
    <w:p w14:paraId="759A0CE7" w14:textId="48211ED4" w:rsidR="003A0753" w:rsidRPr="00317681" w:rsidRDefault="004A4885" w:rsidP="002B6D56">
      <w:pPr>
        <w:spacing w:after="0" w:line="240" w:lineRule="auto"/>
        <w:ind w:left="245" w:hanging="245"/>
        <w:jc w:val="both"/>
        <w:rPr>
          <w:rFonts w:ascii="Times New Roman" w:eastAsia="DengXian" w:hAnsi="Times New Roman" w:cs="Times New Roman"/>
          <w:kern w:val="28"/>
          <w:sz w:val="24"/>
          <w:szCs w:val="24"/>
          <w:lang w:val="en-US" w:eastAsia="zh-CN"/>
        </w:rPr>
      </w:pPr>
      <w:r w:rsidRPr="00317681">
        <w:rPr>
          <w:rFonts w:ascii="Times New Roman" w:eastAsia="DengXian" w:hAnsi="Times New Roman" w:cs="Times New Roman" w:hint="eastAsia"/>
          <w:kern w:val="28"/>
          <w:sz w:val="24"/>
          <w:szCs w:val="24"/>
          <w:lang w:val="en-US" w:eastAsia="zh-CN"/>
        </w:rPr>
        <w:t>5.</w:t>
      </w:r>
      <w:r w:rsidRPr="00317681">
        <w:rPr>
          <w:rFonts w:ascii="Times New Roman" w:eastAsia="DengXian" w:hAnsi="Times New Roman" w:cs="Times New Roman"/>
          <w:kern w:val="28"/>
          <w:sz w:val="24"/>
          <w:szCs w:val="24"/>
          <w:lang w:val="en-US" w:eastAsia="zh-CN"/>
        </w:rPr>
        <w:t xml:space="preserve"> </w:t>
      </w:r>
      <w:r w:rsidR="003A0753" w:rsidRPr="00317681">
        <w:rPr>
          <w:rFonts w:ascii="Times New Roman" w:eastAsia="DengXian" w:hAnsi="Times New Roman" w:cs="Times New Roman"/>
          <w:kern w:val="28"/>
          <w:sz w:val="24"/>
          <w:szCs w:val="24"/>
          <w:lang w:val="en-US" w:eastAsia="zh-CN"/>
        </w:rPr>
        <w:t>Adis Journals, Springer Nature, Auckland, New Zealand</w:t>
      </w:r>
    </w:p>
    <w:p w14:paraId="14BC68E3" w14:textId="5395B7FD" w:rsidR="003A0753" w:rsidRPr="00317681" w:rsidRDefault="002B6D56" w:rsidP="00F85673">
      <w:pPr>
        <w:spacing w:after="0" w:line="240" w:lineRule="auto"/>
        <w:ind w:left="245" w:hanging="245"/>
        <w:jc w:val="both"/>
        <w:rPr>
          <w:rFonts w:ascii="Times New Roman" w:eastAsia="DengXian" w:hAnsi="Times New Roman" w:cs="Times New Roman"/>
          <w:kern w:val="28"/>
          <w:sz w:val="24"/>
          <w:szCs w:val="24"/>
          <w:lang w:val="en-US" w:eastAsia="zh-CN"/>
        </w:rPr>
      </w:pPr>
      <w:r>
        <w:rPr>
          <w:rFonts w:ascii="Times New Roman" w:eastAsia="DengXian" w:hAnsi="Times New Roman" w:cs="Times New Roman"/>
          <w:kern w:val="28"/>
          <w:sz w:val="24"/>
          <w:szCs w:val="24"/>
          <w:lang w:val="en-US" w:eastAsia="zh-CN"/>
        </w:rPr>
        <w:t>6</w:t>
      </w:r>
      <w:r w:rsidR="003A0753" w:rsidRPr="00317681">
        <w:rPr>
          <w:rFonts w:ascii="Times New Roman" w:eastAsia="DengXian" w:hAnsi="Times New Roman" w:cs="Times New Roman" w:hint="eastAsia"/>
          <w:kern w:val="28"/>
          <w:sz w:val="24"/>
          <w:szCs w:val="24"/>
          <w:lang w:val="en-US" w:eastAsia="zh-CN"/>
        </w:rPr>
        <w:t>.</w:t>
      </w:r>
      <w:r w:rsidR="003A0753" w:rsidRPr="00317681">
        <w:rPr>
          <w:rFonts w:ascii="Times New Roman" w:eastAsia="DengXian" w:hAnsi="Times New Roman" w:cs="Times New Roman"/>
          <w:kern w:val="28"/>
          <w:sz w:val="24"/>
          <w:szCs w:val="24"/>
          <w:lang w:val="en-US" w:eastAsia="zh-CN"/>
        </w:rPr>
        <w:t xml:space="preserve"> University of Ottawa, School of Epidemiology and Public Health, Ottawa, Ontario, Canada and Institute of Health Economics, Edmonton, Alberta, Canada</w:t>
      </w:r>
    </w:p>
    <w:p w14:paraId="595709AB" w14:textId="77777777" w:rsidR="00D45805" w:rsidRDefault="00D45805">
      <w:pPr>
        <w:rPr>
          <w:lang w:val="en-US"/>
        </w:rPr>
      </w:pPr>
    </w:p>
    <w:p w14:paraId="7B1AD044" w14:textId="77777777" w:rsidR="00D45805" w:rsidRPr="00317681" w:rsidRDefault="00D45805">
      <w:pPr>
        <w:rPr>
          <w:rFonts w:ascii="Times New Roman" w:eastAsia="DengXian" w:hAnsi="Times New Roman" w:cs="Times New Roman"/>
          <w:b/>
          <w:kern w:val="28"/>
          <w:sz w:val="24"/>
          <w:szCs w:val="24"/>
          <w:lang w:val="en-US" w:eastAsia="zh-CN"/>
        </w:rPr>
      </w:pPr>
      <w:r w:rsidRPr="00317681">
        <w:rPr>
          <w:rFonts w:ascii="Times New Roman" w:eastAsia="DengXian" w:hAnsi="Times New Roman" w:cs="Times New Roman"/>
          <w:b/>
          <w:kern w:val="28"/>
          <w:sz w:val="24"/>
          <w:szCs w:val="24"/>
          <w:lang w:val="en-US" w:eastAsia="zh-CN"/>
        </w:rPr>
        <w:t>Corresponding author</w:t>
      </w:r>
    </w:p>
    <w:p w14:paraId="4B8A76EB" w14:textId="601551B1" w:rsidR="00317681" w:rsidRDefault="00317681" w:rsidP="00317681">
      <w:pPr>
        <w:rPr>
          <w:rFonts w:ascii="Times New Roman" w:eastAsia="DengXian" w:hAnsi="Times New Roman" w:cs="Times New Roman"/>
          <w:kern w:val="28"/>
          <w:sz w:val="24"/>
          <w:szCs w:val="24"/>
          <w:lang w:val="en-US" w:eastAsia="zh-CN"/>
        </w:rPr>
      </w:pPr>
      <w:proofErr w:type="spellStart"/>
      <w:r w:rsidRPr="00317681">
        <w:rPr>
          <w:rFonts w:ascii="Times New Roman" w:eastAsia="DengXian" w:hAnsi="Times New Roman" w:cs="Times New Roman"/>
          <w:kern w:val="28"/>
          <w:sz w:val="24"/>
          <w:szCs w:val="24"/>
          <w:lang w:val="en-US" w:eastAsia="zh-CN"/>
        </w:rPr>
        <w:t>Mickael</w:t>
      </w:r>
      <w:proofErr w:type="spellEnd"/>
      <w:r w:rsidRPr="00317681">
        <w:rPr>
          <w:rFonts w:ascii="Times New Roman" w:eastAsia="DengXian" w:hAnsi="Times New Roman" w:cs="Times New Roman"/>
          <w:kern w:val="28"/>
          <w:sz w:val="24"/>
          <w:szCs w:val="24"/>
          <w:lang w:val="en-US" w:eastAsia="zh-CN"/>
        </w:rPr>
        <w:t xml:space="preserve"> Hiligsmann</w:t>
      </w:r>
      <w:r>
        <w:rPr>
          <w:rFonts w:ascii="Times New Roman" w:eastAsia="DengXian" w:hAnsi="Times New Roman" w:cs="Times New Roman"/>
          <w:kern w:val="28"/>
          <w:sz w:val="24"/>
          <w:szCs w:val="24"/>
          <w:lang w:val="en-US" w:eastAsia="zh-CN"/>
        </w:rPr>
        <w:t xml:space="preserve">, </w:t>
      </w:r>
      <w:r w:rsidRPr="00317681">
        <w:rPr>
          <w:rFonts w:ascii="Times New Roman" w:eastAsia="DengXian" w:hAnsi="Times New Roman" w:cs="Times New Roman"/>
          <w:kern w:val="28"/>
          <w:sz w:val="24"/>
          <w:szCs w:val="24"/>
          <w:lang w:val="en-US" w:eastAsia="zh-CN"/>
        </w:rPr>
        <w:t>Department of Health Services Research, CAPHRI Care and Public Health Research Institute, Maastricht University, Maastricht, the Netherlands</w:t>
      </w:r>
    </w:p>
    <w:p w14:paraId="2CEBDAA1" w14:textId="00A7CEE0" w:rsidR="00317681" w:rsidRPr="00C06879" w:rsidRDefault="00317681" w:rsidP="00317681">
      <w:pPr>
        <w:rPr>
          <w:rFonts w:ascii="Times New Roman" w:eastAsia="DengXian" w:hAnsi="Times New Roman" w:cs="Times New Roman"/>
          <w:kern w:val="28"/>
          <w:sz w:val="24"/>
          <w:szCs w:val="24"/>
          <w:lang w:eastAsia="zh-CN"/>
        </w:rPr>
      </w:pPr>
      <w:r w:rsidRPr="00C06879">
        <w:rPr>
          <w:rFonts w:ascii="Times New Roman" w:eastAsia="DengXian" w:hAnsi="Times New Roman" w:cs="Times New Roman"/>
          <w:kern w:val="28"/>
          <w:sz w:val="24"/>
          <w:szCs w:val="24"/>
          <w:lang w:eastAsia="zh-CN"/>
        </w:rPr>
        <w:t>Duboisdomein 30, 6229 GT, Maastricht, the Netherlands</w:t>
      </w:r>
    </w:p>
    <w:p w14:paraId="40B63BD9" w14:textId="745AF27B" w:rsidR="00317681" w:rsidRPr="00C06879" w:rsidRDefault="00A50A83" w:rsidP="00317681">
      <w:pPr>
        <w:rPr>
          <w:rFonts w:ascii="Times New Roman" w:eastAsia="DengXian" w:hAnsi="Times New Roman" w:cs="Times New Roman"/>
          <w:kern w:val="28"/>
          <w:sz w:val="24"/>
          <w:szCs w:val="24"/>
          <w:lang w:eastAsia="zh-CN"/>
        </w:rPr>
      </w:pPr>
      <w:hyperlink r:id="rId6" w:history="1">
        <w:r w:rsidR="00317681" w:rsidRPr="00C06879">
          <w:rPr>
            <w:rStyle w:val="Hyperlink"/>
            <w:rFonts w:ascii="Times New Roman" w:eastAsia="DengXian" w:hAnsi="Times New Roman" w:cs="Times New Roman"/>
            <w:kern w:val="28"/>
            <w:sz w:val="24"/>
            <w:szCs w:val="24"/>
            <w:lang w:eastAsia="zh-CN"/>
          </w:rPr>
          <w:t>m.hiligsmann@maastrichtuniversity.nl</w:t>
        </w:r>
      </w:hyperlink>
      <w:r w:rsidR="00317681" w:rsidRPr="00C06879">
        <w:rPr>
          <w:rFonts w:ascii="Times New Roman" w:eastAsia="DengXian" w:hAnsi="Times New Roman" w:cs="Times New Roman"/>
          <w:kern w:val="28"/>
          <w:sz w:val="24"/>
          <w:szCs w:val="24"/>
          <w:lang w:eastAsia="zh-CN"/>
        </w:rPr>
        <w:t xml:space="preserve"> </w:t>
      </w:r>
    </w:p>
    <w:p w14:paraId="04EE7851" w14:textId="4FAA4BD0" w:rsidR="00317681" w:rsidRPr="00CF106A" w:rsidRDefault="00CF106A">
      <w:pPr>
        <w:rPr>
          <w:rFonts w:ascii="Times New Roman" w:eastAsia="DengXian" w:hAnsi="Times New Roman" w:cs="Times New Roman"/>
          <w:bCs/>
          <w:kern w:val="28"/>
          <w:sz w:val="24"/>
          <w:szCs w:val="24"/>
          <w:lang w:val="en-US" w:eastAsia="zh-CN"/>
        </w:rPr>
      </w:pPr>
      <w:r w:rsidRPr="00CF106A">
        <w:rPr>
          <w:rFonts w:ascii="Times New Roman" w:eastAsia="DengXian" w:hAnsi="Times New Roman" w:cs="Times New Roman"/>
          <w:b/>
          <w:kern w:val="28"/>
          <w:sz w:val="24"/>
          <w:szCs w:val="24"/>
          <w:lang w:val="en-US" w:eastAsia="zh-CN"/>
        </w:rPr>
        <w:t>Keywords:</w:t>
      </w:r>
      <w:r w:rsidRPr="00CF106A">
        <w:rPr>
          <w:rStyle w:val="Strong"/>
          <w:rFonts w:ascii="Segoe UI" w:hAnsi="Segoe UI" w:cs="Segoe UI"/>
          <w:color w:val="212121"/>
          <w:shd w:val="clear" w:color="auto" w:fill="FFFFFF"/>
          <w:lang w:val="en-US"/>
        </w:rPr>
        <w:t> </w:t>
      </w:r>
      <w:r w:rsidRPr="00CF106A">
        <w:rPr>
          <w:rFonts w:ascii="Times New Roman" w:eastAsia="DengXian" w:hAnsi="Times New Roman" w:cs="Times New Roman"/>
          <w:bCs/>
          <w:kern w:val="28"/>
          <w:sz w:val="24"/>
          <w:szCs w:val="24"/>
          <w:lang w:val="en-US" w:eastAsia="zh-CN"/>
        </w:rPr>
        <w:t>CHEERS; Cost-effectiveness; Economic evaluation; Osteoporosis; Re</w:t>
      </w:r>
      <w:r>
        <w:rPr>
          <w:rFonts w:ascii="Times New Roman" w:eastAsia="DengXian" w:hAnsi="Times New Roman" w:cs="Times New Roman"/>
          <w:bCs/>
          <w:kern w:val="28"/>
          <w:sz w:val="24"/>
          <w:szCs w:val="24"/>
          <w:lang w:val="en-US" w:eastAsia="zh-CN"/>
        </w:rPr>
        <w:t>porting</w:t>
      </w:r>
    </w:p>
    <w:p w14:paraId="05E3A6D8" w14:textId="77777777" w:rsidR="00D45805" w:rsidRPr="00CF106A" w:rsidRDefault="00D45805">
      <w:pPr>
        <w:rPr>
          <w:b/>
          <w:lang w:val="en-US"/>
        </w:rPr>
      </w:pPr>
      <w:r w:rsidRPr="00CF106A">
        <w:rPr>
          <w:b/>
          <w:lang w:val="en-US"/>
        </w:rPr>
        <w:br w:type="page"/>
      </w:r>
    </w:p>
    <w:p w14:paraId="0984651E" w14:textId="77777777" w:rsidR="00D45805" w:rsidRPr="00202D77" w:rsidRDefault="00D45805" w:rsidP="00202D77">
      <w:pPr>
        <w:pStyle w:val="Heading1"/>
        <w:rPr>
          <w:sz w:val="24"/>
          <w:szCs w:val="24"/>
          <w:lang w:val="en-GB"/>
        </w:rPr>
      </w:pPr>
      <w:r w:rsidRPr="00202D77">
        <w:rPr>
          <w:sz w:val="24"/>
          <w:szCs w:val="24"/>
          <w:lang w:val="en-GB"/>
        </w:rPr>
        <w:lastRenderedPageBreak/>
        <w:t>Editorial</w:t>
      </w:r>
    </w:p>
    <w:p w14:paraId="3727EFAA" w14:textId="3EADBFB8" w:rsidR="00575BC6" w:rsidRPr="00F85673" w:rsidRDefault="00D45805" w:rsidP="00C74157">
      <w:pPr>
        <w:jc w:val="both"/>
        <w:rPr>
          <w:rFonts w:ascii="Times New Roman" w:hAnsi="Times New Roman" w:cs="Times New Roman"/>
          <w:lang w:val="en-US"/>
        </w:rPr>
      </w:pPr>
      <w:r w:rsidRPr="00C74157">
        <w:rPr>
          <w:rFonts w:ascii="Times New Roman" w:hAnsi="Times New Roman" w:cs="Times New Roman"/>
          <w:lang w:val="en-US"/>
        </w:rPr>
        <w:t xml:space="preserve">Considering the limited availability of healthcare resources alongside major innovations in the management of osteoporosis, </w:t>
      </w:r>
      <w:r w:rsidR="00C06879">
        <w:rPr>
          <w:rFonts w:ascii="Times New Roman" w:hAnsi="Times New Roman" w:cs="Times New Roman"/>
          <w:lang w:val="en-US"/>
        </w:rPr>
        <w:t>economic evaluations</w:t>
      </w:r>
      <w:r w:rsidRPr="00C74157">
        <w:rPr>
          <w:rFonts w:ascii="Times New Roman" w:hAnsi="Times New Roman" w:cs="Times New Roman"/>
          <w:lang w:val="en-US"/>
        </w:rPr>
        <w:t xml:space="preserve"> </w:t>
      </w:r>
      <w:r w:rsidR="00D878D0">
        <w:rPr>
          <w:rFonts w:ascii="Times New Roman" w:hAnsi="Times New Roman" w:cs="Times New Roman"/>
          <w:lang w:val="en-US"/>
        </w:rPr>
        <w:t>have played</w:t>
      </w:r>
      <w:r w:rsidR="00C06879">
        <w:rPr>
          <w:rFonts w:ascii="Times New Roman" w:hAnsi="Times New Roman" w:cs="Times New Roman"/>
          <w:lang w:val="en-US"/>
        </w:rPr>
        <w:t xml:space="preserve"> an increasing </w:t>
      </w:r>
      <w:r w:rsidRPr="00C74157">
        <w:rPr>
          <w:rFonts w:ascii="Times New Roman" w:hAnsi="Times New Roman" w:cs="Times New Roman"/>
          <w:lang w:val="en-US"/>
        </w:rPr>
        <w:t>role in decision-making</w:t>
      </w:r>
      <w:r w:rsidRPr="00D878D0">
        <w:rPr>
          <w:rFonts w:ascii="Times New Roman" w:hAnsi="Times New Roman" w:cs="Times New Roman"/>
          <w:lang w:val="en-US"/>
        </w:rPr>
        <w:t xml:space="preserve">. </w:t>
      </w:r>
      <w:r w:rsidR="002774DC">
        <w:rPr>
          <w:rFonts w:ascii="Times New Roman" w:hAnsi="Times New Roman" w:cs="Times New Roman"/>
          <w:lang w:val="en-US"/>
        </w:rPr>
        <w:t>S</w:t>
      </w:r>
      <w:r w:rsidRPr="00D878D0">
        <w:rPr>
          <w:rFonts w:ascii="Times New Roman" w:hAnsi="Times New Roman" w:cs="Times New Roman"/>
          <w:lang w:val="en-US"/>
        </w:rPr>
        <w:t xml:space="preserve">tudies have </w:t>
      </w:r>
      <w:r w:rsidR="00A56232">
        <w:rPr>
          <w:rFonts w:ascii="Times New Roman" w:hAnsi="Times New Roman" w:cs="Times New Roman"/>
          <w:lang w:val="en-US"/>
        </w:rPr>
        <w:t>particularly</w:t>
      </w:r>
      <w:r w:rsidR="00C06879" w:rsidRPr="00D878D0">
        <w:rPr>
          <w:rFonts w:ascii="Times New Roman" w:hAnsi="Times New Roman" w:cs="Times New Roman"/>
          <w:lang w:val="en-US"/>
        </w:rPr>
        <w:t xml:space="preserve"> </w:t>
      </w:r>
      <w:r w:rsidRPr="00D878D0">
        <w:rPr>
          <w:rFonts w:ascii="Times New Roman" w:hAnsi="Times New Roman" w:cs="Times New Roman"/>
          <w:lang w:val="en-US"/>
        </w:rPr>
        <w:t>been conducted to assess the cost-effectiveness of anti-</w:t>
      </w:r>
      <w:r w:rsidRPr="00F85673">
        <w:rPr>
          <w:rFonts w:ascii="Times New Roman" w:hAnsi="Times New Roman" w:cs="Times New Roman"/>
          <w:lang w:val="en-US"/>
        </w:rPr>
        <w:t xml:space="preserve">osteoporosis </w:t>
      </w:r>
      <w:r w:rsidR="00C06879" w:rsidRPr="00F85673">
        <w:rPr>
          <w:rFonts w:ascii="Times New Roman" w:hAnsi="Times New Roman" w:cs="Times New Roman"/>
          <w:lang w:val="en-US"/>
        </w:rPr>
        <w:t>medications</w:t>
      </w:r>
      <w:r w:rsidR="00B9016A" w:rsidRPr="00F85673">
        <w:rPr>
          <w:rFonts w:ascii="Times New Roman" w:hAnsi="Times New Roman" w:cs="Times New Roman"/>
          <w:lang w:val="en-US"/>
        </w:rPr>
        <w:t xml:space="preserve"> </w:t>
      </w:r>
      <w:r w:rsidR="00B9016A" w:rsidRPr="00F85673">
        <w:rPr>
          <w:rFonts w:ascii="Times New Roman" w:hAnsi="Times New Roman" w:cs="Times New Roman"/>
          <w:lang w:val="en-US" w:eastAsia="zh-CN"/>
        </w:rPr>
        <w:t>[</w:t>
      </w:r>
      <w:r w:rsidR="00564E25" w:rsidRPr="00F85673">
        <w:rPr>
          <w:rFonts w:ascii="Times New Roman" w:hAnsi="Times New Roman" w:cs="Times New Roman"/>
          <w:lang w:val="en-US" w:eastAsia="zh-CN"/>
        </w:rPr>
        <w:fldChar w:fldCharType="begin" w:fldLock="1"/>
      </w:r>
      <w:r w:rsidR="00564E25" w:rsidRPr="00F85673">
        <w:rPr>
          <w:rFonts w:ascii="Times New Roman" w:hAnsi="Times New Roman" w:cs="Times New Roman"/>
          <w:lang w:val="en-US" w:eastAsia="zh-CN"/>
        </w:rPr>
        <w:instrText>ADDIN CSL_CITATION {"citationItems":[{"id":"ITEM-1","itemData":{"DOI":"10.1007/s40273-014-0231-1","ISSN":"11792027","PMID":"25377850","abstract":"Background: Given the limited availability of healthcare resources and the recent introduction of new anti-osteoporosis drugs, the interest in the cost effectiveness of drugs in postmenopausal osteoporosis remains and even increases.\nObjective: This study aims to identify all recent economic evaluations on drugs for postmenopausal osteoporosis, to critically appraise the reporting quality, and to summarize the results.\nMethods: A literature search using Medline, the National Health Service Economic Evaluation database and the Cost-Effectiveness Analysis Registry was undertaken to identify original articles published between January 1, 2008 and December 31, 2013. Studies that assessed cost effectiveness of drugs in postmenopausal osteoporosis were included. The Consolidated Health Economic Evaluation Reporting Standards (CHEERS) statement was used to assess the quality of reporting of these articles.\nResults: Of 1,794 articles identified, 39 studies fulfilled the inclusion criteria. They were conducted in 14 different countries and nine active interventions were assessed. When compared with no treatment, active osteoporotic drugs were generally cost effective in postmenopausal women aged over 60–65 years with low bone mass, especially those with prior vertebral fractures. Key drivers of cost effectiveness included individual fracture risk, medication adherence, selected comparators and country-specific analyses. Quality of reporting varied between studies with an average score of 17.9 out of 24 (range 7–21.5).\nConclusion: This review found a substantial number of published cost-effectiveness analyses of drugs in osteoporosis in the last 6 years. Results and critical appraisal of these articles can help decision makers when prioritizing health interventions and can inform the development of future economic evaluations.","author":[{"dropping-particle":"","family":"Hiligsmann","given":"Mickaël","non-dropping-particle":"","parse-names":false,"suffix":""},{"dropping-particle":"","family":"Evers","given":"Silvia M.","non-dropping-particle":"","parse-names":false,"suffix":""},{"dropping-particle":"","family":"Sedrine","given":"Wafa","non-dropping-particle":"Ben","parse-names":false,"suffix":""},{"dropping-particle":"","family":"Kanis","given":"John A.","non-dropping-particle":"","parse-names":false,"suffix":""},{"dropping-particle":"","family":"Ramaekers","given":"Bram","non-dropping-particle":"","parse-names":false,"suffix":""},{"dropping-particle":"","family":"Reginster","given":"Jean Yves","non-dropping-particle":"","parse-names":false,"suffix":""},{"dropping-particle":"","family":"Silverman","given":"Stuart","non-dropping-particle":"","parse-names":false,"suffix":""},{"dropping-particle":"","family":"Wyers","given":"Caroline E.","non-dropping-particle":"","parse-names":false,"suffix":""},{"dropping-particle":"","family":"Boonen","given":"Annelies","non-dropping-particle":"","parse-names":false,"suffix":""}],"container-title":"PharmacoEconomics","id":"ITEM-1","issue":"3","issued":{"date-parts":[["2015"]]},"page":"205-224","title":"A Systematic Review of Cost-Effectiveness Analyses of Drugs for Postmenopausal Osteoporosis","type":"article-journal","volume":"33"},"uris":["http://www.mendeley.com/documents/?uuid=fc8d183e-f2f7-4d4e-b6f2-7d486f4242e6"]},{"id":"ITEM-2","itemData":{"DOI":"10.1007/s40273-020-00965-9","ISBN":"0123456789","ISSN":"11792027","PMID":"33026634","abstract":"Background: Considering the heavy economic burden of osteoporotic fractures, the limits of healthcare resources, and the recent availability of new anti-osteoporosis drugs, there is continuing interest in economic evaluation studies of osteoporosis management strategies. Objectives: This study aims to (1) systematically review recent economic evaluations of drugs for osteoporosis and (2) to apply an osteoporosis-specific guideline to critically appraise them. Methods: A literature search was undertaken using PubMed, EMBASE, National Health Service Economic Evaluation database, and the Cost-Effectiveness Analysis Registry to identify original articles containing economic evaluations of anti-osteoporosis drugs, published between 1 July, 2013 and 31 December, 2019. A recent European Society for Clinical and Economic Aspects of Osteoporosis, Osteoarthritis and Musculoskeletal Diseases-International Osteoporosis Foundation (ESCEO-IOF) guideline for the conduct and reporting of economic evaluations in osteoporosis was used to assess the quality of included articles. Results: The database search retrieved 3860 records, of which 27 studies fulfilled the inclusion criteria. These studies were conducted in 15 countries; 12 active drugs were assessed, including various traditional pharmacological treatments such as bisphosphonates, raloxifene, strontium ranelate, denosumab, and teriparatide, and new agents such as abaloparatide, romosozumab, and gastro-resistant risedronate. Eight out of 12 studies that compared traditional oral bisphosphonates to other active interventions (denosumab, zoledronic acid, gastro-resistant risedronate, and teriparatide) suggested that the other active agents were generally cost-effective or dominant. Additionally, the cost-effectiveness of sequential therapy has recently been assessed and indications are that it can lead to extra health benefits (larger gains in quality-adjusted life-year). The key drivers of cost effectiveness included baseline fracture risk, drug effect on the risk of fractures, drug cost, and medication adherence/persistence. The current average score for quality assessment was 17 out of 25 (range 2–15); room for improvement was observed for most studies, which could potentially be explained by the fact that most studies were published prior to the osteoporosis-specific guideline. Greater adherence to guideline recommendations was expected for future studies. The quality of reporting was also suboptimal, especially…","author":[{"dropping-particle":"","family":"Li","given":"Nannan","non-dropping-particle":"","parse-names":false,"suffix":""},{"dropping-particle":"","family":"Cornelissen","given":"Dennis","non-dropping-particle":"","parse-names":false,"suffix":""},{"dropping-particle":"","family":"Silverman","given":"Stuart","non-dropping-particle":"","parse-names":false,"suffix":""},{"dropping-particle":"","family":"Pinto","given":"Daniel","non-dropping-particle":"","parse-names":false,"suffix":""},{"dropping-particle":"","family":"Si","given":"Lei","non-dropping-particle":"","parse-names":false,"suffix":""},{"dropping-particle":"","family":"Kremer","given":"Ingrid","non-dropping-particle":"","parse-names":false,"suffix":""},{"dropping-particle":"","family":"Bours","given":"Sandrine","non-dropping-particle":"","parse-names":false,"suffix":""},{"dropping-particle":"","family":"Bot","given":"Robin","non-dropping-particle":"de","parse-names":false,"suffix":""},{"dropping-particle":"","family":"Boonen","given":"Annelies","non-dropping-particle":"","parse-names":false,"suffix":""},{"dropping-particle":"","family":"Evers","given":"Silvia","non-dropping-particle":"","parse-names":false,"suffix":""},{"dropping-particle":"","family":"Bergh","given":"Joop","non-dropping-particle":"van den","parse-names":false,"suffix":""},{"dropping-particle":"","family":"Reginster","given":"Jean Yves","non-dropping-particle":"","parse-names":false,"suffix":""},{"dropping-particle":"","family":"Hiligsmann","given":"Mickaël","non-dropping-particle":"","parse-names":false,"suffix":""}],"container-title":"PharmacoEconomics","id":"ITEM-2","issue":"2","issued":{"date-parts":[["2021"]]},"page":"181-209","publisher":"Springer International Publishing","title":"An Updated Systematic Review of Cost-Effectiveness Analyses of Drugs for Osteoporosis","type":"article-journal","volume":"39"},"uris":["http://www.mendeley.com/documents/?uuid=a54491aa-36bd-409f-a9e9-f75a561114e8"]}],"mendeley":{"formattedCitation":"&lt;sup&gt;1,2&lt;/sup&gt;","plainTextFormattedCitation":"1,2","previouslyFormattedCitation":"&lt;sup&gt;1,2&lt;/sup&gt;"},"properties":{"noteIndex":0},"schema":"https://github.com/citation-style-language/schema/raw/master/csl-citation.json"}</w:instrText>
      </w:r>
      <w:r w:rsidR="00564E25" w:rsidRPr="00F85673">
        <w:rPr>
          <w:rFonts w:ascii="Times New Roman" w:hAnsi="Times New Roman" w:cs="Times New Roman"/>
          <w:lang w:val="en-US" w:eastAsia="zh-CN"/>
        </w:rPr>
        <w:fldChar w:fldCharType="separate"/>
      </w:r>
      <w:r w:rsidR="00564E25" w:rsidRPr="00F85673">
        <w:rPr>
          <w:rFonts w:ascii="Times New Roman" w:hAnsi="Times New Roman" w:cs="Times New Roman"/>
          <w:noProof/>
          <w:lang w:val="en-US" w:eastAsia="zh-CN"/>
        </w:rPr>
        <w:t>1,2</w:t>
      </w:r>
      <w:r w:rsidR="00564E25" w:rsidRPr="00F85673">
        <w:rPr>
          <w:rFonts w:ascii="Times New Roman" w:hAnsi="Times New Roman" w:cs="Times New Roman"/>
          <w:lang w:val="en-US" w:eastAsia="zh-CN"/>
        </w:rPr>
        <w:fldChar w:fldCharType="end"/>
      </w:r>
      <w:r w:rsidR="00B9016A" w:rsidRPr="00F85673">
        <w:rPr>
          <w:rFonts w:ascii="Times New Roman" w:hAnsi="Times New Roman" w:cs="Times New Roman"/>
          <w:lang w:val="en-US" w:eastAsia="zh-CN"/>
        </w:rPr>
        <w:t>]</w:t>
      </w:r>
      <w:r w:rsidR="00515477" w:rsidRPr="00F85673">
        <w:rPr>
          <w:rFonts w:ascii="Times New Roman" w:hAnsi="Times New Roman" w:cs="Times New Roman"/>
          <w:lang w:val="en-US"/>
        </w:rPr>
        <w:t xml:space="preserve">, </w:t>
      </w:r>
      <w:r w:rsidRPr="00F85673">
        <w:rPr>
          <w:rFonts w:ascii="Times New Roman" w:hAnsi="Times New Roman" w:cs="Times New Roman"/>
          <w:lang w:val="en-US"/>
        </w:rPr>
        <w:t>fracture liaison services</w:t>
      </w:r>
      <w:r w:rsidR="00564E25" w:rsidRPr="00F85673">
        <w:rPr>
          <w:rFonts w:ascii="Times New Roman" w:hAnsi="Times New Roman" w:cs="Times New Roman"/>
          <w:lang w:val="en-US"/>
        </w:rPr>
        <w:t xml:space="preserve"> [</w:t>
      </w:r>
      <w:r w:rsidR="00564E25" w:rsidRPr="00F85673">
        <w:rPr>
          <w:rFonts w:ascii="Times New Roman" w:hAnsi="Times New Roman" w:cs="Times New Roman"/>
          <w:lang w:val="en-US"/>
        </w:rPr>
        <w:fldChar w:fldCharType="begin" w:fldLock="1"/>
      </w:r>
      <w:r w:rsidR="00974236" w:rsidRPr="00F85673">
        <w:rPr>
          <w:rFonts w:ascii="Times New Roman" w:hAnsi="Times New Roman" w:cs="Times New Roman"/>
          <w:lang w:val="en-US"/>
        </w:rPr>
        <w:instrText>ADDIN CSL_CITATION {"citationItems":[{"id":"ITEM-1","itemData":{"DOI":"10.1007/s00198-018-4411-2","ISSN":"14332965","PMID":"29460102","abstract":"Fracture liaison services (FLS), implemented in different ways and countries, are reported to be a cost-effective or even a cost-saving secondary fracture prevention strategy. This presumed favorable cost-benefit relationship is encouraging and lends support to expanded implementation of FLS per International Osteoporosis Foundation Best Practice Standards. This study summarizes the economic impact and cost-effectiveness of FLS implemented to reduce subsequent fractures in individuals with osteoporosis. This systematic review identified studies reporting economic outcomes for FLS in osteoporotic patients aged 50 and older through a comprehensive search of MEDLINE, EMBASE, Cochrane Central, and PubMed of studies published January, 2000 to December, 2016. Grey literature (e.g., Google scholar, conference abstracts/posters) were also hand searched through February 2017. Two independent reviewers screened titles and abstracts and conducted full-text review on qualified articles. All disagreements were resolved by discussion between reviewers to reach consensus or by a third reviewer. In total, 23 qualified studies that evaluated the economic aspects of FLS were included: 16 cost-effectiveness studies, 2 cost-benefit analyses, and 5 studies of cost savings. Patient populations varied (prior fragility fracture, non-vertebral fracture, hip fracture, wrist fracture), and FLS strategies ranged from mail-based interventions to comprehensive nurse/physician-coordinated programs. Cost-effectiveness studies were conducted in Canada, Australia, USA, UK, Japan, Taiwan, and Sweden. FLS was cost-effective in comparisons with usual care or no treatment, regardless of the program intensity or the country in which the FLS was implemented (cost/QALY from $3023–$28,800 US dollars (USD) in Japan to $14,513–$112,877 USD in USA. Several studies documented cost savings. FLS, implemented in different ways and countries, are reported to be cost-effective or even cost-saving. This presumed favorable cost-benefit relationship is encouraging and lends support to expanded implementation of FLS per International Osteoporosis Foundation Best Practice Standards.","author":[{"dropping-particle":"","family":"Wu","given":"C. H.","non-dropping-particle":"","parse-names":false,"suffix":""},{"dropping-particle":"","family":"Kao","given":"I. J.","non-dropping-particle":"","parse-names":false,"suffix":""},{"dropping-particle":"","family":"Hung","given":"W. C.","non-dropping-particle":"","parse-names":false,"suffix":""},{"dropping-particle":"","family":"Lin","given":"S. C.","non-dropping-particle":"","parse-names":false,"suffix":""},{"dropping-particle":"","family":"Liu","given":"H. C.","non-dropping-particle":"","parse-names":false,"suffix":""},{"dropping-particle":"","family":"Hsieh","given":"M. H.","non-dropping-particle":"","parse-names":false,"suffix":""},{"dropping-particle":"","family":"Bagga","given":"S.","non-dropping-particle":"","parse-names":false,"suffix":""},{"dropping-particle":"","family":"Achra","given":"M.","non-dropping-particle":"","parse-names":false,"suffix":""},{"dropping-particle":"","family":"Cheng","given":"T. T.","non-dropping-particle":"","parse-names":false,"suffix":""},{"dropping-particle":"","family":"Yang","given":"R. S.","non-dropping-particle":"","parse-names":false,"suffix":""}],"container-title":"Osteoporosis International","id":"ITEM-1","issue":"6","issued":{"date-parts":[["2018"]]},"page":"1227-1242","title":"Economic impact and cost-effectiveness of fracture liaison services: a systematic review of the literature","type":"article-journal","volume":"29"},"uris":["http://www.mendeley.com/documents/?uuid=15d1cbc4-c747-4db7-95ef-519852f1d911"]}],"mendeley":{"formattedCitation":"&lt;sup&gt;3&lt;/sup&gt;","plainTextFormattedCitation":"3","previouslyFormattedCitation":"&lt;sup&gt;3&lt;/sup&gt;"},"properties":{"noteIndex":0},"schema":"https://github.com/citation-style-language/schema/raw/master/csl-citation.json"}</w:instrText>
      </w:r>
      <w:r w:rsidR="00564E25" w:rsidRPr="00F85673">
        <w:rPr>
          <w:rFonts w:ascii="Times New Roman" w:hAnsi="Times New Roman" w:cs="Times New Roman"/>
          <w:lang w:val="en-US"/>
        </w:rPr>
        <w:fldChar w:fldCharType="separate"/>
      </w:r>
      <w:r w:rsidR="00564E25" w:rsidRPr="00F85673">
        <w:rPr>
          <w:rFonts w:ascii="Times New Roman" w:hAnsi="Times New Roman" w:cs="Times New Roman"/>
          <w:noProof/>
          <w:lang w:val="en-US"/>
        </w:rPr>
        <w:t>3</w:t>
      </w:r>
      <w:r w:rsidR="00564E25" w:rsidRPr="00F85673">
        <w:rPr>
          <w:rFonts w:ascii="Times New Roman" w:hAnsi="Times New Roman" w:cs="Times New Roman"/>
          <w:lang w:val="en-US"/>
        </w:rPr>
        <w:fldChar w:fldCharType="end"/>
      </w:r>
      <w:r w:rsidR="00663326" w:rsidRPr="00F85673">
        <w:rPr>
          <w:rFonts w:ascii="Times New Roman" w:hAnsi="Times New Roman" w:cs="Times New Roman"/>
          <w:lang w:val="en-US"/>
        </w:rPr>
        <w:t>],</w:t>
      </w:r>
      <w:r w:rsidR="00E6014B" w:rsidRPr="00F85673">
        <w:rPr>
          <w:rFonts w:ascii="Times New Roman" w:hAnsi="Times New Roman" w:cs="Times New Roman"/>
          <w:lang w:val="en-US"/>
        </w:rPr>
        <w:t xml:space="preserve"> </w:t>
      </w:r>
      <w:r w:rsidR="005F3B92" w:rsidRPr="00F85673">
        <w:rPr>
          <w:rFonts w:ascii="Times New Roman" w:hAnsi="Times New Roman" w:cs="Times New Roman"/>
          <w:lang w:val="en-US"/>
        </w:rPr>
        <w:t>screening strategies [</w:t>
      </w:r>
      <w:r w:rsidR="00974236" w:rsidRPr="00F85673">
        <w:rPr>
          <w:rFonts w:ascii="Times New Roman" w:hAnsi="Times New Roman" w:cs="Times New Roman"/>
          <w:lang w:val="en-US"/>
        </w:rPr>
        <w:fldChar w:fldCharType="begin" w:fldLock="1"/>
      </w:r>
      <w:r w:rsidR="005353C5" w:rsidRPr="00F85673">
        <w:rPr>
          <w:rFonts w:ascii="Times New Roman" w:hAnsi="Times New Roman" w:cs="Times New Roman"/>
          <w:lang w:val="en-US"/>
        </w:rPr>
        <w:instrText>ADDIN CSL_CITATION {"citationItems":[{"id":"ITEM-1","itemData":{"DOI":"10.7326/0003-4819-155-11-201112060-00007","ISBN":"0003481915511","ISSN":"15393704","PMID":"22147714","abstract":"Background: The best strategies to screen postmenopausal women for osteoporosis are not clear. Objective: To identify the cost-effectiveness of various screening strategies. Design: Individual-level state-transition cost-effectiveness model. Data Sources: Published literature. Target Population: U.S. women aged 55 years or older. Time Horizon: Lifetime. Perspective: Payer. Intervention: Screening strategies composed of alternative tests (central dual-energy x-ray absorptiometry [DXA], calcaneal quantitative ultrasonography [QUS], and the Simple Calculated Osteoporosis Risk Estimation [SCORE] tool) initiation ages, treatment thresholds, and rescreening intervals. Oral bisphosphonate treatment was assumed, with a base-case adherence rate of 50% and a 5-year on/off treatment pattern. Outcome Measures: Incremental cost-effectiveness ratios (2010 U.S. dollars per quality-adjusted life-year [QALY] gained). Results of Base-Case Analysis: At all evaluated ages, screening was superior to not screening. In general, quality-adjusted life-days gained with screening tended to increase with age. At all initiation ages, the best strategy with an incremental cost-effectiveness ratio (ICER) of less than $50 000 per QALY was DXA screening with a T-score threshold of -2.5 or less for treatment and with follow-up screening every 5 years. Across screening initiation ages, the best strategy with an ICER less than $50 000 per QALY was initiation of screening at age 55 years by using DXA -2.5 with rescreening every 5 years. The best strategy with an ICER less than $100 000 per QALY was initiation of screening at age 55 years by using DXA with a T-score threshold of -2.0 or less for treatment and then rescreening every 10 years. No other strategy that involved treatment of women with osteopenia had an ICER less than $100 000 per QALY. Many other strategies, including strategies with SCORE or QUS prescreening, were also cost-effective, and in general the differences in effectiveness and costs between evaluated strategies was small. Results of Sensitivity Analysis: Probabilistic sensitivity analysis did not reveal a consistently superior strategy. Limitations: Data were primarily from white women. Screening initiation at ages younger than 55 years were not examined. Only osteoporotic fractures of the hip, vertebrae, and wrist were modeled. Conclusion: Many strategies for postmenopausal osteoporosis screening are effective and cost-effective, including strategies involving screeni…","author":[{"dropping-particle":"","family":"Nayak","given":"Smita","non-dropping-particle":"","parse-names":false,"suffix":""},{"dropping-particle":"","family":"Roberts","given":"Mark S.","non-dropping-particle":"","parse-names":false,"suffix":""},{"dropping-particle":"","family":"Greenspan","given":"Susan L.","non-dropping-particle":"","parse-names":false,"suffix":""}],"container-title":"Annals of Internal Medicine","id":"ITEM-1","issue":"11","issued":{"date-parts":[["2011"]]},"number-of-pages":"751-761","title":"Cost-effectiveness of different screening strategies for osteoporosis in postmenopausal women","type":"book","volume":"155"},"uris":["http://www.mendeley.com/documents/?uuid=74f85561-7d6e-42c1-bb3a-45f84eaf1fed"]},{"id":"ITEM-2","itemData":{"DOI":"10.1002/jbmr.3381","ISSN":"15234681","PMID":"29470854","abstract":"The SCOOP study was a two-arm randomized controlled trial conducted in the UK in 12,483 eligible women aged 70 to 85 years. It compared a screening program using the FRAX® risk assessment tool in addition to bone mineral density (BMD) measures versus usual management. The SCOOP study found a reduction in the incidence of hip fractures in the screening arm, but there was no evidence of a reduction in the incidence of all osteoporosis-related fractures. To make decisions about whether to implement any screening program, we should also consider whether the program is likely to be a good use of health care resources, ie, is it cost-effective? The cost per gained quality adjusted life year of screening for fracture risk has not previously been demonstrated in an economic evaluation alongside a clinical trial. We conducted a “within trial” economic analysis alongside the SCOOP study from the perspective of a national health payer, the UK National Health Service (NHS). The main outcome measure in the economic analysis was the cost per quality adjusted life year (QALY) gained over a 5-year time period. We also estimated cost per osteoporosis-related fracture prevented and the cost per hip fracture prevented. The screening arm had an average incremental QALY gain of 0.0237 (95% confidence interval –0.0034 to 0.0508) for the 5-year follow-up. The incremental cost per QALY gained was £2772 compared with the control arm. Cost-effectiveness acceptability curves indicated a 93% probability of the intervention being cost-effective at values of a QALY greater than £20,000. The intervention arm prevented fractures at a cost of £4478 and £7694 per fracture for osteoporosis-related and hip fractures, respectively. The current study demonstrates that a systematic, community-based screening program of fracture risk in older women in the UK represents a highly cost-effective intervention. © 2018 The Authors. Journal of Bone and Mineral Research Published by Wiley Periodicals, Inc.","author":[{"dropping-particle":"","family":"Turner","given":"David A.","non-dropping-particle":"","parse-names":false,"suffix":""},{"dropping-particle":"","family":"Khioe","given":"Rebekah Fong Soe","non-dropping-particle":"","parse-names":false,"suffix":""},{"dropping-particle":"","family":"Shepstone","given":"Lee","non-dropping-particle":"","parse-names":false,"suffix":""},{"dropping-particle":"","family":"Lenaghan","given":"Elizabeth","non-dropping-particle":"","parse-names":false,"suffix":""},{"dropping-particle":"","family":"Cooper","given":"Cyrus","non-dropping-particle":"","parse-names":false,"suffix":""},{"dropping-particle":"","family":"Gittoes","given":"Neil","non-dropping-particle":"","parse-names":false,"suffix":""},{"dropping-particle":"","family":"Harvey","given":"Nicholas C.","non-dropping-particle":"","parse-names":false,"suffix":""},{"dropping-particle":"","family":"Holland","given":"Richard","non-dropping-particle":"","parse-names":false,"suffix":""},{"dropping-particle":"","family":"Howe","given":"Amanda","non-dropping-particle":"","parse-names":false,"suffix":""},{"dropping-particle":"","family":"McCloskey","given":"Eugene","non-dropping-particle":"","parse-names":false,"suffix":""},{"dropping-particle":"","family":"O'Neill","given":"Terence W.","non-dropping-particle":"","parse-names":false,"suffix":""},{"dropping-particle":"","family":"Torgerson","given":"David","non-dropping-particle":"","parse-names":false,"suffix":""},{"dropping-particle":"","family":"Fordham","given":"Richard","non-dropping-particle":"","parse-names":false,"suffix":""}],"container-title":"Journal of Bone and Mineral Research","id":"ITEM-2","issue":"5","issued":{"date-parts":[["2018"]]},"page":"845-851","title":"The Cost-Effectiveness of Screening in the Community to Reduce Osteoporotic Fractures in Older Women in the UK: Economic Evaluation of the SCOOP Study","type":"article-journal","volume":"33"},"uris":["http://www.mendeley.com/documents/?uuid=7a359b3e-d58b-47c6-b393-31ff8301c29b"]}],"mendeley":{"formattedCitation":"&lt;sup&gt;4,5&lt;/sup&gt;","plainTextFormattedCitation":"4,5","previouslyFormattedCitation":"&lt;sup&gt;4,5&lt;/sup&gt;"},"properties":{"noteIndex":0},"schema":"https://github.com/citation-style-language/schema/raw/master/csl-citation.json"}</w:instrText>
      </w:r>
      <w:r w:rsidR="00974236" w:rsidRPr="00F85673">
        <w:rPr>
          <w:rFonts w:ascii="Times New Roman" w:hAnsi="Times New Roman" w:cs="Times New Roman"/>
          <w:lang w:val="en-US"/>
        </w:rPr>
        <w:fldChar w:fldCharType="separate"/>
      </w:r>
      <w:r w:rsidR="00974236" w:rsidRPr="00F85673">
        <w:rPr>
          <w:rFonts w:ascii="Times New Roman" w:hAnsi="Times New Roman" w:cs="Times New Roman"/>
          <w:noProof/>
          <w:lang w:val="en-US"/>
        </w:rPr>
        <w:t>4,5</w:t>
      </w:r>
      <w:r w:rsidR="00974236" w:rsidRPr="00F85673">
        <w:rPr>
          <w:rFonts w:ascii="Times New Roman" w:hAnsi="Times New Roman" w:cs="Times New Roman"/>
          <w:lang w:val="en-US"/>
        </w:rPr>
        <w:fldChar w:fldCharType="end"/>
      </w:r>
      <w:r w:rsidR="005F3B92" w:rsidRPr="00F85673">
        <w:rPr>
          <w:rFonts w:ascii="Times New Roman" w:hAnsi="Times New Roman" w:cs="Times New Roman"/>
          <w:lang w:val="en-US"/>
        </w:rPr>
        <w:t>]</w:t>
      </w:r>
      <w:r w:rsidR="00E6014B" w:rsidRPr="00F85673">
        <w:rPr>
          <w:rFonts w:ascii="Times New Roman" w:hAnsi="Times New Roman" w:cs="Times New Roman"/>
          <w:lang w:val="en-US"/>
        </w:rPr>
        <w:t>,</w:t>
      </w:r>
      <w:r w:rsidRPr="00F85673">
        <w:rPr>
          <w:rFonts w:ascii="Times New Roman" w:hAnsi="Times New Roman" w:cs="Times New Roman"/>
          <w:lang w:val="en-US"/>
        </w:rPr>
        <w:t xml:space="preserve"> </w:t>
      </w:r>
      <w:r w:rsidR="00C06879" w:rsidRPr="00F85673">
        <w:rPr>
          <w:rFonts w:ascii="Times New Roman" w:hAnsi="Times New Roman" w:cs="Times New Roman"/>
          <w:lang w:val="en-US"/>
        </w:rPr>
        <w:t xml:space="preserve">or </w:t>
      </w:r>
      <w:r w:rsidRPr="00F85673">
        <w:rPr>
          <w:rFonts w:ascii="Times New Roman" w:hAnsi="Times New Roman" w:cs="Times New Roman"/>
          <w:lang w:val="en-US"/>
        </w:rPr>
        <w:t>to define</w:t>
      </w:r>
      <w:r w:rsidR="00974236" w:rsidRPr="00F85673">
        <w:rPr>
          <w:rFonts w:ascii="Times New Roman" w:hAnsi="Times New Roman" w:cs="Times New Roman"/>
          <w:lang w:val="en-US"/>
        </w:rPr>
        <w:t xml:space="preserve"> </w:t>
      </w:r>
      <w:r w:rsidRPr="00F85673">
        <w:rPr>
          <w:rFonts w:ascii="Times New Roman" w:hAnsi="Times New Roman" w:cs="Times New Roman"/>
          <w:lang w:val="en-US"/>
        </w:rPr>
        <w:t>intervention thresholds</w:t>
      </w:r>
      <w:r w:rsidR="005353C5" w:rsidRPr="00F85673">
        <w:rPr>
          <w:rFonts w:ascii="Times New Roman" w:hAnsi="Times New Roman" w:cs="Times New Roman"/>
          <w:lang w:val="en-US"/>
        </w:rPr>
        <w:t xml:space="preserve"> [</w:t>
      </w:r>
      <w:r w:rsidR="005353C5" w:rsidRPr="00F85673">
        <w:rPr>
          <w:rFonts w:ascii="Times New Roman" w:hAnsi="Times New Roman" w:cs="Times New Roman"/>
          <w:lang w:val="en-US"/>
        </w:rPr>
        <w:fldChar w:fldCharType="begin" w:fldLock="1"/>
      </w:r>
      <w:r w:rsidR="00AC6BD5" w:rsidRPr="00F85673">
        <w:rPr>
          <w:rFonts w:ascii="Times New Roman" w:hAnsi="Times New Roman" w:cs="Times New Roman"/>
          <w:lang w:val="en-US"/>
        </w:rPr>
        <w:instrText>ADDIN CSL_CITATION {"citationItems":[{"id":"ITEM-1","itemData":{"DOI":"10.1007/s11657-016-0278-z","ISSN":"18623514","PMID":"27465509","abstract":"Summary: This systematic review identified assessment guidelines for osteoporosis that incorporate FRAX. The rationale for intervention thresholds is given in a minority of papers. Intervention thresholds (fixed or age-dependent) need to be country-specific. Introduction: In most assessment guidelines, treatment for osteoporosis is recommended in individuals with prior fragility fractures, especially fractures at spine and hip. However, for those without prior fractures, the intervention thresholds can be derived using different methods. The aim of this report was to undertake a systematic review of the available information on the use of FRAX® in assessment guidelines, in particular the setting of thresholds and their validation. Methods: We identified 120 guidelines or academic papers that incorporated FRAX of which 38 provided no clear statement on how the fracture probabilities derived are to be used in decision-making in clinical practice. The remainder recommended a fixed intervention threshold (n = 58), most commonly as a component of more complex guidance (e.g. bone mineral density (BMD) thresholds) or an age-dependent threshold (n = 22). Two guidelines have adopted both age-dependent and fixed thresholds. Results: Fixed probability thresholds have ranged from 4 to 20 % for a major fracture and 1.3–5 % for hip fracture. More than one half (39) of the 58 publications identified utilised a threshold probability of 20 % for a major osteoporotic fracture, many of which also mention a hip fracture probability of 3 % as an alternative intervention threshold. In nearly all instances, no rationale is provided other than that this was the threshold used by the National Osteoporosis Foundation of the USA. Where undertaken, fixed probability thresholds have been determined from tests of discrimination (Hong Kong), health economic assessment (USA, Switzerland), to match the prevalence of osteoporosis (China) or to align with pre-existing guidelines or reimbursement criteria (Japan, Poland). Age-dependent intervention thresholds, first developed by the National Osteoporosis Guideline Group (NOGG), are based on the rationale that if a woman with a prior fragility fracture is eligible for treatment, then, at any given age, a man or woman with the same fracture probability but in the absence of a previous fracture (i.e. at the ‘fracture threshold’) should also be eligible. Under current NOGG guidelines, based on age-dependent probability thresholds, inequalitie…","author":[{"dropping-particle":"","family":"Kanis","given":"John A.","non-dropping-particle":"","parse-names":false,"suffix":""},{"dropping-particle":"","family":"Harvey","given":"Nicholas","non-dropping-particle":"","parse-names":false,"suffix":""},{"dropping-particle":"","family":"Cooper","given":"Cyrus","non-dropping-particle":"","parse-names":false,"suffix":""},{"dropping-particle":"","family":"Johansson","given":"Helena","non-dropping-particle":"","parse-names":false,"suffix":""},{"dropping-particle":"","family":"Odén","given":"Anders","non-dropping-particle":"","parse-names":false,"suffix":""},{"dropping-particle":"","family":"McCloskey","given":"Eugene","non-dropping-particle":"","parse-names":false,"suffix":""},{"dropping-particle":"","family":"The Advisory Board of the National Osteoporosis Guideline Group","given":"","non-dropping-particle":"","parse-names":false,"suffix":""},{"dropping-particle":"","family":"Poole","given":"Ken E.","non-dropping-particle":"","parse-names":false,"suffix":""},{"dropping-particle":"","family":"Gittoes","given":"Neil","non-dropping-particle":"","parse-names":false,"suffix":""},{"dropping-particle":"","family":"Hope","given":"Sally","non-dropping-particle":"","parse-names":false,"suffix":""}],"container-title":"Archives of Osteoporosis","id":"ITEM-1","issue":"1","issued":{"date-parts":[["2016"]]},"publisher":"Archives of Osteoporosis","title":"A systematic review of intervention thresholds based on FRAX: A report prepared for the National Osteoporosis Guideline Group and the International Osteoporosis Foundation","type":"article-journal","volume":"11"},"uris":["http://www.mendeley.com/documents/?uuid=2981e0f9-3601-49fb-beed-494fccd3444d"]}],"mendeley":{"formattedCitation":"&lt;sup&gt;6&lt;/sup&gt;","plainTextFormattedCitation":"6","previouslyFormattedCitation":"&lt;sup&gt;6&lt;/sup&gt;"},"properties":{"noteIndex":0},"schema":"https://github.com/citation-style-language/schema/raw/master/csl-citation.json"}</w:instrText>
      </w:r>
      <w:r w:rsidR="005353C5" w:rsidRPr="00F85673">
        <w:rPr>
          <w:rFonts w:ascii="Times New Roman" w:hAnsi="Times New Roman" w:cs="Times New Roman"/>
          <w:lang w:val="en-US"/>
        </w:rPr>
        <w:fldChar w:fldCharType="separate"/>
      </w:r>
      <w:r w:rsidR="005353C5" w:rsidRPr="00F85673">
        <w:rPr>
          <w:rFonts w:ascii="Times New Roman" w:hAnsi="Times New Roman" w:cs="Times New Roman"/>
          <w:noProof/>
          <w:lang w:val="en-US"/>
        </w:rPr>
        <w:t>6</w:t>
      </w:r>
      <w:r w:rsidR="005353C5" w:rsidRPr="00F85673">
        <w:rPr>
          <w:rFonts w:ascii="Times New Roman" w:hAnsi="Times New Roman" w:cs="Times New Roman"/>
          <w:lang w:val="en-US"/>
        </w:rPr>
        <w:fldChar w:fldCharType="end"/>
      </w:r>
      <w:r w:rsidR="005353C5" w:rsidRPr="00F85673">
        <w:rPr>
          <w:rFonts w:ascii="Times New Roman" w:hAnsi="Times New Roman" w:cs="Times New Roman"/>
          <w:lang w:val="en-US"/>
        </w:rPr>
        <w:t xml:space="preserve">]. </w:t>
      </w:r>
      <w:r w:rsidR="00575BC6" w:rsidRPr="00F85673">
        <w:rPr>
          <w:rFonts w:ascii="Times New Roman" w:hAnsi="Times New Roman" w:cs="Times New Roman"/>
          <w:lang w:val="en-US"/>
        </w:rPr>
        <w:t xml:space="preserve">The </w:t>
      </w:r>
      <w:r w:rsidR="007E41EC" w:rsidRPr="00F85673">
        <w:rPr>
          <w:rFonts w:ascii="Times New Roman" w:hAnsi="Times New Roman" w:cs="Times New Roman"/>
          <w:lang w:val="en-US"/>
        </w:rPr>
        <w:t xml:space="preserve">low </w:t>
      </w:r>
      <w:r w:rsidR="00474C38" w:rsidRPr="00F85673">
        <w:rPr>
          <w:rFonts w:ascii="Times New Roman" w:hAnsi="Times New Roman" w:cs="Times New Roman"/>
          <w:lang w:val="en-US"/>
        </w:rPr>
        <w:t xml:space="preserve">quality of input </w:t>
      </w:r>
      <w:r w:rsidR="000E0D78" w:rsidRPr="00F85673">
        <w:rPr>
          <w:rFonts w:ascii="Times New Roman" w:hAnsi="Times New Roman" w:cs="Times New Roman"/>
          <w:lang w:val="en-US"/>
        </w:rPr>
        <w:t xml:space="preserve">parameters </w:t>
      </w:r>
      <w:r w:rsidR="00575BC6" w:rsidRPr="00F85673">
        <w:rPr>
          <w:rFonts w:ascii="Times New Roman" w:hAnsi="Times New Roman" w:cs="Times New Roman"/>
          <w:lang w:val="en-US"/>
        </w:rPr>
        <w:t xml:space="preserve">and poor reporting of these economic evaluations may however hamper their </w:t>
      </w:r>
      <w:r w:rsidR="006A0366" w:rsidRPr="00F85673">
        <w:rPr>
          <w:rFonts w:ascii="Times New Roman" w:hAnsi="Times New Roman" w:cs="Times New Roman"/>
          <w:lang w:val="en-US"/>
        </w:rPr>
        <w:t>use by decision-makers and health professionals.</w:t>
      </w:r>
    </w:p>
    <w:p w14:paraId="356E1C53" w14:textId="13F254A6" w:rsidR="00CF106A" w:rsidRPr="00CF106A" w:rsidRDefault="00575BC6" w:rsidP="00C74157">
      <w:pPr>
        <w:jc w:val="both"/>
        <w:rPr>
          <w:rFonts w:ascii="Times New Roman" w:hAnsi="Times New Roman" w:cs="Times New Roman"/>
          <w:lang w:val="en-US"/>
        </w:rPr>
      </w:pPr>
      <w:r w:rsidRPr="00CF106A">
        <w:rPr>
          <w:rFonts w:ascii="Times New Roman" w:hAnsi="Times New Roman" w:cs="Times New Roman"/>
          <w:lang w:val="en-US"/>
        </w:rPr>
        <w:t xml:space="preserve">Using the </w:t>
      </w:r>
      <w:r w:rsidR="00E050A2" w:rsidRPr="00CF106A">
        <w:rPr>
          <w:rFonts w:ascii="Times New Roman" w:hAnsi="Times New Roman" w:cs="Times New Roman"/>
          <w:lang w:val="en-US"/>
        </w:rPr>
        <w:t>Consolidated Health Economic Evaluation Reporting Standards (CHEERS) statement</w:t>
      </w:r>
      <w:r w:rsidR="004C15DE" w:rsidRPr="00CF106A">
        <w:rPr>
          <w:rFonts w:ascii="Times New Roman" w:hAnsi="Times New Roman" w:cs="Times New Roman"/>
          <w:lang w:val="en-US"/>
        </w:rPr>
        <w:t xml:space="preserve"> [</w:t>
      </w:r>
      <w:r w:rsidR="00DE2038" w:rsidRPr="00CF106A">
        <w:rPr>
          <w:rFonts w:ascii="Times New Roman" w:hAnsi="Times New Roman" w:cs="Times New Roman"/>
          <w:lang w:val="en-US"/>
        </w:rPr>
        <w:fldChar w:fldCharType="begin" w:fldLock="1"/>
      </w:r>
      <w:r w:rsidR="00C67DC9" w:rsidRPr="00CF106A">
        <w:rPr>
          <w:rFonts w:ascii="Times New Roman" w:hAnsi="Times New Roman" w:cs="Times New Roman"/>
          <w:lang w:val="en-US"/>
        </w:rPr>
        <w:instrText>ADDIN CSL_CITATION {"citationItems":[{"id":"ITEM-1","itemData":{"DOI":"10.1016/j.jval.2013.02.010","ISSN":"15244733","PMID":"23538200","abstract":"Economic evaluations of health interventions pose a particular challenge for reporting. There is also a need to consolidate and update existing guidelines and promote their use in a user friendly manner. The Consolidated Health Economic Evaluation Reporting Standards (CHEERS) statement is an attempt to consolidate and update previous health economic evaluation guidelines efforts into one current, useful reporting guidance. The primary audiences for the CHEERS statement are researchers reporting economic evaluations and the editors and peer reviewers assessing them for publication. The need for new reporting guidance was identified by a survey of medical editors. A list of possible items based on a systematic review was created. A two round, modified Delphi panel consisting of representatives from academia, clinical practice, industry, government, and the editorial community was conducted. Out of 44 candidate items, 24 items and accompanying recommendations were developed. The recommendations are contained in a user friendly, 24 item checklist. A copy of the statement, accompanying checklist, and this report can be found on the ISPOR Health Economic Evaluations Publication Guidelines Task Force website: (www.ispor.org/TaskForces/EconomicPubGuidelines.asp). We hope CHEERS will lead to better reporting, and ultimately, better health decisions. To facilitate dissemination and uptake, the CHEERS statement is being co-published across 10 health economics and medical journals. We encourage other journals and groups, to endorse CHEERS. The author team plans to review the checklist for an update in five years. © 2013, International Society for Pharmacoeconomics and Outcomes Research (ISPOR).","author":[{"dropping-particle":"","family":"Husereau","given":"Don","non-dropping-particle":"","parse-names":false,"suffix":""},{"dropping-particle":"","family":"Drummond","given":"Michael","non-dropping-particle":"","parse-names":false,"suffix":""},{"dropping-particle":"","family":"Petrou","given":"Stavros","non-dropping-particle":"","parse-names":false,"suffix":""},{"dropping-particle":"","family":"Carswell","given":"Chris","non-dropping-particle":"","parse-names":false,"suffix":""},{"dropping-particle":"","family":"Moher","given":"David","non-dropping-particle":"","parse-names":false,"suffix":""},{"dropping-particle":"","family":"Greenberg","given":"Dan","non-dropping-particle":"","parse-names":false,"suffix":""},{"dropping-particle":"","family":"Augustovski","given":"Federico","non-dropping-particle":"","parse-names":false,"suffix":""},{"dropping-particle":"","family":"Briggs","given":"Andrew H.","non-dropping-particle":"","parse-names":false,"suffix":""},{"dropping-particle":"","family":"Mauskopf","given":"Josephine","non-dropping-particle":"","parse-names":false,"suffix":""},{"dropping-particle":"","family":"Loder","given":"Elizabeth","non-dropping-particle":"","parse-names":false,"suffix":""}],"container-title":"Value in Health","id":"ITEM-1","issue":"2","issued":{"date-parts":[["2013"]]},"page":"e1","publisher":"BMC Medicine","title":"Consolidated health economic evaluation reporting standards (CHEERS) statement","type":"article-journal","volume":"16"},"uris":["http://www.mendeley.com/documents/?uuid=21487b52-6448-4412-abb5-4d63ee9c0673"]}],"mendeley":{"formattedCitation":"&lt;sup&gt;7&lt;/sup&gt;","plainTextFormattedCitation":"7","previouslyFormattedCitation":"&lt;sup&gt;7&lt;/sup&gt;"},"properties":{"noteIndex":0},"schema":"https://github.com/citation-style-language/schema/raw/master/csl-citation.json"}</w:instrText>
      </w:r>
      <w:r w:rsidR="00DE2038" w:rsidRPr="00CF106A">
        <w:rPr>
          <w:rFonts w:ascii="Times New Roman" w:hAnsi="Times New Roman" w:cs="Times New Roman"/>
          <w:lang w:val="en-US"/>
        </w:rPr>
        <w:fldChar w:fldCharType="separate"/>
      </w:r>
      <w:r w:rsidR="00DE2038" w:rsidRPr="00CF106A">
        <w:rPr>
          <w:rFonts w:ascii="Times New Roman" w:hAnsi="Times New Roman" w:cs="Times New Roman"/>
          <w:noProof/>
          <w:lang w:val="en-US"/>
        </w:rPr>
        <w:t>7</w:t>
      </w:r>
      <w:r w:rsidR="00DE2038" w:rsidRPr="00CF106A">
        <w:rPr>
          <w:rFonts w:ascii="Times New Roman" w:hAnsi="Times New Roman" w:cs="Times New Roman"/>
          <w:lang w:val="en-US"/>
        </w:rPr>
        <w:fldChar w:fldCharType="end"/>
      </w:r>
      <w:r w:rsidR="004C15DE" w:rsidRPr="00CF106A">
        <w:rPr>
          <w:rFonts w:ascii="Times New Roman" w:hAnsi="Times New Roman" w:cs="Times New Roman"/>
          <w:lang w:val="en-US"/>
        </w:rPr>
        <w:t>]</w:t>
      </w:r>
      <w:r w:rsidRPr="00CF106A">
        <w:rPr>
          <w:rFonts w:ascii="Times New Roman" w:hAnsi="Times New Roman" w:cs="Times New Roman"/>
          <w:lang w:val="en-US"/>
        </w:rPr>
        <w:t xml:space="preserve"> </w:t>
      </w:r>
      <w:r w:rsidR="00A22D77" w:rsidRPr="00CF106A">
        <w:rPr>
          <w:rFonts w:ascii="Times New Roman" w:hAnsi="Times New Roman" w:cs="Times New Roman"/>
          <w:lang w:val="en-US"/>
        </w:rPr>
        <w:t>(which was regarded as minimum amount of information</w:t>
      </w:r>
      <w:r w:rsidR="00A22DF9" w:rsidRPr="00CF106A">
        <w:rPr>
          <w:rFonts w:ascii="Times New Roman" w:hAnsi="Times New Roman" w:cs="Times New Roman"/>
          <w:lang w:val="en-US"/>
        </w:rPr>
        <w:t xml:space="preserve"> required for reporting economic evalu</w:t>
      </w:r>
      <w:r w:rsidR="00A30CE8" w:rsidRPr="00CF106A">
        <w:rPr>
          <w:rFonts w:ascii="Times New Roman" w:hAnsi="Times New Roman" w:cs="Times New Roman"/>
          <w:lang w:val="en-US"/>
        </w:rPr>
        <w:t>a</w:t>
      </w:r>
      <w:r w:rsidR="00A22DF9" w:rsidRPr="00CF106A">
        <w:rPr>
          <w:rFonts w:ascii="Times New Roman" w:hAnsi="Times New Roman" w:cs="Times New Roman"/>
          <w:lang w:val="en-US"/>
        </w:rPr>
        <w:t>tions</w:t>
      </w:r>
      <w:r w:rsidR="00A22D77" w:rsidRPr="00CF106A">
        <w:rPr>
          <w:rFonts w:ascii="Times New Roman" w:hAnsi="Times New Roman" w:cs="Times New Roman"/>
          <w:lang w:val="en-US"/>
        </w:rPr>
        <w:t>)</w:t>
      </w:r>
      <w:r w:rsidR="00C06879" w:rsidRPr="00CF106A">
        <w:rPr>
          <w:rFonts w:ascii="Times New Roman" w:hAnsi="Times New Roman" w:cs="Times New Roman"/>
          <w:lang w:val="en-US"/>
        </w:rPr>
        <w:t>,</w:t>
      </w:r>
      <w:r w:rsidR="00A22DF9" w:rsidRPr="00CF106A">
        <w:rPr>
          <w:rFonts w:ascii="Times New Roman" w:hAnsi="Times New Roman" w:cs="Times New Roman"/>
          <w:lang w:val="en-US"/>
        </w:rPr>
        <w:t xml:space="preserve"> </w:t>
      </w:r>
      <w:r w:rsidR="00CF106A">
        <w:rPr>
          <w:rFonts w:ascii="Times New Roman" w:hAnsi="Times New Roman" w:cs="Times New Roman"/>
          <w:lang w:val="en-US"/>
        </w:rPr>
        <w:t xml:space="preserve">in 2015, </w:t>
      </w:r>
      <w:r w:rsidR="00CF106A" w:rsidRPr="00CF106A">
        <w:rPr>
          <w:rFonts w:ascii="Times New Roman" w:hAnsi="Times New Roman" w:cs="Times New Roman"/>
          <w:lang w:val="en-US"/>
        </w:rPr>
        <w:t>Hiligsmann et al. [</w:t>
      </w:r>
      <w:r w:rsidR="00CF106A" w:rsidRPr="00CF106A">
        <w:rPr>
          <w:rFonts w:ascii="Times New Roman" w:hAnsi="Times New Roman" w:cs="Times New Roman"/>
          <w:lang w:val="en-US"/>
        </w:rPr>
        <w:fldChar w:fldCharType="begin" w:fldLock="1"/>
      </w:r>
      <w:r w:rsidR="00CF106A" w:rsidRPr="00CF106A">
        <w:rPr>
          <w:rFonts w:ascii="Times New Roman" w:hAnsi="Times New Roman" w:cs="Times New Roman"/>
          <w:lang w:val="en-US"/>
        </w:rPr>
        <w:instrText>ADDIN CSL_CITATION {"citationItems":[{"id":"ITEM-1","itemData":{"DOI":"10.1007/s40273-014-0231-1","ISSN":"11792027","PMID":"25377850","abstract":"Background: Given the limited availability of healthcare resources and the recent introduction of new anti-osteoporosis drugs, the interest in the cost effectiveness of drugs in postmenopausal osteoporosis remains and even increases.\nObjective: This study aims to identify all recent economic evaluations on drugs for postmenopausal osteoporosis, to critically appraise the reporting quality, and to summarize the results.\nMethods: A literature search using Medline, the National Health Service Economic Evaluation database and the Cost-Effectiveness Analysis Registry was undertaken to identify original articles published between January 1, 2008 and December 31, 2013. Studies that assessed cost effectiveness of drugs in postmenopausal osteoporosis were included. The Consolidated Health Economic Evaluation Reporting Standards (CHEERS) statement was used to assess the quality of reporting of these articles.\nResults: Of 1,794 articles identified, 39 studies fulfilled the inclusion criteria. They were conducted in 14 different countries and nine active interventions were assessed. When compared with no treatment, active osteoporotic drugs were generally cost effective in postmenopausal women aged over 60–65 years with low bone mass, especially those with prior vertebral fractures. Key drivers of cost effectiveness included individual fracture risk, medication adherence, selected comparators and country-specific analyses. Quality of reporting varied between studies with an average score of 17.9 out of 24 (range 7–21.5).\nConclusion: This review found a substantial number of published cost-effectiveness analyses of drugs in osteoporosis in the last 6 years. Results and critical appraisal of these articles can help decision makers when prioritizing health interventions and can inform the development of future economic evaluations.","author":[{"dropping-particle":"","family":"Hiligsmann","given":"Mickaël","non-dropping-particle":"","parse-names":false,"suffix":""},{"dropping-particle":"","family":"Evers","given":"Silvia M.","non-dropping-particle":"","parse-names":false,"suffix":""},{"dropping-particle":"","family":"Sedrine","given":"Wafa","non-dropping-particle":"Ben","parse-names":false,"suffix":""},{"dropping-particle":"","family":"Kanis","given":"John A.","non-dropping-particle":"","parse-names":false,"suffix":""},{"dropping-particle":"","family":"Ramaekers","given":"Bram","non-dropping-particle":"","parse-names":false,"suffix":""},{"dropping-particle":"","family":"Reginster","given":"Jean Yves","non-dropping-particle":"","parse-names":false,"suffix":""},{"dropping-particle":"","family":"Silverman","given":"Stuart","non-dropping-particle":"","parse-names":false,"suffix":""},{"dropping-particle":"","family":"Wyers","given":"Caroline E.","non-dropping-particle":"","parse-names":false,"suffix":""},{"dropping-particle":"","family":"Boonen","given":"Annelies","non-dropping-particle":"","parse-names":false,"suffix":""}],"container-title":"PharmacoEconomics","id":"ITEM-1","issue":"3","issued":{"date-parts":[["2015"]]},"page":"205-224","title":"A Systematic Review of Cost-Effectiveness Analyses of Drugs for Postmenopausal Osteoporosis","type":"article-journal","volume":"33"},"uris":["http://www.mendeley.com/documents/?uuid=fc8d183e-f2f7-4d4e-b6f2-7d486f4242e6"]}],"mendeley":{"formattedCitation":"&lt;sup&gt;1&lt;/sup&gt;","plainTextFormattedCitation":"1","previouslyFormattedCitation":"&lt;sup&gt;1&lt;/sup&gt;"},"properties":{"noteIndex":0},"schema":"https://github.com/citation-style-language/schema/raw/master/csl-citation.json"}</w:instrText>
      </w:r>
      <w:r w:rsidR="00CF106A" w:rsidRPr="00CF106A">
        <w:rPr>
          <w:rFonts w:ascii="Times New Roman" w:hAnsi="Times New Roman" w:cs="Times New Roman"/>
          <w:lang w:val="en-US"/>
        </w:rPr>
        <w:fldChar w:fldCharType="separate"/>
      </w:r>
      <w:r w:rsidR="00CF106A" w:rsidRPr="00CF106A">
        <w:rPr>
          <w:rFonts w:ascii="Times New Roman" w:hAnsi="Times New Roman" w:cs="Times New Roman"/>
          <w:noProof/>
          <w:lang w:val="en-US"/>
        </w:rPr>
        <w:t>1</w:t>
      </w:r>
      <w:r w:rsidR="00CF106A" w:rsidRPr="00CF106A">
        <w:rPr>
          <w:rFonts w:ascii="Times New Roman" w:hAnsi="Times New Roman" w:cs="Times New Roman"/>
          <w:lang w:val="en-US"/>
        </w:rPr>
        <w:fldChar w:fldCharType="end"/>
      </w:r>
      <w:r w:rsidR="00CF106A" w:rsidRPr="00CF106A">
        <w:rPr>
          <w:rFonts w:ascii="Times New Roman" w:hAnsi="Times New Roman" w:cs="Times New Roman"/>
          <w:lang w:val="en-US"/>
        </w:rPr>
        <w:t>] assessed the quality of reporting of cost-effectiveness analyses of anti-osteoporosis medications published between 2008 and 2013</w:t>
      </w:r>
      <w:r w:rsidR="00CF106A">
        <w:rPr>
          <w:rFonts w:ascii="Times New Roman" w:hAnsi="Times New Roman" w:cs="Times New Roman"/>
          <w:lang w:val="en-US"/>
        </w:rPr>
        <w:t xml:space="preserve">, </w:t>
      </w:r>
      <w:r w:rsidR="00CF106A" w:rsidRPr="00CF106A">
        <w:rPr>
          <w:rFonts w:ascii="Times New Roman" w:hAnsi="Times New Roman" w:cs="Times New Roman"/>
          <w:lang w:val="en-US"/>
        </w:rPr>
        <w:t>revealing that the quality of reporting was largely insufficient for several articles</w:t>
      </w:r>
      <w:r w:rsidR="00CF106A">
        <w:rPr>
          <w:rFonts w:ascii="Times New Roman" w:hAnsi="Times New Roman" w:cs="Times New Roman"/>
          <w:lang w:val="en-US"/>
        </w:rPr>
        <w:t xml:space="preserve">. </w:t>
      </w:r>
    </w:p>
    <w:p w14:paraId="40BFC951" w14:textId="79CFF148" w:rsidR="00F14612" w:rsidRPr="00C74157" w:rsidRDefault="00F85673" w:rsidP="00C74157">
      <w:pPr>
        <w:jc w:val="both"/>
        <w:rPr>
          <w:rFonts w:ascii="Times New Roman" w:hAnsi="Times New Roman" w:cs="Times New Roman"/>
          <w:lang w:val="en-US"/>
        </w:rPr>
      </w:pPr>
      <w:r>
        <w:rPr>
          <w:rFonts w:ascii="Times New Roman" w:hAnsi="Times New Roman" w:cs="Times New Roman"/>
          <w:lang w:val="en-US"/>
        </w:rPr>
        <w:t xml:space="preserve">In 2019, a </w:t>
      </w:r>
      <w:r w:rsidR="00F14612" w:rsidRPr="00317681">
        <w:rPr>
          <w:rFonts w:ascii="Times New Roman" w:hAnsi="Times New Roman" w:cs="Times New Roman"/>
          <w:lang w:val="en-US"/>
        </w:rPr>
        <w:t>working group</w:t>
      </w:r>
      <w:r w:rsidR="00C67DC9" w:rsidRPr="00317681">
        <w:rPr>
          <w:rFonts w:ascii="Times New Roman" w:hAnsi="Times New Roman" w:cs="Times New Roman"/>
          <w:lang w:val="en-US"/>
        </w:rPr>
        <w:t xml:space="preserve"> [</w:t>
      </w:r>
      <w:r w:rsidR="00C67DC9" w:rsidRPr="00317681">
        <w:rPr>
          <w:rFonts w:ascii="Times New Roman" w:hAnsi="Times New Roman" w:cs="Times New Roman"/>
          <w:lang w:val="en-US"/>
        </w:rPr>
        <w:fldChar w:fldCharType="begin" w:fldLock="1"/>
      </w:r>
      <w:r w:rsidR="000E04D3" w:rsidRPr="00317681">
        <w:rPr>
          <w:rFonts w:ascii="Times New Roman" w:hAnsi="Times New Roman" w:cs="Times New Roman"/>
          <w:lang w:val="en-US"/>
        </w:rPr>
        <w:instrText>ADDIN CSL_CITATION {"citationItems":[{"id":"ITEM-1","itemData":{"author":[{"dropping-particle":"","family":"Hiligsmann","given":"M","non-dropping-particle":"","parse-names":false,"suffix":""},{"dropping-particle":"","family":"Reginster","given":"J","non-dropping-particle":"","parse-names":false,"suffix":""},{"dropping-particle":"","family":"Tosteson","given":"A N A","non-dropping-particle":"","parse-names":false,"suffix":""},{"dropping-particle":"V","family":"Bukata","given":"S","non-dropping-particle":"","parse-names":false,"suffix":""},{"dropping-particle":"","family":"Saag","given":"K G","non-dropping-particle":"","parse-names":false,"suffix":""},{"dropping-particle":"","family":"Gold","given":"D T","non-dropping-particle":"","parse-names":false,"suffix":""},{"dropping-particle":"","family":"Halbout","given":"P","non-dropping-particle":"","parse-names":false,"suffix":""},{"dropping-particle":"","family":"Jiwa","given":"F","non-dropping-particle":"","parse-names":false,"suffix":""}],"id":"ITEM-1","issued":{"date-parts":[["2019"]]},"page":"45-57","title":"Recommendations for the conduct of economic evaluations in osteoporosis : outcomes of an experts ’ consensus meeting organized by the European Society for Clinical and Economic Aspects of Osteoporosis , Osteoarthritis and Musculoskeletal Diseases ( ESCEO ","type":"article-journal"},"uris":["http://www.mendeley.com/documents/?uuid=32226281-4ef1-4470-b404-888321542fe3"]}],"mendeley":{"formattedCitation":"&lt;sup&gt;8&lt;/sup&gt;","plainTextFormattedCitation":"8","previouslyFormattedCitation":"&lt;sup&gt;8&lt;/sup&gt;"},"properties":{"noteIndex":0},"schema":"https://github.com/citation-style-language/schema/raw/master/csl-citation.json"}</w:instrText>
      </w:r>
      <w:r w:rsidR="00C67DC9" w:rsidRPr="00317681">
        <w:rPr>
          <w:rFonts w:ascii="Times New Roman" w:hAnsi="Times New Roman" w:cs="Times New Roman"/>
          <w:lang w:val="en-US"/>
        </w:rPr>
        <w:fldChar w:fldCharType="separate"/>
      </w:r>
      <w:r w:rsidR="00C67DC9" w:rsidRPr="00317681">
        <w:rPr>
          <w:rFonts w:ascii="Times New Roman" w:hAnsi="Times New Roman" w:cs="Times New Roman"/>
          <w:lang w:val="en-US"/>
        </w:rPr>
        <w:t>8</w:t>
      </w:r>
      <w:r w:rsidR="00C67DC9" w:rsidRPr="00317681">
        <w:rPr>
          <w:rFonts w:ascii="Times New Roman" w:hAnsi="Times New Roman" w:cs="Times New Roman"/>
          <w:lang w:val="en-US"/>
        </w:rPr>
        <w:fldChar w:fldCharType="end"/>
      </w:r>
      <w:r w:rsidR="00C67DC9" w:rsidRPr="00317681">
        <w:rPr>
          <w:rFonts w:ascii="Times New Roman" w:hAnsi="Times New Roman" w:cs="Times New Roman"/>
          <w:lang w:val="en-US"/>
        </w:rPr>
        <w:t xml:space="preserve">] </w:t>
      </w:r>
      <w:r w:rsidR="00317681">
        <w:rPr>
          <w:rFonts w:ascii="Times New Roman" w:hAnsi="Times New Roman" w:cs="Times New Roman"/>
          <w:lang w:val="en-US"/>
        </w:rPr>
        <w:t>w</w:t>
      </w:r>
      <w:r w:rsidR="00F14612" w:rsidRPr="00317681">
        <w:rPr>
          <w:rFonts w:ascii="Times New Roman" w:hAnsi="Times New Roman" w:cs="Times New Roman"/>
          <w:lang w:val="en-US"/>
        </w:rPr>
        <w:t xml:space="preserve">as convened </w:t>
      </w:r>
      <w:r>
        <w:rPr>
          <w:rFonts w:ascii="Times New Roman" w:hAnsi="Times New Roman" w:cs="Times New Roman"/>
          <w:lang w:val="en-US"/>
        </w:rPr>
        <w:t xml:space="preserve">by the </w:t>
      </w:r>
      <w:r w:rsidRPr="00F85673">
        <w:rPr>
          <w:rFonts w:ascii="Times New Roman" w:hAnsi="Times New Roman" w:cs="Times New Roman"/>
          <w:lang w:val="en-US"/>
        </w:rPr>
        <w:t>European Society for Clinical and Economic Aspects of Osteoporosis, Osteoarthritis and Musculoskeletal Diseases (ESCEO) and the US branch of the International Osteoporosis Foundation</w:t>
      </w:r>
      <w:r>
        <w:rPr>
          <w:rFonts w:ascii="Times New Roman" w:hAnsi="Times New Roman" w:cs="Times New Roman"/>
          <w:lang w:val="en-US"/>
        </w:rPr>
        <w:t xml:space="preserve"> (IOF) </w:t>
      </w:r>
      <w:r w:rsidR="00F14612" w:rsidRPr="00317681">
        <w:rPr>
          <w:rFonts w:ascii="Times New Roman" w:hAnsi="Times New Roman" w:cs="Times New Roman"/>
          <w:lang w:val="en-US"/>
        </w:rPr>
        <w:t>to</w:t>
      </w:r>
      <w:r w:rsidR="00F14612" w:rsidRPr="00C74157">
        <w:rPr>
          <w:rFonts w:ascii="Times New Roman" w:hAnsi="Times New Roman" w:cs="Times New Roman"/>
          <w:lang w:val="en-US"/>
        </w:rPr>
        <w:t xml:space="preserve"> </w:t>
      </w:r>
      <w:r w:rsidR="00E050A2" w:rsidRPr="00C74157">
        <w:rPr>
          <w:rFonts w:ascii="Times New Roman" w:hAnsi="Times New Roman" w:cs="Times New Roman"/>
          <w:lang w:val="en-US"/>
        </w:rPr>
        <w:t xml:space="preserve">provide guidance for the design, conduct, and reporting of economic evaluations in osteoporosis to improve their transparency, comparability, and methodologic standards. </w:t>
      </w:r>
      <w:r w:rsidR="00E6014B" w:rsidRPr="00C74157">
        <w:rPr>
          <w:rFonts w:ascii="Times New Roman" w:hAnsi="Times New Roman" w:cs="Times New Roman"/>
          <w:lang w:val="en-US"/>
        </w:rPr>
        <w:t>Acknowledging</w:t>
      </w:r>
      <w:r w:rsidR="00F14612" w:rsidRPr="00C74157">
        <w:rPr>
          <w:rFonts w:ascii="Times New Roman" w:hAnsi="Times New Roman" w:cs="Times New Roman"/>
          <w:lang w:val="en-US"/>
        </w:rPr>
        <w:t xml:space="preserve"> the importance of reporting</w:t>
      </w:r>
      <w:r w:rsidR="00E6014B" w:rsidRPr="00C74157">
        <w:rPr>
          <w:rFonts w:ascii="Times New Roman" w:hAnsi="Times New Roman" w:cs="Times New Roman"/>
          <w:lang w:val="en-US"/>
        </w:rPr>
        <w:t>, and the wide</w:t>
      </w:r>
      <w:r w:rsidR="008D730A" w:rsidRPr="00C74157">
        <w:rPr>
          <w:rFonts w:ascii="Times New Roman" w:hAnsi="Times New Roman" w:cs="Times New Roman"/>
          <w:lang w:val="en-US"/>
        </w:rPr>
        <w:t>spread</w:t>
      </w:r>
      <w:r w:rsidR="00E6014B" w:rsidRPr="00C74157">
        <w:rPr>
          <w:rFonts w:ascii="Times New Roman" w:hAnsi="Times New Roman" w:cs="Times New Roman"/>
          <w:lang w:val="en-US"/>
        </w:rPr>
        <w:t xml:space="preserve"> recognition and acceptance of </w:t>
      </w:r>
      <w:r w:rsidR="00C06879">
        <w:rPr>
          <w:rFonts w:ascii="Times New Roman" w:hAnsi="Times New Roman" w:cs="Times New Roman"/>
          <w:lang w:val="en-US"/>
        </w:rPr>
        <w:t xml:space="preserve">the </w:t>
      </w:r>
      <w:r w:rsidR="00E6014B" w:rsidRPr="00C74157">
        <w:rPr>
          <w:rFonts w:ascii="Times New Roman" w:hAnsi="Times New Roman" w:cs="Times New Roman"/>
          <w:lang w:val="en-US"/>
        </w:rPr>
        <w:t>CHEERS statement (published in 2013)</w:t>
      </w:r>
      <w:r w:rsidR="00F14612" w:rsidRPr="00C74157">
        <w:rPr>
          <w:rFonts w:ascii="Times New Roman" w:hAnsi="Times New Roman" w:cs="Times New Roman"/>
          <w:lang w:val="en-US"/>
        </w:rPr>
        <w:t xml:space="preserve">, the </w:t>
      </w:r>
      <w:r w:rsidR="00C06879">
        <w:rPr>
          <w:rFonts w:ascii="Times New Roman" w:hAnsi="Times New Roman" w:cs="Times New Roman"/>
          <w:lang w:val="en-US"/>
        </w:rPr>
        <w:t>working group</w:t>
      </w:r>
      <w:r w:rsidR="00575BC6" w:rsidRPr="00C74157">
        <w:rPr>
          <w:rFonts w:ascii="Times New Roman" w:hAnsi="Times New Roman" w:cs="Times New Roman"/>
          <w:lang w:val="en-US"/>
        </w:rPr>
        <w:t xml:space="preserve"> specifically recommended the use of </w:t>
      </w:r>
      <w:r w:rsidR="00C06879">
        <w:rPr>
          <w:rFonts w:ascii="Times New Roman" w:hAnsi="Times New Roman" w:cs="Times New Roman"/>
          <w:lang w:val="en-US"/>
        </w:rPr>
        <w:t>the CHEERS statement</w:t>
      </w:r>
      <w:r w:rsidR="00575BC6" w:rsidRPr="00C74157">
        <w:rPr>
          <w:rFonts w:ascii="Times New Roman" w:hAnsi="Times New Roman" w:cs="Times New Roman"/>
          <w:lang w:val="en-US"/>
        </w:rPr>
        <w:t xml:space="preserve"> for reporting </w:t>
      </w:r>
      <w:r w:rsidR="00E6014B" w:rsidRPr="00C74157">
        <w:rPr>
          <w:rFonts w:ascii="Times New Roman" w:hAnsi="Times New Roman" w:cs="Times New Roman"/>
          <w:lang w:val="en-US"/>
        </w:rPr>
        <w:t xml:space="preserve">any </w:t>
      </w:r>
      <w:r w:rsidR="00575BC6" w:rsidRPr="00C74157">
        <w:rPr>
          <w:rFonts w:ascii="Times New Roman" w:hAnsi="Times New Roman" w:cs="Times New Roman"/>
          <w:lang w:val="en-US"/>
        </w:rPr>
        <w:t>economic evaluation</w:t>
      </w:r>
      <w:r w:rsidR="00E6014B" w:rsidRPr="00C74157">
        <w:rPr>
          <w:rFonts w:ascii="Times New Roman" w:hAnsi="Times New Roman" w:cs="Times New Roman"/>
          <w:lang w:val="en-US"/>
        </w:rPr>
        <w:t xml:space="preserve"> in </w:t>
      </w:r>
      <w:r w:rsidR="00D878D0">
        <w:rPr>
          <w:rFonts w:ascii="Times New Roman" w:hAnsi="Times New Roman" w:cs="Times New Roman"/>
          <w:lang w:val="en-US"/>
        </w:rPr>
        <w:t xml:space="preserve">the field of </w:t>
      </w:r>
      <w:r w:rsidR="00E6014B" w:rsidRPr="00C74157">
        <w:rPr>
          <w:rFonts w:ascii="Times New Roman" w:hAnsi="Times New Roman" w:cs="Times New Roman"/>
          <w:lang w:val="en-US"/>
        </w:rPr>
        <w:t>osteoporosis.</w:t>
      </w:r>
      <w:r w:rsidR="00E050A2" w:rsidRPr="00C74157">
        <w:rPr>
          <w:rFonts w:ascii="Times New Roman" w:hAnsi="Times New Roman" w:cs="Times New Roman"/>
          <w:lang w:val="en-US"/>
        </w:rPr>
        <w:t xml:space="preserve"> </w:t>
      </w:r>
      <w:r w:rsidR="00F14612" w:rsidRPr="00C74157">
        <w:rPr>
          <w:rFonts w:ascii="Times New Roman" w:hAnsi="Times New Roman" w:cs="Times New Roman"/>
          <w:lang w:val="en-US"/>
        </w:rPr>
        <w:t>In addition</w:t>
      </w:r>
      <w:r w:rsidR="00C06879">
        <w:rPr>
          <w:rFonts w:ascii="Times New Roman" w:hAnsi="Times New Roman" w:cs="Times New Roman"/>
          <w:lang w:val="en-US"/>
        </w:rPr>
        <w:t xml:space="preserve"> to CHEERS</w:t>
      </w:r>
      <w:r w:rsidR="00575BC6" w:rsidRPr="00C74157">
        <w:rPr>
          <w:rFonts w:ascii="Times New Roman" w:hAnsi="Times New Roman" w:cs="Times New Roman"/>
          <w:lang w:val="en-US"/>
        </w:rPr>
        <w:t xml:space="preserve">, the ESCEO-IOF guideline </w:t>
      </w:r>
      <w:r w:rsidR="00E6014B" w:rsidRPr="00C74157">
        <w:rPr>
          <w:rFonts w:ascii="Times New Roman" w:hAnsi="Times New Roman" w:cs="Times New Roman"/>
          <w:lang w:val="en-US"/>
        </w:rPr>
        <w:t xml:space="preserve">also </w:t>
      </w:r>
      <w:r w:rsidR="00D878D0">
        <w:rPr>
          <w:rFonts w:ascii="Times New Roman" w:hAnsi="Times New Roman" w:cs="Times New Roman"/>
          <w:lang w:val="en-US"/>
        </w:rPr>
        <w:t>recommended</w:t>
      </w:r>
      <w:r w:rsidR="00575BC6" w:rsidRPr="00C74157">
        <w:rPr>
          <w:rFonts w:ascii="Times New Roman" w:hAnsi="Times New Roman" w:cs="Times New Roman"/>
          <w:lang w:val="en-US"/>
        </w:rPr>
        <w:t xml:space="preserve"> to report on and justify nine osteoporotic-specific reporting criteria. </w:t>
      </w:r>
      <w:r w:rsidR="00C06879">
        <w:rPr>
          <w:rFonts w:ascii="Times New Roman" w:hAnsi="Times New Roman" w:cs="Times New Roman"/>
          <w:lang w:val="en-US"/>
        </w:rPr>
        <w:t xml:space="preserve">Since the publication of the ESCEO-IOF guideline, </w:t>
      </w:r>
      <w:r w:rsidR="00F904FF">
        <w:rPr>
          <w:rFonts w:ascii="Times New Roman" w:hAnsi="Times New Roman" w:cs="Times New Roman"/>
          <w:lang w:val="en-US"/>
        </w:rPr>
        <w:t>some</w:t>
      </w:r>
      <w:r w:rsidR="00C06879">
        <w:rPr>
          <w:rFonts w:ascii="Times New Roman" w:hAnsi="Times New Roman" w:cs="Times New Roman"/>
          <w:lang w:val="en-US"/>
        </w:rPr>
        <w:t xml:space="preserve"> cost-effectiveness studies in </w:t>
      </w:r>
      <w:r w:rsidR="00A56232">
        <w:rPr>
          <w:rFonts w:ascii="Times New Roman" w:hAnsi="Times New Roman" w:cs="Times New Roman"/>
          <w:lang w:val="en-US"/>
        </w:rPr>
        <w:t xml:space="preserve">the field </w:t>
      </w:r>
      <w:r w:rsidR="00C06879" w:rsidRPr="00DC419A">
        <w:rPr>
          <w:rFonts w:ascii="Times New Roman" w:hAnsi="Times New Roman" w:cs="Times New Roman"/>
          <w:lang w:val="en-US"/>
        </w:rPr>
        <w:t>osteoporosis</w:t>
      </w:r>
      <w:r w:rsidR="00317681" w:rsidRPr="00DC419A">
        <w:rPr>
          <w:rFonts w:ascii="Times New Roman" w:hAnsi="Times New Roman" w:cs="Times New Roman"/>
          <w:lang w:val="en-US"/>
        </w:rPr>
        <w:t xml:space="preserve"> </w:t>
      </w:r>
      <w:r w:rsidR="00A56232" w:rsidRPr="00DC419A">
        <w:rPr>
          <w:rFonts w:ascii="Times New Roman" w:hAnsi="Times New Roman" w:cs="Times New Roman"/>
          <w:lang w:val="en-US"/>
        </w:rPr>
        <w:t>[</w:t>
      </w:r>
      <w:r w:rsidR="00DC419A" w:rsidRPr="00DC419A">
        <w:rPr>
          <w:rFonts w:ascii="Times New Roman" w:hAnsi="Times New Roman" w:cs="Times New Roman"/>
          <w:lang w:val="en-US"/>
        </w:rPr>
        <w:fldChar w:fldCharType="begin" w:fldLock="1"/>
      </w:r>
      <w:r w:rsidR="00DC419A" w:rsidRPr="00DC419A">
        <w:rPr>
          <w:rFonts w:ascii="Times New Roman" w:hAnsi="Times New Roman" w:cs="Times New Roman"/>
          <w:lang w:val="en-US"/>
        </w:rPr>
        <w:instrText xml:space="preserve">ADDIN CSL_CITATION {"citationItems":[{"id":"ITEM-1","itemData":{"DOI":"10.1007/s00198-019-05173-6","ISSN":"14332965","PMID":"31754756","abstract":"Summary: This study built a micro-simulation Markov model to determine the treatment threshold of osteoporosis in postmenopausal women in Mainland China. Treatment with zoledronate is cost-effective when FRAX-based (Fracture risk assessment tool) fracture probability is over 7%. Introduction: The purpose of this study is to estimate FRAX-based fracture probabilities in Mainland China using real-world data, at which intervention could be cost-effective. Methods: We developed a micro-simulation Markov model to capture osteoporosis states and relevant morbidities including hip fracture, vertebral fracture, and wrist fracture. Baseline characteristics including incidences of osteoporosis and distribution of risk factors were derived from the Peking Vertebral Fracture study, the largest prospective cohort study of postmenopausal women in Mainland China. We projected incidences of fractures and deaths by age groups under two treatment scenarios: 1) no treatment, and 2) zoledronate. We also projected total quality-adjusted life-years (QALY) and total costs including fracture management and osteoporosis drugs for cost-effectiveness analysis. Cost-effective intervention thresholds were calculated based on the Chinese FRAX model. Results: Treatment with zoledronate was cost-effective when the 10-year probability of major osteoporotic fracture based on FRAX was above 7%. The FRAX threshold increased by age from 51 to 65 years old, and decreased in elder age groups, ranging from 4% to 9%. Conclusions: Using real-world data, our model indicated that widespread use of zoledronate was of both clinical and economic benefit among Chinese postmenopausal women. Using a FRAX-based intervention threshold of 7% with zoledronate should permit cost-effective access to therapy to patients and contribute to reducing the disease burden of osteoporosis in Mainland China.","author":[{"dropping-particle":"","family":"Cui","given":"L.","non-dropping-particle":"","parse-names":false,"suffix":""},{"dropping-particle":"","family":"He","given":"T.","non-dropping-particle":"","parse-names":false,"suffix":""},{"dropping-particle":"","family":"Jiang","given":"Y.","non-dropping-particle":"","parse-names":false,"suffix":""},{"dropping-particle":"","family":"Li","given":"M.","non-dropping-particle":"","parse-names":false,"suffix":""},{"dropping-particle":"","family":"Wang","given":"O.","non-dropping-particle":"","parse-names":false,"suffix":""},{"dropping-particle":"","family":"Jiajue","given":"R.","non-dropping-particle":"","parse-names":false,"suffix":""},{"dropping-particle":"","family":"Chi","given":"Y.","non-dropping-particle":"","parse-names":false,"suffix":""},{"dropping-particle":"","family":"Xu","given":"Q.","non-dropping-particle":"","parse-names":false,"suffix":""},{"dropping-particle":"","family":"Xing","given":"X.","non-dropping-particle":"","parse-names":false,"suffix":""},{"dropping-particle":"","family":"Xia","given":"W.","non-dropping-particle":"","parse-names":false,"suffix":""}],"container-title":"Osteoporosis International","id":"ITEM-1","issue":"2","issued":{"date-parts":[["2020"]]},"page":"307-316","title":"Predicting the intervention threshold for initiating osteoporosis treatment among postmenopausal women in China: a cost-effectiveness analysis based on real-world data","type":"article-journal","volume":"31"},"uris":["http://www.mendeley.com/documents/?uuid=16f52683-7871-4232-b667-a3a39e21f470"]},{"id":"ITEM-2","itemData":{"DOI":"10.1007/s11657-021-00956-z","ISSN":"18623514","PMID":"34264429","abstract":"Summary: Among hypothetical cohorts of older osteoporotic women without prior fragility fracture in Japan, we evaluated the cost-effectiveness of two treatment strategies using a simulation model. Annual intravenous zoledronic acid for 3 years was cost-saving compared with biannual subcutaneous denosumab for 3 years followed by weekly oral alendronate for 3 years. Purpose: Osteoporosis constitutes a major medical and health economic burden to society worldwide. Injectable treatments for osteoporosis require less frequent administration than oral treatments and therefore have higher persistence and adherence with treatment, which could explain better efficacy for fracture prevention. Although annual intravenous zoledronic acid and biannual subcutaneous denosumab are available, it remains unclear which treatment strategy represents a better value from a health economic perspective. Accordingly, we examined the cost-effectiveness of zoledronic acid for 3 years compared with sequential denosumab/alendronate (i.e., denosumab for 3 years followed by oral weekly alendronate for 3 years, making the total treatment duration 6 years) among hypothetical cohorts of community-dwelling osteoporotic women without prior fragility fracture in Japan at ages 65, 70, 75, or 80 years. Methods: Using a previously validated and updated Markov microsimulation model, we obtained incremental cost-effectiveness ratios (Japanese yen [¥] (or US dollars [$]) per quality-adjusted life-year [QALY]) from the public healthcare and long-term care payer’s perspective over a lifetime horizon with a willingness-to-pay of ¥5 million (or $47,500) per QALY. Results: In the base case, zoledronic acid was cost-saving (i.e., more effective and less expensive) compared with sequential denosumab/alendronate. In deterministic sensitivity analyses, results were sensitive to changes in the efficacy of zoledronic acid or the cumulative persistence rate with zoledronic acid or denosumab. In probabilistic sensitivity analyses, the probabilities of zoledronic acid being cost-effective were 98–100%. Conclusions: Among older osteoporotic women without prior fragility fracture in Japan, zoledronic acid was cost-saving compared with sequential denosumab/alendronate.","author":[{"dropping-particle":"","family":"Mori","given":"Takahiro","non-dropping-particle":"","parse-names":false,"suffix":""},{"dropping-particle":"","family":"Crandall","given":"Carolyn J.","non-dropping-particle":"","parse-names":false,"suffix":""},{"dropping-particle":"","family":"Fujii","given":"Tomoko","non-dropping-particle":"","parse-names":false,"suffix":""},{"dropping-particle":"","family":"Ganz","given":"David A.","non-dropping-particle":"","parse-names":false,"suffix":""}],"container-title":"Archives of Osteoporosis","id":"ITEM-2","issue":"1","issued":{"date-parts":[["2021"]]},"publisher":"Archives of Osteoporosis","title":"Cost-effectiveness of zoledronic acid compared with sequential denosumab/alendronate for older osteoporotic women in Japan","type":"article-journal","volume":"16"},"uris":["http://www.mendeley.com/documents/?uuid=a2778131-7b81-4df2-bdeb-32e57f702f4e"]},{"id":"ITEM-3","itemData":{"DOI":"10.1007/s11657-021-00956-z","ISBN":"0123456789","ISSN":"18623514","PMID":"34264429","abstract":"Summary: Among hypothetical cohorts of older osteoporotic women without prior fragility fracture in Japan, we evaluated the cost-effectiveness of two treatment strategies using a simulation model. Annual intravenous zoledronic acid for 3 years was cost-saving compared with biannual subcutaneous denosumab for 3 years followed by weekly oral alendronate for 3 years. Purpose: Osteoporosis constitutes a major medical and health economic burden to society worldwide. Injectable treatments for osteoporosis require less frequent administration than oral treatments and therefore have higher persistence and adherence with treatment, which could explain better efficacy for fracture prevention. Although annual intravenous zoledronic acid and biannual subcutaneous denosumab are available, it remains unclear which treatment strategy represents a better value from a health economic perspective. Accordingly, we examined the cost-effectiveness of zoledronic acid for 3 years compared with sequential denosumab/alendronate (i.e., denosumab for 3 years followed by oral weekly alendronate for 3 years, making the total treatment duration 6 years) among hypothetical cohorts of community-dwelling osteoporotic women without prior fragility fracture in Japan at ages 65, 70, 75, or 80 years. Methods: Using a previously validated and updated Markov microsimulation model, we obtained incremental cost-effectiveness ratios (Japanese yen [¥] (or US dollars [$]) per quality-adjusted life-year [QALY]) from the public healthcare and long-term care payer’s perspective over a lifetime horizon with a willingness-to-pay of ¥5 million (or $47,500) per QALY. Results: In the base case, zoledronic acid was cost-saving (i.e., more effective and less expensive) compared with sequential denosumab/alendronate. In deterministic sensitivity analyses, results were sensitive to changes in the efficacy of zoledronic acid or the cumulative persistence rate with zoledronic acid or denosumab. In probabilistic sensitivity analyses, the probabilities of zoledronic acid being cost-effective were 98–100%. Conclusions: Among older osteoporotic women without prior fragility fracture in Japan, zoledronic acid was cost-saving compared with sequential denosumab/alendronate.","author":[{"dropping-particle":"","family":"Mori","given":"Takahiro","non-dropping-particle":"","parse-names":false,"suffix":""},{"dropping-particle":"","family":"Crandall","given":"Carolyn J.","non-dropping-particle":"","parse-names":false,"suffix":""},{"dropping-particle":"","family":"Fujii","given":"Tomoko","non-dropping-particle":"","parse-names":false,"suffix":""},{"dropping-particle":"","family":"Ganz","given":"David A.","non-dropping-particle":"","parse-names":false,"suffix":""}],"container-title":"Archives of Osteoporosis","id":"ITEM-3","issue":"1","issued":{"date-parts":[["2021"]]},"publisher":"Springer London","title":"Cost-effectiveness of zoledronic acid compared with sequential denosumab/alendronate for older osteoporotic women in Japan","type":"article-journal","volume":"16"},"uris":["http://www.mendeley.com/documents/?uuid=e38aef62-bae5-4a34-a291-672a07c32d57"]},{"id":"ITEM-4","itemData":{"DOI":"10.1016/j.semarthrit.2019.01.006","ISSN":"1532866X","PMID":"30737062","abstract":"Objectives: There is emerging evidence supporting sequential therapy with an osteoanabolic followed by an antiresorptive in patients at high-risk of fragility fractures. This study assessed the cost-effectiveness of sequential treatment with abaloparatide (ABL) followed by alendronate (ALN) [(ABL/ALN)] compared with teriparatide (TPTD) followed by ALN (TPTD/ALN). Methods: A previously validated Markov microsimulation model was adapted to estimate the cost-effectiveness of sequential ABL/ALN compared with sequential TPTD/ALN and no treatment with a lifetime horizon from the US payer perspective. Patients were assumed to receive ABL or TPTD for 18 months followed by 5 years of ALN in line with clinical recommendations. The effects of ABL on fracture risk were derived from the ACTIVExtend trial. The effects of TPTD were assumed to be maintained during subsequent ALN treatment, consistent with ACTIVExtend findings for ABL. Evaluation was completed for patients, aged 50–80 years with a BMD T-score </w:instrText>
      </w:r>
      <w:r w:rsidR="00DC419A" w:rsidRPr="00DC419A">
        <w:rPr>
          <w:rFonts w:ascii="Times New Roman" w:hAnsi="Times New Roman" w:cs="Times New Roman" w:hint="eastAsia"/>
          <w:lang w:val="en-US"/>
        </w:rPr>
        <w:instrText>≤</w:instrText>
      </w:r>
      <w:r w:rsidR="00DC419A" w:rsidRPr="00DC419A">
        <w:rPr>
          <w:rFonts w:ascii="Times New Roman" w:hAnsi="Times New Roman" w:cs="Times New Roman"/>
          <w:lang w:val="en-US"/>
        </w:rPr>
        <w:instrText xml:space="preserve"> −3.5 or with a T-score between −2.5 and −3.5 and a history of </w:instrText>
      </w:r>
      <w:r w:rsidR="00DC419A" w:rsidRPr="00DC419A">
        <w:rPr>
          <w:rFonts w:ascii="Times New Roman" w:hAnsi="Times New Roman" w:cs="Times New Roman" w:hint="eastAsia"/>
          <w:lang w:val="en-US"/>
        </w:rPr>
        <w:instrText>≥</w:instrText>
      </w:r>
      <w:r w:rsidR="00DC419A" w:rsidRPr="00DC419A">
        <w:rPr>
          <w:rFonts w:ascii="Times New Roman" w:hAnsi="Times New Roman" w:cs="Times New Roman"/>
          <w:lang w:val="en-US"/>
        </w:rPr>
        <w:instrText xml:space="preserve"> one osteoporotic fracture. Results: In all simulated populations, sequential ABL/ALN therapy was dominant (lower costs, higher QALYs) compared with sequential TPTD/ALN therapy, resulting from the improved efficacy and lower drug price of ABL. Probabilistic sensitivity analyses suggested that ABL/ALN was dominant in at least 99% of the simulations. Compared to no treatment, the cost per QALY gained of ABL/ALN was always below $130,000. Conclusions: Sequential ABL/ALN therapy is a cost-effective (dominant) strategy compared with sequential TPTD/ALN therapy for the treatment of US women at increased risk of fractures.","author":[{"dropping-particle":"","family":"Hiligsmann","given":"Mickael","non-dropping-particle":"","parse-names":false,"suffix":""},{"dropping-particle":"","family":"Williams","given":"Setareh A.","non-dropping-particle":"","parse-names":false,"suffix":""},{"dropping-particle":"","family":"Fitzpatrick","given":"Lorraine A.","non-dropping-particle":"","parse-names":false,"suffix":""},{"dropping-particle":"","family":"Silverman","given":"Stuart S.","non-dropping-particle":"","parse-names":false,"suffix":""},{"dropping-particle":"","family":"Weiss","given":"Richard","non-dropping-particle":"","parse-names":false,"suffix":""},{"dropping-particle":"","family":"Reginster","given":"Jean Yves","non-dropping-particle":"","parse-names":false,"suffix":""}],"container-title":"Seminars in Arthritis and Rheumatism","id":"ITEM-4","issue":"2","issued":{"date-parts":[["2019"]]},"page":"184-196","publisher":"Elsevier Inc.","title":"Cost-effectiveness of sequential treatment with abaloparatide vs. teriparatide for United States women at increased risk of fracture","type":"article-journal","volume":"49"},"uris":["http://www.mendeley.com/documents/?uuid=4c2bd306-26fd-4bf2-88f9-16dc63aa5b89"]}],"mendeley":{"formattedCitation":"&lt;sup&gt;9–12&lt;/sup&gt;","plainTextFormattedCitation":"9–12"},"properties":{"noteIndex":0},"schema":"https://github.com/citation-style-language/schema/raw/master/csl-citation.json"}</w:instrText>
      </w:r>
      <w:r w:rsidR="00DC419A" w:rsidRPr="00DC419A">
        <w:rPr>
          <w:rFonts w:ascii="Times New Roman" w:hAnsi="Times New Roman" w:cs="Times New Roman"/>
          <w:lang w:val="en-US"/>
        </w:rPr>
        <w:fldChar w:fldCharType="separate"/>
      </w:r>
      <w:r w:rsidR="00DC419A" w:rsidRPr="00DC419A">
        <w:rPr>
          <w:rFonts w:ascii="Times New Roman" w:hAnsi="Times New Roman" w:cs="Times New Roman"/>
          <w:noProof/>
          <w:lang w:val="en-US"/>
        </w:rPr>
        <w:t>9–12</w:t>
      </w:r>
      <w:r w:rsidR="00DC419A" w:rsidRPr="00DC419A">
        <w:rPr>
          <w:rFonts w:ascii="Times New Roman" w:hAnsi="Times New Roman" w:cs="Times New Roman"/>
          <w:lang w:val="en-US"/>
        </w:rPr>
        <w:fldChar w:fldCharType="end"/>
      </w:r>
      <w:r w:rsidR="00A56232" w:rsidRPr="00DC419A">
        <w:rPr>
          <w:rFonts w:ascii="Times New Roman" w:hAnsi="Times New Roman" w:cs="Times New Roman"/>
          <w:lang w:val="en-US"/>
        </w:rPr>
        <w:t xml:space="preserve">] </w:t>
      </w:r>
      <w:r w:rsidR="00F14612" w:rsidRPr="00DC419A">
        <w:rPr>
          <w:rFonts w:ascii="Times New Roman" w:hAnsi="Times New Roman" w:cs="Times New Roman"/>
          <w:lang w:val="en-US"/>
        </w:rPr>
        <w:t>have i</w:t>
      </w:r>
      <w:r w:rsidR="00E6014B" w:rsidRPr="00DC419A">
        <w:rPr>
          <w:rFonts w:ascii="Times New Roman" w:hAnsi="Times New Roman" w:cs="Times New Roman"/>
          <w:lang w:val="en-US"/>
        </w:rPr>
        <w:t>nclud</w:t>
      </w:r>
      <w:r w:rsidR="00E6014B" w:rsidRPr="00C74157">
        <w:rPr>
          <w:rFonts w:ascii="Times New Roman" w:hAnsi="Times New Roman" w:cs="Times New Roman"/>
          <w:lang w:val="en-US"/>
        </w:rPr>
        <w:t xml:space="preserve">ed </w:t>
      </w:r>
      <w:r w:rsidR="00F14612" w:rsidRPr="00C74157">
        <w:rPr>
          <w:rFonts w:ascii="Times New Roman" w:hAnsi="Times New Roman" w:cs="Times New Roman"/>
          <w:lang w:val="en-US"/>
        </w:rPr>
        <w:t>CHEERS and</w:t>
      </w:r>
      <w:r w:rsidR="00F904FF">
        <w:rPr>
          <w:rFonts w:ascii="Times New Roman" w:hAnsi="Times New Roman" w:cs="Times New Roman"/>
          <w:lang w:val="en-US"/>
        </w:rPr>
        <w:t>/or</w:t>
      </w:r>
      <w:r w:rsidR="00F14612" w:rsidRPr="00C74157">
        <w:rPr>
          <w:rFonts w:ascii="Times New Roman" w:hAnsi="Times New Roman" w:cs="Times New Roman"/>
          <w:lang w:val="en-US"/>
        </w:rPr>
        <w:t xml:space="preserve"> </w:t>
      </w:r>
      <w:r>
        <w:rPr>
          <w:rFonts w:ascii="Times New Roman" w:hAnsi="Times New Roman" w:cs="Times New Roman"/>
          <w:lang w:val="en-US"/>
        </w:rPr>
        <w:t xml:space="preserve">the </w:t>
      </w:r>
      <w:r w:rsidR="00961204" w:rsidRPr="00C74157">
        <w:rPr>
          <w:rFonts w:ascii="Times New Roman" w:hAnsi="Times New Roman" w:cs="Times New Roman"/>
          <w:lang w:val="en-US"/>
        </w:rPr>
        <w:t>osteoporotic</w:t>
      </w:r>
      <w:r w:rsidR="00F14612" w:rsidRPr="00C74157">
        <w:rPr>
          <w:rFonts w:ascii="Times New Roman" w:hAnsi="Times New Roman" w:cs="Times New Roman"/>
          <w:lang w:val="en-US"/>
        </w:rPr>
        <w:t xml:space="preserve">-specific </w:t>
      </w:r>
      <w:r w:rsidR="00F904FF" w:rsidRPr="00DC419A">
        <w:rPr>
          <w:rFonts w:ascii="Times New Roman" w:hAnsi="Times New Roman" w:cs="Times New Roman"/>
          <w:lang w:val="en-US"/>
        </w:rPr>
        <w:t>reporting checklist</w:t>
      </w:r>
      <w:r w:rsidR="00B946E1" w:rsidRPr="00DC419A">
        <w:rPr>
          <w:rFonts w:ascii="Times New Roman" w:hAnsi="Times New Roman" w:cs="Times New Roman"/>
          <w:lang w:val="en-US"/>
        </w:rPr>
        <w:t xml:space="preserve"> as </w:t>
      </w:r>
      <w:r w:rsidR="00EA266A">
        <w:rPr>
          <w:rFonts w:ascii="Times New Roman" w:hAnsi="Times New Roman" w:cs="Times New Roman"/>
          <w:lang w:val="en-US"/>
        </w:rPr>
        <w:t xml:space="preserve">an </w:t>
      </w:r>
      <w:r w:rsidR="00B946E1" w:rsidRPr="00DC419A">
        <w:rPr>
          <w:rFonts w:ascii="Times New Roman" w:hAnsi="Times New Roman" w:cs="Times New Roman"/>
          <w:lang w:val="en-US"/>
        </w:rPr>
        <w:t>appendix</w:t>
      </w:r>
      <w:r w:rsidR="00F904FF" w:rsidRPr="00DC419A">
        <w:rPr>
          <w:rFonts w:ascii="Times New Roman" w:hAnsi="Times New Roman" w:cs="Times New Roman"/>
          <w:lang w:val="en-US"/>
        </w:rPr>
        <w:t xml:space="preserve"> </w:t>
      </w:r>
      <w:r w:rsidR="00575BC6" w:rsidRPr="00DC419A">
        <w:rPr>
          <w:rFonts w:ascii="Times New Roman" w:hAnsi="Times New Roman" w:cs="Times New Roman"/>
          <w:lang w:val="en-US"/>
        </w:rPr>
        <w:t xml:space="preserve">for reporting </w:t>
      </w:r>
      <w:r w:rsidR="00E6014B" w:rsidRPr="00DC419A">
        <w:rPr>
          <w:rFonts w:ascii="Times New Roman" w:hAnsi="Times New Roman" w:cs="Times New Roman"/>
          <w:lang w:val="en-US"/>
        </w:rPr>
        <w:t>their study</w:t>
      </w:r>
      <w:r w:rsidR="00E71ECF" w:rsidRPr="00DC419A">
        <w:rPr>
          <w:rFonts w:ascii="Times New Roman" w:hAnsi="Times New Roman" w:cs="Times New Roman"/>
          <w:lang w:val="en-US"/>
        </w:rPr>
        <w:t xml:space="preserve">, </w:t>
      </w:r>
      <w:r w:rsidR="00A56232" w:rsidRPr="00DC419A">
        <w:rPr>
          <w:rFonts w:ascii="Times New Roman" w:hAnsi="Times New Roman" w:cs="Times New Roman"/>
          <w:lang w:val="en-US"/>
        </w:rPr>
        <w:t>while</w:t>
      </w:r>
      <w:r w:rsidR="00F904FF" w:rsidRPr="00DC419A">
        <w:rPr>
          <w:rFonts w:ascii="Times New Roman" w:hAnsi="Times New Roman" w:cs="Times New Roman"/>
          <w:lang w:val="en-US"/>
        </w:rPr>
        <w:t xml:space="preserve"> others</w:t>
      </w:r>
      <w:r w:rsidR="00C06879" w:rsidRPr="00DC419A">
        <w:rPr>
          <w:rFonts w:ascii="Times New Roman" w:hAnsi="Times New Roman" w:cs="Times New Roman"/>
          <w:lang w:val="en-US"/>
        </w:rPr>
        <w:t xml:space="preserve"> [</w:t>
      </w:r>
      <w:r w:rsidR="00C06879" w:rsidRPr="00DC419A">
        <w:rPr>
          <w:rFonts w:ascii="Times New Roman" w:hAnsi="Times New Roman" w:cs="Times New Roman"/>
          <w:lang w:val="en-US"/>
        </w:rPr>
        <w:fldChar w:fldCharType="begin" w:fldLock="1"/>
      </w:r>
      <w:r w:rsidR="00DC419A" w:rsidRPr="00DC419A">
        <w:rPr>
          <w:rFonts w:ascii="Times New Roman" w:hAnsi="Times New Roman" w:cs="Times New Roman"/>
          <w:lang w:val="en-US"/>
        </w:rPr>
        <w:instrText xml:space="preserve">ADDIN CSL_CITATION {"citationItems":[{"id":"ITEM-1","itemData":{"DOI":"10.1007/s00198-020-05802-5","ISBN":"0019802005","ISSN":"14332965","PMID":"33443610","abstract":"Summary: The use of buffered soluble alendronate 70 mg effervescent tablet, a convenient dosing regimen for bisphosphonate therapy, seems a cost-effective strategy compared with relevant alternative treatments for postmenopausal women with osteoporosis aged 60 years and over in Italy. Introduction: To assess the cost-effectiveness of buffered soluble alendronate (ALN) 70 mg effervescent tablet compared with relevant alternative treatments for postmenopausal osteoporotic women in Italy. Methods: A previously validated Markov microsimulation model was adjusted to the Italian healthcare setting to estimate the lifetime costs (expressed in €2019) per quality-adjusted life-years (QALY) of buffered soluble ALN compared with generic ALN, denosumab, zoledronic acid and no treatment. Pooled efficacy data derived from the NICE network meta-analysis were used for bisphosphonate treatments. Two treatment duration scenarios were assessed: 1 year using persistence data derived from an Italian prospective observational study including 144 and 216 postmenopausal osteoporotic women on buffered soluble ALN and oral ALN, respectively, and 3 years. Analyses were conducted for women 60–80 years of age with a bone mineral density T-score </w:instrText>
      </w:r>
      <w:r w:rsidR="00DC419A" w:rsidRPr="00DC419A">
        <w:rPr>
          <w:rFonts w:ascii="Times New Roman" w:hAnsi="Times New Roman" w:cs="Times New Roman" w:hint="eastAsia"/>
          <w:lang w:val="en-US"/>
        </w:rPr>
        <w:instrText>≤</w:instrText>
      </w:r>
      <w:r w:rsidR="00DC419A" w:rsidRPr="00DC419A">
        <w:rPr>
          <w:rFonts w:ascii="Times New Roman" w:hAnsi="Times New Roman" w:cs="Times New Roman"/>
          <w:lang w:val="en-US"/>
        </w:rPr>
        <w:instrText xml:space="preserve"> − 3.0 or with existing vertebral fractures. Results: In all simulated populations, buffered soluble ALN was dominant (more QALYs, lower costs) compared to denosumab. The cost per QALY gained of buffered soluble ALN compared to generic ALN and no treatment always falls below €20,000 per QALY gained. In the 1-year treatment scenario, zoledronic acid was associated with more QALY than buffered soluble ALN but the cost per QALY gained of zoledronic acid compared with buffered soluble ALN was always higher than €70,000, while buffered soluble ALN was dominant in the 3-year treatment scenario. Conclusion: This study suggests that buffered soluble ALN represents a cost-effective strategy compared with relevant alternative treatments for postmenopausal osteoporosis women in Italy aged 60 years and over.","author":[{"dropping-particle":"","family":"Hiligsmann","given":"M.","non-dropping-particle":"","parse-names":false,"suffix":""},{"dropping-particle":"","family":"Maggi","given":"S.","non-dropping-particle":"","parse-names":false,"suffix":""},{"dropping-particle":"","family":"Veronese","given":"N.","non-dropping-particle":"","parse-names":false,"suffix":""},{"dropping-particle":"","family":"Sartori","given":"L.","non-dropping-particle":"","parse-names":false,"suffix":""},{"dropping-particle":"","family":"Reginster","given":"J. Y.","non-dropping-particle":"","parse-names":false,"suffix":""}],"container-title":"Osteoporosis International","id":"ITEM-1","issue":"3","issued":{"date-parts":[["2021"]]},"page":"595-606","publisher":"Osteoporosis International","title":"Cost-effectiveness of buffered soluble alendronate 70 mg effervescent tablet for the treatment of postmenopausal women with osteoporosis in Italy","type":"article-journal","volume":"32"},"uris":["http://www.mendeley.com/documents/?uuid=190d135f-f980-4f1b-987a-86561a34fa33"]},{"id":"ITEM-2","itemData":{"DOI":"10.1001/jamanetworkopen.2020.27584","ISSN":"25743805","PMID":"33258906","abstract":"Importance: Falls and osteoporosis share the potential clinical end point of fractures among older patients. To date, few fall prevention guidelines incorporate screening for osteoporosis to reduce fall-related fractures. Objective: To assess the cost-effectiveness of screening for osteoporosis using dual-energy x-ray absorptiometry (DXA) followed by osteoporosis treatment in older men with a history of falls. Design, Setting, and Participants: In this economic evaluation, a Markov model was developed to simulate the incidence of major osteoporotic fractures in a hypothetical cohort of community-dwelling men aged 65 years who had fallen at least once in the past year. Data sources included literature published from January 1, 1946, to July 31, 2020. The model adopted a societal perspective, a lifetime horizon, a 1-year cycle length, and a discount rate of 3% per year for both health benefits and costs. The analysis was designed and conducted from October 1, 2019, to September 30, 2020. Interventions: Screening with DXA followed by treatment for men diagnosed with osteoporosis compared with usual care. Main Outcomes and Measures: Incremental cost-effectiveness ratio (ICER), measured by cost per quality-adjusted life-year (QALY) gained. Results: Among the hypothetical cohort of men aged 65 years, the screening strategy had an ICER of $33 169/QALY gained and was preferred over usual care at the willingness-to-pay threshold of $100 000/QALY gained. The number needed to screen to prevent 1 hip fracture was 1876; to prevent 1 major osteoporotic fracture, 746. The screening strategy would become more effective and less costly than usual care for men 77 years and older. The ICER for the screening strategy did not substantially change across a wide range of assumptions tested in all other deterministic sensitivity analyses. At a willingness-to-pay threshold of $50 000/QALY gained, screening was cost-effective in 56.0% of simulations; at $100 000/QALY gained, 90.8% of simulations; and at $200 000/QALY gained, 99.6% of simulations. Conclusions and Relevance: These findings suggest that for older men who have fallen at least once in the past year, screening with DXA followed by treatment for those diagnosed with osteoporosis is a cost-effective use of resources. Fall history could be a useful cue to trigger assessment for osteoporosis in men.","author":[{"dropping-particle":"","family":"Ito","given":"Kouta","non-dropping-particle":"","parse-names":false,"suffix":""}],"container-title":"JAMA network open","id":"ITEM-2","issue":"12","issued":{"date-parts":[["2020"]]},"page":"e2027584","title":"Cost-effectiveness of Screening for Osteoporosis in Older Men With a History of Falls","type":"article-journal","volume":"3"},"uris":["http://www.mendeley.com/documents/?uuid=5b1e29a2-42cd-4f81-8b54-18b739564f2b"]},{"id":"ITEM-3","itemData":{"DOI":"10.1016/j.semarthrit.2020.02.004","ISSN":"1532866X","PMID":"32160943","abstract":"Objectives: Emerging evidence supports sequential therapy with anabolic followed by antiresorptive in patients at high-risk of fragility fractures. This study assessed the cost-effectiveness of sequential treatment with abaloparatide (ABL) followed by alendronate (ALN) [(ABL/ALN)] compared to ALN monotherapy and to sequential treatment starting with antiresorptive therapy (ALN/ABL/ALN). Methods: A previously validated Markov microsimulation model was used to estimate the cost-effectiveness of sequential ABL/ALN compared to ALN monotherapy and to sequential ALN/ABL/ALN from a lifetime US payer perspective. In line with practice guidelines, patients were assumed to receive ABL for 18 months followed by 5 years of ALN, or ALN monotherapy for 5 years, or a sequence of ALN for 2 years followed by</w:instrText>
      </w:r>
      <w:r w:rsidR="00DC419A" w:rsidRPr="00DC419A">
        <w:rPr>
          <w:rFonts w:ascii="Times New Roman" w:hAnsi="Times New Roman" w:cs="Times New Roman" w:hint="eastAsia"/>
          <w:lang w:val="en-US"/>
        </w:rPr>
        <w:instrText xml:space="preserve"> 18 months of ABL and then by 3 years ALN. Evaluation was conducted for patients aged 50</w:instrText>
      </w:r>
      <w:r w:rsidR="00DC419A" w:rsidRPr="00DC419A">
        <w:rPr>
          <w:rFonts w:ascii="Times New Roman" w:hAnsi="Times New Roman" w:cs="Times New Roman" w:hint="eastAsia"/>
          <w:lang w:val="en-US"/>
        </w:rPr>
        <w:instrText>–</w:instrText>
      </w:r>
      <w:r w:rsidR="00DC419A" w:rsidRPr="00DC419A">
        <w:rPr>
          <w:rFonts w:ascii="Times New Roman" w:hAnsi="Times New Roman" w:cs="Times New Roman" w:hint="eastAsia"/>
          <w:lang w:val="en-US"/>
        </w:rPr>
        <w:instrText xml:space="preserve">80 years old with a BMD T-score </w:instrText>
      </w:r>
      <w:r w:rsidR="00DC419A" w:rsidRPr="00DC419A">
        <w:rPr>
          <w:rFonts w:ascii="Times New Roman" w:hAnsi="Times New Roman" w:cs="Times New Roman" w:hint="eastAsia"/>
          <w:lang w:val="en-US"/>
        </w:rPr>
        <w:instrText>≤</w:instrText>
      </w:r>
      <w:r w:rsidR="00DC419A" w:rsidRPr="00DC419A">
        <w:rPr>
          <w:rFonts w:ascii="Times New Roman" w:hAnsi="Times New Roman" w:cs="Times New Roman" w:hint="eastAsia"/>
          <w:lang w:val="en-US"/>
        </w:rPr>
        <w:instrText xml:space="preserve">-3.5 and without a history of prior fracture, or with a T-score between -2.5 and -3.5 and a history of </w:instrText>
      </w:r>
      <w:r w:rsidR="00DC419A" w:rsidRPr="00DC419A">
        <w:rPr>
          <w:rFonts w:ascii="Times New Roman" w:hAnsi="Times New Roman" w:cs="Times New Roman" w:hint="eastAsia"/>
          <w:lang w:val="en-US"/>
        </w:rPr>
        <w:instrText>≥</w:instrText>
      </w:r>
      <w:r w:rsidR="00DC419A" w:rsidRPr="00DC419A">
        <w:rPr>
          <w:rFonts w:ascii="Times New Roman" w:hAnsi="Times New Roman" w:cs="Times New Roman" w:hint="eastAsia"/>
          <w:lang w:val="en-US"/>
        </w:rPr>
        <w:instrText xml:space="preserve"> 1 osteoporotic fracture. Res</w:instrText>
      </w:r>
      <w:r w:rsidR="00DC419A" w:rsidRPr="00DC419A">
        <w:rPr>
          <w:rFonts w:ascii="Times New Roman" w:hAnsi="Times New Roman" w:cs="Times New Roman"/>
          <w:lang w:val="en-US"/>
        </w:rPr>
        <w:instrText xml:space="preserve">ults: Sequential ABL/ALN was cost-effective (threshold of US$150,000 per QALY) vs generic ALN monotherapy in women </w:instrText>
      </w:r>
      <w:r w:rsidR="00DC419A" w:rsidRPr="00DC419A">
        <w:rPr>
          <w:rFonts w:ascii="Times New Roman" w:hAnsi="Times New Roman" w:cs="Times New Roman" w:hint="eastAsia"/>
          <w:lang w:val="en-US"/>
        </w:rPr>
        <w:instrText>≥</w:instrText>
      </w:r>
      <w:r w:rsidR="00DC419A" w:rsidRPr="00DC419A">
        <w:rPr>
          <w:rFonts w:ascii="Times New Roman" w:hAnsi="Times New Roman" w:cs="Times New Roman"/>
          <w:lang w:val="en-US"/>
        </w:rPr>
        <w:instrText xml:space="preserve">60 years with a BMD T-score </w:instrText>
      </w:r>
      <w:r w:rsidR="00DC419A" w:rsidRPr="00DC419A">
        <w:rPr>
          <w:rFonts w:ascii="Times New Roman" w:hAnsi="Times New Roman" w:cs="Times New Roman" w:hint="eastAsia"/>
          <w:lang w:val="en-US"/>
        </w:rPr>
        <w:instrText>≤</w:instrText>
      </w:r>
      <w:r w:rsidR="00DC419A" w:rsidRPr="00DC419A">
        <w:rPr>
          <w:rFonts w:ascii="Times New Roman" w:hAnsi="Times New Roman" w:cs="Times New Roman"/>
          <w:lang w:val="en-US"/>
        </w:rPr>
        <w:instrText>−3.5 and in women with BMD T-score between −2.5 and −3.5 and history of osteoporotic fracture. In all simulated populations, sequential ABL/ALN therapy was dominant (lower costs, more QALYs) compared with sequential ALN/ABL/ALN, resulting from limited effect of ABL in patients previously treated with an antiresorptive agent. Conclusions: Sequential ABL/ALN therap</w:instrText>
      </w:r>
      <w:r w:rsidR="00DC419A" w:rsidRPr="00DC419A">
        <w:rPr>
          <w:rFonts w:ascii="Times New Roman" w:hAnsi="Times New Roman" w:cs="Times New Roman" w:hint="eastAsia"/>
          <w:lang w:val="en-US"/>
        </w:rPr>
        <w:instrText xml:space="preserve">y is cost-effective vs ALN monotherapy for US postmenopausal women aged </w:instrText>
      </w:r>
      <w:r w:rsidR="00DC419A" w:rsidRPr="00DC419A">
        <w:rPr>
          <w:rFonts w:ascii="Times New Roman" w:hAnsi="Times New Roman" w:cs="Times New Roman" w:hint="eastAsia"/>
          <w:lang w:val="en-US"/>
        </w:rPr>
        <w:instrText>≥</w:instrText>
      </w:r>
      <w:r w:rsidR="00DC419A" w:rsidRPr="00DC419A">
        <w:rPr>
          <w:rFonts w:ascii="Times New Roman" w:hAnsi="Times New Roman" w:cs="Times New Roman" w:hint="eastAsia"/>
          <w:lang w:val="en-US"/>
        </w:rPr>
        <w:instrText>60 years at increased risk of fractures.","author":[{"dropping-particle":"","family":"Hiligsmann","given":"Mickael","non-dropping-particle":"","parse-names":false,"suffix":""},{"drop</w:instrText>
      </w:r>
      <w:r w:rsidR="00DC419A" w:rsidRPr="00DC419A">
        <w:rPr>
          <w:rFonts w:ascii="Times New Roman" w:hAnsi="Times New Roman" w:cs="Times New Roman"/>
          <w:lang w:val="en-US"/>
        </w:rPr>
        <w:instrText>ping-particle":"","family":"Williams","given":"Setareh A.","non-dropping-particle":"","parse-names":false,"suffix":""},{"dropping-particle":"","family":"Fitzpatrick","given":"Lorraine A.","non-dropping-particle":"","parse-names":false,"suffix":""},{"dropping-particle":"","family":"Silverman","given":"Stuart S.","non-dropping-particle":"","parse-names":false,"suffix":""},{"dropping-particle":"","family":"Weiss","given":"Richard","non-dropping-particle":"","parse-names":false,"suffix":""},{"dropping-particle":"","family":"Reginster","given":"Jean Yves","non-dropping-particle":"","parse-names":false,"suffix":""}],"container-title":"Seminars in Arthritis and Rheumatism","id":"ITEM-3","issue":"3","issued":{"date-parts":[["2020"]]},"page":"394-400","publisher":"Elsevier Inc.","title":"Cost-effectiveness of sequential treatment with abaloparatide followed by alendronate vs. alendronate monotherapy in women at increased risk of fracture: A US payer perspective","type":"article-journal","volume":"50"},"uris":["http://www.mendeley.com/documents/?uuid=92ac5b30-aeed-47b9-9d22-23eb049f9021"]}],"mendeley":{"formattedCitation":"&lt;sup&gt;13–15&lt;/sup&gt;","plainTextFormattedCitation":"13–15","previouslyFormattedCitation":"&lt;sup&gt;12–14&lt;/sup&gt;"},"properties":{"noteIndex":0},"schema":"https://github.com/citation-style-language/schema/raw/master/csl-citation.json"}</w:instrText>
      </w:r>
      <w:r w:rsidR="00C06879" w:rsidRPr="00DC419A">
        <w:rPr>
          <w:rFonts w:ascii="Times New Roman" w:hAnsi="Times New Roman" w:cs="Times New Roman"/>
          <w:lang w:val="en-US"/>
        </w:rPr>
        <w:fldChar w:fldCharType="separate"/>
      </w:r>
      <w:r w:rsidR="00DC419A" w:rsidRPr="00DC419A">
        <w:rPr>
          <w:rFonts w:ascii="Times New Roman" w:hAnsi="Times New Roman" w:cs="Times New Roman"/>
          <w:noProof/>
          <w:lang w:val="en-US"/>
        </w:rPr>
        <w:t>13–15</w:t>
      </w:r>
      <w:r w:rsidR="00C06879" w:rsidRPr="00DC419A">
        <w:rPr>
          <w:rFonts w:ascii="Times New Roman" w:hAnsi="Times New Roman" w:cs="Times New Roman"/>
          <w:lang w:val="en-US"/>
        </w:rPr>
        <w:fldChar w:fldCharType="end"/>
      </w:r>
      <w:r w:rsidR="00C06879" w:rsidRPr="00DC419A">
        <w:rPr>
          <w:rFonts w:ascii="Times New Roman" w:hAnsi="Times New Roman" w:cs="Times New Roman"/>
          <w:lang w:val="en-US"/>
        </w:rPr>
        <w:t>]</w:t>
      </w:r>
      <w:r w:rsidR="00F904FF" w:rsidRPr="00DC419A">
        <w:rPr>
          <w:rFonts w:ascii="Times New Roman" w:hAnsi="Times New Roman" w:cs="Times New Roman"/>
          <w:lang w:val="en-US"/>
        </w:rPr>
        <w:t xml:space="preserve"> </w:t>
      </w:r>
      <w:r w:rsidR="00E62FDF" w:rsidRPr="00DC419A">
        <w:rPr>
          <w:rFonts w:ascii="Times New Roman" w:hAnsi="Times New Roman" w:cs="Times New Roman"/>
          <w:lang w:val="en-US"/>
        </w:rPr>
        <w:t xml:space="preserve">indicated that </w:t>
      </w:r>
      <w:r w:rsidR="00D878D0" w:rsidRPr="00DC419A">
        <w:rPr>
          <w:rFonts w:ascii="Times New Roman" w:hAnsi="Times New Roman" w:cs="Times New Roman"/>
          <w:lang w:val="en-US"/>
        </w:rPr>
        <w:t>they</w:t>
      </w:r>
      <w:r w:rsidR="00E62FDF" w:rsidRPr="00DC419A">
        <w:rPr>
          <w:rFonts w:ascii="Times New Roman" w:hAnsi="Times New Roman" w:cs="Times New Roman"/>
          <w:lang w:val="en-US"/>
        </w:rPr>
        <w:t xml:space="preserve"> followed the </w:t>
      </w:r>
      <w:r w:rsidR="006C4695" w:rsidRPr="00DC419A">
        <w:rPr>
          <w:rFonts w:ascii="Times New Roman" w:hAnsi="Times New Roman" w:cs="Times New Roman"/>
          <w:lang w:val="en-US"/>
        </w:rPr>
        <w:t xml:space="preserve">ESCEO-IOF </w:t>
      </w:r>
      <w:r w:rsidR="00D878D0" w:rsidRPr="00DC419A">
        <w:rPr>
          <w:rFonts w:ascii="Times New Roman" w:hAnsi="Times New Roman" w:cs="Times New Roman"/>
          <w:lang w:val="en-US"/>
        </w:rPr>
        <w:t>guideline</w:t>
      </w:r>
      <w:r w:rsidR="006C4695" w:rsidRPr="00317681">
        <w:rPr>
          <w:rFonts w:ascii="Times New Roman" w:hAnsi="Times New Roman" w:cs="Times New Roman"/>
          <w:lang w:val="en-US"/>
        </w:rPr>
        <w:t xml:space="preserve"> </w:t>
      </w:r>
      <w:r w:rsidR="00E62FDF" w:rsidRPr="00317681">
        <w:rPr>
          <w:rFonts w:ascii="Times New Roman" w:hAnsi="Times New Roman" w:cs="Times New Roman"/>
          <w:lang w:val="en-US"/>
        </w:rPr>
        <w:t>and adhered to</w:t>
      </w:r>
      <w:r w:rsidR="00C61ECC" w:rsidRPr="00317681">
        <w:rPr>
          <w:rFonts w:ascii="Times New Roman" w:hAnsi="Times New Roman" w:cs="Times New Roman"/>
          <w:lang w:val="en-US"/>
        </w:rPr>
        <w:t xml:space="preserve"> CHEERS</w:t>
      </w:r>
      <w:r w:rsidR="00F14612" w:rsidRPr="00C74157">
        <w:rPr>
          <w:rFonts w:ascii="Times New Roman" w:hAnsi="Times New Roman" w:cs="Times New Roman"/>
          <w:lang w:val="en-US"/>
        </w:rPr>
        <w:t>.</w:t>
      </w:r>
    </w:p>
    <w:p w14:paraId="38E2FEE8" w14:textId="18E567EE" w:rsidR="00F904FF" w:rsidRDefault="009E3C4C" w:rsidP="00F904FF">
      <w:pPr>
        <w:jc w:val="both"/>
        <w:rPr>
          <w:rFonts w:ascii="Times New Roman" w:hAnsi="Times New Roman" w:cs="Times New Roman"/>
          <w:lang w:val="en-US"/>
        </w:rPr>
      </w:pPr>
      <w:r w:rsidRPr="00F904FF">
        <w:rPr>
          <w:rFonts w:ascii="Times New Roman" w:hAnsi="Times New Roman" w:cs="Times New Roman"/>
          <w:lang w:val="en-US"/>
        </w:rPr>
        <w:t xml:space="preserve">Since the original publication of the CHEERS statement, </w:t>
      </w:r>
      <w:r w:rsidR="00AC6792" w:rsidRPr="00F904FF">
        <w:rPr>
          <w:rFonts w:ascii="Times New Roman" w:hAnsi="Times New Roman" w:cs="Times New Roman"/>
          <w:lang w:val="en-US"/>
        </w:rPr>
        <w:t xml:space="preserve">there have been several motivations to </w:t>
      </w:r>
      <w:r w:rsidR="000007E9">
        <w:rPr>
          <w:rFonts w:ascii="Times New Roman" w:hAnsi="Times New Roman" w:cs="Times New Roman"/>
          <w:lang w:val="en-US"/>
        </w:rPr>
        <w:t>undertake</w:t>
      </w:r>
      <w:r w:rsidR="00CF106A">
        <w:rPr>
          <w:rFonts w:ascii="Times New Roman" w:hAnsi="Times New Roman" w:cs="Times New Roman"/>
          <w:lang w:val="en-US"/>
        </w:rPr>
        <w:t xml:space="preserve"> an update </w:t>
      </w:r>
      <w:r w:rsidR="00063CDD" w:rsidRPr="00F904FF">
        <w:rPr>
          <w:rFonts w:ascii="Times New Roman" w:hAnsi="Times New Roman" w:cs="Times New Roman"/>
          <w:lang w:val="en-US"/>
        </w:rPr>
        <w:t>[</w:t>
      </w:r>
      <w:r w:rsidR="003228EF">
        <w:rPr>
          <w:rFonts w:ascii="Times New Roman" w:hAnsi="Times New Roman" w:cs="Times New Roman"/>
          <w:lang w:val="en-US"/>
        </w:rPr>
        <w:t>16</w:t>
      </w:r>
      <w:r w:rsidR="00063CDD" w:rsidRPr="00F904FF">
        <w:rPr>
          <w:rFonts w:ascii="Times New Roman" w:hAnsi="Times New Roman" w:cs="Times New Roman"/>
          <w:lang w:val="en-US"/>
        </w:rPr>
        <w:t>]</w:t>
      </w:r>
      <w:r w:rsidR="00385E39" w:rsidRPr="00F904FF">
        <w:rPr>
          <w:rFonts w:ascii="Times New Roman" w:hAnsi="Times New Roman" w:cs="Times New Roman"/>
          <w:lang w:val="en-US"/>
        </w:rPr>
        <w:t>.</w:t>
      </w:r>
      <w:r w:rsidR="0086158C" w:rsidRPr="00F904FF">
        <w:rPr>
          <w:rFonts w:ascii="Times New Roman" w:hAnsi="Times New Roman" w:cs="Times New Roman"/>
          <w:lang w:val="en-US"/>
        </w:rPr>
        <w:t xml:space="preserve"> </w:t>
      </w:r>
      <w:r w:rsidR="00317681" w:rsidRPr="00F904FF">
        <w:rPr>
          <w:rFonts w:ascii="Times New Roman" w:hAnsi="Times New Roman" w:cs="Times New Roman"/>
          <w:lang w:val="en-US"/>
        </w:rPr>
        <w:t>Consequently,</w:t>
      </w:r>
      <w:r w:rsidR="00F14612" w:rsidRPr="00F904FF">
        <w:rPr>
          <w:rFonts w:ascii="Times New Roman" w:hAnsi="Times New Roman" w:cs="Times New Roman"/>
          <w:lang w:val="en-US"/>
        </w:rPr>
        <w:t xml:space="preserve"> CHEERS has been </w:t>
      </w:r>
      <w:r w:rsidR="00E050A2" w:rsidRPr="00F904FF">
        <w:rPr>
          <w:rFonts w:ascii="Times New Roman" w:hAnsi="Times New Roman" w:cs="Times New Roman"/>
          <w:lang w:val="en-US"/>
        </w:rPr>
        <w:t>replaced by</w:t>
      </w:r>
      <w:r w:rsidR="00F14612" w:rsidRPr="00F904FF">
        <w:rPr>
          <w:rFonts w:ascii="Times New Roman" w:hAnsi="Times New Roman" w:cs="Times New Roman"/>
          <w:lang w:val="en-US"/>
        </w:rPr>
        <w:t xml:space="preserve"> </w:t>
      </w:r>
      <w:r w:rsidR="002774DC">
        <w:rPr>
          <w:rFonts w:ascii="Times New Roman" w:hAnsi="Times New Roman" w:cs="Times New Roman"/>
          <w:lang w:val="en-US"/>
        </w:rPr>
        <w:t xml:space="preserve">the </w:t>
      </w:r>
      <w:r w:rsidR="00F14612" w:rsidRPr="00F904FF">
        <w:rPr>
          <w:rFonts w:ascii="Times New Roman" w:hAnsi="Times New Roman" w:cs="Times New Roman"/>
          <w:lang w:val="en-US"/>
        </w:rPr>
        <w:t>CHEERS</w:t>
      </w:r>
      <w:r w:rsidR="00F85673">
        <w:rPr>
          <w:rFonts w:ascii="Times New Roman" w:hAnsi="Times New Roman" w:cs="Times New Roman"/>
          <w:lang w:val="en-US"/>
        </w:rPr>
        <w:t xml:space="preserve"> </w:t>
      </w:r>
      <w:r w:rsidR="00F14612" w:rsidRPr="00F904FF">
        <w:rPr>
          <w:rFonts w:ascii="Times New Roman" w:hAnsi="Times New Roman" w:cs="Times New Roman"/>
          <w:lang w:val="en-US"/>
        </w:rPr>
        <w:t>2</w:t>
      </w:r>
      <w:r w:rsidR="00F85673">
        <w:rPr>
          <w:rFonts w:ascii="Times New Roman" w:hAnsi="Times New Roman" w:cs="Times New Roman"/>
          <w:lang w:val="en-US"/>
        </w:rPr>
        <w:t>022</w:t>
      </w:r>
      <w:r w:rsidR="00E050A2" w:rsidRPr="00F904FF">
        <w:rPr>
          <w:rFonts w:ascii="Times New Roman" w:hAnsi="Times New Roman" w:cs="Times New Roman"/>
          <w:lang w:val="en-US"/>
        </w:rPr>
        <w:t xml:space="preserve"> statement</w:t>
      </w:r>
      <w:r w:rsidR="00317681" w:rsidRPr="00F904FF">
        <w:rPr>
          <w:rFonts w:ascii="Times New Roman" w:hAnsi="Times New Roman" w:cs="Times New Roman"/>
          <w:lang w:val="en-US"/>
        </w:rPr>
        <w:t xml:space="preserve"> </w:t>
      </w:r>
      <w:r w:rsidR="004373D2" w:rsidRPr="00F904FF">
        <w:rPr>
          <w:rFonts w:ascii="Times New Roman" w:hAnsi="Times New Roman" w:cs="Times New Roman"/>
          <w:lang w:val="en-US"/>
        </w:rPr>
        <w:t>[</w:t>
      </w:r>
      <w:r w:rsidR="003228EF">
        <w:rPr>
          <w:rFonts w:ascii="Times New Roman" w:hAnsi="Times New Roman" w:cs="Times New Roman"/>
          <w:lang w:val="en-US"/>
        </w:rPr>
        <w:t>16</w:t>
      </w:r>
      <w:r w:rsidR="004373D2" w:rsidRPr="00F904FF">
        <w:rPr>
          <w:rFonts w:ascii="Times New Roman" w:hAnsi="Times New Roman" w:cs="Times New Roman"/>
          <w:lang w:val="en-US"/>
        </w:rPr>
        <w:t>]</w:t>
      </w:r>
      <w:r w:rsidR="00F904FF" w:rsidRPr="00F904FF">
        <w:rPr>
          <w:rFonts w:ascii="Times New Roman" w:hAnsi="Times New Roman" w:cs="Times New Roman"/>
          <w:lang w:val="en-US"/>
        </w:rPr>
        <w:t>,</w:t>
      </w:r>
      <w:r w:rsidR="005D5077" w:rsidRPr="00F904FF">
        <w:rPr>
          <w:rFonts w:ascii="Times New Roman" w:hAnsi="Times New Roman" w:cs="Times New Roman"/>
          <w:lang w:val="en-US"/>
        </w:rPr>
        <w:t xml:space="preserve"> </w:t>
      </w:r>
      <w:r w:rsidR="00E050A2" w:rsidRPr="00F904FF">
        <w:rPr>
          <w:rFonts w:ascii="Times New Roman" w:hAnsi="Times New Roman" w:cs="Times New Roman"/>
          <w:lang w:val="en-US"/>
        </w:rPr>
        <w:t xml:space="preserve">that consists </w:t>
      </w:r>
      <w:r w:rsidR="00E6014B" w:rsidRPr="00F904FF">
        <w:rPr>
          <w:rFonts w:ascii="Times New Roman" w:hAnsi="Times New Roman" w:cs="Times New Roman"/>
          <w:lang w:val="en-US"/>
        </w:rPr>
        <w:t xml:space="preserve">now </w:t>
      </w:r>
      <w:r w:rsidR="00A56232">
        <w:rPr>
          <w:rFonts w:ascii="Times New Roman" w:hAnsi="Times New Roman" w:cs="Times New Roman"/>
          <w:lang w:val="en-US"/>
        </w:rPr>
        <w:t>of a 28-item checklist, and an explanation and e</w:t>
      </w:r>
      <w:r w:rsidR="00E050A2" w:rsidRPr="00F904FF">
        <w:rPr>
          <w:rFonts w:ascii="Times New Roman" w:hAnsi="Times New Roman" w:cs="Times New Roman"/>
          <w:lang w:val="en-US"/>
        </w:rPr>
        <w:t xml:space="preserve">laboration report with accompanying user tools and guidance Compared to CHEERS 2013, </w:t>
      </w:r>
      <w:r w:rsidR="004A0F90">
        <w:rPr>
          <w:rFonts w:ascii="Times New Roman" w:hAnsi="Times New Roman" w:cs="Times New Roman"/>
          <w:lang w:val="en-US"/>
        </w:rPr>
        <w:t xml:space="preserve">new </w:t>
      </w:r>
      <w:r w:rsidR="00772A74" w:rsidRPr="00F904FF">
        <w:rPr>
          <w:rFonts w:ascii="Times New Roman" w:hAnsi="Times New Roman" w:cs="Times New Roman"/>
          <w:lang w:val="en-US"/>
        </w:rPr>
        <w:t xml:space="preserve">items </w:t>
      </w:r>
      <w:r w:rsidR="004A0F90">
        <w:rPr>
          <w:rFonts w:ascii="Times New Roman" w:hAnsi="Times New Roman" w:cs="Times New Roman"/>
          <w:lang w:val="en-US"/>
        </w:rPr>
        <w:t xml:space="preserve">have been added in CHEERS 2022 and </w:t>
      </w:r>
      <w:r w:rsidR="00772A74" w:rsidRPr="00F904FF">
        <w:rPr>
          <w:rFonts w:ascii="Times New Roman" w:hAnsi="Times New Roman" w:cs="Times New Roman"/>
          <w:lang w:val="en-US"/>
        </w:rPr>
        <w:t xml:space="preserve">relate to </w:t>
      </w:r>
      <w:r w:rsidR="00475D37" w:rsidRPr="00F904FF">
        <w:rPr>
          <w:rFonts w:ascii="Times New Roman" w:hAnsi="Times New Roman" w:cs="Times New Roman"/>
          <w:lang w:val="en-US"/>
        </w:rPr>
        <w:t>stakeholder (patients or service recipients, general public</w:t>
      </w:r>
      <w:r w:rsidR="000E5DF0" w:rsidRPr="00F904FF">
        <w:rPr>
          <w:rFonts w:ascii="Times New Roman" w:hAnsi="Times New Roman" w:cs="Times New Roman"/>
          <w:lang w:val="en-US"/>
        </w:rPr>
        <w:t>, community</w:t>
      </w:r>
      <w:r w:rsidR="00475D37" w:rsidRPr="00F904FF">
        <w:rPr>
          <w:rFonts w:ascii="Times New Roman" w:hAnsi="Times New Roman" w:cs="Times New Roman"/>
          <w:lang w:val="en-US"/>
        </w:rPr>
        <w:t>) involvement</w:t>
      </w:r>
      <w:r w:rsidR="00922F1B" w:rsidRPr="00F904FF">
        <w:rPr>
          <w:rFonts w:ascii="Times New Roman" w:hAnsi="Times New Roman" w:cs="Times New Roman"/>
          <w:lang w:val="en-US"/>
        </w:rPr>
        <w:t xml:space="preserve">, </w:t>
      </w:r>
      <w:r w:rsidR="005F3EA6" w:rsidRPr="00F904FF">
        <w:rPr>
          <w:rFonts w:ascii="Times New Roman" w:hAnsi="Times New Roman" w:cs="Times New Roman"/>
          <w:lang w:val="en-US"/>
        </w:rPr>
        <w:t xml:space="preserve">reporting and availability of a health economic plan </w:t>
      </w:r>
      <w:r w:rsidR="004A0F90">
        <w:rPr>
          <w:rFonts w:ascii="Times New Roman" w:hAnsi="Times New Roman" w:cs="Times New Roman"/>
          <w:lang w:val="en-US"/>
        </w:rPr>
        <w:t xml:space="preserve">and characterization of distributional effects. </w:t>
      </w:r>
      <w:r w:rsidR="00FE2BE4" w:rsidRPr="00FE2BE4">
        <w:rPr>
          <w:rFonts w:ascii="Times New Roman" w:hAnsi="Times New Roman" w:cs="Times New Roman"/>
          <w:lang w:val="en-US"/>
        </w:rPr>
        <w:t>The last is especially important in the field of osteoporosis as the cost-effectiveness could widely differ across marginalized patient populations, such as the very old, or women</w:t>
      </w:r>
      <w:r w:rsidR="005F3EA6" w:rsidRPr="00F904FF">
        <w:rPr>
          <w:rFonts w:ascii="Times New Roman" w:hAnsi="Times New Roman" w:cs="Times New Roman"/>
          <w:lang w:val="en-US"/>
        </w:rPr>
        <w:t>.</w:t>
      </w:r>
      <w:r w:rsidR="000E5DF0" w:rsidRPr="00F904FF">
        <w:rPr>
          <w:rFonts w:ascii="Times New Roman" w:hAnsi="Times New Roman" w:cs="Times New Roman"/>
          <w:lang w:val="en-US"/>
        </w:rPr>
        <w:t xml:space="preserve"> </w:t>
      </w:r>
      <w:r w:rsidR="005F3EA6" w:rsidRPr="00F904FF">
        <w:rPr>
          <w:rFonts w:ascii="Times New Roman" w:hAnsi="Times New Roman" w:cs="Times New Roman"/>
          <w:lang w:val="en-US"/>
        </w:rPr>
        <w:t>In addition</w:t>
      </w:r>
      <w:r w:rsidR="000B53D8" w:rsidRPr="00F904FF">
        <w:rPr>
          <w:rFonts w:ascii="Times New Roman" w:hAnsi="Times New Roman" w:cs="Times New Roman"/>
          <w:lang w:val="en-US"/>
        </w:rPr>
        <w:t xml:space="preserve">, the original language has been </w:t>
      </w:r>
      <w:r w:rsidR="00E2255E" w:rsidRPr="00F904FF">
        <w:rPr>
          <w:rFonts w:ascii="Times New Roman" w:hAnsi="Times New Roman" w:cs="Times New Roman"/>
          <w:lang w:val="en-US"/>
        </w:rPr>
        <w:t xml:space="preserve">broadened </w:t>
      </w:r>
      <w:r w:rsidR="00A81CB4" w:rsidRPr="00F904FF">
        <w:rPr>
          <w:rFonts w:ascii="Times New Roman" w:hAnsi="Times New Roman" w:cs="Times New Roman"/>
          <w:lang w:val="en-US"/>
        </w:rPr>
        <w:t>to improve the applicability of CHEERS</w:t>
      </w:r>
      <w:r w:rsidR="00BE38E3" w:rsidRPr="00F904FF">
        <w:rPr>
          <w:rFonts w:ascii="Times New Roman" w:hAnsi="Times New Roman" w:cs="Times New Roman"/>
          <w:lang w:val="en-US"/>
        </w:rPr>
        <w:t xml:space="preserve">, and </w:t>
      </w:r>
      <w:r w:rsidR="002130ED" w:rsidRPr="00F904FF">
        <w:rPr>
          <w:rFonts w:ascii="Times New Roman" w:hAnsi="Times New Roman" w:cs="Times New Roman"/>
          <w:lang w:val="en-US"/>
        </w:rPr>
        <w:t xml:space="preserve">sharing of unlocked models </w:t>
      </w:r>
      <w:r w:rsidR="000007E9">
        <w:rPr>
          <w:rFonts w:ascii="Times New Roman" w:hAnsi="Times New Roman" w:cs="Times New Roman"/>
          <w:lang w:val="en-US"/>
        </w:rPr>
        <w:t>is</w:t>
      </w:r>
      <w:r w:rsidR="002130ED" w:rsidRPr="00F904FF">
        <w:rPr>
          <w:rFonts w:ascii="Times New Roman" w:hAnsi="Times New Roman" w:cs="Times New Roman"/>
          <w:lang w:val="en-US"/>
        </w:rPr>
        <w:t xml:space="preserve"> encouraged to improve the transparency. </w:t>
      </w:r>
    </w:p>
    <w:p w14:paraId="0F6A8897" w14:textId="33D0CC76" w:rsidR="00575BC6" w:rsidRPr="00C74157" w:rsidRDefault="002774DC" w:rsidP="00C74157">
      <w:pPr>
        <w:jc w:val="both"/>
        <w:rPr>
          <w:rFonts w:ascii="Times New Roman" w:hAnsi="Times New Roman" w:cs="Times New Roman"/>
          <w:lang w:val="en-US"/>
        </w:rPr>
      </w:pPr>
      <w:r>
        <w:rPr>
          <w:rFonts w:ascii="Times New Roman" w:hAnsi="Times New Roman" w:cs="Times New Roman"/>
          <w:lang w:val="en-US"/>
        </w:rPr>
        <w:t>Recognizing</w:t>
      </w:r>
      <w:r w:rsidRPr="00F904FF">
        <w:rPr>
          <w:rFonts w:ascii="Times New Roman" w:hAnsi="Times New Roman" w:cs="Times New Roman"/>
          <w:lang w:val="en-US"/>
        </w:rPr>
        <w:t xml:space="preserve"> </w:t>
      </w:r>
      <w:r w:rsidR="00F904FF" w:rsidRPr="00F904FF">
        <w:rPr>
          <w:rFonts w:ascii="Times New Roman" w:hAnsi="Times New Roman" w:cs="Times New Roman"/>
          <w:lang w:val="en-US"/>
        </w:rPr>
        <w:t xml:space="preserve">the </w:t>
      </w:r>
      <w:r w:rsidR="00990779">
        <w:rPr>
          <w:rFonts w:ascii="Times New Roman" w:hAnsi="Times New Roman" w:cs="Times New Roman"/>
          <w:lang w:val="en-US"/>
        </w:rPr>
        <w:t xml:space="preserve">need and </w:t>
      </w:r>
      <w:r w:rsidR="00F904FF" w:rsidRPr="00F904FF">
        <w:rPr>
          <w:rFonts w:ascii="Times New Roman" w:hAnsi="Times New Roman" w:cs="Times New Roman"/>
          <w:lang w:val="en-US"/>
        </w:rPr>
        <w:t xml:space="preserve">value of these changes, we support </w:t>
      </w:r>
      <w:r w:rsidR="00F904FF">
        <w:rPr>
          <w:rFonts w:ascii="Times New Roman" w:hAnsi="Times New Roman" w:cs="Times New Roman"/>
          <w:lang w:val="en-US"/>
        </w:rPr>
        <w:t xml:space="preserve">and </w:t>
      </w:r>
      <w:r w:rsidR="00E6014B" w:rsidRPr="00C74157">
        <w:rPr>
          <w:rFonts w:ascii="Times New Roman" w:hAnsi="Times New Roman" w:cs="Times New Roman"/>
          <w:lang w:val="en-US"/>
        </w:rPr>
        <w:t>highly recommend the use of CHEERS</w:t>
      </w:r>
      <w:r w:rsidR="00F85673">
        <w:rPr>
          <w:rFonts w:ascii="Times New Roman" w:hAnsi="Times New Roman" w:cs="Times New Roman"/>
          <w:lang w:val="en-US"/>
        </w:rPr>
        <w:t xml:space="preserve"> </w:t>
      </w:r>
      <w:r w:rsidR="00E6014B" w:rsidRPr="00C74157">
        <w:rPr>
          <w:rFonts w:ascii="Times New Roman" w:hAnsi="Times New Roman" w:cs="Times New Roman"/>
          <w:lang w:val="en-US"/>
        </w:rPr>
        <w:t>2</w:t>
      </w:r>
      <w:r w:rsidR="00F85673">
        <w:rPr>
          <w:rFonts w:ascii="Times New Roman" w:hAnsi="Times New Roman" w:cs="Times New Roman"/>
          <w:lang w:val="en-US"/>
        </w:rPr>
        <w:t>022</w:t>
      </w:r>
      <w:r w:rsidR="00E6014B" w:rsidRPr="00C74157">
        <w:rPr>
          <w:rFonts w:ascii="Times New Roman" w:hAnsi="Times New Roman" w:cs="Times New Roman"/>
          <w:lang w:val="en-US"/>
        </w:rPr>
        <w:t xml:space="preserve"> statement (in replacement to CHEERS) to report any economic evaluation in </w:t>
      </w:r>
      <w:r w:rsidR="00990779">
        <w:rPr>
          <w:rFonts w:ascii="Times New Roman" w:hAnsi="Times New Roman" w:cs="Times New Roman"/>
          <w:lang w:val="en-US"/>
        </w:rPr>
        <w:t xml:space="preserve">the field of </w:t>
      </w:r>
      <w:r w:rsidR="00E6014B" w:rsidRPr="00C74157">
        <w:rPr>
          <w:rFonts w:ascii="Times New Roman" w:hAnsi="Times New Roman" w:cs="Times New Roman"/>
          <w:lang w:val="en-US"/>
        </w:rPr>
        <w:t>osteoporosis, and to complement</w:t>
      </w:r>
      <w:r w:rsidR="002F079D" w:rsidRPr="00C74157">
        <w:rPr>
          <w:rFonts w:ascii="Times New Roman" w:hAnsi="Times New Roman" w:cs="Times New Roman"/>
          <w:lang w:val="en-US"/>
        </w:rPr>
        <w:t xml:space="preserve"> it</w:t>
      </w:r>
      <w:r w:rsidR="00E6014B" w:rsidRPr="00C74157">
        <w:rPr>
          <w:rFonts w:ascii="Times New Roman" w:hAnsi="Times New Roman" w:cs="Times New Roman"/>
          <w:lang w:val="en-US"/>
        </w:rPr>
        <w:t xml:space="preserve"> with </w:t>
      </w:r>
      <w:r w:rsidR="00F904FF">
        <w:rPr>
          <w:rFonts w:ascii="Times New Roman" w:hAnsi="Times New Roman" w:cs="Times New Roman"/>
          <w:lang w:val="en-US"/>
        </w:rPr>
        <w:t>the nine</w:t>
      </w:r>
      <w:r w:rsidR="00E6014B" w:rsidRPr="00C74157">
        <w:rPr>
          <w:rFonts w:ascii="Times New Roman" w:hAnsi="Times New Roman" w:cs="Times New Roman"/>
          <w:lang w:val="en-US"/>
        </w:rPr>
        <w:t xml:space="preserve"> </w:t>
      </w:r>
      <w:r w:rsidR="00575BC6" w:rsidRPr="00C74157">
        <w:rPr>
          <w:rFonts w:ascii="Times New Roman" w:hAnsi="Times New Roman" w:cs="Times New Roman"/>
          <w:lang w:val="en-US"/>
        </w:rPr>
        <w:t xml:space="preserve">osteoporosis-specific </w:t>
      </w:r>
      <w:r w:rsidR="00F904FF">
        <w:rPr>
          <w:rFonts w:ascii="Times New Roman" w:hAnsi="Times New Roman" w:cs="Times New Roman"/>
          <w:lang w:val="en-US"/>
        </w:rPr>
        <w:t>reporting criteria from the ESCEO-IOF guideline</w:t>
      </w:r>
      <w:r w:rsidR="00575BC6" w:rsidRPr="00C74157">
        <w:rPr>
          <w:rFonts w:ascii="Times New Roman" w:hAnsi="Times New Roman" w:cs="Times New Roman"/>
          <w:lang w:val="en-US"/>
        </w:rPr>
        <w:t xml:space="preserve">. </w:t>
      </w:r>
      <w:r w:rsidR="00E6014B" w:rsidRPr="00C74157">
        <w:rPr>
          <w:rFonts w:ascii="Times New Roman" w:hAnsi="Times New Roman" w:cs="Times New Roman"/>
          <w:lang w:val="en-US"/>
        </w:rPr>
        <w:t>Improving the reporting of economic evaluation</w:t>
      </w:r>
      <w:r>
        <w:rPr>
          <w:rFonts w:ascii="Times New Roman" w:hAnsi="Times New Roman" w:cs="Times New Roman"/>
          <w:lang w:val="en-US"/>
        </w:rPr>
        <w:t>s</w:t>
      </w:r>
      <w:r w:rsidR="00E6014B" w:rsidRPr="00C74157">
        <w:rPr>
          <w:rFonts w:ascii="Times New Roman" w:hAnsi="Times New Roman" w:cs="Times New Roman"/>
          <w:lang w:val="en-US"/>
        </w:rPr>
        <w:t xml:space="preserve"> </w:t>
      </w:r>
      <w:r>
        <w:rPr>
          <w:rFonts w:ascii="Times New Roman" w:hAnsi="Times New Roman" w:cs="Times New Roman"/>
          <w:lang w:val="en-US"/>
        </w:rPr>
        <w:t>will only serve</w:t>
      </w:r>
      <w:r w:rsidR="00990779">
        <w:rPr>
          <w:rFonts w:ascii="Times New Roman" w:hAnsi="Times New Roman" w:cs="Times New Roman"/>
          <w:lang w:val="en-US"/>
        </w:rPr>
        <w:t xml:space="preserve"> to improve</w:t>
      </w:r>
      <w:r w:rsidR="00E6014B" w:rsidRPr="00C74157">
        <w:rPr>
          <w:rFonts w:ascii="Times New Roman" w:hAnsi="Times New Roman" w:cs="Times New Roman"/>
          <w:lang w:val="en-US"/>
        </w:rPr>
        <w:t xml:space="preserve"> their transparency and quality, leading ultimately to </w:t>
      </w:r>
      <w:r w:rsidR="00990779">
        <w:rPr>
          <w:rFonts w:ascii="Times New Roman" w:hAnsi="Times New Roman" w:cs="Times New Roman"/>
          <w:lang w:val="en-US"/>
        </w:rPr>
        <w:t xml:space="preserve">increased </w:t>
      </w:r>
      <w:r>
        <w:rPr>
          <w:rFonts w:ascii="Times New Roman" w:hAnsi="Times New Roman" w:cs="Times New Roman"/>
          <w:lang w:val="en-US"/>
        </w:rPr>
        <w:t xml:space="preserve">trust, </w:t>
      </w:r>
      <w:r w:rsidR="00990779">
        <w:rPr>
          <w:rFonts w:ascii="Times New Roman" w:hAnsi="Times New Roman" w:cs="Times New Roman"/>
          <w:lang w:val="en-US"/>
        </w:rPr>
        <w:t>value</w:t>
      </w:r>
      <w:r>
        <w:rPr>
          <w:rFonts w:ascii="Times New Roman" w:hAnsi="Times New Roman" w:cs="Times New Roman"/>
          <w:lang w:val="en-US"/>
        </w:rPr>
        <w:t>, and use</w:t>
      </w:r>
      <w:r w:rsidR="002F079D" w:rsidRPr="00C74157">
        <w:rPr>
          <w:rFonts w:ascii="Times New Roman" w:hAnsi="Times New Roman" w:cs="Times New Roman"/>
          <w:lang w:val="en-US"/>
        </w:rPr>
        <w:t xml:space="preserve"> by </w:t>
      </w:r>
      <w:r w:rsidR="00E6014B" w:rsidRPr="00C74157">
        <w:rPr>
          <w:rFonts w:ascii="Times New Roman" w:hAnsi="Times New Roman" w:cs="Times New Roman"/>
          <w:lang w:val="en-US"/>
        </w:rPr>
        <w:t>decision makers.</w:t>
      </w:r>
    </w:p>
    <w:p w14:paraId="586AFDA2" w14:textId="046C015D" w:rsidR="00F85673" w:rsidRPr="00F85673" w:rsidRDefault="00F85673" w:rsidP="00C06879">
      <w:pPr>
        <w:pStyle w:val="Heading1"/>
        <w:rPr>
          <w:sz w:val="24"/>
          <w:szCs w:val="24"/>
        </w:rPr>
      </w:pPr>
      <w:r w:rsidRPr="00F85673">
        <w:rPr>
          <w:sz w:val="24"/>
          <w:szCs w:val="24"/>
        </w:rPr>
        <w:t>Conflict of interest</w:t>
      </w:r>
    </w:p>
    <w:p w14:paraId="3E7D03C8" w14:textId="5B11F385" w:rsidR="00F85673" w:rsidRPr="00F85673" w:rsidRDefault="00A40D94" w:rsidP="00F85673">
      <w:pPr>
        <w:jc w:val="both"/>
        <w:rPr>
          <w:lang w:val="en-US" w:eastAsia="zh-CN"/>
        </w:rPr>
      </w:pPr>
      <w:r>
        <w:rPr>
          <w:rFonts w:ascii="Times New Roman" w:hAnsi="Times New Roman" w:cs="Times New Roman"/>
          <w:lang w:val="en-US"/>
        </w:rPr>
        <w:t>The authors</w:t>
      </w:r>
      <w:r w:rsidR="00F85673" w:rsidRPr="00F85673">
        <w:rPr>
          <w:rFonts w:ascii="Times New Roman" w:hAnsi="Times New Roman" w:cs="Times New Roman"/>
          <w:lang w:val="en-US"/>
        </w:rPr>
        <w:t xml:space="preserve"> have no conflict of interest relevant to this </w:t>
      </w:r>
      <w:r>
        <w:rPr>
          <w:rFonts w:ascii="Times New Roman" w:hAnsi="Times New Roman" w:cs="Times New Roman"/>
          <w:lang w:val="en-US"/>
        </w:rPr>
        <w:t>editorial</w:t>
      </w:r>
      <w:r w:rsidR="00F85673" w:rsidRPr="00F85673">
        <w:rPr>
          <w:rFonts w:ascii="Times New Roman" w:hAnsi="Times New Roman" w:cs="Times New Roman"/>
          <w:lang w:val="en-US"/>
        </w:rPr>
        <w:t>.</w:t>
      </w:r>
    </w:p>
    <w:p w14:paraId="780101D4" w14:textId="4936DA8C" w:rsidR="00C06879" w:rsidRPr="00F85673" w:rsidRDefault="00C06879" w:rsidP="00C06879">
      <w:pPr>
        <w:pStyle w:val="Heading1"/>
        <w:rPr>
          <w:sz w:val="24"/>
          <w:szCs w:val="24"/>
          <w:lang w:val="nl-NL"/>
        </w:rPr>
      </w:pPr>
      <w:r w:rsidRPr="00F85673">
        <w:rPr>
          <w:sz w:val="24"/>
          <w:szCs w:val="24"/>
          <w:lang w:val="nl-NL"/>
        </w:rPr>
        <w:t>References</w:t>
      </w:r>
    </w:p>
    <w:p w14:paraId="098C8BD4" w14:textId="77777777" w:rsidR="00814C0D" w:rsidRPr="00F85673" w:rsidRDefault="00814C0D" w:rsidP="00814C0D">
      <w:pPr>
        <w:widowControl w:val="0"/>
        <w:autoSpaceDE w:val="0"/>
        <w:autoSpaceDN w:val="0"/>
        <w:adjustRightInd w:val="0"/>
        <w:spacing w:line="240" w:lineRule="auto"/>
        <w:ind w:left="640" w:hanging="640"/>
        <w:jc w:val="both"/>
        <w:rPr>
          <w:rFonts w:ascii="Times New Roman" w:hAnsi="Times New Roman" w:cs="Times New Roman"/>
        </w:rPr>
      </w:pPr>
    </w:p>
    <w:p w14:paraId="6FDCFEFB" w14:textId="77777777" w:rsidR="00814C0D" w:rsidRPr="00F85673"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lang w:val="en-US"/>
        </w:rPr>
      </w:pPr>
      <w:r>
        <w:rPr>
          <w:rFonts w:ascii="Times New Roman" w:hAnsi="Times New Roman" w:cs="Times New Roman"/>
          <w:lang w:val="en-US"/>
        </w:rPr>
        <w:fldChar w:fldCharType="begin" w:fldLock="1"/>
      </w:r>
      <w:r w:rsidRPr="00F85673">
        <w:rPr>
          <w:rFonts w:ascii="Times New Roman" w:hAnsi="Times New Roman" w:cs="Times New Roman"/>
        </w:rPr>
        <w:instrText xml:space="preserve">ADDIN Mendeley Bibliography CSL_BIBLIOGRAPHY </w:instrText>
      </w:r>
      <w:r>
        <w:rPr>
          <w:rFonts w:ascii="Times New Roman" w:hAnsi="Times New Roman" w:cs="Times New Roman"/>
          <w:lang w:val="en-US"/>
        </w:rPr>
        <w:fldChar w:fldCharType="separate"/>
      </w:r>
      <w:r w:rsidRPr="00DC419A">
        <w:rPr>
          <w:rFonts w:ascii="Times New Roman" w:hAnsi="Times New Roman" w:cs="Times New Roman"/>
          <w:noProof/>
          <w:szCs w:val="24"/>
        </w:rPr>
        <w:t xml:space="preserve">1. </w:t>
      </w:r>
      <w:r w:rsidRPr="00DC419A">
        <w:rPr>
          <w:rFonts w:ascii="Times New Roman" w:hAnsi="Times New Roman" w:cs="Times New Roman"/>
          <w:noProof/>
          <w:szCs w:val="24"/>
        </w:rPr>
        <w:tab/>
        <w:t xml:space="preserve">Hiligsmann M, Evers SM, Ben Sedrine W, et al. </w:t>
      </w:r>
      <w:r w:rsidRPr="00F85673">
        <w:rPr>
          <w:rFonts w:ascii="Times New Roman" w:hAnsi="Times New Roman" w:cs="Times New Roman"/>
          <w:noProof/>
          <w:szCs w:val="24"/>
          <w:lang w:val="en-US"/>
        </w:rPr>
        <w:t xml:space="preserve">A Systematic Review of Cost-Effectiveness Analyses of Drugs for Postmenopausal Osteoporosis. </w:t>
      </w:r>
      <w:r w:rsidRPr="00F85673">
        <w:rPr>
          <w:rFonts w:ascii="Times New Roman" w:hAnsi="Times New Roman" w:cs="Times New Roman"/>
          <w:i/>
          <w:iCs/>
          <w:noProof/>
          <w:szCs w:val="24"/>
          <w:lang w:val="en-US"/>
        </w:rPr>
        <w:t>Pharmacoeconomics</w:t>
      </w:r>
      <w:r w:rsidRPr="00F85673">
        <w:rPr>
          <w:rFonts w:ascii="Times New Roman" w:hAnsi="Times New Roman" w:cs="Times New Roman"/>
          <w:noProof/>
          <w:szCs w:val="24"/>
          <w:lang w:val="en-US"/>
        </w:rPr>
        <w:t>. 2015;33(3):205-224. doi:10.1007/s40273-014-0231-1</w:t>
      </w:r>
    </w:p>
    <w:p w14:paraId="0C2EE184" w14:textId="77777777" w:rsidR="00814C0D" w:rsidRPr="00F85673"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lang w:val="en-US"/>
        </w:rPr>
      </w:pPr>
      <w:r w:rsidRPr="00F85673">
        <w:rPr>
          <w:rFonts w:ascii="Times New Roman" w:hAnsi="Times New Roman" w:cs="Times New Roman"/>
          <w:noProof/>
          <w:szCs w:val="24"/>
          <w:lang w:val="en-US"/>
        </w:rPr>
        <w:lastRenderedPageBreak/>
        <w:t xml:space="preserve">2. </w:t>
      </w:r>
      <w:r w:rsidRPr="00F85673">
        <w:rPr>
          <w:rFonts w:ascii="Times New Roman" w:hAnsi="Times New Roman" w:cs="Times New Roman"/>
          <w:noProof/>
          <w:szCs w:val="24"/>
          <w:lang w:val="en-US"/>
        </w:rPr>
        <w:tab/>
        <w:t xml:space="preserve">Li N, Cornelissen D, Silverman S, et al. An Updated Systematic Review of Cost-Effectiveness Analyses of Drugs for Osteoporosis. </w:t>
      </w:r>
      <w:r w:rsidRPr="00F85673">
        <w:rPr>
          <w:rFonts w:ascii="Times New Roman" w:hAnsi="Times New Roman" w:cs="Times New Roman"/>
          <w:i/>
          <w:iCs/>
          <w:noProof/>
          <w:szCs w:val="24"/>
          <w:lang w:val="en-US"/>
        </w:rPr>
        <w:t>Pharmacoeconomics</w:t>
      </w:r>
      <w:r w:rsidRPr="00F85673">
        <w:rPr>
          <w:rFonts w:ascii="Times New Roman" w:hAnsi="Times New Roman" w:cs="Times New Roman"/>
          <w:noProof/>
          <w:szCs w:val="24"/>
          <w:lang w:val="en-US"/>
        </w:rPr>
        <w:t>. 2021;39(2):181-209. doi:10.1007/s40273-020-00965-9</w:t>
      </w:r>
    </w:p>
    <w:p w14:paraId="7D8E4204" w14:textId="77777777" w:rsidR="00814C0D" w:rsidRPr="00F85673"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lang w:val="en-US"/>
        </w:rPr>
      </w:pPr>
      <w:r w:rsidRPr="00F85673">
        <w:rPr>
          <w:rFonts w:ascii="Times New Roman" w:hAnsi="Times New Roman" w:cs="Times New Roman"/>
          <w:noProof/>
          <w:szCs w:val="24"/>
          <w:lang w:val="en-US"/>
        </w:rPr>
        <w:t xml:space="preserve">3. </w:t>
      </w:r>
      <w:r w:rsidRPr="00F85673">
        <w:rPr>
          <w:rFonts w:ascii="Times New Roman" w:hAnsi="Times New Roman" w:cs="Times New Roman"/>
          <w:noProof/>
          <w:szCs w:val="24"/>
          <w:lang w:val="en-US"/>
        </w:rPr>
        <w:tab/>
        <w:t xml:space="preserve">Wu CH, Kao IJ, Hung WC, et al. Economic impact and cost-effectiveness of fracture liaison services: a systematic review of the literature. </w:t>
      </w:r>
      <w:r w:rsidRPr="00F85673">
        <w:rPr>
          <w:rFonts w:ascii="Times New Roman" w:hAnsi="Times New Roman" w:cs="Times New Roman"/>
          <w:i/>
          <w:iCs/>
          <w:noProof/>
          <w:szCs w:val="24"/>
          <w:lang w:val="en-US"/>
        </w:rPr>
        <w:t>Osteoporos Int</w:t>
      </w:r>
      <w:r w:rsidRPr="00F85673">
        <w:rPr>
          <w:rFonts w:ascii="Times New Roman" w:hAnsi="Times New Roman" w:cs="Times New Roman"/>
          <w:noProof/>
          <w:szCs w:val="24"/>
          <w:lang w:val="en-US"/>
        </w:rPr>
        <w:t>. 2018;29(6):1227-1242. doi:10.1007/s00198-018-4411-2</w:t>
      </w:r>
    </w:p>
    <w:p w14:paraId="55879514" w14:textId="77777777" w:rsidR="00814C0D" w:rsidRPr="00F85673"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lang w:val="en-US"/>
        </w:rPr>
      </w:pPr>
      <w:r w:rsidRPr="00F85673">
        <w:rPr>
          <w:rFonts w:ascii="Times New Roman" w:hAnsi="Times New Roman" w:cs="Times New Roman"/>
          <w:noProof/>
          <w:szCs w:val="24"/>
          <w:lang w:val="en-US"/>
        </w:rPr>
        <w:t xml:space="preserve">4. </w:t>
      </w:r>
      <w:r w:rsidRPr="00F85673">
        <w:rPr>
          <w:rFonts w:ascii="Times New Roman" w:hAnsi="Times New Roman" w:cs="Times New Roman"/>
          <w:noProof/>
          <w:szCs w:val="24"/>
          <w:lang w:val="en-US"/>
        </w:rPr>
        <w:tab/>
        <w:t xml:space="preserve">Nayak S, Roberts MS, Greenspan SL. </w:t>
      </w:r>
      <w:r w:rsidRPr="0095017D">
        <w:rPr>
          <w:rFonts w:ascii="Times New Roman" w:hAnsi="Times New Roman" w:cs="Times New Roman"/>
          <w:noProof/>
          <w:szCs w:val="24"/>
          <w:lang w:val="en-US"/>
        </w:rPr>
        <w:t>Cost-Effectiveness of Different Screening Strategies for Osteoporosis in Postmenopausal Women</w:t>
      </w:r>
      <w:r w:rsidRPr="00F85673">
        <w:rPr>
          <w:rFonts w:ascii="Times New Roman" w:hAnsi="Times New Roman" w:cs="Times New Roman"/>
          <w:noProof/>
          <w:szCs w:val="24"/>
          <w:lang w:val="en-US"/>
        </w:rPr>
        <w:t xml:space="preserve">. </w:t>
      </w:r>
      <w:r w:rsidRPr="0095017D">
        <w:rPr>
          <w:rFonts w:ascii="Times New Roman" w:hAnsi="Times New Roman" w:cs="Times New Roman"/>
          <w:i/>
          <w:noProof/>
          <w:szCs w:val="24"/>
          <w:lang w:val="en-US"/>
        </w:rPr>
        <w:t>Ann Intern Med. </w:t>
      </w:r>
      <w:r w:rsidRPr="0095017D">
        <w:rPr>
          <w:rFonts w:ascii="Times New Roman" w:hAnsi="Times New Roman" w:cs="Times New Roman"/>
          <w:noProof/>
          <w:szCs w:val="24"/>
          <w:lang w:val="en-US"/>
        </w:rPr>
        <w:t>2011 Dec 6;155(11):751-61</w:t>
      </w:r>
      <w:r>
        <w:rPr>
          <w:rFonts w:ascii="Times New Roman" w:hAnsi="Times New Roman" w:cs="Times New Roman"/>
          <w:noProof/>
          <w:szCs w:val="24"/>
          <w:lang w:val="en-US"/>
        </w:rPr>
        <w:t>.</w:t>
      </w:r>
      <w:r w:rsidRPr="00F85673">
        <w:rPr>
          <w:rFonts w:ascii="Times New Roman" w:hAnsi="Times New Roman" w:cs="Times New Roman"/>
          <w:noProof/>
          <w:szCs w:val="24"/>
          <w:lang w:val="en-US"/>
        </w:rPr>
        <w:t xml:space="preserve"> doi:10.7326/0003-4819-155-11-201112060-00007</w:t>
      </w:r>
    </w:p>
    <w:p w14:paraId="4D6F0365" w14:textId="77777777" w:rsidR="00814C0D" w:rsidRPr="00F85673"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lang w:val="en-US"/>
        </w:rPr>
      </w:pPr>
      <w:r w:rsidRPr="00F85673">
        <w:rPr>
          <w:rFonts w:ascii="Times New Roman" w:hAnsi="Times New Roman" w:cs="Times New Roman"/>
          <w:noProof/>
          <w:szCs w:val="24"/>
          <w:lang w:val="en-US"/>
        </w:rPr>
        <w:t xml:space="preserve">5. </w:t>
      </w:r>
      <w:r w:rsidRPr="00F85673">
        <w:rPr>
          <w:rFonts w:ascii="Times New Roman" w:hAnsi="Times New Roman" w:cs="Times New Roman"/>
          <w:noProof/>
          <w:szCs w:val="24"/>
          <w:lang w:val="en-US"/>
        </w:rPr>
        <w:tab/>
        <w:t xml:space="preserve">Turner DA, Khioe RFS, Shepstone L, et al. The Cost-Effectiveness of Screening in the Community to Reduce Osteoporotic Fractures in Older Women in the UK: Economic Evaluation of the SCOOP Study. </w:t>
      </w:r>
      <w:r w:rsidRPr="00F85673">
        <w:rPr>
          <w:rFonts w:ascii="Times New Roman" w:hAnsi="Times New Roman" w:cs="Times New Roman"/>
          <w:i/>
          <w:iCs/>
          <w:noProof/>
          <w:szCs w:val="24"/>
          <w:lang w:val="en-US"/>
        </w:rPr>
        <w:t>J Bone Miner Res</w:t>
      </w:r>
      <w:r w:rsidRPr="00F85673">
        <w:rPr>
          <w:rFonts w:ascii="Times New Roman" w:hAnsi="Times New Roman" w:cs="Times New Roman"/>
          <w:noProof/>
          <w:szCs w:val="24"/>
          <w:lang w:val="en-US"/>
        </w:rPr>
        <w:t>. 2018;33(5):845-851. doi:10.1002/jbmr.3381</w:t>
      </w:r>
    </w:p>
    <w:p w14:paraId="36E21F72" w14:textId="77777777" w:rsidR="00814C0D" w:rsidRPr="00DC419A"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rPr>
      </w:pPr>
      <w:r w:rsidRPr="00F85673">
        <w:rPr>
          <w:rFonts w:ascii="Times New Roman" w:hAnsi="Times New Roman" w:cs="Times New Roman"/>
          <w:noProof/>
          <w:szCs w:val="24"/>
          <w:lang w:val="en-US"/>
        </w:rPr>
        <w:t xml:space="preserve">6. </w:t>
      </w:r>
      <w:r w:rsidRPr="00F85673">
        <w:rPr>
          <w:rFonts w:ascii="Times New Roman" w:hAnsi="Times New Roman" w:cs="Times New Roman"/>
          <w:noProof/>
          <w:szCs w:val="24"/>
          <w:lang w:val="en-US"/>
        </w:rPr>
        <w:tab/>
        <w:t xml:space="preserve">Kanis JA, Harvey N, Cooper C, et al. A systematic review of intervention thresholds based on FRAX: A report prepared for the National Osteoporosis Guideline Group and the International Osteoporosis Foundation. </w:t>
      </w:r>
      <w:r w:rsidRPr="00DC419A">
        <w:rPr>
          <w:rFonts w:ascii="Times New Roman" w:hAnsi="Times New Roman" w:cs="Times New Roman"/>
          <w:i/>
          <w:iCs/>
          <w:noProof/>
          <w:szCs w:val="24"/>
        </w:rPr>
        <w:t>Arch Osteoporos</w:t>
      </w:r>
      <w:r w:rsidRPr="00DC419A">
        <w:rPr>
          <w:rFonts w:ascii="Times New Roman" w:hAnsi="Times New Roman" w:cs="Times New Roman"/>
          <w:noProof/>
          <w:szCs w:val="24"/>
        </w:rPr>
        <w:t>. 2016;11(1). doi:10.1007/s11657-016-0278-z</w:t>
      </w:r>
    </w:p>
    <w:p w14:paraId="1BDD2585" w14:textId="77777777" w:rsidR="00814C0D" w:rsidRPr="00F85673"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lang w:val="en-US"/>
        </w:rPr>
      </w:pPr>
      <w:r w:rsidRPr="00DC419A">
        <w:rPr>
          <w:rFonts w:ascii="Times New Roman" w:hAnsi="Times New Roman" w:cs="Times New Roman"/>
          <w:noProof/>
          <w:szCs w:val="24"/>
        </w:rPr>
        <w:t xml:space="preserve">7. </w:t>
      </w:r>
      <w:r w:rsidRPr="00DC419A">
        <w:rPr>
          <w:rFonts w:ascii="Times New Roman" w:hAnsi="Times New Roman" w:cs="Times New Roman"/>
          <w:noProof/>
          <w:szCs w:val="24"/>
        </w:rPr>
        <w:tab/>
        <w:t xml:space="preserve">Husereau D, Drummond M, Petrou S, et al. </w:t>
      </w:r>
      <w:r w:rsidRPr="00F85673">
        <w:rPr>
          <w:rFonts w:ascii="Times New Roman" w:hAnsi="Times New Roman" w:cs="Times New Roman"/>
          <w:noProof/>
          <w:szCs w:val="24"/>
          <w:lang w:val="en-US"/>
        </w:rPr>
        <w:t xml:space="preserve">Consolidated health economic evaluation reporting standards (CHEERS) statement. </w:t>
      </w:r>
      <w:r w:rsidRPr="00F85673">
        <w:rPr>
          <w:rFonts w:ascii="Times New Roman" w:hAnsi="Times New Roman" w:cs="Times New Roman"/>
          <w:i/>
          <w:iCs/>
          <w:noProof/>
          <w:szCs w:val="24"/>
          <w:lang w:val="en-US"/>
        </w:rPr>
        <w:t>Value Heal</w:t>
      </w:r>
      <w:r w:rsidRPr="00F85673">
        <w:rPr>
          <w:rFonts w:ascii="Times New Roman" w:hAnsi="Times New Roman" w:cs="Times New Roman"/>
          <w:noProof/>
          <w:szCs w:val="24"/>
          <w:lang w:val="en-US"/>
        </w:rPr>
        <w:t>. 2013;16(2):e1. doi:10.1016/j.jval.2013.02.010</w:t>
      </w:r>
    </w:p>
    <w:p w14:paraId="0DF50F46" w14:textId="77777777" w:rsidR="00814C0D" w:rsidRPr="0095017D"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lang w:val="fr-BE"/>
        </w:rPr>
      </w:pPr>
      <w:r w:rsidRPr="00F85673">
        <w:rPr>
          <w:rFonts w:ascii="Times New Roman" w:hAnsi="Times New Roman" w:cs="Times New Roman"/>
          <w:noProof/>
          <w:szCs w:val="24"/>
          <w:lang w:val="en-US"/>
        </w:rPr>
        <w:t>8</w:t>
      </w:r>
      <w:r w:rsidRPr="0095017D">
        <w:rPr>
          <w:rFonts w:ascii="Times New Roman" w:hAnsi="Times New Roman" w:cs="Times New Roman"/>
          <w:noProof/>
          <w:szCs w:val="24"/>
          <w:lang w:val="en-US"/>
        </w:rPr>
        <w:t xml:space="preserve">. </w:t>
      </w:r>
      <w:r w:rsidRPr="0095017D">
        <w:rPr>
          <w:rFonts w:ascii="Times New Roman" w:hAnsi="Times New Roman" w:cs="Times New Roman"/>
          <w:noProof/>
          <w:szCs w:val="24"/>
          <w:lang w:val="en-US"/>
        </w:rPr>
        <w:tab/>
        <w:t xml:space="preserve">Hiligsmann M, Reginster J, Tosteson ANA, et al. Recommendations for the conduct of economic evaluations in osteoporosis : outcomes of an experts ’ consensus meeting organized by the European Society for Clinical and Economic Aspects of Osteoporosis , Osteoarthritis and Musculoskeletal Diseases (ESCEO). </w:t>
      </w:r>
      <w:r w:rsidRPr="00A40D94">
        <w:rPr>
          <w:rFonts w:ascii="Times New Roman" w:hAnsi="Times New Roman" w:cs="Times New Roman"/>
          <w:i/>
          <w:iCs/>
          <w:noProof/>
          <w:szCs w:val="24"/>
          <w:lang w:val="fr-BE"/>
        </w:rPr>
        <w:t xml:space="preserve">Osteoporos Int. </w:t>
      </w:r>
      <w:r w:rsidRPr="0095017D">
        <w:rPr>
          <w:rFonts w:ascii="Times New Roman" w:hAnsi="Times New Roman" w:cs="Times New Roman"/>
          <w:noProof/>
          <w:szCs w:val="24"/>
          <w:lang w:val="fr-BE"/>
        </w:rPr>
        <w:t>2019;30(1):45-57.  doi: 10.1007/s00198-018-4744-x.</w:t>
      </w:r>
    </w:p>
    <w:p w14:paraId="0D57AD80" w14:textId="77777777" w:rsidR="00814C0D" w:rsidRPr="00F85673"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lang w:val="fr-BE"/>
        </w:rPr>
      </w:pPr>
      <w:r w:rsidRPr="00F85673">
        <w:rPr>
          <w:rFonts w:ascii="Times New Roman" w:hAnsi="Times New Roman" w:cs="Times New Roman"/>
          <w:noProof/>
          <w:szCs w:val="24"/>
          <w:lang w:val="fr-BE"/>
        </w:rPr>
        <w:t xml:space="preserve">9. </w:t>
      </w:r>
      <w:r w:rsidRPr="00F85673">
        <w:rPr>
          <w:rFonts w:ascii="Times New Roman" w:hAnsi="Times New Roman" w:cs="Times New Roman"/>
          <w:noProof/>
          <w:szCs w:val="24"/>
          <w:lang w:val="fr-BE"/>
        </w:rPr>
        <w:tab/>
        <w:t xml:space="preserve">Cui L, He T, Jiang Y, et al. </w:t>
      </w:r>
      <w:r w:rsidRPr="00F85673">
        <w:rPr>
          <w:rFonts w:ascii="Times New Roman" w:hAnsi="Times New Roman" w:cs="Times New Roman"/>
          <w:noProof/>
          <w:szCs w:val="24"/>
          <w:lang w:val="en-US"/>
        </w:rPr>
        <w:t xml:space="preserve">Predicting the intervention threshold for initiating osteoporosis treatment among postmenopausal women in China: a cost-effectiveness analysis based on real-world data. </w:t>
      </w:r>
      <w:r w:rsidRPr="00F85673">
        <w:rPr>
          <w:rFonts w:ascii="Times New Roman" w:hAnsi="Times New Roman" w:cs="Times New Roman"/>
          <w:i/>
          <w:iCs/>
          <w:noProof/>
          <w:szCs w:val="24"/>
          <w:lang w:val="fr-BE"/>
        </w:rPr>
        <w:t>Osteoporos Int</w:t>
      </w:r>
      <w:r w:rsidRPr="00F85673">
        <w:rPr>
          <w:rFonts w:ascii="Times New Roman" w:hAnsi="Times New Roman" w:cs="Times New Roman"/>
          <w:noProof/>
          <w:szCs w:val="24"/>
          <w:lang w:val="fr-BE"/>
        </w:rPr>
        <w:t>. 2020;31(2):307-316. doi:10.1007/s00198-019-05173-6</w:t>
      </w:r>
    </w:p>
    <w:p w14:paraId="77A7BC65" w14:textId="77777777" w:rsidR="00814C0D" w:rsidRPr="00F85673"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lang w:val="fr-BE"/>
        </w:rPr>
      </w:pPr>
      <w:r w:rsidRPr="00F85673">
        <w:rPr>
          <w:rFonts w:ascii="Times New Roman" w:hAnsi="Times New Roman" w:cs="Times New Roman"/>
          <w:noProof/>
          <w:szCs w:val="24"/>
          <w:lang w:val="fr-BE"/>
        </w:rPr>
        <w:t xml:space="preserve">10. </w:t>
      </w:r>
      <w:r w:rsidRPr="00F85673">
        <w:rPr>
          <w:rFonts w:ascii="Times New Roman" w:hAnsi="Times New Roman" w:cs="Times New Roman"/>
          <w:noProof/>
          <w:szCs w:val="24"/>
          <w:lang w:val="fr-BE"/>
        </w:rPr>
        <w:tab/>
        <w:t xml:space="preserve">Mori T, Crandall CJ, Fujii T, Ganz DA. </w:t>
      </w:r>
      <w:r w:rsidRPr="00F85673">
        <w:rPr>
          <w:rFonts w:ascii="Times New Roman" w:hAnsi="Times New Roman" w:cs="Times New Roman"/>
          <w:noProof/>
          <w:szCs w:val="24"/>
          <w:lang w:val="en-US"/>
        </w:rPr>
        <w:t xml:space="preserve">Cost-effectiveness of zoledronic acid compared with sequential denosumab/alendronate for older osteoporotic women in Japan. </w:t>
      </w:r>
      <w:r w:rsidRPr="00F85673">
        <w:rPr>
          <w:rFonts w:ascii="Times New Roman" w:hAnsi="Times New Roman" w:cs="Times New Roman"/>
          <w:i/>
          <w:iCs/>
          <w:noProof/>
          <w:szCs w:val="24"/>
          <w:lang w:val="fr-BE"/>
        </w:rPr>
        <w:t>Arch Osteoporos</w:t>
      </w:r>
      <w:r w:rsidRPr="00F85673">
        <w:rPr>
          <w:rFonts w:ascii="Times New Roman" w:hAnsi="Times New Roman" w:cs="Times New Roman"/>
          <w:noProof/>
          <w:szCs w:val="24"/>
          <w:lang w:val="fr-BE"/>
        </w:rPr>
        <w:t>. 2021;16(1). doi:10.1007/s11657-021-00956-z</w:t>
      </w:r>
    </w:p>
    <w:p w14:paraId="78F37808" w14:textId="77777777" w:rsidR="00814C0D" w:rsidRPr="00F85673"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lang w:val="en-US"/>
        </w:rPr>
      </w:pPr>
      <w:r w:rsidRPr="00F85673">
        <w:rPr>
          <w:rFonts w:ascii="Times New Roman" w:hAnsi="Times New Roman" w:cs="Times New Roman"/>
          <w:noProof/>
          <w:szCs w:val="24"/>
          <w:lang w:val="fr-BE"/>
        </w:rPr>
        <w:t xml:space="preserve">11. </w:t>
      </w:r>
      <w:r w:rsidRPr="00F85673">
        <w:rPr>
          <w:rFonts w:ascii="Times New Roman" w:hAnsi="Times New Roman" w:cs="Times New Roman"/>
          <w:noProof/>
          <w:szCs w:val="24"/>
          <w:lang w:val="fr-BE"/>
        </w:rPr>
        <w:tab/>
        <w:t xml:space="preserve">Mori T, Crandall CJ, Fujii T, Ganz DA. </w:t>
      </w:r>
      <w:r w:rsidRPr="00F85673">
        <w:rPr>
          <w:rFonts w:ascii="Times New Roman" w:hAnsi="Times New Roman" w:cs="Times New Roman"/>
          <w:noProof/>
          <w:szCs w:val="24"/>
          <w:lang w:val="en-US"/>
        </w:rPr>
        <w:t xml:space="preserve">Cost-effectiveness of zoledronic acid compared with sequential denosumab/alendronate for older osteoporotic women in Japan. </w:t>
      </w:r>
      <w:r w:rsidRPr="00F85673">
        <w:rPr>
          <w:rFonts w:ascii="Times New Roman" w:hAnsi="Times New Roman" w:cs="Times New Roman"/>
          <w:i/>
          <w:iCs/>
          <w:noProof/>
          <w:szCs w:val="24"/>
          <w:lang w:val="en-US"/>
        </w:rPr>
        <w:t>Arch Osteoporos</w:t>
      </w:r>
      <w:r w:rsidRPr="00F85673">
        <w:rPr>
          <w:rFonts w:ascii="Times New Roman" w:hAnsi="Times New Roman" w:cs="Times New Roman"/>
          <w:noProof/>
          <w:szCs w:val="24"/>
          <w:lang w:val="en-US"/>
        </w:rPr>
        <w:t>. 2021;16(1). doi:10.1007/s11657-021-00956-z</w:t>
      </w:r>
    </w:p>
    <w:p w14:paraId="2F50C929" w14:textId="77777777" w:rsidR="00814C0D" w:rsidRPr="00F85673"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lang w:val="en-US"/>
        </w:rPr>
      </w:pPr>
      <w:r w:rsidRPr="00F85673">
        <w:rPr>
          <w:rFonts w:ascii="Times New Roman" w:hAnsi="Times New Roman" w:cs="Times New Roman"/>
          <w:noProof/>
          <w:szCs w:val="24"/>
          <w:lang w:val="en-US"/>
        </w:rPr>
        <w:t xml:space="preserve">12. </w:t>
      </w:r>
      <w:r w:rsidRPr="00F85673">
        <w:rPr>
          <w:rFonts w:ascii="Times New Roman" w:hAnsi="Times New Roman" w:cs="Times New Roman"/>
          <w:noProof/>
          <w:szCs w:val="24"/>
          <w:lang w:val="en-US"/>
        </w:rPr>
        <w:tab/>
        <w:t xml:space="preserve">Hiligsmann M, Williams SA, Fitzpatrick LA, Silverman SS, Weiss R, Reginster JY. Cost-effectiveness of sequential treatment with abaloparatide vs. teriparatide for United States women at increased risk of fracture. </w:t>
      </w:r>
      <w:r w:rsidRPr="00F85673">
        <w:rPr>
          <w:rFonts w:ascii="Times New Roman" w:hAnsi="Times New Roman" w:cs="Times New Roman"/>
          <w:i/>
          <w:iCs/>
          <w:noProof/>
          <w:szCs w:val="24"/>
          <w:lang w:val="en-US"/>
        </w:rPr>
        <w:t>Semin Arthritis Rheum</w:t>
      </w:r>
      <w:r w:rsidRPr="00F85673">
        <w:rPr>
          <w:rFonts w:ascii="Times New Roman" w:hAnsi="Times New Roman" w:cs="Times New Roman"/>
          <w:noProof/>
          <w:szCs w:val="24"/>
          <w:lang w:val="en-US"/>
        </w:rPr>
        <w:t>. 2019;49(2):184-196. doi:10.1016/j.semarthrit.2019.01.006</w:t>
      </w:r>
    </w:p>
    <w:p w14:paraId="49420648" w14:textId="77777777" w:rsidR="00814C0D" w:rsidRPr="00F85673"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lang w:val="en-US"/>
        </w:rPr>
      </w:pPr>
      <w:r w:rsidRPr="00627652">
        <w:rPr>
          <w:rFonts w:ascii="Times New Roman" w:hAnsi="Times New Roman" w:cs="Times New Roman"/>
          <w:noProof/>
          <w:szCs w:val="24"/>
          <w:lang w:val="en-US"/>
        </w:rPr>
        <w:t xml:space="preserve">13. </w:t>
      </w:r>
      <w:r w:rsidRPr="00627652">
        <w:rPr>
          <w:rFonts w:ascii="Times New Roman" w:hAnsi="Times New Roman" w:cs="Times New Roman"/>
          <w:noProof/>
          <w:szCs w:val="24"/>
          <w:lang w:val="en-US"/>
        </w:rPr>
        <w:tab/>
        <w:t xml:space="preserve">Hiligsmann M, Maggi S, Veronese N, Sartori L, Reginster JY. </w:t>
      </w:r>
      <w:r w:rsidRPr="00F85673">
        <w:rPr>
          <w:rFonts w:ascii="Times New Roman" w:hAnsi="Times New Roman" w:cs="Times New Roman"/>
          <w:noProof/>
          <w:szCs w:val="24"/>
          <w:lang w:val="en-US"/>
        </w:rPr>
        <w:t xml:space="preserve">Cost-effectiveness of buffered soluble alendronate 70 mg effervescent tablet for the treatment of postmenopausal women with osteoporosis in Italy. </w:t>
      </w:r>
      <w:r w:rsidRPr="00F85673">
        <w:rPr>
          <w:rFonts w:ascii="Times New Roman" w:hAnsi="Times New Roman" w:cs="Times New Roman"/>
          <w:i/>
          <w:iCs/>
          <w:noProof/>
          <w:szCs w:val="24"/>
          <w:lang w:val="en-US"/>
        </w:rPr>
        <w:t>Osteoporos Int</w:t>
      </w:r>
      <w:r w:rsidRPr="00F85673">
        <w:rPr>
          <w:rFonts w:ascii="Times New Roman" w:hAnsi="Times New Roman" w:cs="Times New Roman"/>
          <w:noProof/>
          <w:szCs w:val="24"/>
          <w:lang w:val="en-US"/>
        </w:rPr>
        <w:t>. 2021;32(3):595-606. doi:10.1007/s00198-020-05802-5</w:t>
      </w:r>
    </w:p>
    <w:p w14:paraId="04F7D093" w14:textId="77777777" w:rsidR="00814C0D" w:rsidRPr="00F85673"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lang w:val="en-US"/>
        </w:rPr>
      </w:pPr>
      <w:r w:rsidRPr="00F85673">
        <w:rPr>
          <w:rFonts w:ascii="Times New Roman" w:hAnsi="Times New Roman" w:cs="Times New Roman"/>
          <w:noProof/>
          <w:szCs w:val="24"/>
          <w:lang w:val="en-US"/>
        </w:rPr>
        <w:t xml:space="preserve">14. </w:t>
      </w:r>
      <w:r w:rsidRPr="00F85673">
        <w:rPr>
          <w:rFonts w:ascii="Times New Roman" w:hAnsi="Times New Roman" w:cs="Times New Roman"/>
          <w:noProof/>
          <w:szCs w:val="24"/>
          <w:lang w:val="en-US"/>
        </w:rPr>
        <w:tab/>
        <w:t xml:space="preserve">Ito K. Cost-effectiveness of Screening for Osteoporosis in Older Men With a History of Falls. </w:t>
      </w:r>
      <w:r w:rsidRPr="00F85673">
        <w:rPr>
          <w:rFonts w:ascii="Times New Roman" w:hAnsi="Times New Roman" w:cs="Times New Roman"/>
          <w:i/>
          <w:iCs/>
          <w:noProof/>
          <w:szCs w:val="24"/>
          <w:lang w:val="en-US"/>
        </w:rPr>
        <w:t>JAMA Netw open</w:t>
      </w:r>
      <w:r w:rsidRPr="00F85673">
        <w:rPr>
          <w:rFonts w:ascii="Times New Roman" w:hAnsi="Times New Roman" w:cs="Times New Roman"/>
          <w:noProof/>
          <w:szCs w:val="24"/>
          <w:lang w:val="en-US"/>
        </w:rPr>
        <w:t>. 2020;3(12):e2027584. doi:10.1001/jamanetworkopen.2020.27584</w:t>
      </w:r>
    </w:p>
    <w:p w14:paraId="320957C4" w14:textId="77777777" w:rsidR="00814C0D" w:rsidRPr="003228EF"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lang w:val="en-US"/>
        </w:rPr>
      </w:pPr>
      <w:r w:rsidRPr="00F85673">
        <w:rPr>
          <w:rFonts w:ascii="Times New Roman" w:hAnsi="Times New Roman" w:cs="Times New Roman"/>
          <w:noProof/>
          <w:szCs w:val="24"/>
          <w:lang w:val="en-US"/>
        </w:rPr>
        <w:t xml:space="preserve">15. </w:t>
      </w:r>
      <w:r w:rsidRPr="00F85673">
        <w:rPr>
          <w:rFonts w:ascii="Times New Roman" w:hAnsi="Times New Roman" w:cs="Times New Roman"/>
          <w:noProof/>
          <w:szCs w:val="24"/>
          <w:lang w:val="en-US"/>
        </w:rPr>
        <w:tab/>
        <w:t xml:space="preserve">Hiligsmann M, Williams SA, Fitzpatrick LA, Silverman SS, Weiss R, Reginster JY. Cost-effectiveness of sequential treatment with abaloparatide followed by alendronate vs. alendronate monotherapy in women at increased risk of fracture: A US payer perspective. </w:t>
      </w:r>
      <w:r w:rsidRPr="003228EF">
        <w:rPr>
          <w:rFonts w:ascii="Times New Roman" w:hAnsi="Times New Roman" w:cs="Times New Roman"/>
          <w:i/>
          <w:iCs/>
          <w:noProof/>
          <w:szCs w:val="24"/>
          <w:lang w:val="en-US"/>
        </w:rPr>
        <w:t>Semin Arthritis Rheum</w:t>
      </w:r>
      <w:r w:rsidRPr="003228EF">
        <w:rPr>
          <w:rFonts w:ascii="Times New Roman" w:hAnsi="Times New Roman" w:cs="Times New Roman"/>
          <w:noProof/>
          <w:szCs w:val="24"/>
          <w:lang w:val="en-US"/>
        </w:rPr>
        <w:t>. 2020;50(3):394-400. doi:10.1016/j.semarthrit.2020.02.004</w:t>
      </w:r>
    </w:p>
    <w:p w14:paraId="3498C165" w14:textId="6E53C047" w:rsidR="00814C0D"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szCs w:val="24"/>
          <w:lang w:val="en-US"/>
        </w:rPr>
      </w:pPr>
      <w:r w:rsidRPr="003228EF">
        <w:rPr>
          <w:rFonts w:ascii="Times New Roman" w:hAnsi="Times New Roman" w:cs="Times New Roman"/>
          <w:noProof/>
          <w:szCs w:val="24"/>
          <w:lang w:val="en-US"/>
        </w:rPr>
        <w:t>16.</w:t>
      </w:r>
      <w:r w:rsidRPr="003228EF">
        <w:rPr>
          <w:rFonts w:ascii="Times New Roman" w:hAnsi="Times New Roman" w:cs="Times New Roman"/>
          <w:noProof/>
          <w:szCs w:val="24"/>
          <w:lang w:val="en-US"/>
        </w:rPr>
        <w:tab/>
        <w:t xml:space="preserve">Husereau D, Drummond M, Augustovski F, </w:t>
      </w:r>
      <w:r>
        <w:rPr>
          <w:rFonts w:ascii="Times New Roman" w:hAnsi="Times New Roman" w:cs="Times New Roman"/>
          <w:noProof/>
          <w:szCs w:val="24"/>
          <w:lang w:val="en-US"/>
        </w:rPr>
        <w:t>et al.</w:t>
      </w:r>
      <w:r w:rsidRPr="003228EF">
        <w:rPr>
          <w:rFonts w:ascii="Times New Roman" w:hAnsi="Times New Roman" w:cs="Times New Roman"/>
          <w:noProof/>
          <w:szCs w:val="24"/>
          <w:lang w:val="en-US"/>
        </w:rPr>
        <w:t xml:space="preserve">; </w:t>
      </w:r>
      <w:r>
        <w:rPr>
          <w:rFonts w:ascii="Times New Roman" w:hAnsi="Times New Roman" w:cs="Times New Roman"/>
          <w:noProof/>
          <w:szCs w:val="24"/>
          <w:lang w:val="en-US"/>
        </w:rPr>
        <w:t>CHEERS 2022 ISPOR Good Research Practices Task Force Consolidated Health Economic Evaluation Reporting Standards 2022 (CHEERS 2022) Statement: Updated Reporting Guidance for Health Economic Evaluations. Value Health. 2022 Jan;25(1):3-9.</w:t>
      </w:r>
    </w:p>
    <w:p w14:paraId="559699BA" w14:textId="77777777" w:rsidR="00814C0D" w:rsidRPr="003228EF" w:rsidRDefault="00814C0D" w:rsidP="00814C0D">
      <w:pPr>
        <w:widowControl w:val="0"/>
        <w:autoSpaceDE w:val="0"/>
        <w:autoSpaceDN w:val="0"/>
        <w:adjustRightInd w:val="0"/>
        <w:spacing w:line="240" w:lineRule="auto"/>
        <w:ind w:left="640" w:hanging="640"/>
        <w:jc w:val="both"/>
        <w:rPr>
          <w:rFonts w:ascii="Times New Roman" w:hAnsi="Times New Roman" w:cs="Times New Roman"/>
          <w:noProof/>
          <w:lang w:val="en-US"/>
        </w:rPr>
      </w:pPr>
    </w:p>
    <w:p w14:paraId="3C9D4230" w14:textId="0D945CE0" w:rsidR="00C06879" w:rsidRPr="00C87272" w:rsidRDefault="00814C0D" w:rsidP="00814C0D">
      <w:pPr>
        <w:jc w:val="both"/>
        <w:rPr>
          <w:rFonts w:ascii="Times New Roman" w:hAnsi="Times New Roman" w:cs="Times New Roman"/>
          <w:lang w:val="en-US"/>
        </w:rPr>
      </w:pPr>
      <w:r>
        <w:rPr>
          <w:rFonts w:ascii="Times New Roman" w:hAnsi="Times New Roman" w:cs="Times New Roman"/>
          <w:lang w:val="en-US"/>
        </w:rPr>
        <w:fldChar w:fldCharType="end"/>
      </w:r>
    </w:p>
    <w:p w14:paraId="0506D18A" w14:textId="53454BB8" w:rsidR="00D45805" w:rsidRPr="00D45805" w:rsidRDefault="00D45805">
      <w:pPr>
        <w:rPr>
          <w:lang w:val="en-US"/>
        </w:rPr>
      </w:pPr>
    </w:p>
    <w:sectPr w:rsidR="00D45805" w:rsidRPr="00D458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76D5E"/>
    <w:multiLevelType w:val="multilevel"/>
    <w:tmpl w:val="E73A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71207A"/>
    <w:multiLevelType w:val="hybridMultilevel"/>
    <w:tmpl w:val="A2F06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CwNLUwNrc0MQcS5ko6SsGpxcWZ+XkgBWa1AHblFqQsAAAA"/>
  </w:docVars>
  <w:rsids>
    <w:rsidRoot w:val="00D45805"/>
    <w:rsid w:val="000007E9"/>
    <w:rsid w:val="00020D3B"/>
    <w:rsid w:val="00063CDD"/>
    <w:rsid w:val="000803DF"/>
    <w:rsid w:val="000941D2"/>
    <w:rsid w:val="00097542"/>
    <w:rsid w:val="000B2D9C"/>
    <w:rsid w:val="000B53D8"/>
    <w:rsid w:val="000E04D3"/>
    <w:rsid w:val="000E0D78"/>
    <w:rsid w:val="000E5DF0"/>
    <w:rsid w:val="001008F9"/>
    <w:rsid w:val="001374BE"/>
    <w:rsid w:val="00153E48"/>
    <w:rsid w:val="0019356A"/>
    <w:rsid w:val="00202D77"/>
    <w:rsid w:val="00211D8F"/>
    <w:rsid w:val="002130ED"/>
    <w:rsid w:val="0024446C"/>
    <w:rsid w:val="002774DC"/>
    <w:rsid w:val="00292C0B"/>
    <w:rsid w:val="002969AC"/>
    <w:rsid w:val="002B3E24"/>
    <w:rsid w:val="002B6D56"/>
    <w:rsid w:val="002C3DCF"/>
    <w:rsid w:val="002F079D"/>
    <w:rsid w:val="00317681"/>
    <w:rsid w:val="003228EF"/>
    <w:rsid w:val="00344116"/>
    <w:rsid w:val="00364D4B"/>
    <w:rsid w:val="00385E39"/>
    <w:rsid w:val="003A0753"/>
    <w:rsid w:val="003E3FC7"/>
    <w:rsid w:val="004373D2"/>
    <w:rsid w:val="00474C38"/>
    <w:rsid w:val="00475D37"/>
    <w:rsid w:val="00492CB1"/>
    <w:rsid w:val="004A0F90"/>
    <w:rsid w:val="004A4885"/>
    <w:rsid w:val="004C15DE"/>
    <w:rsid w:val="004E2131"/>
    <w:rsid w:val="00505584"/>
    <w:rsid w:val="005117DB"/>
    <w:rsid w:val="00515477"/>
    <w:rsid w:val="005353C5"/>
    <w:rsid w:val="00554A0D"/>
    <w:rsid w:val="00564E25"/>
    <w:rsid w:val="00575BC6"/>
    <w:rsid w:val="005D5077"/>
    <w:rsid w:val="005F3B92"/>
    <w:rsid w:val="005F3EA6"/>
    <w:rsid w:val="005F7BA3"/>
    <w:rsid w:val="00627652"/>
    <w:rsid w:val="00663326"/>
    <w:rsid w:val="006936D8"/>
    <w:rsid w:val="006A0366"/>
    <w:rsid w:val="006C4695"/>
    <w:rsid w:val="006D2F0A"/>
    <w:rsid w:val="006F281A"/>
    <w:rsid w:val="00772A74"/>
    <w:rsid w:val="007C1077"/>
    <w:rsid w:val="007E41EC"/>
    <w:rsid w:val="00814C0D"/>
    <w:rsid w:val="0086158C"/>
    <w:rsid w:val="008D730A"/>
    <w:rsid w:val="008F5A99"/>
    <w:rsid w:val="00922F1B"/>
    <w:rsid w:val="00933FDC"/>
    <w:rsid w:val="0095017D"/>
    <w:rsid w:val="00961204"/>
    <w:rsid w:val="00971F70"/>
    <w:rsid w:val="00974236"/>
    <w:rsid w:val="00990779"/>
    <w:rsid w:val="009B5E10"/>
    <w:rsid w:val="009C3961"/>
    <w:rsid w:val="009C7408"/>
    <w:rsid w:val="009E3C4C"/>
    <w:rsid w:val="009E5D1F"/>
    <w:rsid w:val="009F72E5"/>
    <w:rsid w:val="00A22D77"/>
    <w:rsid w:val="00A22DF9"/>
    <w:rsid w:val="00A30CE8"/>
    <w:rsid w:val="00A40D94"/>
    <w:rsid w:val="00A50A83"/>
    <w:rsid w:val="00A56232"/>
    <w:rsid w:val="00A81CB4"/>
    <w:rsid w:val="00A8680F"/>
    <w:rsid w:val="00AB11DB"/>
    <w:rsid w:val="00AC6792"/>
    <w:rsid w:val="00AC6BD5"/>
    <w:rsid w:val="00B40BD5"/>
    <w:rsid w:val="00B54757"/>
    <w:rsid w:val="00B56819"/>
    <w:rsid w:val="00B9016A"/>
    <w:rsid w:val="00B946E1"/>
    <w:rsid w:val="00BE38E3"/>
    <w:rsid w:val="00BF6E01"/>
    <w:rsid w:val="00C06879"/>
    <w:rsid w:val="00C078CC"/>
    <w:rsid w:val="00C1308A"/>
    <w:rsid w:val="00C61ECC"/>
    <w:rsid w:val="00C67DC9"/>
    <w:rsid w:val="00C74157"/>
    <w:rsid w:val="00C87272"/>
    <w:rsid w:val="00CC4732"/>
    <w:rsid w:val="00CF106A"/>
    <w:rsid w:val="00CF1829"/>
    <w:rsid w:val="00D2039C"/>
    <w:rsid w:val="00D45805"/>
    <w:rsid w:val="00D715A7"/>
    <w:rsid w:val="00D763AE"/>
    <w:rsid w:val="00D878D0"/>
    <w:rsid w:val="00D95350"/>
    <w:rsid w:val="00DA5DB7"/>
    <w:rsid w:val="00DC419A"/>
    <w:rsid w:val="00DD1D89"/>
    <w:rsid w:val="00DE2038"/>
    <w:rsid w:val="00DE5A24"/>
    <w:rsid w:val="00E050A2"/>
    <w:rsid w:val="00E2255E"/>
    <w:rsid w:val="00E55BC0"/>
    <w:rsid w:val="00E6014B"/>
    <w:rsid w:val="00E62FDF"/>
    <w:rsid w:val="00E71ECF"/>
    <w:rsid w:val="00EA266A"/>
    <w:rsid w:val="00EB6124"/>
    <w:rsid w:val="00F14612"/>
    <w:rsid w:val="00F2170F"/>
    <w:rsid w:val="00F33F4A"/>
    <w:rsid w:val="00F43813"/>
    <w:rsid w:val="00F61C54"/>
    <w:rsid w:val="00F71774"/>
    <w:rsid w:val="00F81277"/>
    <w:rsid w:val="00F85673"/>
    <w:rsid w:val="00F904FF"/>
    <w:rsid w:val="00F96448"/>
    <w:rsid w:val="00FA11AC"/>
    <w:rsid w:val="00FE2BE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E076"/>
  <w15:chartTrackingRefBased/>
  <w15:docId w15:val="{0F2CACE4-4BA1-47C8-B765-A650FE3D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3DCF"/>
    <w:pPr>
      <w:keepNext/>
      <w:keepLines/>
      <w:widowControl w:val="0"/>
      <w:spacing w:after="80" w:line="240" w:lineRule="auto"/>
      <w:jc w:val="both"/>
      <w:outlineLvl w:val="0"/>
    </w:pPr>
    <w:rPr>
      <w:rFonts w:ascii="Times New Roman" w:eastAsiaTheme="majorEastAsia" w:hAnsi="Times New Roman" w:cstheme="majorBidi"/>
      <w:b/>
      <w:color w:val="000000" w:themeColor="text1"/>
      <w:kern w:val="2"/>
      <w:sz w:val="28"/>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5805"/>
    <w:rPr>
      <w:sz w:val="16"/>
      <w:szCs w:val="16"/>
    </w:rPr>
  </w:style>
  <w:style w:type="paragraph" w:styleId="CommentText">
    <w:name w:val="annotation text"/>
    <w:basedOn w:val="Normal"/>
    <w:link w:val="CommentTextChar"/>
    <w:uiPriority w:val="99"/>
    <w:semiHidden/>
    <w:unhideWhenUsed/>
    <w:rsid w:val="00D45805"/>
    <w:pPr>
      <w:spacing w:line="240" w:lineRule="auto"/>
    </w:pPr>
    <w:rPr>
      <w:sz w:val="20"/>
      <w:szCs w:val="20"/>
    </w:rPr>
  </w:style>
  <w:style w:type="character" w:customStyle="1" w:styleId="CommentTextChar">
    <w:name w:val="Comment Text Char"/>
    <w:basedOn w:val="DefaultParagraphFont"/>
    <w:link w:val="CommentText"/>
    <w:uiPriority w:val="99"/>
    <w:semiHidden/>
    <w:rsid w:val="00D45805"/>
    <w:rPr>
      <w:sz w:val="20"/>
      <w:szCs w:val="20"/>
    </w:rPr>
  </w:style>
  <w:style w:type="paragraph" w:styleId="CommentSubject">
    <w:name w:val="annotation subject"/>
    <w:basedOn w:val="CommentText"/>
    <w:next w:val="CommentText"/>
    <w:link w:val="CommentSubjectChar"/>
    <w:uiPriority w:val="99"/>
    <w:semiHidden/>
    <w:unhideWhenUsed/>
    <w:rsid w:val="00D45805"/>
    <w:rPr>
      <w:b/>
      <w:bCs/>
    </w:rPr>
  </w:style>
  <w:style w:type="character" w:customStyle="1" w:styleId="CommentSubjectChar">
    <w:name w:val="Comment Subject Char"/>
    <w:basedOn w:val="CommentTextChar"/>
    <w:link w:val="CommentSubject"/>
    <w:uiPriority w:val="99"/>
    <w:semiHidden/>
    <w:rsid w:val="00D45805"/>
    <w:rPr>
      <w:b/>
      <w:bCs/>
      <w:sz w:val="20"/>
      <w:szCs w:val="20"/>
    </w:rPr>
  </w:style>
  <w:style w:type="paragraph" w:styleId="BalloonText">
    <w:name w:val="Balloon Text"/>
    <w:basedOn w:val="Normal"/>
    <w:link w:val="BalloonTextChar"/>
    <w:uiPriority w:val="99"/>
    <w:semiHidden/>
    <w:unhideWhenUsed/>
    <w:rsid w:val="00D45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805"/>
    <w:rPr>
      <w:rFonts w:ascii="Segoe UI" w:hAnsi="Segoe UI" w:cs="Segoe UI"/>
      <w:sz w:val="18"/>
      <w:szCs w:val="18"/>
    </w:rPr>
  </w:style>
  <w:style w:type="character" w:styleId="Hyperlink">
    <w:name w:val="Hyperlink"/>
    <w:basedOn w:val="DefaultParagraphFont"/>
    <w:uiPriority w:val="99"/>
    <w:unhideWhenUsed/>
    <w:rsid w:val="00D45805"/>
    <w:rPr>
      <w:color w:val="0563C1" w:themeColor="hyperlink"/>
      <w:u w:val="single"/>
    </w:rPr>
  </w:style>
  <w:style w:type="paragraph" w:styleId="ListParagraph">
    <w:name w:val="List Paragraph"/>
    <w:basedOn w:val="Normal"/>
    <w:uiPriority w:val="34"/>
    <w:qFormat/>
    <w:rsid w:val="009B5E10"/>
    <w:pPr>
      <w:ind w:left="720"/>
      <w:contextualSpacing/>
    </w:pPr>
  </w:style>
  <w:style w:type="character" w:customStyle="1" w:styleId="Heading1Char">
    <w:name w:val="Heading 1 Char"/>
    <w:basedOn w:val="DefaultParagraphFont"/>
    <w:link w:val="Heading1"/>
    <w:uiPriority w:val="9"/>
    <w:rsid w:val="002C3DCF"/>
    <w:rPr>
      <w:rFonts w:ascii="Times New Roman" w:eastAsiaTheme="majorEastAsia" w:hAnsi="Times New Roman" w:cstheme="majorBidi"/>
      <w:b/>
      <w:color w:val="000000" w:themeColor="text1"/>
      <w:kern w:val="2"/>
      <w:sz w:val="28"/>
      <w:szCs w:val="32"/>
      <w:lang w:val="en-US" w:eastAsia="zh-CN"/>
    </w:rPr>
  </w:style>
  <w:style w:type="paragraph" w:customStyle="1" w:styleId="Default">
    <w:name w:val="Default"/>
    <w:rsid w:val="00F61C54"/>
    <w:pPr>
      <w:autoSpaceDE w:val="0"/>
      <w:autoSpaceDN w:val="0"/>
      <w:adjustRightInd w:val="0"/>
      <w:spacing w:after="0" w:line="240" w:lineRule="auto"/>
    </w:pPr>
    <w:rPr>
      <w:rFonts w:ascii="Calibri" w:hAnsi="Calibri" w:cs="Calibri"/>
      <w:color w:val="000000"/>
      <w:sz w:val="24"/>
      <w:szCs w:val="24"/>
      <w:lang w:val="en-US"/>
    </w:rPr>
  </w:style>
  <w:style w:type="paragraph" w:styleId="Revision">
    <w:name w:val="Revision"/>
    <w:hidden/>
    <w:uiPriority w:val="99"/>
    <w:semiHidden/>
    <w:rsid w:val="002774DC"/>
    <w:pPr>
      <w:spacing w:after="0" w:line="240" w:lineRule="auto"/>
    </w:pPr>
  </w:style>
  <w:style w:type="character" w:customStyle="1" w:styleId="cit">
    <w:name w:val="cit"/>
    <w:basedOn w:val="DefaultParagraphFont"/>
    <w:rsid w:val="00A40D94"/>
  </w:style>
  <w:style w:type="character" w:customStyle="1" w:styleId="citation-doi">
    <w:name w:val="citation-doi"/>
    <w:basedOn w:val="DefaultParagraphFont"/>
    <w:rsid w:val="00A40D94"/>
  </w:style>
  <w:style w:type="character" w:customStyle="1" w:styleId="period">
    <w:name w:val="period"/>
    <w:basedOn w:val="DefaultParagraphFont"/>
    <w:rsid w:val="0095017D"/>
  </w:style>
  <w:style w:type="character" w:styleId="Strong">
    <w:name w:val="Strong"/>
    <w:basedOn w:val="DefaultParagraphFont"/>
    <w:uiPriority w:val="22"/>
    <w:qFormat/>
    <w:rsid w:val="00CF106A"/>
    <w:rPr>
      <w:b/>
      <w:bCs/>
    </w:rPr>
  </w:style>
  <w:style w:type="character" w:customStyle="1" w:styleId="docsum-authors">
    <w:name w:val="docsum-authors"/>
    <w:basedOn w:val="DefaultParagraphFont"/>
    <w:rsid w:val="003228EF"/>
  </w:style>
  <w:style w:type="character" w:customStyle="1" w:styleId="docsum-journal-citation">
    <w:name w:val="docsum-journal-citation"/>
    <w:basedOn w:val="DefaultParagraphFont"/>
    <w:rsid w:val="00322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944206">
      <w:bodyDiv w:val="1"/>
      <w:marLeft w:val="0"/>
      <w:marRight w:val="0"/>
      <w:marTop w:val="0"/>
      <w:marBottom w:val="0"/>
      <w:divBdr>
        <w:top w:val="none" w:sz="0" w:space="0" w:color="auto"/>
        <w:left w:val="none" w:sz="0" w:space="0" w:color="auto"/>
        <w:bottom w:val="none" w:sz="0" w:space="0" w:color="auto"/>
        <w:right w:val="none" w:sz="0" w:space="0" w:color="auto"/>
      </w:divBdr>
    </w:div>
    <w:div w:id="1386225037">
      <w:bodyDiv w:val="1"/>
      <w:marLeft w:val="0"/>
      <w:marRight w:val="0"/>
      <w:marTop w:val="0"/>
      <w:marBottom w:val="0"/>
      <w:divBdr>
        <w:top w:val="none" w:sz="0" w:space="0" w:color="auto"/>
        <w:left w:val="none" w:sz="0" w:space="0" w:color="auto"/>
        <w:bottom w:val="none" w:sz="0" w:space="0" w:color="auto"/>
        <w:right w:val="none" w:sz="0" w:space="0" w:color="auto"/>
      </w:divBdr>
    </w:div>
    <w:div w:id="1521549538">
      <w:bodyDiv w:val="1"/>
      <w:marLeft w:val="0"/>
      <w:marRight w:val="0"/>
      <w:marTop w:val="0"/>
      <w:marBottom w:val="0"/>
      <w:divBdr>
        <w:top w:val="none" w:sz="0" w:space="0" w:color="auto"/>
        <w:left w:val="none" w:sz="0" w:space="0" w:color="auto"/>
        <w:bottom w:val="none" w:sz="0" w:space="0" w:color="auto"/>
        <w:right w:val="none" w:sz="0" w:space="0" w:color="auto"/>
      </w:divBdr>
      <w:divsChild>
        <w:div w:id="72359497">
          <w:marLeft w:val="0"/>
          <w:marRight w:val="0"/>
          <w:marTop w:val="0"/>
          <w:marBottom w:val="0"/>
          <w:divBdr>
            <w:top w:val="none" w:sz="0" w:space="0" w:color="auto"/>
            <w:left w:val="none" w:sz="0" w:space="0" w:color="auto"/>
            <w:bottom w:val="none" w:sz="0" w:space="0" w:color="auto"/>
            <w:right w:val="none" w:sz="0" w:space="0" w:color="auto"/>
          </w:divBdr>
          <w:divsChild>
            <w:div w:id="9917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93688">
      <w:bodyDiv w:val="1"/>
      <w:marLeft w:val="0"/>
      <w:marRight w:val="0"/>
      <w:marTop w:val="0"/>
      <w:marBottom w:val="0"/>
      <w:divBdr>
        <w:top w:val="none" w:sz="0" w:space="0" w:color="auto"/>
        <w:left w:val="none" w:sz="0" w:space="0" w:color="auto"/>
        <w:bottom w:val="none" w:sz="0" w:space="0" w:color="auto"/>
        <w:right w:val="none" w:sz="0" w:space="0" w:color="auto"/>
      </w:divBdr>
      <w:divsChild>
        <w:div w:id="415370904">
          <w:marLeft w:val="0"/>
          <w:marRight w:val="0"/>
          <w:marTop w:val="0"/>
          <w:marBottom w:val="0"/>
          <w:divBdr>
            <w:top w:val="none" w:sz="0" w:space="0" w:color="auto"/>
            <w:left w:val="none" w:sz="0" w:space="0" w:color="auto"/>
            <w:bottom w:val="none" w:sz="0" w:space="0" w:color="auto"/>
            <w:right w:val="none" w:sz="0" w:space="0" w:color="auto"/>
          </w:divBdr>
        </w:div>
      </w:divsChild>
    </w:div>
    <w:div w:id="2007397201">
      <w:bodyDiv w:val="1"/>
      <w:marLeft w:val="0"/>
      <w:marRight w:val="0"/>
      <w:marTop w:val="0"/>
      <w:marBottom w:val="0"/>
      <w:divBdr>
        <w:top w:val="none" w:sz="0" w:space="0" w:color="auto"/>
        <w:left w:val="none" w:sz="0" w:space="0" w:color="auto"/>
        <w:bottom w:val="none" w:sz="0" w:space="0" w:color="auto"/>
        <w:right w:val="none" w:sz="0" w:space="0" w:color="auto"/>
      </w:divBdr>
    </w:div>
    <w:div w:id="2078436726">
      <w:bodyDiv w:val="1"/>
      <w:marLeft w:val="0"/>
      <w:marRight w:val="0"/>
      <w:marTop w:val="0"/>
      <w:marBottom w:val="0"/>
      <w:divBdr>
        <w:top w:val="none" w:sz="0" w:space="0" w:color="auto"/>
        <w:left w:val="none" w:sz="0" w:space="0" w:color="auto"/>
        <w:bottom w:val="none" w:sz="0" w:space="0" w:color="auto"/>
        <w:right w:val="none" w:sz="0" w:space="0" w:color="auto"/>
      </w:divBdr>
      <w:divsChild>
        <w:div w:id="1002665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hiligsmann@maastrichtuniversity.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269C-DC8C-42FF-8BE3-17759DD44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9832</Words>
  <Characters>56046</Characters>
  <Application>Microsoft Office Word</Application>
  <DocSecurity>4</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Maastricht University</Company>
  <LinksUpToDate>false</LinksUpToDate>
  <CharactersWithSpaces>65747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Hiligsmann, Mickaël (HSR)</dc:creator>
  <cp:keywords/>
  <dc:description/>
  <cp:lastModifiedBy>Karen Drake</cp:lastModifiedBy>
  <cp:revision>2</cp:revision>
  <cp:lastPrinted>2022-04-19T09:02:00Z</cp:lastPrinted>
  <dcterms:created xsi:type="dcterms:W3CDTF">2022-04-19T10:01:00Z</dcterms:created>
  <dcterms:modified xsi:type="dcterms:W3CDTF">2022-04-19T10:01:00Z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8a64c694-b33b-3c2d-a19a-c6b67b2489ec</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