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DDFF3" w14:textId="6D76AE32" w:rsidR="00FC543D" w:rsidRPr="00C7417E" w:rsidRDefault="001F17F8" w:rsidP="00C7417E">
      <w:pPr>
        <w:jc w:val="center"/>
        <w:rPr>
          <w:rFonts w:ascii="Times New Roman" w:hAnsi="Times New Roman" w:cs="Times New Roman"/>
          <w:b/>
          <w:bCs/>
          <w:sz w:val="24"/>
          <w:szCs w:val="24"/>
        </w:rPr>
      </w:pPr>
      <w:r w:rsidRPr="001F17F8">
        <w:rPr>
          <w:rFonts w:ascii="Times New Roman" w:hAnsi="Times New Roman" w:cs="Times New Roman"/>
          <w:b/>
          <w:bCs/>
          <w:sz w:val="24"/>
          <w:szCs w:val="24"/>
        </w:rPr>
        <w:t>Google Trends and Cryptocurrencies: A Nonparametric Causality-In-Quantiles Analysis</w:t>
      </w:r>
    </w:p>
    <w:p w14:paraId="36854039" w14:textId="77777777" w:rsidR="00FC543D" w:rsidRDefault="00FC543D" w:rsidP="000B72B4">
      <w:pPr>
        <w:rPr>
          <w:rFonts w:ascii="Times New Roman" w:hAnsi="Times New Roman" w:cs="Times New Roman"/>
          <w:b/>
          <w:bCs/>
          <w:color w:val="323130"/>
          <w:sz w:val="24"/>
          <w:szCs w:val="24"/>
          <w:shd w:val="clear" w:color="auto" w:fill="FAF9F8"/>
        </w:rPr>
      </w:pPr>
    </w:p>
    <w:p w14:paraId="30FDA778" w14:textId="1FAFC87A" w:rsidR="000B72B4" w:rsidRDefault="000B72B4" w:rsidP="001F17F8">
      <w:pPr>
        <w:jc w:val="center"/>
        <w:rPr>
          <w:rFonts w:ascii="Times New Roman" w:hAnsi="Times New Roman" w:cs="Times New Roman"/>
          <w:b/>
          <w:bCs/>
          <w:sz w:val="24"/>
          <w:szCs w:val="24"/>
        </w:rPr>
      </w:pPr>
      <w:r w:rsidRPr="001F17F8">
        <w:rPr>
          <w:rFonts w:ascii="Times New Roman" w:hAnsi="Times New Roman" w:cs="Times New Roman"/>
          <w:b/>
          <w:bCs/>
          <w:sz w:val="24"/>
          <w:szCs w:val="24"/>
        </w:rPr>
        <w:t>Abstract:</w:t>
      </w:r>
    </w:p>
    <w:p w14:paraId="35AAB7E1" w14:textId="77777777" w:rsidR="001F17F8" w:rsidRPr="001F17F8" w:rsidRDefault="001F17F8" w:rsidP="001F17F8">
      <w:pPr>
        <w:jc w:val="center"/>
        <w:rPr>
          <w:rFonts w:ascii="Times New Roman" w:hAnsi="Times New Roman" w:cs="Times New Roman"/>
          <w:b/>
          <w:bCs/>
          <w:sz w:val="24"/>
          <w:szCs w:val="24"/>
        </w:rPr>
      </w:pPr>
    </w:p>
    <w:p w14:paraId="0E0E7B7E" w14:textId="2E21EDA2" w:rsidR="000B72B4" w:rsidRPr="004F164A" w:rsidRDefault="000B72B4" w:rsidP="000B72B4">
      <w:pPr>
        <w:jc w:val="both"/>
        <w:rPr>
          <w:rFonts w:eastAsia="Times New Roman"/>
          <w:sz w:val="24"/>
          <w:szCs w:val="24"/>
          <w:lang w:eastAsia="fr-FR"/>
        </w:rPr>
      </w:pPr>
      <w:r w:rsidRPr="00B83FBB">
        <w:rPr>
          <w:rFonts w:ascii="Times New Roman" w:hAnsi="Times New Roman" w:cs="Times New Roman"/>
          <w:sz w:val="24"/>
          <w:szCs w:val="24"/>
        </w:rPr>
        <w:t>This paper analy</w:t>
      </w:r>
      <w:r w:rsidR="00C06F16">
        <w:rPr>
          <w:rFonts w:ascii="Times New Roman" w:hAnsi="Times New Roman" w:cs="Times New Roman"/>
          <w:sz w:val="24"/>
          <w:szCs w:val="24"/>
        </w:rPr>
        <w:t>s</w:t>
      </w:r>
      <w:r w:rsidRPr="00B83FBB">
        <w:rPr>
          <w:rFonts w:ascii="Times New Roman" w:hAnsi="Times New Roman" w:cs="Times New Roman"/>
          <w:sz w:val="24"/>
          <w:szCs w:val="24"/>
        </w:rPr>
        <w:t>es the nexus among the Google trends and six cryptocurrencies, namely</w:t>
      </w:r>
      <w:r w:rsidR="001F17F8">
        <w:rPr>
          <w:rFonts w:ascii="Times New Roman" w:hAnsi="Times New Roman" w:cs="Times New Roman"/>
          <w:sz w:val="24"/>
          <w:szCs w:val="24"/>
        </w:rPr>
        <w:t xml:space="preserve"> </w:t>
      </w:r>
      <w:r w:rsidRPr="00B83FBB">
        <w:rPr>
          <w:rStyle w:val="Strong"/>
          <w:rFonts w:ascii="Times New Roman" w:hAnsi="Times New Roman" w:cs="Times New Roman"/>
          <w:b w:val="0"/>
          <w:color w:val="0E101A"/>
          <w:sz w:val="24"/>
          <w:szCs w:val="24"/>
        </w:rPr>
        <w:t>Bitcoin</w:t>
      </w:r>
      <w:r w:rsidRPr="00B83FBB">
        <w:rPr>
          <w:rStyle w:val="Strong"/>
          <w:rFonts w:ascii="Times New Roman" w:hAnsi="Times New Roman" w:cs="Times New Roman"/>
          <w:color w:val="0E101A"/>
          <w:sz w:val="24"/>
          <w:szCs w:val="24"/>
        </w:rPr>
        <w:t>,</w:t>
      </w:r>
      <w:r w:rsidR="001F17F8">
        <w:rPr>
          <w:rStyle w:val="Strong"/>
          <w:rFonts w:ascii="Times New Roman" w:hAnsi="Times New Roman" w:cs="Times New Roman"/>
          <w:b w:val="0"/>
          <w:color w:val="0E101A"/>
          <w:sz w:val="24"/>
          <w:szCs w:val="24"/>
        </w:rPr>
        <w:t xml:space="preserve"> </w:t>
      </w:r>
      <w:r w:rsidRPr="004F164A">
        <w:rPr>
          <w:rStyle w:val="Strong"/>
          <w:rFonts w:ascii="-apple-system-font" w:eastAsia="Times New Roman" w:hAnsi="-apple-system-font"/>
          <w:b w:val="0"/>
          <w:color w:val="1B1B1B"/>
          <w:sz w:val="24"/>
          <w:szCs w:val="24"/>
        </w:rPr>
        <w:t>New Econom</w:t>
      </w:r>
      <w:r w:rsidR="003E54B7">
        <w:rPr>
          <w:rStyle w:val="Strong"/>
          <w:rFonts w:ascii="-apple-system-font" w:eastAsia="Times New Roman" w:hAnsi="-apple-system-font"/>
          <w:b w:val="0"/>
          <w:color w:val="1B1B1B"/>
          <w:sz w:val="24"/>
          <w:szCs w:val="24"/>
        </w:rPr>
        <w:t xml:space="preserve">ic Movement (NEM), Dash, </w:t>
      </w:r>
      <w:proofErr w:type="spellStart"/>
      <w:r w:rsidR="003E54B7">
        <w:rPr>
          <w:rStyle w:val="Strong"/>
          <w:rFonts w:ascii="-apple-system-font" w:eastAsia="Times New Roman" w:hAnsi="-apple-system-font"/>
          <w:b w:val="0"/>
          <w:color w:val="1B1B1B"/>
          <w:sz w:val="24"/>
          <w:szCs w:val="24"/>
        </w:rPr>
        <w:t>Ethereum</w:t>
      </w:r>
      <w:proofErr w:type="spellEnd"/>
      <w:r w:rsidR="003E54B7">
        <w:rPr>
          <w:rStyle w:val="Strong"/>
          <w:rFonts w:ascii="-apple-system-font" w:eastAsia="Times New Roman" w:hAnsi="-apple-system-font"/>
          <w:b w:val="0"/>
          <w:color w:val="1B1B1B"/>
          <w:sz w:val="24"/>
          <w:szCs w:val="24"/>
        </w:rPr>
        <w:t xml:space="preserve">, Ripple, and </w:t>
      </w:r>
      <w:proofErr w:type="spellStart"/>
      <w:r w:rsidR="003E54B7">
        <w:rPr>
          <w:rStyle w:val="Strong"/>
          <w:rFonts w:ascii="-apple-system-font" w:eastAsia="Times New Roman" w:hAnsi="-apple-system-font"/>
          <w:b w:val="0"/>
          <w:color w:val="1B1B1B"/>
          <w:sz w:val="24"/>
          <w:szCs w:val="24"/>
        </w:rPr>
        <w:t>Litecoin</w:t>
      </w:r>
      <w:proofErr w:type="spellEnd"/>
      <w:r w:rsidR="003E54B7">
        <w:rPr>
          <w:rStyle w:val="Strong"/>
          <w:rFonts w:ascii="-apple-system-font" w:eastAsia="Times New Roman" w:hAnsi="-apple-system-font"/>
          <w:b w:val="0"/>
          <w:color w:val="1B1B1B"/>
          <w:sz w:val="24"/>
          <w:szCs w:val="24"/>
        </w:rPr>
        <w:t>,</w:t>
      </w:r>
      <w:r w:rsidRPr="00B83FBB">
        <w:rPr>
          <w:rFonts w:ascii="Times New Roman" w:hAnsi="Times New Roman" w:cs="Times New Roman"/>
          <w:sz w:val="24"/>
          <w:szCs w:val="24"/>
        </w:rPr>
        <w:t xml:space="preserve"> utilizing the causality-in-quantiles technique on data comprised of the years January 2016 – March 2021</w:t>
      </w:r>
      <w:r w:rsidR="00C06F16">
        <w:rPr>
          <w:rFonts w:ascii="Times New Roman" w:hAnsi="Times New Roman" w:cs="Times New Roman"/>
          <w:sz w:val="24"/>
          <w:szCs w:val="24"/>
        </w:rPr>
        <w:t>.</w:t>
      </w:r>
      <w:r w:rsidRPr="00B83FBB">
        <w:rPr>
          <w:rFonts w:ascii="Times New Roman" w:hAnsi="Times New Roman" w:cs="Times New Roman"/>
          <w:sz w:val="24"/>
          <w:szCs w:val="24"/>
        </w:rPr>
        <w:t xml:space="preserve"> </w:t>
      </w:r>
      <w:r w:rsidR="00C06F16">
        <w:rPr>
          <w:rFonts w:ascii="Times New Roman" w:hAnsi="Times New Roman" w:cs="Times New Roman"/>
          <w:sz w:val="24"/>
          <w:szCs w:val="24"/>
        </w:rPr>
        <w:t>We aim to uncover the impact of Google trends on cryptocurrency markets beyond Bitcoin during the time of increased attention to altcoins, especially during the COVID-19 pandemic. O</w:t>
      </w:r>
      <w:r w:rsidRPr="00B83FBB">
        <w:rPr>
          <w:rFonts w:ascii="Times New Roman" w:hAnsi="Times New Roman" w:cs="Times New Roman"/>
          <w:sz w:val="24"/>
          <w:szCs w:val="24"/>
        </w:rPr>
        <w:t>ur finding</w:t>
      </w:r>
      <w:r w:rsidR="00C06F16">
        <w:rPr>
          <w:rFonts w:ascii="Times New Roman" w:hAnsi="Times New Roman" w:cs="Times New Roman"/>
          <w:sz w:val="24"/>
          <w:szCs w:val="24"/>
        </w:rPr>
        <w:t>s</w:t>
      </w:r>
      <w:r w:rsidRPr="00B83FBB">
        <w:rPr>
          <w:rFonts w:ascii="Times New Roman" w:hAnsi="Times New Roman" w:cs="Times New Roman"/>
          <w:sz w:val="24"/>
          <w:szCs w:val="24"/>
        </w:rPr>
        <w:t xml:space="preserve"> show that Google trends cause the </w:t>
      </w:r>
      <w:proofErr w:type="spellStart"/>
      <w:r w:rsidRPr="00B83FBB">
        <w:rPr>
          <w:rFonts w:ascii="Times New Roman" w:hAnsi="Times New Roman" w:cs="Times New Roman"/>
          <w:sz w:val="24"/>
          <w:szCs w:val="24"/>
        </w:rPr>
        <w:t>Litecoin</w:t>
      </w:r>
      <w:proofErr w:type="spellEnd"/>
      <w:r w:rsidRPr="00B83FBB">
        <w:rPr>
          <w:rFonts w:ascii="Times New Roman" w:hAnsi="Times New Roman" w:cs="Times New Roman"/>
          <w:sz w:val="24"/>
          <w:szCs w:val="24"/>
        </w:rPr>
        <w:t xml:space="preserve">, Bitcoin, Ripple, </w:t>
      </w:r>
      <w:proofErr w:type="spellStart"/>
      <w:r w:rsidRPr="00B83FBB">
        <w:rPr>
          <w:rFonts w:ascii="Times New Roman" w:hAnsi="Times New Roman" w:cs="Times New Roman"/>
          <w:sz w:val="24"/>
          <w:szCs w:val="24"/>
        </w:rPr>
        <w:t>Ethereum</w:t>
      </w:r>
      <w:proofErr w:type="spellEnd"/>
      <w:r w:rsidRPr="00B83FBB">
        <w:rPr>
          <w:rFonts w:ascii="Times New Roman" w:hAnsi="Times New Roman" w:cs="Times New Roman"/>
          <w:sz w:val="24"/>
          <w:szCs w:val="24"/>
        </w:rPr>
        <w:t xml:space="preserve">, and NEM price at </w:t>
      </w:r>
      <w:r w:rsidR="003E54B7">
        <w:rPr>
          <w:rFonts w:ascii="Times New Roman" w:hAnsi="Times New Roman" w:cs="Times New Roman"/>
          <w:sz w:val="24"/>
          <w:szCs w:val="24"/>
        </w:rPr>
        <w:t xml:space="preserve">the </w:t>
      </w:r>
      <w:r w:rsidRPr="00B83FBB">
        <w:rPr>
          <w:rFonts w:ascii="Times New Roman" w:hAnsi="Times New Roman" w:cs="Times New Roman"/>
          <w:sz w:val="24"/>
          <w:szCs w:val="24"/>
        </w:rPr>
        <w:t xml:space="preserve">majority of the quantiles except for Dash. The findings will help investors </w:t>
      </w:r>
      <w:r w:rsidR="003E54B7">
        <w:rPr>
          <w:rFonts w:ascii="Times New Roman" w:hAnsi="Times New Roman" w:cs="Times New Roman"/>
          <w:sz w:val="24"/>
          <w:szCs w:val="24"/>
        </w:rPr>
        <w:t>develop a more in-depth understanding of the impact of Google trends on cryptocurrency prices</w:t>
      </w:r>
      <w:r w:rsidR="00321275">
        <w:rPr>
          <w:rFonts w:ascii="Times New Roman" w:hAnsi="Times New Roman" w:cs="Times New Roman"/>
          <w:sz w:val="24"/>
          <w:szCs w:val="24"/>
        </w:rPr>
        <w:t xml:space="preserve"> and build successful trading strategies in a more matured digital assets ecosystem.</w:t>
      </w:r>
    </w:p>
    <w:p w14:paraId="5CA43C88" w14:textId="738744B9" w:rsidR="000B72B4" w:rsidRPr="00B83FBB" w:rsidRDefault="000B72B4" w:rsidP="000B72B4">
      <w:pPr>
        <w:jc w:val="both"/>
        <w:rPr>
          <w:rFonts w:ascii="Times New Roman" w:hAnsi="Times New Roman" w:cs="Times New Roman"/>
          <w:sz w:val="24"/>
          <w:szCs w:val="24"/>
        </w:rPr>
      </w:pPr>
      <w:r w:rsidRPr="00B83FBB">
        <w:rPr>
          <w:rFonts w:ascii="Times New Roman" w:hAnsi="Times New Roman" w:cs="Times New Roman"/>
          <w:b/>
          <w:sz w:val="24"/>
          <w:szCs w:val="24"/>
        </w:rPr>
        <w:t>Keywords:</w:t>
      </w:r>
      <w:r w:rsidRPr="00B83FBB">
        <w:rPr>
          <w:rFonts w:ascii="Times New Roman" w:hAnsi="Times New Roman" w:cs="Times New Roman"/>
          <w:sz w:val="24"/>
          <w:szCs w:val="24"/>
        </w:rPr>
        <w:t xml:space="preserve"> </w:t>
      </w:r>
      <w:r w:rsidRPr="00736327">
        <w:rPr>
          <w:rFonts w:ascii="Times New Roman" w:hAnsi="Times New Roman" w:cs="Times New Roman"/>
          <w:i/>
          <w:iCs/>
          <w:sz w:val="24"/>
          <w:szCs w:val="24"/>
        </w:rPr>
        <w:t>Google trends</w:t>
      </w:r>
      <w:r w:rsidRPr="004F164A">
        <w:rPr>
          <w:rFonts w:ascii="Times New Roman" w:hAnsi="Times New Roman" w:cs="Times New Roman"/>
          <w:sz w:val="24"/>
          <w:szCs w:val="24"/>
        </w:rPr>
        <w:t xml:space="preserve">; </w:t>
      </w:r>
      <w:r w:rsidRPr="00736327">
        <w:rPr>
          <w:rFonts w:ascii="Times New Roman" w:hAnsi="Times New Roman" w:cs="Times New Roman"/>
          <w:i/>
          <w:iCs/>
          <w:sz w:val="24"/>
          <w:szCs w:val="24"/>
        </w:rPr>
        <w:t>Cryptocurrencies;</w:t>
      </w:r>
      <w:r w:rsidRPr="00736327">
        <w:rPr>
          <w:rStyle w:val="Strong"/>
          <w:rFonts w:ascii="Times New Roman" w:hAnsi="Times New Roman" w:cs="Times New Roman"/>
          <w:b w:val="0"/>
          <w:bCs w:val="0"/>
          <w:i/>
          <w:iCs/>
          <w:sz w:val="24"/>
          <w:szCs w:val="24"/>
        </w:rPr>
        <w:t xml:space="preserve"> </w:t>
      </w:r>
      <w:r w:rsidRPr="00736327">
        <w:rPr>
          <w:rStyle w:val="Strong"/>
          <w:rFonts w:ascii="Times New Roman" w:hAnsi="Times New Roman" w:cs="Times New Roman"/>
          <w:b w:val="0"/>
          <w:i/>
          <w:iCs/>
          <w:color w:val="0E101A"/>
          <w:sz w:val="24"/>
          <w:szCs w:val="24"/>
        </w:rPr>
        <w:t>Bitcoin;</w:t>
      </w:r>
      <w:r w:rsidR="00736327" w:rsidRPr="00736327">
        <w:rPr>
          <w:rStyle w:val="Strong"/>
          <w:rFonts w:ascii="Times New Roman" w:hAnsi="Times New Roman" w:cs="Times New Roman"/>
          <w:i/>
          <w:iCs/>
          <w:color w:val="0E101A"/>
          <w:sz w:val="24"/>
          <w:szCs w:val="24"/>
        </w:rPr>
        <w:t xml:space="preserve"> </w:t>
      </w:r>
      <w:r w:rsidRPr="00736327">
        <w:rPr>
          <w:rFonts w:ascii="Times New Roman" w:hAnsi="Times New Roman" w:cs="Times New Roman"/>
          <w:i/>
          <w:iCs/>
          <w:sz w:val="24"/>
          <w:szCs w:val="24"/>
        </w:rPr>
        <w:t xml:space="preserve">NEM; Ripple; Dash; </w:t>
      </w:r>
      <w:proofErr w:type="spellStart"/>
      <w:r w:rsidRPr="00736327">
        <w:rPr>
          <w:rFonts w:ascii="Times New Roman" w:hAnsi="Times New Roman" w:cs="Times New Roman"/>
          <w:i/>
          <w:iCs/>
          <w:sz w:val="24"/>
          <w:szCs w:val="24"/>
        </w:rPr>
        <w:t>Ethereum</w:t>
      </w:r>
      <w:proofErr w:type="spellEnd"/>
      <w:r w:rsidRPr="00736327">
        <w:rPr>
          <w:rFonts w:ascii="Times New Roman" w:hAnsi="Times New Roman" w:cs="Times New Roman"/>
          <w:i/>
          <w:iCs/>
          <w:sz w:val="24"/>
          <w:szCs w:val="24"/>
        </w:rPr>
        <w:t xml:space="preserve">; </w:t>
      </w:r>
      <w:proofErr w:type="spellStart"/>
      <w:r w:rsidRPr="00736327">
        <w:rPr>
          <w:rFonts w:ascii="Times New Roman" w:hAnsi="Times New Roman" w:cs="Times New Roman"/>
          <w:i/>
          <w:iCs/>
          <w:sz w:val="24"/>
          <w:szCs w:val="24"/>
        </w:rPr>
        <w:t>Litecoin</w:t>
      </w:r>
      <w:proofErr w:type="spellEnd"/>
      <w:r w:rsidRPr="00736327">
        <w:rPr>
          <w:rFonts w:ascii="Times New Roman" w:hAnsi="Times New Roman" w:cs="Times New Roman"/>
          <w:i/>
          <w:iCs/>
          <w:sz w:val="24"/>
          <w:szCs w:val="24"/>
        </w:rPr>
        <w:t>; nonparametric causality-in-quantiles tes</w:t>
      </w:r>
      <w:r w:rsidRPr="004F164A">
        <w:rPr>
          <w:rFonts w:ascii="Times New Roman" w:hAnsi="Times New Roman" w:cs="Times New Roman"/>
          <w:sz w:val="24"/>
          <w:szCs w:val="24"/>
        </w:rPr>
        <w:t>t</w:t>
      </w:r>
    </w:p>
    <w:p w14:paraId="23B30A3F" w14:textId="77777777" w:rsidR="000B72B4" w:rsidRPr="00B83FBB" w:rsidRDefault="000B72B4" w:rsidP="000B72B4">
      <w:pPr>
        <w:jc w:val="center"/>
        <w:rPr>
          <w:rFonts w:ascii="Times New Roman" w:hAnsi="Times New Roman" w:cs="Times New Roman"/>
          <w:b/>
          <w:bCs/>
          <w:color w:val="323130"/>
          <w:sz w:val="24"/>
          <w:szCs w:val="24"/>
          <w:shd w:val="clear" w:color="auto" w:fill="FAF9F8"/>
        </w:rPr>
        <w:sectPr w:rsidR="000B72B4" w:rsidRPr="00B83F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69CC863" w14:textId="77777777" w:rsidR="000B72B4" w:rsidRPr="001F13BA" w:rsidRDefault="000B72B4" w:rsidP="000B72B4">
      <w:pPr>
        <w:pStyle w:val="ListParagraph"/>
        <w:numPr>
          <w:ilvl w:val="0"/>
          <w:numId w:val="1"/>
        </w:numPr>
        <w:ind w:left="284" w:hanging="284"/>
        <w:jc w:val="both"/>
        <w:rPr>
          <w:rFonts w:ascii="Times New Roman" w:hAnsi="Times New Roman" w:cs="Times New Roman"/>
          <w:b/>
          <w:sz w:val="24"/>
          <w:szCs w:val="24"/>
        </w:rPr>
      </w:pPr>
      <w:r w:rsidRPr="001F13BA">
        <w:rPr>
          <w:rFonts w:ascii="Times New Roman" w:hAnsi="Times New Roman" w:cs="Times New Roman"/>
          <w:b/>
          <w:sz w:val="24"/>
          <w:szCs w:val="24"/>
        </w:rPr>
        <w:lastRenderedPageBreak/>
        <w:t>Introduction</w:t>
      </w:r>
    </w:p>
    <w:p w14:paraId="02288E61" w14:textId="77777777" w:rsidR="00736327" w:rsidRDefault="00736327" w:rsidP="00736327">
      <w:pPr>
        <w:pStyle w:val="NormalWeb"/>
        <w:spacing w:before="0" w:beforeAutospacing="0" w:after="0" w:afterAutospacing="0" w:line="360" w:lineRule="auto"/>
        <w:jc w:val="both"/>
        <w:rPr>
          <w:color w:val="0E101A"/>
        </w:rPr>
      </w:pPr>
    </w:p>
    <w:p w14:paraId="67C04BF7" w14:textId="53065701" w:rsidR="000B72B4" w:rsidRDefault="001F17F8" w:rsidP="00736327">
      <w:pPr>
        <w:pStyle w:val="NormalWeb"/>
        <w:spacing w:before="0" w:beforeAutospacing="0" w:after="0" w:afterAutospacing="0" w:line="360" w:lineRule="auto"/>
        <w:jc w:val="both"/>
        <w:rPr>
          <w:color w:val="0E101A"/>
        </w:rPr>
      </w:pPr>
      <w:proofErr w:type="spellStart"/>
      <w:r>
        <w:rPr>
          <w:color w:val="0E101A"/>
        </w:rPr>
        <w:t>Blockchain</w:t>
      </w:r>
      <w:proofErr w:type="spellEnd"/>
      <w:r w:rsidR="000B72B4">
        <w:rPr>
          <w:color w:val="0E101A"/>
        </w:rPr>
        <w:t xml:space="preserve"> technology and cryptocurrency have attracted the attention of researchers</w:t>
      </w:r>
      <w:r w:rsidR="003E54B7">
        <w:rPr>
          <w:color w:val="0E101A"/>
        </w:rPr>
        <w:t>, industrial communities (Jiang et al., 2021),</w:t>
      </w:r>
      <w:r w:rsidR="000B3D38">
        <w:rPr>
          <w:color w:val="0E101A"/>
        </w:rPr>
        <w:t xml:space="preserve"> financial regulators</w:t>
      </w:r>
      <w:r w:rsidR="003E54B7">
        <w:rPr>
          <w:color w:val="0E101A"/>
        </w:rPr>
        <w:t>,</w:t>
      </w:r>
      <w:r w:rsidR="000B3D38">
        <w:rPr>
          <w:color w:val="0E101A"/>
        </w:rPr>
        <w:t xml:space="preserve"> and policymakers</w:t>
      </w:r>
      <w:r w:rsidR="000B72B4">
        <w:rPr>
          <w:color w:val="0E101A"/>
        </w:rPr>
        <w:t>.</w:t>
      </w:r>
      <w:r w:rsidR="00736327">
        <w:rPr>
          <w:color w:val="0E101A"/>
        </w:rPr>
        <w:t xml:space="preserve"> </w:t>
      </w:r>
      <w:r w:rsidR="000B72B4">
        <w:rPr>
          <w:color w:val="0E101A"/>
        </w:rPr>
        <w:t xml:space="preserve">Cryptocurrency can be defined as an </w:t>
      </w:r>
      <w:r w:rsidR="003E54B7">
        <w:rPr>
          <w:color w:val="0E101A"/>
        </w:rPr>
        <w:t>electronic asset</w:t>
      </w:r>
      <w:r w:rsidR="000B72B4">
        <w:rPr>
          <w:color w:val="0E101A"/>
        </w:rPr>
        <w:t xml:space="preserve"> (Nasir et al., 2019)</w:t>
      </w:r>
      <w:r w:rsidR="003E54B7">
        <w:rPr>
          <w:color w:val="0E101A"/>
        </w:rPr>
        <w:t>. It</w:t>
      </w:r>
      <w:r>
        <w:rPr>
          <w:color w:val="0E101A"/>
        </w:rPr>
        <w:t xml:space="preserve"> </w:t>
      </w:r>
      <w:r w:rsidR="000B3D38">
        <w:rPr>
          <w:color w:val="0E101A"/>
        </w:rPr>
        <w:t xml:space="preserve">can be used to transfer funds from peer-to-peer without a need to authorize </w:t>
      </w:r>
      <w:r w:rsidR="003E54B7">
        <w:rPr>
          <w:color w:val="0E101A"/>
        </w:rPr>
        <w:t xml:space="preserve">the </w:t>
      </w:r>
      <w:r w:rsidR="000B3D38">
        <w:rPr>
          <w:color w:val="0E101A"/>
        </w:rPr>
        <w:t>transaction by any third party or bank (</w:t>
      </w:r>
      <w:proofErr w:type="spellStart"/>
      <w:r w:rsidR="000B3D38">
        <w:rPr>
          <w:color w:val="0E101A"/>
        </w:rPr>
        <w:t>Corbet</w:t>
      </w:r>
      <w:proofErr w:type="spellEnd"/>
      <w:r w:rsidR="000B3D38">
        <w:rPr>
          <w:color w:val="0E101A"/>
        </w:rPr>
        <w:t xml:space="preserve"> et al., 20</w:t>
      </w:r>
      <w:r w:rsidR="001F3C7D">
        <w:rPr>
          <w:color w:val="0E101A"/>
        </w:rPr>
        <w:t>19</w:t>
      </w:r>
      <w:r w:rsidR="000B3D38">
        <w:rPr>
          <w:color w:val="0E101A"/>
        </w:rPr>
        <w:t xml:space="preserve">). </w:t>
      </w:r>
      <w:r w:rsidR="000B72B4">
        <w:rPr>
          <w:color w:val="0E101A"/>
        </w:rPr>
        <w:t>European Parliament (EP) (2018)</w:t>
      </w:r>
      <w:r>
        <w:rPr>
          <w:color w:val="0E101A"/>
        </w:rPr>
        <w:t xml:space="preserve"> defined </w:t>
      </w:r>
      <w:r w:rsidR="000B72B4">
        <w:rPr>
          <w:color w:val="0E101A"/>
        </w:rPr>
        <w:t xml:space="preserve">cryptocurrency </w:t>
      </w:r>
      <w:r>
        <w:rPr>
          <w:color w:val="0E101A"/>
        </w:rPr>
        <w:t>as</w:t>
      </w:r>
      <w:r w:rsidR="000B72B4">
        <w:rPr>
          <w:color w:val="0E101A"/>
        </w:rPr>
        <w:t xml:space="preserve"> a numerical representation of value secured by a mechanism known as cryptography. Cryptocurrency is used as a medium of exchange, and the transactions are recorded and verified by a decentralized system (</w:t>
      </w:r>
      <w:proofErr w:type="spellStart"/>
      <w:r w:rsidR="000B72B4">
        <w:rPr>
          <w:color w:val="0E101A"/>
        </w:rPr>
        <w:t>Houben</w:t>
      </w:r>
      <w:proofErr w:type="spellEnd"/>
      <w:r w:rsidR="000B72B4">
        <w:rPr>
          <w:color w:val="0E101A"/>
        </w:rPr>
        <w:t xml:space="preserve"> &amp; </w:t>
      </w:r>
      <w:proofErr w:type="spellStart"/>
      <w:r w:rsidR="000B72B4">
        <w:rPr>
          <w:color w:val="0E101A"/>
        </w:rPr>
        <w:t>Syners</w:t>
      </w:r>
      <w:proofErr w:type="spellEnd"/>
      <w:r w:rsidR="000B72B4">
        <w:rPr>
          <w:color w:val="0E101A"/>
        </w:rPr>
        <w:t>, 2018)</w:t>
      </w:r>
      <w:r w:rsidR="003E54B7">
        <w:rPr>
          <w:color w:val="0E101A"/>
        </w:rPr>
        <w:t>. H</w:t>
      </w:r>
      <w:r w:rsidR="000B3D38">
        <w:rPr>
          <w:color w:val="0E101A"/>
        </w:rPr>
        <w:t>owever, crypto enthusiasts and investors often express the views cryptocurrency, and especially Bitcoin (</w:t>
      </w:r>
      <w:proofErr w:type="spellStart"/>
      <w:r w:rsidR="000B3D38">
        <w:rPr>
          <w:color w:val="0E101A"/>
        </w:rPr>
        <w:t>Nakamoto</w:t>
      </w:r>
      <w:proofErr w:type="spellEnd"/>
      <w:r w:rsidR="000B3D38">
        <w:rPr>
          <w:color w:val="0E101A"/>
        </w:rPr>
        <w:t>, 2008), can be used as a store of value</w:t>
      </w:r>
      <w:r w:rsidR="000B72B4">
        <w:rPr>
          <w:color w:val="0E101A"/>
        </w:rPr>
        <w:t xml:space="preserve">. Cryptocurrency has numerous advantages, </w:t>
      </w:r>
      <w:r w:rsidR="003E54B7">
        <w:rPr>
          <w:color w:val="0E101A"/>
        </w:rPr>
        <w:t>including</w:t>
      </w:r>
      <w:r w:rsidR="000B72B4">
        <w:rPr>
          <w:color w:val="0E101A"/>
        </w:rPr>
        <w:t xml:space="preserve"> auditability, decentralized transaction, anonymity</w:t>
      </w:r>
      <w:r w:rsidR="000B3D38">
        <w:rPr>
          <w:color w:val="0E101A"/>
        </w:rPr>
        <w:t>, to name but a few</w:t>
      </w:r>
      <w:r w:rsidR="000B72B4">
        <w:rPr>
          <w:color w:val="0E101A"/>
        </w:rPr>
        <w:t xml:space="preserve"> (Johnson et al., 2014). However, officials are concerned about </w:t>
      </w:r>
      <w:r w:rsidR="003E54B7">
        <w:rPr>
          <w:color w:val="0E101A"/>
        </w:rPr>
        <w:t>using</w:t>
      </w:r>
      <w:r w:rsidR="000B72B4">
        <w:rPr>
          <w:color w:val="0E101A"/>
        </w:rPr>
        <w:t xml:space="preserve"> cryptocurrency for illegal actions such as evading tax, embezzling funds, and terrorist financing (</w:t>
      </w:r>
      <w:proofErr w:type="spellStart"/>
      <w:r w:rsidR="000B72B4">
        <w:rPr>
          <w:color w:val="0E101A"/>
        </w:rPr>
        <w:t>Houben</w:t>
      </w:r>
      <w:proofErr w:type="spellEnd"/>
      <w:r w:rsidR="000B72B4">
        <w:rPr>
          <w:color w:val="0E101A"/>
        </w:rPr>
        <w:t xml:space="preserve"> &amp; </w:t>
      </w:r>
      <w:proofErr w:type="spellStart"/>
      <w:r w:rsidR="000B72B4">
        <w:rPr>
          <w:color w:val="0E101A"/>
        </w:rPr>
        <w:t>Syners</w:t>
      </w:r>
      <w:proofErr w:type="spellEnd"/>
      <w:r w:rsidR="000B72B4">
        <w:rPr>
          <w:color w:val="0E101A"/>
        </w:rPr>
        <w:t>, 2018).</w:t>
      </w:r>
      <w:r w:rsidR="000B3D38">
        <w:rPr>
          <w:color w:val="0E101A"/>
        </w:rPr>
        <w:t xml:space="preserve"> For example, </w:t>
      </w:r>
      <w:r w:rsidR="00A14BC0">
        <w:rPr>
          <w:color w:val="0E101A"/>
        </w:rPr>
        <w:t xml:space="preserve">the </w:t>
      </w:r>
      <w:r w:rsidR="000B3D38">
        <w:rPr>
          <w:color w:val="0E101A"/>
        </w:rPr>
        <w:t xml:space="preserve">Chinese government announced </w:t>
      </w:r>
      <w:r w:rsidR="00427804">
        <w:rPr>
          <w:color w:val="0E101A"/>
        </w:rPr>
        <w:t>illegal cryptocurrency transactions</w:t>
      </w:r>
      <w:r w:rsidR="00A14BC0">
        <w:rPr>
          <w:color w:val="0E101A"/>
        </w:rPr>
        <w:t>,</w:t>
      </w:r>
      <w:r w:rsidR="000B3D38">
        <w:rPr>
          <w:color w:val="0E101A"/>
        </w:rPr>
        <w:t xml:space="preserve"> effectively banning all digital tokens</w:t>
      </w:r>
      <w:r w:rsidR="00A14BC0">
        <w:rPr>
          <w:color w:val="0E101A"/>
        </w:rPr>
        <w:t>,</w:t>
      </w:r>
      <w:r w:rsidR="000B3D38">
        <w:rPr>
          <w:color w:val="0E101A"/>
        </w:rPr>
        <w:t xml:space="preserve"> including Bitcoin</w:t>
      </w:r>
      <w:r w:rsidR="000B3D38">
        <w:rPr>
          <w:rStyle w:val="FootnoteReference"/>
          <w:color w:val="0E101A"/>
        </w:rPr>
        <w:footnoteReference w:id="1"/>
      </w:r>
      <w:r w:rsidR="000B3D38">
        <w:rPr>
          <w:color w:val="0E101A"/>
        </w:rPr>
        <w:t xml:space="preserve">. </w:t>
      </w:r>
    </w:p>
    <w:p w14:paraId="572F1FF1" w14:textId="77777777" w:rsidR="000B72B4" w:rsidRDefault="000B72B4" w:rsidP="00736327">
      <w:pPr>
        <w:pStyle w:val="NormalWeb"/>
        <w:spacing w:before="0" w:beforeAutospacing="0" w:after="0" w:afterAutospacing="0" w:line="360" w:lineRule="auto"/>
        <w:jc w:val="both"/>
        <w:rPr>
          <w:color w:val="0E101A"/>
        </w:rPr>
      </w:pPr>
    </w:p>
    <w:p w14:paraId="642A62F5" w14:textId="1B358CA5" w:rsidR="000B72B4" w:rsidRDefault="00783802" w:rsidP="003D3342">
      <w:pPr>
        <w:pStyle w:val="NormalWeb"/>
        <w:spacing w:before="0" w:beforeAutospacing="0" w:after="0" w:afterAutospacing="0" w:line="360" w:lineRule="auto"/>
        <w:jc w:val="both"/>
        <w:rPr>
          <w:color w:val="0E101A"/>
        </w:rPr>
      </w:pPr>
      <w:r>
        <w:rPr>
          <w:color w:val="0E101A"/>
        </w:rPr>
        <w:t>The</w:t>
      </w:r>
      <w:r w:rsidR="000B72B4">
        <w:rPr>
          <w:color w:val="0E101A"/>
        </w:rPr>
        <w:t xml:space="preserve"> growth and popularity of the cryptocurrency market have become an emerging research field, and a rapid increase in the literature on cryptocurrency has been observed (Li &amp; Wang, 2017; </w:t>
      </w:r>
      <w:proofErr w:type="spellStart"/>
      <w:r w:rsidR="000B72B4">
        <w:rPr>
          <w:color w:val="0E101A"/>
        </w:rPr>
        <w:t>Demir</w:t>
      </w:r>
      <w:proofErr w:type="spellEnd"/>
      <w:r w:rsidR="000B72B4">
        <w:rPr>
          <w:color w:val="0E101A"/>
        </w:rPr>
        <w:t xml:space="preserve"> et al., 2020</w:t>
      </w:r>
      <w:r w:rsidR="003D3342">
        <w:rPr>
          <w:color w:val="0E101A"/>
        </w:rPr>
        <w:t>; Raza et al., 2021</w:t>
      </w:r>
      <w:r w:rsidR="000B72B4">
        <w:rPr>
          <w:color w:val="0E101A"/>
        </w:rPr>
        <w:t>). The literature related to cryptocurrency has been divided into multiple strands. The first strand of literature studies the hedging properties of cryptocurrencies (</w:t>
      </w:r>
      <w:proofErr w:type="spellStart"/>
      <w:r w:rsidR="000B72B4">
        <w:rPr>
          <w:color w:val="0E101A"/>
        </w:rPr>
        <w:t>Demir</w:t>
      </w:r>
      <w:proofErr w:type="spellEnd"/>
      <w:r w:rsidR="000B72B4">
        <w:rPr>
          <w:color w:val="0E101A"/>
        </w:rPr>
        <w:t xml:space="preserve"> et al., 2020</w:t>
      </w:r>
      <w:r w:rsidR="003D3342">
        <w:rPr>
          <w:color w:val="0E101A"/>
        </w:rPr>
        <w:t xml:space="preserve">; Raza, Ahmed &amp; </w:t>
      </w:r>
      <w:proofErr w:type="spellStart"/>
      <w:r w:rsidR="003D3342">
        <w:rPr>
          <w:color w:val="0E101A"/>
        </w:rPr>
        <w:t>Aloui</w:t>
      </w:r>
      <w:proofErr w:type="spellEnd"/>
      <w:r w:rsidR="003D3342">
        <w:rPr>
          <w:color w:val="0E101A"/>
        </w:rPr>
        <w:t>, 2022</w:t>
      </w:r>
      <w:r w:rsidR="000B72B4">
        <w:rPr>
          <w:color w:val="0E101A"/>
        </w:rPr>
        <w:t>). The second strand examines the association between Bitcoin prices and investors</w:t>
      </w:r>
      <w:r w:rsidR="00A14BC0">
        <w:rPr>
          <w:color w:val="0E101A"/>
        </w:rPr>
        <w:t>’</w:t>
      </w:r>
      <w:r w:rsidR="000B72B4">
        <w:rPr>
          <w:color w:val="0E101A"/>
        </w:rPr>
        <w:t xml:space="preserve"> attention (</w:t>
      </w:r>
      <w:proofErr w:type="spellStart"/>
      <w:r w:rsidR="000B72B4">
        <w:rPr>
          <w:color w:val="0E101A"/>
        </w:rPr>
        <w:t>Kraaijeveld</w:t>
      </w:r>
      <w:proofErr w:type="spellEnd"/>
      <w:r w:rsidR="000B72B4">
        <w:rPr>
          <w:color w:val="0E101A"/>
        </w:rPr>
        <w:t xml:space="preserve"> &amp; De </w:t>
      </w:r>
      <w:proofErr w:type="spellStart"/>
      <w:r w:rsidR="000B72B4">
        <w:rPr>
          <w:color w:val="0E101A"/>
        </w:rPr>
        <w:t>Smedt</w:t>
      </w:r>
      <w:proofErr w:type="spellEnd"/>
      <w:r w:rsidR="000B72B4">
        <w:rPr>
          <w:color w:val="0E101A"/>
        </w:rPr>
        <w:t xml:space="preserve">, 2020; Urquhart, 2018). The third strand studies cryptocurrency </w:t>
      </w:r>
      <w:proofErr w:type="gramStart"/>
      <w:r w:rsidR="000B72B4">
        <w:rPr>
          <w:color w:val="0E101A"/>
        </w:rPr>
        <w:t>efficiencies</w:t>
      </w:r>
      <w:proofErr w:type="gramEnd"/>
      <w:r w:rsidR="000B72B4">
        <w:rPr>
          <w:color w:val="0E101A"/>
        </w:rPr>
        <w:t xml:space="preserve"> (Aslan &amp; </w:t>
      </w:r>
      <w:proofErr w:type="spellStart"/>
      <w:r w:rsidR="000B72B4">
        <w:rPr>
          <w:color w:val="0E101A"/>
        </w:rPr>
        <w:t>Sensoy</w:t>
      </w:r>
      <w:proofErr w:type="spellEnd"/>
      <w:r w:rsidR="000B72B4">
        <w:rPr>
          <w:color w:val="0E101A"/>
        </w:rPr>
        <w:t>, 2019; Urquhart, 2016). The fourth strand studies bubbles in the cryptocurrency marketplace (</w:t>
      </w:r>
      <w:proofErr w:type="spellStart"/>
      <w:r w:rsidR="000B72B4">
        <w:rPr>
          <w:color w:val="0E101A"/>
        </w:rPr>
        <w:t>Corbet</w:t>
      </w:r>
      <w:proofErr w:type="spellEnd"/>
      <w:r w:rsidR="000B72B4">
        <w:rPr>
          <w:color w:val="0E101A"/>
        </w:rPr>
        <w:t xml:space="preserve"> et al., 2018). The fifth strand studies the interconnectedness between cryptocurrencies such as Bitcoin and others (</w:t>
      </w:r>
      <w:proofErr w:type="spellStart"/>
      <w:r w:rsidR="000B72B4">
        <w:rPr>
          <w:color w:val="0E101A"/>
        </w:rPr>
        <w:t>Demir</w:t>
      </w:r>
      <w:proofErr w:type="spellEnd"/>
      <w:r w:rsidR="000B72B4">
        <w:rPr>
          <w:color w:val="0E101A"/>
        </w:rPr>
        <w:t xml:space="preserve"> et al. 2020). The last strand explores the predictors of cryptocurrency returns (Hu et al., 2019; Cheng &amp; Yen, 2019).</w:t>
      </w:r>
    </w:p>
    <w:p w14:paraId="49233987" w14:textId="77777777" w:rsidR="000B72B4" w:rsidRDefault="000B72B4" w:rsidP="00736327">
      <w:pPr>
        <w:pStyle w:val="NormalWeb"/>
        <w:spacing w:before="0" w:beforeAutospacing="0" w:after="0" w:afterAutospacing="0" w:line="360" w:lineRule="auto"/>
        <w:jc w:val="both"/>
        <w:rPr>
          <w:color w:val="0E101A"/>
        </w:rPr>
      </w:pPr>
    </w:p>
    <w:p w14:paraId="6762D8CA" w14:textId="056926F9" w:rsidR="000B72B4" w:rsidRDefault="000B72B4" w:rsidP="00736327">
      <w:pPr>
        <w:pStyle w:val="NormalWeb"/>
        <w:spacing w:before="0" w:beforeAutospacing="0" w:after="0" w:afterAutospacing="0" w:line="360" w:lineRule="auto"/>
        <w:jc w:val="both"/>
        <w:rPr>
          <w:color w:val="0E101A"/>
        </w:rPr>
      </w:pPr>
      <w:r>
        <w:rPr>
          <w:color w:val="0E101A"/>
        </w:rPr>
        <w:lastRenderedPageBreak/>
        <w:t xml:space="preserve">Regarding the predictors, </w:t>
      </w:r>
      <w:r w:rsidR="003E54B7">
        <w:rPr>
          <w:color w:val="0E101A"/>
        </w:rPr>
        <w:t>several</w:t>
      </w:r>
      <w:r>
        <w:rPr>
          <w:color w:val="0E101A"/>
        </w:rPr>
        <w:t xml:space="preserve"> predictors have been identified, which include the technical indicators of cryptocurrencies (</w:t>
      </w:r>
      <w:proofErr w:type="spellStart"/>
      <w:r>
        <w:rPr>
          <w:color w:val="0E101A"/>
        </w:rPr>
        <w:t>Gerritsen</w:t>
      </w:r>
      <w:proofErr w:type="spellEnd"/>
      <w:r>
        <w:rPr>
          <w:color w:val="0E101A"/>
        </w:rPr>
        <w:t xml:space="preserve">, </w:t>
      </w:r>
      <w:proofErr w:type="spellStart"/>
      <w:r>
        <w:rPr>
          <w:color w:val="0E101A"/>
        </w:rPr>
        <w:t>Lugtigheid</w:t>
      </w:r>
      <w:proofErr w:type="spellEnd"/>
      <w:r>
        <w:rPr>
          <w:color w:val="0E101A"/>
        </w:rPr>
        <w:t>, &amp; Walther, 2020), macroeconomic indicators and situations (Cheng &amp; Yen, 2019), and the media (</w:t>
      </w:r>
      <w:proofErr w:type="spellStart"/>
      <w:r>
        <w:rPr>
          <w:color w:val="0E101A"/>
        </w:rPr>
        <w:t>Philippas</w:t>
      </w:r>
      <w:proofErr w:type="spellEnd"/>
      <w:r>
        <w:rPr>
          <w:color w:val="222222"/>
          <w:shd w:val="clear" w:color="auto" w:fill="FFFFFF"/>
        </w:rPr>
        <w:t xml:space="preserve">, </w:t>
      </w:r>
      <w:proofErr w:type="spellStart"/>
      <w:r>
        <w:rPr>
          <w:color w:val="222222"/>
          <w:shd w:val="clear" w:color="auto" w:fill="FFFFFF"/>
        </w:rPr>
        <w:t>Rjiba</w:t>
      </w:r>
      <w:proofErr w:type="spellEnd"/>
      <w:r>
        <w:rPr>
          <w:color w:val="222222"/>
          <w:shd w:val="clear" w:color="auto" w:fill="FFFFFF"/>
        </w:rPr>
        <w:t xml:space="preserve">, </w:t>
      </w:r>
      <w:proofErr w:type="spellStart"/>
      <w:r>
        <w:rPr>
          <w:color w:val="222222"/>
          <w:shd w:val="clear" w:color="auto" w:fill="FFFFFF"/>
        </w:rPr>
        <w:t>Guesmi</w:t>
      </w:r>
      <w:proofErr w:type="spellEnd"/>
      <w:r>
        <w:rPr>
          <w:color w:val="222222"/>
          <w:shd w:val="clear" w:color="auto" w:fill="FFFFFF"/>
        </w:rPr>
        <w:t xml:space="preserve">, &amp; </w:t>
      </w:r>
      <w:proofErr w:type="spellStart"/>
      <w:r>
        <w:rPr>
          <w:color w:val="222222"/>
          <w:shd w:val="clear" w:color="auto" w:fill="FFFFFF"/>
        </w:rPr>
        <w:t>Goutte</w:t>
      </w:r>
      <w:proofErr w:type="spellEnd"/>
      <w:r>
        <w:rPr>
          <w:color w:val="222222"/>
          <w:shd w:val="clear" w:color="auto" w:fill="FFFFFF"/>
        </w:rPr>
        <w:t>,</w:t>
      </w:r>
      <w:r>
        <w:rPr>
          <w:color w:val="0E101A"/>
        </w:rPr>
        <w:t xml:space="preserve"> 2019). In addition to these predictors, </w:t>
      </w:r>
      <w:r w:rsidR="003E54B7">
        <w:rPr>
          <w:color w:val="0E101A"/>
        </w:rPr>
        <w:t>the trend</w:t>
      </w:r>
      <w:r w:rsidR="00A14BC0">
        <w:rPr>
          <w:color w:val="0E101A"/>
        </w:rPr>
        <w:t>-</w:t>
      </w:r>
      <w:r w:rsidR="003E54B7">
        <w:rPr>
          <w:color w:val="0E101A"/>
        </w:rPr>
        <w:t>spotting in predicting cryptocurrency has recently</w:t>
      </w:r>
      <w:r>
        <w:rPr>
          <w:color w:val="0E101A"/>
        </w:rPr>
        <w:t xml:space="preserve"> gained great prominence in the literature. </w:t>
      </w:r>
      <w:r w:rsidR="003E54B7">
        <w:rPr>
          <w:color w:val="0E101A"/>
        </w:rPr>
        <w:t>Big data technology supports trend spotting</w:t>
      </w:r>
      <w:r>
        <w:rPr>
          <w:color w:val="0E101A"/>
        </w:rPr>
        <w:t xml:space="preserve">, which provides real-time information to investors and helps them easily make investment decisions. It is now a normal practice for investors to search online for information before making any investment decision. Therefore, search engines are used as a useful tool for obtaining the latest knowledge and information. The Google engine is ranked first among all search engines </w:t>
      </w:r>
      <w:r w:rsidR="003E54B7">
        <w:rPr>
          <w:color w:val="0E101A"/>
        </w:rPr>
        <w:t>to obtain</w:t>
      </w:r>
      <w:r>
        <w:rPr>
          <w:color w:val="0E101A"/>
        </w:rPr>
        <w:t xml:space="preserve"> the highest traffic (Yu et al., 2019). Hence, by handling a myriad of Google search outcomes, new online big data named Google Trends was created. These trends show people</w:t>
      </w:r>
      <w:r w:rsidR="00A14BC0">
        <w:rPr>
          <w:color w:val="0E101A"/>
        </w:rPr>
        <w:t>’</w:t>
      </w:r>
      <w:r>
        <w:rPr>
          <w:color w:val="0E101A"/>
        </w:rPr>
        <w:t xml:space="preserve">s sentiment concerning a specific search keyword (Li, </w:t>
      </w:r>
      <w:r>
        <w:rPr>
          <w:color w:val="222222"/>
          <w:shd w:val="clear" w:color="auto" w:fill="FFFFFF"/>
        </w:rPr>
        <w:t>Ma, Wang, &amp; Zhang, 2015</w:t>
      </w:r>
      <w:r>
        <w:rPr>
          <w:color w:val="0E101A"/>
        </w:rPr>
        <w:t xml:space="preserve">). Specifically, </w:t>
      </w:r>
      <w:r w:rsidR="00A14BC0">
        <w:rPr>
          <w:color w:val="0E101A"/>
        </w:rPr>
        <w:t xml:space="preserve">the </w:t>
      </w:r>
      <w:r>
        <w:rPr>
          <w:color w:val="0E101A"/>
        </w:rPr>
        <w:t>Google Trends scale from 0 to 100 is calculated by examining the proportion of a query</w:t>
      </w:r>
      <w:r w:rsidR="00A14BC0">
        <w:rPr>
          <w:color w:val="0E101A"/>
        </w:rPr>
        <w:t>’</w:t>
      </w:r>
      <w:r>
        <w:rPr>
          <w:color w:val="0E101A"/>
        </w:rPr>
        <w:t xml:space="preserve">s search volume to the total number of Google searches. According to Yu et al. (2019), Google Trends belong to a specific type of big data </w:t>
      </w:r>
      <w:r w:rsidR="003E54B7">
        <w:rPr>
          <w:color w:val="0E101A"/>
        </w:rPr>
        <w:t>covering</w:t>
      </w:r>
      <w:r>
        <w:rPr>
          <w:color w:val="0E101A"/>
        </w:rPr>
        <w:t xml:space="preserve"> a wide range of information.</w:t>
      </w:r>
    </w:p>
    <w:p w14:paraId="5623BB09" w14:textId="77777777" w:rsidR="000B72B4" w:rsidRDefault="000B72B4" w:rsidP="00736327">
      <w:pPr>
        <w:pStyle w:val="NormalWeb"/>
        <w:spacing w:before="0" w:beforeAutospacing="0" w:after="0" w:afterAutospacing="0" w:line="360" w:lineRule="auto"/>
        <w:jc w:val="both"/>
        <w:rPr>
          <w:color w:val="0E101A"/>
        </w:rPr>
      </w:pPr>
    </w:p>
    <w:p w14:paraId="166C155E" w14:textId="22F50C8D" w:rsidR="000B72B4" w:rsidRDefault="000B72B4" w:rsidP="006D6895">
      <w:pPr>
        <w:pStyle w:val="NormalWeb"/>
        <w:spacing w:before="0" w:beforeAutospacing="0" w:after="0" w:afterAutospacing="0" w:line="360" w:lineRule="auto"/>
        <w:jc w:val="both"/>
        <w:rPr>
          <w:color w:val="0E101A"/>
        </w:rPr>
      </w:pPr>
      <w:r>
        <w:rPr>
          <w:color w:val="0E101A"/>
        </w:rPr>
        <w:t>The role of Google Trends has been widely used to evaluate macroeconomic variables such as financial assets (Nguyen et al., 2019), energy (Park &amp; Kim, 2018), economic activity (</w:t>
      </w:r>
      <w:proofErr w:type="spellStart"/>
      <w:r>
        <w:rPr>
          <w:color w:val="0E101A"/>
        </w:rPr>
        <w:t>Gotz</w:t>
      </w:r>
      <w:proofErr w:type="spellEnd"/>
      <w:r>
        <w:rPr>
          <w:color w:val="0E101A"/>
        </w:rPr>
        <w:t xml:space="preserve"> &amp; </w:t>
      </w:r>
      <w:proofErr w:type="spellStart"/>
      <w:r>
        <w:rPr>
          <w:color w:val="0E101A"/>
        </w:rPr>
        <w:t>Knetsch</w:t>
      </w:r>
      <w:proofErr w:type="spellEnd"/>
      <w:r>
        <w:rPr>
          <w:color w:val="0E101A"/>
        </w:rPr>
        <w:t xml:space="preserve">, 2019; </w:t>
      </w:r>
      <w:proofErr w:type="spellStart"/>
      <w:r>
        <w:rPr>
          <w:color w:val="0E101A"/>
        </w:rPr>
        <w:t>Donadelli</w:t>
      </w:r>
      <w:proofErr w:type="spellEnd"/>
      <w:r>
        <w:rPr>
          <w:color w:val="0E101A"/>
        </w:rPr>
        <w:t xml:space="preserve"> &amp; </w:t>
      </w:r>
      <w:proofErr w:type="spellStart"/>
      <w:r>
        <w:rPr>
          <w:color w:val="0E101A"/>
        </w:rPr>
        <w:t>Gerotto</w:t>
      </w:r>
      <w:proofErr w:type="spellEnd"/>
      <w:r>
        <w:rPr>
          <w:color w:val="0E101A"/>
        </w:rPr>
        <w:t xml:space="preserve">, 2019), and unemployment (Nagao et al., 2019). However, the role of Google Trends in forecasting cryptocurrency is in an early stage. In previous studies, sentiment analysis and tweet volumes have been widely used for cryptocurrency price prediction (Shen et al., 2019). Nevertheless, very limited studies have used Google Trends for cryptocurrency price prediction (Arratia &amp; </w:t>
      </w:r>
      <w:proofErr w:type="spellStart"/>
      <w:r>
        <w:rPr>
          <w:color w:val="0E101A"/>
        </w:rPr>
        <w:t>Barrantes</w:t>
      </w:r>
      <w:proofErr w:type="spellEnd"/>
      <w:r>
        <w:rPr>
          <w:color w:val="0E101A"/>
        </w:rPr>
        <w:t xml:space="preserve">, 2021, </w:t>
      </w:r>
      <w:proofErr w:type="spellStart"/>
      <w:r>
        <w:rPr>
          <w:color w:val="0E101A"/>
        </w:rPr>
        <w:t>Dastgir</w:t>
      </w:r>
      <w:proofErr w:type="spellEnd"/>
      <w:r>
        <w:rPr>
          <w:color w:val="0E101A"/>
        </w:rPr>
        <w:t xml:space="preserve"> et al., 2019). </w:t>
      </w:r>
      <w:r w:rsidR="003E54B7">
        <w:rPr>
          <w:color w:val="0E101A"/>
        </w:rPr>
        <w:t>Furthermore, most</w:t>
      </w:r>
      <w:r>
        <w:rPr>
          <w:color w:val="0E101A"/>
        </w:rPr>
        <w:t xml:space="preserve"> of the studies have used Google Trends to predict one type of cryptocurrency, such as Bitcoin or </w:t>
      </w:r>
      <w:proofErr w:type="spellStart"/>
      <w:r>
        <w:rPr>
          <w:color w:val="0E101A"/>
        </w:rPr>
        <w:t>Ethereum</w:t>
      </w:r>
      <w:proofErr w:type="spellEnd"/>
      <w:r>
        <w:rPr>
          <w:color w:val="0E101A"/>
        </w:rPr>
        <w:t xml:space="preserve"> (Liang et al. 2020; </w:t>
      </w:r>
      <w:proofErr w:type="spellStart"/>
      <w:r>
        <w:rPr>
          <w:color w:val="0E101A"/>
        </w:rPr>
        <w:t>Kutlu</w:t>
      </w:r>
      <w:proofErr w:type="spellEnd"/>
      <w:r>
        <w:rPr>
          <w:color w:val="0E101A"/>
        </w:rPr>
        <w:t xml:space="preserve"> et al. 2017); and ignored other types of cryptocurrency. Therefore, this work analyzes the nexus between Google</w:t>
      </w:r>
      <w:r w:rsidR="00736327">
        <w:rPr>
          <w:rStyle w:val="Strong"/>
          <w:color w:val="0E101A"/>
        </w:rPr>
        <w:t xml:space="preserve"> </w:t>
      </w:r>
      <w:r>
        <w:rPr>
          <w:color w:val="0E101A"/>
        </w:rPr>
        <w:t>Trends</w:t>
      </w:r>
      <w:r w:rsidR="00736327">
        <w:rPr>
          <w:rStyle w:val="Strong"/>
          <w:color w:val="0E101A"/>
        </w:rPr>
        <w:t xml:space="preserve"> </w:t>
      </w:r>
      <w:r w:rsidRPr="001409BA">
        <w:rPr>
          <w:rStyle w:val="Strong"/>
          <w:b w:val="0"/>
          <w:color w:val="0E101A"/>
        </w:rPr>
        <w:t>and cryptocurrency prices.</w:t>
      </w:r>
    </w:p>
    <w:p w14:paraId="0A62FA88" w14:textId="77777777" w:rsidR="006D6895" w:rsidRDefault="006D6895" w:rsidP="006D6895">
      <w:pPr>
        <w:pStyle w:val="NormalWeb"/>
        <w:spacing w:before="0" w:beforeAutospacing="0" w:after="0" w:afterAutospacing="0" w:line="360" w:lineRule="auto"/>
        <w:jc w:val="both"/>
        <w:rPr>
          <w:color w:val="0E101A"/>
        </w:rPr>
      </w:pPr>
    </w:p>
    <w:p w14:paraId="4B7C78A3" w14:textId="26C04C02" w:rsidR="000B72B4" w:rsidRPr="006D6895" w:rsidRDefault="000B72B4" w:rsidP="00736327">
      <w:pPr>
        <w:pStyle w:val="NormalWeb"/>
        <w:spacing w:before="0" w:beforeAutospacing="0" w:after="0" w:afterAutospacing="0" w:line="360" w:lineRule="auto"/>
        <w:jc w:val="both"/>
        <w:rPr>
          <w:color w:val="FF0000"/>
        </w:rPr>
      </w:pPr>
      <w:r w:rsidRPr="006D6895">
        <w:rPr>
          <w:color w:val="FF0000"/>
        </w:rPr>
        <w:t xml:space="preserve">This research adds to the literature in a variety of ways. </w:t>
      </w:r>
      <w:r w:rsidR="003E54B7">
        <w:rPr>
          <w:color w:val="FF0000"/>
        </w:rPr>
        <w:t>First, i</w:t>
      </w:r>
      <w:r w:rsidR="00736327" w:rsidRPr="006D6895">
        <w:rPr>
          <w:color w:val="FF0000"/>
        </w:rPr>
        <w:t>t add</w:t>
      </w:r>
      <w:r w:rsidR="00A14BC0">
        <w:rPr>
          <w:color w:val="FF0000"/>
        </w:rPr>
        <w:t>s</w:t>
      </w:r>
      <w:r w:rsidR="00736327" w:rsidRPr="006D6895">
        <w:rPr>
          <w:color w:val="FF0000"/>
        </w:rPr>
        <w:t xml:space="preserve"> to the previous literature on the impact of </w:t>
      </w:r>
      <w:r w:rsidRPr="006D6895">
        <w:rPr>
          <w:color w:val="FF0000"/>
        </w:rPr>
        <w:t>Google Trends</w:t>
      </w:r>
      <w:r w:rsidR="00736327" w:rsidRPr="006D6895">
        <w:rPr>
          <w:color w:val="FF0000"/>
        </w:rPr>
        <w:t xml:space="preserve"> on </w:t>
      </w:r>
      <w:r w:rsidR="00A14BC0">
        <w:rPr>
          <w:color w:val="FF0000"/>
        </w:rPr>
        <w:t xml:space="preserve">the </w:t>
      </w:r>
      <w:r w:rsidR="00736327" w:rsidRPr="006D6895">
        <w:rPr>
          <w:color w:val="FF0000"/>
        </w:rPr>
        <w:t>cryptocurrencies market</w:t>
      </w:r>
      <w:r w:rsidR="00A14BC0">
        <w:rPr>
          <w:color w:val="FF0000"/>
        </w:rPr>
        <w:t>,</w:t>
      </w:r>
      <w:r w:rsidRPr="006D6895">
        <w:rPr>
          <w:color w:val="FF0000"/>
        </w:rPr>
        <w:t xml:space="preserve"> </w:t>
      </w:r>
      <w:r w:rsidR="00736327" w:rsidRPr="006D6895">
        <w:rPr>
          <w:color w:val="FF0000"/>
        </w:rPr>
        <w:t xml:space="preserve">providing evidence beyond Bitcoin. </w:t>
      </w:r>
      <w:r w:rsidR="00736327" w:rsidRPr="006D6895">
        <w:rPr>
          <w:rStyle w:val="Strong"/>
          <w:b w:val="0"/>
          <w:color w:val="FF0000"/>
        </w:rPr>
        <w:t>To our best knowledge</w:t>
      </w:r>
      <w:r w:rsidRPr="006D6895">
        <w:rPr>
          <w:rStyle w:val="Strong"/>
          <w:b w:val="0"/>
          <w:color w:val="FF0000"/>
        </w:rPr>
        <w:t>, this is</w:t>
      </w:r>
      <w:r w:rsidR="00736327" w:rsidRPr="006D6895">
        <w:rPr>
          <w:b/>
          <w:color w:val="FF0000"/>
        </w:rPr>
        <w:t xml:space="preserve"> </w:t>
      </w:r>
      <w:r w:rsidRPr="006D6895">
        <w:rPr>
          <w:color w:val="FF0000"/>
        </w:rPr>
        <w:t xml:space="preserve">the first study that examines the nexus between Google Trends and </w:t>
      </w:r>
      <w:r w:rsidRPr="006D6895">
        <w:rPr>
          <w:rStyle w:val="Strong"/>
          <w:b w:val="0"/>
          <w:color w:val="FF0000"/>
        </w:rPr>
        <w:t>predicting the top six cryptocurrencies’ prices, namely, Bitcoin,</w:t>
      </w:r>
      <w:r w:rsidR="00783802" w:rsidRPr="006D6895">
        <w:rPr>
          <w:rStyle w:val="Strong"/>
          <w:b w:val="0"/>
          <w:color w:val="FF0000"/>
        </w:rPr>
        <w:t xml:space="preserve"> </w:t>
      </w:r>
      <w:r w:rsidRPr="006D6895">
        <w:rPr>
          <w:color w:val="FF0000"/>
        </w:rPr>
        <w:t xml:space="preserve">NEM, Ripple, Dash, </w:t>
      </w:r>
      <w:proofErr w:type="spellStart"/>
      <w:r w:rsidRPr="006D6895">
        <w:rPr>
          <w:color w:val="FF0000"/>
        </w:rPr>
        <w:t>Ethereum</w:t>
      </w:r>
      <w:proofErr w:type="spellEnd"/>
      <w:r w:rsidRPr="006D6895">
        <w:rPr>
          <w:color w:val="FF0000"/>
        </w:rPr>
        <w:t xml:space="preserve">, </w:t>
      </w:r>
      <w:r w:rsidRPr="006D6895">
        <w:rPr>
          <w:color w:val="FF0000"/>
        </w:rPr>
        <w:lastRenderedPageBreak/>
        <w:t xml:space="preserve">and </w:t>
      </w:r>
      <w:proofErr w:type="spellStart"/>
      <w:r w:rsidRPr="006D6895">
        <w:rPr>
          <w:color w:val="FF0000"/>
        </w:rPr>
        <w:t>Litecoin</w:t>
      </w:r>
      <w:proofErr w:type="spellEnd"/>
      <w:r w:rsidRPr="006D6895">
        <w:rPr>
          <w:rStyle w:val="Strong"/>
          <w:color w:val="FF0000"/>
        </w:rPr>
        <w:t>.</w:t>
      </w:r>
      <w:r w:rsidRPr="006D6895">
        <w:rPr>
          <w:rStyle w:val="Strong"/>
          <w:b w:val="0"/>
          <w:color w:val="FF0000"/>
        </w:rPr>
        <w:t xml:space="preserve"> Moreover, previous studies have examined the nexus between Google Trends and cryptocurrencies using linear models and very sparely discussed nonlinear models </w:t>
      </w:r>
      <w:r w:rsidRPr="006D6895">
        <w:rPr>
          <w:rStyle w:val="Strong"/>
          <w:color w:val="FF0000"/>
        </w:rPr>
        <w:t>(</w:t>
      </w:r>
      <w:r w:rsidRPr="006D6895">
        <w:rPr>
          <w:color w:val="FF0000"/>
        </w:rPr>
        <w:t xml:space="preserve">Smuts, 2019). </w:t>
      </w:r>
      <w:r w:rsidR="003E54B7">
        <w:rPr>
          <w:color w:val="FF0000"/>
        </w:rPr>
        <w:t>Furthermore, p</w:t>
      </w:r>
      <w:r w:rsidR="0087454E">
        <w:rPr>
          <w:color w:val="FF0000"/>
        </w:rPr>
        <w:t>revious studies use</w:t>
      </w:r>
      <w:r w:rsidR="003E54B7">
        <w:rPr>
          <w:color w:val="FF0000"/>
        </w:rPr>
        <w:t xml:space="preserve"> techniques such as the Non-Homogeneous Hidden Markov (NHHM) model, VAR, Granger-causality tests, and GARCH, but the</w:t>
      </w:r>
      <w:r w:rsidR="0087454E" w:rsidRPr="0087454E">
        <w:rPr>
          <w:color w:val="FF0000"/>
        </w:rPr>
        <w:t xml:space="preserve"> </w:t>
      </w:r>
      <w:r w:rsidR="0087454E" w:rsidRPr="006D6895">
        <w:rPr>
          <w:color w:val="FF0000"/>
        </w:rPr>
        <w:t>nonparametric causality-in-quantiles approach</w:t>
      </w:r>
      <w:r w:rsidR="0087454E" w:rsidRPr="006D6895">
        <w:rPr>
          <w:rStyle w:val="Strong"/>
          <w:b w:val="0"/>
          <w:color w:val="FF0000"/>
        </w:rPr>
        <w:t xml:space="preserve"> </w:t>
      </w:r>
      <w:r w:rsidR="0087454E">
        <w:rPr>
          <w:rStyle w:val="Strong"/>
          <w:b w:val="0"/>
          <w:color w:val="FF0000"/>
        </w:rPr>
        <w:t xml:space="preserve">is not used. Therefore, </w:t>
      </w:r>
      <w:proofErr w:type="gramStart"/>
      <w:r w:rsidRPr="006D6895">
        <w:rPr>
          <w:rStyle w:val="Strong"/>
          <w:b w:val="0"/>
          <w:color w:val="FF0000"/>
        </w:rPr>
        <w:t>This</w:t>
      </w:r>
      <w:proofErr w:type="gramEnd"/>
      <w:r w:rsidR="00783802" w:rsidRPr="006D6895">
        <w:rPr>
          <w:rStyle w:val="Strong"/>
          <w:color w:val="FF0000"/>
        </w:rPr>
        <w:t xml:space="preserve"> </w:t>
      </w:r>
      <w:r w:rsidRPr="006D6895">
        <w:rPr>
          <w:color w:val="FF0000"/>
        </w:rPr>
        <w:t xml:space="preserve">study examines this association using an advanced econometric </w:t>
      </w:r>
      <w:r w:rsidR="003E54B7">
        <w:rPr>
          <w:color w:val="FF0000"/>
        </w:rPr>
        <w:t>approach</w:t>
      </w:r>
      <w:r w:rsidR="00427804">
        <w:rPr>
          <w:color w:val="FF0000"/>
        </w:rPr>
        <w:t>:</w:t>
      </w:r>
      <w:r w:rsidR="003E54B7">
        <w:rPr>
          <w:color w:val="FF0000"/>
        </w:rPr>
        <w:t xml:space="preserve"> the nonparametric causality-in-quantiles</w:t>
      </w:r>
      <w:r w:rsidRPr="006D6895">
        <w:rPr>
          <w:color w:val="FF0000"/>
        </w:rPr>
        <w:t xml:space="preserve">. The technique was given by </w:t>
      </w:r>
      <w:proofErr w:type="spellStart"/>
      <w:r w:rsidRPr="006D6895">
        <w:rPr>
          <w:color w:val="FF0000"/>
        </w:rPr>
        <w:t>Balcilar</w:t>
      </w:r>
      <w:proofErr w:type="spellEnd"/>
      <w:r w:rsidRPr="006D6895">
        <w:rPr>
          <w:color w:val="FF0000"/>
        </w:rPr>
        <w:t xml:space="preserve"> et al. (2016), and it is preferred over other techniques because of </w:t>
      </w:r>
      <w:r w:rsidR="00A14BC0">
        <w:rPr>
          <w:color w:val="FF0000"/>
        </w:rPr>
        <w:t xml:space="preserve">its </w:t>
      </w:r>
      <w:r w:rsidRPr="006D6895">
        <w:rPr>
          <w:color w:val="FF0000"/>
        </w:rPr>
        <w:t>three novel properties. (</w:t>
      </w:r>
      <w:proofErr w:type="spellStart"/>
      <w:r w:rsidRPr="006D6895">
        <w:rPr>
          <w:color w:val="FF0000"/>
        </w:rPr>
        <w:t>i</w:t>
      </w:r>
      <w:proofErr w:type="spellEnd"/>
      <w:r w:rsidRPr="006D6895">
        <w:rPr>
          <w:color w:val="FF0000"/>
        </w:rPr>
        <w:t>) The nonparametric test explores the underlying dependency between the considered variables and is robust to misspecification errors. (ii) This technique also allows us to test both the causality that lies in the tails of the joint distribution of the variables and the causality-in-mean. Last, this methodology also allows us to study the causal relationship in different quantiles</w:t>
      </w:r>
      <w:r w:rsidR="003E54B7">
        <w:rPr>
          <w:color w:val="FF0000"/>
        </w:rPr>
        <w:t>, providing</w:t>
      </w:r>
      <w:r w:rsidRPr="006D6895">
        <w:rPr>
          <w:color w:val="FF0000"/>
        </w:rPr>
        <w:t xml:space="preserve"> more detailed results. </w:t>
      </w:r>
    </w:p>
    <w:p w14:paraId="58ADA91F" w14:textId="77777777" w:rsidR="00137460" w:rsidRDefault="00137460" w:rsidP="00736327">
      <w:pPr>
        <w:pStyle w:val="NormalWeb"/>
        <w:spacing w:before="0" w:beforeAutospacing="0" w:after="0" w:afterAutospacing="0"/>
        <w:jc w:val="both"/>
        <w:rPr>
          <w:color w:val="0E101A"/>
        </w:rPr>
      </w:pPr>
    </w:p>
    <w:p w14:paraId="4B4B18D3" w14:textId="77777777" w:rsidR="000B72B4" w:rsidRDefault="000B72B4" w:rsidP="000B72B4">
      <w:pPr>
        <w:pStyle w:val="NormalWeb"/>
        <w:spacing w:before="0" w:beforeAutospacing="0" w:after="0" w:afterAutospacing="0"/>
        <w:jc w:val="both"/>
        <w:rPr>
          <w:color w:val="0E101A"/>
        </w:rPr>
      </w:pPr>
    </w:p>
    <w:p w14:paraId="1B0446BF" w14:textId="77777777" w:rsidR="000B72B4" w:rsidRPr="001409BA" w:rsidRDefault="000B72B4" w:rsidP="000B72B4">
      <w:pPr>
        <w:pStyle w:val="ListParagraph"/>
        <w:numPr>
          <w:ilvl w:val="0"/>
          <w:numId w:val="1"/>
        </w:numPr>
        <w:tabs>
          <w:tab w:val="left" w:pos="3330"/>
        </w:tabs>
        <w:ind w:left="284" w:hanging="284"/>
        <w:jc w:val="both"/>
        <w:rPr>
          <w:rFonts w:ascii="Times New Roman" w:hAnsi="Times New Roman" w:cs="Times New Roman"/>
          <w:b/>
          <w:sz w:val="24"/>
          <w:szCs w:val="24"/>
        </w:rPr>
      </w:pPr>
      <w:r w:rsidRPr="001409BA">
        <w:rPr>
          <w:rFonts w:ascii="Times New Roman" w:hAnsi="Times New Roman" w:cs="Times New Roman"/>
          <w:b/>
          <w:sz w:val="24"/>
          <w:szCs w:val="24"/>
        </w:rPr>
        <w:t>Literature Review</w:t>
      </w:r>
    </w:p>
    <w:p w14:paraId="6E75FAA8" w14:textId="77777777" w:rsidR="00736327" w:rsidRDefault="00736327" w:rsidP="00736327">
      <w:pPr>
        <w:pStyle w:val="NormalWeb"/>
        <w:spacing w:before="0" w:beforeAutospacing="0" w:after="0" w:afterAutospacing="0" w:line="360" w:lineRule="auto"/>
        <w:jc w:val="both"/>
        <w:rPr>
          <w:color w:val="0E101A"/>
        </w:rPr>
      </w:pPr>
    </w:p>
    <w:p w14:paraId="2EFE3E96" w14:textId="7A5D5516" w:rsidR="003E54B7" w:rsidRDefault="00783802" w:rsidP="00736327">
      <w:pPr>
        <w:pStyle w:val="NormalWeb"/>
        <w:spacing w:before="0" w:beforeAutospacing="0" w:after="0" w:afterAutospacing="0" w:line="360" w:lineRule="auto"/>
        <w:jc w:val="both"/>
        <w:rPr>
          <w:color w:val="000000" w:themeColor="text1"/>
        </w:rPr>
      </w:pPr>
      <w:r>
        <w:rPr>
          <w:color w:val="0E101A"/>
        </w:rPr>
        <w:t>While the cryptocurrency literature is growing rapidly, v</w:t>
      </w:r>
      <w:r w:rsidR="000B72B4">
        <w:rPr>
          <w:color w:val="0E101A"/>
        </w:rPr>
        <w:t>ery few studies</w:t>
      </w:r>
      <w:r>
        <w:rPr>
          <w:color w:val="0E101A"/>
        </w:rPr>
        <w:t xml:space="preserve"> </w:t>
      </w:r>
      <w:r w:rsidR="000B72B4">
        <w:rPr>
          <w:color w:val="0E101A"/>
        </w:rPr>
        <w:t>have examined the association between Google Trends and cryptocurrencies</w:t>
      </w:r>
      <w:r>
        <w:rPr>
          <w:color w:val="0E101A"/>
        </w:rPr>
        <w:t xml:space="preserve">. </w:t>
      </w:r>
      <w:r w:rsidR="00A14BC0">
        <w:rPr>
          <w:color w:val="0E101A"/>
        </w:rPr>
        <w:t>The m</w:t>
      </w:r>
      <w:r>
        <w:rPr>
          <w:color w:val="0E101A"/>
        </w:rPr>
        <w:t xml:space="preserve">ajority of papers are focused on Bitcoin only as on cryptocurrency markets leader. However, </w:t>
      </w:r>
      <w:proofErr w:type="spellStart"/>
      <w:r w:rsidR="00427804">
        <w:rPr>
          <w:color w:val="0E101A"/>
        </w:rPr>
        <w:t>Katsiampa</w:t>
      </w:r>
      <w:proofErr w:type="spellEnd"/>
      <w:r w:rsidR="00427804">
        <w:rPr>
          <w:color w:val="0E101A"/>
        </w:rPr>
        <w:t xml:space="preserve"> et al. (2021) noted that</w:t>
      </w:r>
      <w:r>
        <w:rPr>
          <w:color w:val="0E101A"/>
        </w:rPr>
        <w:t xml:space="preserve"> it is important to consider Altcoins </w:t>
      </w:r>
      <w:r w:rsidR="00736327">
        <w:rPr>
          <w:color w:val="0E101A"/>
        </w:rPr>
        <w:t xml:space="preserve">in the research </w:t>
      </w:r>
      <w:r>
        <w:rPr>
          <w:color w:val="0E101A"/>
        </w:rPr>
        <w:t xml:space="preserve">since the </w:t>
      </w:r>
      <w:r w:rsidR="00736327">
        <w:rPr>
          <w:color w:val="0E101A"/>
        </w:rPr>
        <w:t xml:space="preserve">influential power of various assets </w:t>
      </w:r>
      <w:r>
        <w:rPr>
          <w:color w:val="0E101A"/>
        </w:rPr>
        <w:t xml:space="preserve">in the digital asset ecosystem has </w:t>
      </w:r>
      <w:r w:rsidR="00736327">
        <w:rPr>
          <w:color w:val="0E101A"/>
        </w:rPr>
        <w:t xml:space="preserve">been </w:t>
      </w:r>
      <w:r>
        <w:rPr>
          <w:color w:val="0E101A"/>
        </w:rPr>
        <w:t>changing over time</w:t>
      </w:r>
      <w:r w:rsidR="00736327">
        <w:rPr>
          <w:color w:val="0E101A"/>
        </w:rPr>
        <w:t>, which bec</w:t>
      </w:r>
      <w:r w:rsidR="00A14BC0">
        <w:rPr>
          <w:color w:val="0E101A"/>
        </w:rPr>
        <w:t>a</w:t>
      </w:r>
      <w:r w:rsidR="00736327">
        <w:rPr>
          <w:color w:val="0E101A"/>
        </w:rPr>
        <w:t>me especially evident during the COVID-19 crisis</w:t>
      </w:r>
      <w:r>
        <w:rPr>
          <w:color w:val="0E101A"/>
        </w:rPr>
        <w:t xml:space="preserve">. Early papers in this field include </w:t>
      </w:r>
      <w:proofErr w:type="spellStart"/>
      <w:r w:rsidR="000B72B4" w:rsidRPr="00E22BFA">
        <w:rPr>
          <w:color w:val="000000" w:themeColor="text1"/>
        </w:rPr>
        <w:t>Kristoufek</w:t>
      </w:r>
      <w:proofErr w:type="spellEnd"/>
      <w:r w:rsidR="000B72B4" w:rsidRPr="00E22BFA">
        <w:rPr>
          <w:color w:val="000000" w:themeColor="text1"/>
        </w:rPr>
        <w:t xml:space="preserve"> (2013)</w:t>
      </w:r>
      <w:r>
        <w:rPr>
          <w:color w:val="000000" w:themeColor="text1"/>
        </w:rPr>
        <w:t>, who</w:t>
      </w:r>
      <w:r w:rsidR="000B72B4" w:rsidRPr="00E22BFA">
        <w:rPr>
          <w:color w:val="000000" w:themeColor="text1"/>
        </w:rPr>
        <w:t xml:space="preserve"> examined the nexus between the search terms on Wikipedia and Google Trends and Bitcoin prices. The result shows that the association between the searched terms and Bitcoin prices is positive.</w:t>
      </w:r>
    </w:p>
    <w:p w14:paraId="3008ABD7" w14:textId="57B51299" w:rsidR="003E54B7" w:rsidRDefault="000B72B4" w:rsidP="00736327">
      <w:pPr>
        <w:pStyle w:val="NormalWeb"/>
        <w:spacing w:before="0" w:beforeAutospacing="0" w:after="0" w:afterAutospacing="0" w:line="360" w:lineRule="auto"/>
        <w:jc w:val="both"/>
        <w:rPr>
          <w:color w:val="000000" w:themeColor="text1"/>
        </w:rPr>
      </w:pPr>
      <w:r w:rsidRPr="00E22BFA">
        <w:rPr>
          <w:color w:val="000000" w:themeColor="text1"/>
        </w:rPr>
        <w:t xml:space="preserve">Moreover, the causality result shows that the association among them is bidirectional. </w:t>
      </w:r>
      <w:proofErr w:type="spellStart"/>
      <w:r w:rsidRPr="00E22BFA">
        <w:rPr>
          <w:color w:val="000000" w:themeColor="text1"/>
        </w:rPr>
        <w:t>Bouoiyour</w:t>
      </w:r>
      <w:proofErr w:type="spellEnd"/>
      <w:r w:rsidRPr="00E22BFA">
        <w:rPr>
          <w:color w:val="000000" w:themeColor="text1"/>
        </w:rPr>
        <w:t xml:space="preserve"> and </w:t>
      </w:r>
      <w:proofErr w:type="spellStart"/>
      <w:r w:rsidRPr="00E22BFA">
        <w:rPr>
          <w:color w:val="000000" w:themeColor="text1"/>
        </w:rPr>
        <w:t>Selmi</w:t>
      </w:r>
      <w:proofErr w:type="spellEnd"/>
      <w:r w:rsidRPr="00E22BFA">
        <w:rPr>
          <w:color w:val="000000" w:themeColor="text1"/>
        </w:rPr>
        <w:t xml:space="preserve"> (</w:t>
      </w:r>
      <w:hyperlink r:id="rId14" w:anchor="ref-CR10" w:tgtFrame="_blank" w:history="1">
        <w:r w:rsidRPr="00E22BFA">
          <w:rPr>
            <w:rStyle w:val="Hyperlink"/>
            <w:color w:val="000000" w:themeColor="text1"/>
            <w:u w:val="none"/>
          </w:rPr>
          <w:t>2015</w:t>
        </w:r>
      </w:hyperlink>
      <w:r w:rsidRPr="00E22BFA">
        <w:rPr>
          <w:color w:val="000000" w:themeColor="text1"/>
        </w:rPr>
        <w:t xml:space="preserve">) also examined the association between several variables and Bitcoin prices. They reported that </w:t>
      </w:r>
      <w:r w:rsidR="003E54B7">
        <w:rPr>
          <w:color w:val="000000" w:themeColor="text1"/>
        </w:rPr>
        <w:t>only Google searches significantly affect Bitcoin prices among numerous variables such as Bitcoin velocity, gold prices, and Google search</w:t>
      </w:r>
      <w:r w:rsidRPr="00E22BFA">
        <w:rPr>
          <w:color w:val="000000" w:themeColor="text1"/>
        </w:rPr>
        <w:t>es.</w:t>
      </w:r>
      <w:r w:rsidR="003E54B7">
        <w:rPr>
          <w:color w:val="000000" w:themeColor="text1"/>
        </w:rPr>
        <w:t xml:space="preserve"> Finally,</w:t>
      </w:r>
      <w:r w:rsidRPr="00E22BFA">
        <w:rPr>
          <w:color w:val="000000" w:themeColor="text1"/>
        </w:rPr>
        <w:t xml:space="preserve"> </w:t>
      </w:r>
      <w:proofErr w:type="spellStart"/>
      <w:r w:rsidRPr="00E22BFA">
        <w:rPr>
          <w:color w:val="000000" w:themeColor="text1"/>
        </w:rPr>
        <w:t>Pärlstrand</w:t>
      </w:r>
      <w:proofErr w:type="spellEnd"/>
      <w:r w:rsidRPr="00E22BFA">
        <w:rPr>
          <w:color w:val="000000" w:themeColor="text1"/>
        </w:rPr>
        <w:t xml:space="preserve"> and </w:t>
      </w:r>
      <w:proofErr w:type="spellStart"/>
      <w:r w:rsidRPr="00E22BFA">
        <w:rPr>
          <w:color w:val="000000" w:themeColor="text1"/>
        </w:rPr>
        <w:t>Rydén</w:t>
      </w:r>
      <w:proofErr w:type="spellEnd"/>
      <w:r w:rsidRPr="00E22BFA">
        <w:rPr>
          <w:color w:val="000000" w:themeColor="text1"/>
        </w:rPr>
        <w:t xml:space="preserve"> (2015) studied the impact of the Google Trends index on cryptocurrency market prices. They stated that cryptocurrency prices are strongly affected by Goggle Trends.</w:t>
      </w:r>
    </w:p>
    <w:p w14:paraId="5687AA48" w14:textId="53292443" w:rsidR="000B72B4" w:rsidRPr="00137460" w:rsidRDefault="000B72B4" w:rsidP="00736327">
      <w:pPr>
        <w:pStyle w:val="NormalWeb"/>
        <w:spacing w:before="0" w:beforeAutospacing="0" w:after="0" w:afterAutospacing="0" w:line="360" w:lineRule="auto"/>
        <w:jc w:val="both"/>
        <w:rPr>
          <w:color w:val="0E101A"/>
        </w:rPr>
      </w:pPr>
      <w:r w:rsidRPr="00E22BFA">
        <w:rPr>
          <w:color w:val="000000" w:themeColor="text1"/>
        </w:rPr>
        <w:t xml:space="preserve">Moreover, </w:t>
      </w:r>
      <w:proofErr w:type="spellStart"/>
      <w:r w:rsidRPr="00E22BFA">
        <w:rPr>
          <w:color w:val="000000" w:themeColor="text1"/>
        </w:rPr>
        <w:t>Litecoin</w:t>
      </w:r>
      <w:proofErr w:type="spellEnd"/>
      <w:r w:rsidRPr="00E22BFA">
        <w:rPr>
          <w:color w:val="000000" w:themeColor="text1"/>
        </w:rPr>
        <w:t xml:space="preserve"> and Bitcoin prices are highly impacted</w:t>
      </w:r>
      <w:r w:rsidR="00A14BC0">
        <w:rPr>
          <w:color w:val="000000" w:themeColor="text1"/>
        </w:rPr>
        <w:t>,</w:t>
      </w:r>
      <w:r w:rsidRPr="00E22BFA">
        <w:rPr>
          <w:color w:val="000000" w:themeColor="text1"/>
        </w:rPr>
        <w:t xml:space="preserve"> whereas </w:t>
      </w:r>
      <w:r w:rsidR="003E54B7">
        <w:rPr>
          <w:color w:val="000000" w:themeColor="text1"/>
        </w:rPr>
        <w:t>Google Trends moderately impact the XRP</w:t>
      </w:r>
      <w:r w:rsidRPr="00E22BFA">
        <w:rPr>
          <w:color w:val="000000" w:themeColor="text1"/>
        </w:rPr>
        <w:t xml:space="preserve">. Matta et al. (2015) also claimed a significant correlation between Google Trends </w:t>
      </w:r>
      <w:r w:rsidRPr="00E22BFA">
        <w:rPr>
          <w:color w:val="000000" w:themeColor="text1"/>
        </w:rPr>
        <w:lastRenderedPageBreak/>
        <w:t xml:space="preserve">and Bitcoin prices. </w:t>
      </w:r>
      <w:proofErr w:type="spellStart"/>
      <w:r w:rsidRPr="00E22BFA">
        <w:rPr>
          <w:color w:val="000000" w:themeColor="text1"/>
        </w:rPr>
        <w:t>Puri</w:t>
      </w:r>
      <w:proofErr w:type="spellEnd"/>
      <w:r w:rsidRPr="00E22BFA">
        <w:rPr>
          <w:color w:val="000000" w:themeColor="text1"/>
        </w:rPr>
        <w:t xml:space="preserve"> (2016) uses monthly data from 2011-2016 and stated that the Google search for the keyword ‘Bitcoin’ has a significant and positive effect on Bitcoin prices.</w:t>
      </w:r>
    </w:p>
    <w:p w14:paraId="022F7167" w14:textId="6C6104FE" w:rsidR="003E54B7" w:rsidRDefault="000B72B4" w:rsidP="00736327">
      <w:pPr>
        <w:pStyle w:val="NormalWeb"/>
        <w:spacing w:after="0" w:line="360" w:lineRule="auto"/>
        <w:jc w:val="both"/>
        <w:rPr>
          <w:color w:val="0E101A"/>
        </w:rPr>
      </w:pPr>
      <w:proofErr w:type="spellStart"/>
      <w:r w:rsidRPr="00E22BFA">
        <w:rPr>
          <w:color w:val="000000" w:themeColor="text1"/>
        </w:rPr>
        <w:t>Panagiotidis</w:t>
      </w:r>
      <w:proofErr w:type="spellEnd"/>
      <w:r w:rsidRPr="00E22BFA">
        <w:rPr>
          <w:color w:val="000000" w:themeColor="text1"/>
        </w:rPr>
        <w:t xml:space="preserve"> et al. (</w:t>
      </w:r>
      <w:hyperlink r:id="rId15" w:anchor="ref-CR59" w:tgtFrame="_blank" w:history="1">
        <w:r w:rsidRPr="00E22BFA">
          <w:rPr>
            <w:rStyle w:val="Hyperlink"/>
            <w:color w:val="000000" w:themeColor="text1"/>
            <w:u w:val="none"/>
          </w:rPr>
          <w:t>2018</w:t>
        </w:r>
      </w:hyperlink>
      <w:r w:rsidRPr="00E22BFA">
        <w:rPr>
          <w:color w:val="000000" w:themeColor="text1"/>
        </w:rPr>
        <w:t xml:space="preserve">) </w:t>
      </w:r>
      <w:r>
        <w:rPr>
          <w:color w:val="0E101A"/>
        </w:rPr>
        <w:t xml:space="preserve">considered twenty-one predictors that can affect Bitcoin returns and concluded that Google Trends is one of the key predictors that affect Bitcoin returns. </w:t>
      </w:r>
      <w:proofErr w:type="spellStart"/>
      <w:r>
        <w:rPr>
          <w:color w:val="0E101A"/>
        </w:rPr>
        <w:t>Ovbetov</w:t>
      </w:r>
      <w:proofErr w:type="spellEnd"/>
      <w:r>
        <w:rPr>
          <w:color w:val="0E101A"/>
        </w:rPr>
        <w:t xml:space="preserve"> (2018) studied those factors that can affect top cryptocurrency prices. The study concluded that Google searches a</w:t>
      </w:r>
      <w:r w:rsidR="003E54B7">
        <w:rPr>
          <w:color w:val="0E101A"/>
        </w:rPr>
        <w:t>re</w:t>
      </w:r>
      <w:r>
        <w:rPr>
          <w:color w:val="0E101A"/>
        </w:rPr>
        <w:t xml:space="preserve"> a significant driver for </w:t>
      </w:r>
      <w:proofErr w:type="spellStart"/>
      <w:r>
        <w:rPr>
          <w:color w:val="0E101A"/>
        </w:rPr>
        <w:t>Litecoin</w:t>
      </w:r>
      <w:proofErr w:type="spellEnd"/>
      <w:r>
        <w:rPr>
          <w:color w:val="0E101A"/>
        </w:rPr>
        <w:t xml:space="preserve">, Bitcoin, </w:t>
      </w:r>
      <w:proofErr w:type="spellStart"/>
      <w:r>
        <w:rPr>
          <w:color w:val="0E101A"/>
        </w:rPr>
        <w:t>Monero</w:t>
      </w:r>
      <w:proofErr w:type="spellEnd"/>
      <w:r>
        <w:rPr>
          <w:color w:val="0E101A"/>
        </w:rPr>
        <w:t xml:space="preserve">, and </w:t>
      </w:r>
      <w:proofErr w:type="spellStart"/>
      <w:r>
        <w:rPr>
          <w:color w:val="0E101A"/>
        </w:rPr>
        <w:t>Ethereum</w:t>
      </w:r>
      <w:proofErr w:type="spellEnd"/>
      <w:r>
        <w:rPr>
          <w:color w:val="0E101A"/>
        </w:rPr>
        <w:t xml:space="preserve"> prices but not for Dash prices. Moreover, the results show that a 1-unit increase in search popularity according to Google Trends will increase the prices of </w:t>
      </w:r>
      <w:proofErr w:type="spellStart"/>
      <w:r>
        <w:rPr>
          <w:color w:val="0E101A"/>
        </w:rPr>
        <w:t>Litecoin</w:t>
      </w:r>
      <w:proofErr w:type="spellEnd"/>
      <w:r>
        <w:rPr>
          <w:color w:val="0E101A"/>
        </w:rPr>
        <w:t xml:space="preserve">, Bitcoin, </w:t>
      </w:r>
      <w:proofErr w:type="spellStart"/>
      <w:r>
        <w:rPr>
          <w:color w:val="0E101A"/>
        </w:rPr>
        <w:t>Monero</w:t>
      </w:r>
      <w:proofErr w:type="spellEnd"/>
      <w:r>
        <w:rPr>
          <w:color w:val="0E101A"/>
        </w:rPr>
        <w:t xml:space="preserve">, and </w:t>
      </w:r>
      <w:proofErr w:type="spellStart"/>
      <w:r>
        <w:rPr>
          <w:color w:val="0E101A"/>
        </w:rPr>
        <w:t>Ethereum</w:t>
      </w:r>
      <w:proofErr w:type="spellEnd"/>
      <w:r>
        <w:rPr>
          <w:color w:val="0E101A"/>
        </w:rPr>
        <w:t xml:space="preserve"> by 0.07, 1.27, 0.05, and 0.24, respectively.</w:t>
      </w:r>
      <w:r w:rsidR="003E54B7">
        <w:rPr>
          <w:color w:val="0E101A"/>
        </w:rPr>
        <w:t xml:space="preserve"> Finally,</w:t>
      </w:r>
      <w:r>
        <w:rPr>
          <w:color w:val="0E101A"/>
        </w:rPr>
        <w:t xml:space="preserve"> Abraham, </w:t>
      </w:r>
      <w:r w:rsidRPr="00CF23CD">
        <w:rPr>
          <w:color w:val="222222"/>
          <w:shd w:val="clear" w:color="auto" w:fill="FFFFFF"/>
        </w:rPr>
        <w:t>Higdon, Nelson, and Ibarra</w:t>
      </w:r>
      <w:r>
        <w:rPr>
          <w:color w:val="0E101A"/>
        </w:rPr>
        <w:t xml:space="preserve"> (2018) studied the nexus between cryptocurrency prices and Google Trends. They used a linear model and concluded that the direction of price changes could be accurately predicted using Google Trends data.</w:t>
      </w:r>
    </w:p>
    <w:p w14:paraId="2D9C7428" w14:textId="111ED582" w:rsidR="000B72B4" w:rsidRDefault="000B72B4" w:rsidP="00736327">
      <w:pPr>
        <w:pStyle w:val="NormalWeb"/>
        <w:spacing w:after="0" w:line="360" w:lineRule="auto"/>
        <w:jc w:val="both"/>
        <w:rPr>
          <w:color w:val="0E101A"/>
        </w:rPr>
      </w:pPr>
      <w:r>
        <w:rPr>
          <w:color w:val="0E101A"/>
        </w:rPr>
        <w:t xml:space="preserve">Moreover, by using these Google Trends data, a person can make better decisions </w:t>
      </w:r>
      <w:r w:rsidR="003E54B7">
        <w:rPr>
          <w:color w:val="0E101A"/>
        </w:rPr>
        <w:t>about</w:t>
      </w:r>
      <w:r>
        <w:rPr>
          <w:color w:val="0E101A"/>
        </w:rPr>
        <w:t xml:space="preserve"> selling or buying </w:t>
      </w:r>
      <w:proofErr w:type="spellStart"/>
      <w:r>
        <w:rPr>
          <w:color w:val="0E101A"/>
        </w:rPr>
        <w:t>Ethereum</w:t>
      </w:r>
      <w:proofErr w:type="spellEnd"/>
      <w:r>
        <w:rPr>
          <w:color w:val="0E101A"/>
        </w:rPr>
        <w:t xml:space="preserve"> and Bitcoin. Urquhart (2018) studied the role of Google Trends in explaining Bitcoin volume and volatility. They concluded that Bitcoin experiences high trading volume and volatility every time it is searched on Google. Hence, Google acts as a good measure for persons who want to obtain information related to Bitcoin. </w:t>
      </w:r>
      <w:proofErr w:type="spellStart"/>
      <w:proofErr w:type="gramStart"/>
      <w:r>
        <w:rPr>
          <w:color w:val="0E101A"/>
        </w:rPr>
        <w:t>Cai</w:t>
      </w:r>
      <w:proofErr w:type="spellEnd"/>
      <w:proofErr w:type="gramEnd"/>
      <w:r>
        <w:rPr>
          <w:color w:val="0E101A"/>
        </w:rPr>
        <w:t xml:space="preserve">, </w:t>
      </w:r>
      <w:r w:rsidRPr="0025234B">
        <w:rPr>
          <w:color w:val="222222"/>
          <w:shd w:val="clear" w:color="auto" w:fill="FFFFFF"/>
        </w:rPr>
        <w:t>Liu, Lim, Tan, and Zheng</w:t>
      </w:r>
      <w:r w:rsidRPr="00E354F3">
        <w:rPr>
          <w:color w:val="0E101A"/>
        </w:rPr>
        <w:t xml:space="preserve"> (2018) examined the influence of Google search</w:t>
      </w:r>
      <w:r>
        <w:rPr>
          <w:color w:val="0E101A"/>
        </w:rPr>
        <w:t>es</w:t>
      </w:r>
      <w:r w:rsidRPr="00E354F3">
        <w:rPr>
          <w:color w:val="0E101A"/>
        </w:rPr>
        <w:t xml:space="preserve"> on </w:t>
      </w:r>
      <w:r>
        <w:rPr>
          <w:color w:val="0E101A"/>
        </w:rPr>
        <w:t>cryptocurrency</w:t>
      </w:r>
      <w:r w:rsidRPr="00E354F3">
        <w:rPr>
          <w:color w:val="0E101A"/>
        </w:rPr>
        <w:t xml:space="preserve"> returns by utilizing the </w:t>
      </w:r>
      <w:r>
        <w:rPr>
          <w:color w:val="0E101A"/>
        </w:rPr>
        <w:t xml:space="preserve">trading </w:t>
      </w:r>
      <w:r w:rsidRPr="00E354F3">
        <w:rPr>
          <w:color w:val="0E101A"/>
        </w:rPr>
        <w:t>data of 268 cryptocurrencies over 181 days. They indicated that Google searches exert</w:t>
      </w:r>
      <w:r>
        <w:rPr>
          <w:color w:val="0E101A"/>
        </w:rPr>
        <w:t xml:space="preserve"> a</w:t>
      </w:r>
      <w:r w:rsidRPr="00E354F3">
        <w:rPr>
          <w:color w:val="0E101A"/>
        </w:rPr>
        <w:t xml:space="preserve"> significantly positive impact on cryptocurrency returns.</w:t>
      </w:r>
    </w:p>
    <w:p w14:paraId="1B2B126D" w14:textId="15D876E0" w:rsidR="000B72B4" w:rsidRPr="00661140" w:rsidRDefault="000B72B4" w:rsidP="00736327">
      <w:pPr>
        <w:pStyle w:val="NormalWeb"/>
        <w:spacing w:before="0" w:beforeAutospacing="0" w:after="0" w:afterAutospacing="0" w:line="360" w:lineRule="auto"/>
        <w:jc w:val="both"/>
        <w:rPr>
          <w:color w:val="FF0000"/>
        </w:rPr>
      </w:pPr>
      <w:proofErr w:type="spellStart"/>
      <w:r>
        <w:rPr>
          <w:color w:val="0E101A"/>
        </w:rPr>
        <w:t>Nisar</w:t>
      </w:r>
      <w:proofErr w:type="spellEnd"/>
      <w:r>
        <w:rPr>
          <w:color w:val="0E101A"/>
        </w:rPr>
        <w:t xml:space="preserve"> et al. (2019) studied the influence of Google searches on Bitcoin returns and volume predictability. They applied copulas, the VAR, and nonparametric approaches on weekly data from 2013 to 2017. They concluded that the frequency of Google searches positively affects Bitcoin volume and returns. </w:t>
      </w:r>
      <w:proofErr w:type="spellStart"/>
      <w:r>
        <w:rPr>
          <w:color w:val="0E101A"/>
        </w:rPr>
        <w:t>Dastgir</w:t>
      </w:r>
      <w:proofErr w:type="spellEnd"/>
      <w:r>
        <w:rPr>
          <w:color w:val="0E101A"/>
        </w:rPr>
        <w:t xml:space="preserve"> et al. </w:t>
      </w:r>
      <w:r w:rsidRPr="0044755B">
        <w:rPr>
          <w:color w:val="000000" w:themeColor="text1"/>
        </w:rPr>
        <w:t>(</w:t>
      </w:r>
      <w:hyperlink r:id="rId16" w:anchor="ref-CR24" w:tgtFrame="_blank" w:history="1">
        <w:r w:rsidRPr="0044755B">
          <w:rPr>
            <w:rStyle w:val="Hyperlink"/>
            <w:color w:val="000000" w:themeColor="text1"/>
            <w:u w:val="none"/>
          </w:rPr>
          <w:t>2019</w:t>
        </w:r>
      </w:hyperlink>
      <w:r w:rsidRPr="0044755B">
        <w:rPr>
          <w:color w:val="000000" w:themeColor="text1"/>
        </w:rPr>
        <w:t xml:space="preserve">) </w:t>
      </w:r>
      <w:r>
        <w:rPr>
          <w:color w:val="0E101A"/>
        </w:rPr>
        <w:t xml:space="preserve">studied the causal linkage </w:t>
      </w:r>
      <w:r w:rsidR="00A14BC0">
        <w:rPr>
          <w:color w:val="0E101A"/>
        </w:rPr>
        <w:t>between</w:t>
      </w:r>
      <w:r>
        <w:rPr>
          <w:color w:val="0E101A"/>
        </w:rPr>
        <w:t xml:space="preserve"> Bitcoin returns and Google Trends and observed </w:t>
      </w:r>
      <w:r w:rsidR="00A14BC0">
        <w:rPr>
          <w:color w:val="0E101A"/>
        </w:rPr>
        <w:t xml:space="preserve">a </w:t>
      </w:r>
      <w:r w:rsidR="003E54B7">
        <w:rPr>
          <w:color w:val="0E101A"/>
        </w:rPr>
        <w:t>bidirectional relationship</w:t>
      </w:r>
      <w:r>
        <w:rPr>
          <w:color w:val="0E101A"/>
        </w:rPr>
        <w:t xml:space="preserve">. Liang et al. (2019) use multiple predictors to analyze the predictive power of Google Trends for Bitcoin volatility. The results show that among all predictors, the Google Trends model shows the highest R2 value, i.e., 3.282%, which indicates that whenever there is a high fluctuation in Bitcoin, investors pay more attention to market information. Aalborg et al. (2019) also stated that Google searches help </w:t>
      </w:r>
      <w:r w:rsidR="003E54B7">
        <w:rPr>
          <w:color w:val="0E101A"/>
        </w:rPr>
        <w:t>predict</w:t>
      </w:r>
      <w:r>
        <w:rPr>
          <w:color w:val="0E101A"/>
        </w:rPr>
        <w:t xml:space="preserve"> Bitcoin </w:t>
      </w:r>
      <w:r>
        <w:rPr>
          <w:color w:val="0E101A"/>
        </w:rPr>
        <w:lastRenderedPageBreak/>
        <w:t xml:space="preserve">trading volume. Smuts (2019) studies the predictive power of Telegram and Google Trends </w:t>
      </w:r>
      <w:r w:rsidR="003E54B7">
        <w:rPr>
          <w:color w:val="0E101A"/>
        </w:rPr>
        <w:t>concerning</w:t>
      </w:r>
      <w:r>
        <w:rPr>
          <w:color w:val="0E101A"/>
        </w:rPr>
        <w:t xml:space="preserve"> two cryptocurrencies’ prices, i.e., </w:t>
      </w:r>
      <w:proofErr w:type="spellStart"/>
      <w:r>
        <w:rPr>
          <w:color w:val="0E101A"/>
        </w:rPr>
        <w:t>Ethereum</w:t>
      </w:r>
      <w:proofErr w:type="spellEnd"/>
      <w:r>
        <w:rPr>
          <w:color w:val="0E101A"/>
        </w:rPr>
        <w:t xml:space="preserve"> and Bitcoin. The outcome revealed that both Telegram and Google Trends could predict cryptocurrency price movements in the short run. However, Google Trends is considered a better predictor for </w:t>
      </w:r>
      <w:proofErr w:type="spellStart"/>
      <w:r>
        <w:rPr>
          <w:color w:val="0E101A"/>
        </w:rPr>
        <w:t>Ethereum</w:t>
      </w:r>
      <w:proofErr w:type="spellEnd"/>
      <w:r>
        <w:rPr>
          <w:color w:val="0E101A"/>
        </w:rPr>
        <w:t xml:space="preserve"> prices</w:t>
      </w:r>
      <w:r w:rsidR="00A14BC0">
        <w:rPr>
          <w:color w:val="0E101A"/>
        </w:rPr>
        <w:t>,</w:t>
      </w:r>
      <w:r>
        <w:rPr>
          <w:color w:val="0E101A"/>
        </w:rPr>
        <w:t xml:space="preserve"> and Telegram is considered a better predictor for Bitcoin prices.</w:t>
      </w:r>
      <w:r w:rsidR="003E54B7">
        <w:rPr>
          <w:color w:val="0E101A"/>
        </w:rPr>
        <w:t xml:space="preserve"> Finally,</w:t>
      </w:r>
      <w:r w:rsidR="00FE2B27" w:rsidRPr="00FE2B27">
        <w:t xml:space="preserve"> </w:t>
      </w:r>
      <w:proofErr w:type="spellStart"/>
      <w:r w:rsidR="00FE2B27" w:rsidRPr="00FE2B27">
        <w:rPr>
          <w:color w:val="FF0000"/>
        </w:rPr>
        <w:t>Bleher</w:t>
      </w:r>
      <w:proofErr w:type="spellEnd"/>
      <w:r w:rsidR="00FE2B27" w:rsidRPr="00FE2B27">
        <w:rPr>
          <w:color w:val="FF0000"/>
        </w:rPr>
        <w:t xml:space="preserve"> and </w:t>
      </w:r>
      <w:proofErr w:type="spellStart"/>
      <w:r w:rsidR="00FE2B27" w:rsidRPr="00FE2B27">
        <w:rPr>
          <w:color w:val="FF0000"/>
        </w:rPr>
        <w:t>Dimpfl</w:t>
      </w:r>
      <w:proofErr w:type="spellEnd"/>
      <w:r w:rsidR="00FE2B27" w:rsidRPr="00FE2B27">
        <w:rPr>
          <w:color w:val="FF0000"/>
        </w:rPr>
        <w:t xml:space="preserve"> (2019) </w:t>
      </w:r>
      <w:r w:rsidR="00FE2B27">
        <w:rPr>
          <w:color w:val="FF0000"/>
        </w:rPr>
        <w:t xml:space="preserve">evaluate the role of Google search volume in predicting volatility and returns of 12 </w:t>
      </w:r>
      <w:r w:rsidR="00FE2B27" w:rsidRPr="00FE2B27">
        <w:rPr>
          <w:color w:val="FF0000"/>
        </w:rPr>
        <w:t>cryptocurrenc</w:t>
      </w:r>
      <w:r w:rsidR="00FE2B27">
        <w:rPr>
          <w:color w:val="FF0000"/>
        </w:rPr>
        <w:t>ies and concluded that v</w:t>
      </w:r>
      <w:r w:rsidR="00661140">
        <w:rPr>
          <w:color w:val="FF0000"/>
        </w:rPr>
        <w:t>olatility</w:t>
      </w:r>
      <w:r w:rsidR="00FE2B27">
        <w:rPr>
          <w:color w:val="FF0000"/>
        </w:rPr>
        <w:t xml:space="preserve"> is partly </w:t>
      </w:r>
      <w:r w:rsidR="00661140">
        <w:rPr>
          <w:color w:val="FF0000"/>
        </w:rPr>
        <w:t>predictable</w:t>
      </w:r>
      <w:r w:rsidR="00A14BC0">
        <w:rPr>
          <w:color w:val="FF0000"/>
        </w:rPr>
        <w:t>,</w:t>
      </w:r>
      <w:r w:rsidR="00FE2B27">
        <w:rPr>
          <w:color w:val="FF0000"/>
        </w:rPr>
        <w:t xml:space="preserve"> whereas </w:t>
      </w:r>
      <w:r w:rsidR="00661140">
        <w:rPr>
          <w:color w:val="FF0000"/>
        </w:rPr>
        <w:t>returns</w:t>
      </w:r>
      <w:r w:rsidR="00FE2B27">
        <w:rPr>
          <w:color w:val="FF0000"/>
        </w:rPr>
        <w:t xml:space="preserve"> are not predictable. </w:t>
      </w:r>
    </w:p>
    <w:p w14:paraId="14898454" w14:textId="4E0F9713" w:rsidR="00753622" w:rsidRPr="00753622" w:rsidRDefault="000B72B4" w:rsidP="00736327">
      <w:pPr>
        <w:pStyle w:val="NormalWeb"/>
        <w:spacing w:before="0" w:beforeAutospacing="0" w:after="0" w:afterAutospacing="0" w:line="360" w:lineRule="auto"/>
        <w:jc w:val="both"/>
        <w:rPr>
          <w:color w:val="FF0000"/>
        </w:rPr>
      </w:pPr>
      <w:r>
        <w:rPr>
          <w:color w:val="0E101A"/>
        </w:rPr>
        <w:t xml:space="preserve">Enoksen et al. (2020) study the factors that can predict bubbles in the </w:t>
      </w:r>
      <w:r w:rsidR="003E54B7">
        <w:rPr>
          <w:color w:val="0E101A"/>
        </w:rPr>
        <w:t>prices of the top eight cryptocurrenci</w:t>
      </w:r>
      <w:r>
        <w:rPr>
          <w:color w:val="0E101A"/>
        </w:rPr>
        <w:t xml:space="preserve">es. They concluded that Google searches are negatively connected with NEM and Dash bubbles and positively connected with </w:t>
      </w:r>
      <w:proofErr w:type="spellStart"/>
      <w:r>
        <w:rPr>
          <w:color w:val="0E101A"/>
        </w:rPr>
        <w:t>Ethereum</w:t>
      </w:r>
      <w:proofErr w:type="spellEnd"/>
      <w:r>
        <w:rPr>
          <w:color w:val="0E101A"/>
        </w:rPr>
        <w:t xml:space="preserve"> and Bitcoin bubbles. Zhang and Wang (2020) also analyzed the association between the top twenty cryptocurrencies and Google Trends and observed </w:t>
      </w:r>
      <w:r w:rsidR="00A14BC0">
        <w:rPr>
          <w:color w:val="0E101A"/>
        </w:rPr>
        <w:t xml:space="preserve">a </w:t>
      </w:r>
      <w:r w:rsidR="003E54B7">
        <w:rPr>
          <w:color w:val="0E101A"/>
        </w:rPr>
        <w:t>bidirectional relationship</w:t>
      </w:r>
      <w:r>
        <w:rPr>
          <w:color w:val="0E101A"/>
        </w:rPr>
        <w:t xml:space="preserve">. Moreover, Google Trends </w:t>
      </w:r>
      <w:r w:rsidR="003E54B7">
        <w:rPr>
          <w:color w:val="0E101A"/>
        </w:rPr>
        <w:t>i</w:t>
      </w:r>
      <w:r>
        <w:rPr>
          <w:color w:val="0E101A"/>
        </w:rPr>
        <w:t xml:space="preserve">s a significant predictor of cryptocurrency returns and volatility. </w:t>
      </w:r>
      <w:r w:rsidR="00B054F6" w:rsidRPr="00B054F6">
        <w:rPr>
          <w:color w:val="FF0000"/>
        </w:rPr>
        <w:t>Alonso-</w:t>
      </w:r>
      <w:proofErr w:type="spellStart"/>
      <w:r w:rsidR="00B054F6" w:rsidRPr="00B054F6">
        <w:rPr>
          <w:color w:val="FF0000"/>
        </w:rPr>
        <w:t>Monsalve</w:t>
      </w:r>
      <w:proofErr w:type="spellEnd"/>
      <w:r w:rsidR="00B054F6" w:rsidRPr="00B054F6">
        <w:rPr>
          <w:color w:val="FF0000"/>
        </w:rPr>
        <w:t xml:space="preserve"> et al. (2020) used the four network architectures to predict six cryptocurrencies</w:t>
      </w:r>
      <w:r w:rsidR="003E54B7">
        <w:rPr>
          <w:color w:val="FF0000"/>
        </w:rPr>
        <w:t>. They</w:t>
      </w:r>
      <w:r w:rsidR="00B054F6" w:rsidRPr="00B054F6">
        <w:rPr>
          <w:color w:val="FF0000"/>
        </w:rPr>
        <w:t xml:space="preserve"> concluded that CNN neural networks a</w:t>
      </w:r>
      <w:r w:rsidR="00427804">
        <w:rPr>
          <w:color w:val="FF0000"/>
        </w:rPr>
        <w:t>re good predictors</w:t>
      </w:r>
      <w:r w:rsidR="00B054F6" w:rsidRPr="00B054F6">
        <w:rPr>
          <w:color w:val="FF0000"/>
        </w:rPr>
        <w:t xml:space="preserve"> for </w:t>
      </w:r>
      <w:proofErr w:type="spellStart"/>
      <w:r w:rsidR="00B054F6" w:rsidRPr="00B054F6">
        <w:rPr>
          <w:color w:val="FF0000"/>
        </w:rPr>
        <w:t>Litecoin</w:t>
      </w:r>
      <w:proofErr w:type="spellEnd"/>
      <w:r w:rsidR="00B054F6" w:rsidRPr="00B054F6">
        <w:rPr>
          <w:color w:val="FF0000"/>
        </w:rPr>
        <w:t>, Bitcoin</w:t>
      </w:r>
      <w:r w:rsidR="00A14BC0">
        <w:rPr>
          <w:color w:val="FF0000"/>
        </w:rPr>
        <w:t>,</w:t>
      </w:r>
      <w:r w:rsidR="00B054F6" w:rsidRPr="00B054F6">
        <w:rPr>
          <w:color w:val="FF0000"/>
        </w:rPr>
        <w:t xml:space="preserve"> and </w:t>
      </w:r>
      <w:proofErr w:type="spellStart"/>
      <w:r w:rsidR="00B054F6" w:rsidRPr="00B054F6">
        <w:rPr>
          <w:color w:val="FF0000"/>
        </w:rPr>
        <w:t>Ether</w:t>
      </w:r>
      <w:r w:rsidR="00A14BC0">
        <w:rPr>
          <w:color w:val="FF0000"/>
        </w:rPr>
        <w:t>e</w:t>
      </w:r>
      <w:r w:rsidR="00B054F6" w:rsidRPr="00B054F6">
        <w:rPr>
          <w:color w:val="FF0000"/>
        </w:rPr>
        <w:t>um</w:t>
      </w:r>
      <w:proofErr w:type="spellEnd"/>
      <w:r w:rsidR="00B054F6" w:rsidRPr="00B054F6">
        <w:rPr>
          <w:color w:val="FF0000"/>
        </w:rPr>
        <w:t xml:space="preserve"> prices. </w:t>
      </w:r>
      <w:r w:rsidR="00F273DE">
        <w:rPr>
          <w:color w:val="FF0000"/>
        </w:rPr>
        <w:t xml:space="preserve">Patel et al. (2020) used the </w:t>
      </w:r>
      <w:r w:rsidR="00F273DE" w:rsidRPr="004256A1">
        <w:rPr>
          <w:color w:val="FF0000"/>
        </w:rPr>
        <w:t xml:space="preserve">GRU-based hybrid and LSTM prediction scheme for </w:t>
      </w:r>
      <w:proofErr w:type="spellStart"/>
      <w:r w:rsidR="00F273DE" w:rsidRPr="004256A1">
        <w:rPr>
          <w:color w:val="FF0000"/>
        </w:rPr>
        <w:t>Monero</w:t>
      </w:r>
      <w:proofErr w:type="spellEnd"/>
      <w:r w:rsidR="00F273DE" w:rsidRPr="004256A1">
        <w:rPr>
          <w:color w:val="FF0000"/>
        </w:rPr>
        <w:t xml:space="preserve"> and </w:t>
      </w:r>
      <w:proofErr w:type="spellStart"/>
      <w:r w:rsidR="00F273DE" w:rsidRPr="004256A1">
        <w:rPr>
          <w:color w:val="FF0000"/>
        </w:rPr>
        <w:t>Litecoin</w:t>
      </w:r>
      <w:proofErr w:type="spellEnd"/>
      <w:r w:rsidR="00F273DE" w:rsidRPr="004256A1">
        <w:rPr>
          <w:color w:val="FF0000"/>
        </w:rPr>
        <w:t xml:space="preserve"> and concluded that this scheme predict</w:t>
      </w:r>
      <w:r w:rsidR="00A14BC0">
        <w:rPr>
          <w:color w:val="FF0000"/>
        </w:rPr>
        <w:t>s</w:t>
      </w:r>
      <w:r w:rsidR="00F273DE" w:rsidRPr="004256A1">
        <w:rPr>
          <w:color w:val="FF0000"/>
        </w:rPr>
        <w:t xml:space="preserve"> the prices</w:t>
      </w:r>
      <w:r w:rsidR="004256A1" w:rsidRPr="004256A1">
        <w:rPr>
          <w:color w:val="FF0000"/>
        </w:rPr>
        <w:t xml:space="preserve"> </w:t>
      </w:r>
      <w:r w:rsidR="00F273DE" w:rsidRPr="004256A1">
        <w:rPr>
          <w:color w:val="FF0000"/>
        </w:rPr>
        <w:t>with high accuracy.</w:t>
      </w:r>
      <w:r w:rsidR="00F273DE">
        <w:rPr>
          <w:rFonts w:ascii="Georgia" w:hAnsi="Georgia"/>
          <w:color w:val="2E2E2E"/>
          <w:sz w:val="27"/>
          <w:szCs w:val="27"/>
        </w:rPr>
        <w:t xml:space="preserve">  </w:t>
      </w:r>
      <w:r>
        <w:rPr>
          <w:color w:val="0E101A"/>
        </w:rPr>
        <w:t xml:space="preserve">Arratia and </w:t>
      </w:r>
      <w:proofErr w:type="spellStart"/>
      <w:r>
        <w:rPr>
          <w:color w:val="0E101A"/>
        </w:rPr>
        <w:t>Barrantes</w:t>
      </w:r>
      <w:proofErr w:type="spellEnd"/>
      <w:r>
        <w:rPr>
          <w:color w:val="0E101A"/>
        </w:rPr>
        <w:t xml:space="preserve"> (2021) studied the effective predictive power of Google Trends for prices, and they concluded that Google Trends acts as a predictor for Bitcoin prices but not consistently. </w:t>
      </w:r>
      <w:proofErr w:type="spellStart"/>
      <w:r>
        <w:rPr>
          <w:color w:val="0E101A"/>
        </w:rPr>
        <w:t>Arezooji</w:t>
      </w:r>
      <w:proofErr w:type="spellEnd"/>
      <w:r>
        <w:rPr>
          <w:color w:val="0E101A"/>
        </w:rPr>
        <w:t xml:space="preserve"> (2021) also stated that search trends </w:t>
      </w:r>
      <w:r w:rsidR="003E54B7">
        <w:rPr>
          <w:color w:val="0E101A"/>
        </w:rPr>
        <w:t>significantly predict</w:t>
      </w:r>
      <w:r>
        <w:rPr>
          <w:color w:val="0E101A"/>
        </w:rPr>
        <w:t xml:space="preserve"> </w:t>
      </w:r>
      <w:proofErr w:type="spellStart"/>
      <w:r>
        <w:rPr>
          <w:color w:val="0E101A"/>
        </w:rPr>
        <w:t>Ethereum</w:t>
      </w:r>
      <w:proofErr w:type="spellEnd"/>
      <w:r>
        <w:rPr>
          <w:color w:val="0E101A"/>
        </w:rPr>
        <w:t xml:space="preserve"> prices.</w:t>
      </w:r>
      <w:r w:rsidR="00753622">
        <w:rPr>
          <w:color w:val="FF0000"/>
        </w:rPr>
        <w:t xml:space="preserve"> </w:t>
      </w:r>
      <w:proofErr w:type="spellStart"/>
      <w:r w:rsidR="00753622" w:rsidRPr="00753622">
        <w:rPr>
          <w:color w:val="FF0000"/>
        </w:rPr>
        <w:t>Cavalli</w:t>
      </w:r>
      <w:proofErr w:type="spellEnd"/>
      <w:r w:rsidR="00753622" w:rsidRPr="00753622">
        <w:rPr>
          <w:color w:val="FF0000"/>
        </w:rPr>
        <w:t xml:space="preserve"> and Amoretti (2021) used the One-Dimensional Convolutional Neural Network (1D CNN) to predict the Bitcoin prices</w:t>
      </w:r>
      <w:r w:rsidR="00427804">
        <w:rPr>
          <w:color w:val="FF0000"/>
        </w:rPr>
        <w:t>. They</w:t>
      </w:r>
      <w:r w:rsidR="00753622" w:rsidRPr="00753622">
        <w:rPr>
          <w:color w:val="FF0000"/>
        </w:rPr>
        <w:t xml:space="preserve"> conclude</w:t>
      </w:r>
      <w:r w:rsidR="00A14BC0">
        <w:rPr>
          <w:color w:val="FF0000"/>
        </w:rPr>
        <w:t>d</w:t>
      </w:r>
      <w:r w:rsidR="00753622" w:rsidRPr="00753622">
        <w:rPr>
          <w:color w:val="FF0000"/>
        </w:rPr>
        <w:t xml:space="preserve"> that this model predict</w:t>
      </w:r>
      <w:r w:rsidR="00A14BC0">
        <w:rPr>
          <w:color w:val="FF0000"/>
        </w:rPr>
        <w:t>s</w:t>
      </w:r>
      <w:r w:rsidR="00753622" w:rsidRPr="00753622">
        <w:rPr>
          <w:color w:val="FF0000"/>
        </w:rPr>
        <w:t xml:space="preserve"> the bitcoin trend with high accuracy compared to other models. Koki</w:t>
      </w:r>
      <w:r w:rsidR="00753622">
        <w:rPr>
          <w:color w:val="FF0000"/>
        </w:rPr>
        <w:t xml:space="preserve"> et al. (2022) concluded that the forecasting performance of </w:t>
      </w:r>
      <w:r w:rsidR="00753622" w:rsidRPr="00753622">
        <w:rPr>
          <w:color w:val="FF0000"/>
        </w:rPr>
        <w:t>Ripple, Bitcoin</w:t>
      </w:r>
      <w:r w:rsidR="00A14BC0">
        <w:rPr>
          <w:color w:val="FF0000"/>
        </w:rPr>
        <w:t>,</w:t>
      </w:r>
      <w:r w:rsidR="00753622" w:rsidRPr="00753622">
        <w:rPr>
          <w:color w:val="FF0000"/>
        </w:rPr>
        <w:t xml:space="preserve"> and </w:t>
      </w:r>
      <w:proofErr w:type="spellStart"/>
      <w:r w:rsidR="00753622" w:rsidRPr="00753622">
        <w:rPr>
          <w:color w:val="FF0000"/>
        </w:rPr>
        <w:t>Ether</w:t>
      </w:r>
      <w:r w:rsidR="00427804">
        <w:rPr>
          <w:color w:val="FF0000"/>
        </w:rPr>
        <w:t>e</w:t>
      </w:r>
      <w:r w:rsidR="00753622" w:rsidRPr="00753622">
        <w:rPr>
          <w:color w:val="FF0000"/>
        </w:rPr>
        <w:t>um</w:t>
      </w:r>
      <w:proofErr w:type="spellEnd"/>
      <w:r w:rsidR="00753622" w:rsidRPr="00753622">
        <w:rPr>
          <w:color w:val="FF0000"/>
        </w:rPr>
        <w:t xml:space="preserve"> is </w:t>
      </w:r>
      <w:r w:rsidR="00753622">
        <w:rPr>
          <w:color w:val="FF0000"/>
        </w:rPr>
        <w:t xml:space="preserve">best </w:t>
      </w:r>
      <w:r w:rsidR="00753622" w:rsidRPr="00753622">
        <w:rPr>
          <w:color w:val="FF0000"/>
        </w:rPr>
        <w:t>predicted by the Non-Homogeneous Hidden Markov (NHHM) model with four states.</w:t>
      </w:r>
      <w:r w:rsidR="00A02924" w:rsidRPr="00A02924">
        <w:t xml:space="preserve"> </w:t>
      </w:r>
      <w:proofErr w:type="spellStart"/>
      <w:r w:rsidR="00A02924" w:rsidRPr="00A02924">
        <w:rPr>
          <w:color w:val="FF0000"/>
        </w:rPr>
        <w:t>Aharon</w:t>
      </w:r>
      <w:proofErr w:type="spellEnd"/>
      <w:r w:rsidR="00A02924" w:rsidRPr="00A02924">
        <w:rPr>
          <w:color w:val="FF0000"/>
        </w:rPr>
        <w:t xml:space="preserve"> et al. (2022) studied the impact of Twitter Uncertainty on four cryptocurrencies and concluded that any uncertainty discussed in social media effect the cryptocurrency returns.</w:t>
      </w:r>
      <w:r w:rsidR="00470614" w:rsidRPr="00470614">
        <w:t xml:space="preserve"> </w:t>
      </w:r>
      <w:proofErr w:type="spellStart"/>
      <w:r w:rsidR="00470614" w:rsidRPr="00470614">
        <w:rPr>
          <w:color w:val="FF0000"/>
        </w:rPr>
        <w:t>Hamurcu</w:t>
      </w:r>
      <w:proofErr w:type="spellEnd"/>
      <w:r w:rsidR="00470614" w:rsidRPr="00470614">
        <w:rPr>
          <w:color w:val="FF0000"/>
        </w:rPr>
        <w:t xml:space="preserve"> (2022) analyze</w:t>
      </w:r>
      <w:r w:rsidR="003E54B7">
        <w:rPr>
          <w:color w:val="FF0000"/>
        </w:rPr>
        <w:t>s Elon Mask</w:t>
      </w:r>
      <w:r w:rsidR="00A14BC0">
        <w:rPr>
          <w:color w:val="FF0000"/>
        </w:rPr>
        <w:t>’</w:t>
      </w:r>
      <w:r w:rsidR="003E54B7">
        <w:rPr>
          <w:color w:val="FF0000"/>
        </w:rPr>
        <w:t xml:space="preserve">s Twitter posts on two cryptocurrencies, i.e., Bitcoin and </w:t>
      </w:r>
      <w:proofErr w:type="spellStart"/>
      <w:r w:rsidR="003E54B7">
        <w:rPr>
          <w:color w:val="FF0000"/>
        </w:rPr>
        <w:t>Dogecoin</w:t>
      </w:r>
      <w:proofErr w:type="spellEnd"/>
      <w:r w:rsidR="003E54B7">
        <w:rPr>
          <w:color w:val="FF0000"/>
        </w:rPr>
        <w:t>,</w:t>
      </w:r>
      <w:r w:rsidR="00470614" w:rsidRPr="00470614">
        <w:rPr>
          <w:color w:val="FF0000"/>
        </w:rPr>
        <w:t xml:space="preserve"> using the EGARCH model. The result shows that the positive Twitter post by </w:t>
      </w:r>
      <w:proofErr w:type="spellStart"/>
      <w:r w:rsidR="00470614" w:rsidRPr="00470614">
        <w:rPr>
          <w:color w:val="FF0000"/>
        </w:rPr>
        <w:t>ElonMusk</w:t>
      </w:r>
      <w:proofErr w:type="spellEnd"/>
      <w:r w:rsidR="00470614" w:rsidRPr="00470614">
        <w:rPr>
          <w:color w:val="FF0000"/>
        </w:rPr>
        <w:t xml:space="preserve"> increases the trading volume and price of </w:t>
      </w:r>
      <w:proofErr w:type="spellStart"/>
      <w:r w:rsidR="00470614" w:rsidRPr="00470614">
        <w:rPr>
          <w:color w:val="FF0000"/>
        </w:rPr>
        <w:t>Dogecoins</w:t>
      </w:r>
      <w:proofErr w:type="spellEnd"/>
      <w:r w:rsidR="00470614" w:rsidRPr="00470614">
        <w:rPr>
          <w:color w:val="FF0000"/>
        </w:rPr>
        <w:t xml:space="preserve"> more </w:t>
      </w:r>
      <w:r w:rsidR="003E54B7">
        <w:rPr>
          <w:color w:val="FF0000"/>
        </w:rPr>
        <w:t>than</w:t>
      </w:r>
      <w:r w:rsidR="00470614" w:rsidRPr="00470614">
        <w:rPr>
          <w:color w:val="FF0000"/>
        </w:rPr>
        <w:t xml:space="preserve"> bitcoin. Moreover, the negative Tweet affects transaction volumes of both currencies.</w:t>
      </w:r>
    </w:p>
    <w:p w14:paraId="639575A8" w14:textId="77777777" w:rsidR="00753622" w:rsidRDefault="00753622" w:rsidP="00736327">
      <w:pPr>
        <w:pStyle w:val="NormalWeb"/>
        <w:spacing w:before="0" w:beforeAutospacing="0" w:after="0" w:afterAutospacing="0" w:line="360" w:lineRule="auto"/>
        <w:jc w:val="both"/>
      </w:pPr>
    </w:p>
    <w:p w14:paraId="77DF0B65" w14:textId="77777777" w:rsidR="000B72B4" w:rsidRPr="0044755B" w:rsidRDefault="000B72B4" w:rsidP="000B72B4">
      <w:pPr>
        <w:tabs>
          <w:tab w:val="left" w:pos="3330"/>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44755B">
        <w:rPr>
          <w:rFonts w:ascii="Times New Roman" w:hAnsi="Times New Roman" w:cs="Times New Roman"/>
          <w:b/>
          <w:sz w:val="24"/>
          <w:szCs w:val="24"/>
        </w:rPr>
        <w:t>Methodology</w:t>
      </w:r>
    </w:p>
    <w:p w14:paraId="42C50B57" w14:textId="299C4234" w:rsidR="000B72B4" w:rsidRPr="00A81C95" w:rsidRDefault="000B72B4" w:rsidP="00736327">
      <w:pPr>
        <w:tabs>
          <w:tab w:val="left" w:pos="3330"/>
        </w:tabs>
        <w:spacing w:line="360" w:lineRule="auto"/>
        <w:jc w:val="both"/>
        <w:rPr>
          <w:rFonts w:ascii="Times New Roman" w:hAnsi="Times New Roman" w:cs="Times New Roman"/>
          <w:sz w:val="24"/>
          <w:szCs w:val="24"/>
        </w:rPr>
      </w:pPr>
      <w:r w:rsidRPr="00A81C95">
        <w:rPr>
          <w:rFonts w:ascii="Times New Roman" w:hAnsi="Times New Roman" w:cs="Times New Roman"/>
          <w:sz w:val="24"/>
          <w:szCs w:val="24"/>
        </w:rPr>
        <w:t>In this study, we applied an in</w:t>
      </w:r>
      <w:r>
        <w:rPr>
          <w:rFonts w:ascii="Times New Roman" w:hAnsi="Times New Roman" w:cs="Times New Roman"/>
          <w:sz w:val="24"/>
          <w:szCs w:val="24"/>
        </w:rPr>
        <w:t xml:space="preserve">novative hybrid technique named </w:t>
      </w:r>
      <w:r w:rsidRPr="00A81C95">
        <w:rPr>
          <w:rFonts w:ascii="Times New Roman" w:hAnsi="Times New Roman" w:cs="Times New Roman"/>
          <w:sz w:val="24"/>
          <w:szCs w:val="24"/>
        </w:rPr>
        <w:t xml:space="preserve">causality-in-quantiles suggested by </w:t>
      </w:r>
      <w:proofErr w:type="spellStart"/>
      <w:r w:rsidRPr="00A81C95">
        <w:rPr>
          <w:rFonts w:ascii="Times New Roman" w:hAnsi="Times New Roman" w:cs="Times New Roman"/>
          <w:sz w:val="24"/>
          <w:szCs w:val="24"/>
        </w:rPr>
        <w:t>Balcilar</w:t>
      </w:r>
      <w:proofErr w:type="spellEnd"/>
      <w:r>
        <w:rPr>
          <w:rFonts w:ascii="Times New Roman" w:hAnsi="Times New Roman" w:cs="Times New Roman"/>
          <w:sz w:val="24"/>
          <w:szCs w:val="24"/>
        </w:rPr>
        <w:t xml:space="preserve"> et al. (2016) and</w:t>
      </w:r>
      <w:r w:rsidRPr="00A81C95">
        <w:rPr>
          <w:rFonts w:ascii="Times New Roman" w:hAnsi="Times New Roman" w:cs="Times New Roman"/>
          <w:sz w:val="24"/>
          <w:szCs w:val="24"/>
        </w:rPr>
        <w:t xml:space="preserve"> originated on the </w:t>
      </w:r>
      <w:r>
        <w:rPr>
          <w:rFonts w:ascii="Times New Roman" w:hAnsi="Times New Roman" w:cs="Times New Roman"/>
          <w:sz w:val="24"/>
          <w:szCs w:val="24"/>
        </w:rPr>
        <w:t>methodologi</w:t>
      </w:r>
      <w:r w:rsidRPr="00A81C95">
        <w:rPr>
          <w:rFonts w:ascii="Times New Roman" w:hAnsi="Times New Roman" w:cs="Times New Roman"/>
          <w:sz w:val="24"/>
          <w:szCs w:val="24"/>
        </w:rPr>
        <w:t xml:space="preserve">es given by </w:t>
      </w:r>
      <w:proofErr w:type="spellStart"/>
      <w:r>
        <w:rPr>
          <w:rFonts w:ascii="Times New Roman" w:hAnsi="Times New Roman" w:cs="Times New Roman"/>
          <w:sz w:val="24"/>
          <w:szCs w:val="24"/>
        </w:rPr>
        <w:t>Jeong</w:t>
      </w:r>
      <w:proofErr w:type="spellEnd"/>
      <w:r>
        <w:rPr>
          <w:rFonts w:ascii="Times New Roman" w:hAnsi="Times New Roman" w:cs="Times New Roman"/>
          <w:sz w:val="24"/>
          <w:szCs w:val="24"/>
        </w:rPr>
        <w:t>,</w:t>
      </w:r>
      <w:r w:rsidRPr="003C600F">
        <w:rPr>
          <w:rFonts w:ascii="Times New Roman" w:hAnsi="Times New Roman" w:cs="Times New Roman"/>
          <w:sz w:val="24"/>
          <w:szCs w:val="24"/>
        </w:rPr>
        <w:t xml:space="preserve"> </w:t>
      </w:r>
      <w:proofErr w:type="spellStart"/>
      <w:r w:rsidRPr="003C600F">
        <w:rPr>
          <w:rFonts w:ascii="Times New Roman" w:hAnsi="Times New Roman" w:cs="Times New Roman"/>
          <w:sz w:val="24"/>
          <w:szCs w:val="24"/>
        </w:rPr>
        <w:t>Härdle</w:t>
      </w:r>
      <w:proofErr w:type="spellEnd"/>
      <w:r w:rsidRPr="003C600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C600F">
        <w:rPr>
          <w:rFonts w:ascii="Times New Roman" w:hAnsi="Times New Roman" w:cs="Times New Roman"/>
          <w:sz w:val="24"/>
          <w:szCs w:val="24"/>
        </w:rPr>
        <w:t xml:space="preserve">Song </w:t>
      </w:r>
      <w:r w:rsidRPr="00A81C95">
        <w:rPr>
          <w:rFonts w:ascii="Times New Roman" w:hAnsi="Times New Roman" w:cs="Times New Roman"/>
          <w:sz w:val="24"/>
          <w:szCs w:val="24"/>
        </w:rPr>
        <w:t>(2012)</w:t>
      </w:r>
      <w:r>
        <w:rPr>
          <w:rFonts w:ascii="Times New Roman" w:hAnsi="Times New Roman" w:cs="Times New Roman"/>
          <w:sz w:val="24"/>
          <w:szCs w:val="24"/>
        </w:rPr>
        <w:t xml:space="preserve">; </w:t>
      </w:r>
      <w:proofErr w:type="spellStart"/>
      <w:r w:rsidRPr="00A81C95">
        <w:rPr>
          <w:rFonts w:ascii="Times New Roman" w:hAnsi="Times New Roman" w:cs="Times New Roman"/>
          <w:sz w:val="24"/>
          <w:szCs w:val="24"/>
        </w:rPr>
        <w:t>Nishiyama</w:t>
      </w:r>
      <w:proofErr w:type="spellEnd"/>
      <w:r>
        <w:rPr>
          <w:rFonts w:ascii="Times New Roman" w:hAnsi="Times New Roman" w:cs="Times New Roman"/>
          <w:sz w:val="24"/>
          <w:szCs w:val="24"/>
        </w:rPr>
        <w:t>,</w:t>
      </w:r>
      <w:r w:rsidRPr="00A81C95">
        <w:rPr>
          <w:rFonts w:ascii="Times New Roman" w:hAnsi="Times New Roman" w:cs="Times New Roman"/>
          <w:sz w:val="24"/>
          <w:szCs w:val="24"/>
        </w:rPr>
        <w:t xml:space="preserve"> </w:t>
      </w:r>
      <w:proofErr w:type="spellStart"/>
      <w:r w:rsidRPr="003C600F">
        <w:rPr>
          <w:rFonts w:ascii="Times New Roman" w:hAnsi="Times New Roman" w:cs="Times New Roman"/>
          <w:sz w:val="24"/>
          <w:szCs w:val="24"/>
        </w:rPr>
        <w:t>Hitomi</w:t>
      </w:r>
      <w:proofErr w:type="spellEnd"/>
      <w:r w:rsidRPr="003C600F">
        <w:rPr>
          <w:rFonts w:ascii="Times New Roman" w:hAnsi="Times New Roman" w:cs="Times New Roman"/>
          <w:sz w:val="24"/>
          <w:szCs w:val="24"/>
        </w:rPr>
        <w:t xml:space="preserve">, Kawasaki, </w:t>
      </w:r>
      <w:r>
        <w:rPr>
          <w:rFonts w:ascii="Times New Roman" w:hAnsi="Times New Roman" w:cs="Times New Roman"/>
          <w:sz w:val="24"/>
          <w:szCs w:val="24"/>
        </w:rPr>
        <w:t xml:space="preserve">&amp; </w:t>
      </w:r>
      <w:proofErr w:type="spellStart"/>
      <w:r w:rsidRPr="003C600F">
        <w:rPr>
          <w:rFonts w:ascii="Times New Roman" w:hAnsi="Times New Roman" w:cs="Times New Roman"/>
          <w:sz w:val="24"/>
          <w:szCs w:val="24"/>
        </w:rPr>
        <w:t>Jeong</w:t>
      </w:r>
      <w:proofErr w:type="spellEnd"/>
      <w:r w:rsidRPr="003C600F">
        <w:rPr>
          <w:rFonts w:ascii="Times New Roman" w:hAnsi="Times New Roman" w:cs="Times New Roman"/>
          <w:sz w:val="24"/>
          <w:szCs w:val="24"/>
        </w:rPr>
        <w:t xml:space="preserve"> </w:t>
      </w:r>
      <w:r>
        <w:rPr>
          <w:rFonts w:ascii="Times New Roman" w:hAnsi="Times New Roman" w:cs="Times New Roman"/>
          <w:sz w:val="24"/>
          <w:szCs w:val="24"/>
        </w:rPr>
        <w:t>(2011)</w:t>
      </w:r>
      <w:r w:rsidRPr="00A81C95">
        <w:rPr>
          <w:rFonts w:ascii="Times New Roman" w:hAnsi="Times New Roman" w:cs="Times New Roman"/>
          <w:sz w:val="24"/>
          <w:szCs w:val="24"/>
        </w:rPr>
        <w:t xml:space="preserve">. The </w:t>
      </w:r>
      <w:r w:rsidRPr="00A81C95">
        <w:rPr>
          <w:rFonts w:ascii="Times New Roman" w:hAnsi="Times New Roman" w:cs="Times New Roman"/>
          <w:color w:val="000000" w:themeColor="text1"/>
          <w:sz w:val="24"/>
          <w:szCs w:val="24"/>
        </w:rPr>
        <w:t>Google Trends is explained b</w:t>
      </w:r>
      <w:r>
        <w:rPr>
          <w:rFonts w:ascii="Times New Roman" w:hAnsi="Times New Roman" w:cs="Times New Roman"/>
          <w:color w:val="000000" w:themeColor="text1"/>
          <w:sz w:val="24"/>
          <w:szCs w:val="24"/>
        </w:rPr>
        <w:t>y</w:t>
      </w:r>
      <w:r w:rsidRPr="005226E3">
        <w:rPr>
          <w:position w:val="-12"/>
        </w:rPr>
        <w:object w:dxaOrig="260" w:dyaOrig="360" w14:anchorId="3B7FF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8.15pt" o:ole="">
            <v:imagedata r:id="rId17" o:title=""/>
          </v:shape>
          <o:OLEObject Type="Embed" ProgID="Equation.3" ShapeID="_x0000_i1025" DrawAspect="Content" ObjectID="_1706534125" r:id="rId18"/>
        </w:object>
      </w:r>
      <w:r>
        <w:rPr>
          <w:rFonts w:ascii="Times New Roman" w:hAnsi="Times New Roman" w:cs="Times New Roman"/>
          <w:color w:val="000000" w:themeColor="text1"/>
          <w:sz w:val="24"/>
          <w:szCs w:val="24"/>
        </w:rPr>
        <w:t xml:space="preserve"> </w:t>
      </w:r>
      <w:r w:rsidRPr="00A81C95">
        <w:rPr>
          <w:rFonts w:ascii="Times New Roman" w:hAnsi="Times New Roman" w:cs="Times New Roman"/>
          <w:color w:val="000000" w:themeColor="text1"/>
          <w:sz w:val="24"/>
          <w:szCs w:val="24"/>
        </w:rPr>
        <w:t>and cryptocurrencies prices are explained by (</w:t>
      </w:r>
      <w:proofErr w:type="spellStart"/>
      <w:r w:rsidRPr="00A81C95">
        <w:rPr>
          <w:rFonts w:ascii="Times New Roman" w:hAnsi="Times New Roman" w:cs="Times New Roman"/>
          <w:color w:val="000000" w:themeColor="text1"/>
          <w:sz w:val="24"/>
          <w:szCs w:val="24"/>
        </w:rPr>
        <w:t>X</w:t>
      </w:r>
      <w:r w:rsidRPr="00A81C95">
        <w:rPr>
          <w:rFonts w:ascii="Times New Roman" w:hAnsi="Times New Roman" w:cs="Times New Roman"/>
          <w:color w:val="000000" w:themeColor="text1"/>
          <w:sz w:val="24"/>
          <w:szCs w:val="24"/>
          <w:vertAlign w:val="subscript"/>
        </w:rPr>
        <w:t>t</w:t>
      </w:r>
      <w:proofErr w:type="spellEnd"/>
      <w:r w:rsidRPr="00A81C95">
        <w:rPr>
          <w:rFonts w:ascii="Times New Roman" w:hAnsi="Times New Roman" w:cs="Times New Roman"/>
          <w:color w:val="000000" w:themeColor="text1"/>
          <w:sz w:val="24"/>
          <w:szCs w:val="24"/>
        </w:rPr>
        <w:t>).</w:t>
      </w:r>
      <w:r w:rsidRPr="00A81C95">
        <w:rPr>
          <w:rFonts w:ascii="Times New Roman" w:hAnsi="Times New Roman" w:cs="Times New Roman"/>
          <w:sz w:val="24"/>
          <w:szCs w:val="24"/>
        </w:rPr>
        <w:t xml:space="preserve"> </w:t>
      </w:r>
      <w:r w:rsidR="003E54B7">
        <w:rPr>
          <w:rFonts w:ascii="Times New Roman" w:hAnsi="Times New Roman" w:cs="Times New Roman"/>
          <w:sz w:val="24"/>
          <w:szCs w:val="24"/>
        </w:rPr>
        <w:t>However, a</w:t>
      </w:r>
      <w:r w:rsidRPr="00A81C95">
        <w:rPr>
          <w:rFonts w:ascii="Times New Roman" w:hAnsi="Times New Roman" w:cs="Times New Roman"/>
          <w:sz w:val="24"/>
          <w:szCs w:val="24"/>
        </w:rPr>
        <w:t xml:space="preserve">s argued by </w:t>
      </w:r>
      <w:proofErr w:type="spellStart"/>
      <w:r w:rsidRPr="00A81C95">
        <w:rPr>
          <w:rFonts w:ascii="Times New Roman" w:hAnsi="Times New Roman" w:cs="Times New Roman"/>
          <w:sz w:val="24"/>
          <w:szCs w:val="24"/>
        </w:rPr>
        <w:t>Jeong</w:t>
      </w:r>
      <w:proofErr w:type="spellEnd"/>
      <w:r w:rsidRPr="00A81C95">
        <w:rPr>
          <w:rFonts w:ascii="Times New Roman" w:hAnsi="Times New Roman" w:cs="Times New Roman"/>
          <w:sz w:val="24"/>
          <w:szCs w:val="24"/>
        </w:rPr>
        <w:t xml:space="preserve"> et al. (2012), </w:t>
      </w:r>
      <w:r w:rsidRPr="00A81C95">
        <w:rPr>
          <w:rFonts w:ascii="Times New Roman" w:hAnsi="Times New Roman" w:cs="Times New Roman"/>
          <w:position w:val="-12"/>
          <w:sz w:val="24"/>
          <w:szCs w:val="24"/>
        </w:rPr>
        <w:object w:dxaOrig="260" w:dyaOrig="360" w14:anchorId="3752B743">
          <v:shape id="_x0000_i1026" type="#_x0000_t75" style="width:14.4pt;height:23.15pt" o:ole="">
            <v:imagedata r:id="rId19" o:title=""/>
          </v:shape>
          <o:OLEObject Type="Embed" ProgID="Equation.3" ShapeID="_x0000_i1026" DrawAspect="Content" ObjectID="_1706534126" r:id="rId20"/>
        </w:object>
      </w:r>
      <w:r w:rsidRPr="00A81C95">
        <w:rPr>
          <w:rFonts w:ascii="Times New Roman" w:hAnsi="Times New Roman" w:cs="Times New Roman"/>
          <w:sz w:val="24"/>
          <w:szCs w:val="24"/>
        </w:rPr>
        <w:t xml:space="preserve"> does not lead by </w:t>
      </w:r>
      <w:r w:rsidRPr="00A81C95">
        <w:rPr>
          <w:rFonts w:ascii="Times New Roman" w:hAnsi="Times New Roman" w:cs="Times New Roman"/>
          <w:position w:val="-12"/>
          <w:sz w:val="24"/>
          <w:szCs w:val="24"/>
        </w:rPr>
        <w:object w:dxaOrig="320" w:dyaOrig="360" w14:anchorId="7B4D50DD">
          <v:shape id="_x0000_i1027" type="#_x0000_t75" style="width:14.4pt;height:23.15pt" o:ole="">
            <v:imagedata r:id="rId21" o:title=""/>
          </v:shape>
          <o:OLEObject Type="Embed" ProgID="Equation.3" ShapeID="_x0000_i1027" DrawAspect="Content" ObjectID="_1706534127" r:id="rId22"/>
        </w:object>
      </w:r>
      <w:r w:rsidRPr="00A81C95">
        <w:rPr>
          <w:rFonts w:ascii="Times New Roman" w:hAnsi="Times New Roman" w:cs="Times New Roman"/>
          <w:sz w:val="24"/>
          <w:szCs w:val="24"/>
        </w:rPr>
        <w:t xml:space="preserve"> </w:t>
      </w:r>
      <w:r>
        <w:rPr>
          <w:rFonts w:ascii="Times New Roman" w:hAnsi="Times New Roman" w:cs="Times New Roman"/>
          <w:sz w:val="24"/>
          <w:szCs w:val="24"/>
        </w:rPr>
        <w:t xml:space="preserve">in the θ-quantile, </w:t>
      </w:r>
      <w:r w:rsidRPr="00A81C95">
        <w:rPr>
          <w:rFonts w:ascii="Times New Roman" w:hAnsi="Times New Roman" w:cs="Times New Roman"/>
          <w:sz w:val="24"/>
          <w:szCs w:val="24"/>
        </w:rPr>
        <w:t xml:space="preserve">concerning the lag-vector of </w:t>
      </w:r>
      <w:r w:rsidRPr="00A81C95">
        <w:rPr>
          <w:rFonts w:ascii="Times New Roman" w:hAnsi="Times New Roman" w:cs="Times New Roman"/>
          <w:position w:val="-14"/>
          <w:sz w:val="24"/>
          <w:szCs w:val="24"/>
        </w:rPr>
        <w:object w:dxaOrig="2580" w:dyaOrig="380" w14:anchorId="60243215">
          <v:shape id="_x0000_i1028" type="#_x0000_t75" style="width:131.5pt;height:21.9pt" o:ole="">
            <v:imagedata r:id="rId23" o:title=""/>
          </v:shape>
          <o:OLEObject Type="Embed" ProgID="Equation.3" ShapeID="_x0000_i1028" DrawAspect="Content" ObjectID="_1706534128" r:id="rId24"/>
        </w:object>
      </w:r>
      <w:r w:rsidRPr="00A81C95">
        <w:rPr>
          <w:rFonts w:ascii="Times New Roman" w:hAnsi="Times New Roman" w:cs="Times New Roman"/>
          <w:sz w:val="24"/>
          <w:szCs w:val="24"/>
        </w:rPr>
        <w:t xml:space="preserve"> if:</w:t>
      </w:r>
    </w:p>
    <w:p w14:paraId="1C50E6F1"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5520" w:dyaOrig="380" w14:anchorId="67A23CF2">
          <v:shape id="_x0000_i1029" type="#_x0000_t75" style="width:273.6pt;height:21.9pt" o:ole="">
            <v:imagedata r:id="rId25" o:title=""/>
          </v:shape>
          <o:OLEObject Type="Embed" ProgID="Equation.3" ShapeID="_x0000_i1029" DrawAspect="Content" ObjectID="_1706534129" r:id="rId26"/>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t>(1)</w:t>
      </w:r>
    </w:p>
    <w:p w14:paraId="66B87953" w14:textId="77777777" w:rsidR="000B72B4" w:rsidRPr="00304E78" w:rsidRDefault="000B72B4" w:rsidP="00736327">
      <w:pPr>
        <w:spacing w:line="360" w:lineRule="auto"/>
        <w:ind w:firstLine="360"/>
        <w:jc w:val="both"/>
        <w:rPr>
          <w:rFonts w:ascii="Times New Roman" w:hAnsi="Times New Roman" w:cs="Times New Roman"/>
          <w:sz w:val="24"/>
          <w:szCs w:val="24"/>
        </w:rPr>
      </w:pPr>
      <w:proofErr w:type="gramStart"/>
      <w:r w:rsidRPr="00304E78">
        <w:rPr>
          <w:rFonts w:ascii="Times New Roman" w:hAnsi="Times New Roman" w:cs="Times New Roman"/>
          <w:sz w:val="24"/>
          <w:szCs w:val="24"/>
        </w:rPr>
        <w:t>in</w:t>
      </w:r>
      <w:proofErr w:type="gramEnd"/>
      <w:r w:rsidRPr="00304E78">
        <w:rPr>
          <w:rFonts w:ascii="Times New Roman" w:hAnsi="Times New Roman" w:cs="Times New Roman"/>
          <w:sz w:val="24"/>
          <w:szCs w:val="24"/>
        </w:rPr>
        <w:t xml:space="preserve"> the θ-quantile </w:t>
      </w:r>
      <w:r w:rsidRPr="00304E78">
        <w:rPr>
          <w:rFonts w:ascii="Times New Roman" w:hAnsi="Times New Roman" w:cs="Times New Roman"/>
          <w:position w:val="-12"/>
          <w:sz w:val="24"/>
          <w:szCs w:val="24"/>
        </w:rPr>
        <w:object w:dxaOrig="320" w:dyaOrig="360" w14:anchorId="560910A4">
          <v:shape id="_x0000_i1030" type="#_x0000_t75" style="width:14.4pt;height:23.15pt" o:ole="">
            <v:imagedata r:id="rId27" o:title=""/>
          </v:shape>
          <o:OLEObject Type="Embed" ProgID="Equation.3" ShapeID="_x0000_i1030" DrawAspect="Content" ObjectID="_1706534130" r:id="rId28"/>
        </w:object>
      </w:r>
      <w:r w:rsidRPr="00304E78">
        <w:rPr>
          <w:rFonts w:ascii="Times New Roman" w:hAnsi="Times New Roman" w:cs="Times New Roman"/>
          <w:sz w:val="24"/>
          <w:szCs w:val="24"/>
        </w:rPr>
        <w:t xml:space="preserve"> possibly cause </w:t>
      </w:r>
      <w:r w:rsidRPr="00304E78">
        <w:rPr>
          <w:rFonts w:ascii="Times New Roman" w:hAnsi="Times New Roman" w:cs="Times New Roman"/>
          <w:position w:val="-12"/>
          <w:sz w:val="24"/>
          <w:szCs w:val="24"/>
        </w:rPr>
        <w:object w:dxaOrig="260" w:dyaOrig="360" w14:anchorId="34D03FAA">
          <v:shape id="_x0000_i1031" type="#_x0000_t75" style="width:14.4pt;height:23.15pt" o:ole="">
            <v:imagedata r:id="rId29" o:title=""/>
          </v:shape>
          <o:OLEObject Type="Embed" ProgID="Equation.3" ShapeID="_x0000_i1031" DrawAspect="Content" ObjectID="_1706534131" r:id="rId30"/>
        </w:object>
      </w:r>
      <w:r w:rsidRPr="00304E78">
        <w:rPr>
          <w:rFonts w:ascii="Times New Roman" w:hAnsi="Times New Roman" w:cs="Times New Roman"/>
          <w:sz w:val="24"/>
          <w:szCs w:val="24"/>
        </w:rPr>
        <w:t xml:space="preserve"> regarding </w:t>
      </w:r>
      <w:r w:rsidRPr="00304E78">
        <w:rPr>
          <w:rFonts w:ascii="Times New Roman" w:hAnsi="Times New Roman" w:cs="Times New Roman"/>
          <w:position w:val="-14"/>
          <w:sz w:val="24"/>
          <w:szCs w:val="24"/>
        </w:rPr>
        <w:object w:dxaOrig="2580" w:dyaOrig="380" w14:anchorId="34273FAA">
          <v:shape id="_x0000_i1032" type="#_x0000_t75" style="width:131.5pt;height:21.9pt" o:ole="">
            <v:imagedata r:id="rId31" o:title=""/>
          </v:shape>
          <o:OLEObject Type="Embed" ProgID="Equation.3" ShapeID="_x0000_i1032" DrawAspect="Content" ObjectID="_1706534132" r:id="rId32"/>
        </w:object>
      </w:r>
      <w:r w:rsidRPr="00304E78">
        <w:rPr>
          <w:rFonts w:ascii="Times New Roman" w:hAnsi="Times New Roman" w:cs="Times New Roman"/>
          <w:sz w:val="24"/>
          <w:szCs w:val="24"/>
        </w:rPr>
        <w:t xml:space="preserve"> if:</w:t>
      </w:r>
    </w:p>
    <w:p w14:paraId="4E1353D2"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5539" w:dyaOrig="380" w14:anchorId="60C22D9B">
          <v:shape id="_x0000_i1033" type="#_x0000_t75" style="width:273.6pt;height:21.9pt" o:ole="">
            <v:imagedata r:id="rId33" o:title=""/>
          </v:shape>
          <o:OLEObject Type="Embed" ProgID="Equation.3" ShapeID="_x0000_i1033" DrawAspect="Content" ObjectID="_1706534133" r:id="rId34"/>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t>(2)</w:t>
      </w:r>
    </w:p>
    <w:p w14:paraId="568383FE"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In </w:t>
      </w:r>
      <w:proofErr w:type="spellStart"/>
      <w:r w:rsidRPr="00304E78">
        <w:rPr>
          <w:rFonts w:ascii="Times New Roman" w:hAnsi="Times New Roman" w:cs="Times New Roman"/>
          <w:sz w:val="24"/>
          <w:szCs w:val="24"/>
        </w:rPr>
        <w:t>Eq</w:t>
      </w:r>
      <w:proofErr w:type="spellEnd"/>
      <w:r w:rsidRPr="00304E78">
        <w:rPr>
          <w:rFonts w:ascii="Times New Roman" w:hAnsi="Times New Roman" w:cs="Times New Roman"/>
          <w:sz w:val="24"/>
          <w:szCs w:val="24"/>
        </w:rPr>
        <w:t xml:space="preserve"> (2) </w:t>
      </w:r>
      <w:r w:rsidRPr="00304E78">
        <w:rPr>
          <w:rFonts w:ascii="Times New Roman" w:hAnsi="Times New Roman" w:cs="Times New Roman"/>
          <w:position w:val="-12"/>
          <w:sz w:val="24"/>
          <w:szCs w:val="24"/>
        </w:rPr>
        <w:object w:dxaOrig="1080" w:dyaOrig="360" w14:anchorId="145C6CC7">
          <v:shape id="_x0000_i1034" type="#_x0000_t75" style="width:57.6pt;height:23.15pt" o:ole="">
            <v:imagedata r:id="rId35" o:title=""/>
          </v:shape>
          <o:OLEObject Type="Embed" ProgID="Equation.3" ShapeID="_x0000_i1034" DrawAspect="Content" ObjectID="_1706534134" r:id="rId36"/>
        </w:object>
      </w:r>
      <w:r w:rsidRPr="00304E78">
        <w:rPr>
          <w:rFonts w:ascii="Times New Roman" w:hAnsi="Times New Roman" w:cs="Times New Roman"/>
          <w:sz w:val="24"/>
          <w:szCs w:val="24"/>
        </w:rPr>
        <w:t>symbolizes the</w:t>
      </w:r>
      <w:r w:rsidRPr="00304E78">
        <w:rPr>
          <w:rFonts w:ascii="Times New Roman" w:hAnsi="Times New Roman" w:cs="Times New Roman"/>
          <w:position w:val="-6"/>
          <w:sz w:val="24"/>
          <w:szCs w:val="24"/>
        </w:rPr>
        <w:object w:dxaOrig="639" w:dyaOrig="279" w14:anchorId="38C5BD20">
          <v:shape id="_x0000_i1035" type="#_x0000_t75" style="width:27.55pt;height:14.4pt" o:ole="">
            <v:imagedata r:id="rId37" o:title=""/>
          </v:shape>
          <o:OLEObject Type="Embed" ProgID="Equation.3" ShapeID="_x0000_i1035" DrawAspect="Content" ObjectID="_1706534135" r:id="rId38"/>
        </w:object>
      </w:r>
      <w:r w:rsidRPr="00304E78">
        <w:rPr>
          <w:rFonts w:ascii="Times New Roman" w:hAnsi="Times New Roman" w:cs="Times New Roman"/>
          <w:sz w:val="24"/>
          <w:szCs w:val="24"/>
        </w:rPr>
        <w:t xml:space="preserve"> quantile of </w:t>
      </w:r>
      <w:r w:rsidRPr="00304E78">
        <w:rPr>
          <w:rFonts w:ascii="Times New Roman" w:hAnsi="Times New Roman" w:cs="Times New Roman"/>
          <w:sz w:val="24"/>
          <w:szCs w:val="24"/>
        </w:rPr>
        <w:object w:dxaOrig="260" w:dyaOrig="360" w14:anchorId="14F53C42">
          <v:shape id="_x0000_i1036" type="#_x0000_t75" style="width:14.4pt;height:23.15pt" o:ole="">
            <v:imagedata r:id="rId39" o:title=""/>
          </v:shape>
          <o:OLEObject Type="Embed" ProgID="Equation.3" ShapeID="_x0000_i1036" DrawAspect="Content" ObjectID="_1706534136" r:id="rId40"/>
        </w:object>
      </w:r>
      <w:r>
        <w:rPr>
          <w:rFonts w:ascii="Times New Roman" w:hAnsi="Times New Roman" w:cs="Times New Roman"/>
          <w:sz w:val="24"/>
          <w:szCs w:val="24"/>
        </w:rPr>
        <w:t>which contingent</w:t>
      </w:r>
      <w:r w:rsidRPr="00304E78">
        <w:rPr>
          <w:rFonts w:ascii="Times New Roman" w:hAnsi="Times New Roman" w:cs="Times New Roman"/>
          <w:sz w:val="24"/>
          <w:szCs w:val="24"/>
        </w:rPr>
        <w:t xml:space="preserve"> </w:t>
      </w:r>
      <w:proofErr w:type="gramStart"/>
      <w:r w:rsidRPr="00304E78">
        <w:rPr>
          <w:rFonts w:ascii="Times New Roman" w:hAnsi="Times New Roman" w:cs="Times New Roman"/>
          <w:sz w:val="24"/>
          <w:szCs w:val="24"/>
        </w:rPr>
        <w:t xml:space="preserve">on </w:t>
      </w:r>
      <w:proofErr w:type="gramEnd"/>
      <w:r w:rsidRPr="00304E78">
        <w:rPr>
          <w:rFonts w:ascii="Times New Roman" w:hAnsi="Times New Roman" w:cs="Times New Roman"/>
          <w:position w:val="-6"/>
          <w:sz w:val="24"/>
          <w:szCs w:val="24"/>
        </w:rPr>
        <w:object w:dxaOrig="139" w:dyaOrig="240" w14:anchorId="1F157C55">
          <v:shape id="_x0000_i1037" type="#_x0000_t75" style="width:6.9pt;height:14.4pt" o:ole="">
            <v:imagedata r:id="rId41" o:title=""/>
          </v:shape>
          <o:OLEObject Type="Embed" ProgID="Equation.3" ShapeID="_x0000_i1037" DrawAspect="Content" ObjectID="_1706534137" r:id="rId42"/>
        </w:object>
      </w:r>
      <w:r w:rsidRPr="00304E78">
        <w:rPr>
          <w:rFonts w:ascii="Times New Roman" w:hAnsi="Times New Roman" w:cs="Times New Roman"/>
          <w:sz w:val="24"/>
          <w:szCs w:val="24"/>
        </w:rPr>
        <w:t xml:space="preserve">, and the quantiles are </w:t>
      </w:r>
      <w:r>
        <w:rPr>
          <w:rFonts w:ascii="Times New Roman" w:hAnsi="Times New Roman" w:cs="Times New Roman"/>
          <w:sz w:val="24"/>
          <w:szCs w:val="24"/>
        </w:rPr>
        <w:t>bound</w:t>
      </w:r>
      <w:r w:rsidRPr="00304E78">
        <w:rPr>
          <w:rFonts w:ascii="Times New Roman" w:hAnsi="Times New Roman" w:cs="Times New Roman"/>
          <w:sz w:val="24"/>
          <w:szCs w:val="24"/>
        </w:rPr>
        <w:t xml:space="preserve"> </w:t>
      </w:r>
      <w:r>
        <w:rPr>
          <w:rFonts w:ascii="Times New Roman" w:hAnsi="Times New Roman" w:cs="Times New Roman"/>
          <w:sz w:val="24"/>
          <w:szCs w:val="24"/>
        </w:rPr>
        <w:t>among 0 or 1</w:t>
      </w:r>
      <w:r w:rsidRPr="00304E78">
        <w:rPr>
          <w:rFonts w:ascii="Times New Roman" w:hAnsi="Times New Roman" w:cs="Times New Roman"/>
          <w:sz w:val="24"/>
          <w:szCs w:val="24"/>
        </w:rPr>
        <w:t xml:space="preserve">, i.e., 0 &lt; θ &lt; 1. </w:t>
      </w:r>
    </w:p>
    <w:p w14:paraId="0E6B85E9"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The</w:t>
      </w:r>
      <w:r w:rsidRPr="00304E78">
        <w:rPr>
          <w:rFonts w:ascii="Times New Roman" w:hAnsi="Times New Roman" w:cs="Times New Roman"/>
          <w:position w:val="-14"/>
          <w:sz w:val="24"/>
          <w:szCs w:val="24"/>
        </w:rPr>
        <w:object w:dxaOrig="5260" w:dyaOrig="380" w14:anchorId="164F7FE1">
          <v:shape id="_x0000_i1038" type="#_x0000_t75" style="width:259.85pt;height:21.9pt" o:ole="">
            <v:imagedata r:id="rId43" o:title=""/>
          </v:shape>
          <o:OLEObject Type="Embed" ProgID="Equation.3" ShapeID="_x0000_i1038" DrawAspect="Content" ObjectID="_1706534138" r:id="rId44"/>
        </w:object>
      </w:r>
      <w:r w:rsidRPr="00304E78">
        <w:rPr>
          <w:rFonts w:ascii="Times New Roman" w:hAnsi="Times New Roman" w:cs="Times New Roman"/>
          <w:sz w:val="24"/>
          <w:szCs w:val="24"/>
        </w:rPr>
        <w:t xml:space="preserve">vectors are defined to explain the causality-in-quantiles test comprehensively. The </w:t>
      </w:r>
      <w:r w:rsidRPr="00304E78">
        <w:rPr>
          <w:rFonts w:ascii="Times New Roman" w:hAnsi="Times New Roman" w:cs="Times New Roman"/>
          <w:position w:val="-12"/>
          <w:sz w:val="24"/>
          <w:szCs w:val="24"/>
        </w:rPr>
        <w:object w:dxaOrig="1840" w:dyaOrig="360" w14:anchorId="02E99AA8">
          <v:shape id="_x0000_i1039" type="#_x0000_t75" style="width:92.05pt;height:23.15pt" o:ole="">
            <v:imagedata r:id="rId45" o:title=""/>
          </v:shape>
          <o:OLEObject Type="Embed" ProgID="Equation.3" ShapeID="_x0000_i1039" DrawAspect="Content" ObjectID="_1706534139" r:id="rId46"/>
        </w:object>
      </w:r>
      <w:r w:rsidRPr="00304E78">
        <w:rPr>
          <w:rFonts w:ascii="Times New Roman" w:hAnsi="Times New Roman" w:cs="Times New Roman"/>
          <w:position w:val="-12"/>
          <w:sz w:val="24"/>
          <w:szCs w:val="24"/>
        </w:rPr>
        <w:object w:dxaOrig="1820" w:dyaOrig="360" w14:anchorId="56DED02F">
          <v:shape id="_x0000_i1040" type="#_x0000_t75" style="width:92.05pt;height:23.15pt" o:ole="">
            <v:imagedata r:id="rId47" o:title=""/>
          </v:shape>
          <o:OLEObject Type="Embed" ProgID="Equation.3" ShapeID="_x0000_i1040" DrawAspect="Content" ObjectID="_1706534140" r:id="rId48"/>
        </w:object>
      </w:r>
      <w:r w:rsidRPr="00033D9B">
        <w:rPr>
          <w:rFonts w:ascii="Times New Roman" w:hAnsi="Times New Roman" w:cs="Times New Roman"/>
          <w:sz w:val="24"/>
          <w:szCs w:val="24"/>
        </w:rPr>
        <w:t xml:space="preserve"> </w:t>
      </w:r>
      <w:r>
        <w:rPr>
          <w:rFonts w:ascii="Times New Roman" w:hAnsi="Times New Roman" w:cs="Times New Roman"/>
          <w:sz w:val="24"/>
          <w:szCs w:val="24"/>
        </w:rPr>
        <w:t xml:space="preserve">defines the </w:t>
      </w:r>
      <w:r w:rsidRPr="00304E78">
        <w:rPr>
          <w:rFonts w:ascii="Times New Roman" w:hAnsi="Times New Roman" w:cs="Times New Roman"/>
          <w:sz w:val="24"/>
          <w:szCs w:val="24"/>
        </w:rPr>
        <w:t xml:space="preserve">conditional distribution which signify the distribution functions </w:t>
      </w:r>
      <w:proofErr w:type="spellStart"/>
      <w:proofErr w:type="gramStart"/>
      <w:r w:rsidRPr="00304E78">
        <w:rPr>
          <w:rFonts w:ascii="Times New Roman" w:hAnsi="Times New Roman" w:cs="Times New Roman"/>
          <w:i/>
          <w:iCs/>
          <w:sz w:val="24"/>
          <w:szCs w:val="24"/>
        </w:rPr>
        <w:t>y</w:t>
      </w:r>
      <w:r w:rsidRPr="00304E78">
        <w:rPr>
          <w:rFonts w:ascii="Times New Roman" w:hAnsi="Times New Roman" w:cs="Times New Roman"/>
          <w:i/>
          <w:iCs/>
          <w:sz w:val="24"/>
          <w:szCs w:val="24"/>
          <w:vertAlign w:val="subscript"/>
        </w:rPr>
        <w:t>t</w:t>
      </w:r>
      <w:proofErr w:type="spellEnd"/>
      <w:proofErr w:type="gramEnd"/>
      <w:r w:rsidRPr="00304E78">
        <w:rPr>
          <w:rFonts w:ascii="Times New Roman" w:hAnsi="Times New Roman" w:cs="Times New Roman"/>
          <w:sz w:val="24"/>
          <w:szCs w:val="24"/>
        </w:rPr>
        <w:t xml:space="preserve"> conditioned on vectors</w:t>
      </w:r>
      <w:r w:rsidRPr="00304E78">
        <w:rPr>
          <w:rFonts w:ascii="Times New Roman" w:hAnsi="Times New Roman" w:cs="Times New Roman"/>
          <w:position w:val="-12"/>
          <w:sz w:val="24"/>
          <w:szCs w:val="24"/>
        </w:rPr>
        <w:object w:dxaOrig="380" w:dyaOrig="360" w14:anchorId="3CE57AE9">
          <v:shape id="_x0000_i1041" type="#_x0000_t75" style="width:21.9pt;height:23.15pt" o:ole="">
            <v:imagedata r:id="rId49" o:title=""/>
          </v:shape>
          <o:OLEObject Type="Embed" ProgID="Equation.3" ShapeID="_x0000_i1041" DrawAspect="Content" ObjectID="_1706534141" r:id="rId50"/>
        </w:object>
      </w:r>
      <w:r w:rsidRPr="00304E78">
        <w:rPr>
          <w:rFonts w:ascii="Times New Roman" w:hAnsi="Times New Roman" w:cs="Times New Roman"/>
          <w:sz w:val="24"/>
          <w:szCs w:val="24"/>
        </w:rPr>
        <w:t xml:space="preserve"> and</w:t>
      </w:r>
      <w:r w:rsidRPr="00304E78">
        <w:rPr>
          <w:rFonts w:ascii="Times New Roman" w:hAnsi="Times New Roman" w:cs="Times New Roman"/>
          <w:position w:val="-12"/>
          <w:sz w:val="24"/>
          <w:szCs w:val="24"/>
        </w:rPr>
        <w:object w:dxaOrig="460" w:dyaOrig="360" w14:anchorId="4AA91356">
          <v:shape id="_x0000_i1042" type="#_x0000_t75" style="width:20.05pt;height:23.15pt" o:ole="">
            <v:imagedata r:id="rId51" o:title=""/>
          </v:shape>
          <o:OLEObject Type="Embed" ProgID="Equation.3" ShapeID="_x0000_i1042" DrawAspect="Content" ObjectID="_1706534142" r:id="rId52"/>
        </w:object>
      </w:r>
      <w:r w:rsidRPr="00304E78">
        <w:rPr>
          <w:rFonts w:ascii="Times New Roman" w:hAnsi="Times New Roman" w:cs="Times New Roman"/>
          <w:sz w:val="24"/>
          <w:szCs w:val="24"/>
        </w:rPr>
        <w:t xml:space="preserve">respectively. The </w:t>
      </w:r>
      <w:r w:rsidRPr="00304E78">
        <w:rPr>
          <w:rFonts w:ascii="Times New Roman" w:hAnsi="Times New Roman" w:cs="Times New Roman"/>
          <w:position w:val="-12"/>
          <w:sz w:val="24"/>
          <w:szCs w:val="24"/>
        </w:rPr>
        <w:object w:dxaOrig="1820" w:dyaOrig="360" w14:anchorId="5357AA26">
          <v:shape id="_x0000_i1043" type="#_x0000_t75" style="width:92.05pt;height:23.15pt" o:ole="">
            <v:imagedata r:id="rId53" o:title=""/>
          </v:shape>
          <o:OLEObject Type="Embed" ProgID="Equation.3" ShapeID="_x0000_i1043" DrawAspect="Content" ObjectID="_1706534143" r:id="rId54"/>
        </w:object>
      </w:r>
      <w:r w:rsidRPr="00304E78">
        <w:rPr>
          <w:rFonts w:ascii="Times New Roman" w:hAnsi="Times New Roman" w:cs="Times New Roman"/>
          <w:sz w:val="24"/>
          <w:szCs w:val="24"/>
        </w:rPr>
        <w:t xml:space="preserve"> is supposed to be entirely continuous in </w:t>
      </w:r>
      <w:r w:rsidRPr="00304E78">
        <w:rPr>
          <w:rFonts w:ascii="Times New Roman" w:hAnsi="Times New Roman" w:cs="Times New Roman"/>
          <w:position w:val="-12"/>
          <w:sz w:val="24"/>
          <w:szCs w:val="24"/>
        </w:rPr>
        <w:object w:dxaOrig="260" w:dyaOrig="360" w14:anchorId="652760D3">
          <v:shape id="_x0000_i1044" type="#_x0000_t75" style="width:14.4pt;height:23.15pt" o:ole="">
            <v:imagedata r:id="rId55" o:title=""/>
          </v:shape>
          <o:OLEObject Type="Embed" ProgID="Equation.3" ShapeID="_x0000_i1044" DrawAspect="Content" ObjectID="_1706534144" r:id="rId56"/>
        </w:object>
      </w:r>
      <w:r w:rsidRPr="00304E78">
        <w:rPr>
          <w:rFonts w:ascii="Times New Roman" w:hAnsi="Times New Roman" w:cs="Times New Roman"/>
          <w:sz w:val="24"/>
          <w:szCs w:val="24"/>
        </w:rPr>
        <w:t xml:space="preserve"> for nearly all </w:t>
      </w:r>
      <w:r w:rsidRPr="00304E78">
        <w:rPr>
          <w:rFonts w:ascii="Times New Roman" w:hAnsi="Times New Roman" w:cs="Times New Roman"/>
          <w:position w:val="-12"/>
          <w:sz w:val="24"/>
          <w:szCs w:val="24"/>
        </w:rPr>
        <w:object w:dxaOrig="420" w:dyaOrig="360" w14:anchorId="32BA6382">
          <v:shape id="_x0000_i1045" type="#_x0000_t75" style="width:21.9pt;height:23.15pt" o:ole="">
            <v:imagedata r:id="rId57" o:title=""/>
          </v:shape>
          <o:OLEObject Type="Embed" ProgID="Equation.3" ShapeID="_x0000_i1045" DrawAspect="Content" ObjectID="_1706534145" r:id="rId58"/>
        </w:object>
      </w:r>
    </w:p>
    <w:p w14:paraId="4DFCFEEE"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By denoting </w:t>
      </w:r>
      <w:r w:rsidRPr="00304E78">
        <w:rPr>
          <w:rFonts w:ascii="Times New Roman" w:hAnsi="Times New Roman" w:cs="Times New Roman"/>
          <w:position w:val="-12"/>
          <w:sz w:val="24"/>
          <w:szCs w:val="24"/>
        </w:rPr>
        <w:object w:dxaOrig="2460" w:dyaOrig="360" w14:anchorId="3388386F">
          <v:shape id="_x0000_i1046" type="#_x0000_t75" style="width:123.95pt;height:23.15pt" o:ole="">
            <v:imagedata r:id="rId59" o:title=""/>
          </v:shape>
          <o:OLEObject Type="Embed" ProgID="Equation.3" ShapeID="_x0000_i1046" DrawAspect="Content" ObjectID="_1706534146" r:id="rId60"/>
        </w:object>
      </w:r>
      <w:r w:rsidRPr="00304E78">
        <w:rPr>
          <w:rFonts w:ascii="Times New Roman" w:hAnsi="Times New Roman" w:cs="Times New Roman"/>
          <w:sz w:val="24"/>
          <w:szCs w:val="24"/>
        </w:rPr>
        <w:t>and</w:t>
      </w:r>
      <w:r w:rsidRPr="00304E78">
        <w:rPr>
          <w:rFonts w:ascii="Times New Roman" w:hAnsi="Times New Roman" w:cs="Times New Roman"/>
          <w:position w:val="-12"/>
          <w:sz w:val="24"/>
          <w:szCs w:val="24"/>
        </w:rPr>
        <w:object w:dxaOrig="2420" w:dyaOrig="360" w14:anchorId="0BE9DBBC">
          <v:shape id="_x0000_i1047" type="#_x0000_t75" style="width:123.95pt;height:23.15pt" o:ole="">
            <v:imagedata r:id="rId61" o:title=""/>
          </v:shape>
          <o:OLEObject Type="Embed" ProgID="Equation.3" ShapeID="_x0000_i1047" DrawAspect="Content" ObjectID="_1706534147" r:id="rId62"/>
        </w:object>
      </w:r>
      <w:r>
        <w:rPr>
          <w:rFonts w:ascii="Times New Roman" w:hAnsi="Times New Roman" w:cs="Times New Roman"/>
          <w:sz w:val="24"/>
          <w:szCs w:val="24"/>
        </w:rPr>
        <w:t xml:space="preserve">we </w:t>
      </w:r>
      <w:r w:rsidRPr="00304E78">
        <w:rPr>
          <w:rFonts w:ascii="Times New Roman" w:hAnsi="Times New Roman" w:cs="Times New Roman"/>
          <w:sz w:val="24"/>
          <w:szCs w:val="24"/>
        </w:rPr>
        <w:t xml:space="preserve">construct </w:t>
      </w:r>
      <w:r w:rsidRPr="00304E78">
        <w:rPr>
          <w:rFonts w:ascii="Times New Roman" w:hAnsi="Times New Roman" w:cs="Times New Roman"/>
          <w:position w:val="-12"/>
          <w:sz w:val="24"/>
          <w:szCs w:val="24"/>
        </w:rPr>
        <w:object w:dxaOrig="2780" w:dyaOrig="360" w14:anchorId="259F73DF">
          <v:shape id="_x0000_i1048" type="#_x0000_t75" style="width:135.85pt;height:23.15pt" o:ole="">
            <v:imagedata r:id="rId63" o:title=""/>
          </v:shape>
          <o:OLEObject Type="Embed" ProgID="Equation.3" ShapeID="_x0000_i1048" DrawAspect="Content" ObjectID="_1706534148" r:id="rId64"/>
        </w:object>
      </w:r>
      <w:r w:rsidRPr="00304E78">
        <w:rPr>
          <w:rFonts w:ascii="Times New Roman" w:hAnsi="Times New Roman" w:cs="Times New Roman"/>
          <w:sz w:val="24"/>
          <w:szCs w:val="24"/>
        </w:rPr>
        <w:t xml:space="preserve"> </w:t>
      </w:r>
      <w:r>
        <w:rPr>
          <w:rFonts w:ascii="Times New Roman" w:hAnsi="Times New Roman" w:cs="Times New Roman"/>
          <w:sz w:val="24"/>
          <w:szCs w:val="24"/>
        </w:rPr>
        <w:t>having a</w:t>
      </w:r>
      <w:r w:rsidRPr="00304E78">
        <w:rPr>
          <w:rFonts w:ascii="Times New Roman" w:hAnsi="Times New Roman" w:cs="Times New Roman"/>
          <w:sz w:val="24"/>
          <w:szCs w:val="24"/>
        </w:rPr>
        <w:t xml:space="preserve"> probability </w:t>
      </w:r>
      <w:r>
        <w:rPr>
          <w:rFonts w:ascii="Times New Roman" w:hAnsi="Times New Roman" w:cs="Times New Roman"/>
          <w:sz w:val="24"/>
          <w:szCs w:val="24"/>
        </w:rPr>
        <w:t>of</w:t>
      </w:r>
      <w:r w:rsidRPr="00304E78">
        <w:rPr>
          <w:rFonts w:ascii="Times New Roman" w:hAnsi="Times New Roman" w:cs="Times New Roman"/>
          <w:sz w:val="24"/>
          <w:szCs w:val="24"/>
        </w:rPr>
        <w:t xml:space="preserve"> one. </w:t>
      </w:r>
      <w:r>
        <w:rPr>
          <w:rFonts w:ascii="Times New Roman" w:hAnsi="Times New Roman" w:cs="Times New Roman"/>
          <w:sz w:val="24"/>
          <w:szCs w:val="24"/>
        </w:rPr>
        <w:t xml:space="preserve">Thus, the hypotheses that need to be tested are mentioned below and are developed based on the </w:t>
      </w:r>
      <w:r w:rsidRPr="00304E78">
        <w:rPr>
          <w:rFonts w:ascii="Times New Roman" w:hAnsi="Times New Roman" w:cs="Times New Roman"/>
          <w:sz w:val="24"/>
          <w:szCs w:val="24"/>
        </w:rPr>
        <w:t>equation</w:t>
      </w:r>
      <w:r>
        <w:rPr>
          <w:rFonts w:ascii="Times New Roman" w:hAnsi="Times New Roman" w:cs="Times New Roman"/>
          <w:sz w:val="24"/>
          <w:szCs w:val="24"/>
        </w:rPr>
        <w:t>s</w:t>
      </w:r>
      <w:r w:rsidRPr="00304E78">
        <w:rPr>
          <w:rFonts w:ascii="Times New Roman" w:hAnsi="Times New Roman" w:cs="Times New Roman"/>
          <w:sz w:val="24"/>
          <w:szCs w:val="24"/>
        </w:rPr>
        <w:t xml:space="preserve"> (1) and (2</w:t>
      </w:r>
      <w:r>
        <w:rPr>
          <w:rFonts w:ascii="Times New Roman" w:hAnsi="Times New Roman" w:cs="Times New Roman"/>
          <w:sz w:val="24"/>
          <w:szCs w:val="24"/>
        </w:rPr>
        <w:t>).</w:t>
      </w:r>
    </w:p>
    <w:p w14:paraId="7DCCCEA4"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4E78">
        <w:rPr>
          <w:rFonts w:ascii="Times New Roman" w:hAnsi="Times New Roman" w:cs="Times New Roman"/>
          <w:sz w:val="24"/>
          <w:szCs w:val="24"/>
        </w:rPr>
        <w:t xml:space="preserve">  </w:t>
      </w:r>
      <w:r w:rsidRPr="00304E78">
        <w:rPr>
          <w:rFonts w:ascii="Times New Roman" w:hAnsi="Times New Roman" w:cs="Times New Roman"/>
          <w:sz w:val="24"/>
          <w:szCs w:val="24"/>
        </w:rPr>
        <w:object w:dxaOrig="3940" w:dyaOrig="360" w14:anchorId="712CEACE">
          <v:shape id="_x0000_i1049" type="#_x0000_t75" style="width:195.95pt;height:18.15pt" o:ole="">
            <v:imagedata r:id="rId65" o:title=""/>
          </v:shape>
          <o:OLEObject Type="Embed" ProgID="Equation.3" ShapeID="_x0000_i1049" DrawAspect="Content" ObjectID="_1706534149" r:id="rId66"/>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04E78">
        <w:rPr>
          <w:rFonts w:ascii="Times New Roman" w:hAnsi="Times New Roman" w:cs="Times New Roman"/>
          <w:sz w:val="24"/>
          <w:szCs w:val="24"/>
        </w:rPr>
        <w:t xml:space="preserve"> </w:t>
      </w:r>
      <m:oMath>
        <m:r>
          <w:rPr>
            <w:rFonts w:ascii="Cambria Math" w:hAnsi="Cambria Math" w:cs="Times New Roman"/>
            <w:sz w:val="24"/>
            <w:szCs w:val="24"/>
          </w:rPr>
          <m:t xml:space="preserve">   </m:t>
        </m:r>
        <m:r>
          <m:rPr>
            <m:nor/>
          </m:rPr>
          <w:rPr>
            <w:rFonts w:ascii="Times New Roman" w:hAnsi="Times New Roman" w:cs="Times New Roman"/>
            <w:sz w:val="24"/>
            <w:szCs w:val="24"/>
          </w:rPr>
          <m:t>(3)</m:t>
        </m:r>
      </m:oMath>
    </w:p>
    <w:p w14:paraId="35207625"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           </w:t>
      </w:r>
      <w:r w:rsidRPr="00304E78">
        <w:rPr>
          <w:rFonts w:ascii="Times New Roman" w:hAnsi="Times New Roman" w:cs="Times New Roman"/>
          <w:sz w:val="24"/>
          <w:szCs w:val="24"/>
        </w:rPr>
        <w:object w:dxaOrig="3900" w:dyaOrig="360" w14:anchorId="6338D4E6">
          <v:shape id="_x0000_i1050" type="#_x0000_t75" style="width:195.95pt;height:16.3pt" o:ole="">
            <v:imagedata r:id="rId67" o:title=""/>
          </v:shape>
          <o:OLEObject Type="Embed" ProgID="Equation.3" ShapeID="_x0000_i1050" DrawAspect="Content" ObjectID="_1706534150" r:id="rId68"/>
        </w:object>
      </w:r>
      <m:oMath>
        <m:r>
          <w:rPr>
            <w:rFonts w:ascii="Cambria Math" w:hAnsi="Cambria Math" w:cs="Times New Roman"/>
            <w:sz w:val="24"/>
            <w:szCs w:val="24"/>
          </w:rPr>
          <m:t xml:space="preserve">                                                                     </m:t>
        </m:r>
        <m:r>
          <m:rPr>
            <m:nor/>
          </m:rPr>
          <w:rPr>
            <w:rFonts w:ascii="Times New Roman" w:hAnsi="Times New Roman" w:cs="Times New Roman"/>
            <w:sz w:val="24"/>
            <w:szCs w:val="24"/>
          </w:rPr>
          <m:t>(4)</m:t>
        </m:r>
      </m:oMath>
    </w:p>
    <w:p w14:paraId="396139FD" w14:textId="77777777" w:rsidR="000B72B4" w:rsidRPr="00D5389F" w:rsidRDefault="000B72B4" w:rsidP="00736327">
      <w:pPr>
        <w:spacing w:line="360" w:lineRule="auto"/>
        <w:ind w:firstLine="360"/>
        <w:jc w:val="both"/>
      </w:pPr>
      <w:r>
        <w:rPr>
          <w:rFonts w:ascii="Times New Roman" w:hAnsi="Times New Roman" w:cs="Times New Roman"/>
          <w:sz w:val="24"/>
          <w:szCs w:val="24"/>
        </w:rPr>
        <w:lastRenderedPageBreak/>
        <w:t xml:space="preserve">As argued by </w:t>
      </w:r>
      <w:proofErr w:type="spellStart"/>
      <w:r w:rsidRPr="00A81C95">
        <w:rPr>
          <w:rFonts w:ascii="Times New Roman" w:hAnsi="Times New Roman" w:cs="Times New Roman"/>
          <w:sz w:val="24"/>
          <w:szCs w:val="24"/>
        </w:rPr>
        <w:t>Jeong</w:t>
      </w:r>
      <w:proofErr w:type="spellEnd"/>
      <w:r w:rsidRPr="00A81C95">
        <w:rPr>
          <w:rFonts w:ascii="Times New Roman" w:hAnsi="Times New Roman" w:cs="Times New Roman"/>
          <w:sz w:val="24"/>
          <w:szCs w:val="24"/>
        </w:rPr>
        <w:t xml:space="preserve"> et al. (2012)</w:t>
      </w:r>
      <w:r>
        <w:rPr>
          <w:rFonts w:ascii="Times New Roman" w:hAnsi="Times New Roman" w:cs="Times New Roman"/>
          <w:sz w:val="24"/>
          <w:szCs w:val="24"/>
        </w:rPr>
        <w:t xml:space="preserve">, </w:t>
      </w:r>
      <w:r w:rsidRPr="00304E78">
        <w:rPr>
          <w:rFonts w:ascii="Times New Roman" w:hAnsi="Times New Roman" w:cs="Times New Roman"/>
          <w:position w:val="-12"/>
          <w:sz w:val="24"/>
          <w:szCs w:val="24"/>
        </w:rPr>
        <w:object w:dxaOrig="2620" w:dyaOrig="360" w14:anchorId="164C6355">
          <v:shape id="_x0000_i1051" type="#_x0000_t75" style="width:129.6pt;height:23.15pt" o:ole="">
            <v:imagedata r:id="rId69" o:title=""/>
          </v:shape>
          <o:OLEObject Type="Embed" ProgID="Equation.3" ShapeID="_x0000_i1051" DrawAspect="Content" ObjectID="_1706534151" r:id="rId70"/>
        </w:object>
      </w:r>
      <w:r>
        <w:rPr>
          <w:rFonts w:ascii="Times New Roman" w:hAnsi="Times New Roman" w:cs="Times New Roman"/>
          <w:sz w:val="24"/>
          <w:szCs w:val="24"/>
        </w:rPr>
        <w:t xml:space="preserve">is used to measure the distance, where </w:t>
      </w:r>
      <w:r w:rsidRPr="00304E78">
        <w:rPr>
          <w:rFonts w:ascii="Times New Roman" w:hAnsi="Times New Roman" w:cs="Times New Roman"/>
          <w:position w:val="-12"/>
          <w:sz w:val="24"/>
          <w:szCs w:val="24"/>
        </w:rPr>
        <w:object w:dxaOrig="260" w:dyaOrig="360" w14:anchorId="0B8B7D50">
          <v:shape id="_x0000_i1052" type="#_x0000_t75" style="width:14.4pt;height:23.15pt" o:ole="">
            <v:imagedata r:id="rId71" o:title=""/>
          </v:shape>
          <o:OLEObject Type="Embed" ProgID="Equation.3" ShapeID="_x0000_i1052" DrawAspect="Content" ObjectID="_1706534152" r:id="rId72"/>
        </w:object>
      </w:r>
      <w:r>
        <w:rPr>
          <w:rFonts w:ascii="Times New Roman" w:hAnsi="Times New Roman" w:cs="Times New Roman"/>
          <w:sz w:val="24"/>
          <w:szCs w:val="24"/>
        </w:rPr>
        <w:t xml:space="preserve">shows the </w:t>
      </w:r>
      <w:r w:rsidRPr="004C514F">
        <w:rPr>
          <w:rFonts w:ascii="Times New Roman" w:hAnsi="Times New Roman" w:cs="Times New Roman"/>
          <w:sz w:val="24"/>
          <w:szCs w:val="24"/>
        </w:rPr>
        <w:t>error</w:t>
      </w:r>
      <w:r>
        <w:rPr>
          <w:rFonts w:ascii="Times New Roman" w:hAnsi="Times New Roman" w:cs="Times New Roman"/>
          <w:sz w:val="24"/>
          <w:szCs w:val="24"/>
        </w:rPr>
        <w:t xml:space="preserve"> and the function of marginal density </w:t>
      </w:r>
      <w:r w:rsidRPr="00304E78">
        <w:rPr>
          <w:rFonts w:ascii="Times New Roman" w:hAnsi="Times New Roman" w:cs="Times New Roman"/>
          <w:i/>
          <w:iCs/>
          <w:sz w:val="24"/>
          <w:szCs w:val="24"/>
        </w:rPr>
        <w:t>Zt</w:t>
      </w:r>
      <w:r w:rsidRPr="00304E78">
        <w:rPr>
          <w:rFonts w:ascii="Times New Roman" w:hAnsi="Times New Roman" w:cs="Times New Roman"/>
          <w:sz w:val="24"/>
          <w:szCs w:val="24"/>
        </w:rPr>
        <w:t>−1</w:t>
      </w:r>
      <w:r>
        <w:rPr>
          <w:rFonts w:ascii="Times New Roman" w:hAnsi="Times New Roman" w:cs="Times New Roman"/>
          <w:sz w:val="24"/>
          <w:szCs w:val="24"/>
        </w:rPr>
        <w:t xml:space="preserve"> </w:t>
      </w:r>
      <w:r w:rsidRPr="00304E78">
        <w:rPr>
          <w:rFonts w:ascii="Times New Roman" w:hAnsi="Times New Roman" w:cs="Times New Roman"/>
          <w:sz w:val="24"/>
          <w:szCs w:val="24"/>
        </w:rPr>
        <w:t xml:space="preserve">is shown </w:t>
      </w:r>
      <w:proofErr w:type="gramStart"/>
      <w:r w:rsidRPr="00304E78">
        <w:rPr>
          <w:rFonts w:ascii="Times New Roman" w:hAnsi="Times New Roman" w:cs="Times New Roman"/>
          <w:sz w:val="24"/>
          <w:szCs w:val="24"/>
        </w:rPr>
        <w:t xml:space="preserve">by </w:t>
      </w:r>
      <w:proofErr w:type="gramEnd"/>
      <w:r w:rsidRPr="00304E78">
        <w:rPr>
          <w:rFonts w:ascii="Times New Roman" w:hAnsi="Times New Roman" w:cs="Times New Roman"/>
          <w:position w:val="-12"/>
          <w:sz w:val="24"/>
          <w:szCs w:val="24"/>
        </w:rPr>
        <w:object w:dxaOrig="859" w:dyaOrig="360" w14:anchorId="015319D8">
          <v:shape id="_x0000_i1053" type="#_x0000_t75" style="width:44.45pt;height:23.15pt" o:ole="">
            <v:imagedata r:id="rId73" o:title=""/>
          </v:shape>
          <o:OLEObject Type="Embed" ProgID="Equation.3" ShapeID="_x0000_i1053" DrawAspect="Content" ObjectID="_1706534153" r:id="rId74"/>
        </w:object>
      </w:r>
      <w:r>
        <w:rPr>
          <w:rFonts w:ascii="Times New Roman" w:hAnsi="Times New Roman" w:cs="Times New Roman"/>
          <w:sz w:val="24"/>
          <w:szCs w:val="24"/>
        </w:rPr>
        <w:t xml:space="preserve">. The null hypothesis displayed in equation 3 holds correct if </w:t>
      </w:r>
      <w:r w:rsidRPr="00304E78">
        <w:rPr>
          <w:rFonts w:ascii="Times New Roman" w:hAnsi="Times New Roman" w:cs="Times New Roman"/>
          <w:position w:val="-12"/>
          <w:sz w:val="24"/>
          <w:szCs w:val="24"/>
        </w:rPr>
        <w:object w:dxaOrig="2659" w:dyaOrig="360" w14:anchorId="6C131449">
          <v:shape id="_x0000_i1054" type="#_x0000_t75" style="width:136.5pt;height:23.15pt" o:ole="">
            <v:imagedata r:id="rId75" o:title=""/>
          </v:shape>
          <o:OLEObject Type="Embed" ProgID="Equation.3" ShapeID="_x0000_i1054" DrawAspect="Content" ObjectID="_1706534154" r:id="rId76"/>
        </w:object>
      </w:r>
      <w:r w:rsidRPr="00304E78">
        <w:rPr>
          <w:rFonts w:ascii="Times New Roman" w:hAnsi="Times New Roman" w:cs="Times New Roman"/>
          <w:sz w:val="24"/>
          <w:szCs w:val="24"/>
        </w:rPr>
        <w:t xml:space="preserve">or </w:t>
      </w:r>
      <w:r w:rsidRPr="00304E78">
        <w:rPr>
          <w:rFonts w:ascii="Times New Roman" w:hAnsi="Times New Roman" w:cs="Times New Roman"/>
          <w:position w:val="-12"/>
          <w:sz w:val="24"/>
          <w:szCs w:val="24"/>
        </w:rPr>
        <w:object w:dxaOrig="2439" w:dyaOrig="360" w14:anchorId="32FE23CA">
          <v:shape id="_x0000_i1055" type="#_x0000_t75" style="width:123.95pt;height:23.15pt" o:ole="">
            <v:imagedata r:id="rId77" o:title=""/>
          </v:shape>
          <o:OLEObject Type="Embed" ProgID="Equation.3" ShapeID="_x0000_i1055" DrawAspect="Content" ObjectID="_1706534155" r:id="rId78"/>
        </w:object>
      </w:r>
      <w:r w:rsidRPr="00304E78">
        <w:rPr>
          <w:rFonts w:ascii="Times New Roman" w:hAnsi="Times New Roman" w:cs="Times New Roman"/>
          <w:sz w:val="24"/>
          <w:szCs w:val="24"/>
        </w:rPr>
        <w:t xml:space="preserve"> where </w:t>
      </w:r>
      <w:r w:rsidRPr="00304E78">
        <w:rPr>
          <w:rFonts w:ascii="Times New Roman" w:hAnsi="Times New Roman" w:cs="Times New Roman"/>
          <w:bCs/>
          <w:iCs/>
          <w:sz w:val="24"/>
          <w:szCs w:val="24"/>
        </w:rPr>
        <w:t>1</w:t>
      </w:r>
      <w:r w:rsidRPr="00304E78">
        <w:rPr>
          <w:rFonts w:ascii="Times New Roman" w:hAnsi="Times New Roman" w:cs="Times New Roman"/>
          <w:sz w:val="24"/>
          <w:szCs w:val="24"/>
        </w:rPr>
        <w:t>{∙}</w:t>
      </w:r>
      <w:r>
        <w:rPr>
          <w:rFonts w:ascii="Times New Roman" w:hAnsi="Times New Roman" w:cs="Times New Roman"/>
          <w:sz w:val="24"/>
          <w:szCs w:val="24"/>
        </w:rPr>
        <w:t xml:space="preserve"> displays the </w:t>
      </w:r>
      <w:r w:rsidRPr="00304E78">
        <w:rPr>
          <w:rFonts w:ascii="Times New Roman" w:hAnsi="Times New Roman" w:cs="Times New Roman"/>
          <w:sz w:val="24"/>
          <w:szCs w:val="24"/>
        </w:rPr>
        <w:t>indicator function</w:t>
      </w:r>
      <w:r>
        <w:rPr>
          <w:rFonts w:ascii="Times New Roman" w:hAnsi="Times New Roman" w:cs="Times New Roman"/>
          <w:sz w:val="24"/>
          <w:szCs w:val="24"/>
        </w:rPr>
        <w:t xml:space="preserve">. The </w:t>
      </w:r>
      <w:proofErr w:type="spellStart"/>
      <w:r w:rsidRPr="00304E78">
        <w:rPr>
          <w:rFonts w:ascii="Times New Roman" w:hAnsi="Times New Roman" w:cs="Times New Roman"/>
          <w:sz w:val="24"/>
          <w:szCs w:val="24"/>
        </w:rPr>
        <w:t>Jeong</w:t>
      </w:r>
      <w:proofErr w:type="spellEnd"/>
      <w:r w:rsidRPr="00304E78">
        <w:rPr>
          <w:rFonts w:ascii="Times New Roman" w:hAnsi="Times New Roman" w:cs="Times New Roman"/>
          <w:sz w:val="24"/>
          <w:szCs w:val="24"/>
        </w:rPr>
        <w:t xml:space="preserve"> et al., (2012)</w:t>
      </w:r>
      <w:r>
        <w:rPr>
          <w:rFonts w:ascii="Times New Roman" w:hAnsi="Times New Roman" w:cs="Times New Roman"/>
          <w:sz w:val="24"/>
          <w:szCs w:val="24"/>
        </w:rPr>
        <w:t xml:space="preserve"> </w:t>
      </w:r>
      <w:r w:rsidRPr="00D5389F">
        <w:rPr>
          <w:rFonts w:ascii="Times New Roman" w:hAnsi="Times New Roman" w:cs="Times New Roman"/>
          <w:sz w:val="24"/>
          <w:szCs w:val="24"/>
        </w:rPr>
        <w:t>distance function is explained below:</w:t>
      </w:r>
    </w:p>
    <w:p w14:paraId="61FA82DD"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4320" w:dyaOrig="400" w14:anchorId="5AAFD7B8">
          <v:shape id="_x0000_i1056" type="#_x0000_t75" style="width:3in;height:23.15pt" o:ole="">
            <v:imagedata r:id="rId79" o:title=""/>
          </v:shape>
          <o:OLEObject Type="Embed" ProgID="Equation.3" ShapeID="_x0000_i1056" DrawAspect="Content" ObjectID="_1706534156" r:id="rId80"/>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Pr>
          <w:rFonts w:ascii="Times New Roman" w:hAnsi="Times New Roman" w:cs="Times New Roman"/>
          <w:sz w:val="24"/>
          <w:szCs w:val="24"/>
        </w:rPr>
        <w:t xml:space="preserve">                        </w:t>
      </w:r>
      <w:r w:rsidRPr="00304E78">
        <w:rPr>
          <w:rFonts w:ascii="Times New Roman" w:hAnsi="Times New Roman" w:cs="Times New Roman"/>
          <w:sz w:val="24"/>
          <w:szCs w:val="24"/>
        </w:rPr>
        <w:t>(5)</w:t>
      </w:r>
    </w:p>
    <w:p w14:paraId="627B3DF6"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br/>
        <w:t>Thus, in equation 5, a feasible kernel-based causality in-quantiles test statistic for the fixed θ</w:t>
      </w:r>
      <w:r>
        <w:rPr>
          <w:rFonts w:ascii="Times New Roman" w:hAnsi="Times New Roman" w:cs="Times New Roman"/>
          <w:sz w:val="24"/>
          <w:szCs w:val="24"/>
        </w:rPr>
        <w:t>-</w:t>
      </w:r>
      <w:r w:rsidRPr="00304E78">
        <w:rPr>
          <w:rFonts w:ascii="Times New Roman" w:hAnsi="Times New Roman" w:cs="Times New Roman"/>
          <w:sz w:val="24"/>
          <w:szCs w:val="24"/>
        </w:rPr>
        <w:t xml:space="preserve">quantile </w:t>
      </w:r>
      <w:r>
        <w:rPr>
          <w:rFonts w:ascii="Times New Roman" w:hAnsi="Times New Roman" w:cs="Times New Roman"/>
          <w:sz w:val="24"/>
          <w:szCs w:val="24"/>
        </w:rPr>
        <w:t>is explained</w:t>
      </w:r>
      <w:r w:rsidRPr="00304E78">
        <w:rPr>
          <w:rFonts w:ascii="Times New Roman" w:hAnsi="Times New Roman" w:cs="Times New Roman"/>
          <w:sz w:val="24"/>
          <w:szCs w:val="24"/>
        </w:rPr>
        <w:t xml:space="preserve"> as:</w:t>
      </w:r>
    </w:p>
    <w:p w14:paraId="2D04F2DD" w14:textId="77777777" w:rsidR="000B72B4" w:rsidRPr="00304E78" w:rsidRDefault="00734526"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object w:dxaOrig="1440" w:dyaOrig="1440" w14:anchorId="26F397CB">
          <v:shape id="_x0000_s1026" type="#_x0000_t75" style="position:absolute;left:0;text-align:left;margin-left:31.2pt;margin-top:4.7pt;width:229.9pt;height:36.65pt;z-index:251656704">
            <v:imagedata r:id="rId81" o:title=""/>
            <w10:wrap type="square" side="right"/>
          </v:shape>
          <o:OLEObject Type="Embed" ProgID="Equation.3" ShapeID="_x0000_s1026" DrawAspect="Content" ObjectID="_1706534172" r:id="rId82"/>
        </w:object>
      </w:r>
    </w:p>
    <w:p w14:paraId="31E5E2BA" w14:textId="77777777" w:rsidR="000B72B4" w:rsidRPr="00304E78" w:rsidRDefault="000B72B4"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304E78">
        <w:rPr>
          <w:rFonts w:ascii="Times New Roman" w:hAnsi="Times New Roman" w:cs="Times New Roman"/>
          <w:sz w:val="24"/>
          <w:szCs w:val="24"/>
        </w:rPr>
        <w:t>(6)</w:t>
      </w:r>
    </w:p>
    <w:p w14:paraId="5B37B643" w14:textId="77777777" w:rsidR="000B72B4" w:rsidRPr="00304E78" w:rsidRDefault="000B72B4" w:rsidP="00736327">
      <w:pPr>
        <w:spacing w:line="360" w:lineRule="auto"/>
        <w:ind w:firstLine="360"/>
        <w:jc w:val="both"/>
        <w:rPr>
          <w:rFonts w:ascii="Times New Roman" w:hAnsi="Times New Roman" w:cs="Times New Roman"/>
          <w:sz w:val="24"/>
          <w:szCs w:val="24"/>
        </w:rPr>
      </w:pPr>
    </w:p>
    <w:p w14:paraId="03580721" w14:textId="31F00241"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Where, bandwidth is symbolize by </w:t>
      </w:r>
      <w:r w:rsidRPr="00304E78">
        <w:rPr>
          <w:rFonts w:ascii="Times New Roman" w:hAnsi="Times New Roman" w:cs="Times New Roman"/>
          <w:position w:val="-10"/>
          <w:sz w:val="24"/>
          <w:szCs w:val="24"/>
        </w:rPr>
        <w:object w:dxaOrig="260" w:dyaOrig="320" w14:anchorId="6A131A70">
          <v:shape id="_x0000_i1057" type="#_x0000_t75" style="width:14.4pt;height:14.4pt" o:ole="">
            <v:imagedata r:id="rId83" o:title=""/>
          </v:shape>
          <o:OLEObject Type="Embed" ProgID="Equation.3" ShapeID="_x0000_i1057" DrawAspect="Content" ObjectID="_1706534157" r:id="rId84"/>
        </w:object>
      </w:r>
      <w:r w:rsidRPr="00304E78">
        <w:rPr>
          <w:rFonts w:ascii="Times New Roman" w:hAnsi="Times New Roman" w:cs="Times New Roman"/>
          <w:sz w:val="24"/>
          <w:szCs w:val="24"/>
        </w:rPr>
        <w:t xml:space="preserve">sample size is symbolize </w:t>
      </w:r>
      <w:proofErr w:type="gramStart"/>
      <w:r w:rsidRPr="00304E78">
        <w:rPr>
          <w:rFonts w:ascii="Times New Roman" w:hAnsi="Times New Roman" w:cs="Times New Roman"/>
          <w:sz w:val="24"/>
          <w:szCs w:val="24"/>
        </w:rPr>
        <w:t xml:space="preserve">by </w:t>
      </w:r>
      <w:proofErr w:type="gramEnd"/>
      <w:r w:rsidRPr="00304E78">
        <w:rPr>
          <w:rFonts w:ascii="Times New Roman" w:hAnsi="Times New Roman" w:cs="Times New Roman"/>
          <w:position w:val="-6"/>
          <w:sz w:val="24"/>
          <w:szCs w:val="24"/>
        </w:rPr>
        <w:object w:dxaOrig="139" w:dyaOrig="240" w14:anchorId="79EA36C4">
          <v:shape id="_x0000_i1058" type="#_x0000_t75" style="width:6.9pt;height:14.4pt" o:ole="">
            <v:imagedata r:id="rId85" o:title=""/>
          </v:shape>
          <o:OLEObject Type="Embed" ProgID="Equation.3" ShapeID="_x0000_i1058" DrawAspect="Content" ObjectID="_1706534158" r:id="rId86"/>
        </w:object>
      </w:r>
      <w:r w:rsidRPr="00304E78">
        <w:rPr>
          <w:rFonts w:ascii="Times New Roman" w:hAnsi="Times New Roman" w:cs="Times New Roman"/>
          <w:sz w:val="24"/>
          <w:szCs w:val="24"/>
        </w:rPr>
        <w:t xml:space="preserve">, kernel function is </w:t>
      </w:r>
      <w:r>
        <w:rPr>
          <w:rFonts w:ascii="Times New Roman" w:hAnsi="Times New Roman" w:cs="Times New Roman"/>
          <w:sz w:val="24"/>
          <w:szCs w:val="24"/>
        </w:rPr>
        <w:t xml:space="preserve">symbolize </w:t>
      </w:r>
      <w:r w:rsidRPr="00304E78">
        <w:rPr>
          <w:rFonts w:ascii="Times New Roman" w:hAnsi="Times New Roman" w:cs="Times New Roman"/>
          <w:sz w:val="24"/>
          <w:szCs w:val="24"/>
        </w:rPr>
        <w:t xml:space="preserve">by </w:t>
      </w:r>
      <w:r w:rsidRPr="00304E78">
        <w:rPr>
          <w:rFonts w:ascii="Times New Roman" w:hAnsi="Times New Roman" w:cs="Times New Roman"/>
          <w:position w:val="-10"/>
          <w:sz w:val="24"/>
          <w:szCs w:val="24"/>
        </w:rPr>
        <w:object w:dxaOrig="540" w:dyaOrig="320" w14:anchorId="2943F59D">
          <v:shape id="_x0000_i1059" type="#_x0000_t75" style="width:27.55pt;height:14.4pt" o:ole="">
            <v:imagedata r:id="rId87" o:title=""/>
          </v:shape>
          <o:OLEObject Type="Embed" ProgID="Equation.3" ShapeID="_x0000_i1059" DrawAspect="Content" ObjectID="_1706534159" r:id="rId88"/>
        </w:object>
      </w:r>
      <w:r w:rsidRPr="00304E78">
        <w:rPr>
          <w:rFonts w:ascii="Times New Roman" w:hAnsi="Times New Roman" w:cs="Times New Roman"/>
          <w:sz w:val="24"/>
          <w:szCs w:val="24"/>
        </w:rPr>
        <w:t xml:space="preserve"> lag order is </w:t>
      </w:r>
      <w:r>
        <w:rPr>
          <w:rFonts w:ascii="Times New Roman" w:hAnsi="Times New Roman" w:cs="Times New Roman"/>
          <w:sz w:val="24"/>
          <w:szCs w:val="24"/>
        </w:rPr>
        <w:t>symbolize by</w:t>
      </w:r>
      <w:r w:rsidRPr="00304E78">
        <w:rPr>
          <w:rFonts w:ascii="Times New Roman" w:hAnsi="Times New Roman" w:cs="Times New Roman"/>
          <w:position w:val="-10"/>
          <w:sz w:val="24"/>
          <w:szCs w:val="24"/>
        </w:rPr>
        <w:object w:dxaOrig="240" w:dyaOrig="260" w14:anchorId="2F325DFB">
          <v:shape id="_x0000_i1060" type="#_x0000_t75" style="width:14.4pt;height:14.4pt" o:ole="">
            <v:imagedata r:id="rId89" o:title=""/>
          </v:shape>
          <o:OLEObject Type="Embed" ProgID="Equation.3" ShapeID="_x0000_i1060" DrawAspect="Content" ObjectID="_1706534160" r:id="rId90"/>
        </w:object>
      </w:r>
      <w:r w:rsidRPr="00304E78">
        <w:rPr>
          <w:rFonts w:ascii="Times New Roman" w:hAnsi="Times New Roman" w:cs="Times New Roman"/>
          <w:sz w:val="24"/>
          <w:szCs w:val="24"/>
        </w:rPr>
        <w:t xml:space="preserve"> </w:t>
      </w:r>
      <w:r w:rsidR="003E54B7">
        <w:rPr>
          <w:rFonts w:ascii="Times New Roman" w:hAnsi="Times New Roman" w:cs="Times New Roman"/>
          <w:sz w:val="24"/>
          <w:szCs w:val="24"/>
        </w:rPr>
        <w:t>. T</w:t>
      </w:r>
      <w:r w:rsidRPr="00304E78">
        <w:rPr>
          <w:rFonts w:ascii="Times New Roman" w:hAnsi="Times New Roman" w:cs="Times New Roman"/>
          <w:sz w:val="24"/>
          <w:szCs w:val="24"/>
        </w:rPr>
        <w:t xml:space="preserve">he unknown regression error is symbolize by </w:t>
      </w:r>
      <w:r w:rsidRPr="00304E78">
        <w:rPr>
          <w:rFonts w:ascii="Times New Roman" w:hAnsi="Times New Roman" w:cs="Times New Roman"/>
          <w:position w:val="-12"/>
          <w:sz w:val="24"/>
          <w:szCs w:val="24"/>
        </w:rPr>
        <w:object w:dxaOrig="240" w:dyaOrig="360" w14:anchorId="3A4C26C6">
          <v:shape id="_x0000_i1061" type="#_x0000_t75" style="width:14.4pt;height:23.15pt" o:ole="">
            <v:imagedata r:id="rId91" o:title=""/>
          </v:shape>
          <o:OLEObject Type="Embed" ProgID="Equation.3" ShapeID="_x0000_i1061" DrawAspect="Content" ObjectID="_1706534161" r:id="rId92"/>
        </w:object>
      </w:r>
      <w:r w:rsidRPr="00304E78">
        <w:rPr>
          <w:rFonts w:ascii="Times New Roman" w:hAnsi="Times New Roman" w:cs="Times New Roman"/>
          <w:sz w:val="24"/>
          <w:szCs w:val="24"/>
        </w:rPr>
        <w:t xml:space="preserve"> </w:t>
      </w:r>
      <w:r>
        <w:rPr>
          <w:rFonts w:ascii="Times New Roman" w:hAnsi="Times New Roman" w:cs="Times New Roman"/>
          <w:sz w:val="24"/>
          <w:szCs w:val="24"/>
        </w:rPr>
        <w:t>and are</w:t>
      </w:r>
      <w:r w:rsidRPr="00304E78">
        <w:rPr>
          <w:rFonts w:ascii="Times New Roman" w:hAnsi="Times New Roman" w:cs="Times New Roman"/>
          <w:sz w:val="24"/>
          <w:szCs w:val="24"/>
        </w:rPr>
        <w:t xml:space="preserve"> calculated as:</w:t>
      </w:r>
    </w:p>
    <w:p w14:paraId="631627D8" w14:textId="77777777" w:rsidR="000B72B4" w:rsidRPr="00304E78" w:rsidRDefault="00734526"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object w:dxaOrig="1440" w:dyaOrig="1440" w14:anchorId="16784370">
          <v:shape id="_x0000_s1027" type="#_x0000_t75" style="position:absolute;left:0;text-align:left;margin-left:49.8pt;margin-top:10.05pt;width:124.85pt;height:19.8pt;z-index:251657728">
            <v:imagedata r:id="rId93" o:title=""/>
            <w10:wrap type="square" side="right"/>
          </v:shape>
          <o:OLEObject Type="Embed" ProgID="Equation.3" ShapeID="_x0000_s1027" DrawAspect="Content" ObjectID="_1706534173" r:id="rId94"/>
        </w:object>
      </w:r>
    </w:p>
    <w:p w14:paraId="640385C6" w14:textId="77777777" w:rsidR="000B72B4" w:rsidRDefault="000B72B4"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04E78">
        <w:rPr>
          <w:rFonts w:ascii="Times New Roman" w:hAnsi="Times New Roman" w:cs="Times New Roman"/>
          <w:sz w:val="24"/>
          <w:szCs w:val="24"/>
        </w:rPr>
        <w:t>(7)</w:t>
      </w:r>
    </w:p>
    <w:p w14:paraId="762FE3E1" w14:textId="77777777" w:rsidR="000B72B4" w:rsidRPr="00304E78" w:rsidRDefault="000B72B4" w:rsidP="007363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4E78">
        <w:rPr>
          <w:rFonts w:ascii="Times New Roman" w:hAnsi="Times New Roman" w:cs="Times New Roman"/>
          <w:iCs/>
          <w:sz w:val="24"/>
          <w:szCs w:val="24"/>
        </w:rPr>
        <w:t>Where,</w:t>
      </w:r>
      <w:r w:rsidRPr="00304E78">
        <w:rPr>
          <w:rFonts w:ascii="Times New Roman" w:hAnsi="Times New Roman" w:cs="Times New Roman"/>
          <w:i/>
          <w:iCs/>
          <w:sz w:val="24"/>
          <w:szCs w:val="24"/>
        </w:rPr>
        <w:t xml:space="preserve"> </w:t>
      </w:r>
      <w:r w:rsidRPr="00304E78">
        <w:rPr>
          <w:rFonts w:ascii="Times New Roman" w:hAnsi="Times New Roman" w:cs="Times New Roman"/>
          <w:sz w:val="24"/>
          <w:szCs w:val="24"/>
        </w:rPr>
        <w:object w:dxaOrig="915" w:dyaOrig="405" w14:anchorId="1EBFDA6F">
          <v:shape id="_x0000_i1062" type="#_x0000_t75" style="width:44.45pt;height:21.9pt" o:ole="">
            <v:imagedata r:id="rId95" o:title=""/>
          </v:shape>
          <o:OLEObject Type="Embed" ProgID="Equation.3" ShapeID="_x0000_i1062" DrawAspect="Content" ObjectID="_1706534162" r:id="rId96"/>
        </w:object>
      </w:r>
      <w:r w:rsidRPr="00304E78">
        <w:rPr>
          <w:rFonts w:ascii="Times New Roman" w:hAnsi="Times New Roman" w:cs="Times New Roman"/>
          <w:sz w:val="24"/>
          <w:szCs w:val="24"/>
        </w:rPr>
        <w:t xml:space="preserve"> calculate the </w:t>
      </w:r>
      <w:r w:rsidRPr="00304E78">
        <w:rPr>
          <w:rFonts w:ascii="Times New Roman" w:hAnsi="Times New Roman" w:cs="Times New Roman"/>
          <w:sz w:val="24"/>
          <w:szCs w:val="24"/>
        </w:rPr>
        <w:object w:dxaOrig="620" w:dyaOrig="279" w14:anchorId="412B9763">
          <v:shape id="_x0000_i1063" type="#_x0000_t75" style="width:27.55pt;height:14.4pt" o:ole="">
            <v:imagedata r:id="rId97" o:title=""/>
          </v:shape>
          <o:OLEObject Type="Embed" ProgID="Equation.3" ShapeID="_x0000_i1063" DrawAspect="Content" ObjectID="_1706534163" r:id="rId98"/>
        </w:object>
      </w:r>
      <w:r w:rsidRPr="00304E78">
        <w:rPr>
          <w:rFonts w:ascii="Times New Roman" w:hAnsi="Times New Roman" w:cs="Times New Roman"/>
          <w:sz w:val="24"/>
          <w:szCs w:val="24"/>
        </w:rPr>
        <w:t xml:space="preserve"> conditional quantile of </w:t>
      </w:r>
      <w:r w:rsidRPr="00304E78">
        <w:rPr>
          <w:rFonts w:ascii="Times New Roman" w:hAnsi="Times New Roman" w:cs="Times New Roman"/>
          <w:position w:val="-12"/>
          <w:sz w:val="24"/>
          <w:szCs w:val="24"/>
        </w:rPr>
        <w:object w:dxaOrig="260" w:dyaOrig="360" w14:anchorId="405B7A3F">
          <v:shape id="_x0000_i1064" type="#_x0000_t75" style="width:14.4pt;height:23.15pt" o:ole="">
            <v:imagedata r:id="rId99" o:title=""/>
          </v:shape>
          <o:OLEObject Type="Embed" ProgID="Equation.3" ShapeID="_x0000_i1064" DrawAspect="Content" ObjectID="_1706534164" r:id="rId100"/>
        </w:object>
      </w:r>
      <w:r>
        <w:rPr>
          <w:rFonts w:ascii="Times New Roman" w:hAnsi="Times New Roman" w:cs="Times New Roman"/>
          <w:sz w:val="24"/>
          <w:szCs w:val="24"/>
        </w:rPr>
        <w:t xml:space="preserve">given </w:t>
      </w:r>
      <w:r w:rsidRPr="00304E78">
        <w:rPr>
          <w:rFonts w:ascii="Times New Roman" w:hAnsi="Times New Roman" w:cs="Times New Roman"/>
          <w:position w:val="-12"/>
          <w:sz w:val="24"/>
          <w:szCs w:val="24"/>
        </w:rPr>
        <w:object w:dxaOrig="400" w:dyaOrig="360" w14:anchorId="106D8F18">
          <v:shape id="_x0000_i1065" type="#_x0000_t75" style="width:23.15pt;height:23.15pt" o:ole="">
            <v:imagedata r:id="rId101" o:title=""/>
          </v:shape>
          <o:OLEObject Type="Embed" ProgID="Equation.3" ShapeID="_x0000_i1065" DrawAspect="Content" ObjectID="_1706534165" r:id="rId102"/>
        </w:object>
      </w:r>
      <w:r>
        <w:rPr>
          <w:rFonts w:ascii="Times New Roman" w:hAnsi="Times New Roman" w:cs="Times New Roman"/>
          <w:sz w:val="24"/>
          <w:szCs w:val="24"/>
        </w:rPr>
        <w:t xml:space="preserve"> and </w:t>
      </w:r>
      <w:r w:rsidRPr="00304E78">
        <w:rPr>
          <w:rFonts w:ascii="Times New Roman" w:hAnsi="Times New Roman" w:cs="Times New Roman"/>
          <w:position w:val="-12"/>
          <w:sz w:val="24"/>
          <w:szCs w:val="24"/>
        </w:rPr>
        <w:object w:dxaOrig="940" w:dyaOrig="400" w14:anchorId="561734C7">
          <v:shape id="_x0000_i1066" type="#_x0000_t75" style="width:44.45pt;height:23.15pt" o:ole="">
            <v:imagedata r:id="rId103" o:title=""/>
          </v:shape>
          <o:OLEObject Type="Embed" ProgID="Equation.3" ShapeID="_x0000_i1066" DrawAspect="Content" ObjectID="_1706534166" r:id="rId104"/>
        </w:object>
      </w:r>
      <w:r w:rsidRPr="00304E78">
        <w:rPr>
          <w:rFonts w:ascii="Times New Roman" w:hAnsi="Times New Roman" w:cs="Times New Roman"/>
          <w:sz w:val="24"/>
          <w:szCs w:val="24"/>
        </w:rPr>
        <w:t xml:space="preserve"> is </w:t>
      </w:r>
      <w:r w:rsidRPr="00033D9B">
        <w:rPr>
          <w:rFonts w:ascii="Times New Roman" w:hAnsi="Times New Roman" w:cs="Times New Roman"/>
          <w:sz w:val="24"/>
          <w:szCs w:val="24"/>
        </w:rPr>
        <w:t>calculated through the nonparametric kernel</w:t>
      </w:r>
      <w:r w:rsidRPr="00304E78">
        <w:rPr>
          <w:rFonts w:ascii="Times New Roman" w:hAnsi="Times New Roman" w:cs="Times New Roman"/>
          <w:sz w:val="24"/>
          <w:szCs w:val="24"/>
        </w:rPr>
        <w:t xml:space="preserve"> approach</w:t>
      </w:r>
      <w:r>
        <w:rPr>
          <w:rFonts w:ascii="Times New Roman" w:hAnsi="Times New Roman" w:cs="Times New Roman"/>
          <w:sz w:val="24"/>
          <w:szCs w:val="24"/>
        </w:rPr>
        <w:t xml:space="preserve"> mentioned below</w:t>
      </w:r>
      <w:r w:rsidRPr="00304E78">
        <w:rPr>
          <w:rFonts w:ascii="Times New Roman" w:hAnsi="Times New Roman" w:cs="Times New Roman"/>
          <w:sz w:val="24"/>
          <w:szCs w:val="24"/>
        </w:rPr>
        <w:t>:</w:t>
      </w:r>
    </w:p>
    <w:p w14:paraId="26461E9C" w14:textId="77777777" w:rsidR="000B72B4" w:rsidRPr="00304E78" w:rsidRDefault="00734526"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object w:dxaOrig="1440" w:dyaOrig="1440" w14:anchorId="5350A4D0">
          <v:shape id="_x0000_s1028" type="#_x0000_t75" style="position:absolute;left:0;text-align:left;margin-left:40.8pt;margin-top:10.1pt;width:117.95pt;height:20.8pt;z-index:251658752">
            <v:imagedata r:id="rId105" o:title=""/>
            <w10:wrap type="square" side="right"/>
          </v:shape>
          <o:OLEObject Type="Embed" ProgID="Equation.3" ShapeID="_x0000_s1028" DrawAspect="Content" ObjectID="_1706534174" r:id="rId106"/>
        </w:object>
      </w:r>
    </w:p>
    <w:p w14:paraId="6B11017D" w14:textId="77777777" w:rsidR="000B72B4" w:rsidRPr="00304E78" w:rsidRDefault="000B72B4" w:rsidP="00736327">
      <w:pPr>
        <w:spacing w:line="360" w:lineRule="auto"/>
        <w:ind w:left="7920"/>
        <w:jc w:val="both"/>
        <w:rPr>
          <w:rFonts w:ascii="Times New Roman" w:hAnsi="Times New Roman" w:cs="Times New Roman"/>
          <w:sz w:val="24"/>
          <w:szCs w:val="24"/>
        </w:rPr>
      </w:pPr>
      <w:r>
        <w:rPr>
          <w:rFonts w:ascii="Times New Roman" w:hAnsi="Times New Roman" w:cs="Times New Roman"/>
          <w:sz w:val="24"/>
          <w:szCs w:val="24"/>
        </w:rPr>
        <w:t xml:space="preserve">           </w:t>
      </w:r>
      <w:r w:rsidRPr="00304E78">
        <w:rPr>
          <w:rFonts w:ascii="Times New Roman" w:hAnsi="Times New Roman" w:cs="Times New Roman"/>
          <w:sz w:val="24"/>
          <w:szCs w:val="24"/>
        </w:rPr>
        <w:t>(8)</w:t>
      </w:r>
    </w:p>
    <w:p w14:paraId="067308CE"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Where </w:t>
      </w:r>
      <w:r w:rsidRPr="00304E78">
        <w:rPr>
          <w:rFonts w:ascii="Times New Roman" w:hAnsi="Times New Roman" w:cs="Times New Roman"/>
          <w:sz w:val="24"/>
          <w:szCs w:val="24"/>
        </w:rPr>
        <w:object w:dxaOrig="1400" w:dyaOrig="420" w14:anchorId="57CF9654">
          <v:shape id="_x0000_i1067" type="#_x0000_t75" style="width:1in;height:21.9pt" o:ole="">
            <v:imagedata r:id="rId107" o:title=""/>
          </v:shape>
          <o:OLEObject Type="Embed" ProgID="Equation.3" ShapeID="_x0000_i1067" DrawAspect="Content" ObjectID="_1706534167" r:id="rId108"/>
        </w:object>
      </w:r>
      <w:r>
        <w:rPr>
          <w:rFonts w:ascii="Times New Roman" w:hAnsi="Times New Roman" w:cs="Times New Roman"/>
          <w:sz w:val="24"/>
          <w:szCs w:val="24"/>
        </w:rPr>
        <w:t>described</w:t>
      </w:r>
      <w:r w:rsidRPr="00304E78">
        <w:rPr>
          <w:rFonts w:ascii="Times New Roman" w:hAnsi="Times New Roman" w:cs="Times New Roman"/>
          <w:sz w:val="24"/>
          <w:szCs w:val="24"/>
        </w:rPr>
        <w:t xml:space="preserve"> as:</w:t>
      </w:r>
    </w:p>
    <w:p w14:paraId="06258C00" w14:textId="77777777" w:rsidR="000B72B4" w:rsidRPr="00304E78" w:rsidRDefault="000B72B4" w:rsidP="00736327">
      <w:pPr>
        <w:spacing w:line="360" w:lineRule="auto"/>
        <w:ind w:firstLine="360"/>
        <w:jc w:val="both"/>
        <w:rPr>
          <w:rFonts w:ascii="Times New Roman" w:hAnsi="Times New Roman" w:cs="Times New Roman"/>
          <w:sz w:val="24"/>
          <w:szCs w:val="24"/>
        </w:rPr>
      </w:pPr>
    </w:p>
    <w:p w14:paraId="69788236"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4845" w:dyaOrig="1395" w14:anchorId="51C6FB64">
          <v:shape id="_x0000_i1068" type="#_x0000_t75" style="width:246.05pt;height:1in" o:ole="">
            <v:imagedata r:id="rId109" o:title=""/>
          </v:shape>
          <o:OLEObject Type="Embed" ProgID="Equation.3" ShapeID="_x0000_i1068" DrawAspect="Content" ObjectID="_1706534168" r:id="rId110"/>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Pr>
          <w:rFonts w:ascii="Times New Roman" w:hAnsi="Times New Roman" w:cs="Times New Roman"/>
          <w:sz w:val="24"/>
          <w:szCs w:val="24"/>
        </w:rPr>
        <w:t xml:space="preserve">            </w:t>
      </w:r>
      <w:r w:rsidRPr="00304E78">
        <w:rPr>
          <w:rFonts w:ascii="Times New Roman" w:hAnsi="Times New Roman" w:cs="Times New Roman"/>
          <w:sz w:val="24"/>
          <w:szCs w:val="24"/>
        </w:rPr>
        <w:t>(9)</w:t>
      </w:r>
    </w:p>
    <w:p w14:paraId="4F2843E2" w14:textId="77777777" w:rsidR="000B72B4" w:rsidRPr="00304E78" w:rsidRDefault="000B72B4" w:rsidP="00736327">
      <w:pPr>
        <w:spacing w:line="360" w:lineRule="auto"/>
        <w:ind w:firstLine="360"/>
        <w:jc w:val="both"/>
        <w:rPr>
          <w:rFonts w:ascii="Times New Roman" w:hAnsi="Times New Roman" w:cs="Times New Roman"/>
          <w:sz w:val="24"/>
          <w:szCs w:val="24"/>
        </w:rPr>
      </w:pPr>
    </w:p>
    <w:p w14:paraId="56C10F04" w14:textId="347A2FB4" w:rsidR="000B72B4" w:rsidRDefault="000B72B4"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equation 9, the kernel function and </w:t>
      </w:r>
      <w:r w:rsidR="003E54B7">
        <w:rPr>
          <w:rFonts w:ascii="Times New Roman" w:hAnsi="Times New Roman" w:cs="Times New Roman"/>
          <w:sz w:val="24"/>
          <w:szCs w:val="24"/>
        </w:rPr>
        <w:t>bandwidth are symbolized</w:t>
      </w:r>
      <w:r w:rsidRPr="00304E78">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304E78">
        <w:rPr>
          <w:rFonts w:ascii="Times New Roman" w:hAnsi="Times New Roman" w:cs="Times New Roman"/>
          <w:i/>
          <w:iCs/>
          <w:sz w:val="24"/>
          <w:szCs w:val="24"/>
        </w:rPr>
        <w:t xml:space="preserve">L </w:t>
      </w:r>
      <w:r w:rsidRPr="00304E78">
        <w:rPr>
          <w:rFonts w:ascii="Times New Roman" w:hAnsi="Times New Roman" w:cs="Times New Roman"/>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h </w:t>
      </w:r>
      <w:r w:rsidRPr="000402F9">
        <w:rPr>
          <w:rFonts w:ascii="Times New Roman" w:hAnsi="Times New Roman" w:cs="Times New Roman"/>
          <w:iCs/>
          <w:sz w:val="24"/>
          <w:szCs w:val="24"/>
        </w:rPr>
        <w:t>respectively</w:t>
      </w:r>
      <w:r w:rsidRPr="000402F9">
        <w:rPr>
          <w:rFonts w:ascii="Times New Roman" w:hAnsi="Times New Roman" w:cs="Times New Roman"/>
          <w:sz w:val="24"/>
          <w:szCs w:val="24"/>
        </w:rPr>
        <w:t>.</w:t>
      </w:r>
    </w:p>
    <w:p w14:paraId="4769E518" w14:textId="77777777" w:rsidR="000B72B4" w:rsidRPr="00304E78" w:rsidRDefault="000B72B4" w:rsidP="00736327">
      <w:pPr>
        <w:spacing w:line="360" w:lineRule="auto"/>
        <w:ind w:firstLine="360"/>
        <w:jc w:val="both"/>
        <w:rPr>
          <w:rFonts w:ascii="Times New Roman" w:hAnsi="Times New Roman" w:cs="Times New Roman"/>
          <w:sz w:val="24"/>
          <w:szCs w:val="24"/>
        </w:rPr>
      </w:pPr>
      <w:proofErr w:type="spellStart"/>
      <w:r w:rsidRPr="00FB3C11">
        <w:rPr>
          <w:rFonts w:ascii="Times New Roman" w:hAnsi="Times New Roman" w:cs="Times New Roman"/>
          <w:sz w:val="24"/>
          <w:szCs w:val="24"/>
        </w:rPr>
        <w:t>Balcilar</w:t>
      </w:r>
      <w:proofErr w:type="spellEnd"/>
      <w:r w:rsidRPr="00FB3C11">
        <w:rPr>
          <w:rFonts w:ascii="Times New Roman" w:hAnsi="Times New Roman" w:cs="Times New Roman"/>
          <w:sz w:val="24"/>
          <w:szCs w:val="24"/>
        </w:rPr>
        <w:t xml:space="preserve"> et al.</w:t>
      </w:r>
      <w:r>
        <w:rPr>
          <w:rFonts w:ascii="Times New Roman" w:hAnsi="Times New Roman" w:cs="Times New Roman"/>
          <w:sz w:val="24"/>
          <w:szCs w:val="24"/>
        </w:rPr>
        <w:t xml:space="preserve"> (2016) </w:t>
      </w:r>
      <w:r w:rsidRPr="00FB3C11">
        <w:rPr>
          <w:rFonts w:ascii="Times New Roman" w:hAnsi="Times New Roman" w:cs="Times New Roman"/>
          <w:sz w:val="24"/>
          <w:szCs w:val="24"/>
        </w:rPr>
        <w:t>develop the 2nd moment caus</w:t>
      </w:r>
      <w:r>
        <w:rPr>
          <w:rFonts w:ascii="Times New Roman" w:hAnsi="Times New Roman" w:cs="Times New Roman"/>
          <w:sz w:val="24"/>
          <w:szCs w:val="24"/>
        </w:rPr>
        <w:t xml:space="preserve">ality </w:t>
      </w:r>
      <w:r w:rsidRPr="00FB3C11">
        <w:rPr>
          <w:rFonts w:ascii="Times New Roman" w:hAnsi="Times New Roman" w:cs="Times New Roman"/>
          <w:sz w:val="24"/>
          <w:szCs w:val="24"/>
        </w:rPr>
        <w:t xml:space="preserve">test by expanding </w:t>
      </w:r>
      <w:proofErr w:type="spellStart"/>
      <w:r w:rsidRPr="00FB3C11">
        <w:rPr>
          <w:rFonts w:ascii="Times New Roman" w:hAnsi="Times New Roman" w:cs="Times New Roman"/>
          <w:sz w:val="24"/>
          <w:szCs w:val="24"/>
        </w:rPr>
        <w:t>Jeong</w:t>
      </w:r>
      <w:proofErr w:type="spellEnd"/>
      <w:r w:rsidRPr="00FB3C11">
        <w:rPr>
          <w:rFonts w:ascii="Times New Roman" w:hAnsi="Times New Roman" w:cs="Times New Roman"/>
          <w:sz w:val="24"/>
          <w:szCs w:val="24"/>
        </w:rPr>
        <w:t xml:space="preserve"> et al</w:t>
      </w:r>
      <w:r>
        <w:rPr>
          <w:rFonts w:ascii="Times New Roman" w:hAnsi="Times New Roman" w:cs="Times New Roman"/>
          <w:sz w:val="24"/>
          <w:szCs w:val="24"/>
        </w:rPr>
        <w:t xml:space="preserve"> (2012) </w:t>
      </w:r>
      <w:r w:rsidRPr="00FB3C11">
        <w:rPr>
          <w:rFonts w:ascii="Times New Roman" w:hAnsi="Times New Roman" w:cs="Times New Roman"/>
          <w:sz w:val="24"/>
          <w:szCs w:val="24"/>
        </w:rPr>
        <w:t>work</w:t>
      </w:r>
      <w:r>
        <w:rPr>
          <w:rFonts w:ascii="Times New Roman" w:hAnsi="Times New Roman" w:cs="Times New Roman"/>
          <w:sz w:val="24"/>
          <w:szCs w:val="24"/>
        </w:rPr>
        <w:t>. Therefore</w:t>
      </w:r>
      <w:r w:rsidRPr="00FB3C11">
        <w:rPr>
          <w:rFonts w:ascii="Times New Roman" w:hAnsi="Times New Roman" w:cs="Times New Roman"/>
          <w:sz w:val="24"/>
          <w:szCs w:val="24"/>
        </w:rPr>
        <w:t xml:space="preserve">, the </w:t>
      </w:r>
      <w:proofErr w:type="spellStart"/>
      <w:r w:rsidRPr="00FB3C11">
        <w:rPr>
          <w:rFonts w:ascii="Times New Roman" w:hAnsi="Times New Roman" w:cs="Times New Roman"/>
          <w:sz w:val="24"/>
          <w:szCs w:val="24"/>
        </w:rPr>
        <w:t>Nishiyama</w:t>
      </w:r>
      <w:proofErr w:type="spellEnd"/>
      <w:r w:rsidRPr="00FB3C11">
        <w:rPr>
          <w:rFonts w:ascii="Times New Roman" w:hAnsi="Times New Roman" w:cs="Times New Roman"/>
          <w:sz w:val="24"/>
          <w:szCs w:val="24"/>
        </w:rPr>
        <w:t xml:space="preserve"> et al. (2011) causality in quantiles methodology is used to investigate ca</w:t>
      </w:r>
      <w:r>
        <w:rPr>
          <w:rFonts w:ascii="Times New Roman" w:hAnsi="Times New Roman" w:cs="Times New Roman"/>
          <w:sz w:val="24"/>
          <w:szCs w:val="24"/>
        </w:rPr>
        <w:t>usality in higher order moments. Thus, equation 10 and equation 11 explains the</w:t>
      </w:r>
      <w:r w:rsidRPr="00304E78">
        <w:rPr>
          <w:rFonts w:ascii="Times New Roman" w:hAnsi="Times New Roman" w:cs="Times New Roman"/>
          <w:sz w:val="24"/>
          <w:szCs w:val="24"/>
        </w:rPr>
        <w:t xml:space="preserve"> causality-in higher order quantiles </w:t>
      </w:r>
      <w:r>
        <w:rPr>
          <w:rFonts w:ascii="Times New Roman" w:hAnsi="Times New Roman" w:cs="Times New Roman"/>
          <w:sz w:val="24"/>
          <w:szCs w:val="24"/>
        </w:rPr>
        <w:t>and are mentioned below:</w:t>
      </w:r>
    </w:p>
    <w:p w14:paraId="44869EFD"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5640" w:dyaOrig="400" w14:anchorId="59A7143A">
          <v:shape id="_x0000_i1069" type="#_x0000_t75" style="width:283.6pt;height:20.05pt" o:ole="">
            <v:imagedata r:id="rId111" o:title=""/>
          </v:shape>
          <o:OLEObject Type="Embed" ProgID="Equation.3" ShapeID="_x0000_i1069" DrawAspect="Content" ObjectID="_1706534169" r:id="rId112"/>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Pr>
          <w:rFonts w:ascii="Times New Roman" w:hAnsi="Times New Roman" w:cs="Times New Roman"/>
          <w:sz w:val="24"/>
          <w:szCs w:val="24"/>
        </w:rPr>
        <w:t xml:space="preserve">          </w:t>
      </w:r>
      <w:r w:rsidRPr="00304E78">
        <w:rPr>
          <w:rFonts w:ascii="Times New Roman" w:hAnsi="Times New Roman" w:cs="Times New Roman"/>
          <w:sz w:val="24"/>
          <w:szCs w:val="24"/>
        </w:rPr>
        <w:t>(10)</w:t>
      </w:r>
    </w:p>
    <w:p w14:paraId="7B8E1E82" w14:textId="77777777" w:rsidR="000B72B4" w:rsidRPr="00304E78"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object w:dxaOrig="5600" w:dyaOrig="400" w14:anchorId="79BFDA4C">
          <v:shape id="_x0000_i1070" type="#_x0000_t75" style="width:281.1pt;height:20.05pt" o:ole="">
            <v:imagedata r:id="rId113" o:title=""/>
          </v:shape>
          <o:OLEObject Type="Embed" ProgID="Equation.3" ShapeID="_x0000_i1070" DrawAspect="Content" ObjectID="_1706534170" r:id="rId114"/>
        </w:object>
      </w:r>
      <w:r w:rsidRPr="00304E78">
        <w:rPr>
          <w:rFonts w:ascii="Times New Roman" w:hAnsi="Times New Roman" w:cs="Times New Roman"/>
          <w:sz w:val="24"/>
          <w:szCs w:val="24"/>
        </w:rPr>
        <w:tab/>
      </w:r>
      <w:r w:rsidRPr="00304E78">
        <w:rPr>
          <w:rFonts w:ascii="Times New Roman" w:hAnsi="Times New Roman" w:cs="Times New Roman"/>
          <w:sz w:val="24"/>
          <w:szCs w:val="24"/>
        </w:rPr>
        <w:tab/>
      </w:r>
      <w:r w:rsidRPr="00304E78">
        <w:rPr>
          <w:rFonts w:ascii="Times New Roman" w:hAnsi="Times New Roman" w:cs="Times New Roman"/>
          <w:sz w:val="24"/>
          <w:szCs w:val="24"/>
        </w:rPr>
        <w:tab/>
      </w:r>
      <w:r>
        <w:rPr>
          <w:rFonts w:ascii="Times New Roman" w:hAnsi="Times New Roman" w:cs="Times New Roman"/>
          <w:sz w:val="24"/>
          <w:szCs w:val="24"/>
        </w:rPr>
        <w:t xml:space="preserve">          </w:t>
      </w:r>
      <w:r w:rsidRPr="00304E78">
        <w:rPr>
          <w:rFonts w:ascii="Times New Roman" w:hAnsi="Times New Roman" w:cs="Times New Roman"/>
          <w:sz w:val="24"/>
          <w:szCs w:val="24"/>
        </w:rPr>
        <w:t>(11)</w:t>
      </w:r>
    </w:p>
    <w:p w14:paraId="13FB8EC9" w14:textId="77777777" w:rsidR="003E54B7" w:rsidRDefault="000B72B4" w:rsidP="00736327">
      <w:pPr>
        <w:spacing w:line="360" w:lineRule="auto"/>
        <w:ind w:firstLine="360"/>
        <w:jc w:val="both"/>
        <w:rPr>
          <w:rFonts w:ascii="Times New Roman" w:hAnsi="Times New Roman" w:cs="Times New Roman"/>
          <w:sz w:val="24"/>
          <w:szCs w:val="24"/>
        </w:rPr>
      </w:pPr>
      <w:r w:rsidRPr="00304E78">
        <w:rPr>
          <w:rFonts w:ascii="Times New Roman" w:hAnsi="Times New Roman" w:cs="Times New Roman"/>
          <w:sz w:val="24"/>
          <w:szCs w:val="24"/>
        </w:rPr>
        <w:t xml:space="preserve">The whole concept can be summed up as, we indicated that </w:t>
      </w:r>
      <w:proofErr w:type="spellStart"/>
      <w:r w:rsidRPr="00304E78">
        <w:rPr>
          <w:rFonts w:ascii="Times New Roman" w:hAnsi="Times New Roman" w:cs="Times New Roman"/>
          <w:sz w:val="24"/>
          <w:szCs w:val="24"/>
        </w:rPr>
        <w:t>x</w:t>
      </w:r>
      <w:r w:rsidRPr="00CB6E9F">
        <w:rPr>
          <w:rFonts w:ascii="Times New Roman" w:hAnsi="Times New Roman" w:cs="Times New Roman"/>
          <w:sz w:val="24"/>
          <w:szCs w:val="24"/>
          <w:vertAlign w:val="subscript"/>
        </w:rPr>
        <w:t>t</w:t>
      </w:r>
      <w:proofErr w:type="spellEnd"/>
      <w:r w:rsidRPr="00304E78">
        <w:rPr>
          <w:rFonts w:ascii="Times New Roman" w:hAnsi="Times New Roman" w:cs="Times New Roman"/>
          <w:sz w:val="24"/>
          <w:szCs w:val="24"/>
        </w:rPr>
        <w:t xml:space="preserve"> </w:t>
      </w:r>
      <w:r>
        <w:rPr>
          <w:rFonts w:ascii="Times New Roman" w:hAnsi="Times New Roman" w:cs="Times New Roman"/>
          <w:sz w:val="24"/>
          <w:szCs w:val="24"/>
        </w:rPr>
        <w:t>leads</w:t>
      </w:r>
      <w:r w:rsidRPr="00304E78">
        <w:rPr>
          <w:rFonts w:ascii="Times New Roman" w:hAnsi="Times New Roman" w:cs="Times New Roman"/>
          <w:position w:val="-12"/>
          <w:sz w:val="24"/>
          <w:szCs w:val="24"/>
        </w:rPr>
        <w:object w:dxaOrig="260" w:dyaOrig="360" w14:anchorId="50267EA8">
          <v:shape id="_x0000_i1071" type="#_x0000_t75" style="width:11.9pt;height:18.15pt" o:ole="">
            <v:imagedata r:id="rId115" o:title=""/>
          </v:shape>
          <o:OLEObject Type="Embed" ProgID="Equation.3" ShapeID="_x0000_i1071" DrawAspect="Content" ObjectID="_1706534171" r:id="rId116"/>
        </w:object>
      </w:r>
      <w:r>
        <w:rPr>
          <w:rFonts w:ascii="Times New Roman" w:hAnsi="Times New Roman" w:cs="Times New Roman"/>
          <w:sz w:val="24"/>
          <w:szCs w:val="24"/>
        </w:rPr>
        <w:t xml:space="preserve"> </w:t>
      </w:r>
      <w:r w:rsidRPr="00304E78">
        <w:rPr>
          <w:rFonts w:ascii="Times New Roman" w:hAnsi="Times New Roman" w:cs="Times New Roman"/>
          <w:sz w:val="24"/>
          <w:szCs w:val="24"/>
        </w:rPr>
        <w:t xml:space="preserve">in the </w:t>
      </w:r>
      <m:oMath>
        <m:r>
          <w:rPr>
            <w:rFonts w:ascii="Cambria Math" w:hAnsi="Cambria Math" w:cs="Times New Roman"/>
            <w:sz w:val="24"/>
            <w:szCs w:val="24"/>
          </w:rPr>
          <m:t>θth quantile</m:t>
        </m:r>
      </m:oMath>
      <w:r w:rsidRPr="00304E78">
        <w:rPr>
          <w:rFonts w:ascii="Times New Roman" w:hAnsi="Times New Roman" w:cs="Times New Roman"/>
          <w:sz w:val="24"/>
          <w:szCs w:val="24"/>
        </w:rPr>
        <w:t xml:space="preserve"> up to </w:t>
      </w:r>
      <m:oMath>
        <m:r>
          <w:rPr>
            <w:rFonts w:ascii="Cambria Math" w:hAnsi="Cambria Math" w:cs="Times New Roman"/>
            <w:sz w:val="24"/>
            <w:szCs w:val="24"/>
          </w:rPr>
          <m:t>k-th</m:t>
        </m:r>
      </m:oMath>
      <w:r w:rsidRPr="00304E78">
        <w:rPr>
          <w:rFonts w:ascii="Times New Roman" w:hAnsi="Times New Roman" w:cs="Times New Roman"/>
          <w:sz w:val="24"/>
          <w:szCs w:val="24"/>
        </w:rPr>
        <w:t xml:space="preserve"> moment</w:t>
      </w:r>
      <w:r>
        <w:rPr>
          <w:rFonts w:ascii="Times New Roman" w:hAnsi="Times New Roman" w:cs="Times New Roman"/>
          <w:sz w:val="24"/>
          <w:szCs w:val="24"/>
        </w:rPr>
        <w:t xml:space="preserve">. To </w:t>
      </w:r>
      <w:r w:rsidRPr="00304E78">
        <w:rPr>
          <w:rFonts w:ascii="Times New Roman" w:hAnsi="Times New Roman" w:cs="Times New Roman"/>
          <w:sz w:val="24"/>
          <w:szCs w:val="24"/>
        </w:rPr>
        <w:t>construct the test value</w:t>
      </w:r>
      <w:r>
        <w:rPr>
          <w:rFonts w:ascii="Times New Roman" w:hAnsi="Times New Roman" w:cs="Times New Roman"/>
          <w:sz w:val="24"/>
          <w:szCs w:val="24"/>
        </w:rPr>
        <w:t xml:space="preserve"> for </w:t>
      </w:r>
      <w:r w:rsidRPr="00304E78">
        <w:rPr>
          <w:rFonts w:ascii="Times New Roman" w:hAnsi="Times New Roman" w:cs="Times New Roman"/>
          <w:sz w:val="24"/>
          <w:szCs w:val="24"/>
        </w:rPr>
        <w:t>each k</w:t>
      </w:r>
      <w:r>
        <w:rPr>
          <w:rFonts w:ascii="Times New Roman" w:hAnsi="Times New Roman" w:cs="Times New Roman"/>
          <w:sz w:val="24"/>
          <w:szCs w:val="24"/>
        </w:rPr>
        <w:t xml:space="preserve"> in equation 6, we utilize the equation 10. </w:t>
      </w:r>
      <w:proofErr w:type="spellStart"/>
      <w:r w:rsidRPr="00304E78">
        <w:rPr>
          <w:rFonts w:ascii="Times New Roman" w:hAnsi="Times New Roman" w:cs="Times New Roman"/>
          <w:sz w:val="24"/>
          <w:szCs w:val="24"/>
        </w:rPr>
        <w:t>Nishiyama</w:t>
      </w:r>
      <w:proofErr w:type="spellEnd"/>
      <w:r w:rsidRPr="00304E78">
        <w:rPr>
          <w:rFonts w:ascii="Times New Roman" w:hAnsi="Times New Roman" w:cs="Times New Roman"/>
          <w:sz w:val="24"/>
          <w:szCs w:val="24"/>
        </w:rPr>
        <w:t xml:space="preserve"> et al. (2011) stated </w:t>
      </w:r>
      <w:r>
        <w:rPr>
          <w:rFonts w:ascii="Times New Roman" w:hAnsi="Times New Roman" w:cs="Times New Roman"/>
          <w:sz w:val="24"/>
          <w:szCs w:val="24"/>
        </w:rPr>
        <w:t xml:space="preserve">that </w:t>
      </w:r>
      <w:r w:rsidRPr="00FE2060">
        <w:rPr>
          <w:rFonts w:ascii="Times New Roman" w:hAnsi="Times New Roman" w:cs="Times New Roman"/>
          <w:sz w:val="24"/>
          <w:szCs w:val="24"/>
        </w:rPr>
        <w:t xml:space="preserve">combining the different statistics for each k = 1, 2..., K into one is difficult since the statistics are </w:t>
      </w:r>
      <w:r w:rsidRPr="00304E78">
        <w:rPr>
          <w:rFonts w:ascii="Times New Roman" w:hAnsi="Times New Roman" w:cs="Times New Roman"/>
          <w:sz w:val="24"/>
          <w:szCs w:val="24"/>
        </w:rPr>
        <w:t xml:space="preserve">equally correlated. </w:t>
      </w:r>
      <w:r w:rsidR="003E54B7">
        <w:rPr>
          <w:rFonts w:ascii="Times New Roman" w:hAnsi="Times New Roman" w:cs="Times New Roman"/>
          <w:sz w:val="24"/>
          <w:szCs w:val="24"/>
        </w:rPr>
        <w:t>Therefore, we use the sequential testing method with a little modification to address this issue</w:t>
      </w:r>
      <w:r w:rsidRPr="00304E78">
        <w:rPr>
          <w:rFonts w:ascii="Times New Roman" w:hAnsi="Times New Roman" w:cs="Times New Roman"/>
          <w:sz w:val="24"/>
          <w:szCs w:val="24"/>
        </w:rPr>
        <w:t>. In the first step,</w:t>
      </w:r>
      <w:r>
        <w:rPr>
          <w:rFonts w:ascii="Times New Roman" w:hAnsi="Times New Roman" w:cs="Times New Roman"/>
          <w:sz w:val="24"/>
          <w:szCs w:val="24"/>
        </w:rPr>
        <w:t xml:space="preserve"> we consider </w:t>
      </w:r>
      <w:r w:rsidRPr="00304E78">
        <w:rPr>
          <w:rFonts w:ascii="Times New Roman" w:hAnsi="Times New Roman" w:cs="Times New Roman"/>
          <w:sz w:val="24"/>
          <w:szCs w:val="24"/>
        </w:rPr>
        <w:t>K=1</w:t>
      </w:r>
      <w:r>
        <w:rPr>
          <w:rFonts w:ascii="Times New Roman" w:hAnsi="Times New Roman" w:cs="Times New Roman"/>
          <w:sz w:val="24"/>
          <w:szCs w:val="24"/>
        </w:rPr>
        <w:t xml:space="preserve"> to analyze the existence of causality in the </w:t>
      </w:r>
      <w:r w:rsidRPr="00304E78">
        <w:rPr>
          <w:rFonts w:ascii="Times New Roman" w:hAnsi="Times New Roman" w:cs="Times New Roman"/>
          <w:sz w:val="24"/>
          <w:szCs w:val="24"/>
        </w:rPr>
        <w:t>1st moment</w:t>
      </w:r>
      <w:r>
        <w:rPr>
          <w:rFonts w:ascii="Times New Roman" w:hAnsi="Times New Roman" w:cs="Times New Roman"/>
          <w:sz w:val="24"/>
          <w:szCs w:val="24"/>
        </w:rPr>
        <w:t>. However, t</w:t>
      </w:r>
      <w:r w:rsidRPr="00304E78">
        <w:rPr>
          <w:rFonts w:ascii="Times New Roman" w:hAnsi="Times New Roman" w:cs="Times New Roman"/>
          <w:sz w:val="24"/>
          <w:szCs w:val="24"/>
        </w:rPr>
        <w:t>he null hypothesis rejection does not ind</w:t>
      </w:r>
      <w:r>
        <w:rPr>
          <w:rFonts w:ascii="Times New Roman" w:hAnsi="Times New Roman" w:cs="Times New Roman"/>
          <w:sz w:val="24"/>
          <w:szCs w:val="24"/>
        </w:rPr>
        <w:t>icate that the same result will be find</w:t>
      </w:r>
      <w:r w:rsidRPr="00304E78">
        <w:rPr>
          <w:rFonts w:ascii="Times New Roman" w:hAnsi="Times New Roman" w:cs="Times New Roman"/>
          <w:sz w:val="24"/>
          <w:szCs w:val="24"/>
        </w:rPr>
        <w:t xml:space="preserve"> in the 2nd moment.</w:t>
      </w:r>
    </w:p>
    <w:p w14:paraId="4E2C2828" w14:textId="764D712C" w:rsidR="00783802" w:rsidRDefault="003E54B7" w:rsidP="0073632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Nevertheless, i</w:t>
      </w:r>
      <w:r w:rsidR="000B72B4" w:rsidRPr="00304E78">
        <w:rPr>
          <w:rFonts w:ascii="Times New Roman" w:hAnsi="Times New Roman" w:cs="Times New Roman"/>
          <w:sz w:val="24"/>
          <w:szCs w:val="24"/>
        </w:rPr>
        <w:t xml:space="preserve">t </w:t>
      </w:r>
      <w:r>
        <w:rPr>
          <w:rFonts w:ascii="Times New Roman" w:hAnsi="Times New Roman" w:cs="Times New Roman"/>
          <w:sz w:val="24"/>
          <w:szCs w:val="24"/>
        </w:rPr>
        <w:t>strongly predicts the</w:t>
      </w:r>
      <w:r w:rsidR="000B72B4">
        <w:rPr>
          <w:rFonts w:ascii="Times New Roman" w:hAnsi="Times New Roman" w:cs="Times New Roman"/>
          <w:sz w:val="24"/>
          <w:szCs w:val="24"/>
        </w:rPr>
        <w:t xml:space="preserve"> existence of causality in the 2nd moment. Thus, the test is performed again </w:t>
      </w:r>
      <w:r w:rsidR="000B72B4" w:rsidRPr="00304E78">
        <w:rPr>
          <w:rFonts w:ascii="Times New Roman" w:hAnsi="Times New Roman" w:cs="Times New Roman"/>
          <w:sz w:val="24"/>
          <w:szCs w:val="24"/>
        </w:rPr>
        <w:t>by taking K=2 (</w:t>
      </w:r>
      <w:proofErr w:type="spellStart"/>
      <w:r w:rsidR="000B72B4" w:rsidRPr="00304E78">
        <w:rPr>
          <w:rFonts w:ascii="Times New Roman" w:hAnsi="Times New Roman" w:cs="Times New Roman"/>
          <w:sz w:val="24"/>
          <w:szCs w:val="24"/>
        </w:rPr>
        <w:t>Balcilar</w:t>
      </w:r>
      <w:proofErr w:type="spellEnd"/>
      <w:r w:rsidR="000B72B4" w:rsidRPr="00304E78">
        <w:rPr>
          <w:rFonts w:ascii="Times New Roman" w:hAnsi="Times New Roman" w:cs="Times New Roman"/>
          <w:sz w:val="24"/>
          <w:szCs w:val="24"/>
        </w:rPr>
        <w:t xml:space="preserve"> et al. 2016). </w:t>
      </w:r>
      <w:r w:rsidR="000B72B4">
        <w:rPr>
          <w:rFonts w:ascii="Times New Roman" w:hAnsi="Times New Roman" w:cs="Times New Roman"/>
          <w:sz w:val="24"/>
          <w:szCs w:val="24"/>
        </w:rPr>
        <w:t>Thus, t</w:t>
      </w:r>
      <w:r w:rsidR="000B72B4" w:rsidRPr="008D2940">
        <w:rPr>
          <w:rFonts w:ascii="Times New Roman" w:hAnsi="Times New Roman" w:cs="Times New Roman"/>
          <w:sz w:val="24"/>
          <w:szCs w:val="24"/>
        </w:rPr>
        <w:t>he real application of analyzing causality through quantiles requires three critical choices (</w:t>
      </w:r>
      <w:proofErr w:type="spellStart"/>
      <w:r w:rsidR="000B72B4" w:rsidRPr="008D2940">
        <w:rPr>
          <w:rFonts w:ascii="Times New Roman" w:hAnsi="Times New Roman" w:cs="Times New Roman"/>
          <w:sz w:val="24"/>
          <w:szCs w:val="24"/>
        </w:rPr>
        <w:t>i</w:t>
      </w:r>
      <w:proofErr w:type="spellEnd"/>
      <w:r w:rsidR="000B72B4" w:rsidRPr="008D2940">
        <w:rPr>
          <w:rFonts w:ascii="Times New Roman" w:hAnsi="Times New Roman" w:cs="Times New Roman"/>
          <w:sz w:val="24"/>
          <w:szCs w:val="24"/>
        </w:rPr>
        <w:t xml:space="preserve">) lag order (p) </w:t>
      </w:r>
      <w:r w:rsidR="000B72B4">
        <w:rPr>
          <w:rFonts w:ascii="Times New Roman" w:hAnsi="Times New Roman" w:cs="Times New Roman"/>
          <w:sz w:val="24"/>
          <w:szCs w:val="24"/>
        </w:rPr>
        <w:t xml:space="preserve">which </w:t>
      </w:r>
      <w:r>
        <w:rPr>
          <w:rFonts w:ascii="Times New Roman" w:hAnsi="Times New Roman" w:cs="Times New Roman"/>
          <w:sz w:val="24"/>
          <w:szCs w:val="24"/>
        </w:rPr>
        <w:t>the SIC determines</w:t>
      </w:r>
      <w:r w:rsidR="000B72B4">
        <w:rPr>
          <w:rFonts w:ascii="Times New Roman" w:hAnsi="Times New Roman" w:cs="Times New Roman"/>
          <w:sz w:val="24"/>
          <w:szCs w:val="24"/>
        </w:rPr>
        <w:t xml:space="preserve"> </w:t>
      </w:r>
      <w:r w:rsidR="000B72B4" w:rsidRPr="008D2940">
        <w:rPr>
          <w:rFonts w:ascii="Times New Roman" w:hAnsi="Times New Roman" w:cs="Times New Roman"/>
          <w:sz w:val="24"/>
          <w:szCs w:val="24"/>
        </w:rPr>
        <w:t xml:space="preserve">(ii) bandwidth (h) </w:t>
      </w:r>
      <w:r w:rsidR="000B72B4">
        <w:rPr>
          <w:rFonts w:ascii="Times New Roman" w:hAnsi="Times New Roman" w:cs="Times New Roman"/>
          <w:sz w:val="24"/>
          <w:szCs w:val="24"/>
        </w:rPr>
        <w:t xml:space="preserve">which is selected </w:t>
      </w:r>
      <w:r w:rsidR="000B72B4" w:rsidRPr="008D2940">
        <w:rPr>
          <w:rFonts w:ascii="Times New Roman" w:hAnsi="Times New Roman" w:cs="Times New Roman"/>
          <w:sz w:val="24"/>
          <w:szCs w:val="24"/>
        </w:rPr>
        <w:t>via the least</w:t>
      </w:r>
      <w:r w:rsidR="000B72B4">
        <w:rPr>
          <w:rFonts w:ascii="Times New Roman" w:hAnsi="Times New Roman" w:cs="Times New Roman"/>
          <w:sz w:val="24"/>
          <w:szCs w:val="24"/>
        </w:rPr>
        <w:t xml:space="preserve"> square cross-validation technique </w:t>
      </w:r>
      <w:r w:rsidR="000B72B4" w:rsidRPr="008D2940">
        <w:rPr>
          <w:rFonts w:ascii="Times New Roman" w:hAnsi="Times New Roman" w:cs="Times New Roman"/>
          <w:sz w:val="24"/>
          <w:szCs w:val="24"/>
        </w:rPr>
        <w:t>(ii</w:t>
      </w:r>
      <w:r w:rsidR="000B72B4">
        <w:rPr>
          <w:rFonts w:ascii="Times New Roman" w:hAnsi="Times New Roman" w:cs="Times New Roman"/>
          <w:sz w:val="24"/>
          <w:szCs w:val="24"/>
        </w:rPr>
        <w:t>i</w:t>
      </w:r>
      <w:r w:rsidR="000B72B4" w:rsidRPr="008D2940">
        <w:rPr>
          <w:rFonts w:ascii="Times New Roman" w:hAnsi="Times New Roman" w:cs="Times New Roman"/>
          <w:sz w:val="24"/>
          <w:szCs w:val="24"/>
        </w:rPr>
        <w:t xml:space="preserve">) </w:t>
      </w:r>
      <w:r w:rsidR="000B72B4">
        <w:rPr>
          <w:rFonts w:ascii="Times New Roman" w:hAnsi="Times New Roman" w:cs="Times New Roman"/>
          <w:sz w:val="24"/>
          <w:szCs w:val="24"/>
        </w:rPr>
        <w:t xml:space="preserve">kernel type for L (∙) and K (∙) which </w:t>
      </w:r>
      <w:r w:rsidR="000B72B4" w:rsidRPr="008D2940">
        <w:rPr>
          <w:rFonts w:ascii="Times New Roman" w:hAnsi="Times New Roman" w:cs="Times New Roman"/>
          <w:sz w:val="24"/>
          <w:szCs w:val="24"/>
        </w:rPr>
        <w:t>are computed using the Gaussian kernels.</w:t>
      </w:r>
    </w:p>
    <w:p w14:paraId="6E176F85" w14:textId="77777777" w:rsidR="00B11104" w:rsidRPr="00736327" w:rsidRDefault="00B11104" w:rsidP="00736327">
      <w:pPr>
        <w:spacing w:line="360" w:lineRule="auto"/>
        <w:ind w:firstLine="360"/>
        <w:jc w:val="both"/>
        <w:rPr>
          <w:rFonts w:ascii="Times New Roman" w:hAnsi="Times New Roman" w:cs="Times New Roman"/>
          <w:sz w:val="24"/>
          <w:szCs w:val="24"/>
        </w:rPr>
      </w:pPr>
    </w:p>
    <w:p w14:paraId="4B1B0DEF" w14:textId="5A9B5335" w:rsidR="000B72B4" w:rsidRDefault="000B72B4" w:rsidP="000B72B4">
      <w:pPr>
        <w:spacing w:after="0" w:line="240" w:lineRule="auto"/>
        <w:ind w:left="360" w:hanging="360"/>
        <w:jc w:val="both"/>
        <w:rPr>
          <w:rStyle w:val="Strong"/>
          <w:rFonts w:ascii="Times New Roman" w:hAnsi="Times New Roman" w:cs="Times New Roman"/>
          <w:color w:val="0E101A"/>
          <w:sz w:val="24"/>
          <w:szCs w:val="24"/>
        </w:rPr>
      </w:pPr>
      <w:r w:rsidRPr="00DF16CC">
        <w:rPr>
          <w:rStyle w:val="Strong"/>
          <w:rFonts w:ascii="Times New Roman" w:hAnsi="Times New Roman" w:cs="Times New Roman"/>
          <w:color w:val="0E101A"/>
          <w:sz w:val="24"/>
          <w:szCs w:val="24"/>
        </w:rPr>
        <w:lastRenderedPageBreak/>
        <w:t>4. Data and Empirical Analysis</w:t>
      </w:r>
    </w:p>
    <w:p w14:paraId="132EC810" w14:textId="77777777" w:rsidR="00783802" w:rsidRDefault="00783802" w:rsidP="00736327">
      <w:pPr>
        <w:spacing w:after="0" w:line="240" w:lineRule="auto"/>
        <w:jc w:val="both"/>
        <w:rPr>
          <w:rStyle w:val="Strong"/>
          <w:rFonts w:ascii="Times New Roman" w:hAnsi="Times New Roman" w:cs="Times New Roman"/>
          <w:color w:val="0E101A"/>
          <w:sz w:val="24"/>
          <w:szCs w:val="24"/>
        </w:rPr>
      </w:pPr>
    </w:p>
    <w:p w14:paraId="13D40A86" w14:textId="568A5013" w:rsidR="00783802" w:rsidRDefault="00783802" w:rsidP="000B72B4">
      <w:pPr>
        <w:spacing w:after="0" w:line="240" w:lineRule="auto"/>
        <w:ind w:left="360" w:hanging="360"/>
        <w:jc w:val="both"/>
        <w:rPr>
          <w:rStyle w:val="Strong"/>
          <w:rFonts w:ascii="Times New Roman" w:hAnsi="Times New Roman" w:cs="Times New Roman"/>
          <w:color w:val="0E101A"/>
          <w:sz w:val="24"/>
          <w:szCs w:val="24"/>
        </w:rPr>
      </w:pPr>
      <w:r>
        <w:rPr>
          <w:rStyle w:val="Strong"/>
          <w:rFonts w:ascii="Times New Roman" w:hAnsi="Times New Roman" w:cs="Times New Roman"/>
          <w:color w:val="0E101A"/>
          <w:sz w:val="24"/>
          <w:szCs w:val="24"/>
        </w:rPr>
        <w:t>4.1 Selection of cryptocurrencies</w:t>
      </w:r>
    </w:p>
    <w:p w14:paraId="273E54C7" w14:textId="1D47299E" w:rsidR="00783802" w:rsidRDefault="00783802" w:rsidP="000B72B4">
      <w:pPr>
        <w:spacing w:after="0" w:line="240" w:lineRule="auto"/>
        <w:ind w:left="360" w:hanging="360"/>
        <w:jc w:val="both"/>
        <w:rPr>
          <w:rStyle w:val="Strong"/>
          <w:rFonts w:ascii="Times New Roman" w:hAnsi="Times New Roman" w:cs="Times New Roman"/>
          <w:color w:val="0E101A"/>
          <w:sz w:val="24"/>
          <w:szCs w:val="24"/>
        </w:rPr>
      </w:pPr>
    </w:p>
    <w:p w14:paraId="7AB27514" w14:textId="1361C750" w:rsidR="00783802" w:rsidRDefault="00783802" w:rsidP="00736327">
      <w:pPr>
        <w:pStyle w:val="NormalWeb"/>
        <w:spacing w:before="0" w:beforeAutospacing="0" w:after="0" w:afterAutospacing="0" w:line="360" w:lineRule="auto"/>
        <w:jc w:val="both"/>
        <w:rPr>
          <w:color w:val="0E101A"/>
        </w:rPr>
      </w:pPr>
      <w:r>
        <w:rPr>
          <w:color w:val="0E101A"/>
        </w:rPr>
        <w:t>The total market capitalization of cryptocurrencies reached $2,226,371,706,048</w:t>
      </w:r>
      <w:r w:rsidR="00A14BC0">
        <w:rPr>
          <w:color w:val="0E101A"/>
        </w:rPr>
        <w:t>,</w:t>
      </w:r>
      <w:r>
        <w:rPr>
          <w:color w:val="0E101A"/>
        </w:rPr>
        <w:t xml:space="preserve"> with approximately 9,234 different currencies in April 2021</w:t>
      </w:r>
      <w:r>
        <w:rPr>
          <w:rStyle w:val="FootnoteReference"/>
          <w:color w:val="0E101A"/>
        </w:rPr>
        <w:footnoteReference w:id="2"/>
      </w:r>
      <w:r>
        <w:rPr>
          <w:color w:val="0E101A"/>
        </w:rPr>
        <w:t xml:space="preserve">. Among all cryptocurrencies, Bitcoin is one of the most popular cryptocurrencies. Bitcoin was introduced in 2008 as the first open-source digital currency by the pseudonym of Satoshi </w:t>
      </w:r>
      <w:proofErr w:type="spellStart"/>
      <w:r>
        <w:rPr>
          <w:color w:val="0E101A"/>
        </w:rPr>
        <w:t>Nakamoto</w:t>
      </w:r>
      <w:proofErr w:type="spellEnd"/>
      <w:r>
        <w:rPr>
          <w:color w:val="0E101A"/>
        </w:rPr>
        <w:t xml:space="preserve"> (2008)</w:t>
      </w:r>
      <w:r w:rsidR="003E54B7">
        <w:rPr>
          <w:color w:val="0E101A"/>
        </w:rPr>
        <w:t>. I</w:t>
      </w:r>
      <w:r>
        <w:rPr>
          <w:color w:val="0E101A"/>
        </w:rPr>
        <w:t xml:space="preserve">t was constructed using encrypted database technology named </w:t>
      </w:r>
      <w:proofErr w:type="spellStart"/>
      <w:r>
        <w:rPr>
          <w:color w:val="0E101A"/>
        </w:rPr>
        <w:t>blockchain</w:t>
      </w:r>
      <w:proofErr w:type="spellEnd"/>
      <w:r>
        <w:rPr>
          <w:color w:val="0E101A"/>
        </w:rPr>
        <w:t xml:space="preserve"> with no controlling or governing authority (</w:t>
      </w:r>
      <w:proofErr w:type="spellStart"/>
      <w:r>
        <w:rPr>
          <w:color w:val="0E101A"/>
        </w:rPr>
        <w:t>Fousekis</w:t>
      </w:r>
      <w:proofErr w:type="spellEnd"/>
      <w:r>
        <w:rPr>
          <w:color w:val="0E101A"/>
        </w:rPr>
        <w:t xml:space="preserve"> &amp; </w:t>
      </w:r>
      <w:proofErr w:type="spellStart"/>
      <w:r>
        <w:rPr>
          <w:color w:val="0E101A"/>
        </w:rPr>
        <w:t>Tzaferi</w:t>
      </w:r>
      <w:proofErr w:type="spellEnd"/>
      <w:r>
        <w:rPr>
          <w:color w:val="0E101A"/>
        </w:rPr>
        <w:t xml:space="preserve">, 2021). Bitcoin is a currency where everybody from any place can perform transactions with no interference from a third party (Arratia &amp; </w:t>
      </w:r>
      <w:proofErr w:type="spellStart"/>
      <w:r>
        <w:rPr>
          <w:color w:val="0E101A"/>
        </w:rPr>
        <w:t>López</w:t>
      </w:r>
      <w:r>
        <w:rPr>
          <w:color w:val="0E101A"/>
        </w:rPr>
        <w:noBreakHyphen/>
        <w:t>Barrantes</w:t>
      </w:r>
      <w:proofErr w:type="spellEnd"/>
      <w:r>
        <w:rPr>
          <w:color w:val="0E101A"/>
        </w:rPr>
        <w:t xml:space="preserve">, 2021; </w:t>
      </w:r>
      <w:proofErr w:type="spellStart"/>
      <w:r>
        <w:rPr>
          <w:color w:val="0E101A"/>
        </w:rPr>
        <w:t>Bouri</w:t>
      </w:r>
      <w:proofErr w:type="spellEnd"/>
      <w:r>
        <w:rPr>
          <w:color w:val="0E101A"/>
        </w:rPr>
        <w:t xml:space="preserve"> et al., 2018). It is considered superior to cash as it can be used online and </w:t>
      </w:r>
      <w:r w:rsidR="00A14BC0">
        <w:rPr>
          <w:color w:val="0E101A"/>
        </w:rPr>
        <w:t xml:space="preserve">is </w:t>
      </w:r>
      <w:r>
        <w:rPr>
          <w:color w:val="0E101A"/>
        </w:rPr>
        <w:t>considerably cheaper than credit card payments. Nevertheless, Bitcoin is more volatile than fiat currencies as the central banks do not regulate it, and its supply is not responsive to demand (</w:t>
      </w:r>
      <w:proofErr w:type="spellStart"/>
      <w:r>
        <w:rPr>
          <w:color w:val="0E101A"/>
        </w:rPr>
        <w:t>Dourado</w:t>
      </w:r>
      <w:proofErr w:type="spellEnd"/>
      <w:r>
        <w:rPr>
          <w:color w:val="0E101A"/>
        </w:rPr>
        <w:t xml:space="preserve"> &amp; Brito, 2014). Bitcoin dominates the cryptocurrency market as it has the largest market capitalization of $1,174,603,646,556 (</w:t>
      </w:r>
      <w:hyperlink r:id="rId117" w:tgtFrame="_blank" w:history="1">
        <w:r>
          <w:rPr>
            <w:rStyle w:val="Hyperlink"/>
            <w:color w:val="4A6EE0"/>
          </w:rPr>
          <w:t>https://coinmarketcap.com</w:t>
        </w:r>
      </w:hyperlink>
      <w:r>
        <w:rPr>
          <w:color w:val="0E101A"/>
        </w:rPr>
        <w:t>); and until May 2020, its share was 65% (</w:t>
      </w:r>
      <w:proofErr w:type="spellStart"/>
      <w:r>
        <w:rPr>
          <w:color w:val="0E101A"/>
        </w:rPr>
        <w:t>Demir</w:t>
      </w:r>
      <w:proofErr w:type="spellEnd"/>
      <w:r>
        <w:rPr>
          <w:color w:val="0E101A"/>
        </w:rPr>
        <w:t xml:space="preserve"> et al., 2020), followed by altcoins.</w:t>
      </w:r>
    </w:p>
    <w:p w14:paraId="3067176E" w14:textId="38A43DEF" w:rsidR="00783802" w:rsidRPr="009F0CD5" w:rsidRDefault="00783802" w:rsidP="00736327">
      <w:pPr>
        <w:pStyle w:val="NormalWeb"/>
        <w:spacing w:after="0" w:line="360" w:lineRule="auto"/>
        <w:jc w:val="both"/>
        <w:rPr>
          <w:color w:val="FF0000"/>
        </w:rPr>
      </w:pPr>
      <w:r>
        <w:rPr>
          <w:color w:val="0E101A"/>
        </w:rPr>
        <w:t>Altcoins are considered alternative cryptocurrencies launched after the success of Bitcoin and are released and developed through imitation (</w:t>
      </w:r>
      <w:proofErr w:type="spellStart"/>
      <w:r>
        <w:rPr>
          <w:color w:val="0E101A"/>
        </w:rPr>
        <w:t>Fousekis</w:t>
      </w:r>
      <w:proofErr w:type="spellEnd"/>
      <w:r>
        <w:rPr>
          <w:color w:val="0E101A"/>
        </w:rPr>
        <w:t xml:space="preserve"> &amp; </w:t>
      </w:r>
      <w:proofErr w:type="spellStart"/>
      <w:r>
        <w:rPr>
          <w:color w:val="0E101A"/>
        </w:rPr>
        <w:t>Tzaferi</w:t>
      </w:r>
      <w:proofErr w:type="spellEnd"/>
      <w:r>
        <w:rPr>
          <w:color w:val="0E101A"/>
        </w:rPr>
        <w:t xml:space="preserve">, 2021). In the last ten years, numerous altcoins have been introduced, among which seven, i.e., NEM, Stellar, Ripple, Dash, </w:t>
      </w:r>
      <w:proofErr w:type="spellStart"/>
      <w:r>
        <w:rPr>
          <w:color w:val="0E101A"/>
        </w:rPr>
        <w:t>Ethereum</w:t>
      </w:r>
      <w:proofErr w:type="spellEnd"/>
      <w:r>
        <w:rPr>
          <w:color w:val="0E101A"/>
        </w:rPr>
        <w:t xml:space="preserve">, </w:t>
      </w:r>
      <w:proofErr w:type="spellStart"/>
      <w:r>
        <w:rPr>
          <w:color w:val="0E101A"/>
        </w:rPr>
        <w:t>Monero</w:t>
      </w:r>
      <w:proofErr w:type="spellEnd"/>
      <w:r>
        <w:rPr>
          <w:color w:val="0E101A"/>
        </w:rPr>
        <w:t xml:space="preserve">, and </w:t>
      </w:r>
      <w:proofErr w:type="spellStart"/>
      <w:r>
        <w:rPr>
          <w:color w:val="0E101A"/>
        </w:rPr>
        <w:t>Litecoin</w:t>
      </w:r>
      <w:proofErr w:type="spellEnd"/>
      <w:r>
        <w:rPr>
          <w:color w:val="0E101A"/>
        </w:rPr>
        <w:t>, are considered major altcoins (</w:t>
      </w:r>
      <w:proofErr w:type="spellStart"/>
      <w:r>
        <w:rPr>
          <w:color w:val="0E101A"/>
        </w:rPr>
        <w:t>Corbet</w:t>
      </w:r>
      <w:proofErr w:type="spellEnd"/>
      <w:r>
        <w:rPr>
          <w:color w:val="0E101A"/>
        </w:rPr>
        <w:t xml:space="preserve"> et al., 2020). After Bitcoin, </w:t>
      </w:r>
      <w:proofErr w:type="spellStart"/>
      <w:r>
        <w:rPr>
          <w:color w:val="0E101A"/>
        </w:rPr>
        <w:t>Ethereum</w:t>
      </w:r>
      <w:proofErr w:type="spellEnd"/>
      <w:r>
        <w:rPr>
          <w:color w:val="0E101A"/>
        </w:rPr>
        <w:t xml:space="preserve"> has the highest market capitalization of $280,972,021,310; whereas the market shares of NEM, Stellar, Ripple, Dash, </w:t>
      </w:r>
      <w:proofErr w:type="spellStart"/>
      <w:r>
        <w:rPr>
          <w:color w:val="0E101A"/>
        </w:rPr>
        <w:t>Monero</w:t>
      </w:r>
      <w:proofErr w:type="spellEnd"/>
      <w:r>
        <w:rPr>
          <w:color w:val="0E101A"/>
        </w:rPr>
        <w:t xml:space="preserve">, and </w:t>
      </w:r>
      <w:proofErr w:type="spellStart"/>
      <w:r>
        <w:rPr>
          <w:color w:val="0E101A"/>
        </w:rPr>
        <w:t>Litecoin</w:t>
      </w:r>
      <w:proofErr w:type="spellEnd"/>
      <w:r>
        <w:rPr>
          <w:color w:val="0E101A"/>
        </w:rPr>
        <w:t xml:space="preserve"> are $4,446,960,347, $14,180,520,213, </w:t>
      </w:r>
      <w:r w:rsidRPr="00D37520">
        <w:rPr>
          <w:rStyle w:val="Strong"/>
          <w:b w:val="0"/>
          <w:color w:val="0E101A"/>
        </w:rPr>
        <w:t>$74,809,652,853</w:t>
      </w:r>
      <w:r>
        <w:rPr>
          <w:color w:val="0E101A"/>
        </w:rPr>
        <w:t>, $3,829,305,714, $6,418,100,463, and $21,256,843,949, respectively (</w:t>
      </w:r>
      <w:hyperlink r:id="rId118" w:tgtFrame="_blank" w:history="1">
        <w:r>
          <w:rPr>
            <w:rStyle w:val="Hyperlink"/>
            <w:color w:val="4A6EE0"/>
          </w:rPr>
          <w:t>https://coinmarketcap.com</w:t>
        </w:r>
      </w:hyperlink>
      <w:r>
        <w:rPr>
          <w:color w:val="0E101A"/>
        </w:rPr>
        <w:t xml:space="preserve">). </w:t>
      </w:r>
      <w:bookmarkStart w:id="0" w:name="_Hlk95750340"/>
      <w:r>
        <w:rPr>
          <w:color w:val="0E101A"/>
        </w:rPr>
        <w:t xml:space="preserve">Therefore, in this paper, apart from Bitcoin, we included </w:t>
      </w:r>
      <w:r w:rsidR="00A14BC0">
        <w:rPr>
          <w:color w:val="0E101A"/>
        </w:rPr>
        <w:t xml:space="preserve">the </w:t>
      </w:r>
      <w:r>
        <w:rPr>
          <w:color w:val="0E101A"/>
        </w:rPr>
        <w:t>five most tradable altcoin</w:t>
      </w:r>
      <w:r w:rsidR="00A14BC0">
        <w:rPr>
          <w:color w:val="0E101A"/>
        </w:rPr>
        <w:t>s</w:t>
      </w:r>
      <w:r>
        <w:rPr>
          <w:color w:val="0E101A"/>
        </w:rPr>
        <w:t xml:space="preserve"> to our sample, </w:t>
      </w:r>
      <w:r w:rsidRPr="00783802">
        <w:rPr>
          <w:color w:val="0E101A"/>
        </w:rPr>
        <w:t>Dash</w:t>
      </w:r>
      <w:r>
        <w:rPr>
          <w:color w:val="0E101A"/>
        </w:rPr>
        <w:t xml:space="preserve">, </w:t>
      </w:r>
      <w:proofErr w:type="spellStart"/>
      <w:r w:rsidRPr="00783802">
        <w:rPr>
          <w:color w:val="0E101A"/>
        </w:rPr>
        <w:t>Ethereum</w:t>
      </w:r>
      <w:proofErr w:type="spellEnd"/>
      <w:r>
        <w:rPr>
          <w:color w:val="0E101A"/>
        </w:rPr>
        <w:t xml:space="preserve">, </w:t>
      </w:r>
      <w:proofErr w:type="spellStart"/>
      <w:r w:rsidRPr="00783802">
        <w:rPr>
          <w:color w:val="0E101A"/>
        </w:rPr>
        <w:t>Litecoin</w:t>
      </w:r>
      <w:proofErr w:type="spellEnd"/>
      <w:r>
        <w:rPr>
          <w:color w:val="0E101A"/>
        </w:rPr>
        <w:t xml:space="preserve">, </w:t>
      </w:r>
      <w:r w:rsidRPr="00783802">
        <w:rPr>
          <w:color w:val="0E101A"/>
        </w:rPr>
        <w:t>NEM</w:t>
      </w:r>
      <w:r w:rsidR="00A14BC0">
        <w:rPr>
          <w:color w:val="0E101A"/>
        </w:rPr>
        <w:t>,</w:t>
      </w:r>
      <w:r>
        <w:rPr>
          <w:color w:val="0E101A"/>
        </w:rPr>
        <w:t xml:space="preserve"> and </w:t>
      </w:r>
      <w:r w:rsidRPr="00783802">
        <w:rPr>
          <w:color w:val="0E101A"/>
        </w:rPr>
        <w:t>Ripple</w:t>
      </w:r>
      <w:r w:rsidR="00B32B41">
        <w:rPr>
          <w:color w:val="0E101A"/>
        </w:rPr>
        <w:t xml:space="preserve">, </w:t>
      </w:r>
      <w:r w:rsidR="00B32B41" w:rsidRPr="009F0CD5">
        <w:rPr>
          <w:color w:val="FF0000"/>
        </w:rPr>
        <w:t xml:space="preserve">using </w:t>
      </w:r>
      <w:r w:rsidR="00A14BC0">
        <w:rPr>
          <w:color w:val="FF0000"/>
        </w:rPr>
        <w:t xml:space="preserve">the </w:t>
      </w:r>
      <w:r w:rsidR="00B32B41" w:rsidRPr="009F0CD5">
        <w:rPr>
          <w:color w:val="FF0000"/>
        </w:rPr>
        <w:t>cryptocurrency-Dollar exchange rate for all digital assets in our sample.</w:t>
      </w:r>
      <w:bookmarkEnd w:id="0"/>
    </w:p>
    <w:p w14:paraId="141E3442" w14:textId="77777777" w:rsidR="00B11104" w:rsidRDefault="00B11104" w:rsidP="00783802">
      <w:pPr>
        <w:spacing w:after="0" w:line="240" w:lineRule="auto"/>
        <w:jc w:val="both"/>
        <w:rPr>
          <w:rFonts w:ascii="Times New Roman" w:hAnsi="Times New Roman" w:cs="Times New Roman"/>
          <w:b/>
          <w:color w:val="0E101A"/>
          <w:sz w:val="24"/>
          <w:szCs w:val="24"/>
        </w:rPr>
      </w:pPr>
    </w:p>
    <w:p w14:paraId="65C79407" w14:textId="77777777" w:rsidR="00B11104" w:rsidRDefault="00B11104" w:rsidP="00783802">
      <w:pPr>
        <w:spacing w:after="0" w:line="240" w:lineRule="auto"/>
        <w:jc w:val="both"/>
        <w:rPr>
          <w:rFonts w:ascii="Times New Roman" w:hAnsi="Times New Roman" w:cs="Times New Roman"/>
          <w:b/>
          <w:color w:val="0E101A"/>
          <w:sz w:val="24"/>
          <w:szCs w:val="24"/>
        </w:rPr>
      </w:pPr>
    </w:p>
    <w:p w14:paraId="3486B865" w14:textId="77777777" w:rsidR="00B11104" w:rsidRDefault="00B11104" w:rsidP="00783802">
      <w:pPr>
        <w:spacing w:after="0" w:line="240" w:lineRule="auto"/>
        <w:jc w:val="both"/>
        <w:rPr>
          <w:rFonts w:ascii="Times New Roman" w:hAnsi="Times New Roman" w:cs="Times New Roman"/>
          <w:b/>
          <w:color w:val="0E101A"/>
          <w:sz w:val="24"/>
          <w:szCs w:val="24"/>
        </w:rPr>
      </w:pPr>
    </w:p>
    <w:p w14:paraId="2F5CCB17" w14:textId="77777777" w:rsidR="00B11104" w:rsidRDefault="00B11104" w:rsidP="00783802">
      <w:pPr>
        <w:spacing w:after="0" w:line="240" w:lineRule="auto"/>
        <w:jc w:val="both"/>
        <w:rPr>
          <w:rFonts w:ascii="Times New Roman" w:hAnsi="Times New Roman" w:cs="Times New Roman"/>
          <w:b/>
          <w:color w:val="0E101A"/>
          <w:sz w:val="24"/>
          <w:szCs w:val="24"/>
        </w:rPr>
      </w:pPr>
    </w:p>
    <w:p w14:paraId="67F27319" w14:textId="386E663E" w:rsidR="000B72B4" w:rsidRPr="00736327" w:rsidRDefault="00783802" w:rsidP="00783802">
      <w:pPr>
        <w:spacing w:after="0" w:line="240" w:lineRule="auto"/>
        <w:jc w:val="both"/>
        <w:rPr>
          <w:rFonts w:ascii="Times New Roman" w:hAnsi="Times New Roman" w:cs="Times New Roman"/>
          <w:b/>
          <w:color w:val="0E101A"/>
          <w:sz w:val="24"/>
          <w:szCs w:val="24"/>
        </w:rPr>
      </w:pPr>
      <w:r w:rsidRPr="00736327">
        <w:rPr>
          <w:rFonts w:ascii="Times New Roman" w:hAnsi="Times New Roman" w:cs="Times New Roman"/>
          <w:b/>
          <w:color w:val="0E101A"/>
          <w:sz w:val="24"/>
          <w:szCs w:val="24"/>
        </w:rPr>
        <w:lastRenderedPageBreak/>
        <w:t>4.2 Google Trend</w:t>
      </w:r>
      <w:r w:rsidR="00736327">
        <w:rPr>
          <w:rFonts w:ascii="Times New Roman" w:hAnsi="Times New Roman" w:cs="Times New Roman"/>
          <w:b/>
          <w:color w:val="0E101A"/>
          <w:sz w:val="24"/>
          <w:szCs w:val="24"/>
        </w:rPr>
        <w:t>s</w:t>
      </w:r>
      <w:r w:rsidRPr="00736327">
        <w:rPr>
          <w:rFonts w:ascii="Times New Roman" w:hAnsi="Times New Roman" w:cs="Times New Roman"/>
          <w:b/>
          <w:color w:val="0E101A"/>
          <w:sz w:val="24"/>
          <w:szCs w:val="24"/>
        </w:rPr>
        <w:t xml:space="preserve"> Data </w:t>
      </w:r>
    </w:p>
    <w:p w14:paraId="6B533112" w14:textId="77777777" w:rsidR="00783802" w:rsidRPr="00DF16CC" w:rsidRDefault="00783802" w:rsidP="00736327">
      <w:pPr>
        <w:spacing w:after="0" w:line="240" w:lineRule="auto"/>
        <w:jc w:val="both"/>
        <w:rPr>
          <w:rFonts w:ascii="Times New Roman" w:hAnsi="Times New Roman" w:cs="Times New Roman"/>
          <w:bCs/>
          <w:color w:val="0E101A"/>
          <w:sz w:val="24"/>
          <w:szCs w:val="24"/>
        </w:rPr>
      </w:pPr>
    </w:p>
    <w:p w14:paraId="1F0A4E3F" w14:textId="3B96D176" w:rsidR="00736327" w:rsidRDefault="003E54B7" w:rsidP="00736327">
      <w:pPr>
        <w:pStyle w:val="NormalWeb"/>
        <w:spacing w:before="0" w:beforeAutospacing="0" w:after="0" w:afterAutospacing="0" w:line="360" w:lineRule="auto"/>
        <w:jc w:val="both"/>
      </w:pPr>
      <w:r>
        <w:t>This paper explores</w:t>
      </w:r>
      <w:r w:rsidR="000B72B4">
        <w:t xml:space="preserve"> the nexus between Google Trends and the </w:t>
      </w:r>
      <w:r w:rsidR="00427804">
        <w:t>prices of the top six cryptocurrenci</w:t>
      </w:r>
      <w:r w:rsidR="000B72B4" w:rsidRPr="00677D19">
        <w:rPr>
          <w:rStyle w:val="Strong"/>
          <w:b w:val="0"/>
          <w:color w:val="0E101A"/>
        </w:rPr>
        <w:t>es. We take the monthly price data of</w:t>
      </w:r>
      <w:r w:rsidR="000B72B4">
        <w:rPr>
          <w:rStyle w:val="Strong"/>
          <w:b w:val="0"/>
          <w:color w:val="0E101A"/>
        </w:rPr>
        <w:t xml:space="preserve"> the</w:t>
      </w:r>
      <w:r w:rsidR="00251676">
        <w:rPr>
          <w:rStyle w:val="Strong"/>
          <w:color w:val="0E101A"/>
        </w:rPr>
        <w:t xml:space="preserve"> </w:t>
      </w:r>
      <w:r w:rsidR="000B72B4">
        <w:t>top six cryptocurrencies from coinmarketcap.com. The Google Trends of the currencies are taken from (</w:t>
      </w:r>
      <w:hyperlink r:id="rId119" w:tgtFrame="_blank" w:history="1">
        <w:r w:rsidR="000B72B4">
          <w:rPr>
            <w:rStyle w:val="Hyperlink"/>
            <w:color w:val="4A6EE0"/>
          </w:rPr>
          <w:t>https://trends.google.com/trends/explore</w:t>
        </w:r>
      </w:hyperlink>
      <w:r w:rsidR="000B72B4">
        <w:t xml:space="preserve">) by using the keywords </w:t>
      </w:r>
      <w:r w:rsidR="00A14BC0">
        <w:t>“</w:t>
      </w:r>
      <w:r w:rsidR="000B72B4">
        <w:t>price of the named cryptocurrencies</w:t>
      </w:r>
      <w:r w:rsidR="00A14BC0">
        <w:t>”</w:t>
      </w:r>
      <w:r w:rsidR="000B72B4">
        <w:t xml:space="preserve"> (for example, </w:t>
      </w:r>
      <w:r w:rsidR="00A14BC0">
        <w:t>“</w:t>
      </w:r>
      <w:r w:rsidR="000B72B4">
        <w:t>price of Bitcoin,</w:t>
      </w:r>
      <w:r w:rsidR="00A14BC0">
        <w:t>” “</w:t>
      </w:r>
      <w:r w:rsidR="000B72B4">
        <w:t xml:space="preserve">price of </w:t>
      </w:r>
      <w:proofErr w:type="spellStart"/>
      <w:r w:rsidR="000B72B4">
        <w:t>Litecoin</w:t>
      </w:r>
      <w:proofErr w:type="spellEnd"/>
      <w:r w:rsidR="000B72B4">
        <w:t>,</w:t>
      </w:r>
      <w:r w:rsidR="00A14BC0">
        <w:t>”</w:t>
      </w:r>
      <w:r w:rsidR="000B72B4">
        <w:t xml:space="preserve"> etc.). The dataset covers the period from January 2016 – </w:t>
      </w:r>
      <w:r w:rsidR="00A14BC0">
        <w:t xml:space="preserve">to </w:t>
      </w:r>
      <w:r w:rsidR="000B72B4">
        <w:t xml:space="preserve">March 2021. Detailed information related to the data is presented in Table 1. </w:t>
      </w:r>
    </w:p>
    <w:p w14:paraId="524B6FEC" w14:textId="77777777" w:rsidR="00736327" w:rsidRDefault="00736327" w:rsidP="00736327">
      <w:pPr>
        <w:pStyle w:val="NormalWeb"/>
        <w:spacing w:before="0" w:beforeAutospacing="0" w:after="0" w:afterAutospacing="0" w:line="360" w:lineRule="auto"/>
        <w:jc w:val="both"/>
      </w:pPr>
    </w:p>
    <w:tbl>
      <w:tblPr>
        <w:tblW w:w="0" w:type="auto"/>
        <w:jc w:val="center"/>
        <w:tblLook w:val="04A0" w:firstRow="1" w:lastRow="0" w:firstColumn="1" w:lastColumn="0" w:noHBand="0" w:noVBand="1"/>
      </w:tblPr>
      <w:tblGrid>
        <w:gridCol w:w="1175"/>
        <w:gridCol w:w="1057"/>
        <w:gridCol w:w="1056"/>
        <w:gridCol w:w="1167"/>
        <w:gridCol w:w="1180"/>
        <w:gridCol w:w="1093"/>
        <w:gridCol w:w="1390"/>
        <w:gridCol w:w="1242"/>
      </w:tblGrid>
      <w:tr w:rsidR="00736327" w:rsidRPr="00655D8C" w14:paraId="17DA208F" w14:textId="77777777" w:rsidTr="00736327">
        <w:trPr>
          <w:trHeight w:val="300"/>
          <w:jc w:val="center"/>
        </w:trPr>
        <w:tc>
          <w:tcPr>
            <w:tcW w:w="0" w:type="auto"/>
            <w:gridSpan w:val="8"/>
            <w:tcBorders>
              <w:top w:val="nil"/>
              <w:left w:val="nil"/>
              <w:bottom w:val="single" w:sz="4" w:space="0" w:color="auto"/>
              <w:right w:val="nil"/>
            </w:tcBorders>
            <w:shd w:val="clear" w:color="auto" w:fill="auto"/>
            <w:noWrap/>
            <w:vAlign w:val="bottom"/>
            <w:hideMark/>
          </w:tcPr>
          <w:p w14:paraId="0795C603" w14:textId="5BE6A193"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Table 1: </w:t>
            </w:r>
            <w:r>
              <w:rPr>
                <w:rFonts w:ascii="Times New Roman" w:eastAsia="Times New Roman" w:hAnsi="Times New Roman" w:cs="Times New Roman"/>
                <w:b/>
                <w:bCs/>
                <w:color w:val="000000"/>
              </w:rPr>
              <w:t>D</w:t>
            </w:r>
            <w:r w:rsidRPr="00655D8C">
              <w:rPr>
                <w:rFonts w:ascii="Times New Roman" w:eastAsia="Times New Roman" w:hAnsi="Times New Roman" w:cs="Times New Roman"/>
                <w:b/>
                <w:bCs/>
                <w:color w:val="000000"/>
              </w:rPr>
              <w:t>escriptive statistics</w:t>
            </w:r>
          </w:p>
        </w:tc>
      </w:tr>
      <w:tr w:rsidR="00736327" w:rsidRPr="00655D8C" w14:paraId="5B186B30" w14:textId="77777777" w:rsidTr="00736327">
        <w:trPr>
          <w:trHeight w:val="300"/>
          <w:jc w:val="center"/>
        </w:trPr>
        <w:tc>
          <w:tcPr>
            <w:tcW w:w="0" w:type="auto"/>
            <w:tcBorders>
              <w:top w:val="nil"/>
              <w:left w:val="nil"/>
              <w:bottom w:val="single" w:sz="4" w:space="0" w:color="auto"/>
              <w:right w:val="nil"/>
            </w:tcBorders>
            <w:shd w:val="clear" w:color="auto" w:fill="auto"/>
            <w:noWrap/>
            <w:vAlign w:val="center"/>
            <w:hideMark/>
          </w:tcPr>
          <w:p w14:paraId="261FBBA8"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Country</w:t>
            </w:r>
          </w:p>
        </w:tc>
        <w:tc>
          <w:tcPr>
            <w:tcW w:w="0" w:type="auto"/>
            <w:tcBorders>
              <w:top w:val="nil"/>
              <w:left w:val="nil"/>
              <w:bottom w:val="single" w:sz="4" w:space="0" w:color="auto"/>
              <w:right w:val="nil"/>
            </w:tcBorders>
            <w:shd w:val="clear" w:color="auto" w:fill="auto"/>
            <w:noWrap/>
            <w:vAlign w:val="center"/>
            <w:hideMark/>
          </w:tcPr>
          <w:p w14:paraId="2A6EEE3B"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 Mean</w:t>
            </w:r>
          </w:p>
        </w:tc>
        <w:tc>
          <w:tcPr>
            <w:tcW w:w="0" w:type="auto"/>
            <w:tcBorders>
              <w:top w:val="nil"/>
              <w:left w:val="nil"/>
              <w:bottom w:val="single" w:sz="4" w:space="0" w:color="auto"/>
              <w:right w:val="nil"/>
            </w:tcBorders>
            <w:shd w:val="clear" w:color="auto" w:fill="auto"/>
            <w:noWrap/>
            <w:vAlign w:val="center"/>
            <w:hideMark/>
          </w:tcPr>
          <w:p w14:paraId="7CB60ADF"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Median</w:t>
            </w:r>
          </w:p>
        </w:tc>
        <w:tc>
          <w:tcPr>
            <w:tcW w:w="0" w:type="auto"/>
            <w:tcBorders>
              <w:top w:val="nil"/>
              <w:left w:val="nil"/>
              <w:bottom w:val="single" w:sz="4" w:space="0" w:color="auto"/>
              <w:right w:val="nil"/>
            </w:tcBorders>
            <w:shd w:val="clear" w:color="auto" w:fill="auto"/>
            <w:noWrap/>
            <w:vAlign w:val="center"/>
            <w:hideMark/>
          </w:tcPr>
          <w:p w14:paraId="6ECC0B1D"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 Std. Dev.</w:t>
            </w:r>
          </w:p>
        </w:tc>
        <w:tc>
          <w:tcPr>
            <w:tcW w:w="0" w:type="auto"/>
            <w:tcBorders>
              <w:top w:val="nil"/>
              <w:left w:val="nil"/>
              <w:bottom w:val="single" w:sz="4" w:space="0" w:color="auto"/>
              <w:right w:val="nil"/>
            </w:tcBorders>
            <w:shd w:val="clear" w:color="auto" w:fill="auto"/>
            <w:noWrap/>
            <w:vAlign w:val="center"/>
            <w:hideMark/>
          </w:tcPr>
          <w:p w14:paraId="24D34C5A"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 Skewness</w:t>
            </w:r>
          </w:p>
        </w:tc>
        <w:tc>
          <w:tcPr>
            <w:tcW w:w="0" w:type="auto"/>
            <w:tcBorders>
              <w:top w:val="nil"/>
              <w:left w:val="nil"/>
              <w:bottom w:val="single" w:sz="4" w:space="0" w:color="auto"/>
              <w:right w:val="nil"/>
            </w:tcBorders>
            <w:shd w:val="clear" w:color="auto" w:fill="auto"/>
            <w:noWrap/>
            <w:vAlign w:val="center"/>
            <w:hideMark/>
          </w:tcPr>
          <w:p w14:paraId="5924D310"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 Kurtosis</w:t>
            </w:r>
          </w:p>
        </w:tc>
        <w:tc>
          <w:tcPr>
            <w:tcW w:w="0" w:type="auto"/>
            <w:tcBorders>
              <w:top w:val="nil"/>
              <w:left w:val="nil"/>
              <w:bottom w:val="single" w:sz="4" w:space="0" w:color="auto"/>
              <w:right w:val="nil"/>
            </w:tcBorders>
            <w:shd w:val="clear" w:color="auto" w:fill="auto"/>
            <w:noWrap/>
            <w:vAlign w:val="center"/>
            <w:hideMark/>
          </w:tcPr>
          <w:p w14:paraId="74C1F9C1"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 J-B</w:t>
            </w:r>
          </w:p>
        </w:tc>
        <w:tc>
          <w:tcPr>
            <w:tcW w:w="0" w:type="auto"/>
            <w:tcBorders>
              <w:top w:val="nil"/>
              <w:left w:val="nil"/>
              <w:bottom w:val="single" w:sz="4" w:space="0" w:color="auto"/>
              <w:right w:val="nil"/>
            </w:tcBorders>
            <w:shd w:val="clear" w:color="auto" w:fill="auto"/>
            <w:noWrap/>
            <w:vAlign w:val="center"/>
            <w:hideMark/>
          </w:tcPr>
          <w:p w14:paraId="5097655C"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ADF test</w:t>
            </w:r>
          </w:p>
        </w:tc>
      </w:tr>
      <w:tr w:rsidR="00736327" w:rsidRPr="00655D8C" w14:paraId="4F4BBF06" w14:textId="77777777" w:rsidTr="00736327">
        <w:trPr>
          <w:trHeight w:val="300"/>
          <w:jc w:val="center"/>
        </w:trPr>
        <w:tc>
          <w:tcPr>
            <w:tcW w:w="0" w:type="auto"/>
            <w:gridSpan w:val="8"/>
            <w:tcBorders>
              <w:top w:val="single" w:sz="4" w:space="0" w:color="auto"/>
              <w:left w:val="nil"/>
              <w:bottom w:val="nil"/>
              <w:right w:val="nil"/>
            </w:tcBorders>
            <w:shd w:val="clear" w:color="auto" w:fill="auto"/>
            <w:noWrap/>
            <w:vAlign w:val="center"/>
            <w:hideMark/>
          </w:tcPr>
          <w:p w14:paraId="52D4F870" w14:textId="77777777" w:rsidR="00736327" w:rsidRPr="00655D8C" w:rsidRDefault="00736327" w:rsidP="00736327">
            <w:pPr>
              <w:spacing w:after="0" w:line="240" w:lineRule="auto"/>
              <w:rPr>
                <w:rFonts w:ascii="Times New Roman" w:eastAsia="Times New Roman" w:hAnsi="Times New Roman" w:cs="Times New Roman"/>
                <w:b/>
                <w:bCs/>
                <w:i/>
                <w:iCs/>
                <w:color w:val="000000"/>
                <w:u w:val="single"/>
              </w:rPr>
            </w:pPr>
            <w:r w:rsidRPr="00655D8C">
              <w:rPr>
                <w:rFonts w:ascii="Times New Roman" w:eastAsia="Times New Roman" w:hAnsi="Times New Roman" w:cs="Times New Roman"/>
                <w:b/>
                <w:bCs/>
                <w:i/>
                <w:iCs/>
                <w:color w:val="000000"/>
                <w:u w:val="single"/>
              </w:rPr>
              <w:t>Google Trends</w:t>
            </w:r>
          </w:p>
        </w:tc>
      </w:tr>
      <w:tr w:rsidR="00736327" w:rsidRPr="00655D8C" w14:paraId="3C697D1E"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27EC16F5"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tcBorders>
              <w:top w:val="nil"/>
              <w:left w:val="nil"/>
              <w:bottom w:val="nil"/>
              <w:right w:val="nil"/>
            </w:tcBorders>
            <w:shd w:val="clear" w:color="auto" w:fill="auto"/>
            <w:noWrap/>
            <w:vAlign w:val="center"/>
            <w:hideMark/>
          </w:tcPr>
          <w:p w14:paraId="27397D50"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15.238</w:t>
            </w:r>
          </w:p>
        </w:tc>
        <w:tc>
          <w:tcPr>
            <w:tcW w:w="0" w:type="auto"/>
            <w:tcBorders>
              <w:top w:val="nil"/>
              <w:left w:val="nil"/>
              <w:bottom w:val="nil"/>
              <w:right w:val="nil"/>
            </w:tcBorders>
            <w:shd w:val="clear" w:color="auto" w:fill="auto"/>
            <w:noWrap/>
            <w:vAlign w:val="center"/>
            <w:hideMark/>
          </w:tcPr>
          <w:p w14:paraId="6389246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11.000</w:t>
            </w:r>
          </w:p>
        </w:tc>
        <w:tc>
          <w:tcPr>
            <w:tcW w:w="0" w:type="auto"/>
            <w:tcBorders>
              <w:top w:val="nil"/>
              <w:left w:val="nil"/>
              <w:bottom w:val="nil"/>
              <w:right w:val="nil"/>
            </w:tcBorders>
            <w:shd w:val="clear" w:color="auto" w:fill="auto"/>
            <w:noWrap/>
            <w:vAlign w:val="center"/>
            <w:hideMark/>
          </w:tcPr>
          <w:p w14:paraId="1F46620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17.060</w:t>
            </w:r>
          </w:p>
        </w:tc>
        <w:tc>
          <w:tcPr>
            <w:tcW w:w="0" w:type="auto"/>
            <w:tcBorders>
              <w:top w:val="nil"/>
              <w:left w:val="nil"/>
              <w:bottom w:val="nil"/>
              <w:right w:val="nil"/>
            </w:tcBorders>
            <w:shd w:val="clear" w:color="auto" w:fill="auto"/>
            <w:noWrap/>
            <w:vAlign w:val="center"/>
            <w:hideMark/>
          </w:tcPr>
          <w:p w14:paraId="6A2C765F"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2.755</w:t>
            </w:r>
          </w:p>
        </w:tc>
        <w:tc>
          <w:tcPr>
            <w:tcW w:w="0" w:type="auto"/>
            <w:tcBorders>
              <w:top w:val="nil"/>
              <w:left w:val="nil"/>
              <w:bottom w:val="nil"/>
              <w:right w:val="nil"/>
            </w:tcBorders>
            <w:shd w:val="clear" w:color="auto" w:fill="auto"/>
            <w:noWrap/>
            <w:vAlign w:val="center"/>
            <w:hideMark/>
          </w:tcPr>
          <w:p w14:paraId="46C5F8B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12.084</w:t>
            </w:r>
          </w:p>
        </w:tc>
        <w:tc>
          <w:tcPr>
            <w:tcW w:w="0" w:type="auto"/>
            <w:tcBorders>
              <w:top w:val="nil"/>
              <w:left w:val="nil"/>
              <w:bottom w:val="nil"/>
              <w:right w:val="nil"/>
            </w:tcBorders>
            <w:shd w:val="clear" w:color="auto" w:fill="auto"/>
            <w:noWrap/>
            <w:vAlign w:val="center"/>
            <w:hideMark/>
          </w:tcPr>
          <w:p w14:paraId="33E2AAD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296.313***</w:t>
            </w:r>
          </w:p>
        </w:tc>
        <w:tc>
          <w:tcPr>
            <w:tcW w:w="0" w:type="auto"/>
            <w:tcBorders>
              <w:top w:val="nil"/>
              <w:left w:val="nil"/>
              <w:bottom w:val="nil"/>
              <w:right w:val="nil"/>
            </w:tcBorders>
            <w:shd w:val="clear" w:color="auto" w:fill="auto"/>
            <w:noWrap/>
            <w:vAlign w:val="center"/>
            <w:hideMark/>
          </w:tcPr>
          <w:p w14:paraId="19C1D73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-7.518***</w:t>
            </w:r>
          </w:p>
        </w:tc>
      </w:tr>
      <w:tr w:rsidR="00736327" w:rsidRPr="00655D8C" w14:paraId="2AD99716"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35F1CD94"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tcBorders>
              <w:top w:val="nil"/>
              <w:left w:val="nil"/>
              <w:bottom w:val="nil"/>
              <w:right w:val="nil"/>
            </w:tcBorders>
            <w:shd w:val="clear" w:color="auto" w:fill="auto"/>
            <w:noWrap/>
            <w:vAlign w:val="center"/>
            <w:hideMark/>
          </w:tcPr>
          <w:p w14:paraId="18686CE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25.540</w:t>
            </w:r>
          </w:p>
        </w:tc>
        <w:tc>
          <w:tcPr>
            <w:tcW w:w="0" w:type="auto"/>
            <w:tcBorders>
              <w:top w:val="nil"/>
              <w:left w:val="nil"/>
              <w:bottom w:val="nil"/>
              <w:right w:val="nil"/>
            </w:tcBorders>
            <w:shd w:val="clear" w:color="auto" w:fill="auto"/>
            <w:noWrap/>
            <w:vAlign w:val="center"/>
            <w:hideMark/>
          </w:tcPr>
          <w:p w14:paraId="79268DFD"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18.000</w:t>
            </w:r>
          </w:p>
        </w:tc>
        <w:tc>
          <w:tcPr>
            <w:tcW w:w="0" w:type="auto"/>
            <w:tcBorders>
              <w:top w:val="nil"/>
              <w:left w:val="nil"/>
              <w:bottom w:val="nil"/>
              <w:right w:val="nil"/>
            </w:tcBorders>
            <w:shd w:val="clear" w:color="auto" w:fill="auto"/>
            <w:noWrap/>
            <w:vAlign w:val="center"/>
            <w:hideMark/>
          </w:tcPr>
          <w:p w14:paraId="57222C5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20.686</w:t>
            </w:r>
          </w:p>
        </w:tc>
        <w:tc>
          <w:tcPr>
            <w:tcW w:w="0" w:type="auto"/>
            <w:tcBorders>
              <w:top w:val="nil"/>
              <w:left w:val="nil"/>
              <w:bottom w:val="nil"/>
              <w:right w:val="nil"/>
            </w:tcBorders>
            <w:shd w:val="clear" w:color="auto" w:fill="auto"/>
            <w:noWrap/>
            <w:vAlign w:val="center"/>
            <w:hideMark/>
          </w:tcPr>
          <w:p w14:paraId="550B717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2.020</w:t>
            </w:r>
          </w:p>
        </w:tc>
        <w:tc>
          <w:tcPr>
            <w:tcW w:w="0" w:type="auto"/>
            <w:tcBorders>
              <w:top w:val="nil"/>
              <w:left w:val="nil"/>
              <w:bottom w:val="nil"/>
              <w:right w:val="nil"/>
            </w:tcBorders>
            <w:shd w:val="clear" w:color="auto" w:fill="auto"/>
            <w:noWrap/>
            <w:vAlign w:val="center"/>
            <w:hideMark/>
          </w:tcPr>
          <w:p w14:paraId="330C27F0"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6.448</w:t>
            </w:r>
          </w:p>
        </w:tc>
        <w:tc>
          <w:tcPr>
            <w:tcW w:w="0" w:type="auto"/>
            <w:tcBorders>
              <w:top w:val="nil"/>
              <w:left w:val="nil"/>
              <w:bottom w:val="nil"/>
              <w:right w:val="nil"/>
            </w:tcBorders>
            <w:shd w:val="clear" w:color="auto" w:fill="auto"/>
            <w:noWrap/>
            <w:vAlign w:val="center"/>
            <w:hideMark/>
          </w:tcPr>
          <w:p w14:paraId="7464EFE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74.066***</w:t>
            </w:r>
          </w:p>
        </w:tc>
        <w:tc>
          <w:tcPr>
            <w:tcW w:w="0" w:type="auto"/>
            <w:tcBorders>
              <w:top w:val="nil"/>
              <w:left w:val="nil"/>
              <w:bottom w:val="nil"/>
              <w:right w:val="nil"/>
            </w:tcBorders>
            <w:shd w:val="clear" w:color="auto" w:fill="auto"/>
            <w:noWrap/>
            <w:vAlign w:val="center"/>
            <w:hideMark/>
          </w:tcPr>
          <w:p w14:paraId="5F53BF2A"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-9.953***</w:t>
            </w:r>
          </w:p>
        </w:tc>
      </w:tr>
      <w:tr w:rsidR="00736327" w:rsidRPr="00655D8C" w14:paraId="3EC4201F"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7885DEE3"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tcBorders>
              <w:top w:val="nil"/>
              <w:left w:val="nil"/>
              <w:bottom w:val="nil"/>
              <w:right w:val="nil"/>
            </w:tcBorders>
            <w:shd w:val="clear" w:color="auto" w:fill="auto"/>
            <w:noWrap/>
            <w:vAlign w:val="center"/>
            <w:hideMark/>
          </w:tcPr>
          <w:p w14:paraId="42C497A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11.587</w:t>
            </w:r>
          </w:p>
        </w:tc>
        <w:tc>
          <w:tcPr>
            <w:tcW w:w="0" w:type="auto"/>
            <w:tcBorders>
              <w:top w:val="nil"/>
              <w:left w:val="nil"/>
              <w:bottom w:val="nil"/>
              <w:right w:val="nil"/>
            </w:tcBorders>
            <w:shd w:val="clear" w:color="auto" w:fill="auto"/>
            <w:noWrap/>
            <w:vAlign w:val="center"/>
            <w:hideMark/>
          </w:tcPr>
          <w:p w14:paraId="0AFA14B8"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5.000</w:t>
            </w:r>
          </w:p>
        </w:tc>
        <w:tc>
          <w:tcPr>
            <w:tcW w:w="0" w:type="auto"/>
            <w:tcBorders>
              <w:top w:val="nil"/>
              <w:left w:val="nil"/>
              <w:bottom w:val="nil"/>
              <w:right w:val="nil"/>
            </w:tcBorders>
            <w:shd w:val="clear" w:color="auto" w:fill="auto"/>
            <w:noWrap/>
            <w:vAlign w:val="center"/>
            <w:hideMark/>
          </w:tcPr>
          <w:p w14:paraId="36F99BC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17.789</w:t>
            </w:r>
          </w:p>
        </w:tc>
        <w:tc>
          <w:tcPr>
            <w:tcW w:w="0" w:type="auto"/>
            <w:tcBorders>
              <w:top w:val="nil"/>
              <w:left w:val="nil"/>
              <w:bottom w:val="nil"/>
              <w:right w:val="nil"/>
            </w:tcBorders>
            <w:shd w:val="clear" w:color="auto" w:fill="auto"/>
            <w:noWrap/>
            <w:vAlign w:val="center"/>
            <w:hideMark/>
          </w:tcPr>
          <w:p w14:paraId="20D9FF5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3.032</w:t>
            </w:r>
          </w:p>
        </w:tc>
        <w:tc>
          <w:tcPr>
            <w:tcW w:w="0" w:type="auto"/>
            <w:tcBorders>
              <w:top w:val="nil"/>
              <w:left w:val="nil"/>
              <w:bottom w:val="nil"/>
              <w:right w:val="nil"/>
            </w:tcBorders>
            <w:shd w:val="clear" w:color="auto" w:fill="auto"/>
            <w:noWrap/>
            <w:vAlign w:val="center"/>
            <w:hideMark/>
          </w:tcPr>
          <w:p w14:paraId="662511C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12.975</w:t>
            </w:r>
          </w:p>
        </w:tc>
        <w:tc>
          <w:tcPr>
            <w:tcW w:w="0" w:type="auto"/>
            <w:tcBorders>
              <w:top w:val="nil"/>
              <w:left w:val="nil"/>
              <w:bottom w:val="nil"/>
              <w:right w:val="nil"/>
            </w:tcBorders>
            <w:shd w:val="clear" w:color="auto" w:fill="auto"/>
            <w:noWrap/>
            <w:vAlign w:val="center"/>
            <w:hideMark/>
          </w:tcPr>
          <w:p w14:paraId="3727FE7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357.741***</w:t>
            </w:r>
          </w:p>
        </w:tc>
        <w:tc>
          <w:tcPr>
            <w:tcW w:w="0" w:type="auto"/>
            <w:tcBorders>
              <w:top w:val="nil"/>
              <w:left w:val="nil"/>
              <w:bottom w:val="nil"/>
              <w:right w:val="nil"/>
            </w:tcBorders>
            <w:shd w:val="clear" w:color="auto" w:fill="auto"/>
            <w:noWrap/>
            <w:vAlign w:val="center"/>
            <w:hideMark/>
          </w:tcPr>
          <w:p w14:paraId="14593E9F"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-6.665***</w:t>
            </w:r>
          </w:p>
        </w:tc>
      </w:tr>
      <w:tr w:rsidR="00736327" w:rsidRPr="00655D8C" w14:paraId="1C714B44"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05110E3F"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tcBorders>
              <w:top w:val="nil"/>
              <w:left w:val="nil"/>
              <w:bottom w:val="nil"/>
              <w:right w:val="nil"/>
            </w:tcBorders>
            <w:shd w:val="clear" w:color="auto" w:fill="auto"/>
            <w:noWrap/>
            <w:vAlign w:val="center"/>
            <w:hideMark/>
          </w:tcPr>
          <w:p w14:paraId="7A5C3736"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6.905</w:t>
            </w:r>
          </w:p>
        </w:tc>
        <w:tc>
          <w:tcPr>
            <w:tcW w:w="0" w:type="auto"/>
            <w:tcBorders>
              <w:top w:val="nil"/>
              <w:left w:val="nil"/>
              <w:bottom w:val="nil"/>
              <w:right w:val="nil"/>
            </w:tcBorders>
            <w:shd w:val="clear" w:color="auto" w:fill="auto"/>
            <w:noWrap/>
            <w:vAlign w:val="center"/>
            <w:hideMark/>
          </w:tcPr>
          <w:p w14:paraId="3EBF18E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4.000</w:t>
            </w:r>
          </w:p>
        </w:tc>
        <w:tc>
          <w:tcPr>
            <w:tcW w:w="0" w:type="auto"/>
            <w:tcBorders>
              <w:top w:val="nil"/>
              <w:left w:val="nil"/>
              <w:bottom w:val="nil"/>
              <w:right w:val="nil"/>
            </w:tcBorders>
            <w:shd w:val="clear" w:color="auto" w:fill="auto"/>
            <w:noWrap/>
            <w:vAlign w:val="center"/>
            <w:hideMark/>
          </w:tcPr>
          <w:p w14:paraId="442AA97C"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13.622</w:t>
            </w:r>
          </w:p>
        </w:tc>
        <w:tc>
          <w:tcPr>
            <w:tcW w:w="0" w:type="auto"/>
            <w:tcBorders>
              <w:top w:val="nil"/>
              <w:left w:val="nil"/>
              <w:bottom w:val="nil"/>
              <w:right w:val="nil"/>
            </w:tcBorders>
            <w:shd w:val="clear" w:color="auto" w:fill="auto"/>
            <w:noWrap/>
            <w:vAlign w:val="center"/>
            <w:hideMark/>
          </w:tcPr>
          <w:p w14:paraId="33B4DEE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5.453</w:t>
            </w:r>
          </w:p>
        </w:tc>
        <w:tc>
          <w:tcPr>
            <w:tcW w:w="0" w:type="auto"/>
            <w:tcBorders>
              <w:top w:val="nil"/>
              <w:left w:val="nil"/>
              <w:bottom w:val="nil"/>
              <w:right w:val="nil"/>
            </w:tcBorders>
            <w:shd w:val="clear" w:color="auto" w:fill="auto"/>
            <w:noWrap/>
            <w:vAlign w:val="center"/>
            <w:hideMark/>
          </w:tcPr>
          <w:p w14:paraId="3CD80A20"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36.364</w:t>
            </w:r>
          </w:p>
        </w:tc>
        <w:tc>
          <w:tcPr>
            <w:tcW w:w="0" w:type="auto"/>
            <w:tcBorders>
              <w:top w:val="nil"/>
              <w:left w:val="nil"/>
              <w:bottom w:val="nil"/>
              <w:right w:val="nil"/>
            </w:tcBorders>
            <w:shd w:val="clear" w:color="auto" w:fill="auto"/>
            <w:noWrap/>
            <w:vAlign w:val="center"/>
            <w:hideMark/>
          </w:tcPr>
          <w:p w14:paraId="47094F08"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3234.338***</w:t>
            </w:r>
          </w:p>
        </w:tc>
        <w:tc>
          <w:tcPr>
            <w:tcW w:w="0" w:type="auto"/>
            <w:tcBorders>
              <w:top w:val="nil"/>
              <w:left w:val="nil"/>
              <w:bottom w:val="nil"/>
              <w:right w:val="nil"/>
            </w:tcBorders>
            <w:shd w:val="clear" w:color="auto" w:fill="auto"/>
            <w:noWrap/>
            <w:vAlign w:val="center"/>
            <w:hideMark/>
          </w:tcPr>
          <w:p w14:paraId="4B29C4D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-9.879***</w:t>
            </w:r>
          </w:p>
        </w:tc>
      </w:tr>
      <w:tr w:rsidR="00736327" w:rsidRPr="00655D8C" w14:paraId="1DD0E199"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41613D67"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tcBorders>
              <w:top w:val="nil"/>
              <w:left w:val="nil"/>
              <w:bottom w:val="nil"/>
              <w:right w:val="nil"/>
            </w:tcBorders>
            <w:shd w:val="clear" w:color="auto" w:fill="auto"/>
            <w:noWrap/>
            <w:vAlign w:val="center"/>
            <w:hideMark/>
          </w:tcPr>
          <w:p w14:paraId="4A7D801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16.921</w:t>
            </w:r>
          </w:p>
        </w:tc>
        <w:tc>
          <w:tcPr>
            <w:tcW w:w="0" w:type="auto"/>
            <w:tcBorders>
              <w:top w:val="nil"/>
              <w:left w:val="nil"/>
              <w:bottom w:val="nil"/>
              <w:right w:val="nil"/>
            </w:tcBorders>
            <w:shd w:val="clear" w:color="auto" w:fill="auto"/>
            <w:noWrap/>
            <w:vAlign w:val="center"/>
            <w:hideMark/>
          </w:tcPr>
          <w:p w14:paraId="4BA8E7B9"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13.000</w:t>
            </w:r>
          </w:p>
        </w:tc>
        <w:tc>
          <w:tcPr>
            <w:tcW w:w="0" w:type="auto"/>
            <w:tcBorders>
              <w:top w:val="nil"/>
              <w:left w:val="nil"/>
              <w:bottom w:val="nil"/>
              <w:right w:val="nil"/>
            </w:tcBorders>
            <w:shd w:val="clear" w:color="auto" w:fill="auto"/>
            <w:noWrap/>
            <w:vAlign w:val="center"/>
            <w:hideMark/>
          </w:tcPr>
          <w:p w14:paraId="29CE8278"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19.953</w:t>
            </w:r>
          </w:p>
        </w:tc>
        <w:tc>
          <w:tcPr>
            <w:tcW w:w="0" w:type="auto"/>
            <w:tcBorders>
              <w:top w:val="nil"/>
              <w:left w:val="nil"/>
              <w:bottom w:val="nil"/>
              <w:right w:val="nil"/>
            </w:tcBorders>
            <w:shd w:val="clear" w:color="auto" w:fill="auto"/>
            <w:noWrap/>
            <w:vAlign w:val="center"/>
            <w:hideMark/>
          </w:tcPr>
          <w:p w14:paraId="726FFC66"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2.229</w:t>
            </w:r>
          </w:p>
        </w:tc>
        <w:tc>
          <w:tcPr>
            <w:tcW w:w="0" w:type="auto"/>
            <w:tcBorders>
              <w:top w:val="nil"/>
              <w:left w:val="nil"/>
              <w:bottom w:val="nil"/>
              <w:right w:val="nil"/>
            </w:tcBorders>
            <w:shd w:val="clear" w:color="auto" w:fill="auto"/>
            <w:noWrap/>
            <w:vAlign w:val="center"/>
            <w:hideMark/>
          </w:tcPr>
          <w:p w14:paraId="4D32C7D8"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9.088</w:t>
            </w:r>
          </w:p>
        </w:tc>
        <w:tc>
          <w:tcPr>
            <w:tcW w:w="0" w:type="auto"/>
            <w:tcBorders>
              <w:top w:val="nil"/>
              <w:left w:val="nil"/>
              <w:bottom w:val="nil"/>
              <w:right w:val="nil"/>
            </w:tcBorders>
            <w:shd w:val="clear" w:color="auto" w:fill="auto"/>
            <w:noWrap/>
            <w:vAlign w:val="center"/>
            <w:hideMark/>
          </w:tcPr>
          <w:p w14:paraId="30298DCD"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149.456***</w:t>
            </w:r>
          </w:p>
        </w:tc>
        <w:tc>
          <w:tcPr>
            <w:tcW w:w="0" w:type="auto"/>
            <w:tcBorders>
              <w:top w:val="nil"/>
              <w:left w:val="nil"/>
              <w:bottom w:val="nil"/>
              <w:right w:val="nil"/>
            </w:tcBorders>
            <w:shd w:val="clear" w:color="auto" w:fill="auto"/>
            <w:noWrap/>
            <w:vAlign w:val="center"/>
            <w:hideMark/>
          </w:tcPr>
          <w:p w14:paraId="4531AD4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-10.771***</w:t>
            </w:r>
          </w:p>
        </w:tc>
      </w:tr>
      <w:tr w:rsidR="00736327" w:rsidRPr="00655D8C" w14:paraId="7D32F356"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716B6087"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tcBorders>
              <w:top w:val="nil"/>
              <w:left w:val="nil"/>
              <w:bottom w:val="nil"/>
              <w:right w:val="nil"/>
            </w:tcBorders>
            <w:shd w:val="clear" w:color="auto" w:fill="auto"/>
            <w:noWrap/>
            <w:vAlign w:val="center"/>
            <w:hideMark/>
          </w:tcPr>
          <w:p w14:paraId="3F6312DB"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6.921</w:t>
            </w:r>
          </w:p>
        </w:tc>
        <w:tc>
          <w:tcPr>
            <w:tcW w:w="0" w:type="auto"/>
            <w:tcBorders>
              <w:top w:val="nil"/>
              <w:left w:val="nil"/>
              <w:bottom w:val="nil"/>
              <w:right w:val="nil"/>
            </w:tcBorders>
            <w:shd w:val="clear" w:color="auto" w:fill="auto"/>
            <w:noWrap/>
            <w:vAlign w:val="center"/>
            <w:hideMark/>
          </w:tcPr>
          <w:p w14:paraId="56D7201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3.000</w:t>
            </w:r>
          </w:p>
        </w:tc>
        <w:tc>
          <w:tcPr>
            <w:tcW w:w="0" w:type="auto"/>
            <w:tcBorders>
              <w:top w:val="nil"/>
              <w:left w:val="nil"/>
              <w:bottom w:val="nil"/>
              <w:right w:val="nil"/>
            </w:tcBorders>
            <w:shd w:val="clear" w:color="auto" w:fill="auto"/>
            <w:noWrap/>
            <w:vAlign w:val="center"/>
            <w:hideMark/>
          </w:tcPr>
          <w:p w14:paraId="15F8007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16.085</w:t>
            </w:r>
          </w:p>
        </w:tc>
        <w:tc>
          <w:tcPr>
            <w:tcW w:w="0" w:type="auto"/>
            <w:tcBorders>
              <w:top w:val="nil"/>
              <w:left w:val="nil"/>
              <w:bottom w:val="nil"/>
              <w:right w:val="nil"/>
            </w:tcBorders>
            <w:shd w:val="clear" w:color="auto" w:fill="auto"/>
            <w:noWrap/>
            <w:vAlign w:val="center"/>
            <w:hideMark/>
          </w:tcPr>
          <w:p w14:paraId="66364F0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4.836</w:t>
            </w:r>
          </w:p>
        </w:tc>
        <w:tc>
          <w:tcPr>
            <w:tcW w:w="0" w:type="auto"/>
            <w:tcBorders>
              <w:top w:val="nil"/>
              <w:left w:val="nil"/>
              <w:bottom w:val="nil"/>
              <w:right w:val="nil"/>
            </w:tcBorders>
            <w:shd w:val="clear" w:color="auto" w:fill="auto"/>
            <w:noWrap/>
            <w:vAlign w:val="center"/>
            <w:hideMark/>
          </w:tcPr>
          <w:p w14:paraId="4C81FD0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26.238</w:t>
            </w:r>
          </w:p>
        </w:tc>
        <w:tc>
          <w:tcPr>
            <w:tcW w:w="0" w:type="auto"/>
            <w:tcBorders>
              <w:top w:val="nil"/>
              <w:left w:val="nil"/>
              <w:bottom w:val="nil"/>
              <w:right w:val="nil"/>
            </w:tcBorders>
            <w:shd w:val="clear" w:color="auto" w:fill="auto"/>
            <w:noWrap/>
            <w:vAlign w:val="center"/>
            <w:hideMark/>
          </w:tcPr>
          <w:p w14:paraId="31D4042D"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1663.030***</w:t>
            </w:r>
          </w:p>
        </w:tc>
        <w:tc>
          <w:tcPr>
            <w:tcW w:w="0" w:type="auto"/>
            <w:tcBorders>
              <w:top w:val="nil"/>
              <w:left w:val="nil"/>
              <w:bottom w:val="nil"/>
              <w:right w:val="nil"/>
            </w:tcBorders>
            <w:shd w:val="clear" w:color="auto" w:fill="auto"/>
            <w:noWrap/>
            <w:vAlign w:val="center"/>
            <w:hideMark/>
          </w:tcPr>
          <w:p w14:paraId="2DB1130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-8.456***</w:t>
            </w:r>
          </w:p>
        </w:tc>
      </w:tr>
      <w:tr w:rsidR="00736327" w:rsidRPr="00655D8C" w14:paraId="24937E16"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26AE329D" w14:textId="77777777" w:rsidR="00736327" w:rsidRPr="00655D8C" w:rsidRDefault="00736327" w:rsidP="00736327">
            <w:pPr>
              <w:spacing w:after="0" w:line="240" w:lineRule="auto"/>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center"/>
            <w:hideMark/>
          </w:tcPr>
          <w:p w14:paraId="03D87AFE"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2F32077"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43145ED"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15486FD"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2CB7559"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2619E37"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5FF7760" w14:textId="77777777" w:rsidR="00736327" w:rsidRPr="00655D8C" w:rsidRDefault="00736327" w:rsidP="00736327">
            <w:pPr>
              <w:spacing w:after="0" w:line="240" w:lineRule="auto"/>
              <w:jc w:val="center"/>
              <w:rPr>
                <w:rFonts w:ascii="Times New Roman" w:eastAsia="Times New Roman" w:hAnsi="Times New Roman" w:cs="Times New Roman"/>
                <w:sz w:val="20"/>
                <w:szCs w:val="20"/>
              </w:rPr>
            </w:pPr>
          </w:p>
        </w:tc>
      </w:tr>
      <w:tr w:rsidR="00736327" w:rsidRPr="00655D8C" w14:paraId="6EE9CF43" w14:textId="77777777" w:rsidTr="00736327">
        <w:trPr>
          <w:trHeight w:val="300"/>
          <w:jc w:val="center"/>
        </w:trPr>
        <w:tc>
          <w:tcPr>
            <w:tcW w:w="0" w:type="auto"/>
            <w:gridSpan w:val="8"/>
            <w:tcBorders>
              <w:top w:val="nil"/>
              <w:left w:val="nil"/>
              <w:bottom w:val="nil"/>
              <w:right w:val="nil"/>
            </w:tcBorders>
            <w:shd w:val="clear" w:color="auto" w:fill="auto"/>
            <w:noWrap/>
            <w:vAlign w:val="center"/>
            <w:hideMark/>
          </w:tcPr>
          <w:p w14:paraId="4958CE29" w14:textId="77777777" w:rsidR="00736327" w:rsidRPr="00655D8C" w:rsidRDefault="00736327" w:rsidP="00736327">
            <w:pPr>
              <w:spacing w:after="0" w:line="240" w:lineRule="auto"/>
              <w:rPr>
                <w:rFonts w:ascii="Times New Roman" w:eastAsia="Times New Roman" w:hAnsi="Times New Roman" w:cs="Times New Roman"/>
                <w:b/>
                <w:bCs/>
                <w:i/>
                <w:iCs/>
                <w:color w:val="000000"/>
                <w:u w:val="single"/>
              </w:rPr>
            </w:pPr>
            <w:r w:rsidRPr="00655D8C">
              <w:rPr>
                <w:rFonts w:ascii="Times New Roman" w:eastAsia="Times New Roman" w:hAnsi="Times New Roman" w:cs="Times New Roman"/>
                <w:b/>
                <w:bCs/>
                <w:i/>
                <w:iCs/>
                <w:color w:val="000000"/>
                <w:u w:val="single"/>
              </w:rPr>
              <w:t>Prices of Cryptocurrencies</w:t>
            </w:r>
          </w:p>
        </w:tc>
      </w:tr>
      <w:tr w:rsidR="00736327" w:rsidRPr="00655D8C" w14:paraId="39579C95"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1AC12B69"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tcBorders>
              <w:top w:val="nil"/>
              <w:left w:val="nil"/>
              <w:bottom w:val="nil"/>
              <w:right w:val="nil"/>
            </w:tcBorders>
            <w:shd w:val="clear" w:color="auto" w:fill="auto"/>
            <w:noWrap/>
            <w:vAlign w:val="center"/>
            <w:hideMark/>
          </w:tcPr>
          <w:p w14:paraId="7FAB2E89"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8231.954</w:t>
            </w:r>
          </w:p>
        </w:tc>
        <w:tc>
          <w:tcPr>
            <w:tcW w:w="0" w:type="auto"/>
            <w:tcBorders>
              <w:top w:val="nil"/>
              <w:left w:val="nil"/>
              <w:bottom w:val="nil"/>
              <w:right w:val="nil"/>
            </w:tcBorders>
            <w:shd w:val="clear" w:color="auto" w:fill="auto"/>
            <w:noWrap/>
            <w:vAlign w:val="center"/>
            <w:hideMark/>
          </w:tcPr>
          <w:p w14:paraId="6525445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6625.560</w:t>
            </w:r>
          </w:p>
        </w:tc>
        <w:tc>
          <w:tcPr>
            <w:tcW w:w="0" w:type="auto"/>
            <w:tcBorders>
              <w:top w:val="nil"/>
              <w:left w:val="nil"/>
              <w:bottom w:val="nil"/>
              <w:right w:val="nil"/>
            </w:tcBorders>
            <w:shd w:val="clear" w:color="auto" w:fill="auto"/>
            <w:noWrap/>
            <w:vAlign w:val="center"/>
            <w:hideMark/>
          </w:tcPr>
          <w:p w14:paraId="61BBA02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10151.430</w:t>
            </w:r>
          </w:p>
        </w:tc>
        <w:tc>
          <w:tcPr>
            <w:tcW w:w="0" w:type="auto"/>
            <w:tcBorders>
              <w:top w:val="nil"/>
              <w:left w:val="nil"/>
              <w:bottom w:val="nil"/>
              <w:right w:val="nil"/>
            </w:tcBorders>
            <w:shd w:val="clear" w:color="auto" w:fill="auto"/>
            <w:noWrap/>
            <w:vAlign w:val="center"/>
            <w:hideMark/>
          </w:tcPr>
          <w:p w14:paraId="75FB331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3.092</w:t>
            </w:r>
          </w:p>
        </w:tc>
        <w:tc>
          <w:tcPr>
            <w:tcW w:w="0" w:type="auto"/>
            <w:tcBorders>
              <w:top w:val="nil"/>
              <w:left w:val="nil"/>
              <w:bottom w:val="nil"/>
              <w:right w:val="nil"/>
            </w:tcBorders>
            <w:shd w:val="clear" w:color="auto" w:fill="auto"/>
            <w:noWrap/>
            <w:vAlign w:val="center"/>
            <w:hideMark/>
          </w:tcPr>
          <w:p w14:paraId="40E39AB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14.046</w:t>
            </w:r>
          </w:p>
        </w:tc>
        <w:tc>
          <w:tcPr>
            <w:tcW w:w="0" w:type="auto"/>
            <w:tcBorders>
              <w:top w:val="nil"/>
              <w:left w:val="nil"/>
              <w:bottom w:val="nil"/>
              <w:right w:val="nil"/>
            </w:tcBorders>
            <w:shd w:val="clear" w:color="auto" w:fill="auto"/>
            <w:noWrap/>
            <w:vAlign w:val="center"/>
            <w:hideMark/>
          </w:tcPr>
          <w:p w14:paraId="76B2986B"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420.648***</w:t>
            </w:r>
          </w:p>
        </w:tc>
        <w:tc>
          <w:tcPr>
            <w:tcW w:w="0" w:type="auto"/>
            <w:tcBorders>
              <w:top w:val="nil"/>
              <w:left w:val="nil"/>
              <w:bottom w:val="nil"/>
              <w:right w:val="nil"/>
            </w:tcBorders>
            <w:shd w:val="clear" w:color="auto" w:fill="auto"/>
            <w:noWrap/>
            <w:vAlign w:val="center"/>
            <w:hideMark/>
          </w:tcPr>
          <w:p w14:paraId="3C8E4771"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-0.549</w:t>
            </w:r>
          </w:p>
        </w:tc>
      </w:tr>
      <w:tr w:rsidR="00736327" w:rsidRPr="00655D8C" w14:paraId="7576A281"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711ED47F"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tcBorders>
              <w:top w:val="nil"/>
              <w:left w:val="nil"/>
              <w:bottom w:val="nil"/>
              <w:right w:val="nil"/>
            </w:tcBorders>
            <w:shd w:val="clear" w:color="auto" w:fill="auto"/>
            <w:noWrap/>
            <w:vAlign w:val="center"/>
            <w:hideMark/>
          </w:tcPr>
          <w:p w14:paraId="46CAFA3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155.887</w:t>
            </w:r>
          </w:p>
        </w:tc>
        <w:tc>
          <w:tcPr>
            <w:tcW w:w="0" w:type="auto"/>
            <w:tcBorders>
              <w:top w:val="nil"/>
              <w:left w:val="nil"/>
              <w:bottom w:val="nil"/>
              <w:right w:val="nil"/>
            </w:tcBorders>
            <w:shd w:val="clear" w:color="auto" w:fill="auto"/>
            <w:noWrap/>
            <w:vAlign w:val="center"/>
            <w:hideMark/>
          </w:tcPr>
          <w:p w14:paraId="73ED96A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86.802</w:t>
            </w:r>
          </w:p>
        </w:tc>
        <w:tc>
          <w:tcPr>
            <w:tcW w:w="0" w:type="auto"/>
            <w:tcBorders>
              <w:top w:val="nil"/>
              <w:left w:val="nil"/>
              <w:bottom w:val="nil"/>
              <w:right w:val="nil"/>
            </w:tcBorders>
            <w:shd w:val="clear" w:color="auto" w:fill="auto"/>
            <w:noWrap/>
            <w:vAlign w:val="center"/>
            <w:hideMark/>
          </w:tcPr>
          <w:p w14:paraId="7CB93E8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196.111</w:t>
            </w:r>
          </w:p>
        </w:tc>
        <w:tc>
          <w:tcPr>
            <w:tcW w:w="0" w:type="auto"/>
            <w:tcBorders>
              <w:top w:val="nil"/>
              <w:left w:val="nil"/>
              <w:bottom w:val="nil"/>
              <w:right w:val="nil"/>
            </w:tcBorders>
            <w:shd w:val="clear" w:color="auto" w:fill="auto"/>
            <w:noWrap/>
            <w:vAlign w:val="center"/>
            <w:hideMark/>
          </w:tcPr>
          <w:p w14:paraId="69A00A1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2.608</w:t>
            </w:r>
          </w:p>
        </w:tc>
        <w:tc>
          <w:tcPr>
            <w:tcW w:w="0" w:type="auto"/>
            <w:tcBorders>
              <w:top w:val="nil"/>
              <w:left w:val="nil"/>
              <w:bottom w:val="nil"/>
              <w:right w:val="nil"/>
            </w:tcBorders>
            <w:shd w:val="clear" w:color="auto" w:fill="auto"/>
            <w:noWrap/>
            <w:vAlign w:val="center"/>
            <w:hideMark/>
          </w:tcPr>
          <w:p w14:paraId="3BB11BB5"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10.463</w:t>
            </w:r>
          </w:p>
        </w:tc>
        <w:tc>
          <w:tcPr>
            <w:tcW w:w="0" w:type="auto"/>
            <w:tcBorders>
              <w:top w:val="nil"/>
              <w:left w:val="nil"/>
              <w:bottom w:val="nil"/>
              <w:right w:val="nil"/>
            </w:tcBorders>
            <w:shd w:val="clear" w:color="auto" w:fill="auto"/>
            <w:noWrap/>
            <w:vAlign w:val="center"/>
            <w:hideMark/>
          </w:tcPr>
          <w:p w14:paraId="1480BD6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217.625***</w:t>
            </w:r>
          </w:p>
        </w:tc>
        <w:tc>
          <w:tcPr>
            <w:tcW w:w="0" w:type="auto"/>
            <w:tcBorders>
              <w:top w:val="nil"/>
              <w:left w:val="nil"/>
              <w:bottom w:val="nil"/>
              <w:right w:val="nil"/>
            </w:tcBorders>
            <w:shd w:val="clear" w:color="auto" w:fill="auto"/>
            <w:noWrap/>
            <w:vAlign w:val="center"/>
            <w:hideMark/>
          </w:tcPr>
          <w:p w14:paraId="29EFF429"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-7.329***</w:t>
            </w:r>
          </w:p>
        </w:tc>
      </w:tr>
      <w:tr w:rsidR="00736327" w:rsidRPr="00655D8C" w14:paraId="57A0D830"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6345385B"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tcBorders>
              <w:top w:val="nil"/>
              <w:left w:val="nil"/>
              <w:bottom w:val="nil"/>
              <w:right w:val="nil"/>
            </w:tcBorders>
            <w:shd w:val="clear" w:color="auto" w:fill="auto"/>
            <w:noWrap/>
            <w:vAlign w:val="center"/>
            <w:hideMark/>
          </w:tcPr>
          <w:p w14:paraId="718FE0E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310.104</w:t>
            </w:r>
          </w:p>
        </w:tc>
        <w:tc>
          <w:tcPr>
            <w:tcW w:w="0" w:type="auto"/>
            <w:tcBorders>
              <w:top w:val="nil"/>
              <w:left w:val="nil"/>
              <w:bottom w:val="nil"/>
              <w:right w:val="nil"/>
            </w:tcBorders>
            <w:shd w:val="clear" w:color="auto" w:fill="auto"/>
            <w:noWrap/>
            <w:vAlign w:val="center"/>
            <w:hideMark/>
          </w:tcPr>
          <w:p w14:paraId="37B33889"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207.602</w:t>
            </w:r>
          </w:p>
        </w:tc>
        <w:tc>
          <w:tcPr>
            <w:tcW w:w="0" w:type="auto"/>
            <w:tcBorders>
              <w:top w:val="nil"/>
              <w:left w:val="nil"/>
              <w:bottom w:val="nil"/>
              <w:right w:val="nil"/>
            </w:tcBorders>
            <w:shd w:val="clear" w:color="auto" w:fill="auto"/>
            <w:noWrap/>
            <w:vAlign w:val="center"/>
            <w:hideMark/>
          </w:tcPr>
          <w:p w14:paraId="718CB21D"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366.899</w:t>
            </w:r>
          </w:p>
        </w:tc>
        <w:tc>
          <w:tcPr>
            <w:tcW w:w="0" w:type="auto"/>
            <w:tcBorders>
              <w:top w:val="nil"/>
              <w:left w:val="nil"/>
              <w:bottom w:val="nil"/>
              <w:right w:val="nil"/>
            </w:tcBorders>
            <w:shd w:val="clear" w:color="auto" w:fill="auto"/>
            <w:noWrap/>
            <w:vAlign w:val="center"/>
            <w:hideMark/>
          </w:tcPr>
          <w:p w14:paraId="3D99F44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2.310</w:t>
            </w:r>
          </w:p>
        </w:tc>
        <w:tc>
          <w:tcPr>
            <w:tcW w:w="0" w:type="auto"/>
            <w:tcBorders>
              <w:top w:val="nil"/>
              <w:left w:val="nil"/>
              <w:bottom w:val="nil"/>
              <w:right w:val="nil"/>
            </w:tcBorders>
            <w:shd w:val="clear" w:color="auto" w:fill="auto"/>
            <w:noWrap/>
            <w:vAlign w:val="center"/>
            <w:hideMark/>
          </w:tcPr>
          <w:p w14:paraId="563D1771"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9.005</w:t>
            </w:r>
          </w:p>
        </w:tc>
        <w:tc>
          <w:tcPr>
            <w:tcW w:w="0" w:type="auto"/>
            <w:tcBorders>
              <w:top w:val="nil"/>
              <w:left w:val="nil"/>
              <w:bottom w:val="nil"/>
              <w:right w:val="nil"/>
            </w:tcBorders>
            <w:shd w:val="clear" w:color="auto" w:fill="auto"/>
            <w:noWrap/>
            <w:vAlign w:val="center"/>
            <w:hideMark/>
          </w:tcPr>
          <w:p w14:paraId="00B9271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150.684***</w:t>
            </w:r>
          </w:p>
        </w:tc>
        <w:tc>
          <w:tcPr>
            <w:tcW w:w="0" w:type="auto"/>
            <w:tcBorders>
              <w:top w:val="nil"/>
              <w:left w:val="nil"/>
              <w:bottom w:val="nil"/>
              <w:right w:val="nil"/>
            </w:tcBorders>
            <w:shd w:val="clear" w:color="auto" w:fill="auto"/>
            <w:noWrap/>
            <w:vAlign w:val="center"/>
            <w:hideMark/>
          </w:tcPr>
          <w:p w14:paraId="5A1E4DF0"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-6.202***</w:t>
            </w:r>
          </w:p>
        </w:tc>
      </w:tr>
      <w:tr w:rsidR="00736327" w:rsidRPr="00655D8C" w14:paraId="3AED6F04"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5092933C"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tcBorders>
              <w:top w:val="nil"/>
              <w:left w:val="nil"/>
              <w:bottom w:val="nil"/>
              <w:right w:val="nil"/>
            </w:tcBorders>
            <w:shd w:val="clear" w:color="auto" w:fill="auto"/>
            <w:noWrap/>
            <w:vAlign w:val="center"/>
            <w:hideMark/>
          </w:tcPr>
          <w:p w14:paraId="222750EC"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61.494</w:t>
            </w:r>
          </w:p>
        </w:tc>
        <w:tc>
          <w:tcPr>
            <w:tcW w:w="0" w:type="auto"/>
            <w:tcBorders>
              <w:top w:val="nil"/>
              <w:left w:val="nil"/>
              <w:bottom w:val="nil"/>
              <w:right w:val="nil"/>
            </w:tcBorders>
            <w:shd w:val="clear" w:color="auto" w:fill="auto"/>
            <w:noWrap/>
            <w:vAlign w:val="center"/>
            <w:hideMark/>
          </w:tcPr>
          <w:p w14:paraId="5958255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55.142</w:t>
            </w:r>
          </w:p>
        </w:tc>
        <w:tc>
          <w:tcPr>
            <w:tcW w:w="0" w:type="auto"/>
            <w:tcBorders>
              <w:top w:val="nil"/>
              <w:left w:val="nil"/>
              <w:bottom w:val="nil"/>
              <w:right w:val="nil"/>
            </w:tcBorders>
            <w:shd w:val="clear" w:color="auto" w:fill="auto"/>
            <w:noWrap/>
            <w:vAlign w:val="center"/>
            <w:hideMark/>
          </w:tcPr>
          <w:p w14:paraId="259CFF2E"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53.969</w:t>
            </w:r>
          </w:p>
        </w:tc>
        <w:tc>
          <w:tcPr>
            <w:tcW w:w="0" w:type="auto"/>
            <w:tcBorders>
              <w:top w:val="nil"/>
              <w:left w:val="nil"/>
              <w:bottom w:val="nil"/>
              <w:right w:val="nil"/>
            </w:tcBorders>
            <w:shd w:val="clear" w:color="auto" w:fill="auto"/>
            <w:noWrap/>
            <w:vAlign w:val="center"/>
            <w:hideMark/>
          </w:tcPr>
          <w:p w14:paraId="12F63E4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1.178</w:t>
            </w:r>
          </w:p>
        </w:tc>
        <w:tc>
          <w:tcPr>
            <w:tcW w:w="0" w:type="auto"/>
            <w:tcBorders>
              <w:top w:val="nil"/>
              <w:left w:val="nil"/>
              <w:bottom w:val="nil"/>
              <w:right w:val="nil"/>
            </w:tcBorders>
            <w:shd w:val="clear" w:color="auto" w:fill="auto"/>
            <w:noWrap/>
            <w:vAlign w:val="center"/>
            <w:hideMark/>
          </w:tcPr>
          <w:p w14:paraId="0BBF4CCF"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4.102</w:t>
            </w:r>
          </w:p>
        </w:tc>
        <w:tc>
          <w:tcPr>
            <w:tcW w:w="0" w:type="auto"/>
            <w:tcBorders>
              <w:top w:val="nil"/>
              <w:left w:val="nil"/>
              <w:bottom w:val="nil"/>
              <w:right w:val="nil"/>
            </w:tcBorders>
            <w:shd w:val="clear" w:color="auto" w:fill="auto"/>
            <w:noWrap/>
            <w:vAlign w:val="center"/>
            <w:hideMark/>
          </w:tcPr>
          <w:p w14:paraId="44F26B1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17.760***</w:t>
            </w:r>
          </w:p>
        </w:tc>
        <w:tc>
          <w:tcPr>
            <w:tcW w:w="0" w:type="auto"/>
            <w:tcBorders>
              <w:top w:val="nil"/>
              <w:left w:val="nil"/>
              <w:bottom w:val="nil"/>
              <w:right w:val="nil"/>
            </w:tcBorders>
            <w:shd w:val="clear" w:color="auto" w:fill="auto"/>
            <w:noWrap/>
            <w:vAlign w:val="center"/>
            <w:hideMark/>
          </w:tcPr>
          <w:p w14:paraId="2302BBDA"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-9.204***</w:t>
            </w:r>
          </w:p>
        </w:tc>
      </w:tr>
      <w:tr w:rsidR="00736327" w:rsidRPr="00655D8C" w14:paraId="144B0D55" w14:textId="77777777" w:rsidTr="00736327">
        <w:trPr>
          <w:trHeight w:val="300"/>
          <w:jc w:val="center"/>
        </w:trPr>
        <w:tc>
          <w:tcPr>
            <w:tcW w:w="0" w:type="auto"/>
            <w:tcBorders>
              <w:top w:val="nil"/>
              <w:left w:val="nil"/>
              <w:bottom w:val="nil"/>
              <w:right w:val="nil"/>
            </w:tcBorders>
            <w:shd w:val="clear" w:color="auto" w:fill="auto"/>
            <w:noWrap/>
            <w:vAlign w:val="center"/>
            <w:hideMark/>
          </w:tcPr>
          <w:p w14:paraId="41C8B79B"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tcBorders>
              <w:top w:val="nil"/>
              <w:left w:val="nil"/>
              <w:bottom w:val="nil"/>
              <w:right w:val="nil"/>
            </w:tcBorders>
            <w:shd w:val="clear" w:color="auto" w:fill="auto"/>
            <w:noWrap/>
            <w:vAlign w:val="center"/>
            <w:hideMark/>
          </w:tcPr>
          <w:p w14:paraId="4C38964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0.133</w:t>
            </w:r>
          </w:p>
        </w:tc>
        <w:tc>
          <w:tcPr>
            <w:tcW w:w="0" w:type="auto"/>
            <w:tcBorders>
              <w:top w:val="nil"/>
              <w:left w:val="nil"/>
              <w:bottom w:val="nil"/>
              <w:right w:val="nil"/>
            </w:tcBorders>
            <w:shd w:val="clear" w:color="auto" w:fill="auto"/>
            <w:noWrap/>
            <w:vAlign w:val="center"/>
            <w:hideMark/>
          </w:tcPr>
          <w:p w14:paraId="31E98A31"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0.056</w:t>
            </w:r>
          </w:p>
        </w:tc>
        <w:tc>
          <w:tcPr>
            <w:tcW w:w="0" w:type="auto"/>
            <w:tcBorders>
              <w:top w:val="nil"/>
              <w:left w:val="nil"/>
              <w:bottom w:val="nil"/>
              <w:right w:val="nil"/>
            </w:tcBorders>
            <w:shd w:val="clear" w:color="auto" w:fill="auto"/>
            <w:noWrap/>
            <w:vAlign w:val="center"/>
            <w:hideMark/>
          </w:tcPr>
          <w:p w14:paraId="67674B52"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0.187</w:t>
            </w:r>
          </w:p>
        </w:tc>
        <w:tc>
          <w:tcPr>
            <w:tcW w:w="0" w:type="auto"/>
            <w:tcBorders>
              <w:top w:val="nil"/>
              <w:left w:val="nil"/>
              <w:bottom w:val="nil"/>
              <w:right w:val="nil"/>
            </w:tcBorders>
            <w:shd w:val="clear" w:color="auto" w:fill="auto"/>
            <w:noWrap/>
            <w:vAlign w:val="center"/>
            <w:hideMark/>
          </w:tcPr>
          <w:p w14:paraId="00C17A9C"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2.792</w:t>
            </w:r>
          </w:p>
        </w:tc>
        <w:tc>
          <w:tcPr>
            <w:tcW w:w="0" w:type="auto"/>
            <w:tcBorders>
              <w:top w:val="nil"/>
              <w:left w:val="nil"/>
              <w:bottom w:val="nil"/>
              <w:right w:val="nil"/>
            </w:tcBorders>
            <w:shd w:val="clear" w:color="auto" w:fill="auto"/>
            <w:noWrap/>
            <w:vAlign w:val="center"/>
            <w:hideMark/>
          </w:tcPr>
          <w:p w14:paraId="198962C7"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12.021</w:t>
            </w:r>
          </w:p>
        </w:tc>
        <w:tc>
          <w:tcPr>
            <w:tcW w:w="0" w:type="auto"/>
            <w:tcBorders>
              <w:top w:val="nil"/>
              <w:left w:val="nil"/>
              <w:bottom w:val="nil"/>
              <w:right w:val="nil"/>
            </w:tcBorders>
            <w:shd w:val="clear" w:color="auto" w:fill="auto"/>
            <w:noWrap/>
            <w:vAlign w:val="center"/>
            <w:hideMark/>
          </w:tcPr>
          <w:p w14:paraId="469F374C"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295.494***</w:t>
            </w:r>
          </w:p>
        </w:tc>
        <w:tc>
          <w:tcPr>
            <w:tcW w:w="0" w:type="auto"/>
            <w:tcBorders>
              <w:top w:val="nil"/>
              <w:left w:val="nil"/>
              <w:bottom w:val="nil"/>
              <w:right w:val="nil"/>
            </w:tcBorders>
            <w:shd w:val="clear" w:color="auto" w:fill="auto"/>
            <w:noWrap/>
            <w:vAlign w:val="center"/>
            <w:hideMark/>
          </w:tcPr>
          <w:p w14:paraId="65193D21"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-7.952***</w:t>
            </w:r>
          </w:p>
        </w:tc>
      </w:tr>
      <w:tr w:rsidR="00736327" w:rsidRPr="00655D8C" w14:paraId="3DF3EFA7" w14:textId="77777777" w:rsidTr="00736327">
        <w:trPr>
          <w:trHeight w:val="300"/>
          <w:jc w:val="center"/>
        </w:trPr>
        <w:tc>
          <w:tcPr>
            <w:tcW w:w="0" w:type="auto"/>
            <w:tcBorders>
              <w:top w:val="nil"/>
              <w:left w:val="nil"/>
              <w:bottom w:val="single" w:sz="4" w:space="0" w:color="auto"/>
              <w:right w:val="nil"/>
            </w:tcBorders>
            <w:shd w:val="clear" w:color="auto" w:fill="auto"/>
            <w:noWrap/>
            <w:vAlign w:val="center"/>
            <w:hideMark/>
          </w:tcPr>
          <w:p w14:paraId="1E4B3066" w14:textId="77777777" w:rsidR="00736327" w:rsidRPr="00655D8C" w:rsidRDefault="00736327" w:rsidP="00736327">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tcBorders>
              <w:top w:val="nil"/>
              <w:left w:val="nil"/>
              <w:bottom w:val="single" w:sz="4" w:space="0" w:color="auto"/>
              <w:right w:val="nil"/>
            </w:tcBorders>
            <w:shd w:val="clear" w:color="auto" w:fill="auto"/>
            <w:noWrap/>
            <w:vAlign w:val="center"/>
            <w:hideMark/>
          </w:tcPr>
          <w:p w14:paraId="458C8D93"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0.307</w:t>
            </w:r>
          </w:p>
        </w:tc>
        <w:tc>
          <w:tcPr>
            <w:tcW w:w="0" w:type="auto"/>
            <w:tcBorders>
              <w:top w:val="nil"/>
              <w:left w:val="nil"/>
              <w:bottom w:val="single" w:sz="4" w:space="0" w:color="auto"/>
              <w:right w:val="nil"/>
            </w:tcBorders>
            <w:shd w:val="clear" w:color="auto" w:fill="auto"/>
            <w:noWrap/>
            <w:vAlign w:val="center"/>
            <w:hideMark/>
          </w:tcPr>
          <w:p w14:paraId="3C20160C"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0.251</w:t>
            </w:r>
          </w:p>
        </w:tc>
        <w:tc>
          <w:tcPr>
            <w:tcW w:w="0" w:type="auto"/>
            <w:tcBorders>
              <w:top w:val="nil"/>
              <w:left w:val="nil"/>
              <w:bottom w:val="single" w:sz="4" w:space="0" w:color="auto"/>
              <w:right w:val="nil"/>
            </w:tcBorders>
            <w:shd w:val="clear" w:color="auto" w:fill="auto"/>
            <w:noWrap/>
            <w:vAlign w:val="center"/>
            <w:hideMark/>
          </w:tcPr>
          <w:p w14:paraId="35FA9570"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0.347</w:t>
            </w:r>
          </w:p>
        </w:tc>
        <w:tc>
          <w:tcPr>
            <w:tcW w:w="0" w:type="auto"/>
            <w:tcBorders>
              <w:top w:val="nil"/>
              <w:left w:val="nil"/>
              <w:bottom w:val="single" w:sz="4" w:space="0" w:color="auto"/>
              <w:right w:val="nil"/>
            </w:tcBorders>
            <w:shd w:val="clear" w:color="auto" w:fill="auto"/>
            <w:noWrap/>
            <w:vAlign w:val="center"/>
            <w:hideMark/>
          </w:tcPr>
          <w:p w14:paraId="6943C3AD"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3.357</w:t>
            </w:r>
          </w:p>
        </w:tc>
        <w:tc>
          <w:tcPr>
            <w:tcW w:w="0" w:type="auto"/>
            <w:tcBorders>
              <w:top w:val="nil"/>
              <w:left w:val="nil"/>
              <w:bottom w:val="single" w:sz="4" w:space="0" w:color="auto"/>
              <w:right w:val="nil"/>
            </w:tcBorders>
            <w:shd w:val="clear" w:color="auto" w:fill="auto"/>
            <w:noWrap/>
            <w:vAlign w:val="center"/>
            <w:hideMark/>
          </w:tcPr>
          <w:p w14:paraId="67B6A37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18.896</w:t>
            </w:r>
          </w:p>
        </w:tc>
        <w:tc>
          <w:tcPr>
            <w:tcW w:w="0" w:type="auto"/>
            <w:tcBorders>
              <w:top w:val="nil"/>
              <w:left w:val="nil"/>
              <w:bottom w:val="single" w:sz="4" w:space="0" w:color="auto"/>
              <w:right w:val="nil"/>
            </w:tcBorders>
            <w:shd w:val="clear" w:color="auto" w:fill="auto"/>
            <w:noWrap/>
            <w:vAlign w:val="center"/>
            <w:hideMark/>
          </w:tcPr>
          <w:p w14:paraId="64A990A6"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781.587***</w:t>
            </w:r>
          </w:p>
        </w:tc>
        <w:tc>
          <w:tcPr>
            <w:tcW w:w="0" w:type="auto"/>
            <w:tcBorders>
              <w:top w:val="nil"/>
              <w:left w:val="nil"/>
              <w:bottom w:val="single" w:sz="4" w:space="0" w:color="auto"/>
              <w:right w:val="nil"/>
            </w:tcBorders>
            <w:shd w:val="clear" w:color="auto" w:fill="auto"/>
            <w:noWrap/>
            <w:vAlign w:val="center"/>
            <w:hideMark/>
          </w:tcPr>
          <w:p w14:paraId="581F25A4" w14:textId="77777777" w:rsidR="00736327" w:rsidRPr="00655D8C" w:rsidRDefault="00736327" w:rsidP="00736327">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-11.146***</w:t>
            </w:r>
          </w:p>
        </w:tc>
      </w:tr>
      <w:tr w:rsidR="00736327" w:rsidRPr="00655D8C" w14:paraId="219B50BE" w14:textId="77777777" w:rsidTr="00736327">
        <w:trPr>
          <w:trHeight w:val="870"/>
          <w:jc w:val="center"/>
        </w:trPr>
        <w:tc>
          <w:tcPr>
            <w:tcW w:w="0" w:type="auto"/>
            <w:gridSpan w:val="8"/>
            <w:tcBorders>
              <w:top w:val="nil"/>
              <w:left w:val="nil"/>
              <w:bottom w:val="nil"/>
              <w:right w:val="nil"/>
            </w:tcBorders>
            <w:shd w:val="clear" w:color="auto" w:fill="auto"/>
            <w:vAlign w:val="center"/>
            <w:hideMark/>
          </w:tcPr>
          <w:p w14:paraId="523DA2CC" w14:textId="171D4C94" w:rsidR="00736327" w:rsidRPr="00655D8C" w:rsidRDefault="00736327" w:rsidP="00A14BC0">
            <w:pPr>
              <w:spacing w:after="0" w:line="240" w:lineRule="auto"/>
              <w:rPr>
                <w:rFonts w:ascii="Times New Roman" w:eastAsia="Times New Roman" w:hAnsi="Times New Roman" w:cs="Times New Roman"/>
                <w:color w:val="000000"/>
                <w:sz w:val="20"/>
                <w:szCs w:val="20"/>
              </w:rPr>
            </w:pPr>
            <w:r w:rsidRPr="00655D8C">
              <w:rPr>
                <w:rFonts w:ascii="Times New Roman" w:eastAsia="Times New Roman" w:hAnsi="Times New Roman" w:cs="Times New Roman"/>
                <w:b/>
                <w:bCs/>
                <w:color w:val="000000"/>
                <w:sz w:val="20"/>
                <w:szCs w:val="20"/>
              </w:rPr>
              <w:t xml:space="preserve">Note: </w:t>
            </w:r>
            <w:r w:rsidRPr="00655D8C">
              <w:rPr>
                <w:rFonts w:ascii="Times New Roman" w:eastAsia="Times New Roman" w:hAnsi="Times New Roman" w:cs="Times New Roman"/>
                <w:color w:val="000000"/>
                <w:sz w:val="20"/>
                <w:szCs w:val="20"/>
              </w:rPr>
              <w:t xml:space="preserve">Note: J-B = </w:t>
            </w:r>
            <w:proofErr w:type="spellStart"/>
            <w:r w:rsidRPr="00655D8C">
              <w:rPr>
                <w:rFonts w:ascii="Times New Roman" w:eastAsia="Times New Roman" w:hAnsi="Times New Roman" w:cs="Times New Roman"/>
                <w:color w:val="000000"/>
                <w:sz w:val="20"/>
                <w:szCs w:val="20"/>
              </w:rPr>
              <w:t>Jarque-Bera</w:t>
            </w:r>
            <w:proofErr w:type="spellEnd"/>
            <w:r w:rsidRPr="00655D8C">
              <w:rPr>
                <w:rFonts w:ascii="Times New Roman" w:eastAsia="Times New Roman" w:hAnsi="Times New Roman" w:cs="Times New Roman"/>
                <w:color w:val="000000"/>
                <w:sz w:val="20"/>
                <w:szCs w:val="20"/>
              </w:rPr>
              <w:t xml:space="preserve"> test of Normality, and ADF = augmented Dickey and Fuller (1979) test of stationary.</w:t>
            </w:r>
            <w:r w:rsidRPr="00655D8C">
              <w:rPr>
                <w:rFonts w:ascii="Times New Roman" w:eastAsia="Times New Roman" w:hAnsi="Times New Roman" w:cs="Times New Roman"/>
                <w:color w:val="000000"/>
                <w:sz w:val="20"/>
                <w:szCs w:val="20"/>
              </w:rPr>
              <w:br/>
              <w:t xml:space="preserve">*** denotes the rejection of null hypothesis at the 1%. </w:t>
            </w:r>
            <w:r w:rsidRPr="00655D8C">
              <w:rPr>
                <w:rFonts w:ascii="Times New Roman" w:eastAsia="Times New Roman" w:hAnsi="Times New Roman" w:cs="Times New Roman"/>
                <w:b/>
                <w:bCs/>
                <w:color w:val="000000"/>
                <w:sz w:val="20"/>
                <w:szCs w:val="20"/>
              </w:rPr>
              <w:br/>
              <w:t>Source:</w:t>
            </w:r>
            <w:r w:rsidRPr="00655D8C">
              <w:rPr>
                <w:rFonts w:ascii="Times New Roman" w:eastAsia="Times New Roman" w:hAnsi="Times New Roman" w:cs="Times New Roman"/>
                <w:color w:val="000000"/>
                <w:sz w:val="20"/>
                <w:szCs w:val="20"/>
              </w:rPr>
              <w:t xml:space="preserve"> Authors</w:t>
            </w:r>
            <w:r w:rsidR="00A14BC0">
              <w:rPr>
                <w:rFonts w:ascii="Times New Roman" w:eastAsia="Times New Roman" w:hAnsi="Times New Roman" w:cs="Times New Roman"/>
                <w:color w:val="000000"/>
                <w:sz w:val="20"/>
                <w:szCs w:val="20"/>
              </w:rPr>
              <w:t>’</w:t>
            </w:r>
            <w:r w:rsidRPr="00655D8C">
              <w:rPr>
                <w:rFonts w:ascii="Times New Roman" w:eastAsia="Times New Roman" w:hAnsi="Times New Roman" w:cs="Times New Roman"/>
                <w:color w:val="000000"/>
                <w:sz w:val="20"/>
                <w:szCs w:val="20"/>
              </w:rPr>
              <w:t xml:space="preserve"> Estimations</w:t>
            </w:r>
          </w:p>
        </w:tc>
      </w:tr>
    </w:tbl>
    <w:p w14:paraId="67DD76F2" w14:textId="77777777" w:rsidR="00736327" w:rsidRDefault="00736327" w:rsidP="00736327">
      <w:pPr>
        <w:pStyle w:val="NormalWeb"/>
        <w:spacing w:before="0" w:beforeAutospacing="0" w:after="0" w:afterAutospacing="0" w:line="360" w:lineRule="auto"/>
        <w:jc w:val="both"/>
      </w:pPr>
    </w:p>
    <w:p w14:paraId="5B3667CA" w14:textId="23EE6FA4" w:rsidR="000B72B4" w:rsidRDefault="000B72B4" w:rsidP="00736327">
      <w:pPr>
        <w:pStyle w:val="NormalWeb"/>
        <w:spacing w:before="0" w:beforeAutospacing="0" w:after="0" w:afterAutospacing="0" w:line="360" w:lineRule="auto"/>
        <w:jc w:val="both"/>
      </w:pPr>
      <w:r>
        <w:t xml:space="preserve">As the table shows, in the context of cryptocurrencies’ prices, the lowest mean value is for </w:t>
      </w:r>
      <w:proofErr w:type="spellStart"/>
      <w:r>
        <w:t>Litecoin</w:t>
      </w:r>
      <w:proofErr w:type="spellEnd"/>
      <w:r>
        <w:t>, which is 6.905; and the highest mean value is for Dash, which is 25.540. Moreover, regarding Google Trends, the lowest mean value is for NEM, 0.133; and the highest is for Bitcoin, 8231.954. The graphical presentation of the data is also rendered in figure 1 and figure 2 to explain the possible co</w:t>
      </w:r>
      <w:r w:rsidR="00877F54">
        <w:t>-</w:t>
      </w:r>
      <w:r>
        <w:t>movements between the top six</w:t>
      </w:r>
      <w:r w:rsidR="00736327">
        <w:t xml:space="preserve"> </w:t>
      </w:r>
      <w:r w:rsidRPr="00677D19">
        <w:rPr>
          <w:rStyle w:val="Strong"/>
          <w:b w:val="0"/>
          <w:color w:val="0E101A"/>
        </w:rPr>
        <w:t>cryptocurrencies</w:t>
      </w:r>
      <w:r>
        <w:rPr>
          <w:rStyle w:val="Strong"/>
          <w:b w:val="0"/>
          <w:color w:val="0E101A"/>
        </w:rPr>
        <w:t>’</w:t>
      </w:r>
      <w:r w:rsidRPr="00677D19">
        <w:rPr>
          <w:rStyle w:val="Strong"/>
          <w:b w:val="0"/>
          <w:color w:val="0E101A"/>
        </w:rPr>
        <w:t xml:space="preserve"> prices and</w:t>
      </w:r>
      <w:r w:rsidR="00736327">
        <w:rPr>
          <w:rStyle w:val="Strong"/>
          <w:color w:val="0E101A"/>
        </w:rPr>
        <w:t xml:space="preserve"> </w:t>
      </w:r>
      <w:r>
        <w:t>Google trends.</w:t>
      </w:r>
    </w:p>
    <w:p w14:paraId="513884D4" w14:textId="77777777" w:rsidR="000B72B4" w:rsidRPr="00DF16CC" w:rsidRDefault="000B72B4" w:rsidP="00736327">
      <w:pPr>
        <w:pStyle w:val="NormalWeb"/>
        <w:spacing w:before="0" w:beforeAutospacing="0" w:after="0" w:afterAutospacing="0" w:line="360" w:lineRule="auto"/>
        <w:rPr>
          <w:color w:val="0E101A"/>
        </w:rPr>
      </w:pPr>
    </w:p>
    <w:p w14:paraId="004C87B2" w14:textId="77777777" w:rsidR="000B72B4" w:rsidRDefault="000B72B4" w:rsidP="00B11104">
      <w:pPr>
        <w:pStyle w:val="ListParagraph"/>
        <w:ind w:left="0"/>
        <w:jc w:val="center"/>
        <w:rPr>
          <w:rFonts w:ascii="Times New Roman" w:hAnsi="Times New Roman" w:cs="Times New Roman"/>
          <w:sz w:val="24"/>
          <w:szCs w:val="24"/>
        </w:rPr>
      </w:pPr>
      <w:r>
        <w:rPr>
          <w:noProof/>
        </w:rPr>
        <w:lastRenderedPageBreak/>
        <w:drawing>
          <wp:inline distT="0" distB="0" distL="0" distR="0" wp14:anchorId="6FD5E658" wp14:editId="7BF2ACB6">
            <wp:extent cx="5441474" cy="4345305"/>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0"/>
                    <a:stretch>
                      <a:fillRect/>
                    </a:stretch>
                  </pic:blipFill>
                  <pic:spPr>
                    <a:xfrm>
                      <a:off x="0" y="0"/>
                      <a:ext cx="5484702" cy="4379825"/>
                    </a:xfrm>
                    <a:prstGeom prst="rect">
                      <a:avLst/>
                    </a:prstGeom>
                  </pic:spPr>
                </pic:pic>
              </a:graphicData>
            </a:graphic>
          </wp:inline>
        </w:drawing>
      </w:r>
    </w:p>
    <w:p w14:paraId="12FE6081" w14:textId="77777777" w:rsidR="000B72B4" w:rsidRPr="001C1B46" w:rsidRDefault="000B72B4" w:rsidP="000B72B4">
      <w:pPr>
        <w:pStyle w:val="ListParagraph"/>
        <w:jc w:val="center"/>
        <w:rPr>
          <w:rFonts w:ascii="Times New Roman" w:hAnsi="Times New Roman" w:cs="Times New Roman"/>
          <w:b/>
          <w:sz w:val="20"/>
          <w:szCs w:val="20"/>
        </w:rPr>
      </w:pPr>
      <w:r>
        <w:rPr>
          <w:rFonts w:ascii="Times New Roman" w:hAnsi="Times New Roman" w:cs="Times New Roman"/>
          <w:b/>
          <w:sz w:val="20"/>
          <w:szCs w:val="20"/>
        </w:rPr>
        <w:t>Fig.1. Time</w:t>
      </w:r>
      <w:r w:rsidRPr="001C1B46">
        <w:rPr>
          <w:rFonts w:ascii="Times New Roman" w:hAnsi="Times New Roman" w:cs="Times New Roman"/>
          <w:b/>
          <w:sz w:val="20"/>
          <w:szCs w:val="20"/>
        </w:rPr>
        <w:t xml:space="preserve"> Series of Google-trends and cryptocurrency prices </w:t>
      </w:r>
    </w:p>
    <w:p w14:paraId="43C8E81E" w14:textId="77777777" w:rsidR="000B72B4" w:rsidRDefault="000B72B4" w:rsidP="00B11104">
      <w:pPr>
        <w:pStyle w:val="ListParagraph"/>
        <w:ind w:left="0"/>
        <w:jc w:val="center"/>
        <w:rPr>
          <w:rFonts w:ascii="Times New Roman" w:hAnsi="Times New Roman" w:cs="Times New Roman"/>
          <w:sz w:val="24"/>
          <w:szCs w:val="24"/>
        </w:rPr>
      </w:pPr>
      <w:r>
        <w:rPr>
          <w:noProof/>
        </w:rPr>
        <w:lastRenderedPageBreak/>
        <w:drawing>
          <wp:inline distT="0" distB="0" distL="0" distR="0" wp14:anchorId="27D8ADF1" wp14:editId="3E95B8B6">
            <wp:extent cx="5991225" cy="4460072"/>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1"/>
                    <a:stretch>
                      <a:fillRect/>
                    </a:stretch>
                  </pic:blipFill>
                  <pic:spPr>
                    <a:xfrm>
                      <a:off x="0" y="0"/>
                      <a:ext cx="6002628" cy="4468561"/>
                    </a:xfrm>
                    <a:prstGeom prst="rect">
                      <a:avLst/>
                    </a:prstGeom>
                  </pic:spPr>
                </pic:pic>
              </a:graphicData>
            </a:graphic>
          </wp:inline>
        </w:drawing>
      </w:r>
    </w:p>
    <w:p w14:paraId="0D7D9209" w14:textId="77777777" w:rsidR="000B72B4" w:rsidRDefault="000B72B4" w:rsidP="000B72B4">
      <w:pPr>
        <w:pStyle w:val="ListParagraph"/>
        <w:jc w:val="center"/>
        <w:rPr>
          <w:rFonts w:ascii="Times New Roman" w:hAnsi="Times New Roman" w:cs="Times New Roman"/>
          <w:b/>
          <w:sz w:val="20"/>
          <w:szCs w:val="20"/>
        </w:rPr>
      </w:pPr>
      <w:r w:rsidRPr="001C1B46">
        <w:rPr>
          <w:rFonts w:ascii="Times New Roman" w:hAnsi="Times New Roman" w:cs="Times New Roman"/>
          <w:b/>
          <w:sz w:val="20"/>
          <w:szCs w:val="20"/>
        </w:rPr>
        <w:t xml:space="preserve">Fig. 2. Return Series of Google-trends and cryptocurrency prices </w:t>
      </w:r>
    </w:p>
    <w:p w14:paraId="255825BC" w14:textId="77777777" w:rsidR="000B72B4" w:rsidRDefault="000B72B4" w:rsidP="000B72B4">
      <w:pPr>
        <w:pStyle w:val="ListParagraph"/>
        <w:jc w:val="center"/>
        <w:rPr>
          <w:rFonts w:ascii="Times New Roman" w:hAnsi="Times New Roman" w:cs="Times New Roman"/>
          <w:b/>
          <w:sz w:val="20"/>
          <w:szCs w:val="20"/>
        </w:rPr>
      </w:pPr>
    </w:p>
    <w:p w14:paraId="60C9B063" w14:textId="77777777" w:rsidR="000B72B4" w:rsidRPr="001C1B46" w:rsidRDefault="000B72B4" w:rsidP="000B72B4">
      <w:pPr>
        <w:pStyle w:val="ListParagraph"/>
        <w:jc w:val="center"/>
        <w:rPr>
          <w:rFonts w:ascii="Times New Roman" w:hAnsi="Times New Roman" w:cs="Times New Roman"/>
          <w:b/>
          <w:sz w:val="20"/>
          <w:szCs w:val="20"/>
        </w:rPr>
      </w:pPr>
    </w:p>
    <w:p w14:paraId="6EB10880" w14:textId="77777777" w:rsidR="000B72B4" w:rsidRDefault="000B72B4" w:rsidP="000B72B4">
      <w:pPr>
        <w:pStyle w:val="NormalWeb"/>
        <w:spacing w:before="0" w:beforeAutospacing="0" w:after="0" w:afterAutospacing="0"/>
        <w:jc w:val="center"/>
        <w:rPr>
          <w:rStyle w:val="Strong"/>
          <w:color w:val="0E101A"/>
        </w:rPr>
      </w:pPr>
    </w:p>
    <w:p w14:paraId="18A009F8" w14:textId="1F80E27B" w:rsidR="000B72B4" w:rsidRDefault="000B72B4" w:rsidP="00877F54">
      <w:pPr>
        <w:pStyle w:val="NormalWeb"/>
        <w:spacing w:before="0" w:beforeAutospacing="0" w:after="0" w:afterAutospacing="0" w:line="360" w:lineRule="auto"/>
        <w:jc w:val="both"/>
        <w:rPr>
          <w:color w:val="0E101A"/>
        </w:rPr>
      </w:pPr>
      <w:r>
        <w:rPr>
          <w:color w:val="0E101A"/>
        </w:rPr>
        <w:t>Additionally</w:t>
      </w:r>
      <w:r w:rsidRPr="00DF16CC">
        <w:rPr>
          <w:color w:val="0E101A"/>
        </w:rPr>
        <w:t xml:space="preserve">, the summary statistics reveal that the skewness is positive for both variables. The data </w:t>
      </w:r>
      <w:r>
        <w:rPr>
          <w:color w:val="0E101A"/>
        </w:rPr>
        <w:t>are</w:t>
      </w:r>
      <w:r w:rsidRPr="00DF16CC">
        <w:rPr>
          <w:color w:val="0E101A"/>
        </w:rPr>
        <w:t xml:space="preserve"> skewed right and not perfectly symmetrical. The JB statistic rejects the null hypothesis of normality</w:t>
      </w:r>
      <w:r>
        <w:rPr>
          <w:color w:val="0E101A"/>
        </w:rPr>
        <w:t>,</w:t>
      </w:r>
      <w:r w:rsidRPr="00DF16CC">
        <w:rPr>
          <w:color w:val="0E101A"/>
        </w:rPr>
        <w:t xml:space="preserve"> which is also confirmed </w:t>
      </w:r>
      <w:r>
        <w:rPr>
          <w:color w:val="0E101A"/>
        </w:rPr>
        <w:t>by the</w:t>
      </w:r>
      <w:r w:rsidRPr="00DF16CC">
        <w:rPr>
          <w:color w:val="0E101A"/>
        </w:rPr>
        <w:t xml:space="preserve"> kurtosis and skewness. The </w:t>
      </w:r>
      <w:r>
        <w:rPr>
          <w:color w:val="0E101A"/>
        </w:rPr>
        <w:t>kurtosis</w:t>
      </w:r>
      <w:r w:rsidRPr="00DF16CC">
        <w:rPr>
          <w:color w:val="0E101A"/>
        </w:rPr>
        <w:t xml:space="preserve"> is above three, indicating a fat-tailed distribution and sharp peaks in the series. The fat-tail</w:t>
      </w:r>
      <w:r>
        <w:rPr>
          <w:color w:val="0E101A"/>
        </w:rPr>
        <w:t>ed</w:t>
      </w:r>
      <w:r w:rsidRPr="00DF16CC">
        <w:rPr>
          <w:color w:val="0E101A"/>
        </w:rPr>
        <w:t xml:space="preserve"> property in the variable series confirms the data</w:t>
      </w:r>
      <w:r w:rsidR="00A14BC0">
        <w:rPr>
          <w:color w:val="0E101A"/>
        </w:rPr>
        <w:t>’</w:t>
      </w:r>
      <w:r w:rsidRPr="00DF16CC">
        <w:rPr>
          <w:color w:val="0E101A"/>
        </w:rPr>
        <w:t>s non</w:t>
      </w:r>
      <w:r w:rsidR="00FC543D">
        <w:rPr>
          <w:color w:val="0E101A"/>
        </w:rPr>
        <w:t>-</w:t>
      </w:r>
      <w:r w:rsidRPr="00DF16CC">
        <w:rPr>
          <w:color w:val="0E101A"/>
        </w:rPr>
        <w:t>normal distribution, thus affirming the nonparametric causality approach rather than the linear causality technique.</w:t>
      </w:r>
    </w:p>
    <w:p w14:paraId="4EAB1F1F" w14:textId="77777777" w:rsidR="000B72B4" w:rsidRPr="00BE6BC4" w:rsidRDefault="000B72B4" w:rsidP="00877F54">
      <w:pPr>
        <w:pStyle w:val="NormalWeb"/>
        <w:spacing w:before="0" w:beforeAutospacing="0" w:after="0" w:afterAutospacing="0" w:line="360" w:lineRule="auto"/>
        <w:jc w:val="both"/>
        <w:rPr>
          <w:color w:val="0E101A"/>
        </w:rPr>
      </w:pPr>
    </w:p>
    <w:p w14:paraId="15D5D2AA" w14:textId="6FBD8C33" w:rsidR="000B72B4" w:rsidRDefault="000B72B4" w:rsidP="00877F54">
      <w:pPr>
        <w:pStyle w:val="NormalWeb"/>
        <w:spacing w:before="0" w:beforeAutospacing="0" w:after="0" w:afterAutospacing="0" w:line="360" w:lineRule="auto"/>
        <w:jc w:val="both"/>
        <w:rPr>
          <w:color w:val="0E101A"/>
        </w:rPr>
      </w:pPr>
      <w:r w:rsidRPr="00BE6BC4">
        <w:rPr>
          <w:color w:val="0E101A"/>
        </w:rPr>
        <w:t>Before applying the nonlinear causality-in-quantile technique, the linearity</w:t>
      </w:r>
      <w:r>
        <w:rPr>
          <w:color w:val="0E101A"/>
        </w:rPr>
        <w:t xml:space="preserve"> of the data</w:t>
      </w:r>
      <w:r w:rsidRPr="00BE6BC4">
        <w:rPr>
          <w:color w:val="0E101A"/>
        </w:rPr>
        <w:t xml:space="preserve"> is tested. </w:t>
      </w:r>
      <w:r>
        <w:rPr>
          <w:color w:val="0E101A"/>
        </w:rPr>
        <w:t>We applied the Granger causality test t</w:t>
      </w:r>
      <w:r w:rsidRPr="00BE6BC4">
        <w:rPr>
          <w:color w:val="0E101A"/>
        </w:rPr>
        <w:t xml:space="preserve">o </w:t>
      </w:r>
      <w:r>
        <w:rPr>
          <w:color w:val="0E101A"/>
        </w:rPr>
        <w:t>assess</w:t>
      </w:r>
      <w:r w:rsidRPr="00BE6BC4">
        <w:rPr>
          <w:color w:val="0E101A"/>
        </w:rPr>
        <w:t xml:space="preserve"> the linear </w:t>
      </w:r>
      <w:proofErr w:type="gramStart"/>
      <w:r w:rsidRPr="00BE6BC4">
        <w:rPr>
          <w:color w:val="0E101A"/>
        </w:rPr>
        <w:t>VAR(</w:t>
      </w:r>
      <w:proofErr w:type="gramEnd"/>
      <w:r w:rsidRPr="00BE6BC4">
        <w:rPr>
          <w:color w:val="0E101A"/>
        </w:rPr>
        <w:t>1)</w:t>
      </w:r>
      <w:r w:rsidRPr="00BE6BC4" w:rsidDel="008D27C0">
        <w:rPr>
          <w:color w:val="0E101A"/>
        </w:rPr>
        <w:t xml:space="preserve"> </w:t>
      </w:r>
      <w:r>
        <w:rPr>
          <w:color w:val="0E101A"/>
        </w:rPr>
        <w:t>model</w:t>
      </w:r>
      <w:r w:rsidRPr="00BE6BC4">
        <w:rPr>
          <w:color w:val="0E101A"/>
        </w:rPr>
        <w:t>. Table 2 depicts the test result</w:t>
      </w:r>
      <w:r>
        <w:rPr>
          <w:color w:val="0E101A"/>
        </w:rPr>
        <w:t>s</w:t>
      </w:r>
      <w:r w:rsidRPr="00BE6BC4">
        <w:rPr>
          <w:color w:val="0E101A"/>
        </w:rPr>
        <w:t xml:space="preserve"> and shows that the null hypothesis is not rejected at all significance level</w:t>
      </w:r>
      <w:r>
        <w:rPr>
          <w:color w:val="0E101A"/>
        </w:rPr>
        <w:t>s</w:t>
      </w:r>
      <w:r w:rsidRPr="00BE6BC4">
        <w:rPr>
          <w:color w:val="0E101A"/>
        </w:rPr>
        <w:t>.</w:t>
      </w:r>
    </w:p>
    <w:p w14:paraId="55B878B6" w14:textId="77777777" w:rsidR="00877F54" w:rsidRDefault="00877F54" w:rsidP="00877F54">
      <w:pPr>
        <w:pStyle w:val="NormalWeb"/>
        <w:spacing w:before="0" w:beforeAutospacing="0" w:after="0" w:afterAutospacing="0" w:line="360" w:lineRule="auto"/>
        <w:jc w:val="both"/>
        <w:rPr>
          <w:color w:val="0E101A"/>
        </w:rPr>
      </w:pPr>
    </w:p>
    <w:p w14:paraId="46FF7489" w14:textId="77777777" w:rsidR="000B72B4" w:rsidRPr="00DF16CC" w:rsidRDefault="000B72B4" w:rsidP="000B72B4">
      <w:pPr>
        <w:pStyle w:val="NormalWeb"/>
        <w:spacing w:before="0" w:beforeAutospacing="0" w:after="0" w:afterAutospacing="0"/>
        <w:jc w:val="both"/>
        <w:rPr>
          <w:color w:val="0E101A"/>
        </w:rPr>
      </w:pPr>
    </w:p>
    <w:tbl>
      <w:tblPr>
        <w:tblW w:w="0" w:type="auto"/>
        <w:jc w:val="center"/>
        <w:tblLook w:val="04A0" w:firstRow="1" w:lastRow="0" w:firstColumn="1" w:lastColumn="0" w:noHBand="0" w:noVBand="1"/>
      </w:tblPr>
      <w:tblGrid>
        <w:gridCol w:w="2538"/>
        <w:gridCol w:w="1560"/>
        <w:gridCol w:w="411"/>
        <w:gridCol w:w="411"/>
        <w:gridCol w:w="1800"/>
        <w:gridCol w:w="411"/>
        <w:gridCol w:w="411"/>
        <w:gridCol w:w="1818"/>
      </w:tblGrid>
      <w:tr w:rsidR="000B72B4" w:rsidRPr="00655D8C" w14:paraId="4F4D92EB" w14:textId="77777777" w:rsidTr="001F17F8">
        <w:trPr>
          <w:trHeight w:val="300"/>
          <w:jc w:val="center"/>
        </w:trPr>
        <w:tc>
          <w:tcPr>
            <w:tcW w:w="0" w:type="auto"/>
            <w:gridSpan w:val="8"/>
            <w:tcBorders>
              <w:top w:val="nil"/>
              <w:left w:val="nil"/>
              <w:bottom w:val="single" w:sz="4" w:space="0" w:color="auto"/>
              <w:right w:val="nil"/>
            </w:tcBorders>
            <w:shd w:val="clear" w:color="auto" w:fill="auto"/>
            <w:noWrap/>
            <w:vAlign w:val="bottom"/>
            <w:hideMark/>
          </w:tcPr>
          <w:p w14:paraId="51268F20" w14:textId="77777777" w:rsidR="000B72B4" w:rsidRPr="00655D8C" w:rsidRDefault="000B72B4" w:rsidP="00877F54">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Table 2: Linear Granger causality test</w:t>
            </w:r>
          </w:p>
        </w:tc>
      </w:tr>
      <w:tr w:rsidR="000B72B4" w:rsidRPr="00655D8C" w14:paraId="1EEA476B" w14:textId="77777777" w:rsidTr="001F17F8">
        <w:trPr>
          <w:trHeight w:val="300"/>
          <w:jc w:val="center"/>
        </w:trPr>
        <w:tc>
          <w:tcPr>
            <w:tcW w:w="0" w:type="auto"/>
            <w:gridSpan w:val="3"/>
            <w:tcBorders>
              <w:top w:val="nil"/>
              <w:left w:val="nil"/>
              <w:bottom w:val="single" w:sz="4" w:space="0" w:color="auto"/>
              <w:right w:val="nil"/>
            </w:tcBorders>
            <w:shd w:val="clear" w:color="auto" w:fill="auto"/>
            <w:noWrap/>
            <w:vAlign w:val="center"/>
            <w:hideMark/>
          </w:tcPr>
          <w:p w14:paraId="6E0A2878"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Country</w:t>
            </w:r>
          </w:p>
        </w:tc>
        <w:tc>
          <w:tcPr>
            <w:tcW w:w="0" w:type="auto"/>
            <w:gridSpan w:val="3"/>
            <w:tcBorders>
              <w:top w:val="nil"/>
              <w:left w:val="nil"/>
              <w:bottom w:val="single" w:sz="4" w:space="0" w:color="auto"/>
              <w:right w:val="nil"/>
            </w:tcBorders>
            <w:shd w:val="clear" w:color="auto" w:fill="auto"/>
            <w:vAlign w:val="center"/>
            <w:hideMark/>
          </w:tcPr>
          <w:p w14:paraId="16BF8167"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i/>
                <w:iCs/>
                <w:color w:val="000000"/>
              </w:rPr>
              <w:t>f</w:t>
            </w:r>
            <w:r w:rsidRPr="00655D8C">
              <w:rPr>
                <w:rFonts w:ascii="Times New Roman" w:eastAsia="Times New Roman" w:hAnsi="Times New Roman" w:cs="Times New Roman"/>
                <w:b/>
                <w:bCs/>
                <w:color w:val="000000"/>
              </w:rPr>
              <w:t>-stats</w:t>
            </w:r>
          </w:p>
        </w:tc>
        <w:tc>
          <w:tcPr>
            <w:tcW w:w="0" w:type="auto"/>
            <w:gridSpan w:val="2"/>
            <w:tcBorders>
              <w:top w:val="nil"/>
              <w:left w:val="nil"/>
              <w:bottom w:val="single" w:sz="4" w:space="0" w:color="auto"/>
              <w:right w:val="nil"/>
            </w:tcBorders>
            <w:shd w:val="clear" w:color="auto" w:fill="auto"/>
            <w:noWrap/>
            <w:vAlign w:val="center"/>
            <w:hideMark/>
          </w:tcPr>
          <w:p w14:paraId="4BD3FEFF"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i/>
                <w:iCs/>
                <w:color w:val="000000"/>
              </w:rPr>
              <w:t>p</w:t>
            </w:r>
            <w:r w:rsidRPr="00655D8C">
              <w:rPr>
                <w:rFonts w:ascii="Times New Roman" w:eastAsia="Times New Roman" w:hAnsi="Times New Roman" w:cs="Times New Roman"/>
                <w:b/>
                <w:bCs/>
                <w:color w:val="000000"/>
              </w:rPr>
              <w:t>-value</w:t>
            </w:r>
          </w:p>
        </w:tc>
      </w:tr>
      <w:tr w:rsidR="000B72B4" w:rsidRPr="00655D8C" w14:paraId="6E66E534" w14:textId="77777777" w:rsidTr="001F17F8">
        <w:trPr>
          <w:trHeight w:val="300"/>
          <w:jc w:val="center"/>
        </w:trPr>
        <w:tc>
          <w:tcPr>
            <w:tcW w:w="0" w:type="auto"/>
            <w:gridSpan w:val="3"/>
            <w:tcBorders>
              <w:top w:val="nil"/>
              <w:left w:val="nil"/>
              <w:bottom w:val="nil"/>
              <w:right w:val="nil"/>
            </w:tcBorders>
            <w:shd w:val="clear" w:color="auto" w:fill="auto"/>
            <w:noWrap/>
            <w:vAlign w:val="center"/>
            <w:hideMark/>
          </w:tcPr>
          <w:p w14:paraId="1CC291FD"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gridSpan w:val="3"/>
            <w:tcBorders>
              <w:top w:val="nil"/>
              <w:left w:val="nil"/>
              <w:bottom w:val="nil"/>
              <w:right w:val="nil"/>
            </w:tcBorders>
            <w:shd w:val="clear" w:color="auto" w:fill="auto"/>
            <w:vAlign w:val="center"/>
            <w:hideMark/>
          </w:tcPr>
          <w:p w14:paraId="6F6760A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3.9073</w:t>
            </w:r>
          </w:p>
        </w:tc>
        <w:tc>
          <w:tcPr>
            <w:tcW w:w="0" w:type="auto"/>
            <w:gridSpan w:val="2"/>
            <w:tcBorders>
              <w:top w:val="nil"/>
              <w:left w:val="nil"/>
              <w:bottom w:val="nil"/>
              <w:right w:val="nil"/>
            </w:tcBorders>
            <w:shd w:val="clear" w:color="auto" w:fill="auto"/>
            <w:noWrap/>
            <w:vAlign w:val="center"/>
            <w:hideMark/>
          </w:tcPr>
          <w:p w14:paraId="6BF3433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0.0258</w:t>
            </w:r>
          </w:p>
        </w:tc>
      </w:tr>
      <w:tr w:rsidR="000B72B4" w:rsidRPr="00655D8C" w14:paraId="46121B1F" w14:textId="77777777" w:rsidTr="001F17F8">
        <w:trPr>
          <w:trHeight w:val="300"/>
          <w:jc w:val="center"/>
        </w:trPr>
        <w:tc>
          <w:tcPr>
            <w:tcW w:w="0" w:type="auto"/>
            <w:gridSpan w:val="3"/>
            <w:tcBorders>
              <w:top w:val="nil"/>
              <w:left w:val="nil"/>
              <w:bottom w:val="nil"/>
              <w:right w:val="nil"/>
            </w:tcBorders>
            <w:shd w:val="clear" w:color="auto" w:fill="auto"/>
            <w:noWrap/>
            <w:vAlign w:val="center"/>
            <w:hideMark/>
          </w:tcPr>
          <w:p w14:paraId="7C73F3B3"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gridSpan w:val="3"/>
            <w:tcBorders>
              <w:top w:val="nil"/>
              <w:left w:val="nil"/>
              <w:bottom w:val="nil"/>
              <w:right w:val="nil"/>
            </w:tcBorders>
            <w:shd w:val="clear" w:color="auto" w:fill="auto"/>
            <w:vAlign w:val="center"/>
            <w:hideMark/>
          </w:tcPr>
          <w:p w14:paraId="075904F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0.0701</w:t>
            </w:r>
          </w:p>
        </w:tc>
        <w:tc>
          <w:tcPr>
            <w:tcW w:w="0" w:type="auto"/>
            <w:gridSpan w:val="2"/>
            <w:tcBorders>
              <w:top w:val="nil"/>
              <w:left w:val="nil"/>
              <w:bottom w:val="nil"/>
              <w:right w:val="nil"/>
            </w:tcBorders>
            <w:shd w:val="clear" w:color="auto" w:fill="auto"/>
            <w:noWrap/>
            <w:vAlign w:val="center"/>
            <w:hideMark/>
          </w:tcPr>
          <w:p w14:paraId="7D1FBFE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0.9324</w:t>
            </w:r>
          </w:p>
        </w:tc>
      </w:tr>
      <w:tr w:rsidR="000B72B4" w:rsidRPr="00655D8C" w14:paraId="31773F74" w14:textId="77777777" w:rsidTr="001F17F8">
        <w:trPr>
          <w:trHeight w:val="300"/>
          <w:jc w:val="center"/>
        </w:trPr>
        <w:tc>
          <w:tcPr>
            <w:tcW w:w="0" w:type="auto"/>
            <w:gridSpan w:val="3"/>
            <w:tcBorders>
              <w:top w:val="nil"/>
              <w:left w:val="nil"/>
              <w:bottom w:val="nil"/>
              <w:right w:val="nil"/>
            </w:tcBorders>
            <w:shd w:val="clear" w:color="auto" w:fill="auto"/>
            <w:noWrap/>
            <w:vAlign w:val="center"/>
            <w:hideMark/>
          </w:tcPr>
          <w:p w14:paraId="3FA74735"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gridSpan w:val="3"/>
            <w:tcBorders>
              <w:top w:val="nil"/>
              <w:left w:val="nil"/>
              <w:bottom w:val="nil"/>
              <w:right w:val="nil"/>
            </w:tcBorders>
            <w:shd w:val="clear" w:color="auto" w:fill="auto"/>
            <w:vAlign w:val="center"/>
            <w:hideMark/>
          </w:tcPr>
          <w:p w14:paraId="0F63990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8.1462</w:t>
            </w:r>
          </w:p>
        </w:tc>
        <w:tc>
          <w:tcPr>
            <w:tcW w:w="0" w:type="auto"/>
            <w:gridSpan w:val="2"/>
            <w:tcBorders>
              <w:top w:val="nil"/>
              <w:left w:val="nil"/>
              <w:bottom w:val="nil"/>
              <w:right w:val="nil"/>
            </w:tcBorders>
            <w:shd w:val="clear" w:color="auto" w:fill="auto"/>
            <w:noWrap/>
            <w:vAlign w:val="center"/>
            <w:hideMark/>
          </w:tcPr>
          <w:p w14:paraId="7AF2035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0.0008</w:t>
            </w:r>
          </w:p>
        </w:tc>
      </w:tr>
      <w:tr w:rsidR="000B72B4" w:rsidRPr="00655D8C" w14:paraId="7121769C" w14:textId="77777777" w:rsidTr="001F17F8">
        <w:trPr>
          <w:trHeight w:val="300"/>
          <w:jc w:val="center"/>
        </w:trPr>
        <w:tc>
          <w:tcPr>
            <w:tcW w:w="0" w:type="auto"/>
            <w:gridSpan w:val="3"/>
            <w:tcBorders>
              <w:top w:val="nil"/>
              <w:left w:val="nil"/>
              <w:bottom w:val="nil"/>
              <w:right w:val="nil"/>
            </w:tcBorders>
            <w:shd w:val="clear" w:color="auto" w:fill="auto"/>
            <w:noWrap/>
            <w:vAlign w:val="center"/>
            <w:hideMark/>
          </w:tcPr>
          <w:p w14:paraId="46CA21FA"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gridSpan w:val="3"/>
            <w:tcBorders>
              <w:top w:val="nil"/>
              <w:left w:val="nil"/>
              <w:bottom w:val="nil"/>
              <w:right w:val="nil"/>
            </w:tcBorders>
            <w:shd w:val="clear" w:color="auto" w:fill="auto"/>
            <w:vAlign w:val="center"/>
            <w:hideMark/>
          </w:tcPr>
          <w:p w14:paraId="53864FA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0.3728</w:t>
            </w:r>
          </w:p>
        </w:tc>
        <w:tc>
          <w:tcPr>
            <w:tcW w:w="0" w:type="auto"/>
            <w:gridSpan w:val="2"/>
            <w:tcBorders>
              <w:top w:val="nil"/>
              <w:left w:val="nil"/>
              <w:bottom w:val="nil"/>
              <w:right w:val="nil"/>
            </w:tcBorders>
            <w:shd w:val="clear" w:color="auto" w:fill="auto"/>
            <w:noWrap/>
            <w:vAlign w:val="center"/>
            <w:hideMark/>
          </w:tcPr>
          <w:p w14:paraId="62ABBA9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0.6905</w:t>
            </w:r>
          </w:p>
        </w:tc>
      </w:tr>
      <w:tr w:rsidR="000B72B4" w:rsidRPr="00655D8C" w14:paraId="614D9BF5" w14:textId="77777777" w:rsidTr="001F17F8">
        <w:trPr>
          <w:trHeight w:val="300"/>
          <w:jc w:val="center"/>
        </w:trPr>
        <w:tc>
          <w:tcPr>
            <w:tcW w:w="0" w:type="auto"/>
            <w:gridSpan w:val="3"/>
            <w:tcBorders>
              <w:top w:val="nil"/>
              <w:left w:val="nil"/>
              <w:bottom w:val="nil"/>
              <w:right w:val="nil"/>
            </w:tcBorders>
            <w:shd w:val="clear" w:color="auto" w:fill="auto"/>
            <w:noWrap/>
            <w:vAlign w:val="center"/>
            <w:hideMark/>
          </w:tcPr>
          <w:p w14:paraId="2BD03D61"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gridSpan w:val="3"/>
            <w:tcBorders>
              <w:top w:val="nil"/>
              <w:left w:val="nil"/>
              <w:bottom w:val="nil"/>
              <w:right w:val="nil"/>
            </w:tcBorders>
            <w:shd w:val="clear" w:color="auto" w:fill="auto"/>
            <w:vAlign w:val="center"/>
            <w:hideMark/>
          </w:tcPr>
          <w:p w14:paraId="6ECF6BB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1.0785</w:t>
            </w:r>
          </w:p>
        </w:tc>
        <w:tc>
          <w:tcPr>
            <w:tcW w:w="0" w:type="auto"/>
            <w:gridSpan w:val="2"/>
            <w:tcBorders>
              <w:top w:val="nil"/>
              <w:left w:val="nil"/>
              <w:bottom w:val="nil"/>
              <w:right w:val="nil"/>
            </w:tcBorders>
            <w:shd w:val="clear" w:color="auto" w:fill="auto"/>
            <w:noWrap/>
            <w:vAlign w:val="center"/>
            <w:hideMark/>
          </w:tcPr>
          <w:p w14:paraId="2663E4C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0.3471</w:t>
            </w:r>
          </w:p>
        </w:tc>
      </w:tr>
      <w:tr w:rsidR="000B72B4" w:rsidRPr="00655D8C" w14:paraId="308C4215" w14:textId="77777777" w:rsidTr="001F17F8">
        <w:trPr>
          <w:trHeight w:val="300"/>
          <w:jc w:val="center"/>
        </w:trPr>
        <w:tc>
          <w:tcPr>
            <w:tcW w:w="0" w:type="auto"/>
            <w:gridSpan w:val="3"/>
            <w:tcBorders>
              <w:top w:val="nil"/>
              <w:left w:val="nil"/>
              <w:bottom w:val="single" w:sz="4" w:space="0" w:color="auto"/>
              <w:right w:val="nil"/>
            </w:tcBorders>
            <w:shd w:val="clear" w:color="auto" w:fill="auto"/>
            <w:noWrap/>
            <w:vAlign w:val="center"/>
            <w:hideMark/>
          </w:tcPr>
          <w:p w14:paraId="79650022"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gridSpan w:val="3"/>
            <w:tcBorders>
              <w:top w:val="nil"/>
              <w:left w:val="nil"/>
              <w:bottom w:val="single" w:sz="4" w:space="0" w:color="auto"/>
              <w:right w:val="nil"/>
            </w:tcBorders>
            <w:shd w:val="clear" w:color="auto" w:fill="auto"/>
            <w:vAlign w:val="center"/>
            <w:hideMark/>
          </w:tcPr>
          <w:p w14:paraId="32C31B6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0.5106</w:t>
            </w:r>
          </w:p>
        </w:tc>
        <w:tc>
          <w:tcPr>
            <w:tcW w:w="0" w:type="auto"/>
            <w:gridSpan w:val="2"/>
            <w:tcBorders>
              <w:top w:val="nil"/>
              <w:left w:val="nil"/>
              <w:bottom w:val="single" w:sz="4" w:space="0" w:color="auto"/>
              <w:right w:val="nil"/>
            </w:tcBorders>
            <w:shd w:val="clear" w:color="auto" w:fill="auto"/>
            <w:noWrap/>
            <w:vAlign w:val="center"/>
            <w:hideMark/>
          </w:tcPr>
          <w:p w14:paraId="01FF0C6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0.6029</w:t>
            </w:r>
          </w:p>
        </w:tc>
      </w:tr>
      <w:tr w:rsidR="000B72B4" w:rsidRPr="00655D8C" w14:paraId="3868DBDB" w14:textId="77777777" w:rsidTr="001F17F8">
        <w:trPr>
          <w:trHeight w:val="1335"/>
          <w:jc w:val="center"/>
        </w:trPr>
        <w:tc>
          <w:tcPr>
            <w:tcW w:w="0" w:type="auto"/>
            <w:gridSpan w:val="8"/>
            <w:tcBorders>
              <w:top w:val="nil"/>
              <w:left w:val="nil"/>
              <w:bottom w:val="nil"/>
              <w:right w:val="nil"/>
            </w:tcBorders>
            <w:shd w:val="clear" w:color="auto" w:fill="auto"/>
            <w:vAlign w:val="center"/>
            <w:hideMark/>
          </w:tcPr>
          <w:p w14:paraId="06B706FA" w14:textId="77777777" w:rsidR="000B72B4" w:rsidRDefault="000B72B4" w:rsidP="00A14BC0">
            <w:pPr>
              <w:spacing w:after="0" w:line="240" w:lineRule="auto"/>
              <w:rPr>
                <w:rFonts w:ascii="Times New Roman" w:eastAsia="Times New Roman" w:hAnsi="Times New Roman" w:cs="Times New Roman"/>
                <w:color w:val="000000"/>
                <w:sz w:val="20"/>
                <w:szCs w:val="20"/>
              </w:rPr>
            </w:pPr>
            <w:r w:rsidRPr="00655D8C">
              <w:rPr>
                <w:rFonts w:ascii="Times New Roman" w:eastAsia="Times New Roman" w:hAnsi="Times New Roman" w:cs="Times New Roman"/>
                <w:b/>
                <w:bCs/>
                <w:color w:val="000000"/>
                <w:sz w:val="20"/>
                <w:szCs w:val="20"/>
              </w:rPr>
              <w:t>Note:</w:t>
            </w:r>
            <w:r w:rsidRPr="00655D8C">
              <w:rPr>
                <w:rFonts w:ascii="Times New Roman" w:eastAsia="Times New Roman" w:hAnsi="Times New Roman" w:cs="Times New Roman"/>
                <w:color w:val="000000"/>
                <w:sz w:val="20"/>
                <w:szCs w:val="20"/>
              </w:rPr>
              <w:t xml:space="preserve"> The table reports the F-statistic and prob. value for the no Granger causality restrictions imposed on a linear model under the null hypotheses H0. </w:t>
            </w:r>
            <w:r w:rsidRPr="00655D8C">
              <w:rPr>
                <w:rFonts w:ascii="Times New Roman" w:eastAsia="Times New Roman" w:hAnsi="Times New Roman" w:cs="Times New Roman"/>
                <w:color w:val="000000"/>
                <w:sz w:val="20"/>
                <w:szCs w:val="20"/>
              </w:rPr>
              <w:br/>
              <w:t>All hypotheses indicate acceptance of the null hypothesis of no Granger causality at significance level of 5%.</w:t>
            </w:r>
            <w:r w:rsidRPr="00655D8C">
              <w:rPr>
                <w:rFonts w:ascii="Times New Roman" w:eastAsia="Times New Roman" w:hAnsi="Times New Roman" w:cs="Times New Roman"/>
                <w:color w:val="000000"/>
                <w:sz w:val="20"/>
                <w:szCs w:val="20"/>
              </w:rPr>
              <w:br/>
            </w:r>
            <w:r w:rsidRPr="00655D8C">
              <w:rPr>
                <w:rFonts w:ascii="Times New Roman" w:eastAsia="Times New Roman" w:hAnsi="Times New Roman" w:cs="Times New Roman"/>
                <w:b/>
                <w:bCs/>
                <w:color w:val="000000"/>
                <w:sz w:val="20"/>
                <w:szCs w:val="20"/>
              </w:rPr>
              <w:t>Source:</w:t>
            </w:r>
            <w:r w:rsidRPr="00655D8C">
              <w:rPr>
                <w:rFonts w:ascii="Times New Roman" w:eastAsia="Times New Roman" w:hAnsi="Times New Roman" w:cs="Times New Roman"/>
                <w:color w:val="000000"/>
                <w:sz w:val="20"/>
                <w:szCs w:val="20"/>
              </w:rPr>
              <w:t xml:space="preserve"> Authors</w:t>
            </w:r>
            <w:r w:rsidR="00A14BC0">
              <w:rPr>
                <w:rFonts w:ascii="Times New Roman" w:eastAsia="Times New Roman" w:hAnsi="Times New Roman" w:cs="Times New Roman"/>
                <w:color w:val="000000"/>
                <w:sz w:val="20"/>
                <w:szCs w:val="20"/>
              </w:rPr>
              <w:t>’</w:t>
            </w:r>
            <w:r w:rsidRPr="00655D8C">
              <w:rPr>
                <w:rFonts w:ascii="Times New Roman" w:eastAsia="Times New Roman" w:hAnsi="Times New Roman" w:cs="Times New Roman"/>
                <w:color w:val="000000"/>
                <w:sz w:val="20"/>
                <w:szCs w:val="20"/>
              </w:rPr>
              <w:t xml:space="preserve"> Estimations</w:t>
            </w:r>
          </w:p>
          <w:p w14:paraId="0FCFF7FA" w14:textId="19AFB212" w:rsidR="00002A7B" w:rsidRPr="00655D8C" w:rsidRDefault="00002A7B" w:rsidP="00A14BC0">
            <w:pPr>
              <w:spacing w:after="0" w:line="240" w:lineRule="auto"/>
              <w:rPr>
                <w:rFonts w:ascii="Times New Roman" w:eastAsia="Times New Roman" w:hAnsi="Times New Roman" w:cs="Times New Roman"/>
                <w:color w:val="000000"/>
                <w:sz w:val="20"/>
                <w:szCs w:val="20"/>
              </w:rPr>
            </w:pPr>
          </w:p>
        </w:tc>
      </w:tr>
      <w:tr w:rsidR="000B72B4" w:rsidRPr="00655D8C" w14:paraId="5A859352" w14:textId="77777777" w:rsidTr="000B72B4">
        <w:trPr>
          <w:trHeight w:val="1335"/>
          <w:jc w:val="center"/>
        </w:trPr>
        <w:tc>
          <w:tcPr>
            <w:tcW w:w="0" w:type="auto"/>
            <w:gridSpan w:val="8"/>
            <w:tcBorders>
              <w:top w:val="nil"/>
              <w:left w:val="nil"/>
              <w:bottom w:val="nil"/>
              <w:right w:val="nil"/>
            </w:tcBorders>
            <w:shd w:val="clear" w:color="auto" w:fill="auto"/>
            <w:vAlign w:val="center"/>
            <w:hideMark/>
          </w:tcPr>
          <w:p w14:paraId="36934856" w14:textId="77777777" w:rsidR="00002A7B" w:rsidRDefault="00002A7B" w:rsidP="00877F54">
            <w:pPr>
              <w:spacing w:after="0" w:line="240" w:lineRule="auto"/>
              <w:jc w:val="center"/>
              <w:rPr>
                <w:rFonts w:ascii="Times New Roman" w:eastAsia="Times New Roman" w:hAnsi="Times New Roman" w:cs="Times New Roman"/>
                <w:b/>
                <w:bCs/>
                <w:color w:val="000000"/>
              </w:rPr>
            </w:pPr>
          </w:p>
          <w:p w14:paraId="4B4AE8D4" w14:textId="77777777" w:rsidR="00002A7B" w:rsidRDefault="00002A7B" w:rsidP="00877F54">
            <w:pPr>
              <w:spacing w:after="0" w:line="240" w:lineRule="auto"/>
              <w:jc w:val="center"/>
              <w:rPr>
                <w:rFonts w:ascii="Times New Roman" w:eastAsia="Times New Roman" w:hAnsi="Times New Roman" w:cs="Times New Roman"/>
                <w:b/>
                <w:bCs/>
                <w:color w:val="000000"/>
              </w:rPr>
            </w:pPr>
          </w:p>
          <w:p w14:paraId="13D2E1D6" w14:textId="7AE1FE63" w:rsidR="00002A7B" w:rsidRPr="00002A7B" w:rsidRDefault="00002A7B" w:rsidP="00002A7B">
            <w:pPr>
              <w:spacing w:after="0" w:line="240" w:lineRule="auto"/>
              <w:jc w:val="both"/>
              <w:rPr>
                <w:rFonts w:ascii="Times New Roman" w:eastAsia="Times New Roman" w:hAnsi="Times New Roman" w:cs="Times New Roman"/>
                <w:color w:val="0E101A"/>
                <w:sz w:val="24"/>
                <w:szCs w:val="24"/>
              </w:rPr>
            </w:pPr>
            <w:r w:rsidRPr="00002A7B">
              <w:rPr>
                <w:rFonts w:ascii="Times New Roman" w:eastAsia="Times New Roman" w:hAnsi="Times New Roman" w:cs="Times New Roman"/>
                <w:color w:val="0E101A"/>
                <w:sz w:val="24"/>
                <w:szCs w:val="24"/>
              </w:rPr>
              <w:t xml:space="preserve">Thus, to affirm the presence of nonlinearity between the Google trends and cryptocurrency prices, the BDS test for nonlinearity given by </w:t>
            </w:r>
            <w:proofErr w:type="spellStart"/>
            <w:r w:rsidRPr="00002A7B">
              <w:rPr>
                <w:rFonts w:ascii="Times New Roman" w:eastAsia="Times New Roman" w:hAnsi="Times New Roman" w:cs="Times New Roman"/>
                <w:color w:val="0E101A"/>
                <w:sz w:val="24"/>
                <w:szCs w:val="24"/>
              </w:rPr>
              <w:t>Broock</w:t>
            </w:r>
            <w:proofErr w:type="spellEnd"/>
            <w:r w:rsidRPr="00002A7B">
              <w:rPr>
                <w:rFonts w:ascii="Times New Roman" w:eastAsia="Times New Roman" w:hAnsi="Times New Roman" w:cs="Times New Roman"/>
                <w:color w:val="0E101A"/>
                <w:sz w:val="24"/>
                <w:szCs w:val="24"/>
              </w:rPr>
              <w:t xml:space="preserve"> et al. (1996) is applied. Table 2 depicts the BDS results and shows the null hypothesis rejection at all embedding dimensions (m). The result confirms that the association between the cryptocurrency prices and Google trends is nonlinear. Therefore, the technique emphasizing linear assumptions cannot be considered robust and reliable and lead to misspecification errors (</w:t>
            </w:r>
            <w:proofErr w:type="spellStart"/>
            <w:r w:rsidRPr="00002A7B">
              <w:rPr>
                <w:rFonts w:ascii="Times New Roman" w:eastAsia="Times New Roman" w:hAnsi="Times New Roman" w:cs="Times New Roman"/>
                <w:color w:val="0E101A"/>
                <w:sz w:val="24"/>
                <w:szCs w:val="24"/>
              </w:rPr>
              <w:t>Ajmi</w:t>
            </w:r>
            <w:proofErr w:type="spellEnd"/>
            <w:r w:rsidRPr="00002A7B">
              <w:rPr>
                <w:rFonts w:ascii="Times New Roman" w:eastAsia="Times New Roman" w:hAnsi="Times New Roman" w:cs="Times New Roman"/>
                <w:color w:val="0E101A"/>
                <w:sz w:val="24"/>
                <w:szCs w:val="24"/>
              </w:rPr>
              <w:t xml:space="preserve"> et al., 2015).</w:t>
            </w:r>
          </w:p>
          <w:p w14:paraId="1C2E99E6" w14:textId="77777777" w:rsidR="00002A7B" w:rsidRDefault="00002A7B" w:rsidP="00877F54">
            <w:pPr>
              <w:spacing w:after="0" w:line="240" w:lineRule="auto"/>
              <w:jc w:val="center"/>
              <w:rPr>
                <w:rFonts w:ascii="Times New Roman" w:eastAsia="Times New Roman" w:hAnsi="Times New Roman" w:cs="Times New Roman"/>
                <w:b/>
                <w:bCs/>
                <w:color w:val="000000"/>
              </w:rPr>
            </w:pPr>
          </w:p>
          <w:p w14:paraId="29C73694" w14:textId="77777777" w:rsidR="000B72B4" w:rsidRPr="000B72B4" w:rsidRDefault="000B72B4" w:rsidP="00877F54">
            <w:pPr>
              <w:spacing w:after="0" w:line="240" w:lineRule="auto"/>
              <w:jc w:val="center"/>
              <w:rPr>
                <w:rFonts w:ascii="Times New Roman" w:eastAsia="Times New Roman" w:hAnsi="Times New Roman" w:cs="Times New Roman"/>
                <w:b/>
                <w:bCs/>
                <w:color w:val="000000"/>
                <w:sz w:val="20"/>
                <w:szCs w:val="20"/>
              </w:rPr>
            </w:pPr>
            <w:r w:rsidRPr="00877F54">
              <w:rPr>
                <w:rFonts w:ascii="Times New Roman" w:eastAsia="Times New Roman" w:hAnsi="Times New Roman" w:cs="Times New Roman"/>
                <w:b/>
                <w:bCs/>
                <w:color w:val="000000"/>
              </w:rPr>
              <w:t>Table 3: BDS test for nonlinearity</w:t>
            </w:r>
          </w:p>
        </w:tc>
      </w:tr>
      <w:tr w:rsidR="000B72B4" w:rsidRPr="00655D8C" w14:paraId="1A90C6E3" w14:textId="77777777" w:rsidTr="001F17F8">
        <w:tblPrEx>
          <w:jc w:val="left"/>
        </w:tblPrEx>
        <w:trPr>
          <w:trHeight w:val="300"/>
        </w:trPr>
        <w:tc>
          <w:tcPr>
            <w:tcW w:w="0" w:type="auto"/>
            <w:tcBorders>
              <w:top w:val="nil"/>
              <w:left w:val="nil"/>
              <w:bottom w:val="single" w:sz="4" w:space="0" w:color="auto"/>
              <w:right w:val="nil"/>
            </w:tcBorders>
            <w:shd w:val="clear" w:color="auto" w:fill="auto"/>
            <w:noWrap/>
            <w:vAlign w:val="center"/>
            <w:hideMark/>
          </w:tcPr>
          <w:p w14:paraId="51719C89"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Country</w:t>
            </w:r>
          </w:p>
        </w:tc>
        <w:tc>
          <w:tcPr>
            <w:tcW w:w="0" w:type="auto"/>
            <w:tcBorders>
              <w:top w:val="nil"/>
              <w:left w:val="nil"/>
              <w:bottom w:val="single" w:sz="4" w:space="0" w:color="auto"/>
              <w:right w:val="nil"/>
            </w:tcBorders>
            <w:shd w:val="clear" w:color="auto" w:fill="auto"/>
            <w:noWrap/>
            <w:vAlign w:val="center"/>
            <w:hideMark/>
          </w:tcPr>
          <w:p w14:paraId="0E8F1541" w14:textId="77777777" w:rsidR="000B72B4" w:rsidRPr="00655D8C" w:rsidRDefault="000B72B4" w:rsidP="001F17F8">
            <w:pPr>
              <w:spacing w:after="0" w:line="240" w:lineRule="auto"/>
              <w:jc w:val="center"/>
              <w:rPr>
                <w:rFonts w:ascii="Times New Roman" w:eastAsia="Times New Roman" w:hAnsi="Times New Roman" w:cs="Times New Roman"/>
                <w:b/>
                <w:bCs/>
                <w:i/>
                <w:iCs/>
                <w:color w:val="000000"/>
              </w:rPr>
            </w:pPr>
            <w:r w:rsidRPr="00655D8C">
              <w:rPr>
                <w:rFonts w:ascii="Times New Roman" w:eastAsia="Times New Roman" w:hAnsi="Times New Roman" w:cs="Times New Roman"/>
                <w:b/>
                <w:bCs/>
                <w:i/>
                <w:iCs/>
                <w:color w:val="000000"/>
              </w:rPr>
              <w:t>m</w:t>
            </w:r>
            <w:r w:rsidRPr="00655D8C">
              <w:rPr>
                <w:rFonts w:ascii="Times New Roman" w:eastAsia="Times New Roman" w:hAnsi="Times New Roman" w:cs="Times New Roman"/>
                <w:b/>
                <w:bCs/>
                <w:color w:val="000000"/>
              </w:rPr>
              <w:t>=2</w:t>
            </w:r>
          </w:p>
        </w:tc>
        <w:tc>
          <w:tcPr>
            <w:tcW w:w="0" w:type="auto"/>
            <w:gridSpan w:val="2"/>
            <w:tcBorders>
              <w:top w:val="nil"/>
              <w:left w:val="nil"/>
              <w:bottom w:val="single" w:sz="4" w:space="0" w:color="auto"/>
              <w:right w:val="nil"/>
            </w:tcBorders>
            <w:shd w:val="clear" w:color="auto" w:fill="auto"/>
            <w:noWrap/>
            <w:vAlign w:val="center"/>
            <w:hideMark/>
          </w:tcPr>
          <w:p w14:paraId="222F1E28" w14:textId="77777777" w:rsidR="000B72B4" w:rsidRPr="00655D8C" w:rsidRDefault="000B72B4" w:rsidP="001F17F8">
            <w:pPr>
              <w:spacing w:after="0" w:line="240" w:lineRule="auto"/>
              <w:jc w:val="center"/>
              <w:rPr>
                <w:rFonts w:ascii="Times New Roman" w:eastAsia="Times New Roman" w:hAnsi="Times New Roman" w:cs="Times New Roman"/>
                <w:b/>
                <w:bCs/>
                <w:i/>
                <w:iCs/>
                <w:color w:val="000000"/>
              </w:rPr>
            </w:pPr>
            <w:r w:rsidRPr="00655D8C">
              <w:rPr>
                <w:rFonts w:ascii="Times New Roman" w:eastAsia="Times New Roman" w:hAnsi="Times New Roman" w:cs="Times New Roman"/>
                <w:b/>
                <w:bCs/>
                <w:i/>
                <w:iCs/>
                <w:color w:val="000000"/>
              </w:rPr>
              <w:t>m</w:t>
            </w:r>
            <w:r w:rsidRPr="00655D8C">
              <w:rPr>
                <w:rFonts w:ascii="Times New Roman" w:eastAsia="Times New Roman" w:hAnsi="Times New Roman" w:cs="Times New Roman"/>
                <w:b/>
                <w:bCs/>
                <w:color w:val="000000"/>
              </w:rPr>
              <w:t>=3</w:t>
            </w:r>
          </w:p>
        </w:tc>
        <w:tc>
          <w:tcPr>
            <w:tcW w:w="0" w:type="auto"/>
            <w:tcBorders>
              <w:top w:val="nil"/>
              <w:left w:val="nil"/>
              <w:bottom w:val="single" w:sz="4" w:space="0" w:color="auto"/>
              <w:right w:val="nil"/>
            </w:tcBorders>
            <w:shd w:val="clear" w:color="auto" w:fill="auto"/>
            <w:noWrap/>
            <w:vAlign w:val="center"/>
            <w:hideMark/>
          </w:tcPr>
          <w:p w14:paraId="04A49936" w14:textId="77777777" w:rsidR="000B72B4" w:rsidRPr="00655D8C" w:rsidRDefault="000B72B4" w:rsidP="001F17F8">
            <w:pPr>
              <w:spacing w:after="0" w:line="240" w:lineRule="auto"/>
              <w:jc w:val="center"/>
              <w:rPr>
                <w:rFonts w:ascii="Times New Roman" w:eastAsia="Times New Roman" w:hAnsi="Times New Roman" w:cs="Times New Roman"/>
                <w:b/>
                <w:bCs/>
                <w:i/>
                <w:iCs/>
                <w:color w:val="000000"/>
              </w:rPr>
            </w:pPr>
            <w:r w:rsidRPr="00655D8C">
              <w:rPr>
                <w:rFonts w:ascii="Times New Roman" w:eastAsia="Times New Roman" w:hAnsi="Times New Roman" w:cs="Times New Roman"/>
                <w:b/>
                <w:bCs/>
                <w:i/>
                <w:iCs/>
                <w:color w:val="000000"/>
              </w:rPr>
              <w:t>m</w:t>
            </w:r>
            <w:r w:rsidRPr="00655D8C">
              <w:rPr>
                <w:rFonts w:ascii="Times New Roman" w:eastAsia="Times New Roman" w:hAnsi="Times New Roman" w:cs="Times New Roman"/>
                <w:b/>
                <w:bCs/>
                <w:color w:val="000000"/>
              </w:rPr>
              <w:t>=4</w:t>
            </w:r>
          </w:p>
        </w:tc>
        <w:tc>
          <w:tcPr>
            <w:tcW w:w="0" w:type="auto"/>
            <w:gridSpan w:val="2"/>
            <w:tcBorders>
              <w:top w:val="nil"/>
              <w:left w:val="nil"/>
              <w:bottom w:val="single" w:sz="4" w:space="0" w:color="auto"/>
              <w:right w:val="nil"/>
            </w:tcBorders>
            <w:shd w:val="clear" w:color="auto" w:fill="auto"/>
            <w:noWrap/>
            <w:vAlign w:val="center"/>
            <w:hideMark/>
          </w:tcPr>
          <w:p w14:paraId="39965454" w14:textId="77777777" w:rsidR="000B72B4" w:rsidRPr="00655D8C" w:rsidRDefault="000B72B4" w:rsidP="001F17F8">
            <w:pPr>
              <w:spacing w:after="0" w:line="240" w:lineRule="auto"/>
              <w:jc w:val="center"/>
              <w:rPr>
                <w:rFonts w:ascii="Times New Roman" w:eastAsia="Times New Roman" w:hAnsi="Times New Roman" w:cs="Times New Roman"/>
                <w:b/>
                <w:bCs/>
                <w:i/>
                <w:iCs/>
                <w:color w:val="000000"/>
              </w:rPr>
            </w:pPr>
            <w:r w:rsidRPr="00655D8C">
              <w:rPr>
                <w:rFonts w:ascii="Times New Roman" w:eastAsia="Times New Roman" w:hAnsi="Times New Roman" w:cs="Times New Roman"/>
                <w:b/>
                <w:bCs/>
                <w:i/>
                <w:iCs/>
                <w:color w:val="000000"/>
              </w:rPr>
              <w:t>m</w:t>
            </w:r>
            <w:r w:rsidRPr="00655D8C">
              <w:rPr>
                <w:rFonts w:ascii="Times New Roman" w:eastAsia="Times New Roman" w:hAnsi="Times New Roman" w:cs="Times New Roman"/>
                <w:b/>
                <w:bCs/>
                <w:color w:val="000000"/>
              </w:rPr>
              <w:t>=5</w:t>
            </w:r>
          </w:p>
        </w:tc>
        <w:tc>
          <w:tcPr>
            <w:tcW w:w="0" w:type="auto"/>
            <w:tcBorders>
              <w:top w:val="nil"/>
              <w:left w:val="nil"/>
              <w:bottom w:val="single" w:sz="4" w:space="0" w:color="auto"/>
              <w:right w:val="nil"/>
            </w:tcBorders>
            <w:shd w:val="clear" w:color="auto" w:fill="auto"/>
            <w:noWrap/>
            <w:vAlign w:val="center"/>
            <w:hideMark/>
          </w:tcPr>
          <w:p w14:paraId="572DFEB2" w14:textId="77777777" w:rsidR="000B72B4" w:rsidRPr="00655D8C" w:rsidRDefault="000B72B4" w:rsidP="001F17F8">
            <w:pPr>
              <w:spacing w:after="0" w:line="240" w:lineRule="auto"/>
              <w:jc w:val="center"/>
              <w:rPr>
                <w:rFonts w:ascii="Times New Roman" w:eastAsia="Times New Roman" w:hAnsi="Times New Roman" w:cs="Times New Roman"/>
                <w:b/>
                <w:bCs/>
                <w:i/>
                <w:iCs/>
                <w:color w:val="000000"/>
              </w:rPr>
            </w:pPr>
            <w:r w:rsidRPr="00655D8C">
              <w:rPr>
                <w:rFonts w:ascii="Times New Roman" w:eastAsia="Times New Roman" w:hAnsi="Times New Roman" w:cs="Times New Roman"/>
                <w:b/>
                <w:bCs/>
                <w:i/>
                <w:iCs/>
                <w:color w:val="000000"/>
              </w:rPr>
              <w:t>m</w:t>
            </w:r>
            <w:r w:rsidRPr="00655D8C">
              <w:rPr>
                <w:rFonts w:ascii="Times New Roman" w:eastAsia="Times New Roman" w:hAnsi="Times New Roman" w:cs="Times New Roman"/>
                <w:b/>
                <w:bCs/>
                <w:color w:val="000000"/>
              </w:rPr>
              <w:t>=6</w:t>
            </w:r>
          </w:p>
        </w:tc>
      </w:tr>
      <w:tr w:rsidR="000B72B4" w:rsidRPr="00655D8C" w14:paraId="631E555C" w14:textId="77777777" w:rsidTr="001F17F8">
        <w:tblPrEx>
          <w:jc w:val="left"/>
        </w:tblPrEx>
        <w:trPr>
          <w:trHeight w:val="300"/>
        </w:trPr>
        <w:tc>
          <w:tcPr>
            <w:tcW w:w="0" w:type="auto"/>
            <w:gridSpan w:val="8"/>
            <w:tcBorders>
              <w:top w:val="single" w:sz="4" w:space="0" w:color="auto"/>
              <w:left w:val="nil"/>
              <w:bottom w:val="nil"/>
              <w:right w:val="nil"/>
            </w:tcBorders>
            <w:shd w:val="clear" w:color="auto" w:fill="auto"/>
            <w:noWrap/>
            <w:vAlign w:val="center"/>
            <w:hideMark/>
          </w:tcPr>
          <w:p w14:paraId="3F2AAC3C" w14:textId="77777777" w:rsidR="000B72B4" w:rsidRPr="00655D8C" w:rsidRDefault="000B72B4" w:rsidP="001F17F8">
            <w:pPr>
              <w:spacing w:after="0" w:line="240" w:lineRule="auto"/>
              <w:rPr>
                <w:rFonts w:ascii="Times New Roman" w:eastAsia="Times New Roman" w:hAnsi="Times New Roman" w:cs="Times New Roman"/>
                <w:b/>
                <w:bCs/>
                <w:i/>
                <w:iCs/>
                <w:color w:val="000000"/>
                <w:u w:val="single"/>
              </w:rPr>
            </w:pPr>
            <w:r w:rsidRPr="00655D8C">
              <w:rPr>
                <w:rFonts w:ascii="Times New Roman" w:eastAsia="Times New Roman" w:hAnsi="Times New Roman" w:cs="Times New Roman"/>
                <w:b/>
                <w:bCs/>
                <w:i/>
                <w:iCs/>
                <w:color w:val="000000"/>
                <w:u w:val="single"/>
              </w:rPr>
              <w:t>Google Trends</w:t>
            </w:r>
          </w:p>
        </w:tc>
      </w:tr>
      <w:tr w:rsidR="000B72B4" w:rsidRPr="00655D8C" w14:paraId="0224E003"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1DBD82EA"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tcBorders>
              <w:top w:val="nil"/>
              <w:left w:val="nil"/>
              <w:bottom w:val="nil"/>
              <w:right w:val="nil"/>
            </w:tcBorders>
            <w:shd w:val="clear" w:color="auto" w:fill="auto"/>
            <w:noWrap/>
            <w:vAlign w:val="center"/>
            <w:hideMark/>
          </w:tcPr>
          <w:p w14:paraId="0A54125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8.207</w:t>
            </w:r>
          </w:p>
        </w:tc>
        <w:tc>
          <w:tcPr>
            <w:tcW w:w="0" w:type="auto"/>
            <w:gridSpan w:val="2"/>
            <w:tcBorders>
              <w:top w:val="nil"/>
              <w:left w:val="nil"/>
              <w:bottom w:val="nil"/>
              <w:right w:val="nil"/>
            </w:tcBorders>
            <w:shd w:val="clear" w:color="auto" w:fill="auto"/>
            <w:noWrap/>
            <w:vAlign w:val="center"/>
            <w:hideMark/>
          </w:tcPr>
          <w:p w14:paraId="56506A7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7.675</w:t>
            </w:r>
          </w:p>
        </w:tc>
        <w:tc>
          <w:tcPr>
            <w:tcW w:w="0" w:type="auto"/>
            <w:tcBorders>
              <w:top w:val="nil"/>
              <w:left w:val="nil"/>
              <w:bottom w:val="nil"/>
              <w:right w:val="nil"/>
            </w:tcBorders>
            <w:shd w:val="clear" w:color="auto" w:fill="auto"/>
            <w:noWrap/>
            <w:vAlign w:val="center"/>
            <w:hideMark/>
          </w:tcPr>
          <w:p w14:paraId="6610854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7.139</w:t>
            </w:r>
          </w:p>
        </w:tc>
        <w:tc>
          <w:tcPr>
            <w:tcW w:w="0" w:type="auto"/>
            <w:gridSpan w:val="2"/>
            <w:tcBorders>
              <w:top w:val="nil"/>
              <w:left w:val="nil"/>
              <w:bottom w:val="nil"/>
              <w:right w:val="nil"/>
            </w:tcBorders>
            <w:shd w:val="clear" w:color="auto" w:fill="auto"/>
            <w:noWrap/>
            <w:vAlign w:val="center"/>
            <w:hideMark/>
          </w:tcPr>
          <w:p w14:paraId="22D519C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7.001</w:t>
            </w:r>
          </w:p>
        </w:tc>
        <w:tc>
          <w:tcPr>
            <w:tcW w:w="0" w:type="auto"/>
            <w:tcBorders>
              <w:top w:val="nil"/>
              <w:left w:val="nil"/>
              <w:bottom w:val="nil"/>
              <w:right w:val="nil"/>
            </w:tcBorders>
            <w:shd w:val="clear" w:color="auto" w:fill="auto"/>
            <w:noWrap/>
            <w:vAlign w:val="center"/>
            <w:hideMark/>
          </w:tcPr>
          <w:p w14:paraId="6449E6B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7.584</w:t>
            </w:r>
          </w:p>
        </w:tc>
      </w:tr>
      <w:tr w:rsidR="000B72B4" w:rsidRPr="00655D8C" w14:paraId="64F018CE"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5BB28B49"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tcBorders>
              <w:top w:val="nil"/>
              <w:left w:val="nil"/>
              <w:bottom w:val="nil"/>
              <w:right w:val="nil"/>
            </w:tcBorders>
            <w:shd w:val="clear" w:color="auto" w:fill="auto"/>
            <w:noWrap/>
            <w:vAlign w:val="center"/>
            <w:hideMark/>
          </w:tcPr>
          <w:p w14:paraId="6B96523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6.745</w:t>
            </w:r>
          </w:p>
        </w:tc>
        <w:tc>
          <w:tcPr>
            <w:tcW w:w="0" w:type="auto"/>
            <w:gridSpan w:val="2"/>
            <w:tcBorders>
              <w:top w:val="nil"/>
              <w:left w:val="nil"/>
              <w:bottom w:val="nil"/>
              <w:right w:val="nil"/>
            </w:tcBorders>
            <w:shd w:val="clear" w:color="auto" w:fill="auto"/>
            <w:noWrap/>
            <w:vAlign w:val="center"/>
            <w:hideMark/>
          </w:tcPr>
          <w:p w14:paraId="00DC67D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6.908</w:t>
            </w:r>
          </w:p>
        </w:tc>
        <w:tc>
          <w:tcPr>
            <w:tcW w:w="0" w:type="auto"/>
            <w:tcBorders>
              <w:top w:val="nil"/>
              <w:left w:val="nil"/>
              <w:bottom w:val="nil"/>
              <w:right w:val="nil"/>
            </w:tcBorders>
            <w:shd w:val="clear" w:color="auto" w:fill="auto"/>
            <w:noWrap/>
            <w:vAlign w:val="center"/>
            <w:hideMark/>
          </w:tcPr>
          <w:p w14:paraId="2288599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6.708</w:t>
            </w:r>
          </w:p>
        </w:tc>
        <w:tc>
          <w:tcPr>
            <w:tcW w:w="0" w:type="auto"/>
            <w:gridSpan w:val="2"/>
            <w:tcBorders>
              <w:top w:val="nil"/>
              <w:left w:val="nil"/>
              <w:bottom w:val="nil"/>
              <w:right w:val="nil"/>
            </w:tcBorders>
            <w:shd w:val="clear" w:color="auto" w:fill="auto"/>
            <w:noWrap/>
            <w:vAlign w:val="center"/>
            <w:hideMark/>
          </w:tcPr>
          <w:p w14:paraId="63E15EA1"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6.429</w:t>
            </w:r>
          </w:p>
        </w:tc>
        <w:tc>
          <w:tcPr>
            <w:tcW w:w="0" w:type="auto"/>
            <w:tcBorders>
              <w:top w:val="nil"/>
              <w:left w:val="nil"/>
              <w:bottom w:val="nil"/>
              <w:right w:val="nil"/>
            </w:tcBorders>
            <w:shd w:val="clear" w:color="auto" w:fill="auto"/>
            <w:noWrap/>
            <w:vAlign w:val="center"/>
            <w:hideMark/>
          </w:tcPr>
          <w:p w14:paraId="57F81FFD"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6.183</w:t>
            </w:r>
          </w:p>
        </w:tc>
      </w:tr>
      <w:tr w:rsidR="000B72B4" w:rsidRPr="00655D8C" w14:paraId="7D77C59F"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69F48641"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tcBorders>
              <w:top w:val="nil"/>
              <w:left w:val="nil"/>
              <w:bottom w:val="nil"/>
              <w:right w:val="nil"/>
            </w:tcBorders>
            <w:shd w:val="clear" w:color="auto" w:fill="auto"/>
            <w:noWrap/>
            <w:vAlign w:val="center"/>
            <w:hideMark/>
          </w:tcPr>
          <w:p w14:paraId="64CF494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6.750</w:t>
            </w:r>
          </w:p>
        </w:tc>
        <w:tc>
          <w:tcPr>
            <w:tcW w:w="0" w:type="auto"/>
            <w:gridSpan w:val="2"/>
            <w:tcBorders>
              <w:top w:val="nil"/>
              <w:left w:val="nil"/>
              <w:bottom w:val="nil"/>
              <w:right w:val="nil"/>
            </w:tcBorders>
            <w:shd w:val="clear" w:color="auto" w:fill="auto"/>
            <w:noWrap/>
            <w:vAlign w:val="center"/>
            <w:hideMark/>
          </w:tcPr>
          <w:p w14:paraId="7F3ADE3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6.221</w:t>
            </w:r>
          </w:p>
        </w:tc>
        <w:tc>
          <w:tcPr>
            <w:tcW w:w="0" w:type="auto"/>
            <w:tcBorders>
              <w:top w:val="nil"/>
              <w:left w:val="nil"/>
              <w:bottom w:val="nil"/>
              <w:right w:val="nil"/>
            </w:tcBorders>
            <w:shd w:val="clear" w:color="auto" w:fill="auto"/>
            <w:noWrap/>
            <w:vAlign w:val="center"/>
            <w:hideMark/>
          </w:tcPr>
          <w:p w14:paraId="106BD161"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6.022</w:t>
            </w:r>
          </w:p>
        </w:tc>
        <w:tc>
          <w:tcPr>
            <w:tcW w:w="0" w:type="auto"/>
            <w:gridSpan w:val="2"/>
            <w:tcBorders>
              <w:top w:val="nil"/>
              <w:left w:val="nil"/>
              <w:bottom w:val="nil"/>
              <w:right w:val="nil"/>
            </w:tcBorders>
            <w:shd w:val="clear" w:color="auto" w:fill="auto"/>
            <w:noWrap/>
            <w:vAlign w:val="center"/>
            <w:hideMark/>
          </w:tcPr>
          <w:p w14:paraId="134C313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6.223</w:t>
            </w:r>
          </w:p>
        </w:tc>
        <w:tc>
          <w:tcPr>
            <w:tcW w:w="0" w:type="auto"/>
            <w:tcBorders>
              <w:top w:val="nil"/>
              <w:left w:val="nil"/>
              <w:bottom w:val="nil"/>
              <w:right w:val="nil"/>
            </w:tcBorders>
            <w:shd w:val="clear" w:color="auto" w:fill="auto"/>
            <w:noWrap/>
            <w:vAlign w:val="center"/>
            <w:hideMark/>
          </w:tcPr>
          <w:p w14:paraId="6D08963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7.098</w:t>
            </w:r>
          </w:p>
        </w:tc>
      </w:tr>
      <w:tr w:rsidR="000B72B4" w:rsidRPr="00655D8C" w14:paraId="722AF4DF"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76E55886"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tcBorders>
              <w:top w:val="nil"/>
              <w:left w:val="nil"/>
              <w:bottom w:val="nil"/>
              <w:right w:val="nil"/>
            </w:tcBorders>
            <w:shd w:val="clear" w:color="auto" w:fill="auto"/>
            <w:noWrap/>
            <w:vAlign w:val="center"/>
            <w:hideMark/>
          </w:tcPr>
          <w:p w14:paraId="5781FEF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6.343</w:t>
            </w:r>
          </w:p>
        </w:tc>
        <w:tc>
          <w:tcPr>
            <w:tcW w:w="0" w:type="auto"/>
            <w:gridSpan w:val="2"/>
            <w:tcBorders>
              <w:top w:val="nil"/>
              <w:left w:val="nil"/>
              <w:bottom w:val="nil"/>
              <w:right w:val="nil"/>
            </w:tcBorders>
            <w:shd w:val="clear" w:color="auto" w:fill="auto"/>
            <w:noWrap/>
            <w:vAlign w:val="center"/>
            <w:hideMark/>
          </w:tcPr>
          <w:p w14:paraId="311E63E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5.767</w:t>
            </w:r>
          </w:p>
        </w:tc>
        <w:tc>
          <w:tcPr>
            <w:tcW w:w="0" w:type="auto"/>
            <w:tcBorders>
              <w:top w:val="nil"/>
              <w:left w:val="nil"/>
              <w:bottom w:val="nil"/>
              <w:right w:val="nil"/>
            </w:tcBorders>
            <w:shd w:val="clear" w:color="auto" w:fill="auto"/>
            <w:noWrap/>
            <w:vAlign w:val="center"/>
            <w:hideMark/>
          </w:tcPr>
          <w:p w14:paraId="75EB748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5.166</w:t>
            </w:r>
          </w:p>
        </w:tc>
        <w:tc>
          <w:tcPr>
            <w:tcW w:w="0" w:type="auto"/>
            <w:gridSpan w:val="2"/>
            <w:tcBorders>
              <w:top w:val="nil"/>
              <w:left w:val="nil"/>
              <w:bottom w:val="nil"/>
              <w:right w:val="nil"/>
            </w:tcBorders>
            <w:shd w:val="clear" w:color="auto" w:fill="auto"/>
            <w:noWrap/>
            <w:vAlign w:val="center"/>
            <w:hideMark/>
          </w:tcPr>
          <w:p w14:paraId="64E2303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5.405</w:t>
            </w:r>
          </w:p>
        </w:tc>
        <w:tc>
          <w:tcPr>
            <w:tcW w:w="0" w:type="auto"/>
            <w:tcBorders>
              <w:top w:val="nil"/>
              <w:left w:val="nil"/>
              <w:bottom w:val="nil"/>
              <w:right w:val="nil"/>
            </w:tcBorders>
            <w:shd w:val="clear" w:color="auto" w:fill="auto"/>
            <w:noWrap/>
            <w:vAlign w:val="center"/>
            <w:hideMark/>
          </w:tcPr>
          <w:p w14:paraId="545F96D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6.143</w:t>
            </w:r>
          </w:p>
        </w:tc>
      </w:tr>
      <w:tr w:rsidR="000B72B4" w:rsidRPr="00655D8C" w14:paraId="575E83E6"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7500FA62"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tcBorders>
              <w:top w:val="nil"/>
              <w:left w:val="nil"/>
              <w:bottom w:val="nil"/>
              <w:right w:val="nil"/>
            </w:tcBorders>
            <w:shd w:val="clear" w:color="auto" w:fill="auto"/>
            <w:noWrap/>
            <w:vAlign w:val="center"/>
            <w:hideMark/>
          </w:tcPr>
          <w:p w14:paraId="419266A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4.119</w:t>
            </w:r>
          </w:p>
        </w:tc>
        <w:tc>
          <w:tcPr>
            <w:tcW w:w="0" w:type="auto"/>
            <w:gridSpan w:val="2"/>
            <w:tcBorders>
              <w:top w:val="nil"/>
              <w:left w:val="nil"/>
              <w:bottom w:val="nil"/>
              <w:right w:val="nil"/>
            </w:tcBorders>
            <w:shd w:val="clear" w:color="auto" w:fill="auto"/>
            <w:noWrap/>
            <w:vAlign w:val="center"/>
            <w:hideMark/>
          </w:tcPr>
          <w:p w14:paraId="2879FC6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3.727</w:t>
            </w:r>
          </w:p>
        </w:tc>
        <w:tc>
          <w:tcPr>
            <w:tcW w:w="0" w:type="auto"/>
            <w:tcBorders>
              <w:top w:val="nil"/>
              <w:left w:val="nil"/>
              <w:bottom w:val="nil"/>
              <w:right w:val="nil"/>
            </w:tcBorders>
            <w:shd w:val="clear" w:color="auto" w:fill="auto"/>
            <w:noWrap/>
            <w:vAlign w:val="center"/>
            <w:hideMark/>
          </w:tcPr>
          <w:p w14:paraId="6AD4B11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3.302</w:t>
            </w:r>
          </w:p>
        </w:tc>
        <w:tc>
          <w:tcPr>
            <w:tcW w:w="0" w:type="auto"/>
            <w:gridSpan w:val="2"/>
            <w:tcBorders>
              <w:top w:val="nil"/>
              <w:left w:val="nil"/>
              <w:bottom w:val="nil"/>
              <w:right w:val="nil"/>
            </w:tcBorders>
            <w:shd w:val="clear" w:color="auto" w:fill="auto"/>
            <w:noWrap/>
            <w:vAlign w:val="center"/>
            <w:hideMark/>
          </w:tcPr>
          <w:p w14:paraId="7C99B51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2.966</w:t>
            </w:r>
          </w:p>
        </w:tc>
        <w:tc>
          <w:tcPr>
            <w:tcW w:w="0" w:type="auto"/>
            <w:tcBorders>
              <w:top w:val="nil"/>
              <w:left w:val="nil"/>
              <w:bottom w:val="nil"/>
              <w:right w:val="nil"/>
            </w:tcBorders>
            <w:shd w:val="clear" w:color="auto" w:fill="auto"/>
            <w:noWrap/>
            <w:vAlign w:val="center"/>
            <w:hideMark/>
          </w:tcPr>
          <w:p w14:paraId="2FC5EE9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2.711</w:t>
            </w:r>
          </w:p>
        </w:tc>
      </w:tr>
      <w:tr w:rsidR="000B72B4" w:rsidRPr="00655D8C" w14:paraId="6F180DA9"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5FF6EA1E"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tcBorders>
              <w:top w:val="nil"/>
              <w:left w:val="nil"/>
              <w:bottom w:val="nil"/>
              <w:right w:val="nil"/>
            </w:tcBorders>
            <w:shd w:val="clear" w:color="auto" w:fill="auto"/>
            <w:noWrap/>
            <w:vAlign w:val="center"/>
            <w:hideMark/>
          </w:tcPr>
          <w:p w14:paraId="1E80596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8.007</w:t>
            </w:r>
          </w:p>
        </w:tc>
        <w:tc>
          <w:tcPr>
            <w:tcW w:w="0" w:type="auto"/>
            <w:gridSpan w:val="2"/>
            <w:tcBorders>
              <w:top w:val="nil"/>
              <w:left w:val="nil"/>
              <w:bottom w:val="nil"/>
              <w:right w:val="nil"/>
            </w:tcBorders>
            <w:shd w:val="clear" w:color="auto" w:fill="auto"/>
            <w:noWrap/>
            <w:vAlign w:val="center"/>
            <w:hideMark/>
          </w:tcPr>
          <w:p w14:paraId="3CF218A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7.635</w:t>
            </w:r>
          </w:p>
        </w:tc>
        <w:tc>
          <w:tcPr>
            <w:tcW w:w="0" w:type="auto"/>
            <w:tcBorders>
              <w:top w:val="nil"/>
              <w:left w:val="nil"/>
              <w:bottom w:val="nil"/>
              <w:right w:val="nil"/>
            </w:tcBorders>
            <w:shd w:val="clear" w:color="auto" w:fill="auto"/>
            <w:noWrap/>
            <w:vAlign w:val="center"/>
            <w:hideMark/>
          </w:tcPr>
          <w:p w14:paraId="2EA8E23D"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7.603</w:t>
            </w:r>
          </w:p>
        </w:tc>
        <w:tc>
          <w:tcPr>
            <w:tcW w:w="0" w:type="auto"/>
            <w:gridSpan w:val="2"/>
            <w:tcBorders>
              <w:top w:val="nil"/>
              <w:left w:val="nil"/>
              <w:bottom w:val="nil"/>
              <w:right w:val="nil"/>
            </w:tcBorders>
            <w:shd w:val="clear" w:color="auto" w:fill="auto"/>
            <w:noWrap/>
            <w:vAlign w:val="center"/>
            <w:hideMark/>
          </w:tcPr>
          <w:p w14:paraId="1FFC05A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8.071</w:t>
            </w:r>
          </w:p>
        </w:tc>
        <w:tc>
          <w:tcPr>
            <w:tcW w:w="0" w:type="auto"/>
            <w:tcBorders>
              <w:top w:val="nil"/>
              <w:left w:val="nil"/>
              <w:bottom w:val="nil"/>
              <w:right w:val="nil"/>
            </w:tcBorders>
            <w:shd w:val="clear" w:color="auto" w:fill="auto"/>
            <w:noWrap/>
            <w:vAlign w:val="center"/>
            <w:hideMark/>
          </w:tcPr>
          <w:p w14:paraId="2271495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8.978</w:t>
            </w:r>
          </w:p>
        </w:tc>
      </w:tr>
      <w:tr w:rsidR="000B72B4" w:rsidRPr="00655D8C" w14:paraId="79819F2E"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08D0F1ED" w14:textId="77777777" w:rsidR="000B72B4" w:rsidRPr="00655D8C" w:rsidRDefault="000B72B4" w:rsidP="001F17F8">
            <w:pPr>
              <w:spacing w:after="0" w:line="240" w:lineRule="auto"/>
              <w:jc w:val="center"/>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center"/>
            <w:hideMark/>
          </w:tcPr>
          <w:p w14:paraId="52DDC95E" w14:textId="77777777" w:rsidR="000B72B4" w:rsidRPr="00655D8C" w:rsidRDefault="000B72B4" w:rsidP="001F17F8">
            <w:pPr>
              <w:spacing w:after="0" w:line="240" w:lineRule="auto"/>
              <w:jc w:val="center"/>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218304CD" w14:textId="77777777" w:rsidR="000B72B4" w:rsidRPr="00655D8C" w:rsidRDefault="000B72B4" w:rsidP="001F17F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A5BE44B" w14:textId="77777777" w:rsidR="000B72B4" w:rsidRPr="00655D8C" w:rsidRDefault="000B72B4" w:rsidP="001F17F8">
            <w:pPr>
              <w:spacing w:after="0" w:line="240" w:lineRule="auto"/>
              <w:jc w:val="center"/>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vAlign w:val="center"/>
            <w:hideMark/>
          </w:tcPr>
          <w:p w14:paraId="7251F772" w14:textId="77777777" w:rsidR="000B72B4" w:rsidRPr="00655D8C" w:rsidRDefault="000B72B4" w:rsidP="001F17F8">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D8EC753" w14:textId="77777777" w:rsidR="000B72B4" w:rsidRPr="00655D8C" w:rsidRDefault="000B72B4" w:rsidP="001F17F8">
            <w:pPr>
              <w:spacing w:after="0" w:line="240" w:lineRule="auto"/>
              <w:jc w:val="center"/>
              <w:rPr>
                <w:rFonts w:ascii="Times New Roman" w:eastAsia="Times New Roman" w:hAnsi="Times New Roman" w:cs="Times New Roman"/>
                <w:sz w:val="20"/>
                <w:szCs w:val="20"/>
              </w:rPr>
            </w:pPr>
          </w:p>
        </w:tc>
      </w:tr>
      <w:tr w:rsidR="000B72B4" w:rsidRPr="00655D8C" w14:paraId="1C7C4F96" w14:textId="77777777" w:rsidTr="001F17F8">
        <w:tblPrEx>
          <w:jc w:val="left"/>
        </w:tblPrEx>
        <w:trPr>
          <w:trHeight w:val="300"/>
        </w:trPr>
        <w:tc>
          <w:tcPr>
            <w:tcW w:w="0" w:type="auto"/>
            <w:gridSpan w:val="8"/>
            <w:tcBorders>
              <w:top w:val="nil"/>
              <w:left w:val="nil"/>
              <w:bottom w:val="nil"/>
              <w:right w:val="nil"/>
            </w:tcBorders>
            <w:shd w:val="clear" w:color="auto" w:fill="auto"/>
            <w:noWrap/>
            <w:vAlign w:val="center"/>
            <w:hideMark/>
          </w:tcPr>
          <w:p w14:paraId="7CC4945B" w14:textId="77777777" w:rsidR="000B72B4" w:rsidRPr="00655D8C" w:rsidRDefault="000B72B4" w:rsidP="001F17F8">
            <w:pPr>
              <w:spacing w:after="0" w:line="240" w:lineRule="auto"/>
              <w:rPr>
                <w:rFonts w:ascii="Times New Roman" w:eastAsia="Times New Roman" w:hAnsi="Times New Roman" w:cs="Times New Roman"/>
                <w:b/>
                <w:bCs/>
                <w:i/>
                <w:iCs/>
                <w:color w:val="000000"/>
                <w:u w:val="single"/>
              </w:rPr>
            </w:pPr>
            <w:r w:rsidRPr="00655D8C">
              <w:rPr>
                <w:rFonts w:ascii="Times New Roman" w:eastAsia="Times New Roman" w:hAnsi="Times New Roman" w:cs="Times New Roman"/>
                <w:b/>
                <w:bCs/>
                <w:i/>
                <w:iCs/>
                <w:color w:val="000000"/>
                <w:u w:val="single"/>
              </w:rPr>
              <w:t xml:space="preserve">Prices of </w:t>
            </w:r>
            <w:r>
              <w:rPr>
                <w:rFonts w:ascii="Times New Roman" w:eastAsia="Times New Roman" w:hAnsi="Times New Roman" w:cs="Times New Roman"/>
                <w:b/>
                <w:bCs/>
                <w:i/>
                <w:iCs/>
                <w:color w:val="000000"/>
                <w:u w:val="single"/>
              </w:rPr>
              <w:t>Cryptocurrencies</w:t>
            </w:r>
          </w:p>
        </w:tc>
      </w:tr>
      <w:tr w:rsidR="000B72B4" w:rsidRPr="00655D8C" w14:paraId="443D9F81"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6805EFF4"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tcBorders>
              <w:top w:val="nil"/>
              <w:left w:val="nil"/>
              <w:bottom w:val="nil"/>
              <w:right w:val="nil"/>
            </w:tcBorders>
            <w:shd w:val="clear" w:color="auto" w:fill="auto"/>
            <w:noWrap/>
            <w:vAlign w:val="center"/>
            <w:hideMark/>
          </w:tcPr>
          <w:p w14:paraId="46D341E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9.265</w:t>
            </w:r>
          </w:p>
        </w:tc>
        <w:tc>
          <w:tcPr>
            <w:tcW w:w="0" w:type="auto"/>
            <w:gridSpan w:val="2"/>
            <w:tcBorders>
              <w:top w:val="nil"/>
              <w:left w:val="nil"/>
              <w:bottom w:val="nil"/>
              <w:right w:val="nil"/>
            </w:tcBorders>
            <w:shd w:val="clear" w:color="auto" w:fill="auto"/>
            <w:noWrap/>
            <w:vAlign w:val="center"/>
            <w:hideMark/>
          </w:tcPr>
          <w:p w14:paraId="319401BA"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8.993</w:t>
            </w:r>
          </w:p>
        </w:tc>
        <w:tc>
          <w:tcPr>
            <w:tcW w:w="0" w:type="auto"/>
            <w:tcBorders>
              <w:top w:val="nil"/>
              <w:left w:val="nil"/>
              <w:bottom w:val="nil"/>
              <w:right w:val="nil"/>
            </w:tcBorders>
            <w:shd w:val="clear" w:color="auto" w:fill="auto"/>
            <w:noWrap/>
            <w:vAlign w:val="center"/>
            <w:hideMark/>
          </w:tcPr>
          <w:p w14:paraId="1613090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8.751</w:t>
            </w:r>
          </w:p>
        </w:tc>
        <w:tc>
          <w:tcPr>
            <w:tcW w:w="0" w:type="auto"/>
            <w:gridSpan w:val="2"/>
            <w:tcBorders>
              <w:top w:val="nil"/>
              <w:left w:val="nil"/>
              <w:bottom w:val="nil"/>
              <w:right w:val="nil"/>
            </w:tcBorders>
            <w:shd w:val="clear" w:color="auto" w:fill="auto"/>
            <w:noWrap/>
            <w:vAlign w:val="center"/>
            <w:hideMark/>
          </w:tcPr>
          <w:p w14:paraId="734D02F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8.548</w:t>
            </w:r>
          </w:p>
        </w:tc>
        <w:tc>
          <w:tcPr>
            <w:tcW w:w="0" w:type="auto"/>
            <w:tcBorders>
              <w:top w:val="nil"/>
              <w:left w:val="nil"/>
              <w:bottom w:val="nil"/>
              <w:right w:val="nil"/>
            </w:tcBorders>
            <w:shd w:val="clear" w:color="auto" w:fill="auto"/>
            <w:noWrap/>
            <w:vAlign w:val="center"/>
            <w:hideMark/>
          </w:tcPr>
          <w:p w14:paraId="6C779FE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8.237</w:t>
            </w:r>
          </w:p>
        </w:tc>
      </w:tr>
      <w:tr w:rsidR="000B72B4" w:rsidRPr="00655D8C" w14:paraId="11AE5516"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0B1D0231"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tcBorders>
              <w:top w:val="nil"/>
              <w:left w:val="nil"/>
              <w:bottom w:val="nil"/>
              <w:right w:val="nil"/>
            </w:tcBorders>
            <w:shd w:val="clear" w:color="auto" w:fill="auto"/>
            <w:noWrap/>
            <w:vAlign w:val="center"/>
            <w:hideMark/>
          </w:tcPr>
          <w:p w14:paraId="72E9BB9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9.827</w:t>
            </w:r>
          </w:p>
        </w:tc>
        <w:tc>
          <w:tcPr>
            <w:tcW w:w="0" w:type="auto"/>
            <w:gridSpan w:val="2"/>
            <w:tcBorders>
              <w:top w:val="nil"/>
              <w:left w:val="nil"/>
              <w:bottom w:val="nil"/>
              <w:right w:val="nil"/>
            </w:tcBorders>
            <w:shd w:val="clear" w:color="auto" w:fill="auto"/>
            <w:noWrap/>
            <w:vAlign w:val="center"/>
            <w:hideMark/>
          </w:tcPr>
          <w:p w14:paraId="0BCF372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10.235</w:t>
            </w:r>
          </w:p>
        </w:tc>
        <w:tc>
          <w:tcPr>
            <w:tcW w:w="0" w:type="auto"/>
            <w:tcBorders>
              <w:top w:val="nil"/>
              <w:left w:val="nil"/>
              <w:bottom w:val="nil"/>
              <w:right w:val="nil"/>
            </w:tcBorders>
            <w:shd w:val="clear" w:color="auto" w:fill="auto"/>
            <w:noWrap/>
            <w:vAlign w:val="center"/>
            <w:hideMark/>
          </w:tcPr>
          <w:p w14:paraId="278380CD"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10.847</w:t>
            </w:r>
          </w:p>
        </w:tc>
        <w:tc>
          <w:tcPr>
            <w:tcW w:w="0" w:type="auto"/>
            <w:gridSpan w:val="2"/>
            <w:tcBorders>
              <w:top w:val="nil"/>
              <w:left w:val="nil"/>
              <w:bottom w:val="nil"/>
              <w:right w:val="nil"/>
            </w:tcBorders>
            <w:shd w:val="clear" w:color="auto" w:fill="auto"/>
            <w:noWrap/>
            <w:vAlign w:val="center"/>
            <w:hideMark/>
          </w:tcPr>
          <w:p w14:paraId="7AF103B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11.530</w:t>
            </w:r>
          </w:p>
        </w:tc>
        <w:tc>
          <w:tcPr>
            <w:tcW w:w="0" w:type="auto"/>
            <w:tcBorders>
              <w:top w:val="nil"/>
              <w:left w:val="nil"/>
              <w:bottom w:val="nil"/>
              <w:right w:val="nil"/>
            </w:tcBorders>
            <w:shd w:val="clear" w:color="auto" w:fill="auto"/>
            <w:noWrap/>
            <w:vAlign w:val="center"/>
            <w:hideMark/>
          </w:tcPr>
          <w:p w14:paraId="0B27D1F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12.398</w:t>
            </w:r>
          </w:p>
        </w:tc>
      </w:tr>
      <w:tr w:rsidR="000B72B4" w:rsidRPr="00655D8C" w14:paraId="28C6B1F5"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6802DF7E"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tcBorders>
              <w:top w:val="nil"/>
              <w:left w:val="nil"/>
              <w:bottom w:val="nil"/>
              <w:right w:val="nil"/>
            </w:tcBorders>
            <w:shd w:val="clear" w:color="auto" w:fill="auto"/>
            <w:noWrap/>
            <w:vAlign w:val="center"/>
            <w:hideMark/>
          </w:tcPr>
          <w:p w14:paraId="5144CEF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7.755</w:t>
            </w:r>
          </w:p>
        </w:tc>
        <w:tc>
          <w:tcPr>
            <w:tcW w:w="0" w:type="auto"/>
            <w:gridSpan w:val="2"/>
            <w:tcBorders>
              <w:top w:val="nil"/>
              <w:left w:val="nil"/>
              <w:bottom w:val="nil"/>
              <w:right w:val="nil"/>
            </w:tcBorders>
            <w:shd w:val="clear" w:color="auto" w:fill="auto"/>
            <w:noWrap/>
            <w:vAlign w:val="center"/>
            <w:hideMark/>
          </w:tcPr>
          <w:p w14:paraId="57C4028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7.617</w:t>
            </w:r>
          </w:p>
        </w:tc>
        <w:tc>
          <w:tcPr>
            <w:tcW w:w="0" w:type="auto"/>
            <w:tcBorders>
              <w:top w:val="nil"/>
              <w:left w:val="nil"/>
              <w:bottom w:val="nil"/>
              <w:right w:val="nil"/>
            </w:tcBorders>
            <w:shd w:val="clear" w:color="auto" w:fill="auto"/>
            <w:noWrap/>
            <w:vAlign w:val="center"/>
            <w:hideMark/>
          </w:tcPr>
          <w:p w14:paraId="15A14B5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7.267</w:t>
            </w:r>
          </w:p>
        </w:tc>
        <w:tc>
          <w:tcPr>
            <w:tcW w:w="0" w:type="auto"/>
            <w:gridSpan w:val="2"/>
            <w:tcBorders>
              <w:top w:val="nil"/>
              <w:left w:val="nil"/>
              <w:bottom w:val="nil"/>
              <w:right w:val="nil"/>
            </w:tcBorders>
            <w:shd w:val="clear" w:color="auto" w:fill="auto"/>
            <w:noWrap/>
            <w:vAlign w:val="center"/>
            <w:hideMark/>
          </w:tcPr>
          <w:p w14:paraId="67D2E8D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7.213</w:t>
            </w:r>
          </w:p>
        </w:tc>
        <w:tc>
          <w:tcPr>
            <w:tcW w:w="0" w:type="auto"/>
            <w:tcBorders>
              <w:top w:val="nil"/>
              <w:left w:val="nil"/>
              <w:bottom w:val="nil"/>
              <w:right w:val="nil"/>
            </w:tcBorders>
            <w:shd w:val="clear" w:color="auto" w:fill="auto"/>
            <w:noWrap/>
            <w:vAlign w:val="center"/>
            <w:hideMark/>
          </w:tcPr>
          <w:p w14:paraId="213C7E51"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7.365</w:t>
            </w:r>
          </w:p>
        </w:tc>
      </w:tr>
      <w:tr w:rsidR="000B72B4" w:rsidRPr="00655D8C" w14:paraId="535B24BF"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69A5D73F"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tcBorders>
              <w:top w:val="nil"/>
              <w:left w:val="nil"/>
              <w:bottom w:val="nil"/>
              <w:right w:val="nil"/>
            </w:tcBorders>
            <w:shd w:val="clear" w:color="auto" w:fill="auto"/>
            <w:noWrap/>
            <w:vAlign w:val="center"/>
            <w:hideMark/>
          </w:tcPr>
          <w:p w14:paraId="1A3F848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9.475</w:t>
            </w:r>
          </w:p>
        </w:tc>
        <w:tc>
          <w:tcPr>
            <w:tcW w:w="0" w:type="auto"/>
            <w:gridSpan w:val="2"/>
            <w:tcBorders>
              <w:top w:val="nil"/>
              <w:left w:val="nil"/>
              <w:bottom w:val="nil"/>
              <w:right w:val="nil"/>
            </w:tcBorders>
            <w:shd w:val="clear" w:color="auto" w:fill="auto"/>
            <w:noWrap/>
            <w:vAlign w:val="center"/>
            <w:hideMark/>
          </w:tcPr>
          <w:p w14:paraId="11CBCD1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9.040</w:t>
            </w:r>
          </w:p>
        </w:tc>
        <w:tc>
          <w:tcPr>
            <w:tcW w:w="0" w:type="auto"/>
            <w:tcBorders>
              <w:top w:val="nil"/>
              <w:left w:val="nil"/>
              <w:bottom w:val="nil"/>
              <w:right w:val="nil"/>
            </w:tcBorders>
            <w:shd w:val="clear" w:color="auto" w:fill="auto"/>
            <w:noWrap/>
            <w:vAlign w:val="center"/>
            <w:hideMark/>
          </w:tcPr>
          <w:p w14:paraId="5287BEFA"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8.776</w:t>
            </w:r>
          </w:p>
        </w:tc>
        <w:tc>
          <w:tcPr>
            <w:tcW w:w="0" w:type="auto"/>
            <w:gridSpan w:val="2"/>
            <w:tcBorders>
              <w:top w:val="nil"/>
              <w:left w:val="nil"/>
              <w:bottom w:val="nil"/>
              <w:right w:val="nil"/>
            </w:tcBorders>
            <w:shd w:val="clear" w:color="auto" w:fill="auto"/>
            <w:noWrap/>
            <w:vAlign w:val="center"/>
            <w:hideMark/>
          </w:tcPr>
          <w:p w14:paraId="3CB64B9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8.609</w:t>
            </w:r>
          </w:p>
        </w:tc>
        <w:tc>
          <w:tcPr>
            <w:tcW w:w="0" w:type="auto"/>
            <w:tcBorders>
              <w:top w:val="nil"/>
              <w:left w:val="nil"/>
              <w:bottom w:val="nil"/>
              <w:right w:val="nil"/>
            </w:tcBorders>
            <w:shd w:val="clear" w:color="auto" w:fill="auto"/>
            <w:noWrap/>
            <w:vAlign w:val="center"/>
            <w:hideMark/>
          </w:tcPr>
          <w:p w14:paraId="387DF63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9.064</w:t>
            </w:r>
          </w:p>
        </w:tc>
      </w:tr>
      <w:tr w:rsidR="000B72B4" w:rsidRPr="00655D8C" w14:paraId="22D230BA" w14:textId="77777777" w:rsidTr="001F17F8">
        <w:tblPrEx>
          <w:jc w:val="left"/>
        </w:tblPrEx>
        <w:trPr>
          <w:trHeight w:val="300"/>
        </w:trPr>
        <w:tc>
          <w:tcPr>
            <w:tcW w:w="0" w:type="auto"/>
            <w:tcBorders>
              <w:top w:val="nil"/>
              <w:left w:val="nil"/>
              <w:bottom w:val="nil"/>
              <w:right w:val="nil"/>
            </w:tcBorders>
            <w:shd w:val="clear" w:color="auto" w:fill="auto"/>
            <w:noWrap/>
            <w:vAlign w:val="center"/>
            <w:hideMark/>
          </w:tcPr>
          <w:p w14:paraId="6A9D96E4"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tcBorders>
              <w:top w:val="nil"/>
              <w:left w:val="nil"/>
              <w:bottom w:val="nil"/>
              <w:right w:val="nil"/>
            </w:tcBorders>
            <w:shd w:val="clear" w:color="auto" w:fill="auto"/>
            <w:noWrap/>
            <w:vAlign w:val="center"/>
            <w:hideMark/>
          </w:tcPr>
          <w:p w14:paraId="3AB28B0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7.156</w:t>
            </w:r>
          </w:p>
        </w:tc>
        <w:tc>
          <w:tcPr>
            <w:tcW w:w="0" w:type="auto"/>
            <w:gridSpan w:val="2"/>
            <w:tcBorders>
              <w:top w:val="nil"/>
              <w:left w:val="nil"/>
              <w:bottom w:val="nil"/>
              <w:right w:val="nil"/>
            </w:tcBorders>
            <w:shd w:val="clear" w:color="auto" w:fill="auto"/>
            <w:noWrap/>
            <w:vAlign w:val="center"/>
            <w:hideMark/>
          </w:tcPr>
          <w:p w14:paraId="6E8D9D4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6.602</w:t>
            </w:r>
          </w:p>
        </w:tc>
        <w:tc>
          <w:tcPr>
            <w:tcW w:w="0" w:type="auto"/>
            <w:tcBorders>
              <w:top w:val="nil"/>
              <w:left w:val="nil"/>
              <w:bottom w:val="nil"/>
              <w:right w:val="nil"/>
            </w:tcBorders>
            <w:shd w:val="clear" w:color="auto" w:fill="auto"/>
            <w:noWrap/>
            <w:vAlign w:val="center"/>
            <w:hideMark/>
          </w:tcPr>
          <w:p w14:paraId="49D8B7E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7.203</w:t>
            </w:r>
          </w:p>
        </w:tc>
        <w:tc>
          <w:tcPr>
            <w:tcW w:w="0" w:type="auto"/>
            <w:gridSpan w:val="2"/>
            <w:tcBorders>
              <w:top w:val="nil"/>
              <w:left w:val="nil"/>
              <w:bottom w:val="nil"/>
              <w:right w:val="nil"/>
            </w:tcBorders>
            <w:shd w:val="clear" w:color="auto" w:fill="auto"/>
            <w:noWrap/>
            <w:vAlign w:val="center"/>
            <w:hideMark/>
          </w:tcPr>
          <w:p w14:paraId="1A1377BA"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8.163</w:t>
            </w:r>
          </w:p>
        </w:tc>
        <w:tc>
          <w:tcPr>
            <w:tcW w:w="0" w:type="auto"/>
            <w:tcBorders>
              <w:top w:val="nil"/>
              <w:left w:val="nil"/>
              <w:bottom w:val="nil"/>
              <w:right w:val="nil"/>
            </w:tcBorders>
            <w:shd w:val="clear" w:color="auto" w:fill="auto"/>
            <w:noWrap/>
            <w:vAlign w:val="center"/>
            <w:hideMark/>
          </w:tcPr>
          <w:p w14:paraId="77E4E28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9.159</w:t>
            </w:r>
          </w:p>
        </w:tc>
      </w:tr>
      <w:tr w:rsidR="000B72B4" w:rsidRPr="00655D8C" w14:paraId="58EACB73" w14:textId="77777777" w:rsidTr="001F17F8">
        <w:tblPrEx>
          <w:jc w:val="left"/>
        </w:tblPrEx>
        <w:trPr>
          <w:trHeight w:val="300"/>
        </w:trPr>
        <w:tc>
          <w:tcPr>
            <w:tcW w:w="0" w:type="auto"/>
            <w:tcBorders>
              <w:top w:val="nil"/>
              <w:left w:val="nil"/>
              <w:bottom w:val="single" w:sz="4" w:space="0" w:color="auto"/>
              <w:right w:val="nil"/>
            </w:tcBorders>
            <w:shd w:val="clear" w:color="auto" w:fill="auto"/>
            <w:noWrap/>
            <w:vAlign w:val="center"/>
            <w:hideMark/>
          </w:tcPr>
          <w:p w14:paraId="74A41C85"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tcBorders>
              <w:top w:val="nil"/>
              <w:left w:val="nil"/>
              <w:bottom w:val="nil"/>
              <w:right w:val="nil"/>
            </w:tcBorders>
            <w:shd w:val="clear" w:color="auto" w:fill="auto"/>
            <w:noWrap/>
            <w:vAlign w:val="center"/>
            <w:hideMark/>
          </w:tcPr>
          <w:p w14:paraId="56E7090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7.875</w:t>
            </w:r>
          </w:p>
        </w:tc>
        <w:tc>
          <w:tcPr>
            <w:tcW w:w="0" w:type="auto"/>
            <w:gridSpan w:val="2"/>
            <w:tcBorders>
              <w:top w:val="nil"/>
              <w:left w:val="nil"/>
              <w:bottom w:val="nil"/>
              <w:right w:val="nil"/>
            </w:tcBorders>
            <w:shd w:val="clear" w:color="auto" w:fill="auto"/>
            <w:noWrap/>
            <w:vAlign w:val="center"/>
            <w:hideMark/>
          </w:tcPr>
          <w:p w14:paraId="7853704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8.586</w:t>
            </w:r>
          </w:p>
        </w:tc>
        <w:tc>
          <w:tcPr>
            <w:tcW w:w="0" w:type="auto"/>
            <w:tcBorders>
              <w:top w:val="nil"/>
              <w:left w:val="nil"/>
              <w:bottom w:val="nil"/>
              <w:right w:val="nil"/>
            </w:tcBorders>
            <w:shd w:val="clear" w:color="auto" w:fill="auto"/>
            <w:noWrap/>
            <w:vAlign w:val="center"/>
            <w:hideMark/>
          </w:tcPr>
          <w:p w14:paraId="3406EF8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8.499</w:t>
            </w:r>
          </w:p>
        </w:tc>
        <w:tc>
          <w:tcPr>
            <w:tcW w:w="0" w:type="auto"/>
            <w:gridSpan w:val="2"/>
            <w:tcBorders>
              <w:top w:val="nil"/>
              <w:left w:val="nil"/>
              <w:bottom w:val="nil"/>
              <w:right w:val="nil"/>
            </w:tcBorders>
            <w:shd w:val="clear" w:color="auto" w:fill="auto"/>
            <w:noWrap/>
            <w:vAlign w:val="center"/>
            <w:hideMark/>
          </w:tcPr>
          <w:p w14:paraId="091F7CE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9.427</w:t>
            </w:r>
          </w:p>
        </w:tc>
        <w:tc>
          <w:tcPr>
            <w:tcW w:w="0" w:type="auto"/>
            <w:tcBorders>
              <w:top w:val="nil"/>
              <w:left w:val="nil"/>
              <w:bottom w:val="nil"/>
              <w:right w:val="nil"/>
            </w:tcBorders>
            <w:shd w:val="clear" w:color="auto" w:fill="auto"/>
            <w:noWrap/>
            <w:vAlign w:val="center"/>
            <w:hideMark/>
          </w:tcPr>
          <w:p w14:paraId="1806D37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9.489</w:t>
            </w:r>
          </w:p>
        </w:tc>
      </w:tr>
      <w:tr w:rsidR="000B72B4" w:rsidRPr="00655D8C" w14:paraId="0DBB3149" w14:textId="77777777" w:rsidTr="001F17F8">
        <w:tblPrEx>
          <w:jc w:val="left"/>
        </w:tblPrEx>
        <w:trPr>
          <w:trHeight w:val="825"/>
        </w:trPr>
        <w:tc>
          <w:tcPr>
            <w:tcW w:w="0" w:type="auto"/>
            <w:gridSpan w:val="8"/>
            <w:tcBorders>
              <w:top w:val="single" w:sz="4" w:space="0" w:color="auto"/>
              <w:left w:val="nil"/>
              <w:bottom w:val="nil"/>
              <w:right w:val="nil"/>
            </w:tcBorders>
            <w:shd w:val="clear" w:color="auto" w:fill="auto"/>
            <w:vAlign w:val="center"/>
            <w:hideMark/>
          </w:tcPr>
          <w:p w14:paraId="428BF177" w14:textId="6C33EC70" w:rsidR="000B72B4" w:rsidRPr="00655D8C" w:rsidRDefault="000B72B4" w:rsidP="00A14BC0">
            <w:pPr>
              <w:spacing w:after="0" w:line="240" w:lineRule="auto"/>
              <w:rPr>
                <w:rFonts w:ascii="Times New Roman" w:eastAsia="Times New Roman" w:hAnsi="Times New Roman" w:cs="Times New Roman"/>
                <w:color w:val="000000"/>
                <w:sz w:val="20"/>
                <w:szCs w:val="20"/>
              </w:rPr>
            </w:pPr>
            <w:r w:rsidRPr="00655D8C">
              <w:rPr>
                <w:rFonts w:ascii="Times New Roman" w:eastAsia="Times New Roman" w:hAnsi="Times New Roman" w:cs="Times New Roman"/>
                <w:b/>
                <w:bCs/>
                <w:color w:val="000000"/>
                <w:sz w:val="20"/>
                <w:szCs w:val="20"/>
              </w:rPr>
              <w:t>Note:</w:t>
            </w:r>
            <w:r w:rsidRPr="00655D8C">
              <w:rPr>
                <w:rFonts w:ascii="Times New Roman" w:eastAsia="Times New Roman" w:hAnsi="Times New Roman" w:cs="Times New Roman"/>
                <w:color w:val="000000"/>
                <w:sz w:val="20"/>
                <w:szCs w:val="20"/>
              </w:rPr>
              <w:t xml:space="preserve"> The entries indicate the z-statistics BDS test based on the residuals of considered variables. </w:t>
            </w:r>
            <w:proofErr w:type="gramStart"/>
            <w:r w:rsidRPr="00655D8C">
              <w:rPr>
                <w:rFonts w:ascii="Times New Roman" w:eastAsia="Times New Roman" w:hAnsi="Times New Roman" w:cs="Times New Roman"/>
                <w:i/>
                <w:iCs/>
                <w:color w:val="000000"/>
                <w:sz w:val="20"/>
                <w:szCs w:val="20"/>
              </w:rPr>
              <w:t>m</w:t>
            </w:r>
            <w:proofErr w:type="gramEnd"/>
            <w:r w:rsidRPr="00655D8C">
              <w:rPr>
                <w:rFonts w:ascii="Times New Roman" w:eastAsia="Times New Roman" w:hAnsi="Times New Roman" w:cs="Times New Roman"/>
                <w:i/>
                <w:iCs/>
                <w:color w:val="000000"/>
                <w:sz w:val="20"/>
                <w:szCs w:val="20"/>
              </w:rPr>
              <w:t xml:space="preserve"> </w:t>
            </w:r>
            <w:r w:rsidRPr="00655D8C">
              <w:rPr>
                <w:rFonts w:ascii="Times New Roman" w:eastAsia="Times New Roman" w:hAnsi="Times New Roman" w:cs="Times New Roman"/>
                <w:color w:val="000000"/>
                <w:sz w:val="20"/>
                <w:szCs w:val="20"/>
              </w:rPr>
              <w:t xml:space="preserve">denotes the embedding dimension of the BDS test. All hypothesis are rejected at 1% of significance level. </w:t>
            </w:r>
            <w:r w:rsidRPr="00655D8C">
              <w:rPr>
                <w:rFonts w:ascii="Times New Roman" w:eastAsia="Times New Roman" w:hAnsi="Times New Roman" w:cs="Times New Roman"/>
                <w:color w:val="000000"/>
                <w:sz w:val="20"/>
                <w:szCs w:val="20"/>
              </w:rPr>
              <w:br/>
            </w:r>
            <w:r w:rsidRPr="00655D8C">
              <w:rPr>
                <w:rFonts w:ascii="Times New Roman" w:eastAsia="Times New Roman" w:hAnsi="Times New Roman" w:cs="Times New Roman"/>
                <w:b/>
                <w:bCs/>
                <w:color w:val="000000"/>
                <w:sz w:val="20"/>
                <w:szCs w:val="20"/>
              </w:rPr>
              <w:t>Source:</w:t>
            </w:r>
            <w:r w:rsidRPr="00655D8C">
              <w:rPr>
                <w:rFonts w:ascii="Times New Roman" w:eastAsia="Times New Roman" w:hAnsi="Times New Roman" w:cs="Times New Roman"/>
                <w:color w:val="000000"/>
                <w:sz w:val="20"/>
                <w:szCs w:val="20"/>
              </w:rPr>
              <w:t xml:space="preserve"> Authors</w:t>
            </w:r>
            <w:r w:rsidR="00A14BC0">
              <w:rPr>
                <w:rFonts w:ascii="Times New Roman" w:eastAsia="Times New Roman" w:hAnsi="Times New Roman" w:cs="Times New Roman"/>
                <w:color w:val="000000"/>
                <w:sz w:val="20"/>
                <w:szCs w:val="20"/>
              </w:rPr>
              <w:t>’</w:t>
            </w:r>
            <w:r w:rsidRPr="00655D8C">
              <w:rPr>
                <w:rFonts w:ascii="Times New Roman" w:eastAsia="Times New Roman" w:hAnsi="Times New Roman" w:cs="Times New Roman"/>
                <w:color w:val="000000"/>
                <w:sz w:val="20"/>
                <w:szCs w:val="20"/>
              </w:rPr>
              <w:t xml:space="preserve"> Estimations</w:t>
            </w:r>
          </w:p>
        </w:tc>
      </w:tr>
    </w:tbl>
    <w:p w14:paraId="615E62D5" w14:textId="77777777" w:rsidR="000B72B4" w:rsidRDefault="000B72B4" w:rsidP="000B72B4">
      <w:pPr>
        <w:pStyle w:val="NormalWeb"/>
        <w:spacing w:before="0" w:beforeAutospacing="0" w:after="0" w:afterAutospacing="0"/>
        <w:rPr>
          <w:rStyle w:val="Strong"/>
          <w:color w:val="0E101A"/>
        </w:rPr>
      </w:pPr>
    </w:p>
    <w:p w14:paraId="3444D335" w14:textId="1BFBB731" w:rsidR="000B72B4" w:rsidRPr="00DF16CC" w:rsidRDefault="00002A7B" w:rsidP="00002A7B">
      <w:pPr>
        <w:pStyle w:val="NormalWeb"/>
        <w:spacing w:before="0" w:beforeAutospacing="0" w:after="0" w:afterAutospacing="0" w:line="360" w:lineRule="auto"/>
        <w:jc w:val="both"/>
        <w:rPr>
          <w:color w:val="0E101A"/>
        </w:rPr>
      </w:pPr>
      <w:r w:rsidRPr="00002A7B">
        <w:rPr>
          <w:color w:val="0E101A"/>
        </w:rPr>
        <w:lastRenderedPageBreak/>
        <w:t xml:space="preserve">The Andrews (1993) parameter stability test is also applied for the Google trends equation for each cryptocurrency in the VAR model. Table 4 depicts the parameter stability test results and shows the null hypothesis rejection at a 1% significance level for all cryptocurrencies. The Ave-F, Max-F, and </w:t>
      </w:r>
      <w:proofErr w:type="spellStart"/>
      <w:r w:rsidRPr="00002A7B">
        <w:rPr>
          <w:color w:val="0E101A"/>
        </w:rPr>
        <w:t>Wxp</w:t>
      </w:r>
      <w:proofErr w:type="spellEnd"/>
      <w:r w:rsidRPr="00002A7B">
        <w:rPr>
          <w:color w:val="0E101A"/>
        </w:rPr>
        <w:t>-F tests also support the parameter stability test results. Thus, both the BDS and parameter stability test confirms that the association between the cryptocurrency prices and Google trends is nonlinear. It allows us to apply the causality-in-quantiles test as it is considered robust against structural breaks, jumps, outliers, and nonlinear dependency (</w:t>
      </w:r>
      <w:proofErr w:type="spellStart"/>
      <w:r w:rsidRPr="00002A7B">
        <w:rPr>
          <w:color w:val="0E101A"/>
        </w:rPr>
        <w:t>Shahbaz</w:t>
      </w:r>
      <w:proofErr w:type="spellEnd"/>
      <w:r w:rsidRPr="00002A7B">
        <w:rPr>
          <w:color w:val="0E101A"/>
        </w:rPr>
        <w:t xml:space="preserve"> et al., 2017). </w:t>
      </w:r>
      <w:r>
        <w:rPr>
          <w:color w:val="0E101A"/>
        </w:rPr>
        <w:t>Based on the findings, we used the causality-in-quantiles technique.</w:t>
      </w:r>
    </w:p>
    <w:tbl>
      <w:tblPr>
        <w:tblW w:w="0" w:type="auto"/>
        <w:tblLook w:val="04A0" w:firstRow="1" w:lastRow="0" w:firstColumn="1" w:lastColumn="0" w:noHBand="0" w:noVBand="1"/>
      </w:tblPr>
      <w:tblGrid>
        <w:gridCol w:w="1369"/>
        <w:gridCol w:w="1657"/>
        <w:gridCol w:w="1484"/>
        <w:gridCol w:w="1282"/>
        <w:gridCol w:w="1150"/>
        <w:gridCol w:w="1275"/>
        <w:gridCol w:w="1143"/>
      </w:tblGrid>
      <w:tr w:rsidR="000B72B4" w:rsidRPr="00655D8C" w14:paraId="4C7A2C72" w14:textId="77777777" w:rsidTr="001F17F8">
        <w:trPr>
          <w:trHeight w:val="300"/>
        </w:trPr>
        <w:tc>
          <w:tcPr>
            <w:tcW w:w="0" w:type="auto"/>
            <w:gridSpan w:val="7"/>
            <w:tcBorders>
              <w:top w:val="nil"/>
              <w:left w:val="nil"/>
              <w:bottom w:val="single" w:sz="4" w:space="0" w:color="auto"/>
              <w:right w:val="nil"/>
            </w:tcBorders>
            <w:shd w:val="clear" w:color="auto" w:fill="auto"/>
            <w:noWrap/>
            <w:vAlign w:val="bottom"/>
            <w:hideMark/>
          </w:tcPr>
          <w:p w14:paraId="4F676428" w14:textId="06BB6DEB" w:rsidR="000B72B4" w:rsidRPr="00655D8C" w:rsidRDefault="000B72B4" w:rsidP="00877F54">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Table 4: Parameter stability testing</w:t>
            </w:r>
          </w:p>
        </w:tc>
      </w:tr>
      <w:tr w:rsidR="000B72B4" w:rsidRPr="00655D8C" w14:paraId="7307EFBA" w14:textId="77777777" w:rsidTr="001F17F8">
        <w:trPr>
          <w:trHeight w:val="300"/>
        </w:trPr>
        <w:tc>
          <w:tcPr>
            <w:tcW w:w="0" w:type="auto"/>
            <w:vMerge w:val="restart"/>
            <w:tcBorders>
              <w:top w:val="nil"/>
              <w:left w:val="nil"/>
              <w:bottom w:val="single" w:sz="4" w:space="0" w:color="000000"/>
              <w:right w:val="nil"/>
            </w:tcBorders>
            <w:shd w:val="clear" w:color="auto" w:fill="auto"/>
            <w:noWrap/>
            <w:vAlign w:val="center"/>
            <w:hideMark/>
          </w:tcPr>
          <w:p w14:paraId="0607EA0F"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Country</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8AAF05A"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Maximum LR </w:t>
            </w:r>
            <w:r w:rsidRPr="00655D8C">
              <w:rPr>
                <w:rFonts w:ascii="Times New Roman" w:eastAsia="Times New Roman" w:hAnsi="Times New Roman" w:cs="Times New Roman"/>
                <w:b/>
                <w:bCs/>
                <w:i/>
                <w:iCs/>
                <w:color w:val="000000"/>
              </w:rPr>
              <w:t xml:space="preserve">F </w:t>
            </w:r>
            <w:r w:rsidRPr="00655D8C">
              <w:rPr>
                <w:rFonts w:ascii="Times New Roman" w:eastAsia="Times New Roman" w:hAnsi="Times New Roman" w:cs="Times New Roman"/>
                <w:b/>
                <w:bCs/>
                <w:color w:val="000000"/>
              </w:rPr>
              <w:t>Statistics</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0D3A1A8"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Exp</w:t>
            </w:r>
            <w:proofErr w:type="spellEnd"/>
            <w:r w:rsidRPr="00655D8C">
              <w:rPr>
                <w:rFonts w:ascii="Times New Roman" w:eastAsia="Times New Roman" w:hAnsi="Times New Roman" w:cs="Times New Roman"/>
                <w:b/>
                <w:bCs/>
                <w:color w:val="000000"/>
              </w:rPr>
              <w:t xml:space="preserve"> LR </w:t>
            </w:r>
            <w:r w:rsidRPr="00655D8C">
              <w:rPr>
                <w:rFonts w:ascii="Times New Roman" w:eastAsia="Times New Roman" w:hAnsi="Times New Roman" w:cs="Times New Roman"/>
                <w:b/>
                <w:bCs/>
                <w:i/>
                <w:iCs/>
                <w:color w:val="000000"/>
              </w:rPr>
              <w:t xml:space="preserve">F </w:t>
            </w:r>
            <w:r w:rsidRPr="00655D8C">
              <w:rPr>
                <w:rFonts w:ascii="Times New Roman" w:eastAsia="Times New Roman" w:hAnsi="Times New Roman" w:cs="Times New Roman"/>
                <w:b/>
                <w:bCs/>
                <w:color w:val="000000"/>
              </w:rPr>
              <w:t>Statistics</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1ED98B3"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 xml:space="preserve">Ave LR </w:t>
            </w:r>
            <w:r w:rsidRPr="00655D8C">
              <w:rPr>
                <w:rFonts w:ascii="Times New Roman" w:eastAsia="Times New Roman" w:hAnsi="Times New Roman" w:cs="Times New Roman"/>
                <w:b/>
                <w:bCs/>
                <w:i/>
                <w:iCs/>
                <w:color w:val="000000"/>
              </w:rPr>
              <w:t xml:space="preserve">F </w:t>
            </w:r>
            <w:r w:rsidRPr="00655D8C">
              <w:rPr>
                <w:rFonts w:ascii="Times New Roman" w:eastAsia="Times New Roman" w:hAnsi="Times New Roman" w:cs="Times New Roman"/>
                <w:b/>
                <w:bCs/>
                <w:color w:val="000000"/>
              </w:rPr>
              <w:t>Statistics</w:t>
            </w:r>
          </w:p>
        </w:tc>
      </w:tr>
      <w:tr w:rsidR="000B72B4" w:rsidRPr="00655D8C" w14:paraId="29FDECE2" w14:textId="77777777" w:rsidTr="001F17F8">
        <w:trPr>
          <w:trHeight w:val="300"/>
        </w:trPr>
        <w:tc>
          <w:tcPr>
            <w:tcW w:w="0" w:type="auto"/>
            <w:vMerge/>
            <w:tcBorders>
              <w:top w:val="nil"/>
              <w:left w:val="nil"/>
              <w:bottom w:val="single" w:sz="4" w:space="0" w:color="000000"/>
              <w:right w:val="nil"/>
            </w:tcBorders>
            <w:vAlign w:val="center"/>
            <w:hideMark/>
          </w:tcPr>
          <w:p w14:paraId="1284B792" w14:textId="77777777" w:rsidR="000B72B4" w:rsidRPr="00655D8C" w:rsidRDefault="000B72B4" w:rsidP="001F17F8">
            <w:pPr>
              <w:spacing w:after="0" w:line="240" w:lineRule="auto"/>
              <w:rPr>
                <w:rFonts w:ascii="Times New Roman" w:eastAsia="Times New Roman" w:hAnsi="Times New Roman" w:cs="Times New Roman"/>
                <w:b/>
                <w:bCs/>
                <w:color w:val="000000"/>
              </w:rPr>
            </w:pPr>
          </w:p>
        </w:tc>
        <w:tc>
          <w:tcPr>
            <w:tcW w:w="0" w:type="auto"/>
            <w:tcBorders>
              <w:top w:val="nil"/>
              <w:left w:val="nil"/>
              <w:bottom w:val="single" w:sz="4" w:space="0" w:color="auto"/>
              <w:right w:val="nil"/>
            </w:tcBorders>
            <w:shd w:val="clear" w:color="auto" w:fill="auto"/>
            <w:noWrap/>
            <w:vAlign w:val="center"/>
            <w:hideMark/>
          </w:tcPr>
          <w:p w14:paraId="08831F67"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Stats.</w:t>
            </w:r>
          </w:p>
        </w:tc>
        <w:tc>
          <w:tcPr>
            <w:tcW w:w="0" w:type="auto"/>
            <w:tcBorders>
              <w:top w:val="nil"/>
              <w:left w:val="nil"/>
              <w:bottom w:val="single" w:sz="4" w:space="0" w:color="auto"/>
              <w:right w:val="nil"/>
            </w:tcBorders>
            <w:shd w:val="clear" w:color="auto" w:fill="auto"/>
            <w:noWrap/>
            <w:vAlign w:val="center"/>
            <w:hideMark/>
          </w:tcPr>
          <w:p w14:paraId="29587136"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Prob.</w:t>
            </w:r>
          </w:p>
        </w:tc>
        <w:tc>
          <w:tcPr>
            <w:tcW w:w="0" w:type="auto"/>
            <w:tcBorders>
              <w:top w:val="nil"/>
              <w:left w:val="nil"/>
              <w:bottom w:val="single" w:sz="4" w:space="0" w:color="auto"/>
              <w:right w:val="nil"/>
            </w:tcBorders>
            <w:shd w:val="clear" w:color="auto" w:fill="auto"/>
            <w:noWrap/>
            <w:vAlign w:val="center"/>
            <w:hideMark/>
          </w:tcPr>
          <w:p w14:paraId="40FBE056"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Stats.</w:t>
            </w:r>
          </w:p>
        </w:tc>
        <w:tc>
          <w:tcPr>
            <w:tcW w:w="0" w:type="auto"/>
            <w:tcBorders>
              <w:top w:val="nil"/>
              <w:left w:val="nil"/>
              <w:bottom w:val="single" w:sz="4" w:space="0" w:color="auto"/>
              <w:right w:val="nil"/>
            </w:tcBorders>
            <w:shd w:val="clear" w:color="auto" w:fill="auto"/>
            <w:noWrap/>
            <w:vAlign w:val="center"/>
            <w:hideMark/>
          </w:tcPr>
          <w:p w14:paraId="19DA142B"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Prob.</w:t>
            </w:r>
          </w:p>
        </w:tc>
        <w:tc>
          <w:tcPr>
            <w:tcW w:w="0" w:type="auto"/>
            <w:tcBorders>
              <w:top w:val="nil"/>
              <w:left w:val="nil"/>
              <w:bottom w:val="single" w:sz="4" w:space="0" w:color="auto"/>
              <w:right w:val="nil"/>
            </w:tcBorders>
            <w:shd w:val="clear" w:color="auto" w:fill="auto"/>
            <w:noWrap/>
            <w:vAlign w:val="center"/>
            <w:hideMark/>
          </w:tcPr>
          <w:p w14:paraId="5E446FB0"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Stats.</w:t>
            </w:r>
          </w:p>
        </w:tc>
        <w:tc>
          <w:tcPr>
            <w:tcW w:w="0" w:type="auto"/>
            <w:tcBorders>
              <w:top w:val="nil"/>
              <w:left w:val="nil"/>
              <w:bottom w:val="single" w:sz="4" w:space="0" w:color="auto"/>
              <w:right w:val="nil"/>
            </w:tcBorders>
            <w:shd w:val="clear" w:color="auto" w:fill="auto"/>
            <w:noWrap/>
            <w:vAlign w:val="center"/>
            <w:hideMark/>
          </w:tcPr>
          <w:p w14:paraId="027DAA61"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Prob.</w:t>
            </w:r>
          </w:p>
        </w:tc>
      </w:tr>
      <w:tr w:rsidR="000B72B4" w:rsidRPr="00655D8C" w14:paraId="56770BE2" w14:textId="77777777" w:rsidTr="001F17F8">
        <w:trPr>
          <w:trHeight w:val="300"/>
        </w:trPr>
        <w:tc>
          <w:tcPr>
            <w:tcW w:w="0" w:type="auto"/>
            <w:tcBorders>
              <w:top w:val="nil"/>
              <w:left w:val="nil"/>
              <w:bottom w:val="nil"/>
              <w:right w:val="nil"/>
            </w:tcBorders>
            <w:shd w:val="clear" w:color="auto" w:fill="auto"/>
            <w:noWrap/>
            <w:vAlign w:val="center"/>
            <w:hideMark/>
          </w:tcPr>
          <w:p w14:paraId="0D7562F0"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Bitcoin</w:t>
            </w:r>
          </w:p>
        </w:tc>
        <w:tc>
          <w:tcPr>
            <w:tcW w:w="0" w:type="auto"/>
            <w:tcBorders>
              <w:top w:val="nil"/>
              <w:left w:val="nil"/>
              <w:bottom w:val="nil"/>
              <w:right w:val="nil"/>
            </w:tcBorders>
            <w:shd w:val="clear" w:color="auto" w:fill="auto"/>
            <w:noWrap/>
            <w:vAlign w:val="center"/>
            <w:hideMark/>
          </w:tcPr>
          <w:p w14:paraId="6B614A9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83.675</w:t>
            </w:r>
          </w:p>
        </w:tc>
        <w:tc>
          <w:tcPr>
            <w:tcW w:w="0" w:type="auto"/>
            <w:tcBorders>
              <w:top w:val="nil"/>
              <w:left w:val="nil"/>
              <w:bottom w:val="nil"/>
              <w:right w:val="nil"/>
            </w:tcBorders>
            <w:shd w:val="clear" w:color="auto" w:fill="auto"/>
            <w:noWrap/>
            <w:vAlign w:val="center"/>
            <w:hideMark/>
          </w:tcPr>
          <w:p w14:paraId="0E77153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0975A5CB"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39.975</w:t>
            </w:r>
          </w:p>
        </w:tc>
        <w:tc>
          <w:tcPr>
            <w:tcW w:w="0" w:type="auto"/>
            <w:tcBorders>
              <w:top w:val="nil"/>
              <w:left w:val="nil"/>
              <w:bottom w:val="nil"/>
              <w:right w:val="nil"/>
            </w:tcBorders>
            <w:shd w:val="clear" w:color="auto" w:fill="auto"/>
            <w:noWrap/>
            <w:vAlign w:val="center"/>
            <w:hideMark/>
          </w:tcPr>
          <w:p w14:paraId="016602D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4186A387"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50.411</w:t>
            </w:r>
          </w:p>
        </w:tc>
        <w:tc>
          <w:tcPr>
            <w:tcW w:w="0" w:type="auto"/>
            <w:tcBorders>
              <w:top w:val="nil"/>
              <w:left w:val="nil"/>
              <w:bottom w:val="nil"/>
              <w:right w:val="nil"/>
            </w:tcBorders>
            <w:shd w:val="clear" w:color="auto" w:fill="auto"/>
            <w:noWrap/>
            <w:vAlign w:val="center"/>
            <w:hideMark/>
          </w:tcPr>
          <w:p w14:paraId="653C543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r>
      <w:tr w:rsidR="000B72B4" w:rsidRPr="00655D8C" w14:paraId="0A3F3247" w14:textId="77777777" w:rsidTr="001F17F8">
        <w:trPr>
          <w:trHeight w:val="300"/>
        </w:trPr>
        <w:tc>
          <w:tcPr>
            <w:tcW w:w="0" w:type="auto"/>
            <w:tcBorders>
              <w:top w:val="nil"/>
              <w:left w:val="nil"/>
              <w:bottom w:val="nil"/>
              <w:right w:val="nil"/>
            </w:tcBorders>
            <w:shd w:val="clear" w:color="auto" w:fill="auto"/>
            <w:noWrap/>
            <w:vAlign w:val="center"/>
            <w:hideMark/>
          </w:tcPr>
          <w:p w14:paraId="300FB166"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Dash</w:t>
            </w:r>
          </w:p>
        </w:tc>
        <w:tc>
          <w:tcPr>
            <w:tcW w:w="0" w:type="auto"/>
            <w:tcBorders>
              <w:top w:val="nil"/>
              <w:left w:val="nil"/>
              <w:bottom w:val="nil"/>
              <w:right w:val="nil"/>
            </w:tcBorders>
            <w:shd w:val="clear" w:color="auto" w:fill="auto"/>
            <w:noWrap/>
            <w:vAlign w:val="center"/>
            <w:hideMark/>
          </w:tcPr>
          <w:p w14:paraId="651556CA"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44.787</w:t>
            </w:r>
          </w:p>
        </w:tc>
        <w:tc>
          <w:tcPr>
            <w:tcW w:w="0" w:type="auto"/>
            <w:tcBorders>
              <w:top w:val="nil"/>
              <w:left w:val="nil"/>
              <w:bottom w:val="nil"/>
              <w:right w:val="nil"/>
            </w:tcBorders>
            <w:shd w:val="clear" w:color="auto" w:fill="auto"/>
            <w:noWrap/>
            <w:vAlign w:val="center"/>
            <w:hideMark/>
          </w:tcPr>
          <w:p w14:paraId="7EAF812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2DFBE74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21.103</w:t>
            </w:r>
          </w:p>
        </w:tc>
        <w:tc>
          <w:tcPr>
            <w:tcW w:w="0" w:type="auto"/>
            <w:tcBorders>
              <w:top w:val="nil"/>
              <w:left w:val="nil"/>
              <w:bottom w:val="nil"/>
              <w:right w:val="nil"/>
            </w:tcBorders>
            <w:shd w:val="clear" w:color="auto" w:fill="auto"/>
            <w:noWrap/>
            <w:vAlign w:val="center"/>
            <w:hideMark/>
          </w:tcPr>
          <w:p w14:paraId="33E55F4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0185B6C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28.170</w:t>
            </w:r>
          </w:p>
        </w:tc>
        <w:tc>
          <w:tcPr>
            <w:tcW w:w="0" w:type="auto"/>
            <w:tcBorders>
              <w:top w:val="nil"/>
              <w:left w:val="nil"/>
              <w:bottom w:val="nil"/>
              <w:right w:val="nil"/>
            </w:tcBorders>
            <w:shd w:val="clear" w:color="auto" w:fill="auto"/>
            <w:noWrap/>
            <w:vAlign w:val="center"/>
            <w:hideMark/>
          </w:tcPr>
          <w:p w14:paraId="01C1FE2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r>
      <w:tr w:rsidR="000B72B4" w:rsidRPr="00655D8C" w14:paraId="78EE1925" w14:textId="77777777" w:rsidTr="001F17F8">
        <w:trPr>
          <w:trHeight w:val="300"/>
        </w:trPr>
        <w:tc>
          <w:tcPr>
            <w:tcW w:w="0" w:type="auto"/>
            <w:tcBorders>
              <w:top w:val="nil"/>
              <w:left w:val="nil"/>
              <w:bottom w:val="nil"/>
              <w:right w:val="nil"/>
            </w:tcBorders>
            <w:shd w:val="clear" w:color="auto" w:fill="auto"/>
            <w:noWrap/>
            <w:vAlign w:val="center"/>
            <w:hideMark/>
          </w:tcPr>
          <w:p w14:paraId="35787731"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Ethereum</w:t>
            </w:r>
            <w:proofErr w:type="spellEnd"/>
          </w:p>
        </w:tc>
        <w:tc>
          <w:tcPr>
            <w:tcW w:w="0" w:type="auto"/>
            <w:tcBorders>
              <w:top w:val="nil"/>
              <w:left w:val="nil"/>
              <w:bottom w:val="nil"/>
              <w:right w:val="nil"/>
            </w:tcBorders>
            <w:shd w:val="clear" w:color="auto" w:fill="auto"/>
            <w:noWrap/>
            <w:vAlign w:val="center"/>
            <w:hideMark/>
          </w:tcPr>
          <w:p w14:paraId="69815023"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37.161</w:t>
            </w:r>
          </w:p>
        </w:tc>
        <w:tc>
          <w:tcPr>
            <w:tcW w:w="0" w:type="auto"/>
            <w:tcBorders>
              <w:top w:val="nil"/>
              <w:left w:val="nil"/>
              <w:bottom w:val="nil"/>
              <w:right w:val="nil"/>
            </w:tcBorders>
            <w:shd w:val="clear" w:color="auto" w:fill="auto"/>
            <w:noWrap/>
            <w:vAlign w:val="center"/>
            <w:hideMark/>
          </w:tcPr>
          <w:p w14:paraId="20EC3E6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2223FB7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15.143</w:t>
            </w:r>
          </w:p>
        </w:tc>
        <w:tc>
          <w:tcPr>
            <w:tcW w:w="0" w:type="auto"/>
            <w:tcBorders>
              <w:top w:val="nil"/>
              <w:left w:val="nil"/>
              <w:bottom w:val="nil"/>
              <w:right w:val="nil"/>
            </w:tcBorders>
            <w:shd w:val="clear" w:color="auto" w:fill="auto"/>
            <w:noWrap/>
            <w:vAlign w:val="center"/>
            <w:hideMark/>
          </w:tcPr>
          <w:p w14:paraId="5974027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528E7195"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16.007</w:t>
            </w:r>
          </w:p>
        </w:tc>
        <w:tc>
          <w:tcPr>
            <w:tcW w:w="0" w:type="auto"/>
            <w:tcBorders>
              <w:top w:val="nil"/>
              <w:left w:val="nil"/>
              <w:bottom w:val="nil"/>
              <w:right w:val="nil"/>
            </w:tcBorders>
            <w:shd w:val="clear" w:color="auto" w:fill="auto"/>
            <w:noWrap/>
            <w:vAlign w:val="center"/>
            <w:hideMark/>
          </w:tcPr>
          <w:p w14:paraId="3DA8346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r>
      <w:tr w:rsidR="000B72B4" w:rsidRPr="00655D8C" w14:paraId="51C1264A" w14:textId="77777777" w:rsidTr="001F17F8">
        <w:trPr>
          <w:trHeight w:val="300"/>
        </w:trPr>
        <w:tc>
          <w:tcPr>
            <w:tcW w:w="0" w:type="auto"/>
            <w:tcBorders>
              <w:top w:val="nil"/>
              <w:left w:val="nil"/>
              <w:bottom w:val="nil"/>
              <w:right w:val="nil"/>
            </w:tcBorders>
            <w:shd w:val="clear" w:color="auto" w:fill="auto"/>
            <w:noWrap/>
            <w:vAlign w:val="center"/>
            <w:hideMark/>
          </w:tcPr>
          <w:p w14:paraId="61478B36"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proofErr w:type="spellStart"/>
            <w:r w:rsidRPr="00655D8C">
              <w:rPr>
                <w:rFonts w:ascii="Times New Roman" w:eastAsia="Times New Roman" w:hAnsi="Times New Roman" w:cs="Times New Roman"/>
                <w:b/>
                <w:bCs/>
                <w:color w:val="000000"/>
              </w:rPr>
              <w:t>Litecoin</w:t>
            </w:r>
            <w:proofErr w:type="spellEnd"/>
          </w:p>
        </w:tc>
        <w:tc>
          <w:tcPr>
            <w:tcW w:w="0" w:type="auto"/>
            <w:tcBorders>
              <w:top w:val="nil"/>
              <w:left w:val="nil"/>
              <w:bottom w:val="nil"/>
              <w:right w:val="nil"/>
            </w:tcBorders>
            <w:shd w:val="clear" w:color="auto" w:fill="auto"/>
            <w:noWrap/>
            <w:vAlign w:val="center"/>
            <w:hideMark/>
          </w:tcPr>
          <w:p w14:paraId="10B490A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56.740</w:t>
            </w:r>
          </w:p>
        </w:tc>
        <w:tc>
          <w:tcPr>
            <w:tcW w:w="0" w:type="auto"/>
            <w:tcBorders>
              <w:top w:val="nil"/>
              <w:left w:val="nil"/>
              <w:bottom w:val="nil"/>
              <w:right w:val="nil"/>
            </w:tcBorders>
            <w:shd w:val="clear" w:color="auto" w:fill="auto"/>
            <w:noWrap/>
            <w:vAlign w:val="center"/>
            <w:hideMark/>
          </w:tcPr>
          <w:p w14:paraId="7A1F1290"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151816BA"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24.905</w:t>
            </w:r>
          </w:p>
        </w:tc>
        <w:tc>
          <w:tcPr>
            <w:tcW w:w="0" w:type="auto"/>
            <w:tcBorders>
              <w:top w:val="nil"/>
              <w:left w:val="nil"/>
              <w:bottom w:val="nil"/>
              <w:right w:val="nil"/>
            </w:tcBorders>
            <w:shd w:val="clear" w:color="auto" w:fill="auto"/>
            <w:noWrap/>
            <w:vAlign w:val="center"/>
            <w:hideMark/>
          </w:tcPr>
          <w:p w14:paraId="582C8D2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402FD1C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17.659</w:t>
            </w:r>
          </w:p>
        </w:tc>
        <w:tc>
          <w:tcPr>
            <w:tcW w:w="0" w:type="auto"/>
            <w:tcBorders>
              <w:top w:val="nil"/>
              <w:left w:val="nil"/>
              <w:bottom w:val="nil"/>
              <w:right w:val="nil"/>
            </w:tcBorders>
            <w:shd w:val="clear" w:color="auto" w:fill="auto"/>
            <w:noWrap/>
            <w:vAlign w:val="center"/>
            <w:hideMark/>
          </w:tcPr>
          <w:p w14:paraId="058EC8F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r>
      <w:tr w:rsidR="000B72B4" w:rsidRPr="00655D8C" w14:paraId="19C1EF67" w14:textId="77777777" w:rsidTr="001F17F8">
        <w:trPr>
          <w:trHeight w:val="300"/>
        </w:trPr>
        <w:tc>
          <w:tcPr>
            <w:tcW w:w="0" w:type="auto"/>
            <w:tcBorders>
              <w:top w:val="nil"/>
              <w:left w:val="nil"/>
              <w:bottom w:val="nil"/>
              <w:right w:val="nil"/>
            </w:tcBorders>
            <w:shd w:val="clear" w:color="auto" w:fill="auto"/>
            <w:noWrap/>
            <w:vAlign w:val="center"/>
            <w:hideMark/>
          </w:tcPr>
          <w:p w14:paraId="79E6CE4E"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NEM</w:t>
            </w:r>
          </w:p>
        </w:tc>
        <w:tc>
          <w:tcPr>
            <w:tcW w:w="0" w:type="auto"/>
            <w:tcBorders>
              <w:top w:val="nil"/>
              <w:left w:val="nil"/>
              <w:bottom w:val="nil"/>
              <w:right w:val="nil"/>
            </w:tcBorders>
            <w:shd w:val="clear" w:color="auto" w:fill="auto"/>
            <w:noWrap/>
            <w:vAlign w:val="center"/>
            <w:hideMark/>
          </w:tcPr>
          <w:p w14:paraId="268575FB"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14.546</w:t>
            </w:r>
          </w:p>
        </w:tc>
        <w:tc>
          <w:tcPr>
            <w:tcW w:w="0" w:type="auto"/>
            <w:tcBorders>
              <w:top w:val="nil"/>
              <w:left w:val="nil"/>
              <w:bottom w:val="nil"/>
              <w:right w:val="nil"/>
            </w:tcBorders>
            <w:shd w:val="clear" w:color="auto" w:fill="auto"/>
            <w:noWrap/>
            <w:vAlign w:val="center"/>
            <w:hideMark/>
          </w:tcPr>
          <w:p w14:paraId="690BEA8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09316722"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4.917</w:t>
            </w:r>
          </w:p>
        </w:tc>
        <w:tc>
          <w:tcPr>
            <w:tcW w:w="0" w:type="auto"/>
            <w:tcBorders>
              <w:top w:val="nil"/>
              <w:left w:val="nil"/>
              <w:bottom w:val="nil"/>
              <w:right w:val="nil"/>
            </w:tcBorders>
            <w:shd w:val="clear" w:color="auto" w:fill="auto"/>
            <w:noWrap/>
            <w:vAlign w:val="center"/>
            <w:hideMark/>
          </w:tcPr>
          <w:p w14:paraId="474E4344"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20775F39"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3.495</w:t>
            </w:r>
          </w:p>
        </w:tc>
        <w:tc>
          <w:tcPr>
            <w:tcW w:w="0" w:type="auto"/>
            <w:tcBorders>
              <w:top w:val="nil"/>
              <w:left w:val="nil"/>
              <w:bottom w:val="nil"/>
              <w:right w:val="nil"/>
            </w:tcBorders>
            <w:shd w:val="clear" w:color="auto" w:fill="auto"/>
            <w:noWrap/>
            <w:vAlign w:val="center"/>
            <w:hideMark/>
          </w:tcPr>
          <w:p w14:paraId="1E8CC72E"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0.013</w:t>
            </w:r>
          </w:p>
        </w:tc>
      </w:tr>
      <w:tr w:rsidR="000B72B4" w:rsidRPr="00655D8C" w14:paraId="078176A9" w14:textId="77777777" w:rsidTr="001F17F8">
        <w:trPr>
          <w:trHeight w:val="300"/>
        </w:trPr>
        <w:tc>
          <w:tcPr>
            <w:tcW w:w="0" w:type="auto"/>
            <w:tcBorders>
              <w:top w:val="nil"/>
              <w:left w:val="nil"/>
              <w:bottom w:val="nil"/>
              <w:right w:val="nil"/>
            </w:tcBorders>
            <w:shd w:val="clear" w:color="auto" w:fill="auto"/>
            <w:noWrap/>
            <w:vAlign w:val="center"/>
            <w:hideMark/>
          </w:tcPr>
          <w:p w14:paraId="400A0508" w14:textId="77777777" w:rsidR="000B72B4" w:rsidRPr="00655D8C" w:rsidRDefault="000B72B4" w:rsidP="001F17F8">
            <w:pPr>
              <w:spacing w:after="0" w:line="240" w:lineRule="auto"/>
              <w:jc w:val="center"/>
              <w:rPr>
                <w:rFonts w:ascii="Times New Roman" w:eastAsia="Times New Roman" w:hAnsi="Times New Roman" w:cs="Times New Roman"/>
                <w:b/>
                <w:bCs/>
                <w:color w:val="000000"/>
              </w:rPr>
            </w:pPr>
            <w:r w:rsidRPr="00655D8C">
              <w:rPr>
                <w:rFonts w:ascii="Times New Roman" w:eastAsia="Times New Roman" w:hAnsi="Times New Roman" w:cs="Times New Roman"/>
                <w:b/>
                <w:bCs/>
                <w:color w:val="000000"/>
              </w:rPr>
              <w:t>Ripple</w:t>
            </w:r>
          </w:p>
        </w:tc>
        <w:tc>
          <w:tcPr>
            <w:tcW w:w="0" w:type="auto"/>
            <w:tcBorders>
              <w:top w:val="nil"/>
              <w:left w:val="nil"/>
              <w:bottom w:val="nil"/>
              <w:right w:val="nil"/>
            </w:tcBorders>
            <w:shd w:val="clear" w:color="auto" w:fill="auto"/>
            <w:noWrap/>
            <w:vAlign w:val="center"/>
            <w:hideMark/>
          </w:tcPr>
          <w:p w14:paraId="5B6FC9BD"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66.920</w:t>
            </w:r>
          </w:p>
        </w:tc>
        <w:tc>
          <w:tcPr>
            <w:tcW w:w="0" w:type="auto"/>
            <w:tcBorders>
              <w:top w:val="nil"/>
              <w:left w:val="nil"/>
              <w:bottom w:val="nil"/>
              <w:right w:val="nil"/>
            </w:tcBorders>
            <w:shd w:val="clear" w:color="auto" w:fill="auto"/>
            <w:noWrap/>
            <w:vAlign w:val="center"/>
            <w:hideMark/>
          </w:tcPr>
          <w:p w14:paraId="6A9B3C96"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60703A08"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29.994</w:t>
            </w:r>
          </w:p>
        </w:tc>
        <w:tc>
          <w:tcPr>
            <w:tcW w:w="0" w:type="auto"/>
            <w:tcBorders>
              <w:top w:val="nil"/>
              <w:left w:val="nil"/>
              <w:bottom w:val="nil"/>
              <w:right w:val="nil"/>
            </w:tcBorders>
            <w:shd w:val="clear" w:color="auto" w:fill="auto"/>
            <w:noWrap/>
            <w:vAlign w:val="center"/>
            <w:hideMark/>
          </w:tcPr>
          <w:p w14:paraId="4C6F2231"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c>
          <w:tcPr>
            <w:tcW w:w="0" w:type="auto"/>
            <w:tcBorders>
              <w:top w:val="nil"/>
              <w:left w:val="nil"/>
              <w:bottom w:val="nil"/>
              <w:right w:val="nil"/>
            </w:tcBorders>
            <w:shd w:val="clear" w:color="auto" w:fill="auto"/>
            <w:noWrap/>
            <w:vAlign w:val="center"/>
            <w:hideMark/>
          </w:tcPr>
          <w:p w14:paraId="5E7F911C"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9.764</w:t>
            </w:r>
          </w:p>
        </w:tc>
        <w:tc>
          <w:tcPr>
            <w:tcW w:w="0" w:type="auto"/>
            <w:tcBorders>
              <w:top w:val="nil"/>
              <w:left w:val="nil"/>
              <w:bottom w:val="nil"/>
              <w:right w:val="nil"/>
            </w:tcBorders>
            <w:shd w:val="clear" w:color="auto" w:fill="auto"/>
            <w:noWrap/>
            <w:vAlign w:val="center"/>
            <w:hideMark/>
          </w:tcPr>
          <w:p w14:paraId="5EEEBACF" w14:textId="77777777" w:rsidR="000B72B4" w:rsidRPr="00655D8C" w:rsidRDefault="000B72B4" w:rsidP="001F17F8">
            <w:pPr>
              <w:spacing w:after="0" w:line="240" w:lineRule="auto"/>
              <w:jc w:val="center"/>
              <w:rPr>
                <w:rFonts w:ascii="Times New Roman" w:eastAsia="Times New Roman" w:hAnsi="Times New Roman" w:cs="Times New Roman"/>
                <w:color w:val="000000"/>
              </w:rPr>
            </w:pPr>
            <w:r w:rsidRPr="00655D8C">
              <w:rPr>
                <w:rFonts w:ascii="Times New Roman" w:eastAsia="Times New Roman" w:hAnsi="Times New Roman" w:cs="Times New Roman"/>
                <w:color w:val="000000"/>
              </w:rPr>
              <w:t>0.000</w:t>
            </w:r>
          </w:p>
        </w:tc>
      </w:tr>
      <w:tr w:rsidR="000B72B4" w:rsidRPr="00655D8C" w14:paraId="2201B587" w14:textId="77777777" w:rsidTr="001F17F8">
        <w:trPr>
          <w:trHeight w:val="600"/>
        </w:trPr>
        <w:tc>
          <w:tcPr>
            <w:tcW w:w="0" w:type="auto"/>
            <w:gridSpan w:val="7"/>
            <w:tcBorders>
              <w:top w:val="single" w:sz="4" w:space="0" w:color="auto"/>
              <w:left w:val="nil"/>
              <w:bottom w:val="nil"/>
              <w:right w:val="nil"/>
            </w:tcBorders>
            <w:shd w:val="clear" w:color="auto" w:fill="auto"/>
            <w:vAlign w:val="center"/>
            <w:hideMark/>
          </w:tcPr>
          <w:p w14:paraId="0CB1F49C" w14:textId="3A24C507" w:rsidR="000B72B4" w:rsidRPr="00655D8C" w:rsidRDefault="000B72B4" w:rsidP="00A14BC0">
            <w:pPr>
              <w:spacing w:after="0" w:line="240" w:lineRule="auto"/>
              <w:rPr>
                <w:rFonts w:ascii="Times New Roman" w:eastAsia="Times New Roman" w:hAnsi="Times New Roman" w:cs="Times New Roman"/>
                <w:color w:val="000000"/>
                <w:sz w:val="20"/>
                <w:szCs w:val="20"/>
              </w:rPr>
            </w:pPr>
            <w:r w:rsidRPr="00655D8C">
              <w:rPr>
                <w:rFonts w:ascii="Times New Roman" w:eastAsia="Times New Roman" w:hAnsi="Times New Roman" w:cs="Times New Roman"/>
                <w:b/>
                <w:bCs/>
                <w:color w:val="000000"/>
                <w:sz w:val="20"/>
                <w:szCs w:val="20"/>
              </w:rPr>
              <w:t xml:space="preserve">Note: </w:t>
            </w:r>
            <w:r w:rsidRPr="00655D8C">
              <w:rPr>
                <w:rFonts w:ascii="Times New Roman" w:eastAsia="Times New Roman" w:hAnsi="Times New Roman" w:cs="Times New Roman"/>
                <w:color w:val="000000"/>
                <w:sz w:val="20"/>
                <w:szCs w:val="20"/>
              </w:rPr>
              <w:t xml:space="preserve">Parameter stability test by Andrews (1993) and Andrews and </w:t>
            </w:r>
            <w:proofErr w:type="spellStart"/>
            <w:r w:rsidRPr="00655D8C">
              <w:rPr>
                <w:rFonts w:ascii="Times New Roman" w:eastAsia="Times New Roman" w:hAnsi="Times New Roman" w:cs="Times New Roman"/>
                <w:color w:val="000000"/>
                <w:sz w:val="20"/>
                <w:szCs w:val="20"/>
              </w:rPr>
              <w:t>Ploberger</w:t>
            </w:r>
            <w:proofErr w:type="spellEnd"/>
            <w:r w:rsidRPr="00655D8C">
              <w:rPr>
                <w:rFonts w:ascii="Times New Roman" w:eastAsia="Times New Roman" w:hAnsi="Times New Roman" w:cs="Times New Roman"/>
                <w:color w:val="000000"/>
                <w:sz w:val="20"/>
                <w:szCs w:val="20"/>
              </w:rPr>
              <w:t xml:space="preserve"> (1994) with the null hypothesis of parameter stability.</w:t>
            </w:r>
            <w:r w:rsidRPr="00655D8C">
              <w:rPr>
                <w:rFonts w:ascii="Times New Roman" w:eastAsia="Times New Roman" w:hAnsi="Times New Roman" w:cs="Times New Roman"/>
                <w:color w:val="000000"/>
                <w:sz w:val="20"/>
                <w:szCs w:val="20"/>
              </w:rPr>
              <w:br/>
            </w:r>
            <w:r w:rsidRPr="00655D8C">
              <w:rPr>
                <w:rFonts w:ascii="Times New Roman" w:eastAsia="Times New Roman" w:hAnsi="Times New Roman" w:cs="Times New Roman"/>
                <w:b/>
                <w:bCs/>
                <w:color w:val="000000"/>
                <w:sz w:val="20"/>
                <w:szCs w:val="20"/>
              </w:rPr>
              <w:t xml:space="preserve">Source: </w:t>
            </w:r>
            <w:r w:rsidRPr="00655D8C">
              <w:rPr>
                <w:rFonts w:ascii="Times New Roman" w:eastAsia="Times New Roman" w:hAnsi="Times New Roman" w:cs="Times New Roman"/>
                <w:color w:val="000000"/>
                <w:sz w:val="20"/>
                <w:szCs w:val="20"/>
              </w:rPr>
              <w:t>Authors</w:t>
            </w:r>
            <w:r w:rsidR="00A14BC0">
              <w:rPr>
                <w:rFonts w:ascii="Times New Roman" w:eastAsia="Times New Roman" w:hAnsi="Times New Roman" w:cs="Times New Roman"/>
                <w:color w:val="000000"/>
                <w:sz w:val="20"/>
                <w:szCs w:val="20"/>
              </w:rPr>
              <w:t>’</w:t>
            </w:r>
            <w:r w:rsidRPr="00655D8C">
              <w:rPr>
                <w:rFonts w:ascii="Times New Roman" w:eastAsia="Times New Roman" w:hAnsi="Times New Roman" w:cs="Times New Roman"/>
                <w:color w:val="000000"/>
                <w:sz w:val="20"/>
                <w:szCs w:val="20"/>
              </w:rPr>
              <w:t xml:space="preserve"> Estimations</w:t>
            </w:r>
          </w:p>
        </w:tc>
      </w:tr>
    </w:tbl>
    <w:p w14:paraId="0274911E" w14:textId="77777777" w:rsidR="000B72B4" w:rsidRPr="00DF16CC" w:rsidRDefault="000B72B4" w:rsidP="000B72B4">
      <w:pPr>
        <w:pStyle w:val="NormalWeb"/>
        <w:spacing w:before="0" w:beforeAutospacing="0" w:after="0" w:afterAutospacing="0"/>
        <w:jc w:val="both"/>
        <w:rPr>
          <w:color w:val="0E101A"/>
        </w:rPr>
      </w:pPr>
    </w:p>
    <w:p w14:paraId="4CEFEAD6" w14:textId="21B01299" w:rsidR="000B72B4" w:rsidRDefault="000B72B4" w:rsidP="00877F54">
      <w:pPr>
        <w:pStyle w:val="NormalWeb"/>
        <w:spacing w:before="0" w:beforeAutospacing="0" w:after="0" w:afterAutospacing="0" w:line="360" w:lineRule="auto"/>
        <w:jc w:val="both"/>
        <w:rPr>
          <w:color w:val="0E101A"/>
        </w:rPr>
      </w:pPr>
      <w:r>
        <w:rPr>
          <w:color w:val="0E101A"/>
        </w:rPr>
        <w:t xml:space="preserve">The findings and the graphical representation of the causality-in-quantiles from Google Trends to cryptocurrencies’ prices are presented in Table </w:t>
      </w:r>
      <w:r w:rsidR="00002A7B">
        <w:rPr>
          <w:color w:val="0E101A"/>
        </w:rPr>
        <w:t>5</w:t>
      </w:r>
      <w:r>
        <w:rPr>
          <w:color w:val="0E101A"/>
        </w:rPr>
        <w:t xml:space="preserve"> and Figure 3. In all six graphs, the test statistics of nonparametric causality are shown on the vertical axis, and the quantiles are shown on the horizontal axis. Thick black dotted lines show the test statistics, and the thin two-dashed lines and the thin horizontal lines show the 10% and 5% critical values 1.65 and 1.96, respectively.</w:t>
      </w:r>
    </w:p>
    <w:p w14:paraId="2B1103C4" w14:textId="77777777" w:rsidR="000B72B4" w:rsidRDefault="000B72B4" w:rsidP="00877F54">
      <w:pPr>
        <w:pStyle w:val="NormalWeb"/>
        <w:spacing w:before="0" w:beforeAutospacing="0" w:after="0" w:afterAutospacing="0" w:line="360" w:lineRule="auto"/>
        <w:jc w:val="both"/>
        <w:rPr>
          <w:color w:val="0E101A"/>
        </w:rPr>
      </w:pPr>
    </w:p>
    <w:p w14:paraId="46CA2F86" w14:textId="0D3D9CE8" w:rsidR="000B72B4" w:rsidRPr="00C7417E" w:rsidRDefault="000B72B4" w:rsidP="00877F54">
      <w:pPr>
        <w:pStyle w:val="NormalWeb"/>
        <w:spacing w:before="0" w:beforeAutospacing="0" w:after="0" w:afterAutospacing="0" w:line="360" w:lineRule="auto"/>
        <w:jc w:val="both"/>
        <w:rPr>
          <w:color w:val="FF0000"/>
        </w:rPr>
      </w:pPr>
      <w:r w:rsidRPr="00E53CEB">
        <w:rPr>
          <w:color w:val="0E101A"/>
        </w:rPr>
        <w:t>In figure</w:t>
      </w:r>
      <w:r w:rsidR="00877F54">
        <w:rPr>
          <w:color w:val="0E101A"/>
        </w:rPr>
        <w:t xml:space="preserve"> 3</w:t>
      </w:r>
      <w:r w:rsidRPr="00E53CEB">
        <w:rPr>
          <w:color w:val="0E101A"/>
        </w:rPr>
        <w:t xml:space="preserve">, the first graph displays the quantile causality from Bitcoin Google </w:t>
      </w:r>
      <w:r>
        <w:rPr>
          <w:color w:val="0E101A"/>
        </w:rPr>
        <w:t>T</w:t>
      </w:r>
      <w:r w:rsidRPr="00E53CEB">
        <w:rPr>
          <w:color w:val="0E101A"/>
        </w:rPr>
        <w:t xml:space="preserve">rends to Bitcoin prices. </w:t>
      </w:r>
      <w:r w:rsidR="003E54B7">
        <w:rPr>
          <w:color w:val="0E101A"/>
        </w:rPr>
        <w:t>First, t</w:t>
      </w:r>
      <w:r w:rsidRPr="00E53CEB">
        <w:rPr>
          <w:color w:val="0E101A"/>
        </w:rPr>
        <w:t xml:space="preserve">he null hypothesis </w:t>
      </w:r>
      <w:r>
        <w:rPr>
          <w:color w:val="0E101A"/>
        </w:rPr>
        <w:t>that</w:t>
      </w:r>
      <w:r w:rsidRPr="00E53CEB">
        <w:rPr>
          <w:color w:val="0E101A"/>
        </w:rPr>
        <w:t xml:space="preserve"> Bitcoin Google </w:t>
      </w:r>
      <w:r>
        <w:rPr>
          <w:color w:val="0E101A"/>
        </w:rPr>
        <w:t>T</w:t>
      </w:r>
      <w:r w:rsidRPr="00E53CEB">
        <w:rPr>
          <w:color w:val="0E101A"/>
        </w:rPr>
        <w:t xml:space="preserve">rends does not lead Bitcoin prices is rejected at lower and middle quantiles (0.1-0.6). </w:t>
      </w:r>
      <w:r>
        <w:rPr>
          <w:color w:val="0E101A"/>
        </w:rPr>
        <w:t>Then</w:t>
      </w:r>
      <w:r w:rsidRPr="00E53CEB">
        <w:rPr>
          <w:color w:val="0E101A"/>
        </w:rPr>
        <w:t xml:space="preserve">, </w:t>
      </w:r>
      <w:r>
        <w:rPr>
          <w:color w:val="0E101A"/>
        </w:rPr>
        <w:t>the graph</w:t>
      </w:r>
      <w:r w:rsidRPr="00E53CEB">
        <w:rPr>
          <w:color w:val="0E101A"/>
        </w:rPr>
        <w:t xml:space="preserve"> shows </w:t>
      </w:r>
      <w:r>
        <w:rPr>
          <w:color w:val="0E101A"/>
        </w:rPr>
        <w:t xml:space="preserve">that </w:t>
      </w:r>
      <w:r w:rsidRPr="00E53CEB">
        <w:rPr>
          <w:color w:val="0E101A"/>
        </w:rPr>
        <w:t xml:space="preserve">the null hypothesis </w:t>
      </w:r>
      <w:r>
        <w:rPr>
          <w:color w:val="0E101A"/>
        </w:rPr>
        <w:t xml:space="preserve">is </w:t>
      </w:r>
      <w:r w:rsidRPr="00E53CEB">
        <w:rPr>
          <w:color w:val="0E101A"/>
        </w:rPr>
        <w:t>accept</w:t>
      </w:r>
      <w:r>
        <w:rPr>
          <w:color w:val="0E101A"/>
        </w:rPr>
        <w:t>ed</w:t>
      </w:r>
      <w:r w:rsidRPr="00E53CEB">
        <w:rPr>
          <w:color w:val="0E101A"/>
        </w:rPr>
        <w:t xml:space="preserve">. However, </w:t>
      </w:r>
      <w:r w:rsidR="003E54B7">
        <w:rPr>
          <w:color w:val="0E101A"/>
        </w:rPr>
        <w:t>the null hypothesis is rejected at the 10% significance level</w:t>
      </w:r>
      <w:r w:rsidRPr="00E53CEB">
        <w:rPr>
          <w:color w:val="0E101A"/>
        </w:rPr>
        <w:t xml:space="preserve"> at a wider range of quantiles (0.1 to 0.6). </w:t>
      </w:r>
      <w:r>
        <w:rPr>
          <w:color w:val="0E101A"/>
        </w:rPr>
        <w:t>However,</w:t>
      </w:r>
      <w:r w:rsidRPr="00E53CEB">
        <w:rPr>
          <w:color w:val="0E101A"/>
        </w:rPr>
        <w:t xml:space="preserve"> at 5%, the quantiles </w:t>
      </w:r>
      <w:r>
        <w:rPr>
          <w:color w:val="0E101A"/>
        </w:rPr>
        <w:t>ranging</w:t>
      </w:r>
      <w:r w:rsidRPr="00E53CEB">
        <w:rPr>
          <w:color w:val="0E101A"/>
        </w:rPr>
        <w:t xml:space="preserve"> from 0.2 to 0.5 also </w:t>
      </w:r>
      <w:r w:rsidR="003E54B7">
        <w:rPr>
          <w:color w:val="0E101A"/>
        </w:rPr>
        <w:t>rejected the null hypothesis</w:t>
      </w:r>
      <w:r w:rsidRPr="00E53CEB">
        <w:rPr>
          <w:color w:val="0E101A"/>
        </w:rPr>
        <w:t xml:space="preserve">. </w:t>
      </w:r>
      <w:r w:rsidR="003E54B7">
        <w:rPr>
          <w:color w:val="0E101A"/>
        </w:rPr>
        <w:t>Finally, o</w:t>
      </w:r>
      <w:r w:rsidRPr="00E53CEB">
        <w:rPr>
          <w:color w:val="0E101A"/>
        </w:rPr>
        <w:t xml:space="preserve">nly the high </w:t>
      </w:r>
      <w:r>
        <w:rPr>
          <w:color w:val="0E101A"/>
        </w:rPr>
        <w:t>range</w:t>
      </w:r>
      <w:r w:rsidRPr="00E53CEB">
        <w:rPr>
          <w:color w:val="0E101A"/>
        </w:rPr>
        <w:t xml:space="preserve"> quantiles from 0.7-0.9 show </w:t>
      </w:r>
      <w:r>
        <w:rPr>
          <w:color w:val="0E101A"/>
        </w:rPr>
        <w:t xml:space="preserve">that </w:t>
      </w:r>
      <w:r w:rsidRPr="00E53CEB">
        <w:rPr>
          <w:color w:val="0E101A"/>
        </w:rPr>
        <w:t xml:space="preserve">the null hypothesis </w:t>
      </w:r>
      <w:r>
        <w:rPr>
          <w:color w:val="0E101A"/>
        </w:rPr>
        <w:t xml:space="preserve">is </w:t>
      </w:r>
      <w:r w:rsidRPr="00E53CEB">
        <w:rPr>
          <w:color w:val="0E101A"/>
        </w:rPr>
        <w:t>accept</w:t>
      </w:r>
      <w:r>
        <w:rPr>
          <w:color w:val="0E101A"/>
        </w:rPr>
        <w:t>ed</w:t>
      </w:r>
      <w:r w:rsidRPr="00E53CEB">
        <w:rPr>
          <w:color w:val="0E101A"/>
        </w:rPr>
        <w:t xml:space="preserve">. </w:t>
      </w:r>
      <w:r>
        <w:rPr>
          <w:color w:val="0E101A"/>
        </w:rPr>
        <w:t>This</w:t>
      </w:r>
      <w:r w:rsidRPr="00E53CEB">
        <w:rPr>
          <w:color w:val="0E101A"/>
        </w:rPr>
        <w:t xml:space="preserve"> result is supported by the work of Arratia and </w:t>
      </w:r>
      <w:proofErr w:type="spellStart"/>
      <w:r w:rsidRPr="00E53CEB">
        <w:rPr>
          <w:color w:val="0E101A"/>
        </w:rPr>
        <w:t>Barrantes</w:t>
      </w:r>
      <w:proofErr w:type="spellEnd"/>
      <w:r w:rsidRPr="00E53CEB">
        <w:rPr>
          <w:color w:val="0E101A"/>
        </w:rPr>
        <w:t xml:space="preserve"> (2021)</w:t>
      </w:r>
      <w:r>
        <w:rPr>
          <w:color w:val="0E101A"/>
        </w:rPr>
        <w:t xml:space="preserve"> and</w:t>
      </w:r>
      <w:r w:rsidRPr="00E53CEB">
        <w:rPr>
          <w:color w:val="0E101A"/>
        </w:rPr>
        <w:t xml:space="preserve"> Matta, </w:t>
      </w:r>
      <w:proofErr w:type="spellStart"/>
      <w:r w:rsidRPr="00E53CEB">
        <w:rPr>
          <w:color w:val="0E101A"/>
        </w:rPr>
        <w:t>Lunesu</w:t>
      </w:r>
      <w:proofErr w:type="spellEnd"/>
      <w:r w:rsidR="00A14BC0">
        <w:rPr>
          <w:color w:val="0E101A"/>
        </w:rPr>
        <w:t>,</w:t>
      </w:r>
      <w:r w:rsidRPr="00E53CEB">
        <w:rPr>
          <w:color w:val="0E101A"/>
        </w:rPr>
        <w:t xml:space="preserve"> and </w:t>
      </w:r>
      <w:proofErr w:type="spellStart"/>
      <w:r w:rsidRPr="00E53CEB">
        <w:rPr>
          <w:color w:val="0E101A"/>
        </w:rPr>
        <w:t>Marchesi</w:t>
      </w:r>
      <w:proofErr w:type="spellEnd"/>
      <w:r w:rsidRPr="00E53CEB">
        <w:rPr>
          <w:color w:val="0E101A"/>
        </w:rPr>
        <w:t xml:space="preserve"> (2015). </w:t>
      </w:r>
      <w:r w:rsidRPr="00C7417E">
        <w:rPr>
          <w:color w:val="FF0000"/>
        </w:rPr>
        <w:t>This result can be explained by Bitcoin</w:t>
      </w:r>
      <w:r w:rsidR="00A14BC0" w:rsidRPr="00C7417E">
        <w:rPr>
          <w:color w:val="FF0000"/>
        </w:rPr>
        <w:t>’</w:t>
      </w:r>
      <w:r w:rsidRPr="00C7417E">
        <w:rPr>
          <w:color w:val="FF0000"/>
        </w:rPr>
        <w:t xml:space="preserve">s incredibly high price gaining attention </w:t>
      </w:r>
      <w:r w:rsidRPr="00C7417E">
        <w:rPr>
          <w:color w:val="FF0000"/>
        </w:rPr>
        <w:lastRenderedPageBreak/>
        <w:t xml:space="preserve">worldwide, which leads to high search volumes on Google. Additionally, one negative event also increases the number of searches as people want all </w:t>
      </w:r>
      <w:r w:rsidR="003E54B7" w:rsidRPr="00C7417E">
        <w:rPr>
          <w:color w:val="FF0000"/>
        </w:rPr>
        <w:t>its details</w:t>
      </w:r>
      <w:r w:rsidRPr="00C7417E">
        <w:rPr>
          <w:color w:val="FF0000"/>
        </w:rPr>
        <w:t>. Therefore, a sudden increase in searching also causes Bitcoin price fluctuations (Garcia et al., 2014).</w:t>
      </w:r>
    </w:p>
    <w:p w14:paraId="558DFFCB" w14:textId="543EBD52" w:rsidR="000B72B4" w:rsidRDefault="000B72B4" w:rsidP="00877F54">
      <w:pPr>
        <w:pStyle w:val="NormalWeb"/>
        <w:spacing w:before="0" w:beforeAutospacing="0" w:after="0" w:afterAutospacing="0" w:line="360" w:lineRule="auto"/>
        <w:jc w:val="both"/>
        <w:rPr>
          <w:color w:val="0E101A"/>
        </w:rPr>
      </w:pPr>
    </w:p>
    <w:p w14:paraId="01405163" w14:textId="6E5E51A7" w:rsidR="00FE2B27" w:rsidRDefault="000B72B4" w:rsidP="00877F54">
      <w:pPr>
        <w:pStyle w:val="NormalWeb"/>
        <w:spacing w:before="0" w:beforeAutospacing="0" w:after="0" w:afterAutospacing="0" w:line="360" w:lineRule="auto"/>
        <w:jc w:val="both"/>
        <w:rPr>
          <w:color w:val="FF0000"/>
        </w:rPr>
      </w:pPr>
      <w:bookmarkStart w:id="1" w:name="_Hlk95750633"/>
      <w:r w:rsidRPr="002D4AD3">
        <w:rPr>
          <w:color w:val="FF0000"/>
        </w:rPr>
        <w:t>The second graph</w:t>
      </w:r>
      <w:r w:rsidR="00CA5F5C" w:rsidRPr="002D4AD3">
        <w:rPr>
          <w:color w:val="FF0000"/>
        </w:rPr>
        <w:t xml:space="preserve"> in figure 3</w:t>
      </w:r>
      <w:r w:rsidRPr="002D4AD3">
        <w:rPr>
          <w:color w:val="FF0000"/>
        </w:rPr>
        <w:t xml:space="preserve"> displays the quantile causality from Dash Google Trends to Dash prices. The null hypothesis is accepted over the quantiles at the 10% and 5% significance levels. This result is supported by </w:t>
      </w:r>
      <w:proofErr w:type="spellStart"/>
      <w:r w:rsidRPr="002D4AD3">
        <w:rPr>
          <w:color w:val="FF0000"/>
        </w:rPr>
        <w:t>Sovbetov</w:t>
      </w:r>
      <w:r w:rsidR="00A14BC0">
        <w:rPr>
          <w:color w:val="FF0000"/>
        </w:rPr>
        <w:t>’</w:t>
      </w:r>
      <w:r w:rsidRPr="002D4AD3">
        <w:rPr>
          <w:color w:val="FF0000"/>
        </w:rPr>
        <w:t>s</w:t>
      </w:r>
      <w:proofErr w:type="spellEnd"/>
      <w:r w:rsidRPr="002D4AD3">
        <w:rPr>
          <w:color w:val="FF0000"/>
        </w:rPr>
        <w:t xml:space="preserve"> (2018) study, which stated that Google search frequency acts as an insignificant predictor for Dash.</w:t>
      </w:r>
      <w:r w:rsidR="00733C77" w:rsidRPr="002D4AD3">
        <w:rPr>
          <w:color w:val="FF0000"/>
        </w:rPr>
        <w:t xml:space="preserve"> Alonso-</w:t>
      </w:r>
      <w:proofErr w:type="spellStart"/>
      <w:r w:rsidR="00733C77" w:rsidRPr="002D4AD3">
        <w:rPr>
          <w:color w:val="FF0000"/>
        </w:rPr>
        <w:t>Monsalve</w:t>
      </w:r>
      <w:proofErr w:type="spellEnd"/>
      <w:r w:rsidR="00733C77" w:rsidRPr="002D4AD3">
        <w:rPr>
          <w:color w:val="FF0000"/>
        </w:rPr>
        <w:t xml:space="preserve"> et al. (2020) used </w:t>
      </w:r>
      <w:r w:rsidR="00815342" w:rsidRPr="002D4AD3">
        <w:rPr>
          <w:color w:val="FF0000"/>
        </w:rPr>
        <w:t xml:space="preserve">other prediction models such as </w:t>
      </w:r>
      <w:r w:rsidR="00733C77" w:rsidRPr="002D4AD3">
        <w:rPr>
          <w:color w:val="FF0000"/>
        </w:rPr>
        <w:t xml:space="preserve">LSTM NN model, hybrid CNN–LSTM network, MLP, and radial basis function NN and reported that these model does not predict Dash prices. </w:t>
      </w:r>
      <w:r w:rsidR="00FE2B27">
        <w:rPr>
          <w:color w:val="FF0000"/>
        </w:rPr>
        <w:t>T</w:t>
      </w:r>
      <w:r w:rsidR="00FE2B27" w:rsidRPr="00FE2B27">
        <w:rPr>
          <w:color w:val="FF0000"/>
        </w:rPr>
        <w:t xml:space="preserve">he primary explanation behind this </w:t>
      </w:r>
      <w:r w:rsidR="003E54B7">
        <w:rPr>
          <w:color w:val="FF0000"/>
        </w:rPr>
        <w:t>is</w:t>
      </w:r>
      <w:r w:rsidR="00FE2B27" w:rsidRPr="00FE2B27">
        <w:rPr>
          <w:color w:val="FF0000"/>
        </w:rPr>
        <w:t xml:space="preserve"> that these series may have intrinsically more noise or may </w:t>
      </w:r>
      <w:r w:rsidR="00427804">
        <w:rPr>
          <w:color w:val="FF0000"/>
        </w:rPr>
        <w:t>result from</w:t>
      </w:r>
      <w:r w:rsidR="00FE2B27" w:rsidRPr="00FE2B27">
        <w:rPr>
          <w:color w:val="FF0000"/>
        </w:rPr>
        <w:t xml:space="preserve"> different temporal behavior.</w:t>
      </w:r>
      <w:bookmarkEnd w:id="1"/>
    </w:p>
    <w:p w14:paraId="336F5A8C" w14:textId="77777777" w:rsidR="00C7417E" w:rsidRPr="00FE2B27" w:rsidRDefault="00C7417E" w:rsidP="00877F54">
      <w:pPr>
        <w:pStyle w:val="NormalWeb"/>
        <w:spacing w:before="0" w:beforeAutospacing="0" w:after="0" w:afterAutospacing="0" w:line="360" w:lineRule="auto"/>
        <w:jc w:val="both"/>
        <w:rPr>
          <w:color w:val="FF0000"/>
        </w:rPr>
      </w:pPr>
    </w:p>
    <w:p w14:paraId="23E6F689" w14:textId="579A1594" w:rsidR="000B72B4" w:rsidRDefault="000B72B4" w:rsidP="00877F54">
      <w:pPr>
        <w:pStyle w:val="NormalWeb"/>
        <w:spacing w:before="0" w:beforeAutospacing="0" w:after="0" w:afterAutospacing="0" w:line="360" w:lineRule="auto"/>
        <w:jc w:val="both"/>
        <w:rPr>
          <w:color w:val="0E101A"/>
        </w:rPr>
      </w:pPr>
      <w:r>
        <w:rPr>
          <w:color w:val="0E101A"/>
        </w:rPr>
        <w:t xml:space="preserve">The third graph </w:t>
      </w:r>
      <w:r w:rsidR="00CA5F5C">
        <w:rPr>
          <w:color w:val="0E101A"/>
        </w:rPr>
        <w:t xml:space="preserve">in </w:t>
      </w:r>
      <w:r w:rsidR="00CA5F5C" w:rsidRPr="002D4AD3">
        <w:rPr>
          <w:color w:val="FF0000"/>
        </w:rPr>
        <w:t xml:space="preserve">figure 3 </w:t>
      </w:r>
      <w:r>
        <w:rPr>
          <w:color w:val="0E101A"/>
        </w:rPr>
        <w:t xml:space="preserve">displays the quantile causality from </w:t>
      </w:r>
      <w:proofErr w:type="spellStart"/>
      <w:r>
        <w:rPr>
          <w:color w:val="0E101A"/>
        </w:rPr>
        <w:t>Ethereum</w:t>
      </w:r>
      <w:proofErr w:type="spellEnd"/>
      <w:r>
        <w:rPr>
          <w:color w:val="0E101A"/>
        </w:rPr>
        <w:t xml:space="preserve"> Google Trends to </w:t>
      </w:r>
      <w:proofErr w:type="spellStart"/>
      <w:r>
        <w:rPr>
          <w:color w:val="0E101A"/>
        </w:rPr>
        <w:t>Ethereum</w:t>
      </w:r>
      <w:proofErr w:type="spellEnd"/>
      <w:r>
        <w:rPr>
          <w:color w:val="0E101A"/>
        </w:rPr>
        <w:t xml:space="preserve"> prices. At a 5% significance level, the wider range of quantiles confirms that the null hypothesis is accepted. Only the quantiles 0.2, 0.4, and 0.5 show that the null hypothesis is rejected. At a 10% significance level, the higher quantiles ranging from 0.7-0.9 show that the null hypothesis is accepted. </w:t>
      </w:r>
      <w:r w:rsidRPr="00C7417E">
        <w:rPr>
          <w:color w:val="FF0000"/>
        </w:rPr>
        <w:t>This result is supported by the work of Phillips and Gorse (2018)</w:t>
      </w:r>
      <w:r w:rsidR="00A14BC0" w:rsidRPr="00C7417E">
        <w:rPr>
          <w:color w:val="FF0000"/>
        </w:rPr>
        <w:t>,</w:t>
      </w:r>
      <w:r w:rsidRPr="00C7417E">
        <w:rPr>
          <w:color w:val="FF0000"/>
        </w:rPr>
        <w:t xml:space="preserve"> who stated that Wikipedia views usually lead </w:t>
      </w:r>
      <w:r w:rsidR="00427804" w:rsidRPr="00C7417E">
        <w:rPr>
          <w:color w:val="FF0000"/>
        </w:rPr>
        <w:t xml:space="preserve">to </w:t>
      </w:r>
      <w:proofErr w:type="spellStart"/>
      <w:r w:rsidRPr="00C7417E">
        <w:rPr>
          <w:color w:val="FF0000"/>
        </w:rPr>
        <w:t>Ethereum</w:t>
      </w:r>
      <w:proofErr w:type="spellEnd"/>
      <w:r w:rsidRPr="00C7417E">
        <w:rPr>
          <w:color w:val="FF0000"/>
        </w:rPr>
        <w:t xml:space="preserve"> prices.</w:t>
      </w:r>
    </w:p>
    <w:p w14:paraId="6E8CB5CA" w14:textId="77777777" w:rsidR="000B72B4" w:rsidRDefault="000B72B4" w:rsidP="00877F54">
      <w:pPr>
        <w:pStyle w:val="NormalWeb"/>
        <w:spacing w:before="0" w:beforeAutospacing="0" w:after="0" w:afterAutospacing="0" w:line="360" w:lineRule="auto"/>
        <w:jc w:val="both"/>
        <w:rPr>
          <w:color w:val="0E101A"/>
        </w:rPr>
      </w:pPr>
      <w:r>
        <w:rPr>
          <w:color w:val="0E101A"/>
        </w:rPr>
        <w:t> </w:t>
      </w:r>
    </w:p>
    <w:p w14:paraId="176ED07A" w14:textId="2E93923F" w:rsidR="00877F54" w:rsidRDefault="000B72B4" w:rsidP="00877F54">
      <w:pPr>
        <w:pStyle w:val="NormalWeb"/>
        <w:spacing w:before="0" w:beforeAutospacing="0" w:after="0" w:afterAutospacing="0" w:line="360" w:lineRule="auto"/>
        <w:jc w:val="both"/>
        <w:rPr>
          <w:color w:val="FF0000"/>
        </w:rPr>
      </w:pPr>
      <w:r>
        <w:rPr>
          <w:color w:val="0E101A"/>
        </w:rPr>
        <w:t xml:space="preserve">The fourth graph displays the quantile causality from </w:t>
      </w:r>
      <w:proofErr w:type="spellStart"/>
      <w:r>
        <w:rPr>
          <w:color w:val="0E101A"/>
        </w:rPr>
        <w:t>Litecoin</w:t>
      </w:r>
      <w:proofErr w:type="spellEnd"/>
      <w:r>
        <w:rPr>
          <w:color w:val="0E101A"/>
        </w:rPr>
        <w:t xml:space="preserve"> Google Trends to </w:t>
      </w:r>
      <w:proofErr w:type="spellStart"/>
      <w:r>
        <w:rPr>
          <w:color w:val="0E101A"/>
        </w:rPr>
        <w:t>Litecoin</w:t>
      </w:r>
      <w:proofErr w:type="spellEnd"/>
      <w:r>
        <w:rPr>
          <w:color w:val="0E101A"/>
        </w:rPr>
        <w:t xml:space="preserve"> prices. At a 10% significance level, the higher quantiles ranging from 0.7-0.9 show that the null hypothesis is accepted. However, at a 5% significance level, the lower quantiles ranging from 0.3-0.6 show that the null hypothesis is rejected. In the case of quantile causality from Google Trends to </w:t>
      </w:r>
      <w:proofErr w:type="gramStart"/>
      <w:r w:rsidRPr="00BD5DC8">
        <w:rPr>
          <w:rStyle w:val="Strong"/>
          <w:b w:val="0"/>
          <w:color w:val="0E101A"/>
        </w:rPr>
        <w:t>Ripple</w:t>
      </w:r>
      <w:proofErr w:type="gramEnd"/>
      <w:r>
        <w:rPr>
          <w:color w:val="0E101A"/>
        </w:rPr>
        <w:t> prices, at a 10% significance level, the lower quantiles (0.1 to 0.5) show that the null hypothesis is rejected</w:t>
      </w:r>
      <w:r w:rsidR="003E54B7">
        <w:rPr>
          <w:color w:val="0E101A"/>
        </w:rPr>
        <w:t>. A</w:t>
      </w:r>
      <w:r>
        <w:rPr>
          <w:color w:val="0E101A"/>
        </w:rPr>
        <w:t>fter those quantiles, the null hypothesis is accepted.</w:t>
      </w:r>
      <w:r w:rsidR="00C7417E">
        <w:rPr>
          <w:color w:val="0E101A"/>
        </w:rPr>
        <w:t xml:space="preserve"> </w:t>
      </w:r>
      <w:r>
        <w:rPr>
          <w:color w:val="0E101A"/>
        </w:rPr>
        <w:t xml:space="preserve">Similarly, at a 5% significance level, the wider range of quantiles shows that the null hypothesis is accepted. Only the 0.4 quantile shows that the null hypothesis is rejected. </w:t>
      </w:r>
      <w:r w:rsidRPr="00C7417E">
        <w:rPr>
          <w:color w:val="FF0000"/>
        </w:rPr>
        <w:t xml:space="preserve">The result is supported by Arratia and </w:t>
      </w:r>
      <w:proofErr w:type="spellStart"/>
      <w:r w:rsidRPr="00C7417E">
        <w:rPr>
          <w:color w:val="FF0000"/>
        </w:rPr>
        <w:t>Barrantes</w:t>
      </w:r>
      <w:r w:rsidR="00A14BC0" w:rsidRPr="00C7417E">
        <w:rPr>
          <w:color w:val="FF0000"/>
        </w:rPr>
        <w:t>’</w:t>
      </w:r>
      <w:r w:rsidRPr="00C7417E">
        <w:rPr>
          <w:color w:val="FF0000"/>
        </w:rPr>
        <w:t>s</w:t>
      </w:r>
      <w:proofErr w:type="spellEnd"/>
      <w:r w:rsidRPr="00C7417E">
        <w:rPr>
          <w:color w:val="FF0000"/>
        </w:rPr>
        <w:t xml:space="preserve"> (2021) work wh</w:t>
      </w:r>
      <w:r w:rsidR="00A14BC0" w:rsidRPr="00C7417E">
        <w:rPr>
          <w:color w:val="FF0000"/>
        </w:rPr>
        <w:t>ich</w:t>
      </w:r>
      <w:r w:rsidRPr="00C7417E">
        <w:rPr>
          <w:color w:val="FF0000"/>
        </w:rPr>
        <w:t xml:space="preserve"> stated that these currencies do not bring huge search volumes and are substitutes for Bitcoin.</w:t>
      </w:r>
    </w:p>
    <w:p w14:paraId="51F16F78" w14:textId="77777777" w:rsidR="00C7417E" w:rsidRPr="00C7417E" w:rsidRDefault="00C7417E" w:rsidP="00877F54">
      <w:pPr>
        <w:pStyle w:val="NormalWeb"/>
        <w:spacing w:before="0" w:beforeAutospacing="0" w:after="0" w:afterAutospacing="0" w:line="360" w:lineRule="auto"/>
        <w:jc w:val="both"/>
        <w:rPr>
          <w:color w:val="FF0000"/>
        </w:rPr>
      </w:pPr>
    </w:p>
    <w:p w14:paraId="4C381C8E" w14:textId="1FAC4303" w:rsidR="00C7417E" w:rsidRPr="00C7417E" w:rsidRDefault="000B72B4" w:rsidP="00C7417E">
      <w:pPr>
        <w:pStyle w:val="NormalWeb"/>
        <w:spacing w:before="0" w:beforeAutospacing="0" w:after="0" w:afterAutospacing="0" w:line="360" w:lineRule="auto"/>
        <w:jc w:val="both"/>
        <w:rPr>
          <w:color w:val="FF0000"/>
        </w:rPr>
      </w:pPr>
      <w:r>
        <w:rPr>
          <w:color w:val="0E101A"/>
        </w:rPr>
        <w:lastRenderedPageBreak/>
        <w:t>The last graph displays the quantile causality from NEM Google Trends to NEM prices. At a 5% significance level, the higher quantiles ranging from 0.6-0.9 show that the null hypothesis is accepted, and the low-ranging quantiles from 0.1-0.5 show that the null hypothesis is rejected. In the case of a 10% significance level, the quantiles ranging from 0.1-0.7 show that the null hypothesis is rejected, except for the higher</w:t>
      </w:r>
      <w:r w:rsidR="00A14BC0">
        <w:rPr>
          <w:color w:val="0E101A"/>
        </w:rPr>
        <w:t>-</w:t>
      </w:r>
      <w:r>
        <w:rPr>
          <w:color w:val="0E101A"/>
        </w:rPr>
        <w:t>ranging quantiles 0.8-0.9</w:t>
      </w:r>
      <w:r w:rsidR="00A14BC0">
        <w:rPr>
          <w:color w:val="0E101A"/>
        </w:rPr>
        <w:t>,</w:t>
      </w:r>
      <w:r>
        <w:rPr>
          <w:color w:val="0E101A"/>
        </w:rPr>
        <w:t xml:space="preserve"> showing that the null hypothesis is accepted</w:t>
      </w:r>
      <w:r w:rsidRPr="00C7417E">
        <w:rPr>
          <w:color w:val="FF0000"/>
        </w:rPr>
        <w:t>. The NEM currency theft in 2018 is considered one of the largest currency thefts (bbc.com/news/world-</w:t>
      </w:r>
      <w:r w:rsidR="00A14BC0" w:rsidRPr="00C7417E">
        <w:rPr>
          <w:color w:val="FF0000"/>
        </w:rPr>
        <w:t>A</w:t>
      </w:r>
      <w:r w:rsidRPr="00C7417E">
        <w:rPr>
          <w:color w:val="FF0000"/>
        </w:rPr>
        <w:t xml:space="preserve">sia-42845505); </w:t>
      </w:r>
      <w:r w:rsidR="003E54B7" w:rsidRPr="00C7417E">
        <w:rPr>
          <w:color w:val="FF0000"/>
        </w:rPr>
        <w:t>after that</w:t>
      </w:r>
      <w:r w:rsidRPr="00C7417E">
        <w:rPr>
          <w:color w:val="FF0000"/>
        </w:rPr>
        <w:t>, the people search widely to explore whether NEM is a safe cryptocurrency or not. Therefore, apart from Google Trends, another website such as Wallet Investors or Trading Beats is also considered as a reliable source for NEM prediction (</w:t>
      </w:r>
      <w:hyperlink r:id="rId122" w:tgtFrame="_blank" w:history="1">
        <w:r w:rsidRPr="00C7417E">
          <w:rPr>
            <w:rStyle w:val="Hyperlink"/>
            <w:color w:val="FF0000"/>
          </w:rPr>
          <w:t>https://www.bitdegree.org/crypto/tutorials/nem-price-prediction</w:t>
        </w:r>
      </w:hyperlink>
      <w:r w:rsidRPr="00C7417E">
        <w:rPr>
          <w:color w:val="FF0000"/>
        </w:rPr>
        <w:t>)</w:t>
      </w:r>
    </w:p>
    <w:p w14:paraId="364E3ACB" w14:textId="77777777" w:rsidR="00C7417E" w:rsidRDefault="00C7417E" w:rsidP="000B72B4">
      <w:pPr>
        <w:pStyle w:val="NormalWeb"/>
        <w:spacing w:before="0" w:beforeAutospacing="0" w:after="0" w:afterAutospacing="0"/>
        <w:jc w:val="both"/>
        <w:rPr>
          <w:color w:val="0E101A"/>
        </w:rPr>
      </w:pPr>
    </w:p>
    <w:tbl>
      <w:tblPr>
        <w:tblW w:w="0" w:type="auto"/>
        <w:jc w:val="center"/>
        <w:tblLook w:val="04A0" w:firstRow="1" w:lastRow="0" w:firstColumn="1" w:lastColumn="0" w:noHBand="0" w:noVBand="1"/>
      </w:tblPr>
      <w:tblGrid>
        <w:gridCol w:w="1427"/>
        <w:gridCol w:w="1283"/>
        <w:gridCol w:w="1131"/>
        <w:gridCol w:w="1594"/>
        <w:gridCol w:w="1359"/>
        <w:gridCol w:w="1283"/>
        <w:gridCol w:w="1283"/>
      </w:tblGrid>
      <w:tr w:rsidR="000B72B4" w:rsidRPr="00084F3F" w14:paraId="19786D78" w14:textId="77777777" w:rsidTr="001F17F8">
        <w:trPr>
          <w:trHeight w:val="300"/>
          <w:jc w:val="center"/>
        </w:trPr>
        <w:tc>
          <w:tcPr>
            <w:tcW w:w="0" w:type="auto"/>
            <w:gridSpan w:val="7"/>
            <w:tcBorders>
              <w:top w:val="nil"/>
              <w:left w:val="nil"/>
              <w:bottom w:val="nil"/>
              <w:right w:val="nil"/>
            </w:tcBorders>
            <w:shd w:val="clear" w:color="auto" w:fill="auto"/>
            <w:noWrap/>
            <w:vAlign w:val="bottom"/>
            <w:hideMark/>
          </w:tcPr>
          <w:p w14:paraId="50B70CF2" w14:textId="237F414F" w:rsidR="000B72B4" w:rsidRPr="00084F3F" w:rsidRDefault="000B72B4" w:rsidP="00002A7B">
            <w:pPr>
              <w:spacing w:after="0" w:line="240" w:lineRule="auto"/>
              <w:rPr>
                <w:rFonts w:ascii="Times New Roman" w:eastAsia="Times New Roman" w:hAnsi="Times New Roman" w:cs="Times New Roman"/>
                <w:sz w:val="20"/>
                <w:szCs w:val="20"/>
              </w:rPr>
            </w:pPr>
            <w:r w:rsidRPr="00084F3F">
              <w:rPr>
                <w:rFonts w:ascii="Times New Roman" w:eastAsia="Times New Roman" w:hAnsi="Times New Roman" w:cs="Times New Roman"/>
                <w:b/>
                <w:bCs/>
                <w:color w:val="000000"/>
              </w:rPr>
              <w:t xml:space="preserve">Table </w:t>
            </w:r>
            <w:r w:rsidR="00002A7B">
              <w:rPr>
                <w:rFonts w:ascii="Times New Roman" w:eastAsia="Times New Roman" w:hAnsi="Times New Roman" w:cs="Times New Roman"/>
                <w:b/>
                <w:bCs/>
                <w:color w:val="000000"/>
              </w:rPr>
              <w:t>5</w:t>
            </w:r>
            <w:r w:rsidRPr="00084F3F">
              <w:rPr>
                <w:rFonts w:ascii="Times New Roman" w:eastAsia="Times New Roman" w:hAnsi="Times New Roman" w:cs="Times New Roman"/>
                <w:b/>
                <w:bCs/>
                <w:color w:val="000000"/>
              </w:rPr>
              <w:t>: Results of Causality-in-Quantiles test</w:t>
            </w:r>
          </w:p>
        </w:tc>
      </w:tr>
      <w:tr w:rsidR="000B72B4" w:rsidRPr="00084F3F" w14:paraId="311FF7F6" w14:textId="77777777" w:rsidTr="001F17F8">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14:paraId="3C0C47FF"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r w:rsidRPr="00084F3F">
              <w:rPr>
                <w:rFonts w:ascii="Times New Roman" w:eastAsia="Times New Roman" w:hAnsi="Times New Roman" w:cs="Times New Roman"/>
                <w:b/>
                <w:bCs/>
                <w:color w:val="000000"/>
              </w:rPr>
              <w:t>Quantile</w:t>
            </w:r>
          </w:p>
        </w:tc>
        <w:tc>
          <w:tcPr>
            <w:tcW w:w="0" w:type="auto"/>
            <w:tcBorders>
              <w:top w:val="single" w:sz="4" w:space="0" w:color="auto"/>
              <w:left w:val="nil"/>
              <w:bottom w:val="single" w:sz="4" w:space="0" w:color="auto"/>
              <w:right w:val="nil"/>
            </w:tcBorders>
            <w:shd w:val="clear" w:color="auto" w:fill="auto"/>
            <w:noWrap/>
            <w:vAlign w:val="center"/>
            <w:hideMark/>
          </w:tcPr>
          <w:p w14:paraId="3E32CC57"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r w:rsidRPr="00084F3F">
              <w:rPr>
                <w:rFonts w:ascii="Times New Roman" w:eastAsia="Times New Roman" w:hAnsi="Times New Roman" w:cs="Times New Roman"/>
                <w:b/>
                <w:bCs/>
                <w:color w:val="000000"/>
              </w:rPr>
              <w:t>Bitcoin</w:t>
            </w:r>
          </w:p>
        </w:tc>
        <w:tc>
          <w:tcPr>
            <w:tcW w:w="0" w:type="auto"/>
            <w:tcBorders>
              <w:top w:val="single" w:sz="4" w:space="0" w:color="auto"/>
              <w:left w:val="nil"/>
              <w:bottom w:val="single" w:sz="4" w:space="0" w:color="auto"/>
              <w:right w:val="nil"/>
            </w:tcBorders>
            <w:shd w:val="clear" w:color="auto" w:fill="auto"/>
            <w:noWrap/>
            <w:vAlign w:val="center"/>
            <w:hideMark/>
          </w:tcPr>
          <w:p w14:paraId="3DD6031E"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r w:rsidRPr="00084F3F">
              <w:rPr>
                <w:rFonts w:ascii="Times New Roman" w:eastAsia="Times New Roman" w:hAnsi="Times New Roman" w:cs="Times New Roman"/>
                <w:b/>
                <w:bCs/>
                <w:color w:val="000000"/>
              </w:rPr>
              <w:t>Dash</w:t>
            </w:r>
          </w:p>
        </w:tc>
        <w:tc>
          <w:tcPr>
            <w:tcW w:w="0" w:type="auto"/>
            <w:tcBorders>
              <w:top w:val="single" w:sz="4" w:space="0" w:color="auto"/>
              <w:left w:val="nil"/>
              <w:bottom w:val="single" w:sz="4" w:space="0" w:color="auto"/>
              <w:right w:val="nil"/>
            </w:tcBorders>
            <w:shd w:val="clear" w:color="auto" w:fill="auto"/>
            <w:noWrap/>
            <w:vAlign w:val="center"/>
            <w:hideMark/>
          </w:tcPr>
          <w:p w14:paraId="564263BF"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proofErr w:type="spellStart"/>
            <w:r w:rsidRPr="00084F3F">
              <w:rPr>
                <w:rFonts w:ascii="Times New Roman" w:eastAsia="Times New Roman" w:hAnsi="Times New Roman" w:cs="Times New Roman"/>
                <w:b/>
                <w:bCs/>
                <w:color w:val="000000"/>
              </w:rPr>
              <w:t>Ethereum</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4BF98C06"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proofErr w:type="spellStart"/>
            <w:r w:rsidRPr="00084F3F">
              <w:rPr>
                <w:rFonts w:ascii="Times New Roman" w:eastAsia="Times New Roman" w:hAnsi="Times New Roman" w:cs="Times New Roman"/>
                <w:b/>
                <w:bCs/>
                <w:color w:val="000000"/>
              </w:rPr>
              <w:t>Litecoin</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F7DA2C3"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r w:rsidRPr="00084F3F">
              <w:rPr>
                <w:rFonts w:ascii="Times New Roman" w:eastAsia="Times New Roman" w:hAnsi="Times New Roman" w:cs="Times New Roman"/>
                <w:b/>
                <w:bCs/>
                <w:color w:val="000000"/>
              </w:rPr>
              <w:t>NEM</w:t>
            </w:r>
          </w:p>
        </w:tc>
        <w:tc>
          <w:tcPr>
            <w:tcW w:w="0" w:type="auto"/>
            <w:tcBorders>
              <w:top w:val="single" w:sz="4" w:space="0" w:color="auto"/>
              <w:left w:val="nil"/>
              <w:bottom w:val="single" w:sz="4" w:space="0" w:color="auto"/>
              <w:right w:val="nil"/>
            </w:tcBorders>
            <w:shd w:val="clear" w:color="auto" w:fill="auto"/>
            <w:noWrap/>
            <w:vAlign w:val="center"/>
            <w:hideMark/>
          </w:tcPr>
          <w:p w14:paraId="51D9F1D9" w14:textId="77777777" w:rsidR="000B72B4" w:rsidRPr="00084F3F" w:rsidRDefault="000B72B4" w:rsidP="001F17F8">
            <w:pPr>
              <w:spacing w:after="0" w:line="240" w:lineRule="auto"/>
              <w:jc w:val="center"/>
              <w:rPr>
                <w:rFonts w:ascii="Times New Roman" w:eastAsia="Times New Roman" w:hAnsi="Times New Roman" w:cs="Times New Roman"/>
                <w:b/>
                <w:bCs/>
                <w:color w:val="000000"/>
              </w:rPr>
            </w:pPr>
            <w:r w:rsidRPr="00084F3F">
              <w:rPr>
                <w:rFonts w:ascii="Times New Roman" w:eastAsia="Times New Roman" w:hAnsi="Times New Roman" w:cs="Times New Roman"/>
                <w:b/>
                <w:bCs/>
                <w:color w:val="000000"/>
              </w:rPr>
              <w:t>Ripple</w:t>
            </w:r>
          </w:p>
        </w:tc>
      </w:tr>
      <w:tr w:rsidR="000B72B4" w:rsidRPr="00084F3F" w14:paraId="20465271"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327861F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0.1</w:t>
            </w:r>
          </w:p>
        </w:tc>
        <w:tc>
          <w:tcPr>
            <w:tcW w:w="0" w:type="auto"/>
            <w:tcBorders>
              <w:top w:val="nil"/>
              <w:left w:val="nil"/>
              <w:bottom w:val="nil"/>
              <w:right w:val="nil"/>
            </w:tcBorders>
            <w:shd w:val="clear" w:color="auto" w:fill="auto"/>
            <w:noWrap/>
            <w:vAlign w:val="center"/>
            <w:hideMark/>
          </w:tcPr>
          <w:p w14:paraId="4F5268F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1.860*</w:t>
            </w:r>
          </w:p>
        </w:tc>
        <w:tc>
          <w:tcPr>
            <w:tcW w:w="0" w:type="auto"/>
            <w:tcBorders>
              <w:top w:val="nil"/>
              <w:left w:val="nil"/>
              <w:bottom w:val="nil"/>
              <w:right w:val="nil"/>
            </w:tcBorders>
            <w:shd w:val="clear" w:color="auto" w:fill="auto"/>
            <w:noWrap/>
            <w:vAlign w:val="center"/>
            <w:hideMark/>
          </w:tcPr>
          <w:p w14:paraId="2792973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0.9495</w:t>
            </w:r>
          </w:p>
        </w:tc>
        <w:tc>
          <w:tcPr>
            <w:tcW w:w="0" w:type="auto"/>
            <w:tcBorders>
              <w:top w:val="nil"/>
              <w:left w:val="nil"/>
              <w:bottom w:val="nil"/>
              <w:right w:val="nil"/>
            </w:tcBorders>
            <w:shd w:val="clear" w:color="auto" w:fill="auto"/>
            <w:noWrap/>
            <w:vAlign w:val="center"/>
            <w:hideMark/>
          </w:tcPr>
          <w:p w14:paraId="3DBFE2A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1.724*</w:t>
            </w:r>
          </w:p>
        </w:tc>
        <w:tc>
          <w:tcPr>
            <w:tcW w:w="0" w:type="auto"/>
            <w:tcBorders>
              <w:top w:val="nil"/>
              <w:left w:val="nil"/>
              <w:bottom w:val="nil"/>
              <w:right w:val="nil"/>
            </w:tcBorders>
            <w:shd w:val="clear" w:color="auto" w:fill="auto"/>
            <w:noWrap/>
            <w:vAlign w:val="center"/>
            <w:hideMark/>
          </w:tcPr>
          <w:p w14:paraId="05664FE6"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1.863*</w:t>
            </w:r>
          </w:p>
        </w:tc>
        <w:tc>
          <w:tcPr>
            <w:tcW w:w="0" w:type="auto"/>
            <w:tcBorders>
              <w:top w:val="nil"/>
              <w:left w:val="nil"/>
              <w:bottom w:val="nil"/>
              <w:right w:val="nil"/>
            </w:tcBorders>
            <w:shd w:val="clear" w:color="auto" w:fill="auto"/>
            <w:noWrap/>
            <w:vAlign w:val="center"/>
            <w:hideMark/>
          </w:tcPr>
          <w:p w14:paraId="4113E560"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3.033**</w:t>
            </w:r>
          </w:p>
        </w:tc>
        <w:tc>
          <w:tcPr>
            <w:tcW w:w="0" w:type="auto"/>
            <w:tcBorders>
              <w:top w:val="nil"/>
              <w:left w:val="nil"/>
              <w:bottom w:val="nil"/>
              <w:right w:val="nil"/>
            </w:tcBorders>
            <w:shd w:val="clear" w:color="auto" w:fill="auto"/>
            <w:noWrap/>
            <w:vAlign w:val="center"/>
            <w:hideMark/>
          </w:tcPr>
          <w:p w14:paraId="33535DE8"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1.795*</w:t>
            </w:r>
          </w:p>
        </w:tc>
      </w:tr>
      <w:tr w:rsidR="000B72B4" w:rsidRPr="00084F3F" w14:paraId="7B657F03"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44D585A1"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0.2</w:t>
            </w:r>
          </w:p>
        </w:tc>
        <w:tc>
          <w:tcPr>
            <w:tcW w:w="0" w:type="auto"/>
            <w:tcBorders>
              <w:top w:val="nil"/>
              <w:left w:val="nil"/>
              <w:bottom w:val="nil"/>
              <w:right w:val="nil"/>
            </w:tcBorders>
            <w:shd w:val="clear" w:color="auto" w:fill="auto"/>
            <w:noWrap/>
            <w:vAlign w:val="center"/>
            <w:hideMark/>
          </w:tcPr>
          <w:p w14:paraId="4E743D64"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2.032**</w:t>
            </w:r>
          </w:p>
        </w:tc>
        <w:tc>
          <w:tcPr>
            <w:tcW w:w="0" w:type="auto"/>
            <w:tcBorders>
              <w:top w:val="nil"/>
              <w:left w:val="nil"/>
              <w:bottom w:val="nil"/>
              <w:right w:val="nil"/>
            </w:tcBorders>
            <w:shd w:val="clear" w:color="auto" w:fill="auto"/>
            <w:noWrap/>
            <w:vAlign w:val="center"/>
            <w:hideMark/>
          </w:tcPr>
          <w:p w14:paraId="5C63FF3E"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0.7545</w:t>
            </w:r>
          </w:p>
        </w:tc>
        <w:tc>
          <w:tcPr>
            <w:tcW w:w="0" w:type="auto"/>
            <w:tcBorders>
              <w:top w:val="nil"/>
              <w:left w:val="nil"/>
              <w:bottom w:val="nil"/>
              <w:right w:val="nil"/>
            </w:tcBorders>
            <w:shd w:val="clear" w:color="auto" w:fill="auto"/>
            <w:noWrap/>
            <w:vAlign w:val="center"/>
            <w:hideMark/>
          </w:tcPr>
          <w:p w14:paraId="0343C62B"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1.979**</w:t>
            </w:r>
          </w:p>
        </w:tc>
        <w:tc>
          <w:tcPr>
            <w:tcW w:w="0" w:type="auto"/>
            <w:tcBorders>
              <w:top w:val="nil"/>
              <w:left w:val="nil"/>
              <w:bottom w:val="nil"/>
              <w:right w:val="nil"/>
            </w:tcBorders>
            <w:shd w:val="clear" w:color="auto" w:fill="auto"/>
            <w:noWrap/>
            <w:vAlign w:val="center"/>
            <w:hideMark/>
          </w:tcPr>
          <w:p w14:paraId="5A160E86"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1.669*</w:t>
            </w:r>
          </w:p>
        </w:tc>
        <w:tc>
          <w:tcPr>
            <w:tcW w:w="0" w:type="auto"/>
            <w:tcBorders>
              <w:top w:val="nil"/>
              <w:left w:val="nil"/>
              <w:bottom w:val="nil"/>
              <w:right w:val="nil"/>
            </w:tcBorders>
            <w:shd w:val="clear" w:color="auto" w:fill="auto"/>
            <w:noWrap/>
            <w:vAlign w:val="center"/>
            <w:hideMark/>
          </w:tcPr>
          <w:p w14:paraId="1B381FA6"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2.687**</w:t>
            </w:r>
          </w:p>
        </w:tc>
        <w:tc>
          <w:tcPr>
            <w:tcW w:w="0" w:type="auto"/>
            <w:tcBorders>
              <w:top w:val="nil"/>
              <w:left w:val="nil"/>
              <w:bottom w:val="nil"/>
              <w:right w:val="nil"/>
            </w:tcBorders>
            <w:shd w:val="clear" w:color="auto" w:fill="auto"/>
            <w:noWrap/>
            <w:vAlign w:val="center"/>
            <w:hideMark/>
          </w:tcPr>
          <w:p w14:paraId="5322DC2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1.851*</w:t>
            </w:r>
          </w:p>
        </w:tc>
      </w:tr>
      <w:tr w:rsidR="000B72B4" w:rsidRPr="00084F3F" w14:paraId="789D7BA7"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7FC6A00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0.3</w:t>
            </w:r>
          </w:p>
        </w:tc>
        <w:tc>
          <w:tcPr>
            <w:tcW w:w="0" w:type="auto"/>
            <w:tcBorders>
              <w:top w:val="nil"/>
              <w:left w:val="nil"/>
              <w:bottom w:val="nil"/>
              <w:right w:val="nil"/>
            </w:tcBorders>
            <w:shd w:val="clear" w:color="auto" w:fill="auto"/>
            <w:noWrap/>
            <w:vAlign w:val="center"/>
            <w:hideMark/>
          </w:tcPr>
          <w:p w14:paraId="01F63C2F"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2.266**</w:t>
            </w:r>
          </w:p>
        </w:tc>
        <w:tc>
          <w:tcPr>
            <w:tcW w:w="0" w:type="auto"/>
            <w:tcBorders>
              <w:top w:val="nil"/>
              <w:left w:val="nil"/>
              <w:bottom w:val="nil"/>
              <w:right w:val="nil"/>
            </w:tcBorders>
            <w:shd w:val="clear" w:color="auto" w:fill="auto"/>
            <w:noWrap/>
            <w:vAlign w:val="center"/>
            <w:hideMark/>
          </w:tcPr>
          <w:p w14:paraId="5E6F927E"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1.2578</w:t>
            </w:r>
          </w:p>
        </w:tc>
        <w:tc>
          <w:tcPr>
            <w:tcW w:w="0" w:type="auto"/>
            <w:tcBorders>
              <w:top w:val="nil"/>
              <w:left w:val="nil"/>
              <w:bottom w:val="nil"/>
              <w:right w:val="nil"/>
            </w:tcBorders>
            <w:shd w:val="clear" w:color="auto" w:fill="auto"/>
            <w:noWrap/>
            <w:vAlign w:val="center"/>
            <w:hideMark/>
          </w:tcPr>
          <w:p w14:paraId="7953C72F"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1.950*</w:t>
            </w:r>
          </w:p>
        </w:tc>
        <w:tc>
          <w:tcPr>
            <w:tcW w:w="0" w:type="auto"/>
            <w:tcBorders>
              <w:top w:val="nil"/>
              <w:left w:val="nil"/>
              <w:bottom w:val="nil"/>
              <w:right w:val="nil"/>
            </w:tcBorders>
            <w:shd w:val="clear" w:color="auto" w:fill="auto"/>
            <w:noWrap/>
            <w:vAlign w:val="center"/>
            <w:hideMark/>
          </w:tcPr>
          <w:p w14:paraId="1E0D5DFF"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6.284**</w:t>
            </w:r>
          </w:p>
        </w:tc>
        <w:tc>
          <w:tcPr>
            <w:tcW w:w="0" w:type="auto"/>
            <w:tcBorders>
              <w:top w:val="nil"/>
              <w:left w:val="nil"/>
              <w:bottom w:val="nil"/>
              <w:right w:val="nil"/>
            </w:tcBorders>
            <w:shd w:val="clear" w:color="auto" w:fill="auto"/>
            <w:noWrap/>
            <w:vAlign w:val="center"/>
            <w:hideMark/>
          </w:tcPr>
          <w:p w14:paraId="01DBC64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3.344**</w:t>
            </w:r>
          </w:p>
        </w:tc>
        <w:tc>
          <w:tcPr>
            <w:tcW w:w="0" w:type="auto"/>
            <w:tcBorders>
              <w:top w:val="nil"/>
              <w:left w:val="nil"/>
              <w:bottom w:val="nil"/>
              <w:right w:val="nil"/>
            </w:tcBorders>
            <w:shd w:val="clear" w:color="auto" w:fill="auto"/>
            <w:noWrap/>
            <w:vAlign w:val="center"/>
            <w:hideMark/>
          </w:tcPr>
          <w:p w14:paraId="67531019"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1.867*</w:t>
            </w:r>
          </w:p>
        </w:tc>
      </w:tr>
      <w:tr w:rsidR="000B72B4" w:rsidRPr="00084F3F" w14:paraId="713669FF"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4C9DAE14"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0.4</w:t>
            </w:r>
          </w:p>
        </w:tc>
        <w:tc>
          <w:tcPr>
            <w:tcW w:w="0" w:type="auto"/>
            <w:tcBorders>
              <w:top w:val="nil"/>
              <w:left w:val="nil"/>
              <w:bottom w:val="nil"/>
              <w:right w:val="nil"/>
            </w:tcBorders>
            <w:shd w:val="clear" w:color="auto" w:fill="auto"/>
            <w:noWrap/>
            <w:vAlign w:val="center"/>
            <w:hideMark/>
          </w:tcPr>
          <w:p w14:paraId="582C0B35"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2.582**</w:t>
            </w:r>
          </w:p>
        </w:tc>
        <w:tc>
          <w:tcPr>
            <w:tcW w:w="0" w:type="auto"/>
            <w:tcBorders>
              <w:top w:val="nil"/>
              <w:left w:val="nil"/>
              <w:bottom w:val="nil"/>
              <w:right w:val="nil"/>
            </w:tcBorders>
            <w:shd w:val="clear" w:color="auto" w:fill="auto"/>
            <w:noWrap/>
            <w:vAlign w:val="center"/>
            <w:hideMark/>
          </w:tcPr>
          <w:p w14:paraId="2CB6D735"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1.4506</w:t>
            </w:r>
          </w:p>
        </w:tc>
        <w:tc>
          <w:tcPr>
            <w:tcW w:w="0" w:type="auto"/>
            <w:tcBorders>
              <w:top w:val="nil"/>
              <w:left w:val="nil"/>
              <w:bottom w:val="nil"/>
              <w:right w:val="nil"/>
            </w:tcBorders>
            <w:shd w:val="clear" w:color="auto" w:fill="auto"/>
            <w:noWrap/>
            <w:vAlign w:val="center"/>
            <w:hideMark/>
          </w:tcPr>
          <w:p w14:paraId="7D6AD5C1"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2.065**</w:t>
            </w:r>
          </w:p>
        </w:tc>
        <w:tc>
          <w:tcPr>
            <w:tcW w:w="0" w:type="auto"/>
            <w:tcBorders>
              <w:top w:val="nil"/>
              <w:left w:val="nil"/>
              <w:bottom w:val="nil"/>
              <w:right w:val="nil"/>
            </w:tcBorders>
            <w:shd w:val="clear" w:color="auto" w:fill="auto"/>
            <w:noWrap/>
            <w:vAlign w:val="center"/>
            <w:hideMark/>
          </w:tcPr>
          <w:p w14:paraId="06975496"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4.591**</w:t>
            </w:r>
          </w:p>
        </w:tc>
        <w:tc>
          <w:tcPr>
            <w:tcW w:w="0" w:type="auto"/>
            <w:tcBorders>
              <w:top w:val="nil"/>
              <w:left w:val="nil"/>
              <w:bottom w:val="nil"/>
              <w:right w:val="nil"/>
            </w:tcBorders>
            <w:shd w:val="clear" w:color="auto" w:fill="auto"/>
            <w:noWrap/>
            <w:vAlign w:val="center"/>
            <w:hideMark/>
          </w:tcPr>
          <w:p w14:paraId="7694C18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2.467**</w:t>
            </w:r>
          </w:p>
        </w:tc>
        <w:tc>
          <w:tcPr>
            <w:tcW w:w="0" w:type="auto"/>
            <w:tcBorders>
              <w:top w:val="nil"/>
              <w:left w:val="nil"/>
              <w:bottom w:val="nil"/>
              <w:right w:val="nil"/>
            </w:tcBorders>
            <w:shd w:val="clear" w:color="auto" w:fill="auto"/>
            <w:noWrap/>
            <w:vAlign w:val="center"/>
            <w:hideMark/>
          </w:tcPr>
          <w:p w14:paraId="43D22DDE"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2.081**</w:t>
            </w:r>
          </w:p>
        </w:tc>
      </w:tr>
      <w:tr w:rsidR="000B72B4" w:rsidRPr="00084F3F" w14:paraId="25ABFD7A"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4F8D5F5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0.5</w:t>
            </w:r>
          </w:p>
        </w:tc>
        <w:tc>
          <w:tcPr>
            <w:tcW w:w="0" w:type="auto"/>
            <w:tcBorders>
              <w:top w:val="nil"/>
              <w:left w:val="nil"/>
              <w:bottom w:val="nil"/>
              <w:right w:val="nil"/>
            </w:tcBorders>
            <w:shd w:val="clear" w:color="auto" w:fill="auto"/>
            <w:noWrap/>
            <w:vAlign w:val="center"/>
            <w:hideMark/>
          </w:tcPr>
          <w:p w14:paraId="7D9032D8"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2.401**</w:t>
            </w:r>
          </w:p>
        </w:tc>
        <w:tc>
          <w:tcPr>
            <w:tcW w:w="0" w:type="auto"/>
            <w:tcBorders>
              <w:top w:val="nil"/>
              <w:left w:val="nil"/>
              <w:bottom w:val="nil"/>
              <w:right w:val="nil"/>
            </w:tcBorders>
            <w:shd w:val="clear" w:color="auto" w:fill="auto"/>
            <w:noWrap/>
            <w:vAlign w:val="center"/>
            <w:hideMark/>
          </w:tcPr>
          <w:p w14:paraId="1FFB944A"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1.5301</w:t>
            </w:r>
          </w:p>
        </w:tc>
        <w:tc>
          <w:tcPr>
            <w:tcW w:w="0" w:type="auto"/>
            <w:tcBorders>
              <w:top w:val="nil"/>
              <w:left w:val="nil"/>
              <w:bottom w:val="nil"/>
              <w:right w:val="nil"/>
            </w:tcBorders>
            <w:shd w:val="clear" w:color="auto" w:fill="auto"/>
            <w:noWrap/>
            <w:vAlign w:val="center"/>
            <w:hideMark/>
          </w:tcPr>
          <w:p w14:paraId="11748C44"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2.189**</w:t>
            </w:r>
          </w:p>
        </w:tc>
        <w:tc>
          <w:tcPr>
            <w:tcW w:w="0" w:type="auto"/>
            <w:tcBorders>
              <w:top w:val="nil"/>
              <w:left w:val="nil"/>
              <w:bottom w:val="nil"/>
              <w:right w:val="nil"/>
            </w:tcBorders>
            <w:shd w:val="clear" w:color="auto" w:fill="auto"/>
            <w:noWrap/>
            <w:vAlign w:val="center"/>
            <w:hideMark/>
          </w:tcPr>
          <w:p w14:paraId="3F35B4B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3.113**</w:t>
            </w:r>
          </w:p>
        </w:tc>
        <w:tc>
          <w:tcPr>
            <w:tcW w:w="0" w:type="auto"/>
            <w:tcBorders>
              <w:top w:val="nil"/>
              <w:left w:val="nil"/>
              <w:bottom w:val="nil"/>
              <w:right w:val="nil"/>
            </w:tcBorders>
            <w:shd w:val="clear" w:color="auto" w:fill="auto"/>
            <w:noWrap/>
            <w:vAlign w:val="center"/>
            <w:hideMark/>
          </w:tcPr>
          <w:p w14:paraId="0A62AA2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2.195**</w:t>
            </w:r>
          </w:p>
        </w:tc>
        <w:tc>
          <w:tcPr>
            <w:tcW w:w="0" w:type="auto"/>
            <w:tcBorders>
              <w:top w:val="nil"/>
              <w:left w:val="nil"/>
              <w:bottom w:val="nil"/>
              <w:right w:val="nil"/>
            </w:tcBorders>
            <w:shd w:val="clear" w:color="auto" w:fill="auto"/>
            <w:noWrap/>
            <w:vAlign w:val="center"/>
            <w:hideMark/>
          </w:tcPr>
          <w:p w14:paraId="06271DB9"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1.922*</w:t>
            </w:r>
          </w:p>
        </w:tc>
      </w:tr>
      <w:tr w:rsidR="000B72B4" w:rsidRPr="00084F3F" w14:paraId="3A5C9AA9"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5227FEC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0.6</w:t>
            </w:r>
          </w:p>
        </w:tc>
        <w:tc>
          <w:tcPr>
            <w:tcW w:w="0" w:type="auto"/>
            <w:tcBorders>
              <w:top w:val="nil"/>
              <w:left w:val="nil"/>
              <w:bottom w:val="nil"/>
              <w:right w:val="nil"/>
            </w:tcBorders>
            <w:shd w:val="clear" w:color="auto" w:fill="auto"/>
            <w:noWrap/>
            <w:vAlign w:val="center"/>
            <w:hideMark/>
          </w:tcPr>
          <w:p w14:paraId="6366AAE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1.697*</w:t>
            </w:r>
          </w:p>
        </w:tc>
        <w:tc>
          <w:tcPr>
            <w:tcW w:w="0" w:type="auto"/>
            <w:tcBorders>
              <w:top w:val="nil"/>
              <w:left w:val="nil"/>
              <w:bottom w:val="nil"/>
              <w:right w:val="nil"/>
            </w:tcBorders>
            <w:shd w:val="clear" w:color="auto" w:fill="auto"/>
            <w:noWrap/>
            <w:vAlign w:val="center"/>
            <w:hideMark/>
          </w:tcPr>
          <w:p w14:paraId="74B7551A"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1.2981</w:t>
            </w:r>
          </w:p>
        </w:tc>
        <w:tc>
          <w:tcPr>
            <w:tcW w:w="0" w:type="auto"/>
            <w:tcBorders>
              <w:top w:val="nil"/>
              <w:left w:val="nil"/>
              <w:bottom w:val="nil"/>
              <w:right w:val="nil"/>
            </w:tcBorders>
            <w:shd w:val="clear" w:color="auto" w:fill="auto"/>
            <w:noWrap/>
            <w:vAlign w:val="center"/>
            <w:hideMark/>
          </w:tcPr>
          <w:p w14:paraId="3848C9F2"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1.877*</w:t>
            </w:r>
          </w:p>
        </w:tc>
        <w:tc>
          <w:tcPr>
            <w:tcW w:w="0" w:type="auto"/>
            <w:tcBorders>
              <w:top w:val="nil"/>
              <w:left w:val="nil"/>
              <w:bottom w:val="nil"/>
              <w:right w:val="nil"/>
            </w:tcBorders>
            <w:shd w:val="clear" w:color="auto" w:fill="auto"/>
            <w:noWrap/>
            <w:vAlign w:val="center"/>
            <w:hideMark/>
          </w:tcPr>
          <w:p w14:paraId="5B781A5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2.298**</w:t>
            </w:r>
          </w:p>
        </w:tc>
        <w:tc>
          <w:tcPr>
            <w:tcW w:w="0" w:type="auto"/>
            <w:tcBorders>
              <w:top w:val="nil"/>
              <w:left w:val="nil"/>
              <w:bottom w:val="nil"/>
              <w:right w:val="nil"/>
            </w:tcBorders>
            <w:shd w:val="clear" w:color="auto" w:fill="auto"/>
            <w:noWrap/>
            <w:vAlign w:val="center"/>
            <w:hideMark/>
          </w:tcPr>
          <w:p w14:paraId="29982645"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1.710*</w:t>
            </w:r>
          </w:p>
        </w:tc>
        <w:tc>
          <w:tcPr>
            <w:tcW w:w="0" w:type="auto"/>
            <w:tcBorders>
              <w:top w:val="nil"/>
              <w:left w:val="nil"/>
              <w:bottom w:val="nil"/>
              <w:right w:val="nil"/>
            </w:tcBorders>
            <w:shd w:val="clear" w:color="auto" w:fill="auto"/>
            <w:noWrap/>
            <w:vAlign w:val="center"/>
            <w:hideMark/>
          </w:tcPr>
          <w:p w14:paraId="4D00FFA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1.4266</w:t>
            </w:r>
          </w:p>
        </w:tc>
      </w:tr>
      <w:tr w:rsidR="000B72B4" w:rsidRPr="00084F3F" w14:paraId="0F8288B7"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0DA61BF1"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0.7</w:t>
            </w:r>
          </w:p>
        </w:tc>
        <w:tc>
          <w:tcPr>
            <w:tcW w:w="0" w:type="auto"/>
            <w:tcBorders>
              <w:top w:val="nil"/>
              <w:left w:val="nil"/>
              <w:bottom w:val="nil"/>
              <w:right w:val="nil"/>
            </w:tcBorders>
            <w:shd w:val="clear" w:color="auto" w:fill="auto"/>
            <w:noWrap/>
            <w:vAlign w:val="center"/>
            <w:hideMark/>
          </w:tcPr>
          <w:p w14:paraId="388A9829"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1.3138</w:t>
            </w:r>
          </w:p>
        </w:tc>
        <w:tc>
          <w:tcPr>
            <w:tcW w:w="0" w:type="auto"/>
            <w:tcBorders>
              <w:top w:val="nil"/>
              <w:left w:val="nil"/>
              <w:bottom w:val="nil"/>
              <w:right w:val="nil"/>
            </w:tcBorders>
            <w:shd w:val="clear" w:color="auto" w:fill="auto"/>
            <w:noWrap/>
            <w:vAlign w:val="center"/>
            <w:hideMark/>
          </w:tcPr>
          <w:p w14:paraId="37FC2BCB"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1.0567</w:t>
            </w:r>
          </w:p>
        </w:tc>
        <w:tc>
          <w:tcPr>
            <w:tcW w:w="0" w:type="auto"/>
            <w:tcBorders>
              <w:top w:val="nil"/>
              <w:left w:val="nil"/>
              <w:bottom w:val="nil"/>
              <w:right w:val="nil"/>
            </w:tcBorders>
            <w:shd w:val="clear" w:color="auto" w:fill="auto"/>
            <w:noWrap/>
            <w:vAlign w:val="center"/>
            <w:hideMark/>
          </w:tcPr>
          <w:p w14:paraId="6028EED9"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1.2489</w:t>
            </w:r>
          </w:p>
        </w:tc>
        <w:tc>
          <w:tcPr>
            <w:tcW w:w="0" w:type="auto"/>
            <w:tcBorders>
              <w:top w:val="nil"/>
              <w:left w:val="nil"/>
              <w:bottom w:val="nil"/>
              <w:right w:val="nil"/>
            </w:tcBorders>
            <w:shd w:val="clear" w:color="auto" w:fill="auto"/>
            <w:noWrap/>
            <w:vAlign w:val="center"/>
            <w:hideMark/>
          </w:tcPr>
          <w:p w14:paraId="1D5FEE7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1.5079</w:t>
            </w:r>
          </w:p>
        </w:tc>
        <w:tc>
          <w:tcPr>
            <w:tcW w:w="0" w:type="auto"/>
            <w:tcBorders>
              <w:top w:val="nil"/>
              <w:left w:val="nil"/>
              <w:bottom w:val="nil"/>
              <w:right w:val="nil"/>
            </w:tcBorders>
            <w:shd w:val="clear" w:color="auto" w:fill="auto"/>
            <w:noWrap/>
            <w:vAlign w:val="center"/>
            <w:hideMark/>
          </w:tcPr>
          <w:p w14:paraId="044B6FA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1.699*</w:t>
            </w:r>
          </w:p>
        </w:tc>
        <w:tc>
          <w:tcPr>
            <w:tcW w:w="0" w:type="auto"/>
            <w:tcBorders>
              <w:top w:val="nil"/>
              <w:left w:val="nil"/>
              <w:bottom w:val="nil"/>
              <w:right w:val="nil"/>
            </w:tcBorders>
            <w:shd w:val="clear" w:color="auto" w:fill="auto"/>
            <w:noWrap/>
            <w:vAlign w:val="center"/>
            <w:hideMark/>
          </w:tcPr>
          <w:p w14:paraId="5D07CE4F"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0.8246</w:t>
            </w:r>
          </w:p>
        </w:tc>
      </w:tr>
      <w:tr w:rsidR="000B72B4" w:rsidRPr="00084F3F" w14:paraId="15C6B0DF" w14:textId="77777777" w:rsidTr="001F17F8">
        <w:trPr>
          <w:trHeight w:val="300"/>
          <w:jc w:val="center"/>
        </w:trPr>
        <w:tc>
          <w:tcPr>
            <w:tcW w:w="0" w:type="auto"/>
            <w:tcBorders>
              <w:top w:val="nil"/>
              <w:left w:val="nil"/>
              <w:bottom w:val="nil"/>
              <w:right w:val="nil"/>
            </w:tcBorders>
            <w:shd w:val="clear" w:color="auto" w:fill="auto"/>
            <w:noWrap/>
            <w:vAlign w:val="center"/>
            <w:hideMark/>
          </w:tcPr>
          <w:p w14:paraId="1DC38A0E"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0.8</w:t>
            </w:r>
          </w:p>
        </w:tc>
        <w:tc>
          <w:tcPr>
            <w:tcW w:w="0" w:type="auto"/>
            <w:tcBorders>
              <w:top w:val="nil"/>
              <w:left w:val="nil"/>
              <w:bottom w:val="nil"/>
              <w:right w:val="nil"/>
            </w:tcBorders>
            <w:shd w:val="clear" w:color="auto" w:fill="auto"/>
            <w:noWrap/>
            <w:vAlign w:val="center"/>
            <w:hideMark/>
          </w:tcPr>
          <w:p w14:paraId="7194100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1.3883</w:t>
            </w:r>
          </w:p>
        </w:tc>
        <w:tc>
          <w:tcPr>
            <w:tcW w:w="0" w:type="auto"/>
            <w:tcBorders>
              <w:top w:val="nil"/>
              <w:left w:val="nil"/>
              <w:bottom w:val="nil"/>
              <w:right w:val="nil"/>
            </w:tcBorders>
            <w:shd w:val="clear" w:color="auto" w:fill="auto"/>
            <w:noWrap/>
            <w:vAlign w:val="center"/>
            <w:hideMark/>
          </w:tcPr>
          <w:p w14:paraId="5838C22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1.4870</w:t>
            </w:r>
          </w:p>
        </w:tc>
        <w:tc>
          <w:tcPr>
            <w:tcW w:w="0" w:type="auto"/>
            <w:tcBorders>
              <w:top w:val="nil"/>
              <w:left w:val="nil"/>
              <w:bottom w:val="nil"/>
              <w:right w:val="nil"/>
            </w:tcBorders>
            <w:shd w:val="clear" w:color="auto" w:fill="auto"/>
            <w:noWrap/>
            <w:vAlign w:val="center"/>
            <w:hideMark/>
          </w:tcPr>
          <w:p w14:paraId="147E1124"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1.1298</w:t>
            </w:r>
          </w:p>
        </w:tc>
        <w:tc>
          <w:tcPr>
            <w:tcW w:w="0" w:type="auto"/>
            <w:tcBorders>
              <w:top w:val="nil"/>
              <w:left w:val="nil"/>
              <w:bottom w:val="nil"/>
              <w:right w:val="nil"/>
            </w:tcBorders>
            <w:shd w:val="clear" w:color="auto" w:fill="auto"/>
            <w:noWrap/>
            <w:vAlign w:val="center"/>
            <w:hideMark/>
          </w:tcPr>
          <w:p w14:paraId="43644EEC"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1.1045</w:t>
            </w:r>
          </w:p>
        </w:tc>
        <w:tc>
          <w:tcPr>
            <w:tcW w:w="0" w:type="auto"/>
            <w:tcBorders>
              <w:top w:val="nil"/>
              <w:left w:val="nil"/>
              <w:bottom w:val="nil"/>
              <w:right w:val="nil"/>
            </w:tcBorders>
            <w:shd w:val="clear" w:color="auto" w:fill="auto"/>
            <w:noWrap/>
            <w:vAlign w:val="center"/>
            <w:hideMark/>
          </w:tcPr>
          <w:p w14:paraId="7A347A17"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0.8674</w:t>
            </w:r>
          </w:p>
        </w:tc>
        <w:tc>
          <w:tcPr>
            <w:tcW w:w="0" w:type="auto"/>
            <w:tcBorders>
              <w:top w:val="nil"/>
              <w:left w:val="nil"/>
              <w:bottom w:val="nil"/>
              <w:right w:val="nil"/>
            </w:tcBorders>
            <w:shd w:val="clear" w:color="auto" w:fill="auto"/>
            <w:noWrap/>
            <w:vAlign w:val="center"/>
            <w:hideMark/>
          </w:tcPr>
          <w:p w14:paraId="4A3CB3B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0.6379</w:t>
            </w:r>
          </w:p>
        </w:tc>
      </w:tr>
      <w:tr w:rsidR="000B72B4" w:rsidRPr="00084F3F" w14:paraId="5CF268C7" w14:textId="77777777" w:rsidTr="001F17F8">
        <w:trPr>
          <w:trHeight w:val="300"/>
          <w:jc w:val="center"/>
        </w:trPr>
        <w:tc>
          <w:tcPr>
            <w:tcW w:w="0" w:type="auto"/>
            <w:tcBorders>
              <w:top w:val="nil"/>
              <w:left w:val="nil"/>
              <w:bottom w:val="single" w:sz="4" w:space="0" w:color="auto"/>
              <w:right w:val="nil"/>
            </w:tcBorders>
            <w:shd w:val="clear" w:color="auto" w:fill="auto"/>
            <w:noWrap/>
            <w:vAlign w:val="center"/>
            <w:hideMark/>
          </w:tcPr>
          <w:p w14:paraId="027C227F"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0.9</w:t>
            </w:r>
          </w:p>
        </w:tc>
        <w:tc>
          <w:tcPr>
            <w:tcW w:w="0" w:type="auto"/>
            <w:tcBorders>
              <w:top w:val="nil"/>
              <w:left w:val="nil"/>
              <w:bottom w:val="nil"/>
              <w:right w:val="nil"/>
            </w:tcBorders>
            <w:shd w:val="clear" w:color="auto" w:fill="auto"/>
            <w:noWrap/>
            <w:vAlign w:val="center"/>
            <w:hideMark/>
          </w:tcPr>
          <w:p w14:paraId="6F44208D"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0.5999</w:t>
            </w:r>
          </w:p>
        </w:tc>
        <w:tc>
          <w:tcPr>
            <w:tcW w:w="0" w:type="auto"/>
            <w:tcBorders>
              <w:top w:val="nil"/>
              <w:left w:val="nil"/>
              <w:bottom w:val="nil"/>
              <w:right w:val="nil"/>
            </w:tcBorders>
            <w:shd w:val="clear" w:color="auto" w:fill="auto"/>
            <w:noWrap/>
            <w:vAlign w:val="center"/>
            <w:hideMark/>
          </w:tcPr>
          <w:p w14:paraId="23A1A6D4"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0.7089</w:t>
            </w:r>
          </w:p>
        </w:tc>
        <w:tc>
          <w:tcPr>
            <w:tcW w:w="0" w:type="auto"/>
            <w:tcBorders>
              <w:top w:val="nil"/>
              <w:left w:val="nil"/>
              <w:bottom w:val="nil"/>
              <w:right w:val="nil"/>
            </w:tcBorders>
            <w:shd w:val="clear" w:color="auto" w:fill="auto"/>
            <w:noWrap/>
            <w:vAlign w:val="center"/>
            <w:hideMark/>
          </w:tcPr>
          <w:p w14:paraId="0B89E94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0.5388</w:t>
            </w:r>
          </w:p>
        </w:tc>
        <w:tc>
          <w:tcPr>
            <w:tcW w:w="0" w:type="auto"/>
            <w:tcBorders>
              <w:top w:val="nil"/>
              <w:left w:val="nil"/>
              <w:bottom w:val="nil"/>
              <w:right w:val="nil"/>
            </w:tcBorders>
            <w:shd w:val="clear" w:color="auto" w:fill="auto"/>
            <w:noWrap/>
            <w:vAlign w:val="center"/>
            <w:hideMark/>
          </w:tcPr>
          <w:p w14:paraId="44C66570"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0.5628</w:t>
            </w:r>
          </w:p>
        </w:tc>
        <w:tc>
          <w:tcPr>
            <w:tcW w:w="0" w:type="auto"/>
            <w:tcBorders>
              <w:top w:val="nil"/>
              <w:left w:val="nil"/>
              <w:bottom w:val="nil"/>
              <w:right w:val="nil"/>
            </w:tcBorders>
            <w:shd w:val="clear" w:color="auto" w:fill="auto"/>
            <w:noWrap/>
            <w:vAlign w:val="center"/>
            <w:hideMark/>
          </w:tcPr>
          <w:p w14:paraId="0A2E5913"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0.6182</w:t>
            </w:r>
          </w:p>
        </w:tc>
        <w:tc>
          <w:tcPr>
            <w:tcW w:w="0" w:type="auto"/>
            <w:tcBorders>
              <w:top w:val="nil"/>
              <w:left w:val="nil"/>
              <w:bottom w:val="nil"/>
              <w:right w:val="nil"/>
            </w:tcBorders>
            <w:shd w:val="clear" w:color="auto" w:fill="auto"/>
            <w:noWrap/>
            <w:vAlign w:val="center"/>
            <w:hideMark/>
          </w:tcPr>
          <w:p w14:paraId="2F1BEA25" w14:textId="77777777" w:rsidR="000B72B4" w:rsidRPr="00084F3F" w:rsidRDefault="000B72B4" w:rsidP="001F17F8">
            <w:pPr>
              <w:spacing w:after="0" w:line="240" w:lineRule="auto"/>
              <w:jc w:val="center"/>
              <w:rPr>
                <w:rFonts w:ascii="Times New Roman" w:eastAsia="Times New Roman" w:hAnsi="Times New Roman" w:cs="Times New Roman"/>
                <w:color w:val="000000"/>
              </w:rPr>
            </w:pPr>
            <w:r w:rsidRPr="00084F3F">
              <w:rPr>
                <w:rFonts w:ascii="Times New Roman" w:eastAsia="Times New Roman" w:hAnsi="Times New Roman" w:cs="Times New Roman"/>
                <w:color w:val="000000"/>
              </w:rPr>
              <w:t>0.2646</w:t>
            </w:r>
          </w:p>
        </w:tc>
      </w:tr>
      <w:tr w:rsidR="000B72B4" w:rsidRPr="00084F3F" w14:paraId="5AA01238" w14:textId="77777777" w:rsidTr="001F17F8">
        <w:trPr>
          <w:trHeight w:val="1275"/>
          <w:jc w:val="center"/>
        </w:trPr>
        <w:tc>
          <w:tcPr>
            <w:tcW w:w="0" w:type="auto"/>
            <w:gridSpan w:val="7"/>
            <w:tcBorders>
              <w:top w:val="single" w:sz="4" w:space="0" w:color="auto"/>
              <w:left w:val="nil"/>
              <w:bottom w:val="nil"/>
              <w:right w:val="nil"/>
            </w:tcBorders>
            <w:shd w:val="clear" w:color="auto" w:fill="auto"/>
            <w:vAlign w:val="center"/>
            <w:hideMark/>
          </w:tcPr>
          <w:p w14:paraId="5AAA843E" w14:textId="6D34C3CD" w:rsidR="000B72B4" w:rsidRPr="00084F3F" w:rsidRDefault="000B72B4" w:rsidP="00A14BC0">
            <w:pPr>
              <w:spacing w:after="0" w:line="240" w:lineRule="auto"/>
              <w:rPr>
                <w:rFonts w:ascii="Times New Roman" w:eastAsia="Times New Roman" w:hAnsi="Times New Roman" w:cs="Times New Roman"/>
                <w:color w:val="000000"/>
              </w:rPr>
            </w:pPr>
            <w:r w:rsidRPr="00084F3F">
              <w:rPr>
                <w:rFonts w:ascii="Times New Roman" w:eastAsia="Times New Roman" w:hAnsi="Times New Roman" w:cs="Times New Roman"/>
                <w:b/>
                <w:bCs/>
                <w:color w:val="000000"/>
              </w:rPr>
              <w:t>Note:</w:t>
            </w:r>
            <w:r w:rsidRPr="00084F3F">
              <w:rPr>
                <w:rFonts w:ascii="Times New Roman" w:eastAsia="Times New Roman" w:hAnsi="Times New Roman" w:cs="Times New Roman"/>
                <w:color w:val="000000"/>
              </w:rPr>
              <w:t xml:space="preserve"> Entries correspond to the quantile causality test statistic for the null hypothesis that Google trends of Cryptocurrencies does not Granger cause prices of Cryptocurrencies. </w:t>
            </w:r>
            <w:r w:rsidRPr="00084F3F">
              <w:rPr>
                <w:rFonts w:ascii="Times New Roman" w:eastAsia="Times New Roman" w:hAnsi="Times New Roman" w:cs="Times New Roman"/>
                <w:color w:val="000000"/>
              </w:rPr>
              <w:br/>
              <w:t>**, * indicates rejection of null of no-causality at 5, and 10 percent levels respectively.</w:t>
            </w:r>
            <w:r w:rsidRPr="00084F3F">
              <w:rPr>
                <w:rFonts w:ascii="Times New Roman" w:eastAsia="Times New Roman" w:hAnsi="Times New Roman" w:cs="Times New Roman"/>
                <w:color w:val="000000"/>
              </w:rPr>
              <w:br/>
            </w:r>
            <w:r w:rsidRPr="00084F3F">
              <w:rPr>
                <w:rFonts w:ascii="Times New Roman" w:eastAsia="Times New Roman" w:hAnsi="Times New Roman" w:cs="Times New Roman"/>
                <w:b/>
                <w:bCs/>
                <w:color w:val="000000"/>
              </w:rPr>
              <w:t xml:space="preserve">Source: </w:t>
            </w:r>
            <w:r w:rsidRPr="00084F3F">
              <w:rPr>
                <w:rFonts w:ascii="Times New Roman" w:eastAsia="Times New Roman" w:hAnsi="Times New Roman" w:cs="Times New Roman"/>
                <w:color w:val="000000"/>
              </w:rPr>
              <w:t>Authors</w:t>
            </w:r>
            <w:r w:rsidR="00A14BC0">
              <w:rPr>
                <w:rFonts w:ascii="Times New Roman" w:eastAsia="Times New Roman" w:hAnsi="Times New Roman" w:cs="Times New Roman"/>
                <w:color w:val="000000"/>
              </w:rPr>
              <w:t>’</w:t>
            </w:r>
            <w:r w:rsidRPr="00084F3F">
              <w:rPr>
                <w:rFonts w:ascii="Times New Roman" w:eastAsia="Times New Roman" w:hAnsi="Times New Roman" w:cs="Times New Roman"/>
                <w:color w:val="000000"/>
              </w:rPr>
              <w:t xml:space="preserve"> Estimations</w:t>
            </w:r>
          </w:p>
        </w:tc>
      </w:tr>
    </w:tbl>
    <w:p w14:paraId="50EB60C6" w14:textId="739A19A0" w:rsidR="000B72B4" w:rsidRDefault="000B72B4" w:rsidP="00C7417E">
      <w:pPr>
        <w:pStyle w:val="NormalWeb"/>
        <w:tabs>
          <w:tab w:val="left" w:pos="8640"/>
        </w:tabs>
        <w:spacing w:before="0" w:beforeAutospacing="0" w:after="0" w:afterAutospacing="0"/>
        <w:rPr>
          <w:rStyle w:val="Strong"/>
          <w:b w:val="0"/>
          <w:bCs w:val="0"/>
          <w:color w:val="0E101A"/>
        </w:rPr>
      </w:pPr>
    </w:p>
    <w:p w14:paraId="713FE25D" w14:textId="3180B99F" w:rsidR="000E3DB3" w:rsidRPr="00B11104" w:rsidRDefault="000E3DB3" w:rsidP="000E3DB3">
      <w:pPr>
        <w:pStyle w:val="NormalWeb"/>
        <w:tabs>
          <w:tab w:val="left" w:pos="8640"/>
        </w:tabs>
        <w:spacing w:before="0" w:beforeAutospacing="0" w:after="0" w:afterAutospacing="0"/>
        <w:jc w:val="both"/>
        <w:rPr>
          <w:rStyle w:val="Strong"/>
          <w:b w:val="0"/>
          <w:bCs w:val="0"/>
          <w:color w:val="FF0000"/>
        </w:rPr>
      </w:pPr>
      <w:r w:rsidRPr="00B11104">
        <w:rPr>
          <w:rStyle w:val="Strong"/>
          <w:b w:val="0"/>
          <w:bCs w:val="0"/>
          <w:color w:val="FF0000"/>
        </w:rPr>
        <w:t>We also analyze the nonlinear causal association between the variables by employing the nonparametric granger causality test to support the causality-in-quantiles test. The result is depicted in table 6 and the result shows that the null hypothesis is rejected on all embedding dimensions and the result also support the application of the causality-in-quantiles technique.</w:t>
      </w:r>
    </w:p>
    <w:p w14:paraId="325DE78C" w14:textId="77777777" w:rsidR="00524382" w:rsidRPr="00B11104" w:rsidRDefault="00524382" w:rsidP="000E3DB3">
      <w:pPr>
        <w:pStyle w:val="NormalWeb"/>
        <w:tabs>
          <w:tab w:val="left" w:pos="8640"/>
        </w:tabs>
        <w:spacing w:before="0" w:beforeAutospacing="0" w:after="0" w:afterAutospacing="0"/>
        <w:jc w:val="both"/>
        <w:rPr>
          <w:rStyle w:val="Strong"/>
          <w:b w:val="0"/>
          <w:bCs w:val="0"/>
          <w:color w:val="FF0000"/>
        </w:rPr>
      </w:pPr>
    </w:p>
    <w:p w14:paraId="5788B715"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32E47693"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01A5A5FF"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4ADDCAC7"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39B91567"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0C76DEF2"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4753AB2D"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p w14:paraId="6FDABF34" w14:textId="77777777" w:rsidR="00524382" w:rsidRDefault="00524382" w:rsidP="000E3DB3">
      <w:pPr>
        <w:pStyle w:val="NormalWeb"/>
        <w:tabs>
          <w:tab w:val="left" w:pos="8640"/>
        </w:tabs>
        <w:spacing w:before="0" w:beforeAutospacing="0" w:after="0" w:afterAutospacing="0"/>
        <w:jc w:val="both"/>
        <w:rPr>
          <w:rStyle w:val="Strong"/>
          <w:b w:val="0"/>
          <w:bCs w:val="0"/>
          <w:color w:val="0E101A"/>
        </w:rPr>
      </w:pPr>
    </w:p>
    <w:tbl>
      <w:tblPr>
        <w:tblW w:w="0" w:type="auto"/>
        <w:jc w:val="center"/>
        <w:tblLook w:val="04A0" w:firstRow="1" w:lastRow="0" w:firstColumn="1" w:lastColumn="0" w:noHBand="0" w:noVBand="1"/>
      </w:tblPr>
      <w:tblGrid>
        <w:gridCol w:w="1358"/>
        <w:gridCol w:w="1092"/>
        <w:gridCol w:w="1071"/>
        <w:gridCol w:w="1092"/>
        <w:gridCol w:w="1071"/>
        <w:gridCol w:w="1092"/>
        <w:gridCol w:w="1071"/>
      </w:tblGrid>
      <w:tr w:rsidR="00524382" w:rsidRPr="00470817" w14:paraId="0DB95755" w14:textId="77777777" w:rsidTr="00524382">
        <w:trPr>
          <w:trHeight w:val="300"/>
          <w:jc w:val="center"/>
        </w:trPr>
        <w:tc>
          <w:tcPr>
            <w:tcW w:w="0" w:type="auto"/>
            <w:gridSpan w:val="7"/>
            <w:tcBorders>
              <w:top w:val="nil"/>
              <w:left w:val="nil"/>
              <w:bottom w:val="single" w:sz="4" w:space="0" w:color="auto"/>
              <w:right w:val="nil"/>
            </w:tcBorders>
            <w:shd w:val="clear" w:color="auto" w:fill="auto"/>
            <w:noWrap/>
            <w:vAlign w:val="bottom"/>
            <w:hideMark/>
          </w:tcPr>
          <w:p w14:paraId="70692B91" w14:textId="77777777" w:rsidR="00524382" w:rsidRPr="00470817" w:rsidRDefault="00524382" w:rsidP="00680DAA">
            <w:pPr>
              <w:spacing w:after="0" w:line="240" w:lineRule="auto"/>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lastRenderedPageBreak/>
              <w:t xml:space="preserve">Table </w:t>
            </w:r>
            <w:r w:rsidRPr="00524382">
              <w:rPr>
                <w:rFonts w:ascii="Times New Roman" w:eastAsia="Times New Roman" w:hAnsi="Times New Roman" w:cs="Times New Roman"/>
                <w:b/>
                <w:bCs/>
                <w:color w:val="FF0000"/>
              </w:rPr>
              <w:t>6</w:t>
            </w:r>
            <w:r w:rsidRPr="00470817">
              <w:rPr>
                <w:rFonts w:ascii="Times New Roman" w:eastAsia="Times New Roman" w:hAnsi="Times New Roman" w:cs="Times New Roman"/>
                <w:b/>
                <w:bCs/>
                <w:color w:val="FF0000"/>
              </w:rPr>
              <w:t>: Result for Nonparametric Granger causality test</w:t>
            </w:r>
          </w:p>
        </w:tc>
      </w:tr>
      <w:tr w:rsidR="00524382" w:rsidRPr="00470817" w14:paraId="50EF5ADB" w14:textId="77777777" w:rsidTr="00524382">
        <w:trPr>
          <w:trHeight w:val="300"/>
          <w:jc w:val="center"/>
        </w:trPr>
        <w:tc>
          <w:tcPr>
            <w:tcW w:w="0" w:type="auto"/>
            <w:vMerge w:val="restart"/>
            <w:tcBorders>
              <w:top w:val="nil"/>
              <w:left w:val="nil"/>
              <w:bottom w:val="single" w:sz="4" w:space="0" w:color="000000"/>
              <w:right w:val="nil"/>
            </w:tcBorders>
            <w:shd w:val="clear" w:color="auto" w:fill="auto"/>
            <w:noWrap/>
            <w:vAlign w:val="center"/>
            <w:hideMark/>
          </w:tcPr>
          <w:p w14:paraId="1A5822E2"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Country</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423F0B1F" w14:textId="77777777" w:rsidR="00524382" w:rsidRPr="00470817" w:rsidRDefault="00524382" w:rsidP="00680DAA">
            <w:pPr>
              <w:spacing w:after="0" w:line="240" w:lineRule="auto"/>
              <w:jc w:val="center"/>
              <w:rPr>
                <w:rFonts w:ascii="Times New Roman" w:eastAsia="Times New Roman" w:hAnsi="Times New Roman" w:cs="Times New Roman"/>
                <w:b/>
                <w:bCs/>
                <w:i/>
                <w:iCs/>
                <w:color w:val="FF0000"/>
              </w:rPr>
            </w:pPr>
            <w:r w:rsidRPr="00470817">
              <w:rPr>
                <w:rFonts w:ascii="Times New Roman" w:eastAsia="Times New Roman" w:hAnsi="Times New Roman" w:cs="Times New Roman"/>
                <w:b/>
                <w:bCs/>
                <w:i/>
                <w:iCs/>
                <w:color w:val="FF0000"/>
              </w:rPr>
              <w:t>m</w:t>
            </w:r>
            <w:r w:rsidRPr="00470817">
              <w:rPr>
                <w:rFonts w:ascii="Times New Roman" w:eastAsia="Times New Roman" w:hAnsi="Times New Roman" w:cs="Times New Roman"/>
                <w:b/>
                <w:bCs/>
                <w:color w:val="FF0000"/>
              </w:rPr>
              <w:t>=2</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79A87FF" w14:textId="77777777" w:rsidR="00524382" w:rsidRPr="00470817" w:rsidRDefault="00524382" w:rsidP="00680DAA">
            <w:pPr>
              <w:spacing w:after="0" w:line="240" w:lineRule="auto"/>
              <w:jc w:val="center"/>
              <w:rPr>
                <w:rFonts w:ascii="Times New Roman" w:eastAsia="Times New Roman" w:hAnsi="Times New Roman" w:cs="Times New Roman"/>
                <w:b/>
                <w:bCs/>
                <w:i/>
                <w:iCs/>
                <w:color w:val="FF0000"/>
              </w:rPr>
            </w:pPr>
            <w:r w:rsidRPr="00470817">
              <w:rPr>
                <w:rFonts w:ascii="Times New Roman" w:eastAsia="Times New Roman" w:hAnsi="Times New Roman" w:cs="Times New Roman"/>
                <w:b/>
                <w:bCs/>
                <w:i/>
                <w:iCs/>
                <w:color w:val="FF0000"/>
              </w:rPr>
              <w:t>m</w:t>
            </w:r>
            <w:r w:rsidRPr="00470817">
              <w:rPr>
                <w:rFonts w:ascii="Times New Roman" w:eastAsia="Times New Roman" w:hAnsi="Times New Roman" w:cs="Times New Roman"/>
                <w:b/>
                <w:bCs/>
                <w:color w:val="FF0000"/>
              </w:rPr>
              <w:t>=3</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4E5FEC0C" w14:textId="77777777" w:rsidR="00524382" w:rsidRPr="00470817" w:rsidRDefault="00524382" w:rsidP="00680DAA">
            <w:pPr>
              <w:spacing w:after="0" w:line="240" w:lineRule="auto"/>
              <w:jc w:val="center"/>
              <w:rPr>
                <w:rFonts w:ascii="Times New Roman" w:eastAsia="Times New Roman" w:hAnsi="Times New Roman" w:cs="Times New Roman"/>
                <w:b/>
                <w:bCs/>
                <w:i/>
                <w:iCs/>
                <w:color w:val="FF0000"/>
              </w:rPr>
            </w:pPr>
            <w:r w:rsidRPr="00470817">
              <w:rPr>
                <w:rFonts w:ascii="Times New Roman" w:eastAsia="Times New Roman" w:hAnsi="Times New Roman" w:cs="Times New Roman"/>
                <w:b/>
                <w:bCs/>
                <w:i/>
                <w:iCs/>
                <w:color w:val="FF0000"/>
              </w:rPr>
              <w:t>m</w:t>
            </w:r>
            <w:r w:rsidRPr="00470817">
              <w:rPr>
                <w:rFonts w:ascii="Times New Roman" w:eastAsia="Times New Roman" w:hAnsi="Times New Roman" w:cs="Times New Roman"/>
                <w:b/>
                <w:bCs/>
                <w:color w:val="FF0000"/>
              </w:rPr>
              <w:t>=4</w:t>
            </w:r>
          </w:p>
        </w:tc>
      </w:tr>
      <w:tr w:rsidR="00524382" w:rsidRPr="00470817" w14:paraId="016D0153" w14:textId="77777777" w:rsidTr="00524382">
        <w:trPr>
          <w:trHeight w:val="300"/>
          <w:jc w:val="center"/>
        </w:trPr>
        <w:tc>
          <w:tcPr>
            <w:tcW w:w="0" w:type="auto"/>
            <w:vMerge/>
            <w:tcBorders>
              <w:top w:val="nil"/>
              <w:left w:val="nil"/>
              <w:bottom w:val="single" w:sz="4" w:space="0" w:color="000000"/>
              <w:right w:val="nil"/>
            </w:tcBorders>
            <w:vAlign w:val="center"/>
            <w:hideMark/>
          </w:tcPr>
          <w:p w14:paraId="097D5CE0" w14:textId="77777777" w:rsidR="00524382" w:rsidRPr="00470817" w:rsidRDefault="00524382" w:rsidP="00680DAA">
            <w:pPr>
              <w:spacing w:after="0" w:line="240" w:lineRule="auto"/>
              <w:rPr>
                <w:rFonts w:ascii="Times New Roman" w:eastAsia="Times New Roman" w:hAnsi="Times New Roman" w:cs="Times New Roman"/>
                <w:b/>
                <w:bCs/>
                <w:color w:val="FF0000"/>
              </w:rPr>
            </w:pPr>
          </w:p>
        </w:tc>
        <w:tc>
          <w:tcPr>
            <w:tcW w:w="0" w:type="auto"/>
            <w:tcBorders>
              <w:top w:val="nil"/>
              <w:left w:val="nil"/>
              <w:bottom w:val="single" w:sz="4" w:space="0" w:color="auto"/>
              <w:right w:val="nil"/>
            </w:tcBorders>
            <w:shd w:val="clear" w:color="auto" w:fill="auto"/>
            <w:noWrap/>
            <w:vAlign w:val="center"/>
            <w:hideMark/>
          </w:tcPr>
          <w:p w14:paraId="2960C4A2"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Stats.</w:t>
            </w:r>
          </w:p>
        </w:tc>
        <w:tc>
          <w:tcPr>
            <w:tcW w:w="0" w:type="auto"/>
            <w:tcBorders>
              <w:top w:val="nil"/>
              <w:left w:val="nil"/>
              <w:bottom w:val="single" w:sz="4" w:space="0" w:color="auto"/>
              <w:right w:val="nil"/>
            </w:tcBorders>
            <w:shd w:val="clear" w:color="auto" w:fill="auto"/>
            <w:noWrap/>
            <w:vAlign w:val="center"/>
            <w:hideMark/>
          </w:tcPr>
          <w:p w14:paraId="00644ABB"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p-value</w:t>
            </w:r>
          </w:p>
        </w:tc>
        <w:tc>
          <w:tcPr>
            <w:tcW w:w="0" w:type="auto"/>
            <w:tcBorders>
              <w:top w:val="nil"/>
              <w:left w:val="nil"/>
              <w:bottom w:val="single" w:sz="4" w:space="0" w:color="auto"/>
              <w:right w:val="nil"/>
            </w:tcBorders>
            <w:shd w:val="clear" w:color="auto" w:fill="auto"/>
            <w:noWrap/>
            <w:vAlign w:val="center"/>
            <w:hideMark/>
          </w:tcPr>
          <w:p w14:paraId="22938D2D"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Stats.</w:t>
            </w:r>
          </w:p>
        </w:tc>
        <w:tc>
          <w:tcPr>
            <w:tcW w:w="0" w:type="auto"/>
            <w:tcBorders>
              <w:top w:val="nil"/>
              <w:left w:val="nil"/>
              <w:bottom w:val="single" w:sz="4" w:space="0" w:color="auto"/>
              <w:right w:val="nil"/>
            </w:tcBorders>
            <w:shd w:val="clear" w:color="auto" w:fill="auto"/>
            <w:noWrap/>
            <w:vAlign w:val="center"/>
            <w:hideMark/>
          </w:tcPr>
          <w:p w14:paraId="119BB565"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p-value</w:t>
            </w:r>
          </w:p>
        </w:tc>
        <w:tc>
          <w:tcPr>
            <w:tcW w:w="0" w:type="auto"/>
            <w:tcBorders>
              <w:top w:val="nil"/>
              <w:left w:val="nil"/>
              <w:bottom w:val="single" w:sz="4" w:space="0" w:color="auto"/>
              <w:right w:val="nil"/>
            </w:tcBorders>
            <w:shd w:val="clear" w:color="auto" w:fill="auto"/>
            <w:noWrap/>
            <w:vAlign w:val="center"/>
            <w:hideMark/>
          </w:tcPr>
          <w:p w14:paraId="1D8A8E7A"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Stats.</w:t>
            </w:r>
          </w:p>
        </w:tc>
        <w:tc>
          <w:tcPr>
            <w:tcW w:w="0" w:type="auto"/>
            <w:tcBorders>
              <w:top w:val="nil"/>
              <w:left w:val="nil"/>
              <w:bottom w:val="single" w:sz="4" w:space="0" w:color="auto"/>
              <w:right w:val="nil"/>
            </w:tcBorders>
            <w:shd w:val="clear" w:color="auto" w:fill="auto"/>
            <w:noWrap/>
            <w:vAlign w:val="center"/>
            <w:hideMark/>
          </w:tcPr>
          <w:p w14:paraId="6788AD4B"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p-value</w:t>
            </w:r>
          </w:p>
        </w:tc>
      </w:tr>
      <w:tr w:rsidR="00524382" w:rsidRPr="00470817" w14:paraId="7CDEF2B1"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4DD86FEB"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Bitcoin</w:t>
            </w:r>
          </w:p>
        </w:tc>
        <w:tc>
          <w:tcPr>
            <w:tcW w:w="0" w:type="auto"/>
            <w:tcBorders>
              <w:top w:val="nil"/>
              <w:left w:val="nil"/>
              <w:bottom w:val="nil"/>
              <w:right w:val="nil"/>
            </w:tcBorders>
            <w:shd w:val="clear" w:color="auto" w:fill="auto"/>
            <w:noWrap/>
            <w:vAlign w:val="center"/>
            <w:hideMark/>
          </w:tcPr>
          <w:p w14:paraId="034A6F01"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2.498**</w:t>
            </w:r>
          </w:p>
        </w:tc>
        <w:tc>
          <w:tcPr>
            <w:tcW w:w="0" w:type="auto"/>
            <w:tcBorders>
              <w:top w:val="nil"/>
              <w:left w:val="nil"/>
              <w:bottom w:val="nil"/>
              <w:right w:val="nil"/>
            </w:tcBorders>
            <w:shd w:val="clear" w:color="auto" w:fill="auto"/>
            <w:noWrap/>
            <w:vAlign w:val="center"/>
            <w:hideMark/>
          </w:tcPr>
          <w:p w14:paraId="59913621"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0.006</w:t>
            </w:r>
          </w:p>
        </w:tc>
        <w:tc>
          <w:tcPr>
            <w:tcW w:w="0" w:type="auto"/>
            <w:tcBorders>
              <w:top w:val="nil"/>
              <w:left w:val="nil"/>
              <w:bottom w:val="nil"/>
              <w:right w:val="nil"/>
            </w:tcBorders>
            <w:shd w:val="clear" w:color="auto" w:fill="auto"/>
            <w:noWrap/>
            <w:vAlign w:val="center"/>
            <w:hideMark/>
          </w:tcPr>
          <w:p w14:paraId="32D675BF"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2.438**</w:t>
            </w:r>
          </w:p>
        </w:tc>
        <w:tc>
          <w:tcPr>
            <w:tcW w:w="0" w:type="auto"/>
            <w:tcBorders>
              <w:top w:val="nil"/>
              <w:left w:val="nil"/>
              <w:bottom w:val="nil"/>
              <w:right w:val="nil"/>
            </w:tcBorders>
            <w:shd w:val="clear" w:color="auto" w:fill="auto"/>
            <w:noWrap/>
            <w:vAlign w:val="center"/>
            <w:hideMark/>
          </w:tcPr>
          <w:p w14:paraId="686FDE20"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0.007</w:t>
            </w:r>
          </w:p>
        </w:tc>
        <w:tc>
          <w:tcPr>
            <w:tcW w:w="0" w:type="auto"/>
            <w:tcBorders>
              <w:top w:val="nil"/>
              <w:left w:val="nil"/>
              <w:bottom w:val="nil"/>
              <w:right w:val="nil"/>
            </w:tcBorders>
            <w:shd w:val="clear" w:color="auto" w:fill="auto"/>
            <w:noWrap/>
            <w:vAlign w:val="center"/>
            <w:hideMark/>
          </w:tcPr>
          <w:p w14:paraId="26A9653E"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2.539**</w:t>
            </w:r>
          </w:p>
        </w:tc>
        <w:tc>
          <w:tcPr>
            <w:tcW w:w="0" w:type="auto"/>
            <w:tcBorders>
              <w:top w:val="nil"/>
              <w:left w:val="nil"/>
              <w:bottom w:val="nil"/>
              <w:right w:val="nil"/>
            </w:tcBorders>
            <w:shd w:val="clear" w:color="auto" w:fill="auto"/>
            <w:noWrap/>
            <w:vAlign w:val="center"/>
            <w:hideMark/>
          </w:tcPr>
          <w:p w14:paraId="4B9DB96A"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0.006</w:t>
            </w:r>
          </w:p>
        </w:tc>
      </w:tr>
      <w:tr w:rsidR="00524382" w:rsidRPr="00470817" w14:paraId="775FADB3"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101172AE"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Dash</w:t>
            </w:r>
          </w:p>
        </w:tc>
        <w:tc>
          <w:tcPr>
            <w:tcW w:w="0" w:type="auto"/>
            <w:tcBorders>
              <w:top w:val="nil"/>
              <w:left w:val="nil"/>
              <w:bottom w:val="nil"/>
              <w:right w:val="nil"/>
            </w:tcBorders>
            <w:shd w:val="clear" w:color="auto" w:fill="auto"/>
            <w:noWrap/>
            <w:vAlign w:val="center"/>
            <w:hideMark/>
          </w:tcPr>
          <w:p w14:paraId="086932CA"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0.626</w:t>
            </w:r>
          </w:p>
        </w:tc>
        <w:tc>
          <w:tcPr>
            <w:tcW w:w="0" w:type="auto"/>
            <w:tcBorders>
              <w:top w:val="nil"/>
              <w:left w:val="nil"/>
              <w:bottom w:val="nil"/>
              <w:right w:val="nil"/>
            </w:tcBorders>
            <w:shd w:val="clear" w:color="auto" w:fill="auto"/>
            <w:noWrap/>
            <w:vAlign w:val="center"/>
            <w:hideMark/>
          </w:tcPr>
          <w:p w14:paraId="46CE1DFD"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0.266</w:t>
            </w:r>
          </w:p>
        </w:tc>
        <w:tc>
          <w:tcPr>
            <w:tcW w:w="0" w:type="auto"/>
            <w:tcBorders>
              <w:top w:val="nil"/>
              <w:left w:val="nil"/>
              <w:bottom w:val="nil"/>
              <w:right w:val="nil"/>
            </w:tcBorders>
            <w:shd w:val="clear" w:color="auto" w:fill="auto"/>
            <w:noWrap/>
            <w:vAlign w:val="center"/>
            <w:hideMark/>
          </w:tcPr>
          <w:p w14:paraId="6C614BFF"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0.602</w:t>
            </w:r>
          </w:p>
        </w:tc>
        <w:tc>
          <w:tcPr>
            <w:tcW w:w="0" w:type="auto"/>
            <w:tcBorders>
              <w:top w:val="nil"/>
              <w:left w:val="nil"/>
              <w:bottom w:val="nil"/>
              <w:right w:val="nil"/>
            </w:tcBorders>
            <w:shd w:val="clear" w:color="auto" w:fill="auto"/>
            <w:noWrap/>
            <w:vAlign w:val="center"/>
            <w:hideMark/>
          </w:tcPr>
          <w:p w14:paraId="6BAD74B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0.274</w:t>
            </w:r>
          </w:p>
        </w:tc>
        <w:tc>
          <w:tcPr>
            <w:tcW w:w="0" w:type="auto"/>
            <w:tcBorders>
              <w:top w:val="nil"/>
              <w:left w:val="nil"/>
              <w:bottom w:val="nil"/>
              <w:right w:val="nil"/>
            </w:tcBorders>
            <w:shd w:val="clear" w:color="auto" w:fill="auto"/>
            <w:noWrap/>
            <w:vAlign w:val="center"/>
            <w:hideMark/>
          </w:tcPr>
          <w:p w14:paraId="78636CB7"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0.748</w:t>
            </w:r>
          </w:p>
        </w:tc>
        <w:tc>
          <w:tcPr>
            <w:tcW w:w="0" w:type="auto"/>
            <w:tcBorders>
              <w:top w:val="nil"/>
              <w:left w:val="nil"/>
              <w:bottom w:val="nil"/>
              <w:right w:val="nil"/>
            </w:tcBorders>
            <w:shd w:val="clear" w:color="auto" w:fill="auto"/>
            <w:noWrap/>
            <w:vAlign w:val="center"/>
            <w:hideMark/>
          </w:tcPr>
          <w:p w14:paraId="194E996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0.227</w:t>
            </w:r>
          </w:p>
        </w:tc>
      </w:tr>
      <w:tr w:rsidR="00524382" w:rsidRPr="00470817" w14:paraId="761F5F73"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2C97AF74"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proofErr w:type="spellStart"/>
            <w:r w:rsidRPr="00470817">
              <w:rPr>
                <w:rFonts w:ascii="Times New Roman" w:eastAsia="Times New Roman" w:hAnsi="Times New Roman" w:cs="Times New Roman"/>
                <w:b/>
                <w:bCs/>
                <w:color w:val="FF0000"/>
              </w:rPr>
              <w:t>Ethereum</w:t>
            </w:r>
            <w:proofErr w:type="spellEnd"/>
          </w:p>
        </w:tc>
        <w:tc>
          <w:tcPr>
            <w:tcW w:w="0" w:type="auto"/>
            <w:tcBorders>
              <w:top w:val="nil"/>
              <w:left w:val="nil"/>
              <w:bottom w:val="nil"/>
              <w:right w:val="nil"/>
            </w:tcBorders>
            <w:shd w:val="clear" w:color="auto" w:fill="auto"/>
            <w:noWrap/>
            <w:vAlign w:val="center"/>
            <w:hideMark/>
          </w:tcPr>
          <w:p w14:paraId="5232BFB2"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2.087**</w:t>
            </w:r>
          </w:p>
        </w:tc>
        <w:tc>
          <w:tcPr>
            <w:tcW w:w="0" w:type="auto"/>
            <w:tcBorders>
              <w:top w:val="nil"/>
              <w:left w:val="nil"/>
              <w:bottom w:val="nil"/>
              <w:right w:val="nil"/>
            </w:tcBorders>
            <w:shd w:val="clear" w:color="auto" w:fill="auto"/>
            <w:noWrap/>
            <w:vAlign w:val="center"/>
            <w:hideMark/>
          </w:tcPr>
          <w:p w14:paraId="7FF0DF3C"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0.018</w:t>
            </w:r>
          </w:p>
        </w:tc>
        <w:tc>
          <w:tcPr>
            <w:tcW w:w="0" w:type="auto"/>
            <w:tcBorders>
              <w:top w:val="nil"/>
              <w:left w:val="nil"/>
              <w:bottom w:val="nil"/>
              <w:right w:val="nil"/>
            </w:tcBorders>
            <w:shd w:val="clear" w:color="auto" w:fill="auto"/>
            <w:noWrap/>
            <w:vAlign w:val="center"/>
            <w:hideMark/>
          </w:tcPr>
          <w:p w14:paraId="56B0FD40"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1.512*</w:t>
            </w:r>
          </w:p>
        </w:tc>
        <w:tc>
          <w:tcPr>
            <w:tcW w:w="0" w:type="auto"/>
            <w:tcBorders>
              <w:top w:val="nil"/>
              <w:left w:val="nil"/>
              <w:bottom w:val="nil"/>
              <w:right w:val="nil"/>
            </w:tcBorders>
            <w:shd w:val="clear" w:color="auto" w:fill="auto"/>
            <w:noWrap/>
            <w:vAlign w:val="center"/>
            <w:hideMark/>
          </w:tcPr>
          <w:p w14:paraId="5EF0753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0.065</w:t>
            </w:r>
          </w:p>
        </w:tc>
        <w:tc>
          <w:tcPr>
            <w:tcW w:w="0" w:type="auto"/>
            <w:tcBorders>
              <w:top w:val="nil"/>
              <w:left w:val="nil"/>
              <w:bottom w:val="nil"/>
              <w:right w:val="nil"/>
            </w:tcBorders>
            <w:shd w:val="clear" w:color="auto" w:fill="auto"/>
            <w:noWrap/>
            <w:vAlign w:val="center"/>
            <w:hideMark/>
          </w:tcPr>
          <w:p w14:paraId="49CD873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1.459*</w:t>
            </w:r>
          </w:p>
        </w:tc>
        <w:tc>
          <w:tcPr>
            <w:tcW w:w="0" w:type="auto"/>
            <w:tcBorders>
              <w:top w:val="nil"/>
              <w:left w:val="nil"/>
              <w:bottom w:val="nil"/>
              <w:right w:val="nil"/>
            </w:tcBorders>
            <w:shd w:val="clear" w:color="auto" w:fill="auto"/>
            <w:noWrap/>
            <w:vAlign w:val="center"/>
            <w:hideMark/>
          </w:tcPr>
          <w:p w14:paraId="6CC9005A"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0.072</w:t>
            </w:r>
          </w:p>
        </w:tc>
      </w:tr>
      <w:tr w:rsidR="00524382" w:rsidRPr="00470817" w14:paraId="39C7B487"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2C9DA834"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proofErr w:type="spellStart"/>
            <w:r w:rsidRPr="00470817">
              <w:rPr>
                <w:rFonts w:ascii="Times New Roman" w:eastAsia="Times New Roman" w:hAnsi="Times New Roman" w:cs="Times New Roman"/>
                <w:b/>
                <w:bCs/>
                <w:color w:val="FF0000"/>
              </w:rPr>
              <w:t>Litecoin</w:t>
            </w:r>
            <w:proofErr w:type="spellEnd"/>
          </w:p>
        </w:tc>
        <w:tc>
          <w:tcPr>
            <w:tcW w:w="0" w:type="auto"/>
            <w:tcBorders>
              <w:top w:val="nil"/>
              <w:left w:val="nil"/>
              <w:bottom w:val="nil"/>
              <w:right w:val="nil"/>
            </w:tcBorders>
            <w:shd w:val="clear" w:color="auto" w:fill="auto"/>
            <w:noWrap/>
            <w:vAlign w:val="center"/>
            <w:hideMark/>
          </w:tcPr>
          <w:p w14:paraId="374A9C3F"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1.678**</w:t>
            </w:r>
          </w:p>
        </w:tc>
        <w:tc>
          <w:tcPr>
            <w:tcW w:w="0" w:type="auto"/>
            <w:tcBorders>
              <w:top w:val="nil"/>
              <w:left w:val="nil"/>
              <w:bottom w:val="nil"/>
              <w:right w:val="nil"/>
            </w:tcBorders>
            <w:shd w:val="clear" w:color="auto" w:fill="auto"/>
            <w:noWrap/>
            <w:vAlign w:val="center"/>
            <w:hideMark/>
          </w:tcPr>
          <w:p w14:paraId="4458F00F"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0.041</w:t>
            </w:r>
          </w:p>
        </w:tc>
        <w:tc>
          <w:tcPr>
            <w:tcW w:w="0" w:type="auto"/>
            <w:tcBorders>
              <w:top w:val="nil"/>
              <w:left w:val="nil"/>
              <w:bottom w:val="nil"/>
              <w:right w:val="nil"/>
            </w:tcBorders>
            <w:shd w:val="clear" w:color="auto" w:fill="auto"/>
            <w:noWrap/>
            <w:vAlign w:val="center"/>
            <w:hideMark/>
          </w:tcPr>
          <w:p w14:paraId="22FE3AC1"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1.673**</w:t>
            </w:r>
          </w:p>
        </w:tc>
        <w:tc>
          <w:tcPr>
            <w:tcW w:w="0" w:type="auto"/>
            <w:tcBorders>
              <w:top w:val="nil"/>
              <w:left w:val="nil"/>
              <w:bottom w:val="nil"/>
              <w:right w:val="nil"/>
            </w:tcBorders>
            <w:shd w:val="clear" w:color="auto" w:fill="auto"/>
            <w:noWrap/>
            <w:vAlign w:val="center"/>
            <w:hideMark/>
          </w:tcPr>
          <w:p w14:paraId="0E20C6A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0.041</w:t>
            </w:r>
          </w:p>
        </w:tc>
        <w:tc>
          <w:tcPr>
            <w:tcW w:w="0" w:type="auto"/>
            <w:tcBorders>
              <w:top w:val="nil"/>
              <w:left w:val="nil"/>
              <w:bottom w:val="nil"/>
              <w:right w:val="nil"/>
            </w:tcBorders>
            <w:shd w:val="clear" w:color="auto" w:fill="auto"/>
            <w:noWrap/>
            <w:vAlign w:val="center"/>
            <w:hideMark/>
          </w:tcPr>
          <w:p w14:paraId="1A717B30"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1.649*</w:t>
            </w:r>
          </w:p>
        </w:tc>
        <w:tc>
          <w:tcPr>
            <w:tcW w:w="0" w:type="auto"/>
            <w:tcBorders>
              <w:top w:val="nil"/>
              <w:left w:val="nil"/>
              <w:bottom w:val="nil"/>
              <w:right w:val="nil"/>
            </w:tcBorders>
            <w:shd w:val="clear" w:color="auto" w:fill="auto"/>
            <w:noWrap/>
            <w:vAlign w:val="center"/>
            <w:hideMark/>
          </w:tcPr>
          <w:p w14:paraId="0E8FB2B6"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0.050</w:t>
            </w:r>
          </w:p>
        </w:tc>
      </w:tr>
      <w:tr w:rsidR="00524382" w:rsidRPr="00470817" w14:paraId="6A4A47D8"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3D6572AA"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NEM</w:t>
            </w:r>
          </w:p>
        </w:tc>
        <w:tc>
          <w:tcPr>
            <w:tcW w:w="0" w:type="auto"/>
            <w:tcBorders>
              <w:top w:val="nil"/>
              <w:left w:val="nil"/>
              <w:bottom w:val="nil"/>
              <w:right w:val="nil"/>
            </w:tcBorders>
            <w:shd w:val="clear" w:color="auto" w:fill="auto"/>
            <w:noWrap/>
            <w:vAlign w:val="center"/>
            <w:hideMark/>
          </w:tcPr>
          <w:p w14:paraId="77ECB281"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1.578*</w:t>
            </w:r>
          </w:p>
        </w:tc>
        <w:tc>
          <w:tcPr>
            <w:tcW w:w="0" w:type="auto"/>
            <w:tcBorders>
              <w:top w:val="nil"/>
              <w:left w:val="nil"/>
              <w:bottom w:val="nil"/>
              <w:right w:val="nil"/>
            </w:tcBorders>
            <w:shd w:val="clear" w:color="auto" w:fill="auto"/>
            <w:noWrap/>
            <w:vAlign w:val="center"/>
            <w:hideMark/>
          </w:tcPr>
          <w:p w14:paraId="4E88FB65"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0.057</w:t>
            </w:r>
          </w:p>
        </w:tc>
        <w:tc>
          <w:tcPr>
            <w:tcW w:w="0" w:type="auto"/>
            <w:tcBorders>
              <w:top w:val="nil"/>
              <w:left w:val="nil"/>
              <w:bottom w:val="nil"/>
              <w:right w:val="nil"/>
            </w:tcBorders>
            <w:shd w:val="clear" w:color="auto" w:fill="auto"/>
            <w:noWrap/>
            <w:vAlign w:val="center"/>
            <w:hideMark/>
          </w:tcPr>
          <w:p w14:paraId="78212755"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1.431*</w:t>
            </w:r>
          </w:p>
        </w:tc>
        <w:tc>
          <w:tcPr>
            <w:tcW w:w="0" w:type="auto"/>
            <w:tcBorders>
              <w:top w:val="nil"/>
              <w:left w:val="nil"/>
              <w:bottom w:val="nil"/>
              <w:right w:val="nil"/>
            </w:tcBorders>
            <w:shd w:val="clear" w:color="auto" w:fill="auto"/>
            <w:noWrap/>
            <w:vAlign w:val="center"/>
            <w:hideMark/>
          </w:tcPr>
          <w:p w14:paraId="2AEED952"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0.076</w:t>
            </w:r>
          </w:p>
        </w:tc>
        <w:tc>
          <w:tcPr>
            <w:tcW w:w="0" w:type="auto"/>
            <w:tcBorders>
              <w:top w:val="nil"/>
              <w:left w:val="nil"/>
              <w:bottom w:val="nil"/>
              <w:right w:val="nil"/>
            </w:tcBorders>
            <w:shd w:val="clear" w:color="auto" w:fill="auto"/>
            <w:noWrap/>
            <w:vAlign w:val="center"/>
            <w:hideMark/>
          </w:tcPr>
          <w:p w14:paraId="2813F8EE"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1.356*</w:t>
            </w:r>
          </w:p>
        </w:tc>
        <w:tc>
          <w:tcPr>
            <w:tcW w:w="0" w:type="auto"/>
            <w:tcBorders>
              <w:top w:val="nil"/>
              <w:left w:val="nil"/>
              <w:bottom w:val="nil"/>
              <w:right w:val="nil"/>
            </w:tcBorders>
            <w:shd w:val="clear" w:color="auto" w:fill="auto"/>
            <w:noWrap/>
            <w:vAlign w:val="center"/>
            <w:hideMark/>
          </w:tcPr>
          <w:p w14:paraId="214189A5"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0.088</w:t>
            </w:r>
          </w:p>
        </w:tc>
      </w:tr>
      <w:tr w:rsidR="00524382" w:rsidRPr="00470817" w14:paraId="227C2AA3" w14:textId="77777777" w:rsidTr="00524382">
        <w:trPr>
          <w:trHeight w:val="300"/>
          <w:jc w:val="center"/>
        </w:trPr>
        <w:tc>
          <w:tcPr>
            <w:tcW w:w="0" w:type="auto"/>
            <w:tcBorders>
              <w:top w:val="nil"/>
              <w:left w:val="nil"/>
              <w:bottom w:val="nil"/>
              <w:right w:val="nil"/>
            </w:tcBorders>
            <w:shd w:val="clear" w:color="auto" w:fill="auto"/>
            <w:noWrap/>
            <w:vAlign w:val="center"/>
            <w:hideMark/>
          </w:tcPr>
          <w:p w14:paraId="3EB31F8E" w14:textId="77777777" w:rsidR="00524382" w:rsidRPr="00470817" w:rsidRDefault="00524382" w:rsidP="00680DAA">
            <w:pPr>
              <w:spacing w:after="0" w:line="240" w:lineRule="auto"/>
              <w:jc w:val="center"/>
              <w:rPr>
                <w:rFonts w:ascii="Times New Roman" w:eastAsia="Times New Roman" w:hAnsi="Times New Roman" w:cs="Times New Roman"/>
                <w:b/>
                <w:bCs/>
                <w:color w:val="FF0000"/>
              </w:rPr>
            </w:pPr>
            <w:r w:rsidRPr="00470817">
              <w:rPr>
                <w:rFonts w:ascii="Times New Roman" w:eastAsia="Times New Roman" w:hAnsi="Times New Roman" w:cs="Times New Roman"/>
                <w:b/>
                <w:bCs/>
                <w:color w:val="FF0000"/>
              </w:rPr>
              <w:t>Ripple</w:t>
            </w:r>
          </w:p>
        </w:tc>
        <w:tc>
          <w:tcPr>
            <w:tcW w:w="0" w:type="auto"/>
            <w:tcBorders>
              <w:top w:val="nil"/>
              <w:left w:val="nil"/>
              <w:bottom w:val="nil"/>
              <w:right w:val="nil"/>
            </w:tcBorders>
            <w:shd w:val="clear" w:color="auto" w:fill="auto"/>
            <w:noWrap/>
            <w:vAlign w:val="center"/>
            <w:hideMark/>
          </w:tcPr>
          <w:p w14:paraId="78CE6E9D"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1.714**</w:t>
            </w:r>
          </w:p>
        </w:tc>
        <w:tc>
          <w:tcPr>
            <w:tcW w:w="0" w:type="auto"/>
            <w:tcBorders>
              <w:top w:val="nil"/>
              <w:left w:val="nil"/>
              <w:bottom w:val="nil"/>
              <w:right w:val="nil"/>
            </w:tcBorders>
            <w:shd w:val="clear" w:color="auto" w:fill="auto"/>
            <w:noWrap/>
            <w:vAlign w:val="center"/>
            <w:hideMark/>
          </w:tcPr>
          <w:p w14:paraId="227669AF"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0.043</w:t>
            </w:r>
          </w:p>
        </w:tc>
        <w:tc>
          <w:tcPr>
            <w:tcW w:w="0" w:type="auto"/>
            <w:tcBorders>
              <w:top w:val="nil"/>
              <w:left w:val="nil"/>
              <w:bottom w:val="nil"/>
              <w:right w:val="nil"/>
            </w:tcBorders>
            <w:shd w:val="clear" w:color="auto" w:fill="auto"/>
            <w:noWrap/>
            <w:vAlign w:val="center"/>
            <w:hideMark/>
          </w:tcPr>
          <w:p w14:paraId="33C120BD"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1.485*</w:t>
            </w:r>
          </w:p>
        </w:tc>
        <w:tc>
          <w:tcPr>
            <w:tcW w:w="0" w:type="auto"/>
            <w:tcBorders>
              <w:top w:val="nil"/>
              <w:left w:val="nil"/>
              <w:bottom w:val="nil"/>
              <w:right w:val="nil"/>
            </w:tcBorders>
            <w:shd w:val="clear" w:color="auto" w:fill="auto"/>
            <w:noWrap/>
            <w:vAlign w:val="center"/>
            <w:hideMark/>
          </w:tcPr>
          <w:p w14:paraId="1311B50D"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0.069</w:t>
            </w:r>
          </w:p>
        </w:tc>
        <w:tc>
          <w:tcPr>
            <w:tcW w:w="0" w:type="auto"/>
            <w:tcBorders>
              <w:top w:val="nil"/>
              <w:left w:val="nil"/>
              <w:bottom w:val="nil"/>
              <w:right w:val="nil"/>
            </w:tcBorders>
            <w:shd w:val="clear" w:color="auto" w:fill="auto"/>
            <w:noWrap/>
            <w:vAlign w:val="center"/>
            <w:hideMark/>
          </w:tcPr>
          <w:p w14:paraId="295B64A7"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1.959**</w:t>
            </w:r>
          </w:p>
        </w:tc>
        <w:tc>
          <w:tcPr>
            <w:tcW w:w="0" w:type="auto"/>
            <w:tcBorders>
              <w:top w:val="nil"/>
              <w:left w:val="nil"/>
              <w:bottom w:val="nil"/>
              <w:right w:val="nil"/>
            </w:tcBorders>
            <w:shd w:val="clear" w:color="auto" w:fill="auto"/>
            <w:noWrap/>
            <w:vAlign w:val="center"/>
            <w:hideMark/>
          </w:tcPr>
          <w:p w14:paraId="32312599" w14:textId="77777777" w:rsidR="00524382" w:rsidRPr="00470817" w:rsidRDefault="00524382" w:rsidP="00680DAA">
            <w:pPr>
              <w:spacing w:after="0" w:line="240" w:lineRule="auto"/>
              <w:jc w:val="center"/>
              <w:rPr>
                <w:rFonts w:ascii="Times New Roman" w:eastAsia="Times New Roman" w:hAnsi="Times New Roman" w:cs="Times New Roman"/>
                <w:color w:val="FF0000"/>
              </w:rPr>
            </w:pPr>
            <w:r w:rsidRPr="00470817">
              <w:rPr>
                <w:rFonts w:ascii="Times New Roman" w:eastAsia="Times New Roman" w:hAnsi="Times New Roman" w:cs="Times New Roman"/>
                <w:color w:val="FF0000"/>
              </w:rPr>
              <w:t>0.025</w:t>
            </w:r>
          </w:p>
        </w:tc>
      </w:tr>
      <w:tr w:rsidR="00524382" w:rsidRPr="00470817" w14:paraId="10FC79CB" w14:textId="77777777" w:rsidTr="00524382">
        <w:trPr>
          <w:trHeight w:val="900"/>
          <w:jc w:val="center"/>
        </w:trPr>
        <w:tc>
          <w:tcPr>
            <w:tcW w:w="0" w:type="auto"/>
            <w:gridSpan w:val="7"/>
            <w:tcBorders>
              <w:top w:val="single" w:sz="4" w:space="0" w:color="auto"/>
              <w:left w:val="nil"/>
              <w:bottom w:val="nil"/>
              <w:right w:val="nil"/>
            </w:tcBorders>
            <w:shd w:val="clear" w:color="auto" w:fill="auto"/>
            <w:vAlign w:val="bottom"/>
            <w:hideMark/>
          </w:tcPr>
          <w:p w14:paraId="107C70B5" w14:textId="77777777" w:rsidR="00524382" w:rsidRPr="00470817" w:rsidRDefault="00524382" w:rsidP="00680DAA">
            <w:pPr>
              <w:spacing w:after="0" w:line="240" w:lineRule="auto"/>
              <w:rPr>
                <w:rFonts w:ascii="Times New Roman" w:eastAsia="Times New Roman" w:hAnsi="Times New Roman" w:cs="Times New Roman"/>
                <w:color w:val="FF0000"/>
              </w:rPr>
            </w:pPr>
            <w:r w:rsidRPr="00470817">
              <w:rPr>
                <w:rFonts w:ascii="Times New Roman" w:eastAsia="Times New Roman" w:hAnsi="Times New Roman" w:cs="Times New Roman"/>
                <w:b/>
                <w:bCs/>
                <w:color w:val="FF0000"/>
              </w:rPr>
              <w:t>Note:</w:t>
            </w:r>
            <w:r w:rsidRPr="00470817">
              <w:rPr>
                <w:rFonts w:ascii="Times New Roman" w:eastAsia="Times New Roman" w:hAnsi="Times New Roman" w:cs="Times New Roman"/>
                <w:color w:val="FF0000"/>
              </w:rPr>
              <w:t xml:space="preserve"> </w:t>
            </w:r>
            <w:r w:rsidRPr="00470817">
              <w:rPr>
                <w:rFonts w:ascii="Times New Roman" w:eastAsia="Times New Roman" w:hAnsi="Times New Roman" w:cs="Times New Roman"/>
                <w:i/>
                <w:iCs/>
                <w:color w:val="FF0000"/>
              </w:rPr>
              <w:t>m</w:t>
            </w:r>
            <w:r w:rsidRPr="00470817">
              <w:rPr>
                <w:rFonts w:ascii="Times New Roman" w:eastAsia="Times New Roman" w:hAnsi="Times New Roman" w:cs="Times New Roman"/>
                <w:color w:val="FF0000"/>
              </w:rPr>
              <w:t xml:space="preserve"> denotes the embedding dimension.</w:t>
            </w:r>
            <w:r w:rsidRPr="00470817">
              <w:rPr>
                <w:rFonts w:ascii="Times New Roman" w:eastAsia="Times New Roman" w:hAnsi="Times New Roman" w:cs="Times New Roman"/>
                <w:color w:val="FF0000"/>
              </w:rPr>
              <w:br/>
              <w:t>**, * indicates rejection of null of no-causality at 5, and 10 percent levels respectively.</w:t>
            </w:r>
            <w:r w:rsidRPr="00470817">
              <w:rPr>
                <w:rFonts w:ascii="Times New Roman" w:eastAsia="Times New Roman" w:hAnsi="Times New Roman" w:cs="Times New Roman"/>
                <w:color w:val="FF0000"/>
              </w:rPr>
              <w:br/>
            </w:r>
            <w:r w:rsidRPr="00470817">
              <w:rPr>
                <w:rFonts w:ascii="Times New Roman" w:eastAsia="Times New Roman" w:hAnsi="Times New Roman" w:cs="Times New Roman"/>
                <w:b/>
                <w:bCs/>
                <w:color w:val="FF0000"/>
              </w:rPr>
              <w:t xml:space="preserve">Source: </w:t>
            </w:r>
            <w:r w:rsidRPr="00470817">
              <w:rPr>
                <w:rFonts w:ascii="Times New Roman" w:eastAsia="Times New Roman" w:hAnsi="Times New Roman" w:cs="Times New Roman"/>
                <w:color w:val="FF0000"/>
              </w:rPr>
              <w:t>Authors' Estimations</w:t>
            </w:r>
          </w:p>
        </w:tc>
      </w:tr>
    </w:tbl>
    <w:p w14:paraId="78C9585C" w14:textId="0DD4E720" w:rsidR="0090653C" w:rsidRPr="00524382" w:rsidRDefault="0090653C" w:rsidP="00524382">
      <w:pPr>
        <w:rPr>
          <w:rFonts w:ascii="Times New Roman" w:hAnsi="Times New Roman" w:cs="Times New Roman"/>
          <w:b/>
          <w:sz w:val="20"/>
          <w:szCs w:val="20"/>
        </w:rPr>
      </w:pPr>
    </w:p>
    <w:p w14:paraId="5F4FB4E3" w14:textId="41B79E35" w:rsidR="0090653C" w:rsidRDefault="00002A7B" w:rsidP="00B11104">
      <w:pPr>
        <w:pStyle w:val="NormalWeb"/>
        <w:spacing w:before="0" w:beforeAutospacing="0" w:after="0" w:afterAutospacing="0"/>
        <w:jc w:val="center"/>
        <w:rPr>
          <w:rStyle w:val="Strong"/>
          <w:color w:val="0E101A"/>
        </w:rPr>
      </w:pPr>
      <w:r w:rsidRPr="001C1B46">
        <w:rPr>
          <w:b/>
          <w:sz w:val="20"/>
          <w:szCs w:val="20"/>
        </w:rPr>
        <w:t>Fig. 3. Quantile causality from Google Trends to Cryptocurrency prices.</w:t>
      </w:r>
    </w:p>
    <w:p w14:paraId="3C3D3BA9" w14:textId="77777777" w:rsidR="00002A7B" w:rsidRDefault="00002A7B" w:rsidP="000B72B4">
      <w:pPr>
        <w:pStyle w:val="NormalWeb"/>
        <w:spacing w:before="0" w:beforeAutospacing="0" w:after="0" w:afterAutospacing="0"/>
        <w:jc w:val="both"/>
        <w:rPr>
          <w:rStyle w:val="Strong"/>
          <w:color w:val="0E101A"/>
        </w:rPr>
      </w:pPr>
    </w:p>
    <w:p w14:paraId="39117C57" w14:textId="3FF151CD" w:rsidR="000B72B4" w:rsidRDefault="000B72B4" w:rsidP="000B72B4">
      <w:pPr>
        <w:pStyle w:val="NormalWeb"/>
        <w:spacing w:before="0" w:beforeAutospacing="0" w:after="0" w:afterAutospacing="0"/>
        <w:jc w:val="both"/>
        <w:rPr>
          <w:rStyle w:val="Strong"/>
          <w:color w:val="0E101A"/>
        </w:rPr>
      </w:pPr>
      <w:r w:rsidRPr="00DF16CC">
        <w:rPr>
          <w:rStyle w:val="Strong"/>
          <w:color w:val="0E101A"/>
        </w:rPr>
        <w:t xml:space="preserve">5. Conclusion </w:t>
      </w:r>
    </w:p>
    <w:p w14:paraId="6EDBF3A3" w14:textId="77777777" w:rsidR="000B72B4" w:rsidRPr="00DF16CC" w:rsidRDefault="000B72B4" w:rsidP="000B72B4">
      <w:pPr>
        <w:pStyle w:val="NormalWeb"/>
        <w:spacing w:before="0" w:beforeAutospacing="0" w:after="0" w:afterAutospacing="0"/>
        <w:jc w:val="both"/>
        <w:rPr>
          <w:color w:val="0E101A"/>
        </w:rPr>
      </w:pPr>
    </w:p>
    <w:p w14:paraId="680AD920" w14:textId="27DC030F" w:rsidR="003E54B7" w:rsidRDefault="00524382" w:rsidP="00877F54">
      <w:pPr>
        <w:pStyle w:val="NormalWeb"/>
        <w:spacing w:before="0" w:beforeAutospacing="0" w:after="0" w:afterAutospacing="0" w:line="360" w:lineRule="auto"/>
        <w:jc w:val="both"/>
        <w:rPr>
          <w:color w:val="0E101A"/>
        </w:rPr>
      </w:pPr>
      <w:r>
        <w:rPr>
          <w:noProof/>
        </w:rPr>
        <w:drawing>
          <wp:anchor distT="0" distB="0" distL="114300" distR="114300" simplePos="0" relativeHeight="251659776" behindDoc="0" locked="0" layoutInCell="1" allowOverlap="1" wp14:anchorId="5B5E5C7A" wp14:editId="278D3CFB">
            <wp:simplePos x="0" y="0"/>
            <wp:positionH relativeFrom="margin">
              <wp:align>center</wp:align>
            </wp:positionH>
            <wp:positionV relativeFrom="margin">
              <wp:posOffset>2561590</wp:posOffset>
            </wp:positionV>
            <wp:extent cx="5907138" cy="4478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07138" cy="4478655"/>
                    </a:xfrm>
                    <a:prstGeom prst="rect">
                      <a:avLst/>
                    </a:prstGeom>
                  </pic:spPr>
                </pic:pic>
              </a:graphicData>
            </a:graphic>
            <wp14:sizeRelH relativeFrom="margin">
              <wp14:pctWidth>0</wp14:pctWidth>
            </wp14:sizeRelH>
            <wp14:sizeRelV relativeFrom="margin">
              <wp14:pctHeight>0</wp14:pctHeight>
            </wp14:sizeRelV>
          </wp:anchor>
        </w:drawing>
      </w:r>
      <w:r w:rsidR="000B72B4">
        <w:rPr>
          <w:color w:val="0E101A"/>
        </w:rPr>
        <w:t xml:space="preserve">In the last few years, cryptocurrencies have gained much popularity, and people have started seeing cryptocurrencies as new currencies far away from the interference of central banks and </w:t>
      </w:r>
      <w:r w:rsidR="000B72B4">
        <w:rPr>
          <w:color w:val="0E101A"/>
        </w:rPr>
        <w:lastRenderedPageBreak/>
        <w:t xml:space="preserve">governments. </w:t>
      </w:r>
      <w:r w:rsidR="00427804">
        <w:rPr>
          <w:color w:val="0E101A"/>
        </w:rPr>
        <w:t>In addition, s</w:t>
      </w:r>
      <w:r w:rsidR="000B72B4">
        <w:rPr>
          <w:color w:val="0E101A"/>
        </w:rPr>
        <w:t>ome people consider cryptocurrencies a source of protection against inflationary cycles, whereas</w:t>
      </w:r>
      <w:r w:rsidR="00A14BC0">
        <w:rPr>
          <w:color w:val="0E101A"/>
        </w:rPr>
        <w:t>,</w:t>
      </w:r>
      <w:r w:rsidR="000B72B4">
        <w:rPr>
          <w:color w:val="0E101A"/>
        </w:rPr>
        <w:t xml:space="preserve"> for some, cryptocurrencies are just a new addition </w:t>
      </w:r>
      <w:r w:rsidR="00A14BC0">
        <w:rPr>
          <w:color w:val="0E101A"/>
        </w:rPr>
        <w:t>to</w:t>
      </w:r>
      <w:r w:rsidR="000B72B4">
        <w:rPr>
          <w:color w:val="0E101A"/>
        </w:rPr>
        <w:t xml:space="preserve"> the digital era in which we </w:t>
      </w:r>
      <w:r w:rsidR="003E54B7">
        <w:rPr>
          <w:color w:val="0E101A"/>
        </w:rPr>
        <w:t>live</w:t>
      </w:r>
      <w:r w:rsidR="000B72B4">
        <w:rPr>
          <w:color w:val="0E101A"/>
        </w:rPr>
        <w:t>. Despite this, cryptocurrencies attract the attention of investors and researchers, and several predictors have been identified that can affect cryptocurrencies</w:t>
      </w:r>
      <w:r w:rsidR="00A14BC0">
        <w:rPr>
          <w:color w:val="0E101A"/>
        </w:rPr>
        <w:t>’</w:t>
      </w:r>
      <w:r w:rsidR="000B72B4">
        <w:rPr>
          <w:color w:val="0E101A"/>
        </w:rPr>
        <w:t xml:space="preserve"> prices. Among all predictors, trend spotting in predicting cryptocurrency has gained great prominence in the literature. Hence, th</w:t>
      </w:r>
      <w:r w:rsidR="003E54B7">
        <w:rPr>
          <w:color w:val="0E101A"/>
        </w:rPr>
        <w:t>is work aim</w:t>
      </w:r>
      <w:r w:rsidR="000B72B4">
        <w:rPr>
          <w:color w:val="0E101A"/>
        </w:rPr>
        <w:t>s to test the link between Google Trends and six cryptocurrencies’ prices, namely,</w:t>
      </w:r>
      <w:r w:rsidR="00877F54">
        <w:rPr>
          <w:color w:val="0E101A"/>
        </w:rPr>
        <w:t xml:space="preserve"> </w:t>
      </w:r>
      <w:r w:rsidR="000B72B4">
        <w:rPr>
          <w:color w:val="0E101A"/>
        </w:rPr>
        <w:t xml:space="preserve">Ripple, </w:t>
      </w:r>
      <w:r w:rsidR="000B72B4" w:rsidRPr="00B151DE">
        <w:rPr>
          <w:rStyle w:val="Strong"/>
          <w:b w:val="0"/>
          <w:color w:val="0E101A"/>
        </w:rPr>
        <w:t>Bitcoin,</w:t>
      </w:r>
      <w:r w:rsidR="00877F54">
        <w:rPr>
          <w:rStyle w:val="Strong"/>
          <w:color w:val="0E101A"/>
        </w:rPr>
        <w:t xml:space="preserve"> </w:t>
      </w:r>
      <w:r w:rsidR="000B72B4" w:rsidRPr="00DF16CC">
        <w:rPr>
          <w:color w:val="0E101A"/>
        </w:rPr>
        <w:t xml:space="preserve">NEM, Dash, </w:t>
      </w:r>
      <w:proofErr w:type="spellStart"/>
      <w:r w:rsidR="000B72B4" w:rsidRPr="00DF16CC">
        <w:rPr>
          <w:color w:val="0E101A"/>
        </w:rPr>
        <w:t>Ethereum</w:t>
      </w:r>
      <w:proofErr w:type="spellEnd"/>
      <w:r w:rsidR="000B72B4" w:rsidRPr="00DF16CC">
        <w:rPr>
          <w:color w:val="0E101A"/>
        </w:rPr>
        <w:t xml:space="preserve">, and </w:t>
      </w:r>
      <w:proofErr w:type="spellStart"/>
      <w:r w:rsidR="000B72B4" w:rsidRPr="00DF16CC">
        <w:rPr>
          <w:color w:val="0E101A"/>
        </w:rPr>
        <w:t>Litecoin</w:t>
      </w:r>
      <w:proofErr w:type="spellEnd"/>
      <w:r w:rsidR="000B72B4" w:rsidRPr="00DF16CC">
        <w:rPr>
          <w:color w:val="0E101A"/>
        </w:rPr>
        <w:t xml:space="preserve">. By </w:t>
      </w:r>
      <w:r w:rsidR="000B72B4">
        <w:rPr>
          <w:color w:val="0E101A"/>
        </w:rPr>
        <w:t>applying</w:t>
      </w:r>
      <w:r w:rsidR="000B72B4" w:rsidRPr="00DF16CC">
        <w:rPr>
          <w:color w:val="0E101A"/>
        </w:rPr>
        <w:t xml:space="preserve"> the causality-in-quantiles technique on data comprised of </w:t>
      </w:r>
      <w:r w:rsidR="003E54B7">
        <w:rPr>
          <w:color w:val="0E101A"/>
        </w:rPr>
        <w:t xml:space="preserve">January 2016 – March 2021, our findings show that Google Trends cause Ripple, Bitcoin, NEM, </w:t>
      </w:r>
      <w:proofErr w:type="spellStart"/>
      <w:r w:rsidR="003E54B7">
        <w:rPr>
          <w:color w:val="0E101A"/>
        </w:rPr>
        <w:t>Ethereum</w:t>
      </w:r>
      <w:proofErr w:type="spellEnd"/>
      <w:r w:rsidR="003E54B7">
        <w:rPr>
          <w:color w:val="0E101A"/>
        </w:rPr>
        <w:t xml:space="preserve">, and </w:t>
      </w:r>
      <w:proofErr w:type="spellStart"/>
      <w:r w:rsidR="003E54B7">
        <w:rPr>
          <w:color w:val="0E101A"/>
        </w:rPr>
        <w:t>Litecoin</w:t>
      </w:r>
      <w:proofErr w:type="spellEnd"/>
      <w:r w:rsidR="003E54B7">
        <w:rPr>
          <w:color w:val="0E101A"/>
        </w:rPr>
        <w:t xml:space="preserve"> prices in most</w:t>
      </w:r>
      <w:r w:rsidR="000B72B4" w:rsidRPr="00DF16CC">
        <w:rPr>
          <w:color w:val="0E101A"/>
        </w:rPr>
        <w:t xml:space="preserve"> of the quantiles.</w:t>
      </w:r>
    </w:p>
    <w:p w14:paraId="1BE16269" w14:textId="7A5CF97B" w:rsidR="000273D7" w:rsidRPr="003E54B7" w:rsidRDefault="003E54B7" w:rsidP="00877F54">
      <w:pPr>
        <w:pStyle w:val="NormalWeb"/>
        <w:spacing w:before="0" w:beforeAutospacing="0" w:after="0" w:afterAutospacing="0" w:line="360" w:lineRule="auto"/>
        <w:jc w:val="both"/>
        <w:rPr>
          <w:color w:val="FF0000"/>
        </w:rPr>
      </w:pPr>
      <w:r>
        <w:rPr>
          <w:color w:val="FF0000"/>
        </w:rPr>
        <w:t>Furthermore, t</w:t>
      </w:r>
      <w:r w:rsidR="000B72B4" w:rsidRPr="002D4AD3">
        <w:rPr>
          <w:color w:val="FF0000"/>
        </w:rPr>
        <w:t xml:space="preserve">he results reveal that a strong causal effect from Google Trends to cryptocurrencies’ prices is found at the lower and middle quantiles ranging from 0.1-0.6 except for Dash. In the case of Dash, no causal relationship is found between Dash and Google Trends. </w:t>
      </w:r>
      <w:r w:rsidR="000B72B4" w:rsidRPr="00DF16CC">
        <w:rPr>
          <w:color w:val="0E101A"/>
        </w:rPr>
        <w:t xml:space="preserve">The outcome of this study suggests that Google </w:t>
      </w:r>
      <w:r w:rsidR="000B72B4">
        <w:rPr>
          <w:color w:val="0E101A"/>
        </w:rPr>
        <w:t>T</w:t>
      </w:r>
      <w:r w:rsidR="000B72B4" w:rsidRPr="00DF16CC">
        <w:rPr>
          <w:color w:val="0E101A"/>
        </w:rPr>
        <w:t xml:space="preserve">rends acts as a good predictor </w:t>
      </w:r>
      <w:r w:rsidR="000B72B4">
        <w:rPr>
          <w:color w:val="0E101A"/>
        </w:rPr>
        <w:t xml:space="preserve">of </w:t>
      </w:r>
      <w:r w:rsidR="000B72B4" w:rsidRPr="00DF16CC">
        <w:rPr>
          <w:color w:val="0E101A"/>
        </w:rPr>
        <w:t>cryptocurrencies</w:t>
      </w:r>
      <w:r w:rsidR="00A14BC0">
        <w:rPr>
          <w:color w:val="0E101A"/>
        </w:rPr>
        <w:t>’</w:t>
      </w:r>
      <w:r w:rsidR="000B72B4" w:rsidRPr="00DF16CC">
        <w:rPr>
          <w:color w:val="0E101A"/>
        </w:rPr>
        <w:t xml:space="preserve"> prices. </w:t>
      </w:r>
      <w:r w:rsidR="000B72B4" w:rsidRPr="00FE2B27">
        <w:rPr>
          <w:color w:val="FF0000"/>
        </w:rPr>
        <w:t xml:space="preserve">This implies that as more investors search for cryptocurrency information, greater trading volumes and returns follow. This result suggested that information generated by Google Trends should be incorporated into the market as this swift incorporation will support investment in those currencies and act as predictors for the cryptocurrencies’ volumes and returns. Furthermore, prospective investors should adjust their investment decision relating to which cryptocurrencies they should invest </w:t>
      </w:r>
      <w:r w:rsidR="00A14BC0">
        <w:rPr>
          <w:color w:val="FF0000"/>
        </w:rPr>
        <w:t xml:space="preserve">in </w:t>
      </w:r>
      <w:r w:rsidR="000B72B4" w:rsidRPr="00FE2B27">
        <w:rPr>
          <w:color w:val="FF0000"/>
        </w:rPr>
        <w:t>based on the evidence provided by Google Trends.</w:t>
      </w:r>
      <w:r w:rsidR="000273D7">
        <w:rPr>
          <w:color w:val="FF0000"/>
        </w:rPr>
        <w:t xml:space="preserve"> Moreover, the outcomes will also help the investors</w:t>
      </w:r>
      <w:r>
        <w:rPr>
          <w:color w:val="FF0000"/>
        </w:rPr>
        <w:t xml:space="preserve"> optimize</w:t>
      </w:r>
      <w:r w:rsidR="000273D7">
        <w:rPr>
          <w:color w:val="FF0000"/>
        </w:rPr>
        <w:t xml:space="preserve"> their risk-diversification and </w:t>
      </w:r>
      <w:r w:rsidR="000273D7" w:rsidRPr="000273D7">
        <w:rPr>
          <w:color w:val="FF0000"/>
        </w:rPr>
        <w:t>portfolio allocation between cryptocurrency and conventional assets.</w:t>
      </w:r>
      <w:r w:rsidR="00A02924">
        <w:rPr>
          <w:color w:val="FF0000"/>
        </w:rPr>
        <w:t xml:space="preserve"> </w:t>
      </w:r>
    </w:p>
    <w:p w14:paraId="7FF51A35" w14:textId="77777777" w:rsidR="003E54B7" w:rsidRDefault="000B72B4" w:rsidP="00BE19D8">
      <w:pPr>
        <w:pStyle w:val="NormalWeb"/>
        <w:spacing w:before="0" w:beforeAutospacing="0" w:after="0" w:afterAutospacing="0" w:line="360" w:lineRule="auto"/>
        <w:jc w:val="both"/>
        <w:rPr>
          <w:color w:val="0E101A"/>
        </w:rPr>
      </w:pPr>
      <w:r w:rsidRPr="00DF16CC">
        <w:rPr>
          <w:color w:val="0E101A"/>
        </w:rPr>
        <w:t xml:space="preserve">The study encounters some limitations that future researchers can address. </w:t>
      </w:r>
      <w:r w:rsidR="003E54B7">
        <w:rPr>
          <w:color w:val="0E101A"/>
        </w:rPr>
        <w:t>First, t</w:t>
      </w:r>
      <w:r w:rsidRPr="00DF16CC">
        <w:rPr>
          <w:color w:val="0E101A"/>
        </w:rPr>
        <w:t xml:space="preserve">he relationship between Google </w:t>
      </w:r>
      <w:r>
        <w:rPr>
          <w:color w:val="0E101A"/>
        </w:rPr>
        <w:t>T</w:t>
      </w:r>
      <w:r w:rsidRPr="00DF16CC">
        <w:rPr>
          <w:color w:val="0E101A"/>
        </w:rPr>
        <w:t>rend</w:t>
      </w:r>
      <w:r>
        <w:rPr>
          <w:color w:val="0E101A"/>
        </w:rPr>
        <w:t>s</w:t>
      </w:r>
      <w:r w:rsidRPr="00DF16CC">
        <w:rPr>
          <w:color w:val="0E101A"/>
        </w:rPr>
        <w:t xml:space="preserve"> and cryptocurrency may vary from country to country depending on </w:t>
      </w:r>
      <w:r>
        <w:rPr>
          <w:color w:val="0E101A"/>
        </w:rPr>
        <w:t xml:space="preserve">governments and </w:t>
      </w:r>
      <w:r w:rsidRPr="00DF16CC">
        <w:rPr>
          <w:color w:val="0E101A"/>
        </w:rPr>
        <w:t xml:space="preserve">their monetary authorities, so more exploration is needed on this topic. The research can be extended by including other asset classes and cryptocurrencies. This study has focused on Google </w:t>
      </w:r>
      <w:r>
        <w:rPr>
          <w:color w:val="0E101A"/>
        </w:rPr>
        <w:t>T</w:t>
      </w:r>
      <w:r w:rsidRPr="00DF16CC">
        <w:rPr>
          <w:color w:val="0E101A"/>
        </w:rPr>
        <w:t>rends; however, other sources</w:t>
      </w:r>
      <w:r>
        <w:rPr>
          <w:color w:val="0E101A"/>
        </w:rPr>
        <w:t xml:space="preserve"> of information</w:t>
      </w:r>
      <w:r w:rsidRPr="00DF16CC">
        <w:rPr>
          <w:color w:val="0E101A"/>
        </w:rPr>
        <w:t xml:space="preserve"> such as Reddit, Twitter, and Facebook can also affect cryptocurrencies</w:t>
      </w:r>
      <w:r>
        <w:rPr>
          <w:color w:val="0E101A"/>
        </w:rPr>
        <w:t>’</w:t>
      </w:r>
      <w:r w:rsidRPr="00DF16CC">
        <w:rPr>
          <w:color w:val="0E101A"/>
        </w:rPr>
        <w:t xml:space="preserve"> prices. Future studies can extend the number of sources and again analyze the relationship.</w:t>
      </w:r>
    </w:p>
    <w:p w14:paraId="40423658" w14:textId="77777777" w:rsidR="00C7417E" w:rsidRDefault="000B72B4" w:rsidP="00C7417E">
      <w:pPr>
        <w:pStyle w:val="NormalWeb"/>
        <w:spacing w:before="0" w:beforeAutospacing="0" w:after="0" w:afterAutospacing="0" w:line="360" w:lineRule="auto"/>
        <w:jc w:val="both"/>
        <w:rPr>
          <w:b/>
          <w:color w:val="222222"/>
          <w:shd w:val="clear" w:color="auto" w:fill="FFFFFF"/>
        </w:rPr>
      </w:pPr>
      <w:r w:rsidRPr="00DF16CC">
        <w:rPr>
          <w:color w:val="0E101A"/>
        </w:rPr>
        <w:t>Similarly, this study ignores the impact of behavioral factors on cryptocurrencies</w:t>
      </w:r>
      <w:r w:rsidR="00A14BC0">
        <w:rPr>
          <w:color w:val="0E101A"/>
        </w:rPr>
        <w:t>’</w:t>
      </w:r>
      <w:r w:rsidRPr="00DF16CC">
        <w:rPr>
          <w:color w:val="0E101A"/>
        </w:rPr>
        <w:t xml:space="preserve"> prices</w:t>
      </w:r>
      <w:r>
        <w:rPr>
          <w:color w:val="0E101A"/>
        </w:rPr>
        <w:t>; therefore,</w:t>
      </w:r>
      <w:r w:rsidRPr="00DF16CC">
        <w:rPr>
          <w:color w:val="0E101A"/>
        </w:rPr>
        <w:t xml:space="preserve"> upcoming studies can combine behavioral factors such as risk</w:t>
      </w:r>
      <w:r>
        <w:rPr>
          <w:color w:val="0E101A"/>
        </w:rPr>
        <w:t xml:space="preserve"> </w:t>
      </w:r>
      <w:r w:rsidRPr="00DF16CC">
        <w:rPr>
          <w:color w:val="0E101A"/>
        </w:rPr>
        <w:t xml:space="preserve">appetite sentiments with </w:t>
      </w:r>
      <w:r w:rsidRPr="00DF16CC">
        <w:rPr>
          <w:color w:val="0E101A"/>
        </w:rPr>
        <w:lastRenderedPageBreak/>
        <w:t>the considered variables.</w:t>
      </w:r>
      <w:r w:rsidR="00BE19D8" w:rsidRPr="00BE19D8">
        <w:rPr>
          <w:color w:val="FF0000"/>
        </w:rPr>
        <w:t xml:space="preserve"> </w:t>
      </w:r>
      <w:r w:rsidR="003E54B7">
        <w:rPr>
          <w:color w:val="FF0000"/>
        </w:rPr>
        <w:t>Furthermore, w</w:t>
      </w:r>
      <w:r w:rsidR="00BE19D8" w:rsidRPr="003117E3">
        <w:rPr>
          <w:color w:val="FF0000"/>
        </w:rPr>
        <w:t>e have not explored the Google trend-crypto price relationship by splitting them in</w:t>
      </w:r>
      <w:r w:rsidR="00A14BC0">
        <w:rPr>
          <w:color w:val="FF0000"/>
        </w:rPr>
        <w:t>to</w:t>
      </w:r>
      <w:r w:rsidR="00BE19D8" w:rsidRPr="003117E3">
        <w:rPr>
          <w:color w:val="FF0000"/>
        </w:rPr>
        <w:t xml:space="preserve"> two phases (pre-</w:t>
      </w:r>
      <w:proofErr w:type="spellStart"/>
      <w:r w:rsidR="00BE19D8" w:rsidRPr="003117E3">
        <w:rPr>
          <w:color w:val="FF0000"/>
        </w:rPr>
        <w:t>covid</w:t>
      </w:r>
      <w:proofErr w:type="spellEnd"/>
      <w:r w:rsidR="00BE19D8" w:rsidRPr="003117E3">
        <w:rPr>
          <w:color w:val="FF0000"/>
        </w:rPr>
        <w:t xml:space="preserve"> and post </w:t>
      </w:r>
      <w:proofErr w:type="spellStart"/>
      <w:r w:rsidR="00BE19D8" w:rsidRPr="003117E3">
        <w:rPr>
          <w:color w:val="FF0000"/>
        </w:rPr>
        <w:t>covid</w:t>
      </w:r>
      <w:proofErr w:type="spellEnd"/>
      <w:r w:rsidR="00BE19D8" w:rsidRPr="003117E3">
        <w:rPr>
          <w:color w:val="FF0000"/>
        </w:rPr>
        <w:t xml:space="preserve"> period)</w:t>
      </w:r>
      <w:r w:rsidR="00A14BC0">
        <w:rPr>
          <w:color w:val="FF0000"/>
        </w:rPr>
        <w:t>;</w:t>
      </w:r>
      <w:r w:rsidR="00BE19D8" w:rsidRPr="003117E3">
        <w:rPr>
          <w:color w:val="FF0000"/>
        </w:rPr>
        <w:t xml:space="preserve"> future studies can </w:t>
      </w:r>
      <w:r w:rsidR="00BE19D8">
        <w:rPr>
          <w:color w:val="FF0000"/>
        </w:rPr>
        <w:t>also explore this aspect</w:t>
      </w:r>
      <w:r w:rsidR="00BE19D8" w:rsidRPr="003117E3">
        <w:rPr>
          <w:color w:val="FF0000"/>
        </w:rPr>
        <w:t xml:space="preserve">. </w:t>
      </w:r>
      <w:r w:rsidR="00FE2B27" w:rsidRPr="00FE2B27">
        <w:rPr>
          <w:color w:val="FF0000"/>
        </w:rPr>
        <w:t>From the result</w:t>
      </w:r>
      <w:r w:rsidR="00A14BC0">
        <w:rPr>
          <w:color w:val="FF0000"/>
        </w:rPr>
        <w:t>,</w:t>
      </w:r>
      <w:r w:rsidR="00FE2B27" w:rsidRPr="00FE2B27">
        <w:rPr>
          <w:color w:val="FF0000"/>
        </w:rPr>
        <w:t xml:space="preserve"> it can be concluded that Google trends don’t predict Dash prices, so it is recommended that future studies may consider more specific data generation parameters, different network structure</w:t>
      </w:r>
      <w:r w:rsidR="00A14BC0">
        <w:rPr>
          <w:color w:val="FF0000"/>
        </w:rPr>
        <w:t>s,</w:t>
      </w:r>
      <w:r w:rsidR="00FE2B27" w:rsidRPr="00FE2B27">
        <w:rPr>
          <w:color w:val="FF0000"/>
        </w:rPr>
        <w:t xml:space="preserve"> or window size.</w:t>
      </w:r>
    </w:p>
    <w:p w14:paraId="5B913054" w14:textId="472BA8A2" w:rsidR="000D6907" w:rsidRPr="00C7417E" w:rsidRDefault="000B72B4" w:rsidP="00C7417E">
      <w:pPr>
        <w:pStyle w:val="NormalWeb"/>
        <w:spacing w:before="0" w:beforeAutospacing="0" w:after="0" w:afterAutospacing="0" w:line="360" w:lineRule="auto"/>
        <w:jc w:val="both"/>
        <w:rPr>
          <w:color w:val="FF0000"/>
        </w:rPr>
      </w:pPr>
      <w:proofErr w:type="spellStart"/>
      <w:r w:rsidRPr="00C83530">
        <w:rPr>
          <w:b/>
          <w:color w:val="222222"/>
          <w:shd w:val="clear" w:color="auto" w:fill="FFFFFF"/>
          <w:lang w:val="fr-FR"/>
        </w:rPr>
        <w:t>References</w:t>
      </w:r>
      <w:proofErr w:type="spellEnd"/>
    </w:p>
    <w:p w14:paraId="6BF7F089"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83530">
        <w:rPr>
          <w:rFonts w:ascii="Times New Roman" w:hAnsi="Times New Roman" w:cs="Times New Roman"/>
          <w:color w:val="222222"/>
          <w:sz w:val="24"/>
          <w:szCs w:val="24"/>
          <w:shd w:val="clear" w:color="auto" w:fill="FFFFFF"/>
          <w:lang w:val="fr-FR"/>
        </w:rPr>
        <w:t xml:space="preserve">Aalborg, H. A., </w:t>
      </w:r>
      <w:proofErr w:type="spellStart"/>
      <w:r w:rsidRPr="00C83530">
        <w:rPr>
          <w:rFonts w:ascii="Times New Roman" w:hAnsi="Times New Roman" w:cs="Times New Roman"/>
          <w:color w:val="222222"/>
          <w:sz w:val="24"/>
          <w:szCs w:val="24"/>
          <w:shd w:val="clear" w:color="auto" w:fill="FFFFFF"/>
          <w:lang w:val="fr-FR"/>
        </w:rPr>
        <w:t>Molnár</w:t>
      </w:r>
      <w:proofErr w:type="spellEnd"/>
      <w:r w:rsidRPr="00C83530">
        <w:rPr>
          <w:rFonts w:ascii="Times New Roman" w:hAnsi="Times New Roman" w:cs="Times New Roman"/>
          <w:color w:val="222222"/>
          <w:sz w:val="24"/>
          <w:szCs w:val="24"/>
          <w:shd w:val="clear" w:color="auto" w:fill="FFFFFF"/>
          <w:lang w:val="fr-FR"/>
        </w:rPr>
        <w:t xml:space="preserve">, P., &amp; de </w:t>
      </w:r>
      <w:proofErr w:type="spellStart"/>
      <w:r w:rsidRPr="00C83530">
        <w:rPr>
          <w:rFonts w:ascii="Times New Roman" w:hAnsi="Times New Roman" w:cs="Times New Roman"/>
          <w:color w:val="222222"/>
          <w:sz w:val="24"/>
          <w:szCs w:val="24"/>
          <w:shd w:val="clear" w:color="auto" w:fill="FFFFFF"/>
          <w:lang w:val="fr-FR"/>
        </w:rPr>
        <w:t>Vries</w:t>
      </w:r>
      <w:proofErr w:type="spellEnd"/>
      <w:r w:rsidRPr="00C83530">
        <w:rPr>
          <w:rFonts w:ascii="Times New Roman" w:hAnsi="Times New Roman" w:cs="Times New Roman"/>
          <w:color w:val="222222"/>
          <w:sz w:val="24"/>
          <w:szCs w:val="24"/>
          <w:shd w:val="clear" w:color="auto" w:fill="FFFFFF"/>
          <w:lang w:val="fr-FR"/>
        </w:rPr>
        <w:t xml:space="preserve">, J. E. (2019). </w:t>
      </w:r>
      <w:r w:rsidRPr="00CF23CD">
        <w:rPr>
          <w:rFonts w:ascii="Times New Roman" w:hAnsi="Times New Roman" w:cs="Times New Roman"/>
          <w:color w:val="222222"/>
          <w:sz w:val="24"/>
          <w:szCs w:val="24"/>
          <w:shd w:val="clear" w:color="auto" w:fill="FFFFFF"/>
        </w:rPr>
        <w:t>What can explain the price, volatility and trading volume of Bitcoin</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29</w:t>
      </w:r>
      <w:r w:rsidRPr="00CF23CD">
        <w:rPr>
          <w:rFonts w:ascii="Times New Roman" w:hAnsi="Times New Roman" w:cs="Times New Roman"/>
          <w:color w:val="222222"/>
          <w:sz w:val="24"/>
          <w:szCs w:val="24"/>
          <w:shd w:val="clear" w:color="auto" w:fill="FFFFFF"/>
        </w:rPr>
        <w:t>, 255-265.</w:t>
      </w:r>
    </w:p>
    <w:p w14:paraId="21D3B8CC"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Abraham, J., Higdon, D., Nelson, J., &amp; Ibarra, J. (2018). Cryptocurrency price prediction using tweet volumes and sentiment analysis. </w:t>
      </w:r>
      <w:r w:rsidRPr="00CF23CD">
        <w:rPr>
          <w:rFonts w:ascii="Times New Roman" w:hAnsi="Times New Roman" w:cs="Times New Roman"/>
          <w:i/>
          <w:iCs/>
          <w:color w:val="222222"/>
          <w:sz w:val="24"/>
          <w:szCs w:val="24"/>
          <w:shd w:val="clear" w:color="auto" w:fill="FFFFFF"/>
        </w:rPr>
        <w:t>SMU Data Science Review</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w:t>
      </w:r>
      <w:r w:rsidRPr="00CF23CD">
        <w:rPr>
          <w:rFonts w:ascii="Times New Roman" w:hAnsi="Times New Roman" w:cs="Times New Roman"/>
          <w:color w:val="222222"/>
          <w:sz w:val="24"/>
          <w:szCs w:val="24"/>
          <w:shd w:val="clear" w:color="auto" w:fill="FFFFFF"/>
        </w:rPr>
        <w:t>(3), 1.</w:t>
      </w:r>
    </w:p>
    <w:p w14:paraId="52653BDB"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Adachi, Y., Masuda, M., &amp; Takeda, F. (2017). Google search intensity and its relationship to the returns and liquidity of Japanese startup stocks. </w:t>
      </w:r>
      <w:r w:rsidRPr="00CF23CD">
        <w:rPr>
          <w:rFonts w:ascii="Times New Roman" w:hAnsi="Times New Roman" w:cs="Times New Roman"/>
          <w:i/>
          <w:iCs/>
          <w:color w:val="222222"/>
          <w:sz w:val="24"/>
          <w:szCs w:val="24"/>
          <w:shd w:val="clear" w:color="auto" w:fill="FFFFFF"/>
        </w:rPr>
        <w:t>Pacific-Basin Finance Journal</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46</w:t>
      </w:r>
      <w:r w:rsidRPr="00CF23CD">
        <w:rPr>
          <w:rFonts w:ascii="Times New Roman" w:hAnsi="Times New Roman" w:cs="Times New Roman"/>
          <w:color w:val="222222"/>
          <w:sz w:val="24"/>
          <w:szCs w:val="24"/>
          <w:shd w:val="clear" w:color="auto" w:fill="FFFFFF"/>
        </w:rPr>
        <w:t>, 243-257.</w:t>
      </w:r>
    </w:p>
    <w:p w14:paraId="10B620EB" w14:textId="77777777" w:rsidR="000D6907" w:rsidRPr="000D6907" w:rsidRDefault="000D6907" w:rsidP="000D6907">
      <w:pPr>
        <w:tabs>
          <w:tab w:val="left" w:pos="270"/>
        </w:tabs>
        <w:ind w:left="360" w:hanging="360"/>
        <w:jc w:val="both"/>
        <w:rPr>
          <w:rFonts w:ascii="Times New Roman" w:hAnsi="Times New Roman" w:cs="Times New Roman"/>
          <w:color w:val="FF0000"/>
          <w:sz w:val="24"/>
          <w:szCs w:val="24"/>
          <w:shd w:val="clear" w:color="auto" w:fill="FFFFFF"/>
          <w:lang w:val="fr-FR"/>
        </w:rPr>
      </w:pPr>
      <w:proofErr w:type="spellStart"/>
      <w:r w:rsidRPr="000D6907">
        <w:rPr>
          <w:rFonts w:ascii="Times New Roman" w:hAnsi="Times New Roman" w:cs="Times New Roman"/>
          <w:color w:val="FF0000"/>
          <w:sz w:val="24"/>
          <w:szCs w:val="24"/>
          <w:shd w:val="clear" w:color="auto" w:fill="FFFFFF"/>
          <w:lang w:val="fr-FR"/>
        </w:rPr>
        <w:t>Aharon</w:t>
      </w:r>
      <w:proofErr w:type="spellEnd"/>
      <w:r w:rsidRPr="000D6907">
        <w:rPr>
          <w:rFonts w:ascii="Times New Roman" w:hAnsi="Times New Roman" w:cs="Times New Roman"/>
          <w:color w:val="FF0000"/>
          <w:sz w:val="24"/>
          <w:szCs w:val="24"/>
          <w:shd w:val="clear" w:color="auto" w:fill="FFFFFF"/>
          <w:lang w:val="fr-FR"/>
        </w:rPr>
        <w:t xml:space="preserve">, D. Y., </w:t>
      </w:r>
      <w:proofErr w:type="spellStart"/>
      <w:r w:rsidRPr="000D6907">
        <w:rPr>
          <w:rFonts w:ascii="Times New Roman" w:hAnsi="Times New Roman" w:cs="Times New Roman"/>
          <w:color w:val="FF0000"/>
          <w:sz w:val="24"/>
          <w:szCs w:val="24"/>
          <w:shd w:val="clear" w:color="auto" w:fill="FFFFFF"/>
          <w:lang w:val="fr-FR"/>
        </w:rPr>
        <w:t>Demir</w:t>
      </w:r>
      <w:proofErr w:type="spellEnd"/>
      <w:r w:rsidRPr="000D6907">
        <w:rPr>
          <w:rFonts w:ascii="Times New Roman" w:hAnsi="Times New Roman" w:cs="Times New Roman"/>
          <w:color w:val="FF0000"/>
          <w:sz w:val="24"/>
          <w:szCs w:val="24"/>
          <w:shd w:val="clear" w:color="auto" w:fill="FFFFFF"/>
          <w:lang w:val="fr-FR"/>
        </w:rPr>
        <w:t xml:space="preserve">, E., Lau, C. K. M., &amp; </w:t>
      </w:r>
      <w:proofErr w:type="spellStart"/>
      <w:r w:rsidRPr="000D6907">
        <w:rPr>
          <w:rFonts w:ascii="Times New Roman" w:hAnsi="Times New Roman" w:cs="Times New Roman"/>
          <w:color w:val="FF0000"/>
          <w:sz w:val="24"/>
          <w:szCs w:val="24"/>
          <w:shd w:val="clear" w:color="auto" w:fill="FFFFFF"/>
          <w:lang w:val="fr-FR"/>
        </w:rPr>
        <w:t>Zaremba</w:t>
      </w:r>
      <w:proofErr w:type="spellEnd"/>
      <w:r w:rsidRPr="000D6907">
        <w:rPr>
          <w:rFonts w:ascii="Times New Roman" w:hAnsi="Times New Roman" w:cs="Times New Roman"/>
          <w:color w:val="FF0000"/>
          <w:sz w:val="24"/>
          <w:szCs w:val="24"/>
          <w:shd w:val="clear" w:color="auto" w:fill="FFFFFF"/>
          <w:lang w:val="fr-FR"/>
        </w:rPr>
        <w:t>, A. (2022). Twitter-</w:t>
      </w:r>
      <w:proofErr w:type="spellStart"/>
      <w:r w:rsidRPr="000D6907">
        <w:rPr>
          <w:rFonts w:ascii="Times New Roman" w:hAnsi="Times New Roman" w:cs="Times New Roman"/>
          <w:color w:val="FF0000"/>
          <w:sz w:val="24"/>
          <w:szCs w:val="24"/>
          <w:shd w:val="clear" w:color="auto" w:fill="FFFFFF"/>
          <w:lang w:val="fr-FR"/>
        </w:rPr>
        <w:t>Based</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uncertainty</w:t>
      </w:r>
      <w:proofErr w:type="spellEnd"/>
      <w:r w:rsidRPr="000D6907">
        <w:rPr>
          <w:rFonts w:ascii="Times New Roman" w:hAnsi="Times New Roman" w:cs="Times New Roman"/>
          <w:color w:val="FF0000"/>
          <w:sz w:val="24"/>
          <w:szCs w:val="24"/>
          <w:shd w:val="clear" w:color="auto" w:fill="FFFFFF"/>
          <w:lang w:val="fr-FR"/>
        </w:rPr>
        <w:t xml:space="preserve"> and </w:t>
      </w:r>
      <w:proofErr w:type="spellStart"/>
      <w:r w:rsidRPr="000D6907">
        <w:rPr>
          <w:rFonts w:ascii="Times New Roman" w:hAnsi="Times New Roman" w:cs="Times New Roman"/>
          <w:color w:val="FF0000"/>
          <w:sz w:val="24"/>
          <w:szCs w:val="24"/>
          <w:shd w:val="clear" w:color="auto" w:fill="FFFFFF"/>
          <w:lang w:val="fr-FR"/>
        </w:rPr>
        <w:t>cryptocurrency</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returns</w:t>
      </w:r>
      <w:proofErr w:type="spellEnd"/>
      <w:r w:rsidRPr="000D6907">
        <w:rPr>
          <w:rFonts w:ascii="Times New Roman" w:hAnsi="Times New Roman" w:cs="Times New Roman"/>
          <w:color w:val="FF0000"/>
          <w:sz w:val="24"/>
          <w:szCs w:val="24"/>
          <w:shd w:val="clear" w:color="auto" w:fill="FFFFFF"/>
          <w:lang w:val="fr-FR"/>
        </w:rPr>
        <w:t>. </w:t>
      </w:r>
      <w:proofErr w:type="spellStart"/>
      <w:r w:rsidRPr="00C7417E">
        <w:rPr>
          <w:rFonts w:ascii="Times New Roman" w:hAnsi="Times New Roman" w:cs="Times New Roman"/>
          <w:i/>
          <w:color w:val="FF0000"/>
          <w:sz w:val="24"/>
          <w:szCs w:val="24"/>
          <w:shd w:val="clear" w:color="auto" w:fill="FFFFFF"/>
          <w:lang w:val="fr-FR"/>
        </w:rPr>
        <w:t>Research</w:t>
      </w:r>
      <w:proofErr w:type="spellEnd"/>
      <w:r w:rsidRPr="00C7417E">
        <w:rPr>
          <w:rFonts w:ascii="Times New Roman" w:hAnsi="Times New Roman" w:cs="Times New Roman"/>
          <w:i/>
          <w:color w:val="FF0000"/>
          <w:sz w:val="24"/>
          <w:szCs w:val="24"/>
          <w:shd w:val="clear" w:color="auto" w:fill="FFFFFF"/>
          <w:lang w:val="fr-FR"/>
        </w:rPr>
        <w:t xml:space="preserve"> in International Business and Finance, 59,</w:t>
      </w:r>
      <w:r w:rsidRPr="000D6907">
        <w:rPr>
          <w:rFonts w:ascii="Times New Roman" w:hAnsi="Times New Roman" w:cs="Times New Roman"/>
          <w:color w:val="FF0000"/>
          <w:sz w:val="24"/>
          <w:szCs w:val="24"/>
          <w:shd w:val="clear" w:color="auto" w:fill="FFFFFF"/>
          <w:lang w:val="fr-FR"/>
        </w:rPr>
        <w:t xml:space="preserve"> 101546.</w:t>
      </w:r>
    </w:p>
    <w:p w14:paraId="3619A17A" w14:textId="77777777" w:rsidR="000D6907" w:rsidRPr="000D6907" w:rsidRDefault="000D6907" w:rsidP="000D6907">
      <w:pPr>
        <w:tabs>
          <w:tab w:val="left" w:pos="270"/>
        </w:tabs>
        <w:ind w:left="360" w:hanging="360"/>
        <w:jc w:val="both"/>
        <w:rPr>
          <w:rFonts w:ascii="Times New Roman" w:hAnsi="Times New Roman" w:cs="Times New Roman"/>
          <w:color w:val="FF0000"/>
          <w:sz w:val="24"/>
          <w:szCs w:val="24"/>
          <w:shd w:val="clear" w:color="auto" w:fill="FFFFFF"/>
          <w:lang w:val="fr-FR"/>
        </w:rPr>
      </w:pPr>
      <w:r w:rsidRPr="000D6907">
        <w:rPr>
          <w:rFonts w:ascii="Times New Roman" w:hAnsi="Times New Roman" w:cs="Times New Roman"/>
          <w:color w:val="FF0000"/>
          <w:sz w:val="24"/>
          <w:szCs w:val="24"/>
          <w:shd w:val="clear" w:color="auto" w:fill="FFFFFF"/>
          <w:lang w:val="fr-FR"/>
        </w:rPr>
        <w:t>Alonso-</w:t>
      </w:r>
      <w:proofErr w:type="spellStart"/>
      <w:r w:rsidRPr="000D6907">
        <w:rPr>
          <w:rFonts w:ascii="Times New Roman" w:hAnsi="Times New Roman" w:cs="Times New Roman"/>
          <w:color w:val="FF0000"/>
          <w:sz w:val="24"/>
          <w:szCs w:val="24"/>
          <w:shd w:val="clear" w:color="auto" w:fill="FFFFFF"/>
          <w:lang w:val="fr-FR"/>
        </w:rPr>
        <w:t>Monsalve</w:t>
      </w:r>
      <w:proofErr w:type="spellEnd"/>
      <w:r w:rsidRPr="000D6907">
        <w:rPr>
          <w:rFonts w:ascii="Times New Roman" w:hAnsi="Times New Roman" w:cs="Times New Roman"/>
          <w:color w:val="FF0000"/>
          <w:sz w:val="24"/>
          <w:szCs w:val="24"/>
          <w:shd w:val="clear" w:color="auto" w:fill="FFFFFF"/>
          <w:lang w:val="fr-FR"/>
        </w:rPr>
        <w:t>, S., Suárez-</w:t>
      </w:r>
      <w:proofErr w:type="spellStart"/>
      <w:r w:rsidRPr="000D6907">
        <w:rPr>
          <w:rFonts w:ascii="Times New Roman" w:hAnsi="Times New Roman" w:cs="Times New Roman"/>
          <w:color w:val="FF0000"/>
          <w:sz w:val="24"/>
          <w:szCs w:val="24"/>
          <w:shd w:val="clear" w:color="auto" w:fill="FFFFFF"/>
          <w:lang w:val="fr-FR"/>
        </w:rPr>
        <w:t>Cetrulo</w:t>
      </w:r>
      <w:proofErr w:type="spellEnd"/>
      <w:r w:rsidRPr="000D6907">
        <w:rPr>
          <w:rFonts w:ascii="Times New Roman" w:hAnsi="Times New Roman" w:cs="Times New Roman"/>
          <w:color w:val="FF0000"/>
          <w:sz w:val="24"/>
          <w:szCs w:val="24"/>
          <w:shd w:val="clear" w:color="auto" w:fill="FFFFFF"/>
          <w:lang w:val="fr-FR"/>
        </w:rPr>
        <w:t xml:space="preserve">, A. L., </w:t>
      </w:r>
      <w:proofErr w:type="spellStart"/>
      <w:r w:rsidRPr="000D6907">
        <w:rPr>
          <w:rFonts w:ascii="Times New Roman" w:hAnsi="Times New Roman" w:cs="Times New Roman"/>
          <w:color w:val="FF0000"/>
          <w:sz w:val="24"/>
          <w:szCs w:val="24"/>
          <w:shd w:val="clear" w:color="auto" w:fill="FFFFFF"/>
          <w:lang w:val="fr-FR"/>
        </w:rPr>
        <w:t>Cervantes</w:t>
      </w:r>
      <w:proofErr w:type="spellEnd"/>
      <w:r w:rsidRPr="000D6907">
        <w:rPr>
          <w:rFonts w:ascii="Times New Roman" w:hAnsi="Times New Roman" w:cs="Times New Roman"/>
          <w:color w:val="FF0000"/>
          <w:sz w:val="24"/>
          <w:szCs w:val="24"/>
          <w:shd w:val="clear" w:color="auto" w:fill="FFFFFF"/>
          <w:lang w:val="fr-FR"/>
        </w:rPr>
        <w:t>, A., &amp; Quintana, D. (2020). Convolution on neural networks for high-</w:t>
      </w:r>
      <w:proofErr w:type="spellStart"/>
      <w:r w:rsidRPr="000D6907">
        <w:rPr>
          <w:rFonts w:ascii="Times New Roman" w:hAnsi="Times New Roman" w:cs="Times New Roman"/>
          <w:color w:val="FF0000"/>
          <w:sz w:val="24"/>
          <w:szCs w:val="24"/>
          <w:shd w:val="clear" w:color="auto" w:fill="FFFFFF"/>
          <w:lang w:val="fr-FR"/>
        </w:rPr>
        <w:t>frequency</w:t>
      </w:r>
      <w:proofErr w:type="spellEnd"/>
      <w:r w:rsidRPr="000D6907">
        <w:rPr>
          <w:rFonts w:ascii="Times New Roman" w:hAnsi="Times New Roman" w:cs="Times New Roman"/>
          <w:color w:val="FF0000"/>
          <w:sz w:val="24"/>
          <w:szCs w:val="24"/>
          <w:shd w:val="clear" w:color="auto" w:fill="FFFFFF"/>
          <w:lang w:val="fr-FR"/>
        </w:rPr>
        <w:t xml:space="preserve"> trend </w:t>
      </w:r>
      <w:proofErr w:type="spellStart"/>
      <w:r w:rsidRPr="000D6907">
        <w:rPr>
          <w:rFonts w:ascii="Times New Roman" w:hAnsi="Times New Roman" w:cs="Times New Roman"/>
          <w:color w:val="FF0000"/>
          <w:sz w:val="24"/>
          <w:szCs w:val="24"/>
          <w:shd w:val="clear" w:color="auto" w:fill="FFFFFF"/>
          <w:lang w:val="fr-FR"/>
        </w:rPr>
        <w:t>prediction</w:t>
      </w:r>
      <w:proofErr w:type="spellEnd"/>
      <w:r w:rsidRPr="000D6907">
        <w:rPr>
          <w:rFonts w:ascii="Times New Roman" w:hAnsi="Times New Roman" w:cs="Times New Roman"/>
          <w:color w:val="FF0000"/>
          <w:sz w:val="24"/>
          <w:szCs w:val="24"/>
          <w:shd w:val="clear" w:color="auto" w:fill="FFFFFF"/>
          <w:lang w:val="fr-FR"/>
        </w:rPr>
        <w:t xml:space="preserve"> of </w:t>
      </w:r>
      <w:proofErr w:type="spellStart"/>
      <w:r w:rsidRPr="000D6907">
        <w:rPr>
          <w:rFonts w:ascii="Times New Roman" w:hAnsi="Times New Roman" w:cs="Times New Roman"/>
          <w:color w:val="FF0000"/>
          <w:sz w:val="24"/>
          <w:szCs w:val="24"/>
          <w:shd w:val="clear" w:color="auto" w:fill="FFFFFF"/>
          <w:lang w:val="fr-FR"/>
        </w:rPr>
        <w:t>cryptocurrency</w:t>
      </w:r>
      <w:proofErr w:type="spellEnd"/>
      <w:r w:rsidRPr="000D6907">
        <w:rPr>
          <w:rFonts w:ascii="Times New Roman" w:hAnsi="Times New Roman" w:cs="Times New Roman"/>
          <w:color w:val="FF0000"/>
          <w:sz w:val="24"/>
          <w:szCs w:val="24"/>
          <w:shd w:val="clear" w:color="auto" w:fill="FFFFFF"/>
          <w:lang w:val="fr-FR"/>
        </w:rPr>
        <w:t xml:space="preserve"> exchange rates </w:t>
      </w:r>
      <w:proofErr w:type="spellStart"/>
      <w:r w:rsidRPr="000D6907">
        <w:rPr>
          <w:rFonts w:ascii="Times New Roman" w:hAnsi="Times New Roman" w:cs="Times New Roman"/>
          <w:color w:val="FF0000"/>
          <w:sz w:val="24"/>
          <w:szCs w:val="24"/>
          <w:shd w:val="clear" w:color="auto" w:fill="FFFFFF"/>
          <w:lang w:val="fr-FR"/>
        </w:rPr>
        <w:t>using</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technical</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indicators</w:t>
      </w:r>
      <w:proofErr w:type="spellEnd"/>
      <w:r w:rsidRPr="000D6907">
        <w:rPr>
          <w:rFonts w:ascii="Times New Roman" w:hAnsi="Times New Roman" w:cs="Times New Roman"/>
          <w:color w:val="FF0000"/>
          <w:sz w:val="24"/>
          <w:szCs w:val="24"/>
          <w:shd w:val="clear" w:color="auto" w:fill="FFFFFF"/>
          <w:lang w:val="fr-FR"/>
        </w:rPr>
        <w:t>. </w:t>
      </w:r>
      <w:r w:rsidRPr="00C7417E">
        <w:rPr>
          <w:rFonts w:ascii="Times New Roman" w:hAnsi="Times New Roman" w:cs="Times New Roman"/>
          <w:i/>
          <w:color w:val="FF0000"/>
          <w:sz w:val="24"/>
          <w:szCs w:val="24"/>
          <w:shd w:val="clear" w:color="auto" w:fill="FFFFFF"/>
          <w:lang w:val="fr-FR"/>
        </w:rPr>
        <w:t xml:space="preserve">Expert </w:t>
      </w:r>
      <w:proofErr w:type="spellStart"/>
      <w:r w:rsidRPr="00C7417E">
        <w:rPr>
          <w:rFonts w:ascii="Times New Roman" w:hAnsi="Times New Roman" w:cs="Times New Roman"/>
          <w:i/>
          <w:color w:val="FF0000"/>
          <w:sz w:val="24"/>
          <w:szCs w:val="24"/>
          <w:shd w:val="clear" w:color="auto" w:fill="FFFFFF"/>
          <w:lang w:val="fr-FR"/>
        </w:rPr>
        <w:t>Systems</w:t>
      </w:r>
      <w:proofErr w:type="spellEnd"/>
      <w:r w:rsidRPr="00C7417E">
        <w:rPr>
          <w:rFonts w:ascii="Times New Roman" w:hAnsi="Times New Roman" w:cs="Times New Roman"/>
          <w:i/>
          <w:color w:val="FF0000"/>
          <w:sz w:val="24"/>
          <w:szCs w:val="24"/>
          <w:shd w:val="clear" w:color="auto" w:fill="FFFFFF"/>
          <w:lang w:val="fr-FR"/>
        </w:rPr>
        <w:t xml:space="preserve"> </w:t>
      </w:r>
      <w:proofErr w:type="spellStart"/>
      <w:r w:rsidRPr="00C7417E">
        <w:rPr>
          <w:rFonts w:ascii="Times New Roman" w:hAnsi="Times New Roman" w:cs="Times New Roman"/>
          <w:i/>
          <w:color w:val="FF0000"/>
          <w:sz w:val="24"/>
          <w:szCs w:val="24"/>
          <w:shd w:val="clear" w:color="auto" w:fill="FFFFFF"/>
          <w:lang w:val="fr-FR"/>
        </w:rPr>
        <w:t>with</w:t>
      </w:r>
      <w:proofErr w:type="spellEnd"/>
      <w:r w:rsidRPr="00C7417E">
        <w:rPr>
          <w:rFonts w:ascii="Times New Roman" w:hAnsi="Times New Roman" w:cs="Times New Roman"/>
          <w:i/>
          <w:color w:val="FF0000"/>
          <w:sz w:val="24"/>
          <w:szCs w:val="24"/>
          <w:shd w:val="clear" w:color="auto" w:fill="FFFFFF"/>
          <w:lang w:val="fr-FR"/>
        </w:rPr>
        <w:t xml:space="preserve"> Applications, 149,</w:t>
      </w:r>
      <w:r w:rsidRPr="000D6907">
        <w:rPr>
          <w:rFonts w:ascii="Times New Roman" w:hAnsi="Times New Roman" w:cs="Times New Roman"/>
          <w:color w:val="FF0000"/>
          <w:sz w:val="24"/>
          <w:szCs w:val="24"/>
          <w:shd w:val="clear" w:color="auto" w:fill="FFFFFF"/>
          <w:lang w:val="fr-FR"/>
        </w:rPr>
        <w:t xml:space="preserve"> 113250.</w:t>
      </w:r>
    </w:p>
    <w:p w14:paraId="10549173"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Arezooji</w:t>
      </w:r>
      <w:proofErr w:type="spellEnd"/>
      <w:r w:rsidRPr="00CF23CD">
        <w:rPr>
          <w:rFonts w:ascii="Times New Roman" w:hAnsi="Times New Roman" w:cs="Times New Roman"/>
          <w:color w:val="222222"/>
          <w:sz w:val="24"/>
          <w:szCs w:val="24"/>
          <w:shd w:val="clear" w:color="auto" w:fill="FFFFFF"/>
        </w:rPr>
        <w:t xml:space="preserve">, D. M. (2021). A Big Data Analysis of the </w:t>
      </w:r>
      <w:proofErr w:type="spellStart"/>
      <w:r w:rsidRPr="00CF23CD">
        <w:rPr>
          <w:rFonts w:ascii="Times New Roman" w:hAnsi="Times New Roman" w:cs="Times New Roman"/>
          <w:color w:val="222222"/>
          <w:sz w:val="24"/>
          <w:szCs w:val="24"/>
          <w:shd w:val="clear" w:color="auto" w:fill="FFFFFF"/>
        </w:rPr>
        <w:t>Ethereum</w:t>
      </w:r>
      <w:proofErr w:type="spellEnd"/>
      <w:r w:rsidRPr="00CF23CD">
        <w:rPr>
          <w:rFonts w:ascii="Times New Roman" w:hAnsi="Times New Roman" w:cs="Times New Roman"/>
          <w:color w:val="222222"/>
          <w:sz w:val="24"/>
          <w:szCs w:val="24"/>
          <w:shd w:val="clear" w:color="auto" w:fill="FFFFFF"/>
        </w:rPr>
        <w:t xml:space="preserve"> Network: from </w:t>
      </w:r>
      <w:proofErr w:type="spellStart"/>
      <w:r w:rsidRPr="00CF23CD">
        <w:rPr>
          <w:rFonts w:ascii="Times New Roman" w:hAnsi="Times New Roman" w:cs="Times New Roman"/>
          <w:color w:val="222222"/>
          <w:sz w:val="24"/>
          <w:szCs w:val="24"/>
          <w:shd w:val="clear" w:color="auto" w:fill="FFFFFF"/>
        </w:rPr>
        <w:t>Blockchain</w:t>
      </w:r>
      <w:proofErr w:type="spellEnd"/>
      <w:r w:rsidRPr="00CF23CD">
        <w:rPr>
          <w:rFonts w:ascii="Times New Roman" w:hAnsi="Times New Roman" w:cs="Times New Roman"/>
          <w:color w:val="222222"/>
          <w:sz w:val="24"/>
          <w:szCs w:val="24"/>
          <w:shd w:val="clear" w:color="auto" w:fill="FFFFFF"/>
        </w:rPr>
        <w:t xml:space="preserve"> to Google Trends. </w:t>
      </w:r>
      <w:proofErr w:type="spellStart"/>
      <w:proofErr w:type="gramStart"/>
      <w:r w:rsidRPr="00CF23CD">
        <w:rPr>
          <w:rFonts w:ascii="Times New Roman" w:hAnsi="Times New Roman" w:cs="Times New Roman"/>
          <w:i/>
          <w:iCs/>
          <w:color w:val="222222"/>
          <w:sz w:val="24"/>
          <w:szCs w:val="24"/>
          <w:shd w:val="clear" w:color="auto" w:fill="FFFFFF"/>
        </w:rPr>
        <w:t>arXiv</w:t>
      </w:r>
      <w:proofErr w:type="spellEnd"/>
      <w:proofErr w:type="gramEnd"/>
      <w:r w:rsidRPr="00CF23CD">
        <w:rPr>
          <w:rFonts w:ascii="Times New Roman" w:hAnsi="Times New Roman" w:cs="Times New Roman"/>
          <w:i/>
          <w:iCs/>
          <w:color w:val="222222"/>
          <w:sz w:val="24"/>
          <w:szCs w:val="24"/>
          <w:shd w:val="clear" w:color="auto" w:fill="FFFFFF"/>
        </w:rPr>
        <w:t xml:space="preserve"> preprint arXiv:2104.01764</w:t>
      </w:r>
      <w:r w:rsidRPr="00CF23CD">
        <w:rPr>
          <w:rFonts w:ascii="Times New Roman" w:hAnsi="Times New Roman" w:cs="Times New Roman"/>
          <w:color w:val="222222"/>
          <w:sz w:val="24"/>
          <w:szCs w:val="24"/>
          <w:shd w:val="clear" w:color="auto" w:fill="FFFFFF"/>
        </w:rPr>
        <w:t>.</w:t>
      </w:r>
    </w:p>
    <w:p w14:paraId="175CB13C"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83530">
        <w:rPr>
          <w:rFonts w:ascii="Times New Roman" w:hAnsi="Times New Roman" w:cs="Times New Roman"/>
          <w:color w:val="222222"/>
          <w:sz w:val="24"/>
          <w:szCs w:val="24"/>
          <w:shd w:val="clear" w:color="auto" w:fill="FFFFFF"/>
          <w:lang w:val="fr-FR"/>
        </w:rPr>
        <w:t>Arratia</w:t>
      </w:r>
      <w:proofErr w:type="spellEnd"/>
      <w:r w:rsidRPr="00C83530">
        <w:rPr>
          <w:rFonts w:ascii="Times New Roman" w:hAnsi="Times New Roman" w:cs="Times New Roman"/>
          <w:color w:val="222222"/>
          <w:sz w:val="24"/>
          <w:szCs w:val="24"/>
          <w:shd w:val="clear" w:color="auto" w:fill="FFFFFF"/>
          <w:lang w:val="fr-FR"/>
        </w:rPr>
        <w:t xml:space="preserve">, A., &amp; </w:t>
      </w:r>
      <w:proofErr w:type="spellStart"/>
      <w:r w:rsidRPr="00C83530">
        <w:rPr>
          <w:rFonts w:ascii="Times New Roman" w:hAnsi="Times New Roman" w:cs="Times New Roman"/>
          <w:color w:val="222222"/>
          <w:sz w:val="24"/>
          <w:szCs w:val="24"/>
          <w:shd w:val="clear" w:color="auto" w:fill="FFFFFF"/>
          <w:lang w:val="fr-FR"/>
        </w:rPr>
        <w:t>López-Barrantes</w:t>
      </w:r>
      <w:proofErr w:type="spellEnd"/>
      <w:r w:rsidRPr="00C83530">
        <w:rPr>
          <w:rFonts w:ascii="Times New Roman" w:hAnsi="Times New Roman" w:cs="Times New Roman"/>
          <w:color w:val="222222"/>
          <w:sz w:val="24"/>
          <w:szCs w:val="24"/>
          <w:shd w:val="clear" w:color="auto" w:fill="FFFFFF"/>
          <w:lang w:val="fr-FR"/>
        </w:rPr>
        <w:t xml:space="preserve">, A. X. (2021). </w:t>
      </w:r>
      <w:r w:rsidRPr="00CF23CD">
        <w:rPr>
          <w:rFonts w:ascii="Times New Roman" w:hAnsi="Times New Roman" w:cs="Times New Roman"/>
          <w:color w:val="222222"/>
          <w:sz w:val="24"/>
          <w:szCs w:val="24"/>
          <w:shd w:val="clear" w:color="auto" w:fill="FFFFFF"/>
        </w:rPr>
        <w:t xml:space="preserve">Do google trends forecast bitcoins? </w:t>
      </w:r>
      <w:proofErr w:type="gramStart"/>
      <w:r w:rsidRPr="00CF23CD">
        <w:rPr>
          <w:rFonts w:ascii="Times New Roman" w:hAnsi="Times New Roman" w:cs="Times New Roman"/>
          <w:color w:val="222222"/>
          <w:sz w:val="24"/>
          <w:szCs w:val="24"/>
          <w:shd w:val="clear" w:color="auto" w:fill="FFFFFF"/>
        </w:rPr>
        <w:t>stylized</w:t>
      </w:r>
      <w:proofErr w:type="gramEnd"/>
      <w:r w:rsidRPr="00CF23CD">
        <w:rPr>
          <w:rFonts w:ascii="Times New Roman" w:hAnsi="Times New Roman" w:cs="Times New Roman"/>
          <w:color w:val="222222"/>
          <w:sz w:val="24"/>
          <w:szCs w:val="24"/>
          <w:shd w:val="clear" w:color="auto" w:fill="FFFFFF"/>
        </w:rPr>
        <w:t xml:space="preserve"> facts and statistical evidence. </w:t>
      </w:r>
      <w:r w:rsidRPr="00CF23CD">
        <w:rPr>
          <w:rFonts w:ascii="Times New Roman" w:hAnsi="Times New Roman" w:cs="Times New Roman"/>
          <w:i/>
          <w:iCs/>
          <w:color w:val="222222"/>
          <w:sz w:val="24"/>
          <w:szCs w:val="24"/>
          <w:shd w:val="clear" w:color="auto" w:fill="FFFFFF"/>
        </w:rPr>
        <w:t>Journal of Banking and Financial Technology</w:t>
      </w:r>
      <w:r w:rsidRPr="00CF23CD">
        <w:rPr>
          <w:rFonts w:ascii="Times New Roman" w:hAnsi="Times New Roman" w:cs="Times New Roman"/>
          <w:color w:val="222222"/>
          <w:sz w:val="24"/>
          <w:szCs w:val="24"/>
          <w:shd w:val="clear" w:color="auto" w:fill="FFFFFF"/>
        </w:rPr>
        <w:t>, 1-13.</w:t>
      </w:r>
    </w:p>
    <w:p w14:paraId="5A081713"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 xml:space="preserve">Aslan, A., &amp; </w:t>
      </w:r>
      <w:proofErr w:type="spellStart"/>
      <w:r w:rsidRPr="00CF23CD">
        <w:rPr>
          <w:rFonts w:ascii="Times New Roman" w:hAnsi="Times New Roman" w:cs="Times New Roman"/>
          <w:color w:val="222222"/>
          <w:sz w:val="24"/>
          <w:szCs w:val="24"/>
          <w:shd w:val="clear" w:color="auto" w:fill="FFFFFF"/>
        </w:rPr>
        <w:t>Sensoy</w:t>
      </w:r>
      <w:proofErr w:type="spellEnd"/>
      <w:r w:rsidRPr="00CF23CD">
        <w:rPr>
          <w:rFonts w:ascii="Times New Roman" w:hAnsi="Times New Roman" w:cs="Times New Roman"/>
          <w:color w:val="222222"/>
          <w:sz w:val="24"/>
          <w:szCs w:val="24"/>
          <w:shd w:val="clear" w:color="auto" w:fill="FFFFFF"/>
        </w:rPr>
        <w:t>, A. (2020). Intraday efficiency-frequency nexus in the cryptocurrency markets.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35</w:t>
      </w:r>
      <w:r w:rsidRPr="00CF23CD">
        <w:rPr>
          <w:rFonts w:ascii="Times New Roman" w:hAnsi="Times New Roman" w:cs="Times New Roman"/>
          <w:color w:val="222222"/>
          <w:sz w:val="24"/>
          <w:szCs w:val="24"/>
          <w:shd w:val="clear" w:color="auto" w:fill="FFFFFF"/>
        </w:rPr>
        <w:t>, 101298.</w:t>
      </w:r>
    </w:p>
    <w:p w14:paraId="036A0A4C" w14:textId="177B1E37" w:rsidR="000D6907" w:rsidRPr="000D6907" w:rsidRDefault="000D6907" w:rsidP="000D6907">
      <w:pPr>
        <w:tabs>
          <w:tab w:val="left" w:pos="270"/>
        </w:tabs>
        <w:ind w:left="360" w:hanging="360"/>
        <w:jc w:val="both"/>
        <w:rPr>
          <w:rFonts w:ascii="Times New Roman" w:hAnsi="Times New Roman" w:cs="Times New Roman"/>
          <w:color w:val="FF0000"/>
          <w:sz w:val="24"/>
          <w:szCs w:val="24"/>
          <w:shd w:val="clear" w:color="auto" w:fill="FFFFFF"/>
          <w:lang w:val="fr-FR"/>
        </w:rPr>
      </w:pPr>
      <w:proofErr w:type="spellStart"/>
      <w:r w:rsidRPr="000D6907">
        <w:rPr>
          <w:rFonts w:ascii="Times New Roman" w:hAnsi="Times New Roman" w:cs="Times New Roman"/>
          <w:color w:val="FF0000"/>
          <w:sz w:val="24"/>
          <w:szCs w:val="24"/>
          <w:shd w:val="clear" w:color="auto" w:fill="FFFFFF"/>
          <w:lang w:val="fr-FR"/>
        </w:rPr>
        <w:t>Bleher</w:t>
      </w:r>
      <w:proofErr w:type="spellEnd"/>
      <w:r w:rsidRPr="000D6907">
        <w:rPr>
          <w:rFonts w:ascii="Times New Roman" w:hAnsi="Times New Roman" w:cs="Times New Roman"/>
          <w:color w:val="FF0000"/>
          <w:sz w:val="24"/>
          <w:szCs w:val="24"/>
          <w:shd w:val="clear" w:color="auto" w:fill="FFFFFF"/>
          <w:lang w:val="fr-FR"/>
        </w:rPr>
        <w:t xml:space="preserve">, J., &amp; </w:t>
      </w:r>
      <w:proofErr w:type="spellStart"/>
      <w:r w:rsidRPr="000D6907">
        <w:rPr>
          <w:rFonts w:ascii="Times New Roman" w:hAnsi="Times New Roman" w:cs="Times New Roman"/>
          <w:color w:val="FF0000"/>
          <w:sz w:val="24"/>
          <w:szCs w:val="24"/>
          <w:shd w:val="clear" w:color="auto" w:fill="FFFFFF"/>
          <w:lang w:val="fr-FR"/>
        </w:rPr>
        <w:t>Dimpfl</w:t>
      </w:r>
      <w:proofErr w:type="spellEnd"/>
      <w:r w:rsidRPr="000D6907">
        <w:rPr>
          <w:rFonts w:ascii="Times New Roman" w:hAnsi="Times New Roman" w:cs="Times New Roman"/>
          <w:color w:val="FF0000"/>
          <w:sz w:val="24"/>
          <w:szCs w:val="24"/>
          <w:shd w:val="clear" w:color="auto" w:fill="FFFFFF"/>
          <w:lang w:val="fr-FR"/>
        </w:rPr>
        <w:t xml:space="preserve">, T. (2019). </w:t>
      </w:r>
      <w:proofErr w:type="spellStart"/>
      <w:r w:rsidRPr="000D6907">
        <w:rPr>
          <w:rFonts w:ascii="Times New Roman" w:hAnsi="Times New Roman" w:cs="Times New Roman"/>
          <w:color w:val="FF0000"/>
          <w:sz w:val="24"/>
          <w:szCs w:val="24"/>
          <w:shd w:val="clear" w:color="auto" w:fill="FFFFFF"/>
          <w:lang w:val="fr-FR"/>
        </w:rPr>
        <w:t>Today</w:t>
      </w:r>
      <w:proofErr w:type="spellEnd"/>
      <w:r w:rsidRPr="000D6907">
        <w:rPr>
          <w:rFonts w:ascii="Times New Roman" w:hAnsi="Times New Roman" w:cs="Times New Roman"/>
          <w:color w:val="FF0000"/>
          <w:sz w:val="24"/>
          <w:szCs w:val="24"/>
          <w:shd w:val="clear" w:color="auto" w:fill="FFFFFF"/>
          <w:lang w:val="fr-FR"/>
        </w:rPr>
        <w:t xml:space="preserve"> I </w:t>
      </w:r>
      <w:proofErr w:type="spellStart"/>
      <w:r w:rsidRPr="000D6907">
        <w:rPr>
          <w:rFonts w:ascii="Times New Roman" w:hAnsi="Times New Roman" w:cs="Times New Roman"/>
          <w:color w:val="FF0000"/>
          <w:sz w:val="24"/>
          <w:szCs w:val="24"/>
          <w:shd w:val="clear" w:color="auto" w:fill="FFFFFF"/>
          <w:lang w:val="fr-FR"/>
        </w:rPr>
        <w:t>got</w:t>
      </w:r>
      <w:proofErr w:type="spellEnd"/>
      <w:r w:rsidRPr="000D6907">
        <w:rPr>
          <w:rFonts w:ascii="Times New Roman" w:hAnsi="Times New Roman" w:cs="Times New Roman"/>
          <w:color w:val="FF0000"/>
          <w:sz w:val="24"/>
          <w:szCs w:val="24"/>
          <w:shd w:val="clear" w:color="auto" w:fill="FFFFFF"/>
          <w:lang w:val="fr-FR"/>
        </w:rPr>
        <w:t xml:space="preserve"> a million, </w:t>
      </w:r>
      <w:proofErr w:type="spellStart"/>
      <w:r w:rsidRPr="000D6907">
        <w:rPr>
          <w:rFonts w:ascii="Times New Roman" w:hAnsi="Times New Roman" w:cs="Times New Roman"/>
          <w:color w:val="FF0000"/>
          <w:sz w:val="24"/>
          <w:szCs w:val="24"/>
          <w:shd w:val="clear" w:color="auto" w:fill="FFFFFF"/>
          <w:lang w:val="fr-FR"/>
        </w:rPr>
        <w:t>tomorrow</w:t>
      </w:r>
      <w:proofErr w:type="spellEnd"/>
      <w:r w:rsidRPr="000D6907">
        <w:rPr>
          <w:rFonts w:ascii="Times New Roman" w:hAnsi="Times New Roman" w:cs="Times New Roman"/>
          <w:color w:val="FF0000"/>
          <w:sz w:val="24"/>
          <w:szCs w:val="24"/>
          <w:shd w:val="clear" w:color="auto" w:fill="FFFFFF"/>
          <w:lang w:val="fr-FR"/>
        </w:rPr>
        <w:t xml:space="preserve">, I </w:t>
      </w:r>
      <w:proofErr w:type="spellStart"/>
      <w:r w:rsidRPr="000D6907">
        <w:rPr>
          <w:rFonts w:ascii="Times New Roman" w:hAnsi="Times New Roman" w:cs="Times New Roman"/>
          <w:color w:val="FF0000"/>
          <w:sz w:val="24"/>
          <w:szCs w:val="24"/>
          <w:shd w:val="clear" w:color="auto" w:fill="FFFFFF"/>
          <w:lang w:val="fr-FR"/>
        </w:rPr>
        <w:t>don</w:t>
      </w:r>
      <w:r w:rsidR="00A14BC0">
        <w:rPr>
          <w:rFonts w:ascii="Times New Roman" w:hAnsi="Times New Roman" w:cs="Times New Roman"/>
          <w:color w:val="FF0000"/>
          <w:sz w:val="24"/>
          <w:szCs w:val="24"/>
          <w:shd w:val="clear" w:color="auto" w:fill="FFFFFF"/>
          <w:lang w:val="fr-FR"/>
        </w:rPr>
        <w:t>’</w:t>
      </w:r>
      <w:r w:rsidRPr="000D6907">
        <w:rPr>
          <w:rFonts w:ascii="Times New Roman" w:hAnsi="Times New Roman" w:cs="Times New Roman"/>
          <w:color w:val="FF0000"/>
          <w:sz w:val="24"/>
          <w:szCs w:val="24"/>
          <w:shd w:val="clear" w:color="auto" w:fill="FFFFFF"/>
          <w:lang w:val="fr-FR"/>
        </w:rPr>
        <w:t>t</w:t>
      </w:r>
      <w:proofErr w:type="spellEnd"/>
      <w:r w:rsidRPr="000D6907">
        <w:rPr>
          <w:rFonts w:ascii="Times New Roman" w:hAnsi="Times New Roman" w:cs="Times New Roman"/>
          <w:color w:val="FF0000"/>
          <w:sz w:val="24"/>
          <w:szCs w:val="24"/>
          <w:shd w:val="clear" w:color="auto" w:fill="FFFFFF"/>
          <w:lang w:val="fr-FR"/>
        </w:rPr>
        <w:t xml:space="preserve"> know: on the </w:t>
      </w:r>
      <w:proofErr w:type="spellStart"/>
      <w:r w:rsidRPr="000D6907">
        <w:rPr>
          <w:rFonts w:ascii="Times New Roman" w:hAnsi="Times New Roman" w:cs="Times New Roman"/>
          <w:color w:val="FF0000"/>
          <w:sz w:val="24"/>
          <w:szCs w:val="24"/>
          <w:shd w:val="clear" w:color="auto" w:fill="FFFFFF"/>
          <w:lang w:val="fr-FR"/>
        </w:rPr>
        <w:t>predictability</w:t>
      </w:r>
      <w:proofErr w:type="spellEnd"/>
      <w:r w:rsidRPr="000D6907">
        <w:rPr>
          <w:rFonts w:ascii="Times New Roman" w:hAnsi="Times New Roman" w:cs="Times New Roman"/>
          <w:color w:val="FF0000"/>
          <w:sz w:val="24"/>
          <w:szCs w:val="24"/>
          <w:shd w:val="clear" w:color="auto" w:fill="FFFFFF"/>
          <w:lang w:val="fr-FR"/>
        </w:rPr>
        <w:t xml:space="preserve"> of </w:t>
      </w:r>
      <w:proofErr w:type="spellStart"/>
      <w:r w:rsidRPr="000D6907">
        <w:rPr>
          <w:rFonts w:ascii="Times New Roman" w:hAnsi="Times New Roman" w:cs="Times New Roman"/>
          <w:color w:val="FF0000"/>
          <w:sz w:val="24"/>
          <w:szCs w:val="24"/>
          <w:shd w:val="clear" w:color="auto" w:fill="FFFFFF"/>
          <w:lang w:val="fr-FR"/>
        </w:rPr>
        <w:t>cryptocurrencies</w:t>
      </w:r>
      <w:proofErr w:type="spellEnd"/>
      <w:r w:rsidRPr="000D6907">
        <w:rPr>
          <w:rFonts w:ascii="Times New Roman" w:hAnsi="Times New Roman" w:cs="Times New Roman"/>
          <w:color w:val="FF0000"/>
          <w:sz w:val="24"/>
          <w:szCs w:val="24"/>
          <w:shd w:val="clear" w:color="auto" w:fill="FFFFFF"/>
          <w:lang w:val="fr-FR"/>
        </w:rPr>
        <w:t xml:space="preserve"> by </w:t>
      </w:r>
      <w:proofErr w:type="spellStart"/>
      <w:r w:rsidRPr="000D6907">
        <w:rPr>
          <w:rFonts w:ascii="Times New Roman" w:hAnsi="Times New Roman" w:cs="Times New Roman"/>
          <w:color w:val="FF0000"/>
          <w:sz w:val="24"/>
          <w:szCs w:val="24"/>
          <w:shd w:val="clear" w:color="auto" w:fill="FFFFFF"/>
          <w:lang w:val="fr-FR"/>
        </w:rPr>
        <w:t>means</w:t>
      </w:r>
      <w:proofErr w:type="spellEnd"/>
      <w:r w:rsidRPr="000D6907">
        <w:rPr>
          <w:rFonts w:ascii="Times New Roman" w:hAnsi="Times New Roman" w:cs="Times New Roman"/>
          <w:color w:val="FF0000"/>
          <w:sz w:val="24"/>
          <w:szCs w:val="24"/>
          <w:shd w:val="clear" w:color="auto" w:fill="FFFFFF"/>
          <w:lang w:val="fr-FR"/>
        </w:rPr>
        <w:t xml:space="preserve"> of Google </w:t>
      </w:r>
      <w:proofErr w:type="spellStart"/>
      <w:r w:rsidRPr="000D6907">
        <w:rPr>
          <w:rFonts w:ascii="Times New Roman" w:hAnsi="Times New Roman" w:cs="Times New Roman"/>
          <w:color w:val="FF0000"/>
          <w:sz w:val="24"/>
          <w:szCs w:val="24"/>
          <w:shd w:val="clear" w:color="auto" w:fill="FFFFFF"/>
          <w:lang w:val="fr-FR"/>
        </w:rPr>
        <w:t>search</w:t>
      </w:r>
      <w:proofErr w:type="spellEnd"/>
      <w:r w:rsidRPr="000D6907">
        <w:rPr>
          <w:rFonts w:ascii="Times New Roman" w:hAnsi="Times New Roman" w:cs="Times New Roman"/>
          <w:color w:val="FF0000"/>
          <w:sz w:val="24"/>
          <w:szCs w:val="24"/>
          <w:shd w:val="clear" w:color="auto" w:fill="FFFFFF"/>
          <w:lang w:val="fr-FR"/>
        </w:rPr>
        <w:t xml:space="preserve"> volume. </w:t>
      </w:r>
      <w:r w:rsidRPr="00C7417E">
        <w:rPr>
          <w:rFonts w:ascii="Times New Roman" w:hAnsi="Times New Roman" w:cs="Times New Roman"/>
          <w:i/>
          <w:color w:val="FF0000"/>
          <w:sz w:val="24"/>
          <w:szCs w:val="24"/>
          <w:shd w:val="clear" w:color="auto" w:fill="FFFFFF"/>
          <w:lang w:val="fr-FR"/>
        </w:rPr>
        <w:t xml:space="preserve">International </w:t>
      </w:r>
      <w:proofErr w:type="spellStart"/>
      <w:r w:rsidRPr="00C7417E">
        <w:rPr>
          <w:rFonts w:ascii="Times New Roman" w:hAnsi="Times New Roman" w:cs="Times New Roman"/>
          <w:i/>
          <w:color w:val="FF0000"/>
          <w:sz w:val="24"/>
          <w:szCs w:val="24"/>
          <w:shd w:val="clear" w:color="auto" w:fill="FFFFFF"/>
          <w:lang w:val="fr-FR"/>
        </w:rPr>
        <w:t>Review</w:t>
      </w:r>
      <w:proofErr w:type="spellEnd"/>
      <w:r w:rsidRPr="00C7417E">
        <w:rPr>
          <w:rFonts w:ascii="Times New Roman" w:hAnsi="Times New Roman" w:cs="Times New Roman"/>
          <w:i/>
          <w:color w:val="FF0000"/>
          <w:sz w:val="24"/>
          <w:szCs w:val="24"/>
          <w:shd w:val="clear" w:color="auto" w:fill="FFFFFF"/>
          <w:lang w:val="fr-FR"/>
        </w:rPr>
        <w:t xml:space="preserve"> of Financial </w:t>
      </w:r>
      <w:proofErr w:type="spellStart"/>
      <w:r w:rsidRPr="00C7417E">
        <w:rPr>
          <w:rFonts w:ascii="Times New Roman" w:hAnsi="Times New Roman" w:cs="Times New Roman"/>
          <w:i/>
          <w:color w:val="FF0000"/>
          <w:sz w:val="24"/>
          <w:szCs w:val="24"/>
          <w:shd w:val="clear" w:color="auto" w:fill="FFFFFF"/>
          <w:lang w:val="fr-FR"/>
        </w:rPr>
        <w:t>Analysis</w:t>
      </w:r>
      <w:proofErr w:type="spellEnd"/>
      <w:r w:rsidRPr="00C7417E">
        <w:rPr>
          <w:rFonts w:ascii="Times New Roman" w:hAnsi="Times New Roman" w:cs="Times New Roman"/>
          <w:i/>
          <w:color w:val="FF0000"/>
          <w:sz w:val="24"/>
          <w:szCs w:val="24"/>
          <w:shd w:val="clear" w:color="auto" w:fill="FFFFFF"/>
          <w:lang w:val="fr-FR"/>
        </w:rPr>
        <w:t>, 63,</w:t>
      </w:r>
      <w:r w:rsidRPr="000D6907">
        <w:rPr>
          <w:rFonts w:ascii="Times New Roman" w:hAnsi="Times New Roman" w:cs="Times New Roman"/>
          <w:color w:val="FF0000"/>
          <w:sz w:val="24"/>
          <w:szCs w:val="24"/>
          <w:shd w:val="clear" w:color="auto" w:fill="FFFFFF"/>
          <w:lang w:val="fr-FR"/>
        </w:rPr>
        <w:t xml:space="preserve"> 147-159.</w:t>
      </w:r>
    </w:p>
    <w:p w14:paraId="1619C9A6"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Bouoiyour</w:t>
      </w:r>
      <w:proofErr w:type="spellEnd"/>
      <w:r w:rsidRPr="00CF23CD">
        <w:rPr>
          <w:rFonts w:ascii="Times New Roman" w:hAnsi="Times New Roman" w:cs="Times New Roman"/>
          <w:color w:val="222222"/>
          <w:sz w:val="24"/>
          <w:szCs w:val="24"/>
          <w:shd w:val="clear" w:color="auto" w:fill="FFFFFF"/>
        </w:rPr>
        <w:t xml:space="preserve">, J., &amp; </w:t>
      </w:r>
      <w:proofErr w:type="spellStart"/>
      <w:r w:rsidRPr="00CF23CD">
        <w:rPr>
          <w:rFonts w:ascii="Times New Roman" w:hAnsi="Times New Roman" w:cs="Times New Roman"/>
          <w:color w:val="222222"/>
          <w:sz w:val="24"/>
          <w:szCs w:val="24"/>
          <w:shd w:val="clear" w:color="auto" w:fill="FFFFFF"/>
        </w:rPr>
        <w:t>Selmi</w:t>
      </w:r>
      <w:proofErr w:type="spellEnd"/>
      <w:r w:rsidRPr="00CF23CD">
        <w:rPr>
          <w:rFonts w:ascii="Times New Roman" w:hAnsi="Times New Roman" w:cs="Times New Roman"/>
          <w:color w:val="222222"/>
          <w:sz w:val="24"/>
          <w:szCs w:val="24"/>
          <w:shd w:val="clear" w:color="auto" w:fill="FFFFFF"/>
        </w:rPr>
        <w:t>, R. (2015). Bitcoin price: Is it really that new round of volatility can be on way</w:t>
      </w:r>
      <w:proofErr w:type="gramStart"/>
      <w:r w:rsidRPr="00CF23CD">
        <w:rPr>
          <w:rFonts w:ascii="Times New Roman" w:hAnsi="Times New Roman" w:cs="Times New Roman"/>
          <w:color w:val="222222"/>
          <w:sz w:val="24"/>
          <w:szCs w:val="24"/>
          <w:shd w:val="clear" w:color="auto" w:fill="FFFFFF"/>
        </w:rPr>
        <w:t>?.</w:t>
      </w:r>
      <w:proofErr w:type="gramEnd"/>
    </w:p>
    <w:p w14:paraId="76599614"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83530">
        <w:rPr>
          <w:rFonts w:ascii="Times New Roman" w:hAnsi="Times New Roman" w:cs="Times New Roman"/>
          <w:color w:val="222222"/>
          <w:sz w:val="24"/>
          <w:szCs w:val="24"/>
          <w:shd w:val="clear" w:color="auto" w:fill="FFFFFF"/>
          <w:lang w:val="fr-FR"/>
        </w:rPr>
        <w:t>Bouri</w:t>
      </w:r>
      <w:proofErr w:type="spellEnd"/>
      <w:r w:rsidRPr="00C83530">
        <w:rPr>
          <w:rFonts w:ascii="Times New Roman" w:hAnsi="Times New Roman" w:cs="Times New Roman"/>
          <w:color w:val="222222"/>
          <w:sz w:val="24"/>
          <w:szCs w:val="24"/>
          <w:shd w:val="clear" w:color="auto" w:fill="FFFFFF"/>
          <w:lang w:val="fr-FR"/>
        </w:rPr>
        <w:t xml:space="preserve">, E., </w:t>
      </w:r>
      <w:proofErr w:type="spellStart"/>
      <w:r w:rsidRPr="00C83530">
        <w:rPr>
          <w:rFonts w:ascii="Times New Roman" w:hAnsi="Times New Roman" w:cs="Times New Roman"/>
          <w:color w:val="222222"/>
          <w:sz w:val="24"/>
          <w:szCs w:val="24"/>
          <w:shd w:val="clear" w:color="auto" w:fill="FFFFFF"/>
          <w:lang w:val="fr-FR"/>
        </w:rPr>
        <w:t>Das</w:t>
      </w:r>
      <w:proofErr w:type="spellEnd"/>
      <w:r w:rsidRPr="00C83530">
        <w:rPr>
          <w:rFonts w:ascii="Times New Roman" w:hAnsi="Times New Roman" w:cs="Times New Roman"/>
          <w:color w:val="222222"/>
          <w:sz w:val="24"/>
          <w:szCs w:val="24"/>
          <w:shd w:val="clear" w:color="auto" w:fill="FFFFFF"/>
          <w:lang w:val="fr-FR"/>
        </w:rPr>
        <w:t xml:space="preserve">, M., Gupta, R., &amp; Roubaud, D. (2018). </w:t>
      </w:r>
      <w:r w:rsidRPr="00CF23CD">
        <w:rPr>
          <w:rFonts w:ascii="Times New Roman" w:hAnsi="Times New Roman" w:cs="Times New Roman"/>
          <w:color w:val="222222"/>
          <w:sz w:val="24"/>
          <w:szCs w:val="24"/>
          <w:shd w:val="clear" w:color="auto" w:fill="FFFFFF"/>
        </w:rPr>
        <w:t>Spillovers between Bitcoin and other assets during bear and bull markets. </w:t>
      </w:r>
      <w:r w:rsidRPr="00CF23CD">
        <w:rPr>
          <w:rFonts w:ascii="Times New Roman" w:hAnsi="Times New Roman" w:cs="Times New Roman"/>
          <w:i/>
          <w:iCs/>
          <w:color w:val="222222"/>
          <w:sz w:val="24"/>
          <w:szCs w:val="24"/>
          <w:shd w:val="clear" w:color="auto" w:fill="FFFFFF"/>
        </w:rPr>
        <w:t>Applied Economics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50</w:t>
      </w:r>
      <w:r w:rsidRPr="00CF23CD">
        <w:rPr>
          <w:rFonts w:ascii="Times New Roman" w:hAnsi="Times New Roman" w:cs="Times New Roman"/>
          <w:color w:val="222222"/>
          <w:sz w:val="24"/>
          <w:szCs w:val="24"/>
          <w:shd w:val="clear" w:color="auto" w:fill="FFFFFF"/>
        </w:rPr>
        <w:t>(55), 5935-5949.</w:t>
      </w:r>
    </w:p>
    <w:p w14:paraId="65DF86FB" w14:textId="77777777" w:rsidR="000D6907"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Bouri</w:t>
      </w:r>
      <w:proofErr w:type="spellEnd"/>
      <w:r w:rsidRPr="00CF23CD">
        <w:rPr>
          <w:rFonts w:ascii="Times New Roman" w:hAnsi="Times New Roman" w:cs="Times New Roman"/>
          <w:color w:val="222222"/>
          <w:sz w:val="24"/>
          <w:szCs w:val="24"/>
          <w:shd w:val="clear" w:color="auto" w:fill="FFFFFF"/>
        </w:rPr>
        <w:t xml:space="preserve">, E., Gupta, R., &amp; </w:t>
      </w:r>
      <w:proofErr w:type="spellStart"/>
      <w:r w:rsidRPr="00CF23CD">
        <w:rPr>
          <w:rFonts w:ascii="Times New Roman" w:hAnsi="Times New Roman" w:cs="Times New Roman"/>
          <w:color w:val="222222"/>
          <w:sz w:val="24"/>
          <w:szCs w:val="24"/>
          <w:shd w:val="clear" w:color="auto" w:fill="FFFFFF"/>
        </w:rPr>
        <w:t>Roubaud</w:t>
      </w:r>
      <w:proofErr w:type="spellEnd"/>
      <w:r w:rsidRPr="00CF23CD">
        <w:rPr>
          <w:rFonts w:ascii="Times New Roman" w:hAnsi="Times New Roman" w:cs="Times New Roman"/>
          <w:color w:val="222222"/>
          <w:sz w:val="24"/>
          <w:szCs w:val="24"/>
          <w:shd w:val="clear" w:color="auto" w:fill="FFFFFF"/>
        </w:rPr>
        <w:t xml:space="preserve">, D. (2019). Herding </w:t>
      </w:r>
      <w:proofErr w:type="spellStart"/>
      <w:r w:rsidRPr="00CF23CD">
        <w:rPr>
          <w:rFonts w:ascii="Times New Roman" w:hAnsi="Times New Roman" w:cs="Times New Roman"/>
          <w:color w:val="222222"/>
          <w:sz w:val="24"/>
          <w:szCs w:val="24"/>
          <w:shd w:val="clear" w:color="auto" w:fill="FFFFFF"/>
        </w:rPr>
        <w:t>behaviour</w:t>
      </w:r>
      <w:proofErr w:type="spellEnd"/>
      <w:r w:rsidRPr="00CF23CD">
        <w:rPr>
          <w:rFonts w:ascii="Times New Roman" w:hAnsi="Times New Roman" w:cs="Times New Roman"/>
          <w:color w:val="222222"/>
          <w:sz w:val="24"/>
          <w:szCs w:val="24"/>
          <w:shd w:val="clear" w:color="auto" w:fill="FFFFFF"/>
        </w:rPr>
        <w:t xml:space="preserve"> in cryptocurrencies.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29</w:t>
      </w:r>
      <w:r w:rsidRPr="00CF23CD">
        <w:rPr>
          <w:rFonts w:ascii="Times New Roman" w:hAnsi="Times New Roman" w:cs="Times New Roman"/>
          <w:color w:val="222222"/>
          <w:sz w:val="24"/>
          <w:szCs w:val="24"/>
          <w:shd w:val="clear" w:color="auto" w:fill="FFFFFF"/>
        </w:rPr>
        <w:t>, 216-221.</w:t>
      </w:r>
    </w:p>
    <w:p w14:paraId="4B4A45FE" w14:textId="77777777" w:rsidR="000D6907" w:rsidRPr="0025234B"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proofErr w:type="gramStart"/>
      <w:r w:rsidRPr="0025234B">
        <w:rPr>
          <w:rFonts w:ascii="Times New Roman" w:hAnsi="Times New Roman" w:cs="Times New Roman"/>
          <w:color w:val="222222"/>
          <w:sz w:val="24"/>
          <w:szCs w:val="24"/>
          <w:shd w:val="clear" w:color="auto" w:fill="FFFFFF"/>
        </w:rPr>
        <w:t>Cai</w:t>
      </w:r>
      <w:proofErr w:type="spellEnd"/>
      <w:proofErr w:type="gramEnd"/>
      <w:r w:rsidRPr="0025234B">
        <w:rPr>
          <w:rFonts w:ascii="Times New Roman" w:hAnsi="Times New Roman" w:cs="Times New Roman"/>
          <w:color w:val="222222"/>
          <w:sz w:val="24"/>
          <w:szCs w:val="24"/>
          <w:shd w:val="clear" w:color="auto" w:fill="FFFFFF"/>
        </w:rPr>
        <w:t>, Z., Liu, A. F., Lim, E. T., Tan, C. W., &amp; Zheng, Z. (2018). Unraveling the effects of Google search on volatility of cryptocurrencies. In </w:t>
      </w:r>
      <w:r w:rsidRPr="0025234B">
        <w:rPr>
          <w:rFonts w:ascii="Times New Roman" w:hAnsi="Times New Roman" w:cs="Times New Roman"/>
          <w:i/>
          <w:iCs/>
          <w:color w:val="222222"/>
          <w:sz w:val="24"/>
          <w:szCs w:val="24"/>
          <w:shd w:val="clear" w:color="auto" w:fill="FFFFFF"/>
        </w:rPr>
        <w:t xml:space="preserve">Proceedings of the 39th International Conference </w:t>
      </w:r>
      <w:r w:rsidRPr="0025234B">
        <w:rPr>
          <w:rFonts w:ascii="Times New Roman" w:hAnsi="Times New Roman" w:cs="Times New Roman"/>
          <w:i/>
          <w:iCs/>
          <w:color w:val="222222"/>
          <w:sz w:val="24"/>
          <w:szCs w:val="24"/>
          <w:shd w:val="clear" w:color="auto" w:fill="FFFFFF"/>
        </w:rPr>
        <w:lastRenderedPageBreak/>
        <w:t>on Information Systems (ICIS)</w:t>
      </w:r>
      <w:r w:rsidRPr="0025234B">
        <w:rPr>
          <w:rFonts w:ascii="Times New Roman" w:hAnsi="Times New Roman" w:cs="Times New Roman"/>
          <w:color w:val="222222"/>
          <w:sz w:val="24"/>
          <w:szCs w:val="24"/>
          <w:shd w:val="clear" w:color="auto" w:fill="FFFFFF"/>
        </w:rPr>
        <w:t>. Association for Information Systems. AIS Electronic Library (</w:t>
      </w:r>
      <w:proofErr w:type="spellStart"/>
      <w:r w:rsidRPr="0025234B">
        <w:rPr>
          <w:rFonts w:ascii="Times New Roman" w:hAnsi="Times New Roman" w:cs="Times New Roman"/>
          <w:color w:val="222222"/>
          <w:sz w:val="24"/>
          <w:szCs w:val="24"/>
          <w:shd w:val="clear" w:color="auto" w:fill="FFFFFF"/>
        </w:rPr>
        <w:t>AISeL</w:t>
      </w:r>
      <w:proofErr w:type="spellEnd"/>
      <w:r w:rsidRPr="0025234B">
        <w:rPr>
          <w:rFonts w:ascii="Times New Roman" w:hAnsi="Times New Roman" w:cs="Times New Roman"/>
          <w:color w:val="222222"/>
          <w:sz w:val="24"/>
          <w:szCs w:val="24"/>
          <w:shd w:val="clear" w:color="auto" w:fill="FFFFFF"/>
        </w:rPr>
        <w:t>).</w:t>
      </w:r>
    </w:p>
    <w:p w14:paraId="7B6BEFF2" w14:textId="77777777" w:rsidR="000D6907" w:rsidRPr="000D6907" w:rsidRDefault="000D6907" w:rsidP="000D6907">
      <w:pPr>
        <w:tabs>
          <w:tab w:val="left" w:pos="270"/>
        </w:tabs>
        <w:ind w:left="360" w:hanging="360"/>
        <w:jc w:val="both"/>
        <w:rPr>
          <w:rFonts w:ascii="Times New Roman" w:hAnsi="Times New Roman" w:cs="Times New Roman"/>
          <w:color w:val="FF0000"/>
          <w:sz w:val="24"/>
          <w:szCs w:val="24"/>
          <w:shd w:val="clear" w:color="auto" w:fill="FFFFFF"/>
          <w:lang w:val="fr-FR"/>
        </w:rPr>
      </w:pPr>
      <w:r w:rsidRPr="000D6907">
        <w:rPr>
          <w:rFonts w:ascii="Times New Roman" w:hAnsi="Times New Roman" w:cs="Times New Roman"/>
          <w:color w:val="FF0000"/>
          <w:sz w:val="24"/>
          <w:szCs w:val="24"/>
          <w:shd w:val="clear" w:color="auto" w:fill="FFFFFF"/>
          <w:lang w:val="fr-FR"/>
        </w:rPr>
        <w:t xml:space="preserve">Cavalli, S., &amp; </w:t>
      </w:r>
      <w:proofErr w:type="spellStart"/>
      <w:r w:rsidRPr="000D6907">
        <w:rPr>
          <w:rFonts w:ascii="Times New Roman" w:hAnsi="Times New Roman" w:cs="Times New Roman"/>
          <w:color w:val="FF0000"/>
          <w:sz w:val="24"/>
          <w:szCs w:val="24"/>
          <w:shd w:val="clear" w:color="auto" w:fill="FFFFFF"/>
          <w:lang w:val="fr-FR"/>
        </w:rPr>
        <w:t>Amoretti</w:t>
      </w:r>
      <w:proofErr w:type="spellEnd"/>
      <w:r w:rsidRPr="000D6907">
        <w:rPr>
          <w:rFonts w:ascii="Times New Roman" w:hAnsi="Times New Roman" w:cs="Times New Roman"/>
          <w:color w:val="FF0000"/>
          <w:sz w:val="24"/>
          <w:szCs w:val="24"/>
          <w:shd w:val="clear" w:color="auto" w:fill="FFFFFF"/>
          <w:lang w:val="fr-FR"/>
        </w:rPr>
        <w:t>, M. (2021). CNN-</w:t>
      </w:r>
      <w:proofErr w:type="spellStart"/>
      <w:r w:rsidRPr="000D6907">
        <w:rPr>
          <w:rFonts w:ascii="Times New Roman" w:hAnsi="Times New Roman" w:cs="Times New Roman"/>
          <w:color w:val="FF0000"/>
          <w:sz w:val="24"/>
          <w:szCs w:val="24"/>
          <w:shd w:val="clear" w:color="auto" w:fill="FFFFFF"/>
          <w:lang w:val="fr-FR"/>
        </w:rPr>
        <w:t>based</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multivariate</w:t>
      </w:r>
      <w:proofErr w:type="spellEnd"/>
      <w:r w:rsidRPr="000D6907">
        <w:rPr>
          <w:rFonts w:ascii="Times New Roman" w:hAnsi="Times New Roman" w:cs="Times New Roman"/>
          <w:color w:val="FF0000"/>
          <w:sz w:val="24"/>
          <w:szCs w:val="24"/>
          <w:shd w:val="clear" w:color="auto" w:fill="FFFFFF"/>
          <w:lang w:val="fr-FR"/>
        </w:rPr>
        <w:t xml:space="preserve"> data </w:t>
      </w:r>
      <w:proofErr w:type="spellStart"/>
      <w:r w:rsidRPr="000D6907">
        <w:rPr>
          <w:rFonts w:ascii="Times New Roman" w:hAnsi="Times New Roman" w:cs="Times New Roman"/>
          <w:color w:val="FF0000"/>
          <w:sz w:val="24"/>
          <w:szCs w:val="24"/>
          <w:shd w:val="clear" w:color="auto" w:fill="FFFFFF"/>
          <w:lang w:val="fr-FR"/>
        </w:rPr>
        <w:t>analysis</w:t>
      </w:r>
      <w:proofErr w:type="spellEnd"/>
      <w:r w:rsidRPr="000D6907">
        <w:rPr>
          <w:rFonts w:ascii="Times New Roman" w:hAnsi="Times New Roman" w:cs="Times New Roman"/>
          <w:color w:val="FF0000"/>
          <w:sz w:val="24"/>
          <w:szCs w:val="24"/>
          <w:shd w:val="clear" w:color="auto" w:fill="FFFFFF"/>
          <w:lang w:val="fr-FR"/>
        </w:rPr>
        <w:t xml:space="preserve"> for bitcoin trend </w:t>
      </w:r>
      <w:proofErr w:type="spellStart"/>
      <w:r w:rsidRPr="000D6907">
        <w:rPr>
          <w:rFonts w:ascii="Times New Roman" w:hAnsi="Times New Roman" w:cs="Times New Roman"/>
          <w:color w:val="FF0000"/>
          <w:sz w:val="24"/>
          <w:szCs w:val="24"/>
          <w:shd w:val="clear" w:color="auto" w:fill="FFFFFF"/>
          <w:lang w:val="fr-FR"/>
        </w:rPr>
        <w:t>prediction</w:t>
      </w:r>
      <w:proofErr w:type="spellEnd"/>
      <w:r w:rsidRPr="000D6907">
        <w:rPr>
          <w:rFonts w:ascii="Times New Roman" w:hAnsi="Times New Roman" w:cs="Times New Roman"/>
          <w:color w:val="FF0000"/>
          <w:sz w:val="24"/>
          <w:szCs w:val="24"/>
          <w:shd w:val="clear" w:color="auto" w:fill="FFFFFF"/>
          <w:lang w:val="fr-FR"/>
        </w:rPr>
        <w:t>. </w:t>
      </w:r>
      <w:proofErr w:type="spellStart"/>
      <w:r w:rsidRPr="00C7417E">
        <w:rPr>
          <w:rFonts w:ascii="Times New Roman" w:hAnsi="Times New Roman" w:cs="Times New Roman"/>
          <w:i/>
          <w:color w:val="FF0000"/>
          <w:sz w:val="24"/>
          <w:szCs w:val="24"/>
          <w:shd w:val="clear" w:color="auto" w:fill="FFFFFF"/>
          <w:lang w:val="fr-FR"/>
        </w:rPr>
        <w:t>Applied</w:t>
      </w:r>
      <w:proofErr w:type="spellEnd"/>
      <w:r w:rsidRPr="00C7417E">
        <w:rPr>
          <w:rFonts w:ascii="Times New Roman" w:hAnsi="Times New Roman" w:cs="Times New Roman"/>
          <w:i/>
          <w:color w:val="FF0000"/>
          <w:sz w:val="24"/>
          <w:szCs w:val="24"/>
          <w:shd w:val="clear" w:color="auto" w:fill="FFFFFF"/>
          <w:lang w:val="fr-FR"/>
        </w:rPr>
        <w:t xml:space="preserve"> Soft </w:t>
      </w:r>
      <w:proofErr w:type="spellStart"/>
      <w:r w:rsidRPr="00C7417E">
        <w:rPr>
          <w:rFonts w:ascii="Times New Roman" w:hAnsi="Times New Roman" w:cs="Times New Roman"/>
          <w:i/>
          <w:color w:val="FF0000"/>
          <w:sz w:val="24"/>
          <w:szCs w:val="24"/>
          <w:shd w:val="clear" w:color="auto" w:fill="FFFFFF"/>
          <w:lang w:val="fr-FR"/>
        </w:rPr>
        <w:t>Computing</w:t>
      </w:r>
      <w:proofErr w:type="spellEnd"/>
      <w:r w:rsidRPr="00C7417E">
        <w:rPr>
          <w:rFonts w:ascii="Times New Roman" w:hAnsi="Times New Roman" w:cs="Times New Roman"/>
          <w:i/>
          <w:color w:val="FF0000"/>
          <w:sz w:val="24"/>
          <w:szCs w:val="24"/>
          <w:shd w:val="clear" w:color="auto" w:fill="FFFFFF"/>
          <w:lang w:val="fr-FR"/>
        </w:rPr>
        <w:t>, 101,</w:t>
      </w:r>
      <w:r w:rsidRPr="000D6907">
        <w:rPr>
          <w:rFonts w:ascii="Times New Roman" w:hAnsi="Times New Roman" w:cs="Times New Roman"/>
          <w:color w:val="FF0000"/>
          <w:sz w:val="24"/>
          <w:szCs w:val="24"/>
          <w:shd w:val="clear" w:color="auto" w:fill="FFFFFF"/>
          <w:lang w:val="fr-FR"/>
        </w:rPr>
        <w:t xml:space="preserve"> 107065.</w:t>
      </w:r>
    </w:p>
    <w:p w14:paraId="76E10C79"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Cheah</w:t>
      </w:r>
      <w:proofErr w:type="spellEnd"/>
      <w:r w:rsidRPr="00CF23CD">
        <w:rPr>
          <w:rFonts w:ascii="Times New Roman" w:hAnsi="Times New Roman" w:cs="Times New Roman"/>
          <w:color w:val="222222"/>
          <w:sz w:val="24"/>
          <w:szCs w:val="24"/>
          <w:shd w:val="clear" w:color="auto" w:fill="FFFFFF"/>
        </w:rPr>
        <w:t>, E. T., &amp; Fry, J. (2015). Speculative bubbles in Bitcoin markets? An empirical investigation into the fundamental value of Bitcoin. </w:t>
      </w:r>
      <w:r w:rsidRPr="00CF23CD">
        <w:rPr>
          <w:rFonts w:ascii="Times New Roman" w:hAnsi="Times New Roman" w:cs="Times New Roman"/>
          <w:i/>
          <w:iCs/>
          <w:color w:val="222222"/>
          <w:sz w:val="24"/>
          <w:szCs w:val="24"/>
          <w:shd w:val="clear" w:color="auto" w:fill="FFFFFF"/>
        </w:rPr>
        <w:t>Economics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130</w:t>
      </w:r>
      <w:r w:rsidRPr="00CF23CD">
        <w:rPr>
          <w:rFonts w:ascii="Times New Roman" w:hAnsi="Times New Roman" w:cs="Times New Roman"/>
          <w:color w:val="222222"/>
          <w:sz w:val="24"/>
          <w:szCs w:val="24"/>
          <w:shd w:val="clear" w:color="auto" w:fill="FFFFFF"/>
        </w:rPr>
        <w:t>, 32-36.</w:t>
      </w:r>
    </w:p>
    <w:p w14:paraId="32A87E03"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83530">
        <w:rPr>
          <w:rFonts w:ascii="Times New Roman" w:hAnsi="Times New Roman" w:cs="Times New Roman"/>
          <w:color w:val="222222"/>
          <w:sz w:val="24"/>
          <w:szCs w:val="24"/>
          <w:shd w:val="clear" w:color="auto" w:fill="FFFFFF"/>
          <w:lang w:val="fr-FR"/>
        </w:rPr>
        <w:t xml:space="preserve">Cheng, H. P., &amp; Yen, K. C. (2019). </w:t>
      </w:r>
      <w:r w:rsidRPr="00CF23CD">
        <w:rPr>
          <w:rFonts w:ascii="Times New Roman" w:hAnsi="Times New Roman" w:cs="Times New Roman"/>
          <w:color w:val="222222"/>
          <w:sz w:val="24"/>
          <w:szCs w:val="24"/>
          <w:shd w:val="clear" w:color="auto" w:fill="FFFFFF"/>
        </w:rPr>
        <w:t xml:space="preserve">Can the Global Economy Activity Predict Cryptocurrency </w:t>
      </w:r>
      <w:proofErr w:type="gramStart"/>
      <w:r w:rsidRPr="00CF23CD">
        <w:rPr>
          <w:rFonts w:ascii="Times New Roman" w:hAnsi="Times New Roman" w:cs="Times New Roman"/>
          <w:color w:val="222222"/>
          <w:sz w:val="24"/>
          <w:szCs w:val="24"/>
          <w:shd w:val="clear" w:color="auto" w:fill="FFFFFF"/>
        </w:rPr>
        <w:t>Returns.</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Available at SSRN 3488987</w:t>
      </w:r>
      <w:r w:rsidRPr="00CF23CD">
        <w:rPr>
          <w:rFonts w:ascii="Times New Roman" w:hAnsi="Times New Roman" w:cs="Times New Roman"/>
          <w:color w:val="222222"/>
          <w:sz w:val="24"/>
          <w:szCs w:val="24"/>
          <w:shd w:val="clear" w:color="auto" w:fill="FFFFFF"/>
        </w:rPr>
        <w:t>.</w:t>
      </w:r>
    </w:p>
    <w:p w14:paraId="04F6FCE7" w14:textId="77777777" w:rsidR="000D6907"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Corbet</w:t>
      </w:r>
      <w:proofErr w:type="spellEnd"/>
      <w:r w:rsidRPr="00CF23CD">
        <w:rPr>
          <w:rFonts w:ascii="Times New Roman" w:hAnsi="Times New Roman" w:cs="Times New Roman"/>
          <w:color w:val="222222"/>
          <w:sz w:val="24"/>
          <w:szCs w:val="24"/>
          <w:shd w:val="clear" w:color="auto" w:fill="FFFFFF"/>
        </w:rPr>
        <w:t xml:space="preserve">, S., </w:t>
      </w:r>
      <w:proofErr w:type="spellStart"/>
      <w:r w:rsidRPr="00CF23CD">
        <w:rPr>
          <w:rFonts w:ascii="Times New Roman" w:hAnsi="Times New Roman" w:cs="Times New Roman"/>
          <w:color w:val="222222"/>
          <w:sz w:val="24"/>
          <w:szCs w:val="24"/>
          <w:shd w:val="clear" w:color="auto" w:fill="FFFFFF"/>
        </w:rPr>
        <w:t>Katsiampa</w:t>
      </w:r>
      <w:proofErr w:type="spellEnd"/>
      <w:r w:rsidRPr="00CF23CD">
        <w:rPr>
          <w:rFonts w:ascii="Times New Roman" w:hAnsi="Times New Roman" w:cs="Times New Roman"/>
          <w:color w:val="222222"/>
          <w:sz w:val="24"/>
          <w:szCs w:val="24"/>
          <w:shd w:val="clear" w:color="auto" w:fill="FFFFFF"/>
        </w:rPr>
        <w:t>, P., &amp; Lau, C. K. M. (2020). Measuring quantile dependence and testing directional predictability between Bitcoin, altcoins and traditional financial assets. </w:t>
      </w:r>
      <w:r w:rsidRPr="00CF23CD">
        <w:rPr>
          <w:rFonts w:ascii="Times New Roman" w:hAnsi="Times New Roman" w:cs="Times New Roman"/>
          <w:i/>
          <w:iCs/>
          <w:color w:val="222222"/>
          <w:sz w:val="24"/>
          <w:szCs w:val="24"/>
          <w:shd w:val="clear" w:color="auto" w:fill="FFFFFF"/>
        </w:rPr>
        <w:t>International Review of Financial Analysis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71</w:t>
      </w:r>
      <w:r w:rsidRPr="00CF23CD">
        <w:rPr>
          <w:rFonts w:ascii="Times New Roman" w:hAnsi="Times New Roman" w:cs="Times New Roman"/>
          <w:color w:val="222222"/>
          <w:sz w:val="24"/>
          <w:szCs w:val="24"/>
          <w:shd w:val="clear" w:color="auto" w:fill="FFFFFF"/>
        </w:rPr>
        <w:t>, 101571.</w:t>
      </w:r>
    </w:p>
    <w:p w14:paraId="1250EC28"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1F3C7D">
        <w:rPr>
          <w:rFonts w:ascii="Times New Roman" w:hAnsi="Times New Roman" w:cs="Times New Roman"/>
          <w:color w:val="222222"/>
          <w:sz w:val="24"/>
          <w:szCs w:val="24"/>
          <w:shd w:val="clear" w:color="auto" w:fill="FFFFFF"/>
        </w:rPr>
        <w:t>Corbet</w:t>
      </w:r>
      <w:proofErr w:type="spellEnd"/>
      <w:r w:rsidRPr="001F3C7D">
        <w:rPr>
          <w:rFonts w:ascii="Times New Roman" w:hAnsi="Times New Roman" w:cs="Times New Roman"/>
          <w:color w:val="222222"/>
          <w:sz w:val="24"/>
          <w:szCs w:val="24"/>
          <w:shd w:val="clear" w:color="auto" w:fill="FFFFFF"/>
        </w:rPr>
        <w:t xml:space="preserve">, S., Larkin, C., Lucey, B., </w:t>
      </w:r>
      <w:proofErr w:type="spellStart"/>
      <w:r w:rsidRPr="001F3C7D">
        <w:rPr>
          <w:rFonts w:ascii="Times New Roman" w:hAnsi="Times New Roman" w:cs="Times New Roman"/>
          <w:color w:val="222222"/>
          <w:sz w:val="24"/>
          <w:szCs w:val="24"/>
          <w:shd w:val="clear" w:color="auto" w:fill="FFFFFF"/>
        </w:rPr>
        <w:t>Meegan</w:t>
      </w:r>
      <w:proofErr w:type="spellEnd"/>
      <w:r w:rsidRPr="001F3C7D">
        <w:rPr>
          <w:rFonts w:ascii="Times New Roman" w:hAnsi="Times New Roman" w:cs="Times New Roman"/>
          <w:color w:val="222222"/>
          <w:sz w:val="24"/>
          <w:szCs w:val="24"/>
          <w:shd w:val="clear" w:color="auto" w:fill="FFFFFF"/>
        </w:rPr>
        <w:t xml:space="preserve">, A., </w:t>
      </w:r>
      <w:proofErr w:type="spellStart"/>
      <w:r w:rsidRPr="001F3C7D">
        <w:rPr>
          <w:rFonts w:ascii="Times New Roman" w:hAnsi="Times New Roman" w:cs="Times New Roman"/>
          <w:color w:val="222222"/>
          <w:sz w:val="24"/>
          <w:szCs w:val="24"/>
          <w:shd w:val="clear" w:color="auto" w:fill="FFFFFF"/>
        </w:rPr>
        <w:t>Yarovaya</w:t>
      </w:r>
      <w:proofErr w:type="spellEnd"/>
      <w:r w:rsidRPr="001F3C7D">
        <w:rPr>
          <w:rFonts w:ascii="Times New Roman" w:hAnsi="Times New Roman" w:cs="Times New Roman"/>
          <w:color w:val="222222"/>
          <w:sz w:val="24"/>
          <w:szCs w:val="24"/>
          <w:shd w:val="clear" w:color="auto" w:fill="FFFFFF"/>
        </w:rPr>
        <w:t xml:space="preserve">, L. (2019). Cryptocurrency Reaction to FOMC Announcements: Evidence of Heterogeneity Based on </w:t>
      </w:r>
      <w:proofErr w:type="spellStart"/>
      <w:r w:rsidRPr="001F3C7D">
        <w:rPr>
          <w:rFonts w:ascii="Times New Roman" w:hAnsi="Times New Roman" w:cs="Times New Roman"/>
          <w:color w:val="222222"/>
          <w:sz w:val="24"/>
          <w:szCs w:val="24"/>
          <w:shd w:val="clear" w:color="auto" w:fill="FFFFFF"/>
        </w:rPr>
        <w:t>Blockchain</w:t>
      </w:r>
      <w:proofErr w:type="spellEnd"/>
      <w:r w:rsidRPr="001F3C7D">
        <w:rPr>
          <w:rFonts w:ascii="Times New Roman" w:hAnsi="Times New Roman" w:cs="Times New Roman"/>
          <w:color w:val="222222"/>
          <w:sz w:val="24"/>
          <w:szCs w:val="24"/>
          <w:shd w:val="clear" w:color="auto" w:fill="FFFFFF"/>
        </w:rPr>
        <w:t xml:space="preserve"> Stack Position. Journal of Financial Stability, https://doi.org/10.1016/j.jfs.2019.100706</w:t>
      </w:r>
    </w:p>
    <w:p w14:paraId="458083E3"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Corbet</w:t>
      </w:r>
      <w:proofErr w:type="spellEnd"/>
      <w:r w:rsidRPr="00CF23CD">
        <w:rPr>
          <w:rFonts w:ascii="Times New Roman" w:hAnsi="Times New Roman" w:cs="Times New Roman"/>
          <w:color w:val="222222"/>
          <w:sz w:val="24"/>
          <w:szCs w:val="24"/>
          <w:shd w:val="clear" w:color="auto" w:fill="FFFFFF"/>
        </w:rPr>
        <w:t xml:space="preserve">, S., Lucey, B., &amp; </w:t>
      </w:r>
      <w:proofErr w:type="spellStart"/>
      <w:r w:rsidRPr="00CF23CD">
        <w:rPr>
          <w:rFonts w:ascii="Times New Roman" w:hAnsi="Times New Roman" w:cs="Times New Roman"/>
          <w:color w:val="222222"/>
          <w:sz w:val="24"/>
          <w:szCs w:val="24"/>
          <w:shd w:val="clear" w:color="auto" w:fill="FFFFFF"/>
        </w:rPr>
        <w:t>Yarovaya</w:t>
      </w:r>
      <w:proofErr w:type="spellEnd"/>
      <w:r w:rsidRPr="00CF23CD">
        <w:rPr>
          <w:rFonts w:ascii="Times New Roman" w:hAnsi="Times New Roman" w:cs="Times New Roman"/>
          <w:color w:val="222222"/>
          <w:sz w:val="24"/>
          <w:szCs w:val="24"/>
          <w:shd w:val="clear" w:color="auto" w:fill="FFFFFF"/>
        </w:rPr>
        <w:t xml:space="preserve">, L. (2018). </w:t>
      </w:r>
      <w:proofErr w:type="spellStart"/>
      <w:r w:rsidRPr="00CF23CD">
        <w:rPr>
          <w:rFonts w:ascii="Times New Roman" w:hAnsi="Times New Roman" w:cs="Times New Roman"/>
          <w:color w:val="222222"/>
          <w:sz w:val="24"/>
          <w:szCs w:val="24"/>
          <w:shd w:val="clear" w:color="auto" w:fill="FFFFFF"/>
        </w:rPr>
        <w:t>Datestamping</w:t>
      </w:r>
      <w:proofErr w:type="spellEnd"/>
      <w:r w:rsidRPr="00CF23CD">
        <w:rPr>
          <w:rFonts w:ascii="Times New Roman" w:hAnsi="Times New Roman" w:cs="Times New Roman"/>
          <w:color w:val="222222"/>
          <w:sz w:val="24"/>
          <w:szCs w:val="24"/>
          <w:shd w:val="clear" w:color="auto" w:fill="FFFFFF"/>
        </w:rPr>
        <w:t xml:space="preserve"> the Bitcoin and </w:t>
      </w:r>
      <w:proofErr w:type="spellStart"/>
      <w:r w:rsidRPr="00CF23CD">
        <w:rPr>
          <w:rFonts w:ascii="Times New Roman" w:hAnsi="Times New Roman" w:cs="Times New Roman"/>
          <w:color w:val="222222"/>
          <w:sz w:val="24"/>
          <w:szCs w:val="24"/>
          <w:shd w:val="clear" w:color="auto" w:fill="FFFFFF"/>
        </w:rPr>
        <w:t>Ethereum</w:t>
      </w:r>
      <w:proofErr w:type="spellEnd"/>
      <w:r w:rsidRPr="00CF23CD">
        <w:rPr>
          <w:rFonts w:ascii="Times New Roman" w:hAnsi="Times New Roman" w:cs="Times New Roman"/>
          <w:color w:val="222222"/>
          <w:sz w:val="24"/>
          <w:szCs w:val="24"/>
          <w:shd w:val="clear" w:color="auto" w:fill="FFFFFF"/>
        </w:rPr>
        <w:t xml:space="preserve"> bubbles.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26</w:t>
      </w:r>
      <w:r w:rsidRPr="00CF23CD">
        <w:rPr>
          <w:rFonts w:ascii="Times New Roman" w:hAnsi="Times New Roman" w:cs="Times New Roman"/>
          <w:color w:val="222222"/>
          <w:sz w:val="24"/>
          <w:szCs w:val="24"/>
          <w:shd w:val="clear" w:color="auto" w:fill="FFFFFF"/>
        </w:rPr>
        <w:t>, 81-88.</w:t>
      </w:r>
    </w:p>
    <w:p w14:paraId="6E506EA2"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D’Amuri</w:t>
      </w:r>
      <w:proofErr w:type="spellEnd"/>
      <w:r w:rsidRPr="00CF23CD">
        <w:rPr>
          <w:rFonts w:ascii="Times New Roman" w:hAnsi="Times New Roman" w:cs="Times New Roman"/>
          <w:color w:val="222222"/>
          <w:sz w:val="24"/>
          <w:szCs w:val="24"/>
          <w:shd w:val="clear" w:color="auto" w:fill="FFFFFF"/>
        </w:rPr>
        <w:t xml:space="preserve">, F., &amp; </w:t>
      </w:r>
      <w:proofErr w:type="spellStart"/>
      <w:r w:rsidRPr="00CF23CD">
        <w:rPr>
          <w:rFonts w:ascii="Times New Roman" w:hAnsi="Times New Roman" w:cs="Times New Roman"/>
          <w:color w:val="222222"/>
          <w:sz w:val="24"/>
          <w:szCs w:val="24"/>
          <w:shd w:val="clear" w:color="auto" w:fill="FFFFFF"/>
        </w:rPr>
        <w:t>Marcucci</w:t>
      </w:r>
      <w:proofErr w:type="spellEnd"/>
      <w:r w:rsidRPr="00CF23CD">
        <w:rPr>
          <w:rFonts w:ascii="Times New Roman" w:hAnsi="Times New Roman" w:cs="Times New Roman"/>
          <w:color w:val="222222"/>
          <w:sz w:val="24"/>
          <w:szCs w:val="24"/>
          <w:shd w:val="clear" w:color="auto" w:fill="FFFFFF"/>
        </w:rPr>
        <w:t>, J. (2017). The predictive power of Google searches in forecasting US unemployment. </w:t>
      </w:r>
      <w:r w:rsidRPr="00CF23CD">
        <w:rPr>
          <w:rFonts w:ascii="Times New Roman" w:hAnsi="Times New Roman" w:cs="Times New Roman"/>
          <w:i/>
          <w:iCs/>
          <w:color w:val="222222"/>
          <w:sz w:val="24"/>
          <w:szCs w:val="24"/>
          <w:shd w:val="clear" w:color="auto" w:fill="FFFFFF"/>
        </w:rPr>
        <w:t>International Journal of Forecasting</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33</w:t>
      </w:r>
      <w:r w:rsidRPr="00CF23CD">
        <w:rPr>
          <w:rFonts w:ascii="Times New Roman" w:hAnsi="Times New Roman" w:cs="Times New Roman"/>
          <w:color w:val="222222"/>
          <w:sz w:val="24"/>
          <w:szCs w:val="24"/>
          <w:shd w:val="clear" w:color="auto" w:fill="FFFFFF"/>
        </w:rPr>
        <w:t>(4), 801-816.</w:t>
      </w:r>
    </w:p>
    <w:p w14:paraId="1EB12E85"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Dastgir</w:t>
      </w:r>
      <w:proofErr w:type="spellEnd"/>
      <w:r w:rsidRPr="00CF23CD">
        <w:rPr>
          <w:rFonts w:ascii="Times New Roman" w:hAnsi="Times New Roman" w:cs="Times New Roman"/>
          <w:color w:val="222222"/>
          <w:sz w:val="24"/>
          <w:szCs w:val="24"/>
          <w:shd w:val="clear" w:color="auto" w:fill="FFFFFF"/>
        </w:rPr>
        <w:t xml:space="preserve">, S., </w:t>
      </w:r>
      <w:proofErr w:type="spellStart"/>
      <w:r w:rsidRPr="00CF23CD">
        <w:rPr>
          <w:rFonts w:ascii="Times New Roman" w:hAnsi="Times New Roman" w:cs="Times New Roman"/>
          <w:color w:val="222222"/>
          <w:sz w:val="24"/>
          <w:szCs w:val="24"/>
          <w:shd w:val="clear" w:color="auto" w:fill="FFFFFF"/>
        </w:rPr>
        <w:t>Demir</w:t>
      </w:r>
      <w:proofErr w:type="spellEnd"/>
      <w:r w:rsidRPr="00CF23CD">
        <w:rPr>
          <w:rFonts w:ascii="Times New Roman" w:hAnsi="Times New Roman" w:cs="Times New Roman"/>
          <w:color w:val="222222"/>
          <w:sz w:val="24"/>
          <w:szCs w:val="24"/>
          <w:shd w:val="clear" w:color="auto" w:fill="FFFFFF"/>
        </w:rPr>
        <w:t xml:space="preserve">, E., Downing, G., </w:t>
      </w:r>
      <w:proofErr w:type="spellStart"/>
      <w:r w:rsidRPr="00CF23CD">
        <w:rPr>
          <w:rFonts w:ascii="Times New Roman" w:hAnsi="Times New Roman" w:cs="Times New Roman"/>
          <w:color w:val="222222"/>
          <w:sz w:val="24"/>
          <w:szCs w:val="24"/>
          <w:shd w:val="clear" w:color="auto" w:fill="FFFFFF"/>
        </w:rPr>
        <w:t>Gozgor</w:t>
      </w:r>
      <w:proofErr w:type="spellEnd"/>
      <w:r w:rsidRPr="00CF23CD">
        <w:rPr>
          <w:rFonts w:ascii="Times New Roman" w:hAnsi="Times New Roman" w:cs="Times New Roman"/>
          <w:color w:val="222222"/>
          <w:sz w:val="24"/>
          <w:szCs w:val="24"/>
          <w:shd w:val="clear" w:color="auto" w:fill="FFFFFF"/>
        </w:rPr>
        <w:t>, G., &amp; Lau, C. K. M. (2019). The causal relationship between Bitcoin attention and Bitcoin returns: Evidence from the Copula-based Granger causality test.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28</w:t>
      </w:r>
      <w:r w:rsidRPr="00CF23CD">
        <w:rPr>
          <w:rFonts w:ascii="Times New Roman" w:hAnsi="Times New Roman" w:cs="Times New Roman"/>
          <w:color w:val="222222"/>
          <w:sz w:val="24"/>
          <w:szCs w:val="24"/>
          <w:shd w:val="clear" w:color="auto" w:fill="FFFFFF"/>
        </w:rPr>
        <w:t>, 160-164.</w:t>
      </w:r>
    </w:p>
    <w:p w14:paraId="0E526CED"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Demir</w:t>
      </w:r>
      <w:proofErr w:type="spellEnd"/>
      <w:r w:rsidRPr="00CF23CD">
        <w:rPr>
          <w:rFonts w:ascii="Times New Roman" w:hAnsi="Times New Roman" w:cs="Times New Roman"/>
          <w:color w:val="222222"/>
          <w:sz w:val="24"/>
          <w:szCs w:val="24"/>
          <w:shd w:val="clear" w:color="auto" w:fill="FFFFFF"/>
        </w:rPr>
        <w:t xml:space="preserve">, E., </w:t>
      </w:r>
      <w:proofErr w:type="spellStart"/>
      <w:r w:rsidRPr="00CF23CD">
        <w:rPr>
          <w:rFonts w:ascii="Times New Roman" w:hAnsi="Times New Roman" w:cs="Times New Roman"/>
          <w:color w:val="222222"/>
          <w:sz w:val="24"/>
          <w:szCs w:val="24"/>
          <w:shd w:val="clear" w:color="auto" w:fill="FFFFFF"/>
        </w:rPr>
        <w:t>Simonyan</w:t>
      </w:r>
      <w:proofErr w:type="spellEnd"/>
      <w:r w:rsidRPr="00CF23CD">
        <w:rPr>
          <w:rFonts w:ascii="Times New Roman" w:hAnsi="Times New Roman" w:cs="Times New Roman"/>
          <w:color w:val="222222"/>
          <w:sz w:val="24"/>
          <w:szCs w:val="24"/>
          <w:shd w:val="clear" w:color="auto" w:fill="FFFFFF"/>
        </w:rPr>
        <w:t xml:space="preserve">, S., </w:t>
      </w:r>
      <w:proofErr w:type="spellStart"/>
      <w:r w:rsidRPr="00CF23CD">
        <w:rPr>
          <w:rFonts w:ascii="Times New Roman" w:hAnsi="Times New Roman" w:cs="Times New Roman"/>
          <w:color w:val="222222"/>
          <w:sz w:val="24"/>
          <w:szCs w:val="24"/>
          <w:shd w:val="clear" w:color="auto" w:fill="FFFFFF"/>
        </w:rPr>
        <w:t>García</w:t>
      </w:r>
      <w:proofErr w:type="spellEnd"/>
      <w:r w:rsidRPr="00CF23CD">
        <w:rPr>
          <w:rFonts w:ascii="Times New Roman" w:hAnsi="Times New Roman" w:cs="Times New Roman"/>
          <w:color w:val="222222"/>
          <w:sz w:val="24"/>
          <w:szCs w:val="24"/>
          <w:shd w:val="clear" w:color="auto" w:fill="FFFFFF"/>
        </w:rPr>
        <w:t>-Gómez, C. D., &amp; Lau, C. K. M. (2020). The asymmetric effect of bitcoin on altcoins: evidence from the nonlinear autoregressive distributed lag (NARDL) model.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101754.</w:t>
      </w:r>
    </w:p>
    <w:p w14:paraId="0B2973F4"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Donadelli</w:t>
      </w:r>
      <w:proofErr w:type="spellEnd"/>
      <w:r w:rsidRPr="00CF23CD">
        <w:rPr>
          <w:rFonts w:ascii="Times New Roman" w:hAnsi="Times New Roman" w:cs="Times New Roman"/>
          <w:color w:val="222222"/>
          <w:sz w:val="24"/>
          <w:szCs w:val="24"/>
          <w:shd w:val="clear" w:color="auto" w:fill="FFFFFF"/>
        </w:rPr>
        <w:t xml:space="preserve">, M., &amp; </w:t>
      </w:r>
      <w:proofErr w:type="spellStart"/>
      <w:r w:rsidRPr="00CF23CD">
        <w:rPr>
          <w:rFonts w:ascii="Times New Roman" w:hAnsi="Times New Roman" w:cs="Times New Roman"/>
          <w:color w:val="222222"/>
          <w:sz w:val="24"/>
          <w:szCs w:val="24"/>
          <w:shd w:val="clear" w:color="auto" w:fill="FFFFFF"/>
        </w:rPr>
        <w:t>Gerotto</w:t>
      </w:r>
      <w:proofErr w:type="spellEnd"/>
      <w:r w:rsidRPr="00CF23CD">
        <w:rPr>
          <w:rFonts w:ascii="Times New Roman" w:hAnsi="Times New Roman" w:cs="Times New Roman"/>
          <w:color w:val="222222"/>
          <w:sz w:val="24"/>
          <w:szCs w:val="24"/>
          <w:shd w:val="clear" w:color="auto" w:fill="FFFFFF"/>
        </w:rPr>
        <w:t>, L. (2019). Non-macro-based Google searches, uncertainty, and real economic activity. </w:t>
      </w:r>
      <w:r w:rsidRPr="00CF23CD">
        <w:rPr>
          <w:rFonts w:ascii="Times New Roman" w:hAnsi="Times New Roman" w:cs="Times New Roman"/>
          <w:i/>
          <w:iCs/>
          <w:color w:val="222222"/>
          <w:sz w:val="24"/>
          <w:szCs w:val="24"/>
          <w:shd w:val="clear" w:color="auto" w:fill="FFFFFF"/>
        </w:rPr>
        <w:t>Research in International Business and Finance</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48</w:t>
      </w:r>
      <w:r w:rsidRPr="00CF23CD">
        <w:rPr>
          <w:rFonts w:ascii="Times New Roman" w:hAnsi="Times New Roman" w:cs="Times New Roman"/>
          <w:color w:val="222222"/>
          <w:sz w:val="24"/>
          <w:szCs w:val="24"/>
          <w:shd w:val="clear" w:color="auto" w:fill="FFFFFF"/>
        </w:rPr>
        <w:t>, 111-142.</w:t>
      </w:r>
    </w:p>
    <w:p w14:paraId="5051FF6D"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Dourado</w:t>
      </w:r>
      <w:proofErr w:type="spellEnd"/>
      <w:r w:rsidRPr="00CF23CD">
        <w:rPr>
          <w:rFonts w:ascii="Times New Roman" w:hAnsi="Times New Roman" w:cs="Times New Roman"/>
          <w:color w:val="222222"/>
          <w:sz w:val="24"/>
          <w:szCs w:val="24"/>
          <w:shd w:val="clear" w:color="auto" w:fill="FFFFFF"/>
        </w:rPr>
        <w:t xml:space="preserve">, E., &amp; Brito, J. (2014). Cryptocurrency. </w:t>
      </w:r>
      <w:proofErr w:type="spellStart"/>
      <w:r w:rsidRPr="00CF23CD">
        <w:rPr>
          <w:rFonts w:ascii="Times New Roman" w:hAnsi="Times New Roman" w:cs="Times New Roman"/>
          <w:color w:val="222222"/>
          <w:sz w:val="24"/>
          <w:szCs w:val="24"/>
          <w:shd w:val="clear" w:color="auto" w:fill="FFFFFF"/>
        </w:rPr>
        <w:t>En</w:t>
      </w:r>
      <w:proofErr w:type="spellEnd"/>
      <w:r w:rsidRPr="00CF23CD">
        <w:rPr>
          <w:rFonts w:ascii="Times New Roman" w:hAnsi="Times New Roman" w:cs="Times New Roman"/>
          <w:color w:val="222222"/>
          <w:sz w:val="24"/>
          <w:szCs w:val="24"/>
          <w:shd w:val="clear" w:color="auto" w:fill="FFFFFF"/>
        </w:rPr>
        <w:t xml:space="preserve"> The New Palgrave Dictionary of Economics</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1-9).</w:t>
      </w:r>
    </w:p>
    <w:p w14:paraId="74C0E3BE"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 xml:space="preserve">Enoksen, F. A., </w:t>
      </w:r>
      <w:proofErr w:type="spellStart"/>
      <w:r w:rsidRPr="00CF23CD">
        <w:rPr>
          <w:rFonts w:ascii="Times New Roman" w:hAnsi="Times New Roman" w:cs="Times New Roman"/>
          <w:color w:val="222222"/>
          <w:sz w:val="24"/>
          <w:szCs w:val="24"/>
          <w:shd w:val="clear" w:color="auto" w:fill="FFFFFF"/>
        </w:rPr>
        <w:t>Landsnes</w:t>
      </w:r>
      <w:proofErr w:type="spellEnd"/>
      <w:r w:rsidRPr="00CF23CD">
        <w:rPr>
          <w:rFonts w:ascii="Times New Roman" w:hAnsi="Times New Roman" w:cs="Times New Roman"/>
          <w:color w:val="222222"/>
          <w:sz w:val="24"/>
          <w:szCs w:val="24"/>
          <w:shd w:val="clear" w:color="auto" w:fill="FFFFFF"/>
        </w:rPr>
        <w:t xml:space="preserve">, C. J., </w:t>
      </w:r>
      <w:proofErr w:type="spellStart"/>
      <w:r w:rsidRPr="00CF23CD">
        <w:rPr>
          <w:rFonts w:ascii="Times New Roman" w:hAnsi="Times New Roman" w:cs="Times New Roman"/>
          <w:color w:val="222222"/>
          <w:sz w:val="24"/>
          <w:szCs w:val="24"/>
          <w:shd w:val="clear" w:color="auto" w:fill="FFFFFF"/>
        </w:rPr>
        <w:t>Lučivjanská</w:t>
      </w:r>
      <w:proofErr w:type="spellEnd"/>
      <w:r w:rsidRPr="00CF23CD">
        <w:rPr>
          <w:rFonts w:ascii="Times New Roman" w:hAnsi="Times New Roman" w:cs="Times New Roman"/>
          <w:color w:val="222222"/>
          <w:sz w:val="24"/>
          <w:szCs w:val="24"/>
          <w:shd w:val="clear" w:color="auto" w:fill="FFFFFF"/>
        </w:rPr>
        <w:t xml:space="preserve">, K., &amp; </w:t>
      </w:r>
      <w:proofErr w:type="spellStart"/>
      <w:r w:rsidRPr="00CF23CD">
        <w:rPr>
          <w:rFonts w:ascii="Times New Roman" w:hAnsi="Times New Roman" w:cs="Times New Roman"/>
          <w:color w:val="222222"/>
          <w:sz w:val="24"/>
          <w:szCs w:val="24"/>
          <w:shd w:val="clear" w:color="auto" w:fill="FFFFFF"/>
        </w:rPr>
        <w:t>Molnár</w:t>
      </w:r>
      <w:proofErr w:type="spellEnd"/>
      <w:r w:rsidRPr="00CF23CD">
        <w:rPr>
          <w:rFonts w:ascii="Times New Roman" w:hAnsi="Times New Roman" w:cs="Times New Roman"/>
          <w:color w:val="222222"/>
          <w:sz w:val="24"/>
          <w:szCs w:val="24"/>
          <w:shd w:val="clear" w:color="auto" w:fill="FFFFFF"/>
        </w:rPr>
        <w:t>, P. (2020). Understanding risk of bubbles in cryptocurrencies. </w:t>
      </w:r>
      <w:r w:rsidRPr="00CF23CD">
        <w:rPr>
          <w:rFonts w:ascii="Times New Roman" w:hAnsi="Times New Roman" w:cs="Times New Roman"/>
          <w:i/>
          <w:iCs/>
          <w:color w:val="222222"/>
          <w:sz w:val="24"/>
          <w:szCs w:val="24"/>
          <w:shd w:val="clear" w:color="auto" w:fill="FFFFFF"/>
        </w:rPr>
        <w:t>Journal of Economic Behavior &amp; Organization</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176</w:t>
      </w:r>
      <w:r w:rsidRPr="00CF23CD">
        <w:rPr>
          <w:rFonts w:ascii="Times New Roman" w:hAnsi="Times New Roman" w:cs="Times New Roman"/>
          <w:color w:val="222222"/>
          <w:sz w:val="24"/>
          <w:szCs w:val="24"/>
          <w:shd w:val="clear" w:color="auto" w:fill="FFFFFF"/>
        </w:rPr>
        <w:t>, 129-144.</w:t>
      </w:r>
    </w:p>
    <w:p w14:paraId="26EDE67D"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Fousekis</w:t>
      </w:r>
      <w:proofErr w:type="spellEnd"/>
      <w:r w:rsidRPr="00CF23CD">
        <w:rPr>
          <w:rFonts w:ascii="Times New Roman" w:hAnsi="Times New Roman" w:cs="Times New Roman"/>
          <w:color w:val="222222"/>
          <w:sz w:val="24"/>
          <w:szCs w:val="24"/>
          <w:shd w:val="clear" w:color="auto" w:fill="FFFFFF"/>
        </w:rPr>
        <w:t xml:space="preserve">, P., &amp; </w:t>
      </w:r>
      <w:proofErr w:type="spellStart"/>
      <w:r w:rsidRPr="00CF23CD">
        <w:rPr>
          <w:rFonts w:ascii="Times New Roman" w:hAnsi="Times New Roman" w:cs="Times New Roman"/>
          <w:color w:val="222222"/>
          <w:sz w:val="24"/>
          <w:szCs w:val="24"/>
          <w:shd w:val="clear" w:color="auto" w:fill="FFFFFF"/>
        </w:rPr>
        <w:t>Tzaferi</w:t>
      </w:r>
      <w:proofErr w:type="spellEnd"/>
      <w:r w:rsidRPr="00CF23CD">
        <w:rPr>
          <w:rFonts w:ascii="Times New Roman" w:hAnsi="Times New Roman" w:cs="Times New Roman"/>
          <w:color w:val="222222"/>
          <w:sz w:val="24"/>
          <w:szCs w:val="24"/>
          <w:shd w:val="clear" w:color="auto" w:fill="FFFFFF"/>
        </w:rPr>
        <w:t>, D. (2021). Returns and volume: Frequency connectedness in cryptocurrency markets. </w:t>
      </w:r>
      <w:r w:rsidRPr="00CF23CD">
        <w:rPr>
          <w:rFonts w:ascii="Times New Roman" w:hAnsi="Times New Roman" w:cs="Times New Roman"/>
          <w:i/>
          <w:iCs/>
          <w:color w:val="222222"/>
          <w:sz w:val="24"/>
          <w:szCs w:val="24"/>
          <w:shd w:val="clear" w:color="auto" w:fill="FFFFFF"/>
        </w:rPr>
        <w:t>Economic Modelling</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95</w:t>
      </w:r>
      <w:r w:rsidRPr="00CF23CD">
        <w:rPr>
          <w:rFonts w:ascii="Times New Roman" w:hAnsi="Times New Roman" w:cs="Times New Roman"/>
          <w:color w:val="222222"/>
          <w:sz w:val="24"/>
          <w:szCs w:val="24"/>
          <w:shd w:val="clear" w:color="auto" w:fill="FFFFFF"/>
        </w:rPr>
        <w:t>, 13-20.</w:t>
      </w:r>
    </w:p>
    <w:p w14:paraId="0FB003A2"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Gerritsen</w:t>
      </w:r>
      <w:proofErr w:type="spellEnd"/>
      <w:r w:rsidRPr="00CF23CD">
        <w:rPr>
          <w:rFonts w:ascii="Times New Roman" w:hAnsi="Times New Roman" w:cs="Times New Roman"/>
          <w:color w:val="222222"/>
          <w:sz w:val="24"/>
          <w:szCs w:val="24"/>
          <w:shd w:val="clear" w:color="auto" w:fill="FFFFFF"/>
        </w:rPr>
        <w:t xml:space="preserve">, D., </w:t>
      </w:r>
      <w:proofErr w:type="spellStart"/>
      <w:r w:rsidRPr="00CF23CD">
        <w:rPr>
          <w:rFonts w:ascii="Times New Roman" w:hAnsi="Times New Roman" w:cs="Times New Roman"/>
          <w:color w:val="222222"/>
          <w:sz w:val="24"/>
          <w:szCs w:val="24"/>
          <w:shd w:val="clear" w:color="auto" w:fill="FFFFFF"/>
        </w:rPr>
        <w:t>Lugtigheid</w:t>
      </w:r>
      <w:proofErr w:type="spellEnd"/>
      <w:r w:rsidRPr="00CF23CD">
        <w:rPr>
          <w:rFonts w:ascii="Times New Roman" w:hAnsi="Times New Roman" w:cs="Times New Roman"/>
          <w:color w:val="222222"/>
          <w:sz w:val="24"/>
          <w:szCs w:val="24"/>
          <w:shd w:val="clear" w:color="auto" w:fill="FFFFFF"/>
        </w:rPr>
        <w:t>, R. A., &amp; Walther, T. (2020). Can Bitcoin Investors Profit from Buy, Hold, and Sell Recommendations by Crypto Analysts</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Hold, and Sell Recommendations by Crypto Analysts</w:t>
      </w:r>
      <w:r w:rsidRPr="00CF23CD">
        <w:rPr>
          <w:rFonts w:ascii="Times New Roman" w:hAnsi="Times New Roman" w:cs="Times New Roman"/>
          <w:color w:val="222222"/>
          <w:sz w:val="24"/>
          <w:szCs w:val="24"/>
          <w:shd w:val="clear" w:color="auto" w:fill="FFFFFF"/>
        </w:rPr>
        <w:t>.</w:t>
      </w:r>
    </w:p>
    <w:p w14:paraId="6E88167F"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lastRenderedPageBreak/>
        <w:t>Götz</w:t>
      </w:r>
      <w:proofErr w:type="spellEnd"/>
      <w:r w:rsidRPr="00CF23CD">
        <w:rPr>
          <w:rFonts w:ascii="Times New Roman" w:hAnsi="Times New Roman" w:cs="Times New Roman"/>
          <w:color w:val="222222"/>
          <w:sz w:val="24"/>
          <w:szCs w:val="24"/>
          <w:shd w:val="clear" w:color="auto" w:fill="FFFFFF"/>
        </w:rPr>
        <w:t xml:space="preserve">, T. B., &amp; </w:t>
      </w:r>
      <w:proofErr w:type="spellStart"/>
      <w:r w:rsidRPr="00CF23CD">
        <w:rPr>
          <w:rFonts w:ascii="Times New Roman" w:hAnsi="Times New Roman" w:cs="Times New Roman"/>
          <w:color w:val="222222"/>
          <w:sz w:val="24"/>
          <w:szCs w:val="24"/>
          <w:shd w:val="clear" w:color="auto" w:fill="FFFFFF"/>
        </w:rPr>
        <w:t>Knetsch</w:t>
      </w:r>
      <w:proofErr w:type="spellEnd"/>
      <w:r w:rsidRPr="00CF23CD">
        <w:rPr>
          <w:rFonts w:ascii="Times New Roman" w:hAnsi="Times New Roman" w:cs="Times New Roman"/>
          <w:color w:val="222222"/>
          <w:sz w:val="24"/>
          <w:szCs w:val="24"/>
          <w:shd w:val="clear" w:color="auto" w:fill="FFFFFF"/>
        </w:rPr>
        <w:t>, T. A. (2019). Google data in bridge equation models for German GDP. </w:t>
      </w:r>
      <w:r w:rsidRPr="00CF23CD">
        <w:rPr>
          <w:rFonts w:ascii="Times New Roman" w:hAnsi="Times New Roman" w:cs="Times New Roman"/>
          <w:i/>
          <w:iCs/>
          <w:color w:val="222222"/>
          <w:sz w:val="24"/>
          <w:szCs w:val="24"/>
          <w:shd w:val="clear" w:color="auto" w:fill="FFFFFF"/>
        </w:rPr>
        <w:t>International Journal of Forecasting</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35</w:t>
      </w:r>
      <w:r w:rsidRPr="00CF23CD">
        <w:rPr>
          <w:rFonts w:ascii="Times New Roman" w:hAnsi="Times New Roman" w:cs="Times New Roman"/>
          <w:color w:val="222222"/>
          <w:sz w:val="24"/>
          <w:szCs w:val="24"/>
          <w:shd w:val="clear" w:color="auto" w:fill="FFFFFF"/>
        </w:rPr>
        <w:t>(1), 45-66.</w:t>
      </w:r>
    </w:p>
    <w:p w14:paraId="75D3EC43" w14:textId="77777777" w:rsidR="000D6907" w:rsidRPr="00C83530" w:rsidRDefault="000D6907" w:rsidP="000B72B4">
      <w:pPr>
        <w:tabs>
          <w:tab w:val="left" w:pos="270"/>
        </w:tabs>
        <w:ind w:left="360" w:hanging="360"/>
        <w:jc w:val="both"/>
        <w:rPr>
          <w:rFonts w:ascii="Times New Roman" w:hAnsi="Times New Roman" w:cs="Times New Roman"/>
          <w:color w:val="222222"/>
          <w:sz w:val="24"/>
          <w:szCs w:val="24"/>
          <w:shd w:val="clear" w:color="auto" w:fill="FFFFFF"/>
          <w:lang w:val="fr-FR"/>
        </w:rPr>
      </w:pPr>
      <w:proofErr w:type="spellStart"/>
      <w:r w:rsidRPr="00CF23CD">
        <w:rPr>
          <w:rFonts w:ascii="Times New Roman" w:hAnsi="Times New Roman" w:cs="Times New Roman"/>
          <w:color w:val="222222"/>
          <w:sz w:val="24"/>
          <w:szCs w:val="24"/>
          <w:shd w:val="clear" w:color="auto" w:fill="FFFFFF"/>
        </w:rPr>
        <w:t>Houben</w:t>
      </w:r>
      <w:proofErr w:type="spellEnd"/>
      <w:r w:rsidRPr="00CF23CD">
        <w:rPr>
          <w:rFonts w:ascii="Times New Roman" w:hAnsi="Times New Roman" w:cs="Times New Roman"/>
          <w:color w:val="222222"/>
          <w:sz w:val="24"/>
          <w:szCs w:val="24"/>
          <w:shd w:val="clear" w:color="auto" w:fill="FFFFFF"/>
        </w:rPr>
        <w:t xml:space="preserve">, R., &amp; </w:t>
      </w:r>
      <w:proofErr w:type="spellStart"/>
      <w:r w:rsidRPr="00CF23CD">
        <w:rPr>
          <w:rFonts w:ascii="Times New Roman" w:hAnsi="Times New Roman" w:cs="Times New Roman"/>
          <w:color w:val="222222"/>
          <w:sz w:val="24"/>
          <w:szCs w:val="24"/>
          <w:shd w:val="clear" w:color="auto" w:fill="FFFFFF"/>
        </w:rPr>
        <w:t>Snyers</w:t>
      </w:r>
      <w:proofErr w:type="spellEnd"/>
      <w:r w:rsidRPr="00CF23CD">
        <w:rPr>
          <w:rFonts w:ascii="Times New Roman" w:hAnsi="Times New Roman" w:cs="Times New Roman"/>
          <w:color w:val="222222"/>
          <w:sz w:val="24"/>
          <w:szCs w:val="24"/>
          <w:shd w:val="clear" w:color="auto" w:fill="FFFFFF"/>
        </w:rPr>
        <w:t xml:space="preserve">, A. (2018). Cryptocurrencies and </w:t>
      </w:r>
      <w:proofErr w:type="spellStart"/>
      <w:r w:rsidRPr="00CF23CD">
        <w:rPr>
          <w:rFonts w:ascii="Times New Roman" w:hAnsi="Times New Roman" w:cs="Times New Roman"/>
          <w:color w:val="222222"/>
          <w:sz w:val="24"/>
          <w:szCs w:val="24"/>
          <w:shd w:val="clear" w:color="auto" w:fill="FFFFFF"/>
        </w:rPr>
        <w:t>blockchain</w:t>
      </w:r>
      <w:proofErr w:type="spellEnd"/>
      <w:r w:rsidRPr="00CF23CD">
        <w:rPr>
          <w:rFonts w:ascii="Times New Roman" w:hAnsi="Times New Roman" w:cs="Times New Roman"/>
          <w:color w:val="222222"/>
          <w:sz w:val="24"/>
          <w:szCs w:val="24"/>
          <w:shd w:val="clear" w:color="auto" w:fill="FFFFFF"/>
        </w:rPr>
        <w:t>. </w:t>
      </w:r>
      <w:r w:rsidRPr="00C83530">
        <w:rPr>
          <w:rFonts w:ascii="Times New Roman" w:hAnsi="Times New Roman" w:cs="Times New Roman"/>
          <w:i/>
          <w:iCs/>
          <w:color w:val="222222"/>
          <w:sz w:val="24"/>
          <w:szCs w:val="24"/>
          <w:shd w:val="clear" w:color="auto" w:fill="FFFFFF"/>
          <w:lang w:val="fr-FR"/>
        </w:rPr>
        <w:t xml:space="preserve">Bruxelles: </w:t>
      </w:r>
      <w:proofErr w:type="spellStart"/>
      <w:r w:rsidRPr="00C83530">
        <w:rPr>
          <w:rFonts w:ascii="Times New Roman" w:hAnsi="Times New Roman" w:cs="Times New Roman"/>
          <w:i/>
          <w:iCs/>
          <w:color w:val="222222"/>
          <w:sz w:val="24"/>
          <w:szCs w:val="24"/>
          <w:shd w:val="clear" w:color="auto" w:fill="FFFFFF"/>
          <w:lang w:val="fr-FR"/>
        </w:rPr>
        <w:t>European</w:t>
      </w:r>
      <w:proofErr w:type="spellEnd"/>
      <w:r w:rsidRPr="00C83530">
        <w:rPr>
          <w:rFonts w:ascii="Times New Roman" w:hAnsi="Times New Roman" w:cs="Times New Roman"/>
          <w:i/>
          <w:iCs/>
          <w:color w:val="222222"/>
          <w:sz w:val="24"/>
          <w:szCs w:val="24"/>
          <w:shd w:val="clear" w:color="auto" w:fill="FFFFFF"/>
          <w:lang w:val="fr-FR"/>
        </w:rPr>
        <w:t xml:space="preserve"> </w:t>
      </w:r>
      <w:proofErr w:type="spellStart"/>
      <w:r w:rsidRPr="00C83530">
        <w:rPr>
          <w:rFonts w:ascii="Times New Roman" w:hAnsi="Times New Roman" w:cs="Times New Roman"/>
          <w:i/>
          <w:iCs/>
          <w:color w:val="222222"/>
          <w:sz w:val="24"/>
          <w:szCs w:val="24"/>
          <w:shd w:val="clear" w:color="auto" w:fill="FFFFFF"/>
          <w:lang w:val="fr-FR"/>
        </w:rPr>
        <w:t>Parliament</w:t>
      </w:r>
      <w:proofErr w:type="spellEnd"/>
      <w:r w:rsidRPr="00C83530">
        <w:rPr>
          <w:rFonts w:ascii="Times New Roman" w:hAnsi="Times New Roman" w:cs="Times New Roman"/>
          <w:color w:val="222222"/>
          <w:sz w:val="24"/>
          <w:szCs w:val="24"/>
          <w:shd w:val="clear" w:color="auto" w:fill="FFFFFF"/>
          <w:lang w:val="fr-FR"/>
        </w:rPr>
        <w:t>.</w:t>
      </w:r>
    </w:p>
    <w:p w14:paraId="5E1BB65B" w14:textId="77777777" w:rsidR="000D6907" w:rsidRPr="00C83530" w:rsidRDefault="000D6907" w:rsidP="000B72B4">
      <w:pPr>
        <w:pStyle w:val="NormalWeb"/>
        <w:tabs>
          <w:tab w:val="left" w:pos="270"/>
        </w:tabs>
        <w:spacing w:before="0" w:beforeAutospacing="0" w:after="0" w:afterAutospacing="0"/>
        <w:ind w:left="360" w:hanging="360"/>
        <w:jc w:val="both"/>
        <w:rPr>
          <w:color w:val="0E101A"/>
          <w:lang w:val="fr-FR"/>
        </w:rPr>
      </w:pPr>
      <w:r w:rsidRPr="00C83530">
        <w:rPr>
          <w:color w:val="0E101A"/>
          <w:lang w:val="fr-FR"/>
        </w:rPr>
        <w:t xml:space="preserve">https://bbc.com/news/world-asia-42845505 </w:t>
      </w:r>
    </w:p>
    <w:p w14:paraId="682FB02D" w14:textId="77777777" w:rsidR="000D6907" w:rsidRPr="00C83530" w:rsidRDefault="00734526" w:rsidP="000B72B4">
      <w:pPr>
        <w:tabs>
          <w:tab w:val="left" w:pos="270"/>
        </w:tabs>
        <w:ind w:left="360" w:hanging="360"/>
        <w:jc w:val="both"/>
        <w:rPr>
          <w:rFonts w:ascii="Times New Roman" w:hAnsi="Times New Roman" w:cs="Times New Roman"/>
          <w:color w:val="0E101A"/>
          <w:sz w:val="24"/>
          <w:szCs w:val="24"/>
          <w:lang w:val="fr-FR"/>
        </w:rPr>
      </w:pPr>
      <w:hyperlink r:id="rId124" w:tgtFrame="_blank" w:history="1">
        <w:r w:rsidR="000D6907" w:rsidRPr="00C83530">
          <w:rPr>
            <w:rStyle w:val="Hyperlink"/>
            <w:rFonts w:ascii="Times New Roman" w:hAnsi="Times New Roman" w:cs="Times New Roman"/>
            <w:color w:val="4A6EE0"/>
            <w:sz w:val="24"/>
            <w:szCs w:val="24"/>
            <w:lang w:val="fr-FR"/>
          </w:rPr>
          <w:t>https://coinmarketcap.com</w:t>
        </w:r>
      </w:hyperlink>
    </w:p>
    <w:p w14:paraId="08869680" w14:textId="77777777" w:rsidR="000D6907" w:rsidRPr="00C83530" w:rsidRDefault="00734526" w:rsidP="000B72B4">
      <w:pPr>
        <w:tabs>
          <w:tab w:val="left" w:pos="270"/>
        </w:tabs>
        <w:ind w:left="360" w:hanging="360"/>
        <w:jc w:val="both"/>
        <w:rPr>
          <w:rFonts w:ascii="Times New Roman" w:hAnsi="Times New Roman" w:cs="Times New Roman"/>
          <w:color w:val="0E101A"/>
          <w:sz w:val="24"/>
          <w:szCs w:val="24"/>
          <w:lang w:val="fr-FR"/>
        </w:rPr>
      </w:pPr>
      <w:hyperlink r:id="rId125" w:tgtFrame="_blank" w:history="1">
        <w:r w:rsidR="000D6907" w:rsidRPr="00C83530">
          <w:rPr>
            <w:rStyle w:val="Hyperlink"/>
            <w:rFonts w:ascii="Times New Roman" w:hAnsi="Times New Roman" w:cs="Times New Roman"/>
            <w:color w:val="4A6EE0"/>
            <w:sz w:val="24"/>
            <w:szCs w:val="24"/>
            <w:lang w:val="fr-FR"/>
          </w:rPr>
          <w:t>https://trends.google.com/trends/explore</w:t>
        </w:r>
      </w:hyperlink>
    </w:p>
    <w:p w14:paraId="2E487269" w14:textId="77777777" w:rsidR="000D6907" w:rsidRPr="00C83530" w:rsidRDefault="00734526" w:rsidP="000B72B4">
      <w:pPr>
        <w:pStyle w:val="NormalWeb"/>
        <w:tabs>
          <w:tab w:val="left" w:pos="270"/>
        </w:tabs>
        <w:spacing w:before="0" w:beforeAutospacing="0" w:after="0" w:afterAutospacing="0"/>
        <w:ind w:left="360" w:hanging="360"/>
        <w:jc w:val="both"/>
        <w:rPr>
          <w:color w:val="0E101A"/>
          <w:lang w:val="fr-FR"/>
        </w:rPr>
      </w:pPr>
      <w:hyperlink r:id="rId126" w:tgtFrame="_blank" w:history="1">
        <w:r w:rsidR="000D6907" w:rsidRPr="00C83530">
          <w:rPr>
            <w:rStyle w:val="Hyperlink"/>
            <w:color w:val="4A6EE0"/>
            <w:lang w:val="fr-FR"/>
          </w:rPr>
          <w:t>https://www.bitdegree.org/crypto/tutorials/nem-price-prediction</w:t>
        </w:r>
      </w:hyperlink>
    </w:p>
    <w:p w14:paraId="2C59EBAE" w14:textId="77777777" w:rsidR="000D6907"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83530">
        <w:rPr>
          <w:rFonts w:ascii="Times New Roman" w:hAnsi="Times New Roman" w:cs="Times New Roman"/>
          <w:color w:val="222222"/>
          <w:sz w:val="24"/>
          <w:szCs w:val="24"/>
          <w:shd w:val="clear" w:color="auto" w:fill="FFFFFF"/>
          <w:lang w:val="fr-FR"/>
        </w:rPr>
        <w:t xml:space="preserve">Hu, A. S., </w:t>
      </w:r>
      <w:proofErr w:type="spellStart"/>
      <w:r w:rsidRPr="00C83530">
        <w:rPr>
          <w:rFonts w:ascii="Times New Roman" w:hAnsi="Times New Roman" w:cs="Times New Roman"/>
          <w:color w:val="222222"/>
          <w:sz w:val="24"/>
          <w:szCs w:val="24"/>
          <w:shd w:val="clear" w:color="auto" w:fill="FFFFFF"/>
          <w:lang w:val="fr-FR"/>
        </w:rPr>
        <w:t>Parlour</w:t>
      </w:r>
      <w:proofErr w:type="spellEnd"/>
      <w:r w:rsidRPr="00C83530">
        <w:rPr>
          <w:rFonts w:ascii="Times New Roman" w:hAnsi="Times New Roman" w:cs="Times New Roman"/>
          <w:color w:val="222222"/>
          <w:sz w:val="24"/>
          <w:szCs w:val="24"/>
          <w:shd w:val="clear" w:color="auto" w:fill="FFFFFF"/>
          <w:lang w:val="fr-FR"/>
        </w:rPr>
        <w:t xml:space="preserve">, C. A., &amp; </w:t>
      </w:r>
      <w:proofErr w:type="spellStart"/>
      <w:r w:rsidRPr="00C83530">
        <w:rPr>
          <w:rFonts w:ascii="Times New Roman" w:hAnsi="Times New Roman" w:cs="Times New Roman"/>
          <w:color w:val="222222"/>
          <w:sz w:val="24"/>
          <w:szCs w:val="24"/>
          <w:shd w:val="clear" w:color="auto" w:fill="FFFFFF"/>
          <w:lang w:val="fr-FR"/>
        </w:rPr>
        <w:t>Rajan</w:t>
      </w:r>
      <w:proofErr w:type="spellEnd"/>
      <w:r w:rsidRPr="00C83530">
        <w:rPr>
          <w:rFonts w:ascii="Times New Roman" w:hAnsi="Times New Roman" w:cs="Times New Roman"/>
          <w:color w:val="222222"/>
          <w:sz w:val="24"/>
          <w:szCs w:val="24"/>
          <w:shd w:val="clear" w:color="auto" w:fill="FFFFFF"/>
          <w:lang w:val="fr-FR"/>
        </w:rPr>
        <w:t xml:space="preserve">, U. (2019). </w:t>
      </w:r>
      <w:r w:rsidRPr="00CF23CD">
        <w:rPr>
          <w:rFonts w:ascii="Times New Roman" w:hAnsi="Times New Roman" w:cs="Times New Roman"/>
          <w:color w:val="222222"/>
          <w:sz w:val="24"/>
          <w:szCs w:val="24"/>
          <w:shd w:val="clear" w:color="auto" w:fill="FFFFFF"/>
        </w:rPr>
        <w:t>Cryptocurrencies: Stylized facts on a new investible instrument. </w:t>
      </w:r>
      <w:r w:rsidRPr="00CF23CD">
        <w:rPr>
          <w:rFonts w:ascii="Times New Roman" w:hAnsi="Times New Roman" w:cs="Times New Roman"/>
          <w:i/>
          <w:iCs/>
          <w:color w:val="222222"/>
          <w:sz w:val="24"/>
          <w:szCs w:val="24"/>
          <w:shd w:val="clear" w:color="auto" w:fill="FFFFFF"/>
        </w:rPr>
        <w:t>Financial Management</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48</w:t>
      </w:r>
      <w:r w:rsidRPr="00CF23CD">
        <w:rPr>
          <w:rFonts w:ascii="Times New Roman" w:hAnsi="Times New Roman" w:cs="Times New Roman"/>
          <w:color w:val="222222"/>
          <w:sz w:val="24"/>
          <w:szCs w:val="24"/>
          <w:shd w:val="clear" w:color="auto" w:fill="FFFFFF"/>
        </w:rPr>
        <w:t>(4), 1049-1068.</w:t>
      </w:r>
    </w:p>
    <w:p w14:paraId="3ECD631D" w14:textId="79C1B3C8" w:rsidR="00C7417E" w:rsidRPr="00C7417E" w:rsidRDefault="00C7417E" w:rsidP="000B72B4">
      <w:pPr>
        <w:tabs>
          <w:tab w:val="left" w:pos="270"/>
        </w:tabs>
        <w:ind w:left="360" w:hanging="360"/>
        <w:jc w:val="both"/>
        <w:rPr>
          <w:rFonts w:ascii="Times New Roman" w:hAnsi="Times New Roman" w:cs="Times New Roman"/>
          <w:color w:val="FF0000"/>
          <w:sz w:val="24"/>
          <w:szCs w:val="24"/>
          <w:shd w:val="clear" w:color="auto" w:fill="FFFFFF"/>
        </w:rPr>
      </w:pPr>
      <w:r w:rsidRPr="00C7417E">
        <w:rPr>
          <w:rFonts w:ascii="Times New Roman" w:hAnsi="Times New Roman" w:cs="Times New Roman"/>
          <w:color w:val="FF0000"/>
          <w:sz w:val="24"/>
          <w:szCs w:val="24"/>
          <w:shd w:val="clear" w:color="auto" w:fill="FFFFFF"/>
        </w:rPr>
        <w:t>HAMURCU, C. Can Elon Mask's Twitter Posts About Cryptocurrencies Influence Cryptocurrency Markets by Creating a Herding Behavior Bias</w:t>
      </w:r>
      <w:proofErr w:type="gramStart"/>
      <w:r w:rsidRPr="00C7417E">
        <w:rPr>
          <w:rFonts w:ascii="Times New Roman" w:hAnsi="Times New Roman" w:cs="Times New Roman"/>
          <w:color w:val="FF0000"/>
          <w:sz w:val="24"/>
          <w:szCs w:val="24"/>
          <w:shd w:val="clear" w:color="auto" w:fill="FFFFFF"/>
        </w:rPr>
        <w:t>?.</w:t>
      </w:r>
      <w:proofErr w:type="gramEnd"/>
      <w:r w:rsidRPr="00C7417E">
        <w:rPr>
          <w:rFonts w:ascii="Times New Roman" w:hAnsi="Times New Roman" w:cs="Times New Roman"/>
          <w:color w:val="FF0000"/>
          <w:sz w:val="24"/>
          <w:szCs w:val="24"/>
          <w:shd w:val="clear" w:color="auto" w:fill="FFFFFF"/>
        </w:rPr>
        <w:t xml:space="preserve"> </w:t>
      </w:r>
      <w:proofErr w:type="spellStart"/>
      <w:r w:rsidRPr="00C7417E">
        <w:rPr>
          <w:rFonts w:ascii="Times New Roman" w:hAnsi="Times New Roman" w:cs="Times New Roman"/>
          <w:i/>
          <w:color w:val="FF0000"/>
          <w:sz w:val="24"/>
          <w:szCs w:val="24"/>
          <w:shd w:val="clear" w:color="auto" w:fill="FFFFFF"/>
        </w:rPr>
        <w:t>Fiscaoeconomia</w:t>
      </w:r>
      <w:proofErr w:type="spellEnd"/>
      <w:r w:rsidRPr="00C7417E">
        <w:rPr>
          <w:rFonts w:ascii="Times New Roman" w:hAnsi="Times New Roman" w:cs="Times New Roman"/>
          <w:i/>
          <w:color w:val="FF0000"/>
          <w:sz w:val="24"/>
          <w:szCs w:val="24"/>
          <w:shd w:val="clear" w:color="auto" w:fill="FFFFFF"/>
        </w:rPr>
        <w:t>, 6</w:t>
      </w:r>
      <w:r w:rsidRPr="00C7417E">
        <w:rPr>
          <w:rFonts w:ascii="Times New Roman" w:hAnsi="Times New Roman" w:cs="Times New Roman"/>
          <w:color w:val="FF0000"/>
          <w:sz w:val="24"/>
          <w:szCs w:val="24"/>
          <w:shd w:val="clear" w:color="auto" w:fill="FFFFFF"/>
        </w:rPr>
        <w:t>(1), 215-228.</w:t>
      </w:r>
    </w:p>
    <w:p w14:paraId="10B33B45"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 xml:space="preserve">Jena, S. K., Tiwari, A. K., </w:t>
      </w:r>
      <w:proofErr w:type="spellStart"/>
      <w:r w:rsidRPr="00CF23CD">
        <w:rPr>
          <w:rFonts w:ascii="Times New Roman" w:hAnsi="Times New Roman" w:cs="Times New Roman"/>
          <w:color w:val="222222"/>
          <w:sz w:val="24"/>
          <w:szCs w:val="24"/>
          <w:shd w:val="clear" w:color="auto" w:fill="FFFFFF"/>
        </w:rPr>
        <w:t>Dogan</w:t>
      </w:r>
      <w:proofErr w:type="spellEnd"/>
      <w:r w:rsidRPr="00CF23CD">
        <w:rPr>
          <w:rFonts w:ascii="Times New Roman" w:hAnsi="Times New Roman" w:cs="Times New Roman"/>
          <w:color w:val="222222"/>
          <w:sz w:val="24"/>
          <w:szCs w:val="24"/>
          <w:shd w:val="clear" w:color="auto" w:fill="FFFFFF"/>
        </w:rPr>
        <w:t xml:space="preserve">, B., &amp; </w:t>
      </w:r>
      <w:proofErr w:type="spellStart"/>
      <w:r w:rsidRPr="00CF23CD">
        <w:rPr>
          <w:rFonts w:ascii="Times New Roman" w:hAnsi="Times New Roman" w:cs="Times New Roman"/>
          <w:color w:val="222222"/>
          <w:sz w:val="24"/>
          <w:szCs w:val="24"/>
          <w:shd w:val="clear" w:color="auto" w:fill="FFFFFF"/>
        </w:rPr>
        <w:t>Hammoudeh</w:t>
      </w:r>
      <w:proofErr w:type="spellEnd"/>
      <w:r w:rsidRPr="00CF23CD">
        <w:rPr>
          <w:rFonts w:ascii="Times New Roman" w:hAnsi="Times New Roman" w:cs="Times New Roman"/>
          <w:color w:val="222222"/>
          <w:sz w:val="24"/>
          <w:szCs w:val="24"/>
          <w:shd w:val="clear" w:color="auto" w:fill="FFFFFF"/>
        </w:rPr>
        <w:t>, S. (2020). Are the top six cryptocurrencies efficient? Evidence from time-varying long memory. </w:t>
      </w:r>
      <w:r w:rsidRPr="00CF23CD">
        <w:rPr>
          <w:rFonts w:ascii="Times New Roman" w:hAnsi="Times New Roman" w:cs="Times New Roman"/>
          <w:i/>
          <w:iCs/>
          <w:color w:val="222222"/>
          <w:sz w:val="24"/>
          <w:szCs w:val="24"/>
          <w:shd w:val="clear" w:color="auto" w:fill="FFFFFF"/>
        </w:rPr>
        <w:t>INTERNATIONAL JOURNAL OF FINANCE &amp; ECONOMICS</w:t>
      </w:r>
      <w:r w:rsidRPr="00CF23CD">
        <w:rPr>
          <w:rFonts w:ascii="Times New Roman" w:hAnsi="Times New Roman" w:cs="Times New Roman"/>
          <w:color w:val="222222"/>
          <w:sz w:val="24"/>
          <w:szCs w:val="24"/>
          <w:shd w:val="clear" w:color="auto" w:fill="FFFFFF"/>
        </w:rPr>
        <w:t>.</w:t>
      </w:r>
    </w:p>
    <w:p w14:paraId="46F57D5D"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Jiang, S., Li, X., &amp; Wang, S. (2021). Exploring evolution trends in cryptocurrency study: From underlying technology to economic applications.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38</w:t>
      </w:r>
      <w:r w:rsidRPr="00CF23CD">
        <w:rPr>
          <w:rFonts w:ascii="Times New Roman" w:hAnsi="Times New Roman" w:cs="Times New Roman"/>
          <w:color w:val="222222"/>
          <w:sz w:val="24"/>
          <w:szCs w:val="24"/>
          <w:shd w:val="clear" w:color="auto" w:fill="FFFFFF"/>
        </w:rPr>
        <w:t>, 101532.</w:t>
      </w:r>
    </w:p>
    <w:p w14:paraId="52D73492" w14:textId="77777777" w:rsidR="000D6907" w:rsidRDefault="000D6907" w:rsidP="000B72B4">
      <w:pPr>
        <w:tabs>
          <w:tab w:val="left" w:pos="270"/>
        </w:tabs>
        <w:ind w:left="360" w:hanging="360"/>
        <w:jc w:val="both"/>
        <w:rPr>
          <w:rFonts w:ascii="NexusSansWebPro" w:hAnsi="NexusSansWebPro"/>
          <w:color w:val="505050"/>
          <w:shd w:val="clear" w:color="auto" w:fill="FFFFFF"/>
        </w:rPr>
      </w:pPr>
      <w:proofErr w:type="spellStart"/>
      <w:r w:rsidRPr="00783802">
        <w:rPr>
          <w:rFonts w:ascii="NexusSansWebPro" w:hAnsi="NexusSansWebPro"/>
          <w:color w:val="505050"/>
          <w:shd w:val="clear" w:color="auto" w:fill="FFFFFF"/>
        </w:rPr>
        <w:t>Katsiampa</w:t>
      </w:r>
      <w:proofErr w:type="spellEnd"/>
      <w:r w:rsidRPr="00783802">
        <w:rPr>
          <w:rFonts w:ascii="NexusSansWebPro" w:hAnsi="NexusSansWebPro"/>
          <w:color w:val="505050"/>
          <w:shd w:val="clear" w:color="auto" w:fill="FFFFFF"/>
        </w:rPr>
        <w:t xml:space="preserve">, </w:t>
      </w:r>
      <w:proofErr w:type="spellStart"/>
      <w:r w:rsidRPr="00783802">
        <w:rPr>
          <w:rFonts w:ascii="NexusSansWebPro" w:hAnsi="NexusSansWebPro"/>
          <w:color w:val="505050"/>
          <w:shd w:val="clear" w:color="auto" w:fill="FFFFFF"/>
        </w:rPr>
        <w:t>Paraskevi</w:t>
      </w:r>
      <w:proofErr w:type="spellEnd"/>
      <w:r w:rsidRPr="00783802">
        <w:rPr>
          <w:rFonts w:ascii="NexusSansWebPro" w:hAnsi="NexusSansWebPro"/>
          <w:color w:val="505050"/>
          <w:shd w:val="clear" w:color="auto" w:fill="FFFFFF"/>
        </w:rPr>
        <w:t xml:space="preserve"> and </w:t>
      </w:r>
      <w:proofErr w:type="spellStart"/>
      <w:r w:rsidRPr="00783802">
        <w:rPr>
          <w:rFonts w:ascii="NexusSansWebPro" w:hAnsi="NexusSansWebPro"/>
          <w:color w:val="505050"/>
          <w:shd w:val="clear" w:color="auto" w:fill="FFFFFF"/>
        </w:rPr>
        <w:t>Yarovaya</w:t>
      </w:r>
      <w:proofErr w:type="spellEnd"/>
      <w:r w:rsidRPr="00783802">
        <w:rPr>
          <w:rFonts w:ascii="NexusSansWebPro" w:hAnsi="NexusSansWebPro"/>
          <w:color w:val="505050"/>
          <w:shd w:val="clear" w:color="auto" w:fill="FFFFFF"/>
        </w:rPr>
        <w:t xml:space="preserve">, Larisa and </w:t>
      </w:r>
      <w:proofErr w:type="spellStart"/>
      <w:r w:rsidRPr="00783802">
        <w:rPr>
          <w:rFonts w:ascii="NexusSansWebPro" w:hAnsi="NexusSansWebPro"/>
          <w:color w:val="505050"/>
          <w:shd w:val="clear" w:color="auto" w:fill="FFFFFF"/>
        </w:rPr>
        <w:t>Zięba</w:t>
      </w:r>
      <w:proofErr w:type="spellEnd"/>
      <w:r w:rsidRPr="00783802">
        <w:rPr>
          <w:rFonts w:ascii="NexusSansWebPro" w:hAnsi="NexusSansWebPro"/>
          <w:color w:val="505050"/>
          <w:shd w:val="clear" w:color="auto" w:fill="FFFFFF"/>
        </w:rPr>
        <w:t>, Damian, High-Frequency Connectedness between Bitcoin and Other Top-Traded Crypto Assets during the COVID-19 Crisis (June 21, 2021). Available at SSRN: https://ssrn.com/abstract=3871405 or http://dx.doi.org/10.2139/ssrn.3871405</w:t>
      </w:r>
    </w:p>
    <w:p w14:paraId="2508B270"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Kraaijeveld</w:t>
      </w:r>
      <w:proofErr w:type="spellEnd"/>
      <w:r w:rsidRPr="00CF23CD">
        <w:rPr>
          <w:rFonts w:ascii="Times New Roman" w:hAnsi="Times New Roman" w:cs="Times New Roman"/>
          <w:color w:val="222222"/>
          <w:sz w:val="24"/>
          <w:szCs w:val="24"/>
          <w:shd w:val="clear" w:color="auto" w:fill="FFFFFF"/>
        </w:rPr>
        <w:t xml:space="preserve">, O., &amp; De </w:t>
      </w:r>
      <w:proofErr w:type="spellStart"/>
      <w:r w:rsidRPr="00CF23CD">
        <w:rPr>
          <w:rFonts w:ascii="Times New Roman" w:hAnsi="Times New Roman" w:cs="Times New Roman"/>
          <w:color w:val="222222"/>
          <w:sz w:val="24"/>
          <w:szCs w:val="24"/>
          <w:shd w:val="clear" w:color="auto" w:fill="FFFFFF"/>
        </w:rPr>
        <w:t>Smedt</w:t>
      </w:r>
      <w:proofErr w:type="spellEnd"/>
      <w:r w:rsidRPr="00CF23CD">
        <w:rPr>
          <w:rFonts w:ascii="Times New Roman" w:hAnsi="Times New Roman" w:cs="Times New Roman"/>
          <w:color w:val="222222"/>
          <w:sz w:val="24"/>
          <w:szCs w:val="24"/>
          <w:shd w:val="clear" w:color="auto" w:fill="FFFFFF"/>
        </w:rPr>
        <w:t>, J. (2020). The predictive power of public Twitter sentiment for forecasting cryptocurrency prices. </w:t>
      </w:r>
      <w:r w:rsidRPr="00CF23CD">
        <w:rPr>
          <w:rFonts w:ascii="Times New Roman" w:hAnsi="Times New Roman" w:cs="Times New Roman"/>
          <w:i/>
          <w:iCs/>
          <w:color w:val="222222"/>
          <w:sz w:val="24"/>
          <w:szCs w:val="24"/>
          <w:shd w:val="clear" w:color="auto" w:fill="FFFFFF"/>
        </w:rPr>
        <w:t>Journal of International Financial Markets, Institutions and Money</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65</w:t>
      </w:r>
      <w:r w:rsidRPr="00CF23CD">
        <w:rPr>
          <w:rFonts w:ascii="Times New Roman" w:hAnsi="Times New Roman" w:cs="Times New Roman"/>
          <w:color w:val="222222"/>
          <w:sz w:val="24"/>
          <w:szCs w:val="24"/>
          <w:shd w:val="clear" w:color="auto" w:fill="FFFFFF"/>
        </w:rPr>
        <w:t>, 101188.</w:t>
      </w:r>
    </w:p>
    <w:p w14:paraId="59B22DA8"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Kristoufek</w:t>
      </w:r>
      <w:proofErr w:type="spellEnd"/>
      <w:r w:rsidRPr="00CF23CD">
        <w:rPr>
          <w:rFonts w:ascii="Times New Roman" w:hAnsi="Times New Roman" w:cs="Times New Roman"/>
          <w:color w:val="222222"/>
          <w:sz w:val="24"/>
          <w:szCs w:val="24"/>
          <w:shd w:val="clear" w:color="auto" w:fill="FFFFFF"/>
        </w:rPr>
        <w:t xml:space="preserve">, L. (2013). </w:t>
      </w:r>
      <w:proofErr w:type="spellStart"/>
      <w:r w:rsidRPr="00CF23CD">
        <w:rPr>
          <w:rFonts w:ascii="Times New Roman" w:hAnsi="Times New Roman" w:cs="Times New Roman"/>
          <w:color w:val="222222"/>
          <w:sz w:val="24"/>
          <w:szCs w:val="24"/>
          <w:shd w:val="clear" w:color="auto" w:fill="FFFFFF"/>
        </w:rPr>
        <w:t>BitCoin</w:t>
      </w:r>
      <w:proofErr w:type="spellEnd"/>
      <w:r w:rsidRPr="00CF23CD">
        <w:rPr>
          <w:rFonts w:ascii="Times New Roman" w:hAnsi="Times New Roman" w:cs="Times New Roman"/>
          <w:color w:val="222222"/>
          <w:sz w:val="24"/>
          <w:szCs w:val="24"/>
          <w:shd w:val="clear" w:color="auto" w:fill="FFFFFF"/>
        </w:rPr>
        <w:t xml:space="preserve"> meets Google Trends and Wikipedia: Quantifying the relationship between phenomena of the Internet era. </w:t>
      </w:r>
      <w:r w:rsidRPr="00CF23CD">
        <w:rPr>
          <w:rFonts w:ascii="Times New Roman" w:hAnsi="Times New Roman" w:cs="Times New Roman"/>
          <w:i/>
          <w:iCs/>
          <w:color w:val="222222"/>
          <w:sz w:val="24"/>
          <w:szCs w:val="24"/>
          <w:shd w:val="clear" w:color="auto" w:fill="FFFFFF"/>
        </w:rPr>
        <w:t>Scientific reports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w:t>
      </w:r>
      <w:r w:rsidRPr="00CF23CD">
        <w:rPr>
          <w:rFonts w:ascii="Times New Roman" w:hAnsi="Times New Roman" w:cs="Times New Roman"/>
          <w:color w:val="222222"/>
          <w:sz w:val="24"/>
          <w:szCs w:val="24"/>
          <w:shd w:val="clear" w:color="auto" w:fill="FFFFFF"/>
        </w:rPr>
        <w:t>(1), 1-7.</w:t>
      </w:r>
    </w:p>
    <w:p w14:paraId="238E5E00"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Li, X., &amp; Wang, C. A. (2017). The technology and economic determinants of cryptocurrency exchange rates: The case of Bitcoin. </w:t>
      </w:r>
      <w:r w:rsidRPr="00CF23CD">
        <w:rPr>
          <w:rFonts w:ascii="Times New Roman" w:hAnsi="Times New Roman" w:cs="Times New Roman"/>
          <w:i/>
          <w:iCs/>
          <w:color w:val="222222"/>
          <w:sz w:val="24"/>
          <w:szCs w:val="24"/>
          <w:shd w:val="clear" w:color="auto" w:fill="FFFFFF"/>
        </w:rPr>
        <w:t>Decision Support Systems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95</w:t>
      </w:r>
      <w:r w:rsidRPr="00CF23CD">
        <w:rPr>
          <w:rFonts w:ascii="Times New Roman" w:hAnsi="Times New Roman" w:cs="Times New Roman"/>
          <w:color w:val="222222"/>
          <w:sz w:val="24"/>
          <w:szCs w:val="24"/>
          <w:shd w:val="clear" w:color="auto" w:fill="FFFFFF"/>
        </w:rPr>
        <w:t>, 49-60.</w:t>
      </w:r>
    </w:p>
    <w:p w14:paraId="27B8E2EB"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2C05CE">
        <w:rPr>
          <w:rFonts w:ascii="Times New Roman" w:hAnsi="Times New Roman" w:cs="Times New Roman"/>
          <w:color w:val="222222"/>
          <w:sz w:val="24"/>
          <w:szCs w:val="24"/>
          <w:shd w:val="clear" w:color="auto" w:fill="FFFFFF"/>
          <w:lang w:val="fr-FR"/>
        </w:rPr>
        <w:t xml:space="preserve">Li, X., Ma, J., Wang, S., &amp; Zhang, X. (2015). </w:t>
      </w:r>
      <w:r w:rsidRPr="00CF23CD">
        <w:rPr>
          <w:rFonts w:ascii="Times New Roman" w:hAnsi="Times New Roman" w:cs="Times New Roman"/>
          <w:color w:val="222222"/>
          <w:sz w:val="24"/>
          <w:szCs w:val="24"/>
          <w:shd w:val="clear" w:color="auto" w:fill="FFFFFF"/>
        </w:rPr>
        <w:t>How does Google search affect trader positions and crude oil prices</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Economic Modelling</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49</w:t>
      </w:r>
      <w:r w:rsidRPr="00CF23CD">
        <w:rPr>
          <w:rFonts w:ascii="Times New Roman" w:hAnsi="Times New Roman" w:cs="Times New Roman"/>
          <w:color w:val="222222"/>
          <w:sz w:val="24"/>
          <w:szCs w:val="24"/>
          <w:shd w:val="clear" w:color="auto" w:fill="FFFFFF"/>
        </w:rPr>
        <w:t>, 162-171.</w:t>
      </w:r>
    </w:p>
    <w:p w14:paraId="7AE61EB2"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2C05CE">
        <w:rPr>
          <w:rFonts w:ascii="Times New Roman" w:hAnsi="Times New Roman" w:cs="Times New Roman"/>
          <w:color w:val="222222"/>
          <w:sz w:val="24"/>
          <w:szCs w:val="24"/>
          <w:shd w:val="clear" w:color="auto" w:fill="FFFFFF"/>
          <w:lang w:val="fr-FR"/>
        </w:rPr>
        <w:t xml:space="preserve">Liang, C., Zhang, Y., Li, X., &amp; Ma, F. (2020). </w:t>
      </w:r>
      <w:r w:rsidRPr="00CF23CD">
        <w:rPr>
          <w:rFonts w:ascii="Times New Roman" w:hAnsi="Times New Roman" w:cs="Times New Roman"/>
          <w:color w:val="222222"/>
          <w:sz w:val="24"/>
          <w:szCs w:val="24"/>
          <w:shd w:val="clear" w:color="auto" w:fill="FFFFFF"/>
        </w:rPr>
        <w:t>Which predictor is more predictive for Bitcoin volatility? And why</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International Journal of Finance &amp; Economics</w:t>
      </w:r>
      <w:r w:rsidRPr="00CF23CD">
        <w:rPr>
          <w:rFonts w:ascii="Times New Roman" w:hAnsi="Times New Roman" w:cs="Times New Roman"/>
          <w:color w:val="222222"/>
          <w:sz w:val="24"/>
          <w:szCs w:val="24"/>
          <w:shd w:val="clear" w:color="auto" w:fill="FFFFFF"/>
        </w:rPr>
        <w:t>.</w:t>
      </w:r>
    </w:p>
    <w:p w14:paraId="69347DE2"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 xml:space="preserve">Matta, M., </w:t>
      </w:r>
      <w:proofErr w:type="spellStart"/>
      <w:r w:rsidRPr="00CF23CD">
        <w:rPr>
          <w:rFonts w:ascii="Times New Roman" w:hAnsi="Times New Roman" w:cs="Times New Roman"/>
          <w:color w:val="222222"/>
          <w:sz w:val="24"/>
          <w:szCs w:val="24"/>
          <w:shd w:val="clear" w:color="auto" w:fill="FFFFFF"/>
        </w:rPr>
        <w:t>Lunesu</w:t>
      </w:r>
      <w:proofErr w:type="spellEnd"/>
      <w:r w:rsidRPr="00CF23CD">
        <w:rPr>
          <w:rFonts w:ascii="Times New Roman" w:hAnsi="Times New Roman" w:cs="Times New Roman"/>
          <w:color w:val="222222"/>
          <w:sz w:val="24"/>
          <w:szCs w:val="24"/>
          <w:shd w:val="clear" w:color="auto" w:fill="FFFFFF"/>
        </w:rPr>
        <w:t xml:space="preserve">, I., &amp; </w:t>
      </w:r>
      <w:proofErr w:type="spellStart"/>
      <w:r w:rsidRPr="00CF23CD">
        <w:rPr>
          <w:rFonts w:ascii="Times New Roman" w:hAnsi="Times New Roman" w:cs="Times New Roman"/>
          <w:color w:val="222222"/>
          <w:sz w:val="24"/>
          <w:szCs w:val="24"/>
          <w:shd w:val="clear" w:color="auto" w:fill="FFFFFF"/>
        </w:rPr>
        <w:t>Marchesi</w:t>
      </w:r>
      <w:proofErr w:type="spellEnd"/>
      <w:r w:rsidRPr="00CF23CD">
        <w:rPr>
          <w:rFonts w:ascii="Times New Roman" w:hAnsi="Times New Roman" w:cs="Times New Roman"/>
          <w:color w:val="222222"/>
          <w:sz w:val="24"/>
          <w:szCs w:val="24"/>
          <w:shd w:val="clear" w:color="auto" w:fill="FFFFFF"/>
        </w:rPr>
        <w:t>, M. (2015, June). Bitcoin Spread Prediction Using Social and Web Search Media. In </w:t>
      </w:r>
      <w:r w:rsidRPr="00CF23CD">
        <w:rPr>
          <w:rFonts w:ascii="Times New Roman" w:hAnsi="Times New Roman" w:cs="Times New Roman"/>
          <w:i/>
          <w:iCs/>
          <w:color w:val="222222"/>
          <w:sz w:val="24"/>
          <w:szCs w:val="24"/>
          <w:shd w:val="clear" w:color="auto" w:fill="FFFFFF"/>
        </w:rPr>
        <w:t>UMAP workshops</w:t>
      </w:r>
      <w:r w:rsidRPr="00CF23CD">
        <w:rPr>
          <w:rFonts w:ascii="Times New Roman" w:hAnsi="Times New Roman" w:cs="Times New Roman"/>
          <w:color w:val="222222"/>
          <w:sz w:val="24"/>
          <w:szCs w:val="24"/>
          <w:shd w:val="clear" w:color="auto" w:fill="FFFFFF"/>
        </w:rPr>
        <w:t> (pp. 1-10).</w:t>
      </w:r>
    </w:p>
    <w:p w14:paraId="1DCE449C"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lastRenderedPageBreak/>
        <w:t xml:space="preserve">Nagao, S., Takeda, F., &amp; Tanaka, R. (2019). </w:t>
      </w:r>
      <w:proofErr w:type="spellStart"/>
      <w:r w:rsidRPr="00CF23CD">
        <w:rPr>
          <w:rFonts w:ascii="Times New Roman" w:hAnsi="Times New Roman" w:cs="Times New Roman"/>
          <w:color w:val="222222"/>
          <w:sz w:val="24"/>
          <w:szCs w:val="24"/>
          <w:shd w:val="clear" w:color="auto" w:fill="FFFFFF"/>
        </w:rPr>
        <w:t>Nowcasting</w:t>
      </w:r>
      <w:proofErr w:type="spellEnd"/>
      <w:r w:rsidRPr="00CF23CD">
        <w:rPr>
          <w:rFonts w:ascii="Times New Roman" w:hAnsi="Times New Roman" w:cs="Times New Roman"/>
          <w:color w:val="222222"/>
          <w:sz w:val="24"/>
          <w:szCs w:val="24"/>
          <w:shd w:val="clear" w:color="auto" w:fill="FFFFFF"/>
        </w:rPr>
        <w:t xml:space="preserve"> of the US unemployment rate using Google Trends.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30</w:t>
      </w:r>
      <w:r w:rsidRPr="00CF23CD">
        <w:rPr>
          <w:rFonts w:ascii="Times New Roman" w:hAnsi="Times New Roman" w:cs="Times New Roman"/>
          <w:color w:val="222222"/>
          <w:sz w:val="24"/>
          <w:szCs w:val="24"/>
          <w:shd w:val="clear" w:color="auto" w:fill="FFFFFF"/>
        </w:rPr>
        <w:t>, 103-109.</w:t>
      </w:r>
    </w:p>
    <w:p w14:paraId="0D2AD1AB" w14:textId="77777777" w:rsidR="000D6907" w:rsidRPr="00CF23CD" w:rsidRDefault="000D6907" w:rsidP="000B72B4">
      <w:pPr>
        <w:tabs>
          <w:tab w:val="left" w:pos="270"/>
        </w:tabs>
        <w:ind w:left="360" w:hanging="360"/>
        <w:jc w:val="both"/>
        <w:rPr>
          <w:rFonts w:ascii="Times New Roman" w:hAnsi="Times New Roman" w:cs="Times New Roman"/>
          <w:color w:val="333333"/>
          <w:sz w:val="24"/>
          <w:szCs w:val="24"/>
          <w:shd w:val="clear" w:color="auto" w:fill="FCFCFC"/>
        </w:rPr>
      </w:pPr>
      <w:proofErr w:type="spellStart"/>
      <w:r w:rsidRPr="00CF23CD">
        <w:rPr>
          <w:rFonts w:ascii="Times New Roman" w:hAnsi="Times New Roman" w:cs="Times New Roman"/>
          <w:color w:val="333333"/>
          <w:sz w:val="24"/>
          <w:szCs w:val="24"/>
          <w:shd w:val="clear" w:color="auto" w:fill="FCFCFC"/>
        </w:rPr>
        <w:t>Nakamoto</w:t>
      </w:r>
      <w:proofErr w:type="spellEnd"/>
      <w:r w:rsidRPr="00CF23CD">
        <w:rPr>
          <w:rFonts w:ascii="Times New Roman" w:hAnsi="Times New Roman" w:cs="Times New Roman"/>
          <w:color w:val="333333"/>
          <w:sz w:val="24"/>
          <w:szCs w:val="24"/>
          <w:shd w:val="clear" w:color="auto" w:fill="FCFCFC"/>
        </w:rPr>
        <w:t xml:space="preserve"> S (2008) Bitcoin: a peer-to-peer electronic cash system. Bitcoin.</w:t>
      </w:r>
    </w:p>
    <w:p w14:paraId="3EBA3B0D" w14:textId="77777777" w:rsidR="000D6907" w:rsidRPr="00C83530" w:rsidRDefault="000D6907" w:rsidP="000B72B4">
      <w:pPr>
        <w:tabs>
          <w:tab w:val="left" w:pos="270"/>
        </w:tabs>
        <w:ind w:left="360" w:hanging="360"/>
        <w:jc w:val="both"/>
        <w:rPr>
          <w:rFonts w:ascii="Times New Roman" w:hAnsi="Times New Roman" w:cs="Times New Roman"/>
          <w:color w:val="222222"/>
          <w:sz w:val="24"/>
          <w:szCs w:val="24"/>
          <w:shd w:val="clear" w:color="auto" w:fill="FFFFFF"/>
          <w:lang w:val="fr-FR"/>
        </w:rPr>
      </w:pPr>
      <w:r w:rsidRPr="00CF23CD">
        <w:rPr>
          <w:rFonts w:ascii="Times New Roman" w:hAnsi="Times New Roman" w:cs="Times New Roman"/>
          <w:color w:val="222222"/>
          <w:sz w:val="24"/>
          <w:szCs w:val="24"/>
          <w:shd w:val="clear" w:color="auto" w:fill="FFFFFF"/>
        </w:rPr>
        <w:t>Nasir, M. A., Huynh, T. L. D., Nguyen, S. P., &amp; Duong, D. (2019). Forecasting cryptocurrency returns and volume using search engines. </w:t>
      </w:r>
      <w:r w:rsidRPr="00C83530">
        <w:rPr>
          <w:rFonts w:ascii="Times New Roman" w:hAnsi="Times New Roman" w:cs="Times New Roman"/>
          <w:i/>
          <w:iCs/>
          <w:color w:val="222222"/>
          <w:sz w:val="24"/>
          <w:szCs w:val="24"/>
          <w:shd w:val="clear" w:color="auto" w:fill="FFFFFF"/>
          <w:lang w:val="fr-FR"/>
        </w:rPr>
        <w:t>Financial Innovation</w:t>
      </w:r>
      <w:r w:rsidRPr="00C83530">
        <w:rPr>
          <w:rFonts w:ascii="Times New Roman" w:hAnsi="Times New Roman" w:cs="Times New Roman"/>
          <w:color w:val="222222"/>
          <w:sz w:val="24"/>
          <w:szCs w:val="24"/>
          <w:shd w:val="clear" w:color="auto" w:fill="FFFFFF"/>
          <w:lang w:val="fr-FR"/>
        </w:rPr>
        <w:t>, </w:t>
      </w:r>
      <w:r w:rsidRPr="00C83530">
        <w:rPr>
          <w:rFonts w:ascii="Times New Roman" w:hAnsi="Times New Roman" w:cs="Times New Roman"/>
          <w:i/>
          <w:iCs/>
          <w:color w:val="222222"/>
          <w:sz w:val="24"/>
          <w:szCs w:val="24"/>
          <w:shd w:val="clear" w:color="auto" w:fill="FFFFFF"/>
          <w:lang w:val="fr-FR"/>
        </w:rPr>
        <w:t>5</w:t>
      </w:r>
      <w:r w:rsidRPr="00C83530">
        <w:rPr>
          <w:rFonts w:ascii="Times New Roman" w:hAnsi="Times New Roman" w:cs="Times New Roman"/>
          <w:color w:val="222222"/>
          <w:sz w:val="24"/>
          <w:szCs w:val="24"/>
          <w:shd w:val="clear" w:color="auto" w:fill="FFFFFF"/>
          <w:lang w:val="fr-FR"/>
        </w:rPr>
        <w:t>(1), 1-13.</w:t>
      </w:r>
    </w:p>
    <w:p w14:paraId="097848D4"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83530">
        <w:rPr>
          <w:rFonts w:ascii="Times New Roman" w:hAnsi="Times New Roman" w:cs="Times New Roman"/>
          <w:color w:val="222222"/>
          <w:sz w:val="24"/>
          <w:szCs w:val="24"/>
          <w:shd w:val="clear" w:color="auto" w:fill="FFFFFF"/>
          <w:lang w:val="fr-FR"/>
        </w:rPr>
        <w:t xml:space="preserve">Nguyen, C. P., </w:t>
      </w:r>
      <w:proofErr w:type="spellStart"/>
      <w:r w:rsidRPr="00C83530">
        <w:rPr>
          <w:rFonts w:ascii="Times New Roman" w:hAnsi="Times New Roman" w:cs="Times New Roman"/>
          <w:color w:val="222222"/>
          <w:sz w:val="24"/>
          <w:szCs w:val="24"/>
          <w:shd w:val="clear" w:color="auto" w:fill="FFFFFF"/>
          <w:lang w:val="fr-FR"/>
        </w:rPr>
        <w:t>Schinckus</w:t>
      </w:r>
      <w:proofErr w:type="spellEnd"/>
      <w:r w:rsidRPr="00C83530">
        <w:rPr>
          <w:rFonts w:ascii="Times New Roman" w:hAnsi="Times New Roman" w:cs="Times New Roman"/>
          <w:color w:val="222222"/>
          <w:sz w:val="24"/>
          <w:szCs w:val="24"/>
          <w:shd w:val="clear" w:color="auto" w:fill="FFFFFF"/>
          <w:lang w:val="fr-FR"/>
        </w:rPr>
        <w:t xml:space="preserve">, C., &amp; Nguyen, T. V. H. (2019). </w:t>
      </w:r>
      <w:r w:rsidRPr="00CF23CD">
        <w:rPr>
          <w:rFonts w:ascii="Times New Roman" w:hAnsi="Times New Roman" w:cs="Times New Roman"/>
          <w:color w:val="222222"/>
          <w:sz w:val="24"/>
          <w:szCs w:val="24"/>
          <w:shd w:val="clear" w:color="auto" w:fill="FFFFFF"/>
        </w:rPr>
        <w:t>Google search and stock returns in emerging markets. </w:t>
      </w:r>
      <w:proofErr w:type="spellStart"/>
      <w:r w:rsidRPr="00CF23CD">
        <w:rPr>
          <w:rFonts w:ascii="Times New Roman" w:hAnsi="Times New Roman" w:cs="Times New Roman"/>
          <w:i/>
          <w:iCs/>
          <w:color w:val="222222"/>
          <w:sz w:val="24"/>
          <w:szCs w:val="24"/>
          <w:shd w:val="clear" w:color="auto" w:fill="FFFFFF"/>
        </w:rPr>
        <w:t>Borsa</w:t>
      </w:r>
      <w:proofErr w:type="spellEnd"/>
      <w:r w:rsidRPr="00CF23CD">
        <w:rPr>
          <w:rFonts w:ascii="Times New Roman" w:hAnsi="Times New Roman" w:cs="Times New Roman"/>
          <w:i/>
          <w:iCs/>
          <w:color w:val="222222"/>
          <w:sz w:val="24"/>
          <w:szCs w:val="24"/>
          <w:shd w:val="clear" w:color="auto" w:fill="FFFFFF"/>
        </w:rPr>
        <w:t xml:space="preserve"> Istanbul Review</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19</w:t>
      </w:r>
      <w:r w:rsidRPr="00CF23CD">
        <w:rPr>
          <w:rFonts w:ascii="Times New Roman" w:hAnsi="Times New Roman" w:cs="Times New Roman"/>
          <w:color w:val="222222"/>
          <w:sz w:val="24"/>
          <w:szCs w:val="24"/>
          <w:shd w:val="clear" w:color="auto" w:fill="FFFFFF"/>
        </w:rPr>
        <w:t>(4), 288-296.</w:t>
      </w:r>
    </w:p>
    <w:p w14:paraId="668E9E17"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Panagiotidis</w:t>
      </w:r>
      <w:proofErr w:type="spellEnd"/>
      <w:r w:rsidRPr="00CF23CD">
        <w:rPr>
          <w:rFonts w:ascii="Times New Roman" w:hAnsi="Times New Roman" w:cs="Times New Roman"/>
          <w:color w:val="222222"/>
          <w:sz w:val="24"/>
          <w:szCs w:val="24"/>
          <w:shd w:val="clear" w:color="auto" w:fill="FFFFFF"/>
        </w:rPr>
        <w:t xml:space="preserve">, T., </w:t>
      </w:r>
      <w:proofErr w:type="spellStart"/>
      <w:r w:rsidRPr="00CF23CD">
        <w:rPr>
          <w:rFonts w:ascii="Times New Roman" w:hAnsi="Times New Roman" w:cs="Times New Roman"/>
          <w:color w:val="222222"/>
          <w:sz w:val="24"/>
          <w:szCs w:val="24"/>
          <w:shd w:val="clear" w:color="auto" w:fill="FFFFFF"/>
        </w:rPr>
        <w:t>Stengos</w:t>
      </w:r>
      <w:proofErr w:type="spellEnd"/>
      <w:r w:rsidRPr="00CF23CD">
        <w:rPr>
          <w:rFonts w:ascii="Times New Roman" w:hAnsi="Times New Roman" w:cs="Times New Roman"/>
          <w:color w:val="222222"/>
          <w:sz w:val="24"/>
          <w:szCs w:val="24"/>
          <w:shd w:val="clear" w:color="auto" w:fill="FFFFFF"/>
        </w:rPr>
        <w:t xml:space="preserve">, T., &amp; </w:t>
      </w:r>
      <w:proofErr w:type="spellStart"/>
      <w:r w:rsidRPr="00CF23CD">
        <w:rPr>
          <w:rFonts w:ascii="Times New Roman" w:hAnsi="Times New Roman" w:cs="Times New Roman"/>
          <w:color w:val="222222"/>
          <w:sz w:val="24"/>
          <w:szCs w:val="24"/>
          <w:shd w:val="clear" w:color="auto" w:fill="FFFFFF"/>
        </w:rPr>
        <w:t>Vravosinos</w:t>
      </w:r>
      <w:proofErr w:type="spellEnd"/>
      <w:r w:rsidRPr="00CF23CD">
        <w:rPr>
          <w:rFonts w:ascii="Times New Roman" w:hAnsi="Times New Roman" w:cs="Times New Roman"/>
          <w:color w:val="222222"/>
          <w:sz w:val="24"/>
          <w:szCs w:val="24"/>
          <w:shd w:val="clear" w:color="auto" w:fill="FFFFFF"/>
        </w:rPr>
        <w:t>, O. (2018). On the determinants of bitcoin returns: A LASSO approach.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27</w:t>
      </w:r>
      <w:r w:rsidRPr="00CF23CD">
        <w:rPr>
          <w:rFonts w:ascii="Times New Roman" w:hAnsi="Times New Roman" w:cs="Times New Roman"/>
          <w:color w:val="222222"/>
          <w:sz w:val="24"/>
          <w:szCs w:val="24"/>
          <w:shd w:val="clear" w:color="auto" w:fill="FFFFFF"/>
        </w:rPr>
        <w:t>, 235-240.</w:t>
      </w:r>
    </w:p>
    <w:p w14:paraId="0853D796"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Park, S., &amp; Kim, J. (2018). The effect of interest in renewable energy on US household electricity consumption: An analysis using Google Trends data. </w:t>
      </w:r>
      <w:r w:rsidRPr="00CF23CD">
        <w:rPr>
          <w:rFonts w:ascii="Times New Roman" w:hAnsi="Times New Roman" w:cs="Times New Roman"/>
          <w:i/>
          <w:iCs/>
          <w:color w:val="222222"/>
          <w:sz w:val="24"/>
          <w:szCs w:val="24"/>
          <w:shd w:val="clear" w:color="auto" w:fill="FFFFFF"/>
        </w:rPr>
        <w:t>Renewable energy</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127</w:t>
      </w:r>
      <w:r w:rsidRPr="00CF23CD">
        <w:rPr>
          <w:rFonts w:ascii="Times New Roman" w:hAnsi="Times New Roman" w:cs="Times New Roman"/>
          <w:color w:val="222222"/>
          <w:sz w:val="24"/>
          <w:szCs w:val="24"/>
          <w:shd w:val="clear" w:color="auto" w:fill="FFFFFF"/>
        </w:rPr>
        <w:t>, 1004-1010.</w:t>
      </w:r>
    </w:p>
    <w:p w14:paraId="1382594E"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Pärlstrand</w:t>
      </w:r>
      <w:proofErr w:type="spellEnd"/>
      <w:r w:rsidRPr="00CF23CD">
        <w:rPr>
          <w:rFonts w:ascii="Times New Roman" w:hAnsi="Times New Roman" w:cs="Times New Roman"/>
          <w:color w:val="222222"/>
          <w:sz w:val="24"/>
          <w:szCs w:val="24"/>
          <w:shd w:val="clear" w:color="auto" w:fill="FFFFFF"/>
        </w:rPr>
        <w:t xml:space="preserve">, E., &amp; </w:t>
      </w:r>
      <w:proofErr w:type="spellStart"/>
      <w:r w:rsidRPr="00CF23CD">
        <w:rPr>
          <w:rFonts w:ascii="Times New Roman" w:hAnsi="Times New Roman" w:cs="Times New Roman"/>
          <w:color w:val="222222"/>
          <w:sz w:val="24"/>
          <w:szCs w:val="24"/>
          <w:shd w:val="clear" w:color="auto" w:fill="FFFFFF"/>
        </w:rPr>
        <w:t>Rydén</w:t>
      </w:r>
      <w:proofErr w:type="spellEnd"/>
      <w:r w:rsidRPr="00CF23CD">
        <w:rPr>
          <w:rFonts w:ascii="Times New Roman" w:hAnsi="Times New Roman" w:cs="Times New Roman"/>
          <w:color w:val="222222"/>
          <w:sz w:val="24"/>
          <w:szCs w:val="24"/>
          <w:shd w:val="clear" w:color="auto" w:fill="FFFFFF"/>
        </w:rPr>
        <w:t>, O. (2015). Explaining the market price of Bitcoin and other Cryptocurrencies with Statistical Analysis.</w:t>
      </w:r>
    </w:p>
    <w:p w14:paraId="0AA8C793" w14:textId="77777777" w:rsidR="000D6907" w:rsidRPr="000D6907" w:rsidRDefault="000D6907" w:rsidP="000D6907">
      <w:pPr>
        <w:tabs>
          <w:tab w:val="left" w:pos="270"/>
        </w:tabs>
        <w:ind w:left="360" w:hanging="360"/>
        <w:jc w:val="both"/>
        <w:rPr>
          <w:rFonts w:ascii="Times New Roman" w:hAnsi="Times New Roman" w:cs="Times New Roman"/>
          <w:color w:val="FF0000"/>
          <w:sz w:val="24"/>
          <w:szCs w:val="24"/>
          <w:shd w:val="clear" w:color="auto" w:fill="FFFFFF"/>
          <w:lang w:val="fr-FR"/>
        </w:rPr>
      </w:pPr>
      <w:r w:rsidRPr="000D6907">
        <w:rPr>
          <w:rFonts w:ascii="Times New Roman" w:hAnsi="Times New Roman" w:cs="Times New Roman"/>
          <w:color w:val="FF0000"/>
          <w:sz w:val="24"/>
          <w:szCs w:val="24"/>
          <w:shd w:val="clear" w:color="auto" w:fill="FFFFFF"/>
          <w:lang w:val="fr-FR"/>
        </w:rPr>
        <w:t xml:space="preserve">Patel, M. M., </w:t>
      </w:r>
      <w:proofErr w:type="spellStart"/>
      <w:r w:rsidRPr="000D6907">
        <w:rPr>
          <w:rFonts w:ascii="Times New Roman" w:hAnsi="Times New Roman" w:cs="Times New Roman"/>
          <w:color w:val="FF0000"/>
          <w:sz w:val="24"/>
          <w:szCs w:val="24"/>
          <w:shd w:val="clear" w:color="auto" w:fill="FFFFFF"/>
          <w:lang w:val="fr-FR"/>
        </w:rPr>
        <w:t>Tanwar</w:t>
      </w:r>
      <w:proofErr w:type="spellEnd"/>
      <w:r w:rsidRPr="000D6907">
        <w:rPr>
          <w:rFonts w:ascii="Times New Roman" w:hAnsi="Times New Roman" w:cs="Times New Roman"/>
          <w:color w:val="FF0000"/>
          <w:sz w:val="24"/>
          <w:szCs w:val="24"/>
          <w:shd w:val="clear" w:color="auto" w:fill="FFFFFF"/>
          <w:lang w:val="fr-FR"/>
        </w:rPr>
        <w:t xml:space="preserve">, S., Gupta, R., &amp; Kumar, N. (2020). A </w:t>
      </w:r>
      <w:proofErr w:type="spellStart"/>
      <w:r w:rsidRPr="000D6907">
        <w:rPr>
          <w:rFonts w:ascii="Times New Roman" w:hAnsi="Times New Roman" w:cs="Times New Roman"/>
          <w:color w:val="FF0000"/>
          <w:sz w:val="24"/>
          <w:szCs w:val="24"/>
          <w:shd w:val="clear" w:color="auto" w:fill="FFFFFF"/>
          <w:lang w:val="fr-FR"/>
        </w:rPr>
        <w:t>deep</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learning-based</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cryptocurrency</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price</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prediction</w:t>
      </w:r>
      <w:proofErr w:type="spellEnd"/>
      <w:r w:rsidRPr="000D6907">
        <w:rPr>
          <w:rFonts w:ascii="Times New Roman" w:hAnsi="Times New Roman" w:cs="Times New Roman"/>
          <w:color w:val="FF0000"/>
          <w:sz w:val="24"/>
          <w:szCs w:val="24"/>
          <w:shd w:val="clear" w:color="auto" w:fill="FFFFFF"/>
          <w:lang w:val="fr-FR"/>
        </w:rPr>
        <w:t xml:space="preserve"> </w:t>
      </w:r>
      <w:proofErr w:type="spellStart"/>
      <w:r w:rsidRPr="000D6907">
        <w:rPr>
          <w:rFonts w:ascii="Times New Roman" w:hAnsi="Times New Roman" w:cs="Times New Roman"/>
          <w:color w:val="FF0000"/>
          <w:sz w:val="24"/>
          <w:szCs w:val="24"/>
          <w:shd w:val="clear" w:color="auto" w:fill="FFFFFF"/>
          <w:lang w:val="fr-FR"/>
        </w:rPr>
        <w:t>scheme</w:t>
      </w:r>
      <w:proofErr w:type="spellEnd"/>
      <w:r w:rsidRPr="000D6907">
        <w:rPr>
          <w:rFonts w:ascii="Times New Roman" w:hAnsi="Times New Roman" w:cs="Times New Roman"/>
          <w:color w:val="FF0000"/>
          <w:sz w:val="24"/>
          <w:szCs w:val="24"/>
          <w:shd w:val="clear" w:color="auto" w:fill="FFFFFF"/>
          <w:lang w:val="fr-FR"/>
        </w:rPr>
        <w:t xml:space="preserve"> for </w:t>
      </w:r>
      <w:proofErr w:type="spellStart"/>
      <w:r w:rsidRPr="000D6907">
        <w:rPr>
          <w:rFonts w:ascii="Times New Roman" w:hAnsi="Times New Roman" w:cs="Times New Roman"/>
          <w:color w:val="FF0000"/>
          <w:sz w:val="24"/>
          <w:szCs w:val="24"/>
          <w:shd w:val="clear" w:color="auto" w:fill="FFFFFF"/>
          <w:lang w:val="fr-FR"/>
        </w:rPr>
        <w:t>financial</w:t>
      </w:r>
      <w:proofErr w:type="spellEnd"/>
      <w:r w:rsidRPr="000D6907">
        <w:rPr>
          <w:rFonts w:ascii="Times New Roman" w:hAnsi="Times New Roman" w:cs="Times New Roman"/>
          <w:color w:val="FF0000"/>
          <w:sz w:val="24"/>
          <w:szCs w:val="24"/>
          <w:shd w:val="clear" w:color="auto" w:fill="FFFFFF"/>
          <w:lang w:val="fr-FR"/>
        </w:rPr>
        <w:t xml:space="preserve"> institutions. </w:t>
      </w:r>
      <w:r w:rsidRPr="00C7417E">
        <w:rPr>
          <w:rFonts w:ascii="Times New Roman" w:hAnsi="Times New Roman" w:cs="Times New Roman"/>
          <w:i/>
          <w:color w:val="FF0000"/>
          <w:sz w:val="24"/>
          <w:szCs w:val="24"/>
          <w:shd w:val="clear" w:color="auto" w:fill="FFFFFF"/>
          <w:lang w:val="fr-FR"/>
        </w:rPr>
        <w:t xml:space="preserve">Journal of information </w:t>
      </w:r>
      <w:proofErr w:type="spellStart"/>
      <w:r w:rsidRPr="00C7417E">
        <w:rPr>
          <w:rFonts w:ascii="Times New Roman" w:hAnsi="Times New Roman" w:cs="Times New Roman"/>
          <w:i/>
          <w:color w:val="FF0000"/>
          <w:sz w:val="24"/>
          <w:szCs w:val="24"/>
          <w:shd w:val="clear" w:color="auto" w:fill="FFFFFF"/>
          <w:lang w:val="fr-FR"/>
        </w:rPr>
        <w:t>security</w:t>
      </w:r>
      <w:proofErr w:type="spellEnd"/>
      <w:r w:rsidRPr="00C7417E">
        <w:rPr>
          <w:rFonts w:ascii="Times New Roman" w:hAnsi="Times New Roman" w:cs="Times New Roman"/>
          <w:i/>
          <w:color w:val="FF0000"/>
          <w:sz w:val="24"/>
          <w:szCs w:val="24"/>
          <w:shd w:val="clear" w:color="auto" w:fill="FFFFFF"/>
          <w:lang w:val="fr-FR"/>
        </w:rPr>
        <w:t xml:space="preserve"> and applications, 55,</w:t>
      </w:r>
      <w:r w:rsidRPr="000D6907">
        <w:rPr>
          <w:rFonts w:ascii="Times New Roman" w:hAnsi="Times New Roman" w:cs="Times New Roman"/>
          <w:color w:val="FF0000"/>
          <w:sz w:val="24"/>
          <w:szCs w:val="24"/>
          <w:shd w:val="clear" w:color="auto" w:fill="FFFFFF"/>
          <w:lang w:val="fr-FR"/>
        </w:rPr>
        <w:t xml:space="preserve"> 102583.</w:t>
      </w:r>
    </w:p>
    <w:p w14:paraId="07FD1BC3"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83530">
        <w:rPr>
          <w:rFonts w:ascii="Times New Roman" w:hAnsi="Times New Roman" w:cs="Times New Roman"/>
          <w:color w:val="222222"/>
          <w:sz w:val="24"/>
          <w:szCs w:val="24"/>
          <w:shd w:val="clear" w:color="auto" w:fill="FFFFFF"/>
          <w:lang w:val="fr-FR"/>
        </w:rPr>
        <w:t>Philippas</w:t>
      </w:r>
      <w:proofErr w:type="spellEnd"/>
      <w:r w:rsidRPr="00C83530">
        <w:rPr>
          <w:rFonts w:ascii="Times New Roman" w:hAnsi="Times New Roman" w:cs="Times New Roman"/>
          <w:color w:val="222222"/>
          <w:sz w:val="24"/>
          <w:szCs w:val="24"/>
          <w:shd w:val="clear" w:color="auto" w:fill="FFFFFF"/>
          <w:lang w:val="fr-FR"/>
        </w:rPr>
        <w:t xml:space="preserve">, D., </w:t>
      </w:r>
      <w:proofErr w:type="spellStart"/>
      <w:r w:rsidRPr="00C83530">
        <w:rPr>
          <w:rFonts w:ascii="Times New Roman" w:hAnsi="Times New Roman" w:cs="Times New Roman"/>
          <w:color w:val="222222"/>
          <w:sz w:val="24"/>
          <w:szCs w:val="24"/>
          <w:shd w:val="clear" w:color="auto" w:fill="FFFFFF"/>
          <w:lang w:val="fr-FR"/>
        </w:rPr>
        <w:t>Rjiba</w:t>
      </w:r>
      <w:proofErr w:type="spellEnd"/>
      <w:r w:rsidRPr="00C83530">
        <w:rPr>
          <w:rFonts w:ascii="Times New Roman" w:hAnsi="Times New Roman" w:cs="Times New Roman"/>
          <w:color w:val="222222"/>
          <w:sz w:val="24"/>
          <w:szCs w:val="24"/>
          <w:shd w:val="clear" w:color="auto" w:fill="FFFFFF"/>
          <w:lang w:val="fr-FR"/>
        </w:rPr>
        <w:t xml:space="preserve">, H., </w:t>
      </w:r>
      <w:proofErr w:type="spellStart"/>
      <w:r w:rsidRPr="00C83530">
        <w:rPr>
          <w:rFonts w:ascii="Times New Roman" w:hAnsi="Times New Roman" w:cs="Times New Roman"/>
          <w:color w:val="222222"/>
          <w:sz w:val="24"/>
          <w:szCs w:val="24"/>
          <w:shd w:val="clear" w:color="auto" w:fill="FFFFFF"/>
          <w:lang w:val="fr-FR"/>
        </w:rPr>
        <w:t>Guesmi</w:t>
      </w:r>
      <w:proofErr w:type="spellEnd"/>
      <w:r w:rsidRPr="00C83530">
        <w:rPr>
          <w:rFonts w:ascii="Times New Roman" w:hAnsi="Times New Roman" w:cs="Times New Roman"/>
          <w:color w:val="222222"/>
          <w:sz w:val="24"/>
          <w:szCs w:val="24"/>
          <w:shd w:val="clear" w:color="auto" w:fill="FFFFFF"/>
          <w:lang w:val="fr-FR"/>
        </w:rPr>
        <w:t xml:space="preserve">, K., &amp; Goutte, S. (2019). </w:t>
      </w:r>
      <w:r w:rsidRPr="00CF23CD">
        <w:rPr>
          <w:rFonts w:ascii="Times New Roman" w:hAnsi="Times New Roman" w:cs="Times New Roman"/>
          <w:color w:val="222222"/>
          <w:sz w:val="24"/>
          <w:szCs w:val="24"/>
          <w:shd w:val="clear" w:color="auto" w:fill="FFFFFF"/>
        </w:rPr>
        <w:t>Media attention and Bitcoin prices. </w:t>
      </w:r>
      <w:r w:rsidRPr="00CF23CD">
        <w:rPr>
          <w:rFonts w:ascii="Times New Roman" w:hAnsi="Times New Roman" w:cs="Times New Roman"/>
          <w:i/>
          <w:iCs/>
          <w:color w:val="222222"/>
          <w:sz w:val="24"/>
          <w:szCs w:val="24"/>
          <w:shd w:val="clear" w:color="auto" w:fill="FFFFFF"/>
        </w:rPr>
        <w:t>Finance Research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30</w:t>
      </w:r>
      <w:r w:rsidRPr="00CF23CD">
        <w:rPr>
          <w:rFonts w:ascii="Times New Roman" w:hAnsi="Times New Roman" w:cs="Times New Roman"/>
          <w:color w:val="222222"/>
          <w:sz w:val="24"/>
          <w:szCs w:val="24"/>
          <w:shd w:val="clear" w:color="auto" w:fill="FFFFFF"/>
        </w:rPr>
        <w:t>, 37-43.</w:t>
      </w:r>
    </w:p>
    <w:p w14:paraId="141EB4A6"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Puri</w:t>
      </w:r>
      <w:proofErr w:type="spellEnd"/>
      <w:r w:rsidRPr="00CF23CD">
        <w:rPr>
          <w:rFonts w:ascii="Times New Roman" w:hAnsi="Times New Roman" w:cs="Times New Roman"/>
          <w:color w:val="222222"/>
          <w:sz w:val="24"/>
          <w:szCs w:val="24"/>
          <w:shd w:val="clear" w:color="auto" w:fill="FFFFFF"/>
        </w:rPr>
        <w:t>, V. (2016). Decrypting Bitcoin prices and adoption rates using Google search.</w:t>
      </w:r>
    </w:p>
    <w:p w14:paraId="6C02155B" w14:textId="77777777" w:rsidR="00B11104" w:rsidRPr="00B11104" w:rsidRDefault="00B11104" w:rsidP="00B11104">
      <w:pPr>
        <w:tabs>
          <w:tab w:val="left" w:pos="270"/>
        </w:tabs>
        <w:ind w:left="360" w:hanging="360"/>
        <w:jc w:val="both"/>
        <w:rPr>
          <w:rFonts w:ascii="Times New Roman" w:hAnsi="Times New Roman" w:cs="Times New Roman"/>
          <w:color w:val="222222"/>
          <w:sz w:val="24"/>
          <w:szCs w:val="24"/>
          <w:shd w:val="clear" w:color="auto" w:fill="FFFFFF"/>
        </w:rPr>
      </w:pPr>
      <w:r w:rsidRPr="00B11104">
        <w:rPr>
          <w:rFonts w:ascii="Times New Roman" w:hAnsi="Times New Roman" w:cs="Times New Roman"/>
          <w:color w:val="222222"/>
          <w:sz w:val="24"/>
          <w:szCs w:val="24"/>
          <w:shd w:val="clear" w:color="auto" w:fill="FFFFFF"/>
        </w:rPr>
        <w:t xml:space="preserve">Raza, S. A., Ahmed, M., &amp; </w:t>
      </w:r>
      <w:proofErr w:type="spellStart"/>
      <w:r w:rsidRPr="00B11104">
        <w:rPr>
          <w:rFonts w:ascii="Times New Roman" w:hAnsi="Times New Roman" w:cs="Times New Roman"/>
          <w:color w:val="222222"/>
          <w:sz w:val="24"/>
          <w:szCs w:val="24"/>
          <w:shd w:val="clear" w:color="auto" w:fill="FFFFFF"/>
        </w:rPr>
        <w:t>Aloui</w:t>
      </w:r>
      <w:proofErr w:type="spellEnd"/>
      <w:r w:rsidRPr="00B11104">
        <w:rPr>
          <w:rFonts w:ascii="Times New Roman" w:hAnsi="Times New Roman" w:cs="Times New Roman"/>
          <w:color w:val="222222"/>
          <w:sz w:val="24"/>
          <w:szCs w:val="24"/>
          <w:shd w:val="clear" w:color="auto" w:fill="FFFFFF"/>
        </w:rPr>
        <w:t>, C. (2022). On the asymmetrical connectedness between cryptocurrencies and foreign exchange markets: Evidence from the nonparametric quantile on quantile approach. Research in International Business and Finance, 101627.</w:t>
      </w:r>
    </w:p>
    <w:p w14:paraId="79050F9B" w14:textId="678A2D92" w:rsidR="000D6907" w:rsidRPr="00CF23CD" w:rsidRDefault="00B11104" w:rsidP="00B11104">
      <w:pPr>
        <w:tabs>
          <w:tab w:val="left" w:pos="270"/>
        </w:tabs>
        <w:ind w:left="360" w:hanging="360"/>
        <w:jc w:val="both"/>
        <w:rPr>
          <w:rFonts w:ascii="Times New Roman" w:hAnsi="Times New Roman" w:cs="Times New Roman"/>
          <w:color w:val="222222"/>
          <w:sz w:val="24"/>
          <w:szCs w:val="24"/>
          <w:shd w:val="clear" w:color="auto" w:fill="FFFFFF"/>
        </w:rPr>
      </w:pPr>
      <w:bookmarkStart w:id="2" w:name="_GoBack"/>
      <w:bookmarkEnd w:id="2"/>
      <w:r w:rsidRPr="00B11104">
        <w:rPr>
          <w:rFonts w:ascii="Times New Roman" w:hAnsi="Times New Roman" w:cs="Times New Roman"/>
          <w:color w:val="222222"/>
          <w:sz w:val="24"/>
          <w:szCs w:val="24"/>
          <w:shd w:val="clear" w:color="auto" w:fill="FFFFFF"/>
        </w:rPr>
        <w:t xml:space="preserve">Raza, S. A., Shah, N., </w:t>
      </w:r>
      <w:proofErr w:type="spellStart"/>
      <w:r w:rsidRPr="00B11104">
        <w:rPr>
          <w:rFonts w:ascii="Times New Roman" w:hAnsi="Times New Roman" w:cs="Times New Roman"/>
          <w:color w:val="222222"/>
          <w:sz w:val="24"/>
          <w:szCs w:val="24"/>
          <w:shd w:val="clear" w:color="auto" w:fill="FFFFFF"/>
        </w:rPr>
        <w:t>Guesmi</w:t>
      </w:r>
      <w:proofErr w:type="spellEnd"/>
      <w:r w:rsidRPr="00B11104">
        <w:rPr>
          <w:rFonts w:ascii="Times New Roman" w:hAnsi="Times New Roman" w:cs="Times New Roman"/>
          <w:color w:val="222222"/>
          <w:sz w:val="24"/>
          <w:szCs w:val="24"/>
          <w:shd w:val="clear" w:color="auto" w:fill="FFFFFF"/>
        </w:rPr>
        <w:t xml:space="preserve">, K., &amp; </w:t>
      </w:r>
      <w:proofErr w:type="spellStart"/>
      <w:r w:rsidRPr="00B11104">
        <w:rPr>
          <w:rFonts w:ascii="Times New Roman" w:hAnsi="Times New Roman" w:cs="Times New Roman"/>
          <w:color w:val="222222"/>
          <w:sz w:val="24"/>
          <w:szCs w:val="24"/>
          <w:shd w:val="clear" w:color="auto" w:fill="FFFFFF"/>
        </w:rPr>
        <w:t>Msolli</w:t>
      </w:r>
      <w:proofErr w:type="spellEnd"/>
      <w:r w:rsidRPr="00B11104">
        <w:rPr>
          <w:rFonts w:ascii="Times New Roman" w:hAnsi="Times New Roman" w:cs="Times New Roman"/>
          <w:color w:val="222222"/>
          <w:sz w:val="24"/>
          <w:szCs w:val="24"/>
          <w:shd w:val="clear" w:color="auto" w:fill="FFFFFF"/>
        </w:rPr>
        <w:t>, B. (2021). How does COVID-19 influence dynamic spillover connectedness between cryptocurrencies? Evidence from non-parametric causality-in-quantiles techniques. Finance Research Letters, 102569.</w:t>
      </w:r>
      <w:r w:rsidR="000D6907" w:rsidRPr="00CF23CD">
        <w:rPr>
          <w:rFonts w:ascii="Times New Roman" w:hAnsi="Times New Roman" w:cs="Times New Roman"/>
          <w:color w:val="222222"/>
          <w:sz w:val="24"/>
          <w:szCs w:val="24"/>
          <w:shd w:val="clear" w:color="auto" w:fill="FFFFFF"/>
        </w:rPr>
        <w:t>Shen, D., Urquhart, A., &amp; Wang, P. (2019). Does twitter predict Bitcoin</w:t>
      </w:r>
      <w:proofErr w:type="gramStart"/>
      <w:r w:rsidR="000D6907" w:rsidRPr="00CF23CD">
        <w:rPr>
          <w:rFonts w:ascii="Times New Roman" w:hAnsi="Times New Roman" w:cs="Times New Roman"/>
          <w:color w:val="222222"/>
          <w:sz w:val="24"/>
          <w:szCs w:val="24"/>
          <w:shd w:val="clear" w:color="auto" w:fill="FFFFFF"/>
        </w:rPr>
        <w:t>?.</w:t>
      </w:r>
      <w:proofErr w:type="gramEnd"/>
      <w:r w:rsidR="000D6907" w:rsidRPr="00CF23CD">
        <w:rPr>
          <w:rFonts w:ascii="Times New Roman" w:hAnsi="Times New Roman" w:cs="Times New Roman"/>
          <w:color w:val="222222"/>
          <w:sz w:val="24"/>
          <w:szCs w:val="24"/>
          <w:shd w:val="clear" w:color="auto" w:fill="FFFFFF"/>
        </w:rPr>
        <w:t> </w:t>
      </w:r>
      <w:r w:rsidR="000D6907" w:rsidRPr="00CF23CD">
        <w:rPr>
          <w:rFonts w:ascii="Times New Roman" w:hAnsi="Times New Roman" w:cs="Times New Roman"/>
          <w:i/>
          <w:iCs/>
          <w:color w:val="222222"/>
          <w:sz w:val="24"/>
          <w:szCs w:val="24"/>
          <w:shd w:val="clear" w:color="auto" w:fill="FFFFFF"/>
        </w:rPr>
        <w:t>Economics Letters</w:t>
      </w:r>
      <w:r w:rsidR="000D6907" w:rsidRPr="00CF23CD">
        <w:rPr>
          <w:rFonts w:ascii="Times New Roman" w:hAnsi="Times New Roman" w:cs="Times New Roman"/>
          <w:color w:val="222222"/>
          <w:sz w:val="24"/>
          <w:szCs w:val="24"/>
          <w:shd w:val="clear" w:color="auto" w:fill="FFFFFF"/>
        </w:rPr>
        <w:t>, </w:t>
      </w:r>
      <w:r w:rsidR="000D6907" w:rsidRPr="00CF23CD">
        <w:rPr>
          <w:rFonts w:ascii="Times New Roman" w:hAnsi="Times New Roman" w:cs="Times New Roman"/>
          <w:i/>
          <w:iCs/>
          <w:color w:val="222222"/>
          <w:sz w:val="24"/>
          <w:szCs w:val="24"/>
          <w:shd w:val="clear" w:color="auto" w:fill="FFFFFF"/>
        </w:rPr>
        <w:t>174</w:t>
      </w:r>
      <w:r w:rsidR="000D6907" w:rsidRPr="00CF23CD">
        <w:rPr>
          <w:rFonts w:ascii="Times New Roman" w:hAnsi="Times New Roman" w:cs="Times New Roman"/>
          <w:color w:val="222222"/>
          <w:sz w:val="24"/>
          <w:szCs w:val="24"/>
          <w:shd w:val="clear" w:color="auto" w:fill="FFFFFF"/>
        </w:rPr>
        <w:t>, 118-122.</w:t>
      </w:r>
    </w:p>
    <w:p w14:paraId="52349C34"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 xml:space="preserve">Smuts, N. (2019). What drives cryptocurrency prices? </w:t>
      </w:r>
      <w:proofErr w:type="gramStart"/>
      <w:r w:rsidRPr="00CF23CD">
        <w:rPr>
          <w:rFonts w:ascii="Times New Roman" w:hAnsi="Times New Roman" w:cs="Times New Roman"/>
          <w:color w:val="222222"/>
          <w:sz w:val="24"/>
          <w:szCs w:val="24"/>
          <w:shd w:val="clear" w:color="auto" w:fill="FFFFFF"/>
        </w:rPr>
        <w:t>an</w:t>
      </w:r>
      <w:proofErr w:type="gramEnd"/>
      <w:r w:rsidRPr="00CF23CD">
        <w:rPr>
          <w:rFonts w:ascii="Times New Roman" w:hAnsi="Times New Roman" w:cs="Times New Roman"/>
          <w:color w:val="222222"/>
          <w:sz w:val="24"/>
          <w:szCs w:val="24"/>
          <w:shd w:val="clear" w:color="auto" w:fill="FFFFFF"/>
        </w:rPr>
        <w:t xml:space="preserve"> investigation of google trends and telegram sentiment. </w:t>
      </w:r>
      <w:r w:rsidRPr="00CF23CD">
        <w:rPr>
          <w:rFonts w:ascii="Times New Roman" w:hAnsi="Times New Roman" w:cs="Times New Roman"/>
          <w:i/>
          <w:iCs/>
          <w:color w:val="222222"/>
          <w:sz w:val="24"/>
          <w:szCs w:val="24"/>
          <w:shd w:val="clear" w:color="auto" w:fill="FFFFFF"/>
        </w:rPr>
        <w:t>ACM SIGMETRICS Performance Evaluation Review</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46</w:t>
      </w:r>
      <w:r w:rsidRPr="00CF23CD">
        <w:rPr>
          <w:rFonts w:ascii="Times New Roman" w:hAnsi="Times New Roman" w:cs="Times New Roman"/>
          <w:color w:val="222222"/>
          <w:sz w:val="24"/>
          <w:szCs w:val="24"/>
          <w:shd w:val="clear" w:color="auto" w:fill="FFFFFF"/>
        </w:rPr>
        <w:t>(3), 131-134.</w:t>
      </w:r>
    </w:p>
    <w:p w14:paraId="47594A23" w14:textId="4641F015"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proofErr w:type="spellStart"/>
      <w:r w:rsidRPr="00CF23CD">
        <w:rPr>
          <w:rFonts w:ascii="Times New Roman" w:hAnsi="Times New Roman" w:cs="Times New Roman"/>
          <w:color w:val="222222"/>
          <w:sz w:val="24"/>
          <w:szCs w:val="24"/>
          <w:shd w:val="clear" w:color="auto" w:fill="FFFFFF"/>
        </w:rPr>
        <w:t>Sovbetov</w:t>
      </w:r>
      <w:proofErr w:type="spellEnd"/>
      <w:r w:rsidRPr="00CF23CD">
        <w:rPr>
          <w:rFonts w:ascii="Times New Roman" w:hAnsi="Times New Roman" w:cs="Times New Roman"/>
          <w:color w:val="222222"/>
          <w:sz w:val="24"/>
          <w:szCs w:val="24"/>
          <w:shd w:val="clear" w:color="auto" w:fill="FFFFFF"/>
        </w:rPr>
        <w:t xml:space="preserve">, Y. (2018). Factors influencing cryptocurrency prices: Evidence from bitcoin, </w:t>
      </w:r>
      <w:proofErr w:type="spellStart"/>
      <w:r w:rsidRPr="00CF23CD">
        <w:rPr>
          <w:rFonts w:ascii="Times New Roman" w:hAnsi="Times New Roman" w:cs="Times New Roman"/>
          <w:color w:val="222222"/>
          <w:sz w:val="24"/>
          <w:szCs w:val="24"/>
          <w:shd w:val="clear" w:color="auto" w:fill="FFFFFF"/>
        </w:rPr>
        <w:t>ethereum</w:t>
      </w:r>
      <w:proofErr w:type="spellEnd"/>
      <w:r w:rsidRPr="00CF23CD">
        <w:rPr>
          <w:rFonts w:ascii="Times New Roman" w:hAnsi="Times New Roman" w:cs="Times New Roman"/>
          <w:color w:val="222222"/>
          <w:sz w:val="24"/>
          <w:szCs w:val="24"/>
          <w:shd w:val="clear" w:color="auto" w:fill="FFFFFF"/>
        </w:rPr>
        <w:t xml:space="preserve">, </w:t>
      </w:r>
      <w:r w:rsidR="003E54B7">
        <w:rPr>
          <w:rFonts w:ascii="Times New Roman" w:hAnsi="Times New Roman" w:cs="Times New Roman"/>
          <w:color w:val="222222"/>
          <w:sz w:val="24"/>
          <w:szCs w:val="24"/>
          <w:shd w:val="clear" w:color="auto" w:fill="FFFFFF"/>
        </w:rPr>
        <w:t>D</w:t>
      </w:r>
      <w:r w:rsidRPr="00CF23CD">
        <w:rPr>
          <w:rFonts w:ascii="Times New Roman" w:hAnsi="Times New Roman" w:cs="Times New Roman"/>
          <w:color w:val="222222"/>
          <w:sz w:val="24"/>
          <w:szCs w:val="24"/>
          <w:shd w:val="clear" w:color="auto" w:fill="FFFFFF"/>
        </w:rPr>
        <w:t xml:space="preserve">ash, </w:t>
      </w:r>
      <w:proofErr w:type="spellStart"/>
      <w:r w:rsidRPr="00CF23CD">
        <w:rPr>
          <w:rFonts w:ascii="Times New Roman" w:hAnsi="Times New Roman" w:cs="Times New Roman"/>
          <w:color w:val="222222"/>
          <w:sz w:val="24"/>
          <w:szCs w:val="24"/>
          <w:shd w:val="clear" w:color="auto" w:fill="FFFFFF"/>
        </w:rPr>
        <w:t>litcoin</w:t>
      </w:r>
      <w:proofErr w:type="spellEnd"/>
      <w:r w:rsidRPr="00CF23CD">
        <w:rPr>
          <w:rFonts w:ascii="Times New Roman" w:hAnsi="Times New Roman" w:cs="Times New Roman"/>
          <w:color w:val="222222"/>
          <w:sz w:val="24"/>
          <w:szCs w:val="24"/>
          <w:shd w:val="clear" w:color="auto" w:fill="FFFFFF"/>
        </w:rPr>
        <w:t xml:space="preserve">, and </w:t>
      </w:r>
      <w:proofErr w:type="spellStart"/>
      <w:r w:rsidRPr="00CF23CD">
        <w:rPr>
          <w:rFonts w:ascii="Times New Roman" w:hAnsi="Times New Roman" w:cs="Times New Roman"/>
          <w:color w:val="222222"/>
          <w:sz w:val="24"/>
          <w:szCs w:val="24"/>
          <w:shd w:val="clear" w:color="auto" w:fill="FFFFFF"/>
        </w:rPr>
        <w:t>monero</w:t>
      </w:r>
      <w:proofErr w:type="spell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Journal of Economics and Financial Analysis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2</w:t>
      </w:r>
      <w:r w:rsidRPr="00CF23CD">
        <w:rPr>
          <w:rFonts w:ascii="Times New Roman" w:hAnsi="Times New Roman" w:cs="Times New Roman"/>
          <w:color w:val="222222"/>
          <w:sz w:val="24"/>
          <w:szCs w:val="24"/>
          <w:shd w:val="clear" w:color="auto" w:fill="FFFFFF"/>
        </w:rPr>
        <w:t>(2), 1-27.</w:t>
      </w:r>
    </w:p>
    <w:p w14:paraId="477DF2FC"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Urquhart, A. (2016). The inefficiency of Bitcoin. </w:t>
      </w:r>
      <w:r w:rsidRPr="00CF23CD">
        <w:rPr>
          <w:rFonts w:ascii="Times New Roman" w:hAnsi="Times New Roman" w:cs="Times New Roman"/>
          <w:i/>
          <w:iCs/>
          <w:color w:val="222222"/>
          <w:sz w:val="24"/>
          <w:szCs w:val="24"/>
          <w:shd w:val="clear" w:color="auto" w:fill="FFFFFF"/>
        </w:rPr>
        <w:t>Economics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148</w:t>
      </w:r>
      <w:r w:rsidRPr="00CF23CD">
        <w:rPr>
          <w:rFonts w:ascii="Times New Roman" w:hAnsi="Times New Roman" w:cs="Times New Roman"/>
          <w:color w:val="222222"/>
          <w:sz w:val="24"/>
          <w:szCs w:val="24"/>
          <w:shd w:val="clear" w:color="auto" w:fill="FFFFFF"/>
        </w:rPr>
        <w:t>, 80-82.</w:t>
      </w:r>
    </w:p>
    <w:p w14:paraId="45DF9852"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Urquhart, A. (2018). What causes the attention of Bitcoin</w:t>
      </w:r>
      <w:proofErr w:type="gramStart"/>
      <w:r w:rsidRPr="00CF23CD">
        <w:rPr>
          <w:rFonts w:ascii="Times New Roman" w:hAnsi="Times New Roman" w:cs="Times New Roman"/>
          <w:color w:val="222222"/>
          <w:sz w:val="24"/>
          <w:szCs w:val="24"/>
          <w:shd w:val="clear" w:color="auto" w:fill="FFFFFF"/>
        </w:rPr>
        <w:t>?.</w:t>
      </w:r>
      <w:proofErr w:type="gramEnd"/>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Economics Letters</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166</w:t>
      </w:r>
      <w:r w:rsidRPr="00CF23CD">
        <w:rPr>
          <w:rFonts w:ascii="Times New Roman" w:hAnsi="Times New Roman" w:cs="Times New Roman"/>
          <w:color w:val="222222"/>
          <w:sz w:val="24"/>
          <w:szCs w:val="24"/>
          <w:shd w:val="clear" w:color="auto" w:fill="FFFFFF"/>
        </w:rPr>
        <w:t>, 40-44.</w:t>
      </w:r>
    </w:p>
    <w:p w14:paraId="2DE35569" w14:textId="77777777" w:rsidR="000D6907" w:rsidRPr="00CF23CD"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t>Yu, L., Zhao, Y., Tang, L., &amp; Yang, Z. (2019). Online big data-driven oil consumption forecasting with Google trends. </w:t>
      </w:r>
      <w:r w:rsidRPr="00CF23CD">
        <w:rPr>
          <w:rFonts w:ascii="Times New Roman" w:hAnsi="Times New Roman" w:cs="Times New Roman"/>
          <w:i/>
          <w:iCs/>
          <w:color w:val="222222"/>
          <w:sz w:val="24"/>
          <w:szCs w:val="24"/>
          <w:shd w:val="clear" w:color="auto" w:fill="FFFFFF"/>
        </w:rPr>
        <w:t>International Journal of Forecasting</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35</w:t>
      </w:r>
      <w:r w:rsidRPr="00CF23CD">
        <w:rPr>
          <w:rFonts w:ascii="Times New Roman" w:hAnsi="Times New Roman" w:cs="Times New Roman"/>
          <w:color w:val="222222"/>
          <w:sz w:val="24"/>
          <w:szCs w:val="24"/>
          <w:shd w:val="clear" w:color="auto" w:fill="FFFFFF"/>
        </w:rPr>
        <w:t>(1), 213-223.</w:t>
      </w:r>
    </w:p>
    <w:p w14:paraId="05506BE6" w14:textId="77777777" w:rsidR="000D6907" w:rsidRDefault="000D6907" w:rsidP="000B72B4">
      <w:pPr>
        <w:tabs>
          <w:tab w:val="left" w:pos="270"/>
        </w:tabs>
        <w:ind w:left="360" w:hanging="360"/>
        <w:jc w:val="both"/>
        <w:rPr>
          <w:rFonts w:ascii="Times New Roman" w:hAnsi="Times New Roman" w:cs="Times New Roman"/>
          <w:color w:val="222222"/>
          <w:sz w:val="24"/>
          <w:szCs w:val="24"/>
          <w:shd w:val="clear" w:color="auto" w:fill="FFFFFF"/>
        </w:rPr>
      </w:pPr>
      <w:r w:rsidRPr="00CF23CD">
        <w:rPr>
          <w:rFonts w:ascii="Times New Roman" w:hAnsi="Times New Roman" w:cs="Times New Roman"/>
          <w:color w:val="222222"/>
          <w:sz w:val="24"/>
          <w:szCs w:val="24"/>
          <w:shd w:val="clear" w:color="auto" w:fill="FFFFFF"/>
        </w:rPr>
        <w:lastRenderedPageBreak/>
        <w:t>Zhang, W., &amp; Wang, P. (2020). Investor attention and the pricing of cryptocurrency market. </w:t>
      </w:r>
      <w:r w:rsidRPr="00CF23CD">
        <w:rPr>
          <w:rFonts w:ascii="Times New Roman" w:hAnsi="Times New Roman" w:cs="Times New Roman"/>
          <w:i/>
          <w:iCs/>
          <w:color w:val="222222"/>
          <w:sz w:val="24"/>
          <w:szCs w:val="24"/>
          <w:shd w:val="clear" w:color="auto" w:fill="FFFFFF"/>
        </w:rPr>
        <w:t>Evolutionary and Institutional Economics Review</w:t>
      </w:r>
      <w:r w:rsidRPr="00CF23CD">
        <w:rPr>
          <w:rFonts w:ascii="Times New Roman" w:hAnsi="Times New Roman" w:cs="Times New Roman"/>
          <w:color w:val="222222"/>
          <w:sz w:val="24"/>
          <w:szCs w:val="24"/>
          <w:shd w:val="clear" w:color="auto" w:fill="FFFFFF"/>
        </w:rPr>
        <w:t>, </w:t>
      </w:r>
      <w:r w:rsidRPr="00CF23CD">
        <w:rPr>
          <w:rFonts w:ascii="Times New Roman" w:hAnsi="Times New Roman" w:cs="Times New Roman"/>
          <w:i/>
          <w:iCs/>
          <w:color w:val="222222"/>
          <w:sz w:val="24"/>
          <w:szCs w:val="24"/>
          <w:shd w:val="clear" w:color="auto" w:fill="FFFFFF"/>
        </w:rPr>
        <w:t>17</w:t>
      </w:r>
      <w:r w:rsidRPr="00CF23CD">
        <w:rPr>
          <w:rFonts w:ascii="Times New Roman" w:hAnsi="Times New Roman" w:cs="Times New Roman"/>
          <w:color w:val="222222"/>
          <w:sz w:val="24"/>
          <w:szCs w:val="24"/>
          <w:shd w:val="clear" w:color="auto" w:fill="FFFFFF"/>
        </w:rPr>
        <w:t>(2), 445-468.</w:t>
      </w:r>
    </w:p>
    <w:p w14:paraId="1A7C6EB6" w14:textId="77777777" w:rsidR="000B72B4" w:rsidRPr="00C7417E" w:rsidRDefault="000B72B4" w:rsidP="00C7417E">
      <w:pPr>
        <w:rPr>
          <w:rFonts w:ascii="Times New Roman" w:hAnsi="Times New Roman" w:cs="Times New Roman"/>
          <w:sz w:val="24"/>
          <w:szCs w:val="24"/>
        </w:rPr>
      </w:pPr>
    </w:p>
    <w:p w14:paraId="32AFE973" w14:textId="77777777" w:rsidR="000B72B4" w:rsidRDefault="000B72B4" w:rsidP="000B72B4">
      <w:pPr>
        <w:pStyle w:val="ListParagraph"/>
        <w:rPr>
          <w:rFonts w:ascii="Times New Roman" w:hAnsi="Times New Roman" w:cs="Times New Roman"/>
          <w:sz w:val="24"/>
          <w:szCs w:val="24"/>
        </w:rPr>
      </w:pPr>
    </w:p>
    <w:p w14:paraId="219BB67F" w14:textId="77777777" w:rsidR="000B72B4" w:rsidRDefault="000B72B4" w:rsidP="000B72B4">
      <w:pPr>
        <w:pStyle w:val="ListParagraph"/>
        <w:rPr>
          <w:rFonts w:ascii="Times New Roman" w:hAnsi="Times New Roman" w:cs="Times New Roman"/>
          <w:sz w:val="24"/>
          <w:szCs w:val="24"/>
        </w:rPr>
      </w:pPr>
    </w:p>
    <w:p w14:paraId="6DB4F82E" w14:textId="77777777" w:rsidR="000B72B4" w:rsidRDefault="000B72B4" w:rsidP="000B72B4">
      <w:pPr>
        <w:pStyle w:val="ListParagraph"/>
        <w:rPr>
          <w:rFonts w:ascii="Times New Roman" w:hAnsi="Times New Roman" w:cs="Times New Roman"/>
          <w:sz w:val="24"/>
          <w:szCs w:val="24"/>
        </w:rPr>
      </w:pPr>
    </w:p>
    <w:p w14:paraId="52A1F8F1" w14:textId="77777777" w:rsidR="000B72B4" w:rsidRDefault="000B72B4" w:rsidP="000B72B4">
      <w:pPr>
        <w:pStyle w:val="ListParagraph"/>
        <w:rPr>
          <w:rFonts w:ascii="Times New Roman" w:hAnsi="Times New Roman" w:cs="Times New Roman"/>
          <w:sz w:val="24"/>
          <w:szCs w:val="24"/>
        </w:rPr>
      </w:pPr>
    </w:p>
    <w:p w14:paraId="2AD815AF" w14:textId="77777777" w:rsidR="000B72B4" w:rsidRDefault="000B72B4" w:rsidP="000B72B4">
      <w:pPr>
        <w:pStyle w:val="ListParagraph"/>
        <w:rPr>
          <w:rFonts w:ascii="Times New Roman" w:hAnsi="Times New Roman" w:cs="Times New Roman"/>
          <w:sz w:val="24"/>
          <w:szCs w:val="24"/>
        </w:rPr>
      </w:pPr>
    </w:p>
    <w:p w14:paraId="3EC4B623" w14:textId="77777777" w:rsidR="000B72B4" w:rsidRDefault="000B72B4" w:rsidP="000B72B4">
      <w:pPr>
        <w:pStyle w:val="ListParagraph"/>
        <w:rPr>
          <w:rFonts w:ascii="Times New Roman" w:hAnsi="Times New Roman" w:cs="Times New Roman"/>
          <w:sz w:val="24"/>
          <w:szCs w:val="24"/>
        </w:rPr>
      </w:pPr>
    </w:p>
    <w:p w14:paraId="1B8C3535" w14:textId="77777777" w:rsidR="000B72B4" w:rsidRDefault="000B72B4" w:rsidP="000B72B4">
      <w:pPr>
        <w:pStyle w:val="ListParagraph"/>
        <w:rPr>
          <w:rFonts w:ascii="Times New Roman" w:hAnsi="Times New Roman" w:cs="Times New Roman"/>
          <w:sz w:val="24"/>
          <w:szCs w:val="24"/>
        </w:rPr>
      </w:pPr>
    </w:p>
    <w:p w14:paraId="6CE1F995" w14:textId="77777777" w:rsidR="000B72B4" w:rsidRDefault="000B72B4" w:rsidP="000B72B4">
      <w:pPr>
        <w:pStyle w:val="ListParagraph"/>
        <w:rPr>
          <w:rFonts w:ascii="Times New Roman" w:hAnsi="Times New Roman" w:cs="Times New Roman"/>
          <w:sz w:val="24"/>
          <w:szCs w:val="24"/>
        </w:rPr>
      </w:pPr>
    </w:p>
    <w:sectPr w:rsidR="000B72B4" w:rsidSect="001F17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BE235" w14:textId="77777777" w:rsidR="00734526" w:rsidRDefault="00734526" w:rsidP="001F17F8">
      <w:pPr>
        <w:spacing w:after="0" w:line="240" w:lineRule="auto"/>
      </w:pPr>
      <w:r>
        <w:separator/>
      </w:r>
    </w:p>
  </w:endnote>
  <w:endnote w:type="continuationSeparator" w:id="0">
    <w:p w14:paraId="18D953C8" w14:textId="77777777" w:rsidR="00734526" w:rsidRDefault="00734526" w:rsidP="001F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system-fon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NexusSansWebPro">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C516F" w14:textId="77777777" w:rsidR="00BC43D3" w:rsidRDefault="00BC43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895787"/>
      <w:docPartObj>
        <w:docPartGallery w:val="Page Numbers (Bottom of Page)"/>
        <w:docPartUnique/>
      </w:docPartObj>
    </w:sdtPr>
    <w:sdtEndPr>
      <w:rPr>
        <w:noProof/>
      </w:rPr>
    </w:sdtEndPr>
    <w:sdtContent>
      <w:p w14:paraId="7BA8ADFD" w14:textId="3AE2BEF9" w:rsidR="00BC43D3" w:rsidRDefault="00BC43D3">
        <w:pPr>
          <w:pStyle w:val="Footer"/>
          <w:jc w:val="right"/>
        </w:pPr>
        <w:r>
          <w:fldChar w:fldCharType="begin"/>
        </w:r>
        <w:r>
          <w:instrText xml:space="preserve"> PAGE   \* MERGEFORMAT </w:instrText>
        </w:r>
        <w:r>
          <w:fldChar w:fldCharType="separate"/>
        </w:r>
        <w:r w:rsidR="00B11104">
          <w:rPr>
            <w:noProof/>
          </w:rPr>
          <w:t>23</w:t>
        </w:r>
        <w:r>
          <w:rPr>
            <w:noProof/>
          </w:rPr>
          <w:fldChar w:fldCharType="end"/>
        </w:r>
      </w:p>
    </w:sdtContent>
  </w:sdt>
  <w:p w14:paraId="6BF216D2" w14:textId="77777777" w:rsidR="00BC43D3" w:rsidRDefault="00BC43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5C44E" w14:textId="77777777" w:rsidR="00BC43D3" w:rsidRDefault="00BC4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63D95" w14:textId="77777777" w:rsidR="00734526" w:rsidRDefault="00734526" w:rsidP="001F17F8">
      <w:pPr>
        <w:spacing w:after="0" w:line="240" w:lineRule="auto"/>
      </w:pPr>
      <w:r>
        <w:separator/>
      </w:r>
    </w:p>
  </w:footnote>
  <w:footnote w:type="continuationSeparator" w:id="0">
    <w:p w14:paraId="0EFD6A65" w14:textId="77777777" w:rsidR="00734526" w:rsidRDefault="00734526" w:rsidP="001F17F8">
      <w:pPr>
        <w:spacing w:after="0" w:line="240" w:lineRule="auto"/>
      </w:pPr>
      <w:r>
        <w:continuationSeparator/>
      </w:r>
    </w:p>
  </w:footnote>
  <w:footnote w:id="1">
    <w:p w14:paraId="57C467BD" w14:textId="0E432DDC" w:rsidR="00BC43D3" w:rsidRPr="000B3D38" w:rsidRDefault="00BC43D3">
      <w:pPr>
        <w:pStyle w:val="FootnoteText"/>
      </w:pPr>
      <w:r>
        <w:rPr>
          <w:rStyle w:val="FootnoteReference"/>
        </w:rPr>
        <w:footnoteRef/>
      </w:r>
      <w:r>
        <w:t xml:space="preserve"> </w:t>
      </w:r>
      <w:r w:rsidRPr="000B3D38">
        <w:t>https://www.bbc.co.uk/news/technology-58678907</w:t>
      </w:r>
    </w:p>
  </w:footnote>
  <w:footnote w:id="2">
    <w:p w14:paraId="7DFA9F7D" w14:textId="77777777" w:rsidR="00BC43D3" w:rsidRPr="001F17F8" w:rsidRDefault="00BC43D3" w:rsidP="00783802">
      <w:pPr>
        <w:pStyle w:val="FootnoteText"/>
        <w:rPr>
          <w:lang w:val="en-GB"/>
        </w:rPr>
      </w:pPr>
      <w:r>
        <w:rPr>
          <w:rStyle w:val="FootnoteReference"/>
        </w:rPr>
        <w:footnoteRef/>
      </w:r>
      <w:r>
        <w:t xml:space="preserve"> </w:t>
      </w:r>
      <w:r>
        <w:rPr>
          <w:color w:val="0E101A"/>
        </w:rPr>
        <w:t xml:space="preserve">See </w:t>
      </w:r>
      <w:hyperlink r:id="rId1" w:history="1">
        <w:r w:rsidRPr="00CB1E27">
          <w:rPr>
            <w:rStyle w:val="Hyperlink"/>
          </w:rPr>
          <w:t>https://coinmarketcap.com</w:t>
        </w:r>
      </w:hyperlink>
      <w:r>
        <w:rPr>
          <w:color w:val="0E101A"/>
        </w:rPr>
        <w:t xml:space="preserve"> for the most recent statistics.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4CB2" w14:textId="77777777" w:rsidR="00BC43D3" w:rsidRDefault="00BC43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B7E68" w14:textId="77777777" w:rsidR="00BC43D3" w:rsidRDefault="00BC43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8767C" w14:textId="77777777" w:rsidR="00BC43D3" w:rsidRDefault="00BC43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3059A"/>
    <w:multiLevelType w:val="multilevel"/>
    <w:tmpl w:val="1E7CB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43519D"/>
    <w:multiLevelType w:val="hybridMultilevel"/>
    <w:tmpl w:val="EFBC924A"/>
    <w:lvl w:ilvl="0" w:tplc="F60811AA">
      <w:start w:val="1"/>
      <w:numFmt w:val="decimal"/>
      <w:lvlText w:val="%1."/>
      <w:lvlJc w:val="left"/>
      <w:pPr>
        <w:ind w:left="2880" w:hanging="360"/>
      </w:pPr>
      <w:rPr>
        <w:rFonts w:hint="default"/>
      </w:rPr>
    </w:lvl>
    <w:lvl w:ilvl="1" w:tplc="08367ADE" w:tentative="1">
      <w:start w:val="1"/>
      <w:numFmt w:val="lowerLetter"/>
      <w:lvlText w:val="%2."/>
      <w:lvlJc w:val="left"/>
      <w:pPr>
        <w:ind w:left="3600" w:hanging="360"/>
      </w:pPr>
    </w:lvl>
    <w:lvl w:ilvl="2" w:tplc="F3D02174" w:tentative="1">
      <w:start w:val="1"/>
      <w:numFmt w:val="lowerRoman"/>
      <w:lvlText w:val="%3."/>
      <w:lvlJc w:val="right"/>
      <w:pPr>
        <w:ind w:left="4320" w:hanging="180"/>
      </w:pPr>
    </w:lvl>
    <w:lvl w:ilvl="3" w:tplc="C890CFFC" w:tentative="1">
      <w:start w:val="1"/>
      <w:numFmt w:val="decimal"/>
      <w:lvlText w:val="%4."/>
      <w:lvlJc w:val="left"/>
      <w:pPr>
        <w:ind w:left="5040" w:hanging="360"/>
      </w:pPr>
    </w:lvl>
    <w:lvl w:ilvl="4" w:tplc="751E781A" w:tentative="1">
      <w:start w:val="1"/>
      <w:numFmt w:val="lowerLetter"/>
      <w:lvlText w:val="%5."/>
      <w:lvlJc w:val="left"/>
      <w:pPr>
        <w:ind w:left="5760" w:hanging="360"/>
      </w:pPr>
    </w:lvl>
    <w:lvl w:ilvl="5" w:tplc="0396CABA" w:tentative="1">
      <w:start w:val="1"/>
      <w:numFmt w:val="lowerRoman"/>
      <w:lvlText w:val="%6."/>
      <w:lvlJc w:val="right"/>
      <w:pPr>
        <w:ind w:left="6480" w:hanging="180"/>
      </w:pPr>
    </w:lvl>
    <w:lvl w:ilvl="6" w:tplc="FBA45084" w:tentative="1">
      <w:start w:val="1"/>
      <w:numFmt w:val="decimal"/>
      <w:lvlText w:val="%7."/>
      <w:lvlJc w:val="left"/>
      <w:pPr>
        <w:ind w:left="7200" w:hanging="360"/>
      </w:pPr>
    </w:lvl>
    <w:lvl w:ilvl="7" w:tplc="58005AEE" w:tentative="1">
      <w:start w:val="1"/>
      <w:numFmt w:val="lowerLetter"/>
      <w:lvlText w:val="%8."/>
      <w:lvlJc w:val="left"/>
      <w:pPr>
        <w:ind w:left="7920" w:hanging="360"/>
      </w:pPr>
    </w:lvl>
    <w:lvl w:ilvl="8" w:tplc="BD6C5C02" w:tentative="1">
      <w:start w:val="1"/>
      <w:numFmt w:val="lowerRoman"/>
      <w:lvlText w:val="%9."/>
      <w:lvlJc w:val="right"/>
      <w:pPr>
        <w:ind w:left="8640" w:hanging="180"/>
      </w:pPr>
    </w:lvl>
  </w:abstractNum>
  <w:abstractNum w:abstractNumId="2" w15:restartNumberingAfterBreak="0">
    <w:nsid w:val="739D0DEE"/>
    <w:multiLevelType w:val="hybridMultilevel"/>
    <w:tmpl w:val="15C447D6"/>
    <w:lvl w:ilvl="0" w:tplc="09CE8B90">
      <w:start w:val="4"/>
      <w:numFmt w:val="decimal"/>
      <w:lvlText w:val="%1."/>
      <w:lvlJc w:val="left"/>
      <w:pPr>
        <w:ind w:left="720" w:hanging="360"/>
      </w:pPr>
      <w:rPr>
        <w:rFonts w:hint="default"/>
      </w:rPr>
    </w:lvl>
    <w:lvl w:ilvl="1" w:tplc="96EAF2EA" w:tentative="1">
      <w:start w:val="1"/>
      <w:numFmt w:val="lowerLetter"/>
      <w:lvlText w:val="%2."/>
      <w:lvlJc w:val="left"/>
      <w:pPr>
        <w:ind w:left="1440" w:hanging="360"/>
      </w:pPr>
    </w:lvl>
    <w:lvl w:ilvl="2" w:tplc="AA9CC1CC" w:tentative="1">
      <w:start w:val="1"/>
      <w:numFmt w:val="lowerRoman"/>
      <w:lvlText w:val="%3."/>
      <w:lvlJc w:val="right"/>
      <w:pPr>
        <w:ind w:left="2160" w:hanging="180"/>
      </w:pPr>
    </w:lvl>
    <w:lvl w:ilvl="3" w:tplc="41049258" w:tentative="1">
      <w:start w:val="1"/>
      <w:numFmt w:val="decimal"/>
      <w:lvlText w:val="%4."/>
      <w:lvlJc w:val="left"/>
      <w:pPr>
        <w:ind w:left="2880" w:hanging="360"/>
      </w:pPr>
    </w:lvl>
    <w:lvl w:ilvl="4" w:tplc="A70E45DE" w:tentative="1">
      <w:start w:val="1"/>
      <w:numFmt w:val="lowerLetter"/>
      <w:lvlText w:val="%5."/>
      <w:lvlJc w:val="left"/>
      <w:pPr>
        <w:ind w:left="3600" w:hanging="360"/>
      </w:pPr>
    </w:lvl>
    <w:lvl w:ilvl="5" w:tplc="EA208BC0" w:tentative="1">
      <w:start w:val="1"/>
      <w:numFmt w:val="lowerRoman"/>
      <w:lvlText w:val="%6."/>
      <w:lvlJc w:val="right"/>
      <w:pPr>
        <w:ind w:left="4320" w:hanging="180"/>
      </w:pPr>
    </w:lvl>
    <w:lvl w:ilvl="6" w:tplc="D36A116C" w:tentative="1">
      <w:start w:val="1"/>
      <w:numFmt w:val="decimal"/>
      <w:lvlText w:val="%7."/>
      <w:lvlJc w:val="left"/>
      <w:pPr>
        <w:ind w:left="5040" w:hanging="360"/>
      </w:pPr>
    </w:lvl>
    <w:lvl w:ilvl="7" w:tplc="9D0AEE9A" w:tentative="1">
      <w:start w:val="1"/>
      <w:numFmt w:val="lowerLetter"/>
      <w:lvlText w:val="%8."/>
      <w:lvlJc w:val="left"/>
      <w:pPr>
        <w:ind w:left="5760" w:hanging="360"/>
      </w:pPr>
    </w:lvl>
    <w:lvl w:ilvl="8" w:tplc="5386AB14"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xAwELM0NTM1MjJR2l4NTi4sz8PJACw1oA9ODb2SwAAAA="/>
  </w:docVars>
  <w:rsids>
    <w:rsidRoot w:val="000B72B4"/>
    <w:rsid w:val="00002A7B"/>
    <w:rsid w:val="000273D7"/>
    <w:rsid w:val="000B3D38"/>
    <w:rsid w:val="000B72B4"/>
    <w:rsid w:val="000C03F7"/>
    <w:rsid w:val="000D6907"/>
    <w:rsid w:val="000E3DB3"/>
    <w:rsid w:val="00137460"/>
    <w:rsid w:val="001823B8"/>
    <w:rsid w:val="001F0D25"/>
    <w:rsid w:val="001F17F8"/>
    <w:rsid w:val="001F3C7D"/>
    <w:rsid w:val="002026F8"/>
    <w:rsid w:val="00225817"/>
    <w:rsid w:val="00251676"/>
    <w:rsid w:val="00297799"/>
    <w:rsid w:val="002B63E7"/>
    <w:rsid w:val="002C05CE"/>
    <w:rsid w:val="002D0984"/>
    <w:rsid w:val="002D4AD3"/>
    <w:rsid w:val="003049C5"/>
    <w:rsid w:val="00321275"/>
    <w:rsid w:val="003D3342"/>
    <w:rsid w:val="003E54B7"/>
    <w:rsid w:val="004256A1"/>
    <w:rsid w:val="00427804"/>
    <w:rsid w:val="00470614"/>
    <w:rsid w:val="00524382"/>
    <w:rsid w:val="00661140"/>
    <w:rsid w:val="0068792F"/>
    <w:rsid w:val="006D6895"/>
    <w:rsid w:val="00733C77"/>
    <w:rsid w:val="00734526"/>
    <w:rsid w:val="00736327"/>
    <w:rsid w:val="00737A14"/>
    <w:rsid w:val="00753622"/>
    <w:rsid w:val="00783802"/>
    <w:rsid w:val="007D7458"/>
    <w:rsid w:val="00815342"/>
    <w:rsid w:val="0087454E"/>
    <w:rsid w:val="00877F54"/>
    <w:rsid w:val="0090653C"/>
    <w:rsid w:val="00970259"/>
    <w:rsid w:val="009967FF"/>
    <w:rsid w:val="009E372C"/>
    <w:rsid w:val="009F0CD5"/>
    <w:rsid w:val="00A02924"/>
    <w:rsid w:val="00A14BC0"/>
    <w:rsid w:val="00A36D83"/>
    <w:rsid w:val="00AA0D94"/>
    <w:rsid w:val="00B054F6"/>
    <w:rsid w:val="00B11104"/>
    <w:rsid w:val="00B23F0E"/>
    <w:rsid w:val="00B32B41"/>
    <w:rsid w:val="00BC43D3"/>
    <w:rsid w:val="00BE19D8"/>
    <w:rsid w:val="00BF30FF"/>
    <w:rsid w:val="00C00CBF"/>
    <w:rsid w:val="00C06F16"/>
    <w:rsid w:val="00C7417E"/>
    <w:rsid w:val="00CA5F5C"/>
    <w:rsid w:val="00D11304"/>
    <w:rsid w:val="00E53EE1"/>
    <w:rsid w:val="00F273DE"/>
    <w:rsid w:val="00FC543D"/>
    <w:rsid w:val="00FE2B2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D066F4"/>
  <w15:chartTrackingRefBased/>
  <w15:docId w15:val="{2082151E-DA50-415F-B855-BAC6F86D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B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2B4"/>
    <w:rPr>
      <w:color w:val="0563C1" w:themeColor="hyperlink"/>
      <w:u w:val="single"/>
    </w:rPr>
  </w:style>
  <w:style w:type="paragraph" w:styleId="NormalWeb">
    <w:name w:val="Normal (Web)"/>
    <w:basedOn w:val="Normal"/>
    <w:uiPriority w:val="99"/>
    <w:unhideWhenUsed/>
    <w:rsid w:val="000B72B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72B4"/>
    <w:pPr>
      <w:ind w:left="720"/>
      <w:contextualSpacing/>
    </w:pPr>
  </w:style>
  <w:style w:type="character" w:styleId="Strong">
    <w:name w:val="Strong"/>
    <w:basedOn w:val="DefaultParagraphFont"/>
    <w:uiPriority w:val="22"/>
    <w:qFormat/>
    <w:rsid w:val="000B72B4"/>
    <w:rPr>
      <w:b/>
      <w:bCs/>
    </w:rPr>
  </w:style>
  <w:style w:type="paragraph" w:styleId="Header">
    <w:name w:val="header"/>
    <w:basedOn w:val="Normal"/>
    <w:link w:val="HeaderChar"/>
    <w:uiPriority w:val="99"/>
    <w:unhideWhenUsed/>
    <w:rsid w:val="000B7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2B4"/>
    <w:rPr>
      <w:lang w:val="en-US"/>
    </w:rPr>
  </w:style>
  <w:style w:type="paragraph" w:styleId="Footer">
    <w:name w:val="footer"/>
    <w:basedOn w:val="Normal"/>
    <w:link w:val="FooterChar"/>
    <w:uiPriority w:val="99"/>
    <w:unhideWhenUsed/>
    <w:rsid w:val="000B72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2B4"/>
    <w:rPr>
      <w:lang w:val="en-US"/>
    </w:rPr>
  </w:style>
  <w:style w:type="character" w:customStyle="1" w:styleId="apple-converted-space">
    <w:name w:val="apple-converted-space"/>
    <w:basedOn w:val="DefaultParagraphFont"/>
    <w:rsid w:val="000B72B4"/>
  </w:style>
  <w:style w:type="paragraph" w:styleId="BalloonText">
    <w:name w:val="Balloon Text"/>
    <w:basedOn w:val="Normal"/>
    <w:link w:val="BalloonTextChar"/>
    <w:uiPriority w:val="99"/>
    <w:semiHidden/>
    <w:unhideWhenUsed/>
    <w:rsid w:val="000B72B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72B4"/>
    <w:rPr>
      <w:rFonts w:ascii="Times New Roman" w:hAnsi="Times New Roman" w:cs="Times New Roman"/>
      <w:sz w:val="18"/>
      <w:szCs w:val="18"/>
      <w:lang w:val="en-US"/>
    </w:rPr>
  </w:style>
  <w:style w:type="character" w:styleId="CommentReference">
    <w:name w:val="annotation reference"/>
    <w:basedOn w:val="DefaultParagraphFont"/>
    <w:uiPriority w:val="99"/>
    <w:rsid w:val="000B72B4"/>
    <w:rPr>
      <w:sz w:val="16"/>
      <w:szCs w:val="16"/>
    </w:rPr>
  </w:style>
  <w:style w:type="paragraph" w:styleId="CommentText">
    <w:name w:val="annotation text"/>
    <w:basedOn w:val="Normal"/>
    <w:link w:val="CommentTextChar"/>
    <w:uiPriority w:val="99"/>
    <w:semiHidden/>
    <w:unhideWhenUsed/>
    <w:rsid w:val="000B72B4"/>
    <w:pPr>
      <w:spacing w:line="240" w:lineRule="auto"/>
    </w:pPr>
    <w:rPr>
      <w:sz w:val="20"/>
      <w:szCs w:val="20"/>
    </w:rPr>
  </w:style>
  <w:style w:type="character" w:customStyle="1" w:styleId="CommentTextChar">
    <w:name w:val="Comment Text Char"/>
    <w:basedOn w:val="DefaultParagraphFont"/>
    <w:link w:val="CommentText"/>
    <w:uiPriority w:val="99"/>
    <w:semiHidden/>
    <w:rsid w:val="000B72B4"/>
    <w:rPr>
      <w:sz w:val="20"/>
      <w:szCs w:val="20"/>
      <w:lang w:val="en-US"/>
    </w:rPr>
  </w:style>
  <w:style w:type="paragraph" w:styleId="CommentSubject">
    <w:name w:val="annotation subject"/>
    <w:basedOn w:val="CommentText"/>
    <w:next w:val="CommentText"/>
    <w:link w:val="CommentSubjectChar"/>
    <w:uiPriority w:val="99"/>
    <w:semiHidden/>
    <w:unhideWhenUsed/>
    <w:rsid w:val="000B72B4"/>
    <w:rPr>
      <w:b/>
      <w:bCs/>
    </w:rPr>
  </w:style>
  <w:style w:type="character" w:customStyle="1" w:styleId="CommentSubjectChar">
    <w:name w:val="Comment Subject Char"/>
    <w:basedOn w:val="CommentTextChar"/>
    <w:link w:val="CommentSubject"/>
    <w:uiPriority w:val="99"/>
    <w:semiHidden/>
    <w:rsid w:val="000B72B4"/>
    <w:rPr>
      <w:b/>
      <w:bCs/>
      <w:sz w:val="20"/>
      <w:szCs w:val="20"/>
      <w:lang w:val="en-US"/>
    </w:rPr>
  </w:style>
  <w:style w:type="paragraph" w:styleId="Revision">
    <w:name w:val="Revision"/>
    <w:hidden/>
    <w:uiPriority w:val="99"/>
    <w:semiHidden/>
    <w:rsid w:val="000B72B4"/>
    <w:pPr>
      <w:spacing w:after="0" w:line="240" w:lineRule="auto"/>
    </w:pPr>
    <w:rPr>
      <w:lang w:val="en-US"/>
    </w:rPr>
  </w:style>
  <w:style w:type="character" w:styleId="PlaceholderText">
    <w:name w:val="Placeholder Text"/>
    <w:basedOn w:val="DefaultParagraphFont"/>
    <w:uiPriority w:val="99"/>
    <w:semiHidden/>
    <w:rsid w:val="000B72B4"/>
    <w:rPr>
      <w:color w:val="808080"/>
    </w:rPr>
  </w:style>
  <w:style w:type="paragraph" w:styleId="FootnoteText">
    <w:name w:val="footnote text"/>
    <w:basedOn w:val="Normal"/>
    <w:link w:val="FootnoteTextChar"/>
    <w:uiPriority w:val="99"/>
    <w:semiHidden/>
    <w:unhideWhenUsed/>
    <w:rsid w:val="001F17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7F8"/>
    <w:rPr>
      <w:sz w:val="20"/>
      <w:szCs w:val="20"/>
      <w:lang w:val="en-US"/>
    </w:rPr>
  </w:style>
  <w:style w:type="character" w:styleId="FootnoteReference">
    <w:name w:val="footnote reference"/>
    <w:basedOn w:val="DefaultParagraphFont"/>
    <w:uiPriority w:val="99"/>
    <w:semiHidden/>
    <w:unhideWhenUsed/>
    <w:rsid w:val="001F17F8"/>
    <w:rPr>
      <w:vertAlign w:val="superscript"/>
    </w:rPr>
  </w:style>
  <w:style w:type="character" w:customStyle="1" w:styleId="UnresolvedMention">
    <w:name w:val="Unresolved Mention"/>
    <w:basedOn w:val="DefaultParagraphFont"/>
    <w:uiPriority w:val="99"/>
    <w:rsid w:val="001F1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53903">
      <w:bodyDiv w:val="1"/>
      <w:marLeft w:val="0"/>
      <w:marRight w:val="0"/>
      <w:marTop w:val="0"/>
      <w:marBottom w:val="0"/>
      <w:divBdr>
        <w:top w:val="none" w:sz="0" w:space="0" w:color="auto"/>
        <w:left w:val="none" w:sz="0" w:space="0" w:color="auto"/>
        <w:bottom w:val="none" w:sz="0" w:space="0" w:color="auto"/>
        <w:right w:val="none" w:sz="0" w:space="0" w:color="auto"/>
      </w:divBdr>
    </w:div>
    <w:div w:id="1663848034">
      <w:bodyDiv w:val="1"/>
      <w:marLeft w:val="0"/>
      <w:marRight w:val="0"/>
      <w:marTop w:val="0"/>
      <w:marBottom w:val="0"/>
      <w:divBdr>
        <w:top w:val="none" w:sz="0" w:space="0" w:color="auto"/>
        <w:left w:val="none" w:sz="0" w:space="0" w:color="auto"/>
        <w:bottom w:val="none" w:sz="0" w:space="0" w:color="auto"/>
        <w:right w:val="none" w:sz="0" w:space="0" w:color="auto"/>
      </w:divBdr>
      <w:divsChild>
        <w:div w:id="47997888">
          <w:marLeft w:val="0"/>
          <w:marRight w:val="0"/>
          <w:marTop w:val="0"/>
          <w:marBottom w:val="0"/>
          <w:divBdr>
            <w:top w:val="none" w:sz="0" w:space="0" w:color="auto"/>
            <w:left w:val="none" w:sz="0" w:space="0" w:color="auto"/>
            <w:bottom w:val="none" w:sz="0" w:space="0" w:color="auto"/>
            <w:right w:val="none" w:sz="0" w:space="0" w:color="auto"/>
          </w:divBdr>
        </w:div>
      </w:divsChild>
    </w:div>
    <w:div w:id="212350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hyperlink" Target="https://coinmarketcap.com" TargetMode="External"/><Relationship Id="rId21" Type="http://schemas.openxmlformats.org/officeDocument/2006/relationships/image" Target="media/image3.wmf"/><Relationship Id="rId42" Type="http://schemas.openxmlformats.org/officeDocument/2006/relationships/oleObject" Target="embeddings/oleObject13.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wmf"/><Relationship Id="rId112" Type="http://schemas.openxmlformats.org/officeDocument/2006/relationships/oleObject" Target="embeddings/oleObject48.bin"/><Relationship Id="rId16" Type="http://schemas.openxmlformats.org/officeDocument/2006/relationships/hyperlink" Target="https://link.springer.com/article/10.1186/s40854-020-00217-x" TargetMode="External"/><Relationship Id="rId107" Type="http://schemas.openxmlformats.org/officeDocument/2006/relationships/image" Target="media/image46.wmf"/><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3.bin"/><Relationship Id="rId123" Type="http://schemas.openxmlformats.org/officeDocument/2006/relationships/image" Target="media/image5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0.wmf"/><Relationship Id="rId22" Type="http://schemas.openxmlformats.org/officeDocument/2006/relationships/oleObject" Target="embeddings/oleObject3.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7.wmf"/><Relationship Id="rId113" Type="http://schemas.openxmlformats.org/officeDocument/2006/relationships/image" Target="media/image49.wmf"/><Relationship Id="rId118" Type="http://schemas.openxmlformats.org/officeDocument/2006/relationships/hyperlink" Target="https://coinmarketcap.com" TargetMode="External"/><Relationship Id="rId80" Type="http://schemas.openxmlformats.org/officeDocument/2006/relationships/oleObject" Target="embeddings/oleObject32.bin"/><Relationship Id="rId85" Type="http://schemas.openxmlformats.org/officeDocument/2006/relationships/image" Target="media/image35.wmf"/><Relationship Id="rId12" Type="http://schemas.openxmlformats.org/officeDocument/2006/relationships/header" Target="header3.xml"/><Relationship Id="rId17" Type="http://schemas.openxmlformats.org/officeDocument/2006/relationships/image" Target="media/image1.wmf"/><Relationship Id="rId33" Type="http://schemas.openxmlformats.org/officeDocument/2006/relationships/image" Target="media/image9.wmf"/><Relationship Id="rId38" Type="http://schemas.openxmlformats.org/officeDocument/2006/relationships/oleObject" Target="embeddings/oleObject11.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6.bin"/><Relationship Id="rId124" Type="http://schemas.openxmlformats.org/officeDocument/2006/relationships/hyperlink" Target="https://coinmarketcap.com" TargetMode="External"/><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wmf"/><Relationship Id="rId28" Type="http://schemas.openxmlformats.org/officeDocument/2006/relationships/oleObject" Target="embeddings/oleObject6.bin"/><Relationship Id="rId49" Type="http://schemas.openxmlformats.org/officeDocument/2006/relationships/image" Target="media/image17.wmf"/><Relationship Id="rId114" Type="http://schemas.openxmlformats.org/officeDocument/2006/relationships/oleObject" Target="embeddings/oleObject49.bin"/><Relationship Id="rId119" Type="http://schemas.openxmlformats.org/officeDocument/2006/relationships/hyperlink" Target="https://trends.google.com/trends/explore" TargetMode="Externa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oleObject" Target="embeddings/oleObject35.bin"/><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wmf"/><Relationship Id="rId76" Type="http://schemas.openxmlformats.org/officeDocument/2006/relationships/oleObject" Target="embeddings/oleObject30.bin"/><Relationship Id="rId97" Type="http://schemas.openxmlformats.org/officeDocument/2006/relationships/image" Target="media/image41.wmf"/><Relationship Id="rId104" Type="http://schemas.openxmlformats.org/officeDocument/2006/relationships/oleObject" Target="embeddings/oleObject44.bin"/><Relationship Id="rId120" Type="http://schemas.openxmlformats.org/officeDocument/2006/relationships/image" Target="media/image51.png"/><Relationship Id="rId125" Type="http://schemas.openxmlformats.org/officeDocument/2006/relationships/hyperlink" Target="https://trends.google.com/trends/explore" TargetMode="Externa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oleObject" Target="embeddings/oleObject47.bin"/><Relationship Id="rId115" Type="http://schemas.openxmlformats.org/officeDocument/2006/relationships/image" Target="media/image50.wmf"/><Relationship Id="rId61" Type="http://schemas.openxmlformats.org/officeDocument/2006/relationships/image" Target="media/image23.wmf"/><Relationship Id="rId82" Type="http://schemas.openxmlformats.org/officeDocument/2006/relationships/oleObject" Target="embeddings/oleObject33.bin"/><Relationship Id="rId19" Type="http://schemas.openxmlformats.org/officeDocument/2006/relationships/image" Target="media/image2.wmf"/><Relationship Id="rId14" Type="http://schemas.openxmlformats.org/officeDocument/2006/relationships/hyperlink" Target="https://link.springer.com/article/10.1186/s40854-020-00217-x" TargetMode="External"/><Relationship Id="rId30" Type="http://schemas.openxmlformats.org/officeDocument/2006/relationships/oleObject" Target="embeddings/oleObject7.bin"/><Relationship Id="rId35" Type="http://schemas.openxmlformats.org/officeDocument/2006/relationships/image" Target="media/image10.wmf"/><Relationship Id="rId56" Type="http://schemas.openxmlformats.org/officeDocument/2006/relationships/oleObject" Target="embeddings/oleObject20.bin"/><Relationship Id="rId77" Type="http://schemas.openxmlformats.org/officeDocument/2006/relationships/image" Target="media/image31.wmf"/><Relationship Id="rId100" Type="http://schemas.openxmlformats.org/officeDocument/2006/relationships/oleObject" Target="embeddings/oleObject42.bin"/><Relationship Id="rId105" Type="http://schemas.openxmlformats.org/officeDocument/2006/relationships/image" Target="media/image45.wmf"/><Relationship Id="rId126" Type="http://schemas.openxmlformats.org/officeDocument/2006/relationships/hyperlink" Target="https://www.bitdegree.org/crypto/tutorials/nem-price-prediction" TargetMode="Externa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28.bin"/><Relationship Id="rId93" Type="http://schemas.openxmlformats.org/officeDocument/2006/relationships/image" Target="media/image39.wmf"/><Relationship Id="rId98" Type="http://schemas.openxmlformats.org/officeDocument/2006/relationships/oleObject" Target="embeddings/oleObject41.bin"/><Relationship Id="rId121"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oleObject" Target="embeddings/oleObject15.bin"/><Relationship Id="rId67" Type="http://schemas.openxmlformats.org/officeDocument/2006/relationships/image" Target="media/image26.wmf"/><Relationship Id="rId116" Type="http://schemas.openxmlformats.org/officeDocument/2006/relationships/oleObject" Target="embeddings/oleObject50.bin"/><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image" Target="media/image34.wmf"/><Relationship Id="rId88" Type="http://schemas.openxmlformats.org/officeDocument/2006/relationships/oleObject" Target="embeddings/oleObject36.bin"/><Relationship Id="rId111" Type="http://schemas.openxmlformats.org/officeDocument/2006/relationships/image" Target="media/image48.wmf"/><Relationship Id="rId15" Type="http://schemas.openxmlformats.org/officeDocument/2006/relationships/hyperlink" Target="https://link.springer.com/article/10.1186/s40854-020-00217-x" TargetMode="External"/><Relationship Id="rId36" Type="http://schemas.openxmlformats.org/officeDocument/2006/relationships/oleObject" Target="embeddings/oleObject10.bin"/><Relationship Id="rId57" Type="http://schemas.openxmlformats.org/officeDocument/2006/relationships/image" Target="media/image21.wmf"/><Relationship Id="rId106" Type="http://schemas.openxmlformats.org/officeDocument/2006/relationships/oleObject" Target="embeddings/oleObject45.bin"/><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8.bin"/><Relationship Id="rId73" Type="http://schemas.openxmlformats.org/officeDocument/2006/relationships/image" Target="media/image29.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hyperlink" Target="https://www.bitdegree.org/crypto/tutorials/nem-price-prediction" TargetMode="Externa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inmarketcap.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10A78-B465-4FDB-93A2-BFED2128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7153</Words>
  <Characters>40775</Characters>
  <Application>Microsoft Office Word</Application>
  <DocSecurity>0</DocSecurity>
  <Lines>339</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GUESMI</dc:creator>
  <cp:keywords/>
  <dc:description/>
  <cp:lastModifiedBy>dr ali</cp:lastModifiedBy>
  <cp:revision>7</cp:revision>
  <dcterms:created xsi:type="dcterms:W3CDTF">2022-02-16T07:40:00Z</dcterms:created>
  <dcterms:modified xsi:type="dcterms:W3CDTF">2022-02-16T11:27:00Z</dcterms:modified>
</cp:coreProperties>
</file>