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463E7" w14:textId="77777777" w:rsidR="008345C7" w:rsidRPr="00151ED6" w:rsidRDefault="008345C7" w:rsidP="008345C7">
      <w:pPr>
        <w:pStyle w:val="Normal11ptjustified"/>
        <w:spacing w:line="360" w:lineRule="auto"/>
        <w:jc w:val="center"/>
        <w:rPr>
          <w:sz w:val="24"/>
          <w:szCs w:val="24"/>
        </w:rPr>
      </w:pPr>
      <w:r>
        <w:rPr>
          <w:sz w:val="24"/>
          <w:szCs w:val="24"/>
        </w:rPr>
        <w:t>FLAME OUT! END-TRIASSIC MASS EXTINCTION POLYCYCLIC AROMATIC HYDROCARBONS REFLECT MORE THAN JUST FIRE</w:t>
      </w:r>
    </w:p>
    <w:p w14:paraId="58899E43" w14:textId="77777777" w:rsidR="008345C7" w:rsidRPr="00A23AE6" w:rsidRDefault="008345C7" w:rsidP="008345C7">
      <w:pPr>
        <w:pStyle w:val="Authors"/>
        <w:spacing w:line="480" w:lineRule="auto"/>
      </w:pPr>
      <w:r w:rsidRPr="00A23AE6">
        <w:rPr>
          <w:b/>
        </w:rPr>
        <w:t>Authors:</w:t>
      </w:r>
      <w:r w:rsidRPr="00A23AE6">
        <w:t xml:space="preserve"> C. P</w:t>
      </w:r>
      <w:r>
        <w:t>.</w:t>
      </w:r>
      <w:r w:rsidRPr="00A23AE6">
        <w:t xml:space="preserve"> Fox</w:t>
      </w:r>
      <w:r w:rsidRPr="00A23AE6">
        <w:rPr>
          <w:vertAlign w:val="superscript"/>
        </w:rPr>
        <w:t>1</w:t>
      </w:r>
      <w:r>
        <w:rPr>
          <w:vertAlign w:val="superscript"/>
        </w:rPr>
        <w:t>#</w:t>
      </w:r>
      <w:r w:rsidRPr="00A23AE6">
        <w:rPr>
          <w:vertAlign w:val="superscript"/>
        </w:rPr>
        <w:t>*</w:t>
      </w:r>
      <w:r w:rsidRPr="00A23AE6">
        <w:t>, J. H. Whiteside</w:t>
      </w:r>
      <w:r w:rsidRPr="00A23AE6">
        <w:rPr>
          <w:vertAlign w:val="superscript"/>
        </w:rPr>
        <w:t>2</w:t>
      </w:r>
      <w:r w:rsidRPr="00A23AE6">
        <w:t>, P. E. Olsen</w:t>
      </w:r>
      <w:r w:rsidRPr="00A23AE6">
        <w:rPr>
          <w:vertAlign w:val="superscript"/>
        </w:rPr>
        <w:t>3</w:t>
      </w:r>
      <w:r w:rsidRPr="00A23AE6">
        <w:t>, K. Grice</w:t>
      </w:r>
      <w:r>
        <w:rPr>
          <w:vertAlign w:val="superscript"/>
        </w:rPr>
        <w:t>1</w:t>
      </w:r>
    </w:p>
    <w:p w14:paraId="3289483B" w14:textId="77777777" w:rsidR="008345C7" w:rsidRPr="00A23AE6" w:rsidRDefault="008345C7" w:rsidP="008345C7">
      <w:pPr>
        <w:pStyle w:val="Paragraph"/>
        <w:spacing w:line="480" w:lineRule="auto"/>
        <w:ind w:firstLine="0"/>
        <w:rPr>
          <w:b/>
        </w:rPr>
      </w:pPr>
      <w:r w:rsidRPr="00A23AE6">
        <w:rPr>
          <w:b/>
        </w:rPr>
        <w:t>Affiliations:</w:t>
      </w:r>
    </w:p>
    <w:p w14:paraId="57A4DBBE" w14:textId="77777777" w:rsidR="008345C7" w:rsidRPr="00A23AE6" w:rsidRDefault="008345C7" w:rsidP="008345C7">
      <w:pPr>
        <w:pStyle w:val="Paragraph"/>
        <w:spacing w:line="480" w:lineRule="auto"/>
        <w:ind w:firstLine="0"/>
      </w:pPr>
      <w:r w:rsidRPr="00A23AE6">
        <w:rPr>
          <w:vertAlign w:val="superscript"/>
        </w:rPr>
        <w:t xml:space="preserve">1 </w:t>
      </w:r>
      <w:r w:rsidRPr="00A23AE6">
        <w:t>Western Australia Organic</w:t>
      </w:r>
      <w:r>
        <w:t xml:space="preserve"> &amp;</w:t>
      </w:r>
      <w:r w:rsidRPr="00A23AE6">
        <w:t xml:space="preserve"> Isotope Geochemistry Centre, School of Earth and Planetary Science</w:t>
      </w:r>
      <w:r>
        <w:t>s</w:t>
      </w:r>
      <w:r w:rsidRPr="00A23AE6">
        <w:t xml:space="preserve">, </w:t>
      </w:r>
      <w:r>
        <w:t xml:space="preserve">The Institute for Geoscience Research, </w:t>
      </w:r>
      <w:r w:rsidRPr="00A23AE6">
        <w:t>Curtin University, Perth, Western Australia 6845.</w:t>
      </w:r>
    </w:p>
    <w:p w14:paraId="6A8EFFD5" w14:textId="77777777" w:rsidR="008345C7" w:rsidRPr="00A23AE6" w:rsidRDefault="008345C7" w:rsidP="008345C7">
      <w:pPr>
        <w:pStyle w:val="Paragraph"/>
        <w:spacing w:line="480" w:lineRule="auto"/>
        <w:ind w:firstLine="0"/>
      </w:pPr>
      <w:r w:rsidRPr="00A23AE6">
        <w:rPr>
          <w:vertAlign w:val="superscript"/>
        </w:rPr>
        <w:t xml:space="preserve">2 </w:t>
      </w:r>
      <w:r w:rsidRPr="00A23AE6">
        <w:t>Ocean and Earth Science, National Oceanography Centre Southampton, University of Southampton, Southampton SO14 3ZH, United Kingdom.</w:t>
      </w:r>
    </w:p>
    <w:p w14:paraId="0AF9793B" w14:textId="77777777" w:rsidR="008345C7" w:rsidRPr="00A23AE6" w:rsidRDefault="008345C7" w:rsidP="008345C7">
      <w:pPr>
        <w:pStyle w:val="Paragraph"/>
        <w:spacing w:line="480" w:lineRule="auto"/>
        <w:ind w:firstLine="0"/>
      </w:pPr>
      <w:r w:rsidRPr="00A23AE6">
        <w:rPr>
          <w:vertAlign w:val="superscript"/>
        </w:rPr>
        <w:t xml:space="preserve">3 </w:t>
      </w:r>
      <w:r w:rsidRPr="00A23AE6">
        <w:t>Department of Earth and Environmental Sciences, Lamont-Doherty Earth Observatory of Columbia University, 61 Route 9W, Palisades, NY 10964, USA.</w:t>
      </w:r>
    </w:p>
    <w:p w14:paraId="1FAC80A9" w14:textId="2A7D9FBA" w:rsidR="008345C7" w:rsidRDefault="008345C7" w:rsidP="008345C7">
      <w:pPr>
        <w:pStyle w:val="Paragraph"/>
        <w:spacing w:line="480" w:lineRule="auto"/>
        <w:ind w:firstLine="0"/>
      </w:pPr>
      <w:r w:rsidRPr="00A23AE6">
        <w:t>*Correspondence to:</w:t>
      </w:r>
      <w:r>
        <w:t xml:space="preserve"> </w:t>
      </w:r>
      <w:r>
        <w:br/>
        <w:t>E-mail:</w:t>
      </w:r>
      <w:r w:rsidRPr="00A23AE6">
        <w:t xml:space="preserve"> </w:t>
      </w:r>
      <w:hyperlink r:id="rId8" w:history="1">
        <w:r w:rsidR="00E82DBE" w:rsidRPr="00E82DBE">
          <w:rPr>
            <w:rStyle w:val="Hyperlink"/>
          </w:rPr>
          <w:t>Calum.Fox@ku.ac.ae</w:t>
        </w:r>
      </w:hyperlink>
      <w:r>
        <w:rPr>
          <w:rStyle w:val="Hyperlink"/>
          <w:b/>
          <w:u w:val="none"/>
        </w:rPr>
        <w:br/>
      </w:r>
      <w:r w:rsidRPr="00BE1F8B">
        <w:rPr>
          <w:rStyle w:val="Hyperlink"/>
          <w:color w:val="auto"/>
          <w:u w:val="none"/>
        </w:rPr>
        <w:t xml:space="preserve">Address: </w:t>
      </w:r>
      <w:r w:rsidRPr="00A23AE6">
        <w:t>Western Australia Organic</w:t>
      </w:r>
      <w:r>
        <w:t xml:space="preserve"> &amp;</w:t>
      </w:r>
      <w:r w:rsidRPr="00A23AE6">
        <w:t xml:space="preserve"> Isotope Geochemistry Centre, School of Earth and Planetary Science</w:t>
      </w:r>
      <w:r>
        <w:t>s</w:t>
      </w:r>
      <w:r w:rsidRPr="00A23AE6">
        <w:t>,</w:t>
      </w:r>
      <w:r>
        <w:t xml:space="preserve"> The Institute for Geoscience Research</w:t>
      </w:r>
      <w:r w:rsidRPr="00A23AE6">
        <w:t xml:space="preserve"> Curtin University, Perth, Western Australia 6845.</w:t>
      </w:r>
    </w:p>
    <w:p w14:paraId="37D09E06" w14:textId="77777777" w:rsidR="008345C7" w:rsidRDefault="008345C7" w:rsidP="008345C7">
      <w:pPr>
        <w:pStyle w:val="Paragraph"/>
        <w:spacing w:line="480" w:lineRule="auto"/>
        <w:ind w:firstLine="0"/>
      </w:pPr>
      <w:r>
        <w:t># Current address</w:t>
      </w:r>
      <w:r w:rsidRPr="00A23AE6">
        <w:t>:</w:t>
      </w:r>
      <w:r>
        <w:t xml:space="preserve"> Khalifa University of Science and Technology, PO Box 127788, Abu Dhabi, UAE</w:t>
      </w:r>
    </w:p>
    <w:p w14:paraId="594B22B8" w14:textId="77777777" w:rsidR="008345C7" w:rsidRPr="00B52AEC" w:rsidRDefault="008345C7" w:rsidP="008345C7">
      <w:pPr>
        <w:pStyle w:val="AbstractSummary"/>
        <w:spacing w:line="480" w:lineRule="auto"/>
      </w:pPr>
      <w:r w:rsidRPr="00FA06AC">
        <w:rPr>
          <w:b/>
        </w:rPr>
        <w:t>Keywords:</w:t>
      </w:r>
      <w:r>
        <w:t xml:space="preserve"> end-Triassic mass extinction, St. Audrie’s Bay, PAHs, biomarkers, organic geochemistry </w:t>
      </w:r>
    </w:p>
    <w:p w14:paraId="327FE52E" w14:textId="77777777" w:rsidR="008345C7" w:rsidRDefault="008345C7" w:rsidP="008345C7">
      <w:pPr>
        <w:rPr>
          <w:rFonts w:ascii="Times New Roman" w:eastAsia="Times New Roman" w:hAnsi="Times New Roman" w:cs="Times New Roman"/>
          <w:b/>
          <w:sz w:val="24"/>
          <w:szCs w:val="24"/>
          <w:lang w:val="en-US" w:eastAsia="en-US"/>
        </w:rPr>
      </w:pPr>
      <w:r>
        <w:rPr>
          <w:b/>
        </w:rPr>
        <w:br w:type="page"/>
      </w:r>
    </w:p>
    <w:p w14:paraId="6F87E49C" w14:textId="77777777" w:rsidR="008345C7" w:rsidRDefault="008345C7" w:rsidP="008345C7">
      <w:pPr>
        <w:pStyle w:val="AbstractSummary"/>
        <w:spacing w:line="480" w:lineRule="auto"/>
        <w:jc w:val="both"/>
      </w:pPr>
      <w:r>
        <w:rPr>
          <w:b/>
        </w:rPr>
        <w:lastRenderedPageBreak/>
        <w:t>Abstract:</w:t>
      </w:r>
    </w:p>
    <w:p w14:paraId="4B5A18C7" w14:textId="0BE39689" w:rsidR="008345C7" w:rsidRPr="00EB50D4" w:rsidRDefault="008345C7" w:rsidP="008345C7">
      <w:pPr>
        <w:pStyle w:val="AbstractSummary"/>
        <w:spacing w:line="480" w:lineRule="auto"/>
        <w:jc w:val="both"/>
      </w:pPr>
      <w:r>
        <w:t xml:space="preserve">Global warming </w:t>
      </w:r>
      <w:proofErr w:type="gramStart"/>
      <w:r>
        <w:t>induced-wildfires</w:t>
      </w:r>
      <w:proofErr w:type="gramEnd"/>
      <w:r>
        <w:t xml:space="preserve"> of the 21</w:t>
      </w:r>
      <w:r w:rsidRPr="00D877CD">
        <w:rPr>
          <w:vertAlign w:val="superscript"/>
        </w:rPr>
        <w:t>st</w:t>
      </w:r>
      <w:r>
        <w:t xml:space="preserve"> century reveal the catastro</w:t>
      </w:r>
      <w:r w:rsidRPr="001162A1">
        <w:t>phi</w:t>
      </w:r>
      <w:r>
        <w:t>c effects that widespread biomass burning has on flora and fauna. During mass extinction events, similar wildfire episodes are considered to play an important role in driving perturbations in terrestrial ecosystems. To better evaluate the record of biomass burning and potential carbon cycle feedbacks at the end-Triassic mass extinction (~202 Ma</w:t>
      </w:r>
      <w:r w:rsidR="00BC4844">
        <w:t>; ETE</w:t>
      </w:r>
      <w:r>
        <w:t xml:space="preserve">), we </w:t>
      </w:r>
      <w:proofErr w:type="gramStart"/>
      <w:r w:rsidR="0064277A">
        <w:rPr>
          <w:lang w:val="en-GB"/>
        </w:rPr>
        <w:t xml:space="preserve">investigated </w:t>
      </w:r>
      <w:r w:rsidR="0064277A">
        <w:t xml:space="preserve"> the</w:t>
      </w:r>
      <w:proofErr w:type="gramEnd"/>
      <w:r w:rsidR="0064277A">
        <w:t xml:space="preserve"> relative abundances of a range of</w:t>
      </w:r>
      <w:r>
        <w:t xml:space="preserve"> polycyclic aromatic hydrocarbons (PAHs) and </w:t>
      </w:r>
      <w:r w:rsidR="0064277A">
        <w:t xml:space="preserve">the </w:t>
      </w:r>
      <w:r w:rsidR="0064277A" w:rsidRPr="005045DC">
        <w:rPr>
          <w:rFonts w:ascii="Symbol" w:hAnsi="Symbol"/>
        </w:rPr>
        <w:t>d</w:t>
      </w:r>
      <w:r w:rsidR="0064277A" w:rsidRPr="005045DC">
        <w:rPr>
          <w:vertAlign w:val="superscript"/>
        </w:rPr>
        <w:t>13</w:t>
      </w:r>
      <w:r w:rsidR="0064277A">
        <w:t xml:space="preserve">C </w:t>
      </w:r>
      <w:r>
        <w:t xml:space="preserve">values of regular isoprenoids and </w:t>
      </w:r>
      <w:r>
        <w:rPr>
          <w:i/>
        </w:rPr>
        <w:t>n-</w:t>
      </w:r>
      <w:r>
        <w:t>alkanes</w:t>
      </w:r>
      <w:r w:rsidDel="00C6484E">
        <w:rPr>
          <w:lang w:val="en-GB"/>
        </w:rPr>
        <w:t xml:space="preserve"> </w:t>
      </w:r>
      <w:r>
        <w:rPr>
          <w:lang w:val="en-GB"/>
        </w:rPr>
        <w:t xml:space="preserve">at key sections </w:t>
      </w:r>
      <w:r>
        <w:t xml:space="preserve">in the </w:t>
      </w:r>
      <w:r w:rsidR="008D6CF0">
        <w:t xml:space="preserve">SW </w:t>
      </w:r>
      <w:r>
        <w:t xml:space="preserve">UK. These data reveal little evidence for intensive wildfire activity during the extinction event, in contrast to what has been reported further afield in European, Chinese, and Greenland ETE sections. </w:t>
      </w:r>
      <w:r w:rsidR="00223409">
        <w:t xml:space="preserve">Herein, </w:t>
      </w:r>
      <w:r>
        <w:t xml:space="preserve">PAHs instead reflect greater contributions from an episode of soil erosion that we attribute to Large Igneous Province (LIP)-driven acid rain, and possible distal sources of smoke, suggestive of fire elsewhere in the UK/European basins. This terrestrial ecosystem perturbation is coincident with those in the marine realm, indicating ecosystem perturbations occurred across multiple habitats throughout the latest Rhaetian in the </w:t>
      </w:r>
      <w:r w:rsidR="008D6CF0">
        <w:t xml:space="preserve">SW </w:t>
      </w:r>
      <w:r>
        <w:t xml:space="preserve">UK. Additionally, this geochemical approach reveals </w:t>
      </w:r>
      <w:r w:rsidR="00223409">
        <w:t>that the</w:t>
      </w:r>
      <w:r w:rsidR="00E35DEF">
        <w:t xml:space="preserve"> </w:t>
      </w:r>
      <w:r>
        <w:t>precursor carbon isotope excursion</w:t>
      </w:r>
      <w:r w:rsidR="00C130D6">
        <w:t xml:space="preserve"> (CIE)</w:t>
      </w:r>
      <w:r>
        <w:t xml:space="preserve"> routinely used in chemostratigraphic correlations is unrelated to LIP activity, but instead results from the increased input of terrestrially</w:t>
      </w:r>
      <w:r w:rsidR="002B6C9A">
        <w:t xml:space="preserve"> </w:t>
      </w:r>
      <w:r>
        <w:t xml:space="preserve">derived </w:t>
      </w:r>
      <w:r w:rsidRPr="006439E6">
        <w:rPr>
          <w:vertAlign w:val="superscript"/>
        </w:rPr>
        <w:t>13</w:t>
      </w:r>
      <w:r>
        <w:t xml:space="preserve">C-depleted plant material. Furthermore, we find the initial CIE (commonly used to mark the extinction level, but which is now known to precede the ETE) is also unrelated to biomass burning. Collectively, these data reveal that processes other than combustion of terrestrial material are important for the terrestrial </w:t>
      </w:r>
      <w:r w:rsidR="0064277A">
        <w:t xml:space="preserve">phase </w:t>
      </w:r>
      <w:r>
        <w:t>of the ETE</w:t>
      </w:r>
      <w:r w:rsidR="008D6CF0">
        <w:t xml:space="preserve"> in the SW UK</w:t>
      </w:r>
      <w:r>
        <w:t xml:space="preserve">. Similar investigations are required </w:t>
      </w:r>
      <w:r w:rsidR="00223409">
        <w:t xml:space="preserve">on </w:t>
      </w:r>
      <w:r>
        <w:t xml:space="preserve">other ETE sections, both those </w:t>
      </w:r>
      <w:proofErr w:type="gramStart"/>
      <w:r>
        <w:t>in close proximity to</w:t>
      </w:r>
      <w:proofErr w:type="gramEnd"/>
      <w:r>
        <w:t xml:space="preserve"> the LIP driving the extinction and those further afield, to </w:t>
      </w:r>
      <w:r>
        <w:lastRenderedPageBreak/>
        <w:t xml:space="preserve">more clearly determine the negative effect(s) of LIPs and their geographic extent in the terrestrial realm. </w:t>
      </w:r>
      <w:r>
        <w:br w:type="page"/>
      </w:r>
    </w:p>
    <w:p w14:paraId="5A75578B" w14:textId="77777777" w:rsidR="008345C7" w:rsidRDefault="008345C7" w:rsidP="008345C7">
      <w:pPr>
        <w:pStyle w:val="AbstractSummary"/>
        <w:numPr>
          <w:ilvl w:val="0"/>
          <w:numId w:val="1"/>
        </w:numPr>
        <w:spacing w:line="480" w:lineRule="auto"/>
        <w:jc w:val="both"/>
      </w:pPr>
      <w:r>
        <w:rPr>
          <w:b/>
        </w:rPr>
        <w:lastRenderedPageBreak/>
        <w:t>Introduction</w:t>
      </w:r>
      <w:r w:rsidRPr="00A23AE6">
        <w:t xml:space="preserve"> </w:t>
      </w:r>
    </w:p>
    <w:p w14:paraId="62AC53C0" w14:textId="017503E5" w:rsidR="008345C7" w:rsidRDefault="008345C7" w:rsidP="0014005C">
      <w:pPr>
        <w:pStyle w:val="AbstractSummary"/>
        <w:spacing w:line="480" w:lineRule="auto"/>
        <w:ind w:firstLine="360"/>
        <w:jc w:val="both"/>
      </w:pPr>
      <w:r>
        <w:t xml:space="preserve">The climate change-driven </w:t>
      </w:r>
      <w:r>
        <w:rPr>
          <w:lang w:val="en-GB"/>
        </w:rPr>
        <w:t>i</w:t>
      </w:r>
      <w:r w:rsidRPr="005537E4">
        <w:rPr>
          <w:lang w:val="en-GB"/>
        </w:rPr>
        <w:t>ncrease</w:t>
      </w:r>
      <w:r>
        <w:rPr>
          <w:lang w:val="en-GB"/>
        </w:rPr>
        <w:t>s in</w:t>
      </w:r>
      <w:r w:rsidRPr="005537E4">
        <w:rPr>
          <w:lang w:val="en-GB"/>
        </w:rPr>
        <w:t xml:space="preserve"> </w:t>
      </w:r>
      <w:r>
        <w:rPr>
          <w:lang w:val="en-GB"/>
        </w:rPr>
        <w:t xml:space="preserve">the </w:t>
      </w:r>
      <w:r w:rsidRPr="005537E4">
        <w:rPr>
          <w:lang w:val="en-GB"/>
        </w:rPr>
        <w:t xml:space="preserve">frequency </w:t>
      </w:r>
      <w:r>
        <w:rPr>
          <w:lang w:val="en-GB"/>
        </w:rPr>
        <w:t xml:space="preserve">and intensity </w:t>
      </w:r>
      <w:r w:rsidRPr="005537E4">
        <w:rPr>
          <w:lang w:val="en-GB"/>
        </w:rPr>
        <w:t xml:space="preserve">of </w:t>
      </w:r>
      <w:r>
        <w:rPr>
          <w:lang w:val="en-GB"/>
        </w:rPr>
        <w:t xml:space="preserve">forest </w:t>
      </w:r>
      <w:r w:rsidRPr="005537E4">
        <w:rPr>
          <w:lang w:val="en-GB"/>
        </w:rPr>
        <w:t>fires</w:t>
      </w:r>
      <w:r>
        <w:rPr>
          <w:lang w:val="en-GB"/>
        </w:rPr>
        <w:t xml:space="preserve"> in the </w:t>
      </w:r>
      <w:r>
        <w:t xml:space="preserve">last decade illustrate the lethal effects fire events have on terrestrial ecosystems. For example, more than one billion vertebrates are estimated to have died during the 2019/2020 Australian bushfires </w:t>
      </w:r>
      <w:r>
        <w:fldChar w:fldCharType="begin" w:fldLock="1"/>
      </w:r>
      <w:r>
        <w:instrText>ADDIN CSL_CITATION {"citationItems":[{"id":"ITEM-1","itemData":{"DOI":"https://doi.org/10.1111/emr.12403","abstract":"Australia already has the highest rate of species loss of any region in the world, yet the risks suddenly worsened in the spring–summer of 2019–20, with an unprecedented chain of wildfires covering 10 M ha of the nation’s forest and woodland estate. Fires of this scale were unprecedented and not factored into recovery plans for Threatened Species or ecosystem management in general. EMR asks one of Australia’s most pre-eminent ecologists what can be done to ameliorate the losses and better avoid and respond to such impacts occurring in the future?","author":[{"dropping-particle":"","family":"Dickman","given":"Chris","non-dropping-particle":"","parse-names":false,"suffix":""},{"dropping-particle":"","family":"McDonald","given":"Tein","non-dropping-particle":"","parse-names":false,"suffix":""}],"container-title":"Ecological Management &amp; Restoration","id":"ITEM-1","issue":"2","issued":{"date-parts":[["2020"]]},"page":"86-96","title":"Some personal reflections on the present and future of Australia’s fauna in an increasingly fire-prone continent","type":"article-journal","volume":"21"},"uris":["http://www.mendeley.com/documents/?uuid=c7a1f726-54a8-4679-9d23-0659799779a1"]}],"mendeley":{"formattedCitation":"(Dickman and McDonald, 2020)","plainTextFormattedCitation":"(Dickman and McDonald, 2020)","previouslyFormattedCitation":"(Dickman and McDonald, 2020)"},"properties":{"noteIndex":0},"schema":"https://github.com/citation-style-language/schema/raw/master/csl-citation.json"}</w:instrText>
      </w:r>
      <w:r>
        <w:fldChar w:fldCharType="separate"/>
      </w:r>
      <w:r w:rsidRPr="00A249D1">
        <w:rPr>
          <w:noProof/>
        </w:rPr>
        <w:t>(Dickman and McDonald, 2020)</w:t>
      </w:r>
      <w:r>
        <w:fldChar w:fldCharType="end"/>
      </w:r>
      <w:r>
        <w:t xml:space="preserve">. Similar events are thought to have been important for driving terrestrial ecosystem perturbations during mass extinction events, including the end-Triassic mass extinction event (ETE) at ~201.5 Ma </w:t>
      </w:r>
      <w:r>
        <w:fldChar w:fldCharType="begin" w:fldLock="1"/>
      </w:r>
      <w:r>
        <w:instrText>ADDIN CSL_CITATION {"citationItems":[{"id":"ITEM-1","itemData":{"DOI":"10.1130/G35612.1","ISSN":"19432682","abstract":"Numerical calibration of the Late Triassic stages is arguably the most controversial issue in Mesozoic stratigraphy, despite its importance for assessing mechanisms of environmental perturbations and associated biologic consequences preceding the end-Triassic mass extinction. Here we report new chemical abrasion-isotope dilution-thermal ionization mass spectrometry zircon U-Pb dates for volcanic ash beds within the Aramachay Formation of the Pucara Group in northern Peru that place precise constraints on the age of the Norian-Rhaetian boundary (NRB) and the duration of the Rhaetian. The sampled ash bed-bearing interval is located just above the last occurrence of the bivalve Monotis subcircularis, placing this stratigraphic sequence in the uppermost Norian, perhaps ranging into the earliest Rhaetian. Zircon U-Pb dates of ash beds constrain the deposition age of this interval to be between 205.70 ± 0.15 Ma and 205.30 ± 0.14 Ma, providing precise constraints on the age of the NRB. Combined with previously published zircon U-Pb dates for ash beds bracketing the Triassic-Jurassic boundary, we estimate a duration of 4.14 ± 0.39 m.y. for the Rhaetian. This ends a prolonged controversy about the duration of this stage and has fundamental implications for the rates of paleoenvironmental deterioration that culminated in the end-Triassic mass extinction. © 2014 Geological Society of America.","author":[{"dropping-particle":"","family":"Wotzlaw","given":"Jörn Frederik","non-dropping-particle":"","parse-names":false,"suffix":""},{"dropping-particle":"","family":"Guex","given":"Jean","non-dropping-particle":"","parse-names":false,"suffix":""},{"dropping-particle":"","family":"Bartolini","given":"Annachiara","non-dropping-particle":"","parse-names":false,"suffix":""},{"dropping-particle":"","family":"Gallet","given":"Yves","non-dropping-particle":"","parse-names":false,"suffix":""},{"dropping-particle":"","family":"Krystyn","given":"Leopold","non-dropping-particle":"","parse-names":false,"suffix":""},{"dropping-particle":"","family":"McRoberts","given":"Christopher A.","non-dropping-particle":"","parse-names":false,"suffix":""},{"dropping-particle":"","family":"Taylor","given":"David","non-dropping-particle":"","parse-names":false,"suffix":""},{"dropping-particle":"","family":"Schoene","given":"Blair","non-dropping-particle":"","parse-names":false,"suffix":""},{"dropping-particle":"","family":"Schaltegger","given":"Urs","non-dropping-particle":"","parse-names":false,"suffix":""}],"container-title":"Geology","id":"ITEM-1","issue":"7","issued":{"date-parts":[["2014","7","1"]]},"page":"571-574","publisher":"Geological Society of America","title":"Towards accurate numerical calibration of the late triassic: Highprecision U-Pb geochronology constraints on the duration of the Rhaetian","type":"article-journal","volume":"42"},"uris":["http://www.mendeley.com/documents/?uuid=93949bdc-552a-34dd-80e1-861c3d30328d"]}],"mendeley":{"formattedCitation":"(Wotzlaw et al., 2014)","plainTextFormattedCitation":"(Wotzlaw et al., 2014)","previouslyFormattedCitation":"(Wotzlaw et al., 2014)"},"properties":{"noteIndex":0},"schema":"https://github.com/citation-style-language/schema/raw/master/csl-citation.json"}</w:instrText>
      </w:r>
      <w:r>
        <w:fldChar w:fldCharType="separate"/>
      </w:r>
      <w:r w:rsidRPr="00A249D1">
        <w:rPr>
          <w:noProof/>
        </w:rPr>
        <w:t>(Wotzlaw et al., 2014)</w:t>
      </w:r>
      <w:r>
        <w:fldChar w:fldCharType="end"/>
      </w:r>
      <w:r>
        <w:t>. Propelling this extinction event was the emplacement of Earth’s most laterally extensive large igneous province (LIP), the Central Atlantic Magmatic Province (CAMP), triggering a series of cascading environmental effects that proved catastrophic for end-Triassic life: anoxia, euxinia, acidification, global warming driven by CO</w:t>
      </w:r>
      <w:r w:rsidRPr="00243CE2">
        <w:rPr>
          <w:vertAlign w:val="subscript"/>
        </w:rPr>
        <w:t>2</w:t>
      </w:r>
      <w:r>
        <w:t xml:space="preserve"> increases, mercury and other volatile emissions, eutrophication, </w:t>
      </w:r>
      <w:r w:rsidRPr="0041372A">
        <w:t>lithospheric bulging/collap</w:t>
      </w:r>
      <w:r>
        <w:t>se resulting in sea-level change, and a possible short-lived SO</w:t>
      </w:r>
      <w:r>
        <w:rPr>
          <w:vertAlign w:val="subscript"/>
        </w:rPr>
        <w:t>2</w:t>
      </w:r>
      <w:r>
        <w:t xml:space="preserve">-induced intense cooling that may also have affected sea-level </w:t>
      </w:r>
      <w:r>
        <w:fldChar w:fldCharType="begin" w:fldLock="1"/>
      </w:r>
      <w:r w:rsidR="00CE10D6">
        <w:instrText>ADDIN CSL_CITATION {"citationItems":[{"id":"ITEM-1","itemData":{"DOI":"10.1029/136GM014","author":[{"dropping-particle":"","family":"Pálfy","given":"J","non-dropping-particle":"","parse-names":false,"suffix":""}],"container-title":"The Central Atlantic Magmatic Province, Geophysical Monograph Series","id":"ITEM-1","issued":{"date-parts":[["2003"]]},"page":"255-267","title":"Volcanism of the Central Atlantic Magmatic Province as a potential driving force in the end-Triassic mass extinction","type":"article-journal","volume":"136"},"uris":["http://www.mendeley.com/documents/?uuid=70a1e657-9009-4d52-b05d-ba00106cf456"]}],"mendeley":{"formattedCitation":"(Pálfy, 2003)","manualFormatting":"(e.g., Pálfy, 2003)","plainTextFormattedCitation":"(Pálfy, 2003)","previouslyFormattedCitation":"(Pálfy, 2003)"},"properties":{"noteIndex":0},"schema":"https://github.com/citation-style-language/schema/raw/master/csl-citation.json"}</w:instrText>
      </w:r>
      <w:r>
        <w:fldChar w:fldCharType="separate"/>
      </w:r>
      <w:r w:rsidR="00CE10D6" w:rsidRPr="00CE10D6">
        <w:rPr>
          <w:noProof/>
        </w:rPr>
        <w:t>(</w:t>
      </w:r>
      <w:r w:rsidR="00CE10D6">
        <w:rPr>
          <w:noProof/>
        </w:rPr>
        <w:t xml:space="preserve">e.g., </w:t>
      </w:r>
      <w:r w:rsidR="00CE10D6" w:rsidRPr="00CE10D6">
        <w:rPr>
          <w:noProof/>
        </w:rPr>
        <w:t>Pálfy, 2003)</w:t>
      </w:r>
      <w:r>
        <w:fldChar w:fldCharType="end"/>
      </w:r>
      <w:r>
        <w:t xml:space="preserve">. </w:t>
      </w:r>
      <w:bookmarkStart w:id="0" w:name="_Hlk92091110"/>
      <w:proofErr w:type="gramStart"/>
      <w:r w:rsidR="00065F70">
        <w:t>Similar to</w:t>
      </w:r>
      <w:proofErr w:type="gramEnd"/>
      <w:r w:rsidR="00065F70">
        <w:t xml:space="preserve"> the wildfire events of the last decade</w:t>
      </w:r>
      <w:r>
        <w:t>, widespread and intense CAMP-induced wildfires are expected to have had major impacts on terrestrial life, particularly for regions in close proximity to the CAMP</w:t>
      </w:r>
      <w:r w:rsidR="00E82DBE">
        <w:t>.</w:t>
      </w:r>
      <w:r>
        <w:t xml:space="preserve"> </w:t>
      </w:r>
      <w:r w:rsidR="00E82DBE">
        <w:t>H</w:t>
      </w:r>
      <w:r w:rsidR="00D7562D">
        <w:t>owever, the</w:t>
      </w:r>
      <w:r w:rsidR="00A14EA4">
        <w:t xml:space="preserve"> extent,</w:t>
      </w:r>
      <w:r w:rsidR="00D7562D">
        <w:t xml:space="preserve"> duration</w:t>
      </w:r>
      <w:r w:rsidR="00FE04CB">
        <w:t>,</w:t>
      </w:r>
      <w:r w:rsidR="00D7562D">
        <w:t xml:space="preserve"> intensity</w:t>
      </w:r>
      <w:r w:rsidR="00FE04CB">
        <w:t>, and synchronicity</w:t>
      </w:r>
      <w:r w:rsidR="00D7562D">
        <w:t xml:space="preserve"> of such </w:t>
      </w:r>
      <w:r w:rsidR="00EB784C">
        <w:t>events</w:t>
      </w:r>
      <w:r w:rsidR="00D7562D">
        <w:t xml:space="preserve"> </w:t>
      </w:r>
      <w:r w:rsidR="00A65E22">
        <w:t>remains</w:t>
      </w:r>
      <w:r w:rsidR="00D7562D">
        <w:t xml:space="preserve"> </w:t>
      </w:r>
      <w:r w:rsidR="00CD028E">
        <w:t>unclear</w:t>
      </w:r>
      <w:r w:rsidR="00EB784C">
        <w:t>.</w:t>
      </w:r>
      <w:bookmarkEnd w:id="0"/>
    </w:p>
    <w:p w14:paraId="627C7A07" w14:textId="135F71A2" w:rsidR="005F035D" w:rsidRDefault="00F90B6B" w:rsidP="007C05E3">
      <w:pPr>
        <w:pStyle w:val="AbstractSummary"/>
        <w:spacing w:line="480" w:lineRule="auto"/>
        <w:ind w:firstLine="360"/>
        <w:jc w:val="both"/>
      </w:pPr>
      <w:bookmarkStart w:id="1" w:name="_Hlk93649761"/>
      <w:r>
        <w:t xml:space="preserve">In addition to charcoal, </w:t>
      </w:r>
      <w:r w:rsidR="00BD7779">
        <w:t>a</w:t>
      </w:r>
      <w:r w:rsidR="00065F70">
        <w:t xml:space="preserve"> </w:t>
      </w:r>
      <w:r w:rsidR="00BC72E3">
        <w:t xml:space="preserve">proxy for investigating </w:t>
      </w:r>
      <w:r w:rsidR="00065F70">
        <w:t xml:space="preserve">wildfire </w:t>
      </w:r>
      <w:r w:rsidR="00BC72E3">
        <w:t xml:space="preserve">activity </w:t>
      </w:r>
      <w:r w:rsidR="00065F70">
        <w:t>in the geological record</w:t>
      </w:r>
      <w:r w:rsidR="00BC72E3">
        <w:t xml:space="preserve"> is the </w:t>
      </w:r>
      <w:r w:rsidR="0064277A">
        <w:t>abundances</w:t>
      </w:r>
      <w:r w:rsidR="00BC72E3">
        <w:t xml:space="preserve"> of</w:t>
      </w:r>
      <w:r w:rsidR="00772B65">
        <w:t xml:space="preserve"> Polycyclic Aromatic Hydrocarbons (PAHs) </w:t>
      </w:r>
      <w:r w:rsidR="008C4F30">
        <w:t xml:space="preserve">that </w:t>
      </w:r>
      <w:r w:rsidR="00772B65">
        <w:t>can be important indicators of organic matter formed at higher temperatures, such as those associated with</w:t>
      </w:r>
      <w:r w:rsidR="00BD7779">
        <w:t xml:space="preserve"> incomplete combustion</w:t>
      </w:r>
      <w:r w:rsidR="00772B65">
        <w:t xml:space="preserve"> </w:t>
      </w:r>
      <w:r w:rsidR="00BD7779">
        <w:t>during</w:t>
      </w:r>
      <w:r w:rsidR="00772B65">
        <w:t xml:space="preserve"> wildfires.</w:t>
      </w:r>
      <w:r w:rsidR="00A14EA4">
        <w:t xml:space="preserve"> </w:t>
      </w:r>
      <w:r w:rsidR="0096521D">
        <w:t>Combustion-derived PAHs (</w:t>
      </w:r>
      <w:proofErr w:type="spellStart"/>
      <w:r w:rsidR="0096521D" w:rsidRPr="0082171E">
        <w:t>py</w:t>
      </w:r>
      <w:r w:rsidR="0096521D">
        <w:t>PAHs</w:t>
      </w:r>
      <w:proofErr w:type="spellEnd"/>
      <w:r w:rsidR="0096521D">
        <w:t xml:space="preserve">) typically used to investigate periods of </w:t>
      </w:r>
      <w:r w:rsidR="004B3431">
        <w:t>paleo</w:t>
      </w:r>
      <w:r w:rsidR="0096521D">
        <w:t>wildfire activity include phenanthrene, fluoranthene, pyrene, benzo(</w:t>
      </w:r>
      <w:r w:rsidR="0096521D" w:rsidRPr="005045DC">
        <w:rPr>
          <w:i/>
        </w:rPr>
        <w:t>a</w:t>
      </w:r>
      <w:r w:rsidR="0096521D">
        <w:t>)anthracene, chrysene, triphenylene, benzo(</w:t>
      </w:r>
      <w:r w:rsidR="0096521D" w:rsidRPr="00E02DAC">
        <w:rPr>
          <w:i/>
          <w:iCs/>
        </w:rPr>
        <w:t>e</w:t>
      </w:r>
      <w:r w:rsidR="0096521D">
        <w:t>)pyrene, benzo(</w:t>
      </w:r>
      <w:r w:rsidR="0096521D" w:rsidRPr="00E02DAC">
        <w:rPr>
          <w:i/>
          <w:iCs/>
        </w:rPr>
        <w:t>a</w:t>
      </w:r>
      <w:r w:rsidR="0096521D">
        <w:t>)pyrene, benzo(</w:t>
      </w:r>
      <w:proofErr w:type="spellStart"/>
      <w:r w:rsidR="0096521D" w:rsidRPr="00E02DAC">
        <w:rPr>
          <w:i/>
          <w:iCs/>
        </w:rPr>
        <w:t>bjk</w:t>
      </w:r>
      <w:proofErr w:type="spellEnd"/>
      <w:r w:rsidR="0096521D">
        <w:t xml:space="preserve">)fluoranthene, </w:t>
      </w:r>
      <w:proofErr w:type="spellStart"/>
      <w:r w:rsidR="0096521D">
        <w:t>Indeno</w:t>
      </w:r>
      <w:proofErr w:type="spellEnd"/>
      <w:r w:rsidR="0096521D">
        <w:t>[1,2,3-cd]pyrene, benzo(</w:t>
      </w:r>
      <w:proofErr w:type="spellStart"/>
      <w:r w:rsidR="0096521D" w:rsidRPr="00E02DAC">
        <w:rPr>
          <w:i/>
          <w:iCs/>
        </w:rPr>
        <w:t>ghi</w:t>
      </w:r>
      <w:proofErr w:type="spellEnd"/>
      <w:r w:rsidR="0096521D">
        <w:t>)perylene, and coronene (Fig. 1; Table 1)</w:t>
      </w:r>
      <w:r w:rsidR="00CD028E">
        <w:t>,</w:t>
      </w:r>
      <w:r w:rsidR="0096521D">
        <w:t xml:space="preserve"> with those having a </w:t>
      </w:r>
      <w:r w:rsidR="000339AA">
        <w:t>high-</w:t>
      </w:r>
      <w:r w:rsidR="000339AA">
        <w:lastRenderedPageBreak/>
        <w:t>molecular-weight (</w:t>
      </w:r>
      <w:r w:rsidR="0096521D">
        <w:t>HMW</w:t>
      </w:r>
      <w:r w:rsidR="000339AA">
        <w:t xml:space="preserve">; </w:t>
      </w:r>
      <w:r w:rsidR="0096521D">
        <w:t>i.e.,</w:t>
      </w:r>
      <w:r w:rsidR="00CF14CA">
        <w:t xml:space="preserve"> compounds containing more aromatic </w:t>
      </w:r>
      <w:r w:rsidR="0096521D">
        <w:t xml:space="preserve">rings) best representing evidence of paleowildfires. </w:t>
      </w:r>
      <w:r w:rsidR="00772B65">
        <w:t xml:space="preserve">However, PAHs can originate from a wide range of sources other than just combustion (i.e. </w:t>
      </w:r>
      <w:r w:rsidR="00537FDC">
        <w:t>wild</w:t>
      </w:r>
      <w:r w:rsidR="00772B65">
        <w:t>fires); these include</w:t>
      </w:r>
      <w:r w:rsidR="00537FDC">
        <w:t xml:space="preserve"> volcani</w:t>
      </w:r>
      <w:r w:rsidR="00FA5D02">
        <w:t>sm</w:t>
      </w:r>
      <w:r w:rsidR="00537FDC">
        <w:t>,</w:t>
      </w:r>
      <w:r w:rsidR="00772B65">
        <w:t xml:space="preserve"> hydrothermal fluids and the diagenesis/catagenesis of biogenic precursors </w:t>
      </w:r>
      <w:r w:rsidR="00772B65">
        <w:fldChar w:fldCharType="begin" w:fldLock="1"/>
      </w:r>
      <w:r w:rsidR="00772B65">
        <w:instrText>ADDIN CSL_CITATION {"citationItems":[{"id":"ITEM-1","itemData":{"DOI":"https://doi.org/10.1016/j.orggeochem.2018.06.004","ISSN":"0146-6380","abstract":"This review discusses major applications of stable carbon isotopic measurements of aromatic compounds, along with some specific technical aspects including purification of aromatic fractions for baseline separation. δ13C measurements of organic matter (OM) in sediments and oils are routine in all fields of organic geochemistry, but they are predominantly done on saturated compounds. Aromatic compounds are important contributors to sedimentary organic matter, and provide indication of diagenetic processes, OM source, and thermal maturity. Studies have found evidence for a small 13C-enrichment during diagenetic aromatisation of approximately 1–2‰, but the formation of polycyclic aromatic hydrocarbons (PAHs) from combustion and hydrothermal processes seems to produce no effect. Likewise, maturation and biodegradation also produce only small isotopic effects. An early application of δ13C of aromatic compounds was in the classification of oil families by source. Bulk measurements have had some success in differentiating marine and terrigenous oils, but were not accurate in all settings. Compound-specific analyses measure certain aromatics with strong links to source, therefore allowing more accurate source identification. δ13C measurements of individual aromatic compounds also allow identification of higher plant input in ancient sediments, even after severe diagenetic alteration or combustion to PAHs. Perylene, a PAH with a historically contentious origin, was assigned a source from wood-degrading fungi on the basis of its isotopic composition. Stable carbon isotopic measurements are also important in the analysis of organic matter from Chlorobiaceae, which is an important indicator of photic zone euxinic conditions in ancient sediments. A large range of aromatic products are formed from the carotenoid pigments of Chlorobiaceae, with an enriched carbon isotopic composition characteristic of the reverse tricarboxylic acid photosynthetic pathway employed by this family of organisms. In future, site-specific isotope analysis using techniques such as nuclear magnetic resonance spectrometry and high-resolution isotope ratio mass spectrometry may reveal more information about isotopic effects associated with aromatisation processes and maturation.","author":[{"dropping-particle":"","family":"Holman","given":"Alex I","non-dropping-particle":"","parse-names":false,"suffix":""},{"dropping-particle":"","family":"Grice","given":"Kliti","non-dropping-particle":"","parse-names":false,"suffix":""}],"container-title":"Organic Geochemistry","id":"ITEM-1","issued":{"date-parts":[["2018"]]},"page":"27-37","title":"δ&lt;sup&gt;13&lt;/sup&gt;C of aromatic compounds in sediments, oils and atmospheric emissions: A review","type":"article-journal","volume":"123"},"uris":["http://www.mendeley.com/documents/?uuid=6ec4388a-b060-43c7-812e-a13c2da299ac"]}],"mendeley":{"formattedCitation":"(Holman and Grice, 2018)","manualFormatting":"(see Holman and Grice, 2018)","plainTextFormattedCitation":"(Holman and Grice, 2018)","previouslyFormattedCitation":"(Holman and Grice, 2018)"},"properties":{"noteIndex":0},"schema":"https://github.com/citation-style-language/schema/raw/master/csl-citation.json"}</w:instrText>
      </w:r>
      <w:r w:rsidR="00772B65">
        <w:fldChar w:fldCharType="separate"/>
      </w:r>
      <w:r w:rsidR="00772B65" w:rsidRPr="0087155D">
        <w:rPr>
          <w:noProof/>
        </w:rPr>
        <w:t>(</w:t>
      </w:r>
      <w:r w:rsidR="00772B65">
        <w:rPr>
          <w:noProof/>
        </w:rPr>
        <w:t xml:space="preserve">see </w:t>
      </w:r>
      <w:r w:rsidR="00772B65" w:rsidRPr="0087155D">
        <w:rPr>
          <w:noProof/>
        </w:rPr>
        <w:t>Holman and Grice, 2018)</w:t>
      </w:r>
      <w:r w:rsidR="00772B65">
        <w:fldChar w:fldCharType="end"/>
      </w:r>
      <w:r w:rsidR="00CD028E">
        <w:t xml:space="preserve">. </w:t>
      </w:r>
      <w:bookmarkStart w:id="2" w:name="_Hlk93658401"/>
      <w:r w:rsidR="00CD028E">
        <w:t xml:space="preserve">Additionally, </w:t>
      </w:r>
      <w:proofErr w:type="spellStart"/>
      <w:r w:rsidR="002E7617">
        <w:t>pyPAH</w:t>
      </w:r>
      <w:proofErr w:type="spellEnd"/>
      <w:r w:rsidR="001F74AB">
        <w:t xml:space="preserve"> ratios </w:t>
      </w:r>
      <w:r w:rsidR="00440CCB">
        <w:t>can serve as prox</w:t>
      </w:r>
      <w:r w:rsidR="00CD028E">
        <w:t>ies</w:t>
      </w:r>
      <w:r w:rsidR="00440CCB">
        <w:t xml:space="preserve"> beyond paleowildfires, e.g., </w:t>
      </w:r>
      <w:r w:rsidR="002E7617">
        <w:t>hel</w:t>
      </w:r>
      <w:r w:rsidR="00853EF8">
        <w:t>p</w:t>
      </w:r>
      <w:r w:rsidR="00440CCB">
        <w:t>ing</w:t>
      </w:r>
      <w:r w:rsidR="001F74AB">
        <w:t xml:space="preserve"> infer </w:t>
      </w:r>
      <w:r w:rsidR="002E7617">
        <w:t xml:space="preserve">organic </w:t>
      </w:r>
      <w:r w:rsidR="00853EF8">
        <w:t xml:space="preserve">matter origin </w:t>
      </w:r>
      <w:r w:rsidR="00C367B1">
        <w:fldChar w:fldCharType="begin" w:fldLock="1"/>
      </w:r>
      <w:r w:rsidR="00C97F2A">
        <w:instrText>ADDIN CSL_CITATION {"citationItems":[{"id":"ITEM-1","itemData":{"DOI":"https://doi.org/10.1016/j.epsl.2021.116970","ISSN":"0012-821X","abstract":"Global warming will likely perturb carbon storage and cycling throughout many components of the exogenic carbon cycle, but its net impact on the long-term fate of organic carbon stabilized in soils is unclear. Abrupt warming during the Paleocene-Eocene Thermal Maximum (PETM) profoundly altered vegetation and hydrologic patterns globally. To assess the consequences for soil carbon in a mid-latitude region we measured total organic carbon (%TOC), polycyclic aromatic hydrocarbons (PAHs), charcoal, and sporomorphs (pollen and spores) at two paleo-floodplain depositional sites in the Bighorn Basin, Wyoming, USA. At both sites %TOC, PAHs, charcoal, and sporomorphs declined during the PETM. The decline in pyrogenic carbon, which is more severe than the decline in %TOC, is consistent with isotopic and fossil evidence for degradation of labile organic compounds and preservation of highly refractory allochthonous organic carbon. The severe loss of less-labile contemporaneous PETM (autochthonous) soil carbon, illustrated by the fate of pyrogenic carbon, indicates intensified rates of organic matter decay during the PETM. Because of the highly degraded signature of organic matter in these PETM sections, it is difficult to discern if less pyrogenic carbon is in part a consequence of less fire occurrence during the PETM. We propose that in this mid-latitude region of the western USA increased soil carbon oxidation hindered soil carbon sequestration during this period of hotter climate with more seasonal precipitation.","author":[{"dropping-particle":"","family":"Denis","given":"Elizabeth H","non-dropping-particle":"","parse-names":false,"suffix":""},{"dropping-particle":"","family":"Maibauer","given":"Bianca J","non-dropping-particle":"","parse-names":false,"suffix":""},{"dropping-particle":"","family":"Bowen","given":"Gabriel J","non-dropping-particle":"","parse-names":false,"suffix":""},{"dropping-particle":"","family":"Jardine","given":"Phillip E","non-dropping-particle":"","parse-names":false,"suffix":""},{"dropping-particle":"","family":"Harrington","given":"Guy J","non-dropping-particle":"","parse-names":false,"suffix":""},{"dropping-particle":"","family":"Baczynski","given":"Allison A","non-dropping-particle":"","parse-names":false,"suffix":""},{"dropping-particle":"","family":"McInerney","given":"Francesca A","non-dropping-particle":"","parse-names":false,"suffix":""},{"dropping-particle":"","family":"Collinson","given":"Margaret E","non-dropping-particle":"","parse-names":false,"suffix":""},{"dropping-particle":"","family":"Belcher","given":"Claire M","non-dropping-particle":"","parse-names":false,"suffix":""},{"dropping-particle":"","family":"Wing","given":"Scott L","non-dropping-particle":"","parse-names":false,"suffix":""},{"dropping-particle":"","family":"Freeman","given":"Katherine H","non-dropping-particle":"","parse-names":false,"suffix":""}],"container-title":"Earth and Planetary Science Letters","id":"ITEM-1","issued":{"date-parts":[["2021"]]},"page":"116970","title":"Decreased soil carbon in a warming world: Degraded pyrogenic carbon during the Paleocene-Eocene Thermal Maximum, Bighorn Basin, Wyoming","type":"article-journal","volume":"566"},"uris":["http://www.mendeley.com/documents/?uuid=3955bcbb-aa0e-43cb-adc2-4197a6941e06"]}],"mendeley":{"formattedCitation":"(Denis et al., 2021)","plainTextFormattedCitation":"(Denis et al., 2021)","previouslyFormattedCitation":"(Denis et al., 2021)"},"properties":{"noteIndex":0},"schema":"https://github.com/citation-style-language/schema/raw/master/csl-citation.json"}</w:instrText>
      </w:r>
      <w:r w:rsidR="00C367B1">
        <w:fldChar w:fldCharType="separate"/>
      </w:r>
      <w:r w:rsidR="00C367B1" w:rsidRPr="00C367B1">
        <w:rPr>
          <w:noProof/>
        </w:rPr>
        <w:t>(Denis et al., 2021)</w:t>
      </w:r>
      <w:r w:rsidR="00C367B1">
        <w:fldChar w:fldCharType="end"/>
      </w:r>
      <w:r w:rsidR="00B66122">
        <w:t xml:space="preserve"> or reflect changes in the hydrological cycle </w:t>
      </w:r>
      <w:r w:rsidR="00B66122">
        <w:fldChar w:fldCharType="begin" w:fldLock="1"/>
      </w:r>
      <w:r w:rsidR="00B66122">
        <w:instrText>ADDIN CSL_CITATION {"citationItems":[{"id":"ITEM-1","itemData":{"DOI":"https://doi.org/10.1111/j.1365-3091.2005.00712.x","ISSN":"0037-0746","abstract":"Abstract Lithostratigraphic and organic chemostratigraphic studies of fluvial/lacustrine sediments in the Late Cretaceous Fort Crittenden Formation in south-eastern Arizona USA, reveal changes in palaeoclimate and tectonics as well as associated fluctuations in lake level. The lower Fort Crittenden is dominated by marginal wetland to deep-water lake deposits, whereas the upper Fort Crittenden is characterized by wetland to deltaic deposits. Abundance of polycyclic aromatic hydrocarbons (PAH) and reflectance of fusinite substantiate the impact of wildfires within the watershed. Organic geochemical evidence of wildfires is linked with sedimentological indicators of seasonal aridity suggesting that wildfires were common occurrences. Sedimentological evidence for seasonal aridity includes mottles and pseudoslickensides on ped structures within wetland mudstones. Distinct variations in PAH assemblages, characterized by the number of aromatic rings, indicate that there were variations in the intensities of wildfires, assuming no variations in the types of fuel. Fusinite reflectance values are consistent with combustion temperatures from 470 to 550?°C observed in modern wildfires.","author":[{"dropping-particle":"","family":"Finkelstein","given":"David B","non-dropping-particle":"","parse-names":false,"suffix":""},{"dropping-particle":"","family":"Pratt","given":"Lisa M","non-dropping-particle":"","parse-names":false,"suffix":""},{"dropping-particle":"","family":"Curtin","given":"Tara M","non-dropping-particle":"","parse-names":false,"suffix":""},{"dropping-particle":"","family":"Brassell","given":"Simon C","non-dropping-particle":"","parse-names":false,"suffix":""}],"container-title":"Sedimentology","id":"ITEM-1","issue":"3","issued":{"date-parts":[["2005","6","1"]]},"note":"https://doi.org/10.1111/j.1365-3091.2005.00712.x","page":"587-599","publisher":"John Wiley &amp; Sons, Ltd","title":"Wildfires and seasonal aridity recorded in Late Cretaceous strata from south-eastern Arizona, USA","type":"article-journal","volume":"52"},"uris":["http://www.mendeley.com/documents/?uuid=7b2a410a-778f-4ac9-a81c-0e3a568f091b"]}],"mendeley":{"formattedCitation":"(Finkelstein et al., 2005)","plainTextFormattedCitation":"(Finkelstein et al., 2005)","previouslyFormattedCitation":"(Finkelstein et al., 2005)"},"properties":{"noteIndex":0},"schema":"https://github.com/citation-style-language/schema/raw/master/csl-citation.json"}</w:instrText>
      </w:r>
      <w:r w:rsidR="00B66122">
        <w:fldChar w:fldCharType="separate"/>
      </w:r>
      <w:r w:rsidR="00B66122" w:rsidRPr="00A249D1">
        <w:rPr>
          <w:noProof/>
        </w:rPr>
        <w:t>(Finkelstein et al., 2005)</w:t>
      </w:r>
      <w:r w:rsidR="00B66122">
        <w:fldChar w:fldCharType="end"/>
      </w:r>
      <w:r w:rsidR="00772B65">
        <w:t>.</w:t>
      </w:r>
      <w:bookmarkEnd w:id="2"/>
      <w:r w:rsidR="00A14EA4">
        <w:t xml:space="preserve"> </w:t>
      </w:r>
      <w:r w:rsidR="00772B65">
        <w:t>Furthermore, low-molecular-weight (LMW) PAHs</w:t>
      </w:r>
      <w:r w:rsidR="00E51772">
        <w:t xml:space="preserve"> (Fig. 1)</w:t>
      </w:r>
      <w:r w:rsidR="00772B65">
        <w:t xml:space="preserve"> can arise from increased weathering and soil erosion </w:t>
      </w:r>
      <w:r w:rsidR="00772B65">
        <w:fldChar w:fldCharType="begin" w:fldLock="1"/>
      </w:r>
      <w:r w:rsidR="00772B65">
        <w:instrText>ADDIN CSL_CITATION {"citationItems":[{"id":"ITEM-1","itemData":{"DOI":"https://doi.org/10.1016/j.epsl.2007.07.033","ISSN":"0012-821X","abstract":"In this study, we report on biomarker abundances through parts of the Permian/Triassic boundary (PTB) of Schuchert Dal (East Greenland) that contains rich marine faunal records and excellent terrestrial palynological records. Biomarker abundances and sulfur isotopes are used to correlate the series of events (including changes in element cycling and associated redox conditions of the ocean) surrounding the collapse of the marine and terrestrial ecosystems through this record of a major crisis of life on Earth during a mass extinction episode. The Upper Schuchert Dal Formation contains a low diversity palynological assemblage, ascribed to arborescent cordiaite–conifer–pteridosperm vegetation. Samples from this pre-collapse interval are characterised by high abundances of dibenzofuran (DBF), dibenzothiophene (DBT) and biphenyl. Since these compounds have similar base structures, and show comparable abundance curves, it is plausible that they probably derive from a common source. We propose that phenolic compounds of lignin of the woody plants present during this period could be the source for DBF, DBT and biphenyl. The redox conditions during this period of time also support the formation of DBF and DBT. Just above the extinction interval, there is a dramatic decrease in the abundances of DBF and DBT which occurs at the same time as a sudden change in the stable sulfur isotopic composition (δ34S) of pyrite, indicating a change in redox conditions from oxic to anoxic/euxinic conditions. δ34S values leading up to the extinction are highly depleted in the heavy sulfur isotope (about −40‰ vs. VCDT), whilst shortly after the extinction interval much more positive isotope values are observed (about −25‰). An inferred change in the biogeochemical sulfur cycle is supported by facies evidence from similar neighbouring sections. It is suggested that two processes are operating closely here; 1) Changes in redox conditions and 2) extinction and/or transgression accounting for the absence of woody material.","author":[{"dropping-particle":"","family":"Fenton","given":"Stephen","non-dropping-particle":"","parse-names":false,"suffix":""},{"dropping-particle":"","family":"Grice","given":"Kliti","non-dropping-particle":"","parse-names":false,"suffix":""},{"dropping-particle":"","family":"Twitchett","given":"Richard J","non-dropping-particle":"","parse-names":false,"suffix":""},{"dropping-particle":"","family":"Böttcher","given":"Michael E","non-dropping-particle":"","parse-names":false,"suffix":""},{"dropping-particle":"V","family":"Looy","given":"Cindy","non-dropping-particle":"","parse-names":false,"suffix":""},{"dropping-particle":"","family":"Nabbefeld","given":"Birgit","non-dropping-particle":"","parse-names":false,"suffix":""}],"container-title":"Earth and Planetary Science Letters","id":"ITEM-1","issue":"1","issued":{"date-parts":[["2007"]]},"page":"230-239","title":"Changes in biomarker abundances and sulfur isotopes of pyrite across the Permian–Triassic (P/Tr) Schuchert Dal section (East Greenland)","type":"article-journal","volume":"262"},"uris":["http://www.mendeley.com/documents/?uuid=3c2b2b8c-2f84-4d7d-977d-8eae873ec626"]},{"id":"ITEM-2","itemData":{"DOI":"10.1130/G21784.1","ISSN":"0091-7613","abstract":"Organic geochemical analyses of sedimentary organic matter from a marine Permian-Triassic transition sequence in northeastern Italy reveal a significant influx of land-derived diagenetic products of polysaccharides. This unique event reflects massive soil erosion resulting from destruction of land vegetation due to volcanogenic disturbance of atmospheric chemistry. The excessive supply of soil materials to the oceans provides a direct link between terrestrial and marine ecological crises, suggesting that ecosystem collapse on land could have contributed to the end-Permian marine extinctions.","author":[{"dropping-particle":"","family":"Sephton","given":"Mark A","non-dropping-particle":"","parse-names":false,"suffix":""},{"dropping-particle":"V","family":"Looy","given":"Cindy","non-dropping-particle":"","parse-names":false,"suffix":""},{"dropping-particle":"","family":"Brinkhuis","given":"Henk","non-dropping-particle":"","parse-names":false,"suffix":""},{"dropping-particle":"","family":"Wignall","given":"Paul B","non-dropping-particle":"","parse-names":false,"suffix":""},{"dropping-particle":"","family":"Leeuw","given":"Jan W","non-dropping-particle":"de","parse-names":false,"suffix":""},{"dropping-particle":"","family":"Visscher","given":"Henk","non-dropping-particle":"","parse-names":false,"suffix":""}],"container-title":"Geology","id":"ITEM-2","issue":"12","issued":{"date-parts":[["2005","12","1"]]},"page":"941-944","title":"Catastrophic soil erosion during the end-Permian biotic crisis","type":"article-journal","volume":"33"},"uris":["http://www.mendeley.com/documents/?uuid=8f3cdae2-c962-4cea-a752-179301c24b82"]}],"mendeley":{"formattedCitation":"(Fenton et al., 2007; Sephton et al., 2005)","plainTextFormattedCitation":"(Fenton et al., 2007; Sephton et al., 2005)","previouslyFormattedCitation":"(Fenton et al., 2007; Sephton et al., 2005)"},"properties":{"noteIndex":0},"schema":"https://github.com/citation-style-language/schema/raw/master/csl-citation.json"}</w:instrText>
      </w:r>
      <w:r w:rsidR="00772B65">
        <w:fldChar w:fldCharType="separate"/>
      </w:r>
      <w:r w:rsidR="00772B65" w:rsidRPr="00A249D1">
        <w:rPr>
          <w:noProof/>
        </w:rPr>
        <w:t>(Fenton et al., 2007; Sephton et al., 2005)</w:t>
      </w:r>
      <w:r w:rsidR="00772B65">
        <w:fldChar w:fldCharType="end"/>
      </w:r>
      <w:r w:rsidR="00440CCB">
        <w:t>.</w:t>
      </w:r>
      <w:r w:rsidR="001F74AB">
        <w:t xml:space="preserve"> </w:t>
      </w:r>
      <w:bookmarkStart w:id="3" w:name="_Hlk92099133"/>
      <w:r w:rsidR="00537FDC">
        <w:t xml:space="preserve">Thus far, </w:t>
      </w:r>
      <w:r w:rsidR="008C4F30">
        <w:t>PAH distributions in European, East Greenland and Chinese ETE</w:t>
      </w:r>
      <w:r w:rsidR="00247207">
        <w:t xml:space="preserve"> and early Jurassic</w:t>
      </w:r>
      <w:r w:rsidR="008C4F30">
        <w:t xml:space="preserve"> sections have been attributed to </w:t>
      </w:r>
      <w:r w:rsidR="0064277A">
        <w:t xml:space="preserve">the </w:t>
      </w:r>
      <w:r w:rsidR="008C4F30">
        <w:t>CAMP-induced combustion processes</w:t>
      </w:r>
      <w:r w:rsidR="005A6213">
        <w:t xml:space="preserve"> </w:t>
      </w:r>
      <w:r w:rsidR="008C4F30">
        <w:fldChar w:fldCharType="begin" w:fldLock="1"/>
      </w:r>
      <w:r w:rsidR="00DB4F76">
        <w:instrText xml:space="preserve">ADDIN CSL_CITATION {"citationItems":[{"id":"ITEM-1","itemData":{"DOI":"https://doi.org/10.1016/j.gca.2013.11.033","ISSN":"0016-7037","abstract":"Terrestrial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sidR="00DB4F76">
        <w:rPr>
          <w:rFonts w:ascii="Cambria Math" w:hAnsi="Cambria Math" w:cs="Cambria Math"/>
        </w:rPr>
        <w:instrText>∼</w:instrText>
      </w:r>
      <w:r w:rsidR="00DB4F76">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Acta","id":"ITEM-1","issued":{"date-parts":[["2014"]]},"page":"251-263","title":"An organic record of terrestrial ecosystem collapse and recovery at the Triassic–Jurassic boundary in East Greenland","type":"article-journal","volume":"127"},"uris":["http://www.mendeley.com/documents/?uuid=b7d8a644-9eb1-4450-a9f8-79a0ac3648c6"]},{"id":"ITEM-2","itemData":{"DOI":"https://doi.org/10.1016/j.earscirev.2019.102970","ISSN":"0012-8252","abstract":"Emplacement of the Central Atlantic Magmatic Province (CAMP) during the Triassic-Jurassic (Tr-J) transition is believed to have indirectly increased wildfire frequency through climatic warming and drying. To date, evidence for wildfires has come mainly from within the CAMP region. Here, we present biomarker evidence for wildfires in the form of polycyclic aromatic hydrocarbons (PAHs) in two terrestrial Triassic-Jurassic boundary sections in the Sichuan Basin, southwestern China. Pyrolytic PAHs of probable wildfire origin identified in these sections include pyrene, benzofluoranthene, benzo[e]pyrene, indeno[1,2,3-cd]pyrene, benzo[ghi]perylene, and coronene. Sharp increases in the abundances of pyrolytic PAHs normalized to total organic carbon were found during the Rhaetian Stage (R1 and R2) and at the Tr-J boundary. The ratios of pyrolytic PAHs (PPAHs) to methylated homologues document the combustion origin of PPAHs from methylated PAHs during these intervals of increased wildfire frequency. The abundances of oxygenated PAHs with furan structure show the same stratigraphic trend, testifying to enhanced soil erosion or weathering that may have resulted from a reduction of vegetative cover. Although CAMP-induced climate changes probably set the stage for more frequent wildfires in South China, the immediate trigger was probably a southward shift of the paleo-Intertropical Convergence Zone (ITCZ). These observations suggest a complex feedback involving climatic warming, precipitation and evapo-transpiration, vegetation density, and wildfire prevalence during the Tr-J transition.","author":[{"dropping-particle":"","family":"Song","given":"Yi","non-dropping-particle":"","parse-names":false,"suffix":""},{"dropping-particle":"","family":"Algeo","given":"Thomas J","non-dropping-particle":"","parse-names":false,"suffix":""},{"dropping-particle":"","family":"Wu","given":"Wenjun","non-dropping-particle":"","parse-names":false,"suffix":""},{"dropping-particle":"","family":"Luo","given":"Genming","non-dropping-particle":"","parse-names":false,"suffix":""},{"dropping-particle":"","family":"Li","given":"Liqin","non-dropping-particle":"","parse-names":false,"suffix":""},{"dropping-particle":"","family":"Wang","given":"Yongdong","non-dropping-particle":"","parse-names":false,"suffix":""},{"dropping-particle":"","family":"Xie","given":"Shucheng","non-dropping-particle":"","parse-names":false,"suffix":""}],"container-title":"Earth-Science Reviews","id":"ITEM-2","issued":{"date-parts":[["2020"]]},"page":"102970","title":"Distribution of pyrolytic PAHs across the Triassic-Jurassic boundary in the Sichuan Basin, southwestern China: Evidence of wildfire outside the Central Atlantic Magmatic Province","type":"article-journal","volume":"201"},"uris":["http://www.mendeley.com/documents/?uuid=177f61fb-4d2a-4442-b15d-f8ffbd214856"]},{"id":"ITEM-3","itemData":{"ISSN":"08831351, 19385323","abstract":"[Laboratory tests indicate that 15% O₂, instead of 12%, is required for the propagation of a widespread forest fire, a 3% increase from what was previously assumed. The presence of widespread wildfire records in the Upper Triassic and Lower Jurassic of Central Europe suggests that the lower limit for O₂ during this time was at least 15%. Wildfire records are based on the co-occurrence of charcoal fragments and elevated concentrations of pyrolytic polycyclic aromatic hydrocarbons (PAHs). In all samples charcoal fragments are large to medium-sized and angular, suggesting that they were transported by rivers only short distances after charcoalification. Calculated combustion temperatures vary with stratigraphic position and average 295-377 °C, which is characteristic for ground or near-surface wildfires. The most extensive wildfires occurred in the earliest Jurassic and their intensities successively decreased with time. Average concentrations of the sum of pyrolytic PAHs for the lowermost Jurassic Zagaje Formation reached ~1253 μg/g total organic carbon (TOC), whereas for the Upper Triassic-Lower Jurassic Sktoby Formation they did not exceed ~16 μg/g TOC. Charcoal-bearing sequences were also characterized by the presence of phenyl-PAHs (Ph-PAHs) and oxygen-containing aromatic compounds. The dominance of the more stable Ph-PAH isomers in these immature to low-maturity sedimentary rocks supports their pyrolytic origin. The oxygenated PAHs may also be derived from combustion processes.]","author":[{"dropping-particle":"","family":"Marynowski","given":"Leszek","non-dropping-particle":"","parse-names":false,"suffix":""},{"dropping-particle":"","family":"Simoneit","given":"Bernd R T","non-dropping-particle":"","parse-names":false,"suffix":""}],"container-title":"Palaios","id":"ITEM-3","issue":"11/12","issued":{"date-parts":[["2009","4","9"]]},"page":"785-798","publisher":"SEPM Society for Sedimentary Geology","title":"Widespread upper Triassic to lower Jurassic wildfire records from Poland: Evidence from charcoal and pyrolytic and pyrolytic polycyclic aromatic hydrocarbons","type":"article-journal","volume":"24"},"uris":["http://www.mendeley.com/documents/?uuid=2a6cb468-e7c6-4713-aac1-81b87c770762"]},{"id":"ITEM-4","itemData":{"DOI":"10.1038/ngeo577","ISSN":"1752-0908","abstract":"One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Geoscience","id":"ITEM-4","issue":"8","issued":{"date-parts":[["2009"]]},"page":"589-594","title":"Floral changes across the Triassic/Jurassic boundary linked to flood basalt volcanism","type":"article-journal","volume":"2"},"uris":["http://www.mendeley.com/documents/?uuid=7a9f3397-a2a7-4fd8-bfbf-4ff746b02c61"]},{"id":"ITEM-5","itemData":{"DOI":"https://doi.org/10.1016/j.palaeo.2021.110559","ISSN":"0031-0182","abstract":"Carbon isotope stratigraphic records across the Triassic-Jurassic (Tr-J) boundary show carbon isotope excursions in both marine and terrestrial sections, indicating frequent perturbations of the global carbon cycles, which are linked to the ~600 kyr pulsed emplacement of the Central Atlantic Magmatic Province (CAMP). However, few detailed carbon isotope stratigraphic reports from high-latitude terrestrial deposition have been documented in contrast to the contemporaneous low- to mid-latitude records. It hampers the understanding of the climatic response in the high-latitude terrestrial areas and the modeling global carbon cycles triggered by CAMP volcanisms. Here, we present high-resolution organic carbon isotope data primarily originated from C3 plants in the Haojiagou section in the paleo-high-latitude Junggar Basin, NW China. Combined with previously published biostratigraphic and geochemical results, carbon isotope stratigraphy with distinct “initial negative carbon isotope excursions” (I-CIE) and “main negative carbon isotope excursions” (M-CIE) is built in the Junggar Basin and allows a global stratigraphic correlation. The end-Triassic mass extinction (ETE) and the Tr-J boundary is then well identified. The excursion magnitude is similar to that in Greenland and Poland where the sections are also terrestrial. Climatic pattern recorded in the Junggar Basin rapidly changed across the Tr-J transition and coincides with a bloom of fern spores, increased wildfire activities, enhanced hydrological cycles and soil loss.","author":[{"dropping-particle":"","family":"Fang","given":"Yanan","non-dropping-particle":"","parse-names":false,"suffix":""},{"dropping-particle":"","family":"Fang","given":"Linhao","non-dropping-particle":"","parse-names":false,"suffix":""},{"dropping-particle":"","family":"Deng","given":"Shenghui","non-dropping-particle":"","parse-names":false,"suffix":""},{"dropping-particle":"","family":"Lu","given":"Yuanzheng","non-dropping-particle":"","parse-names":false,"suffix":""},{"dropping-particle":"","family":"Wang","given":"Bo","non-dropping-particle":"","parse-names":false,"suffix":""},{"dropping-particle":"","family":"Zhao","given":"Xiangdong","non-dropping-particle":"","parse-names":false,"suffix":""},{"dropping-particle":"","family":"Wang","given":"Yizhe","non-dropping-particle":"","parse-names":false,"suffix":""},{"dropping-particle":"","family":"Zhang","given":"Haichun","non-dropping-particle":"","parse-names":false,"suffix":""},{"dropping-particle":"","family":"Zhang","given":"Xinzhi","non-dropping-particle":"","parse-names":false,"suffix":""},{"dropping-particle":"","family":"Sha","given":"Jingeng","non-dropping-particle":"","parse-names":false,"suffix":""}],"container-title":"Palaeogeography, Palaeoclimatology, Palaeoecology","id":"ITEM-5","issued":{"date-parts":[["2021"]]},"page":"110559","title":"Carbon isotope stratigraphy across the Triassic-Jurassic boundary in the high-latitude terrestrial Junggar Basin, NW China","type":"article-journal","volume":"577"},"uris":["http://www.mendeley.com/documents/?uuid=ab66d73b-ed97-439d-b004-4b2d160f2cca"]},{"id":"ITEM-6","itemData":{"DOI":"10.14027/j.issn.1000-0550.2020.103","author":[{"dropping-particle":"","family":"Zhang","given":"X.","non-dropping-particle":"","parse-names":false,"suffix":""},{"dropping-particle":"","family":"Lv","given":"P.","non-dropping-particle":"","parse-names":false,"suffix":""},{"dropping-particle":"","family":"Fang","given":"L.","non-dropping-particle":"","parse-names":false,"suffix":""},{"dropping-particle":"","family":"Yang","given":"H.","non-dropping-particle":"","parse-names":false,"suffix":""},{"dropping-particle":"","family":"Deng","given":"S.","non-dropping-particle":"","parse-names":false,"suffix":""},{"dropping-particle":"","family":"Lu","given":"Y.","non-dropping-particle":"","parse-names":false,"suffix":""},{"dropping-particle":"","family":"Fang","given":"Y.","non-dropping-particle":"","parse-names":false,"suffix":""},{"dropping-particle":"","family":"Zhang","given":"X.","non-dropping-particle":"","parse-names":false,"suffix":""},{"dropping-particle":"","family":"Huang","given":"R.","non-dropping-particle":"","parse-names":false,"suffix":""},{"dropping-particle":"","family":"Liang","given":"J.","non-dropping-particle":"","parse-names":false,"suffix":""},{"dropping-particle":"","family":"Shi","given":"S.","non-dropping-particle":"","parse-names":false,"suffix":""}],"container-title":"Acta Sedimentologica Sinica","id":"ITEM-6","issued":{"date-parts":[["2020"]]},"title":"Widefire records across the Triassic-Jurassic boundary in the southern margin of the Junggar Basin and global correlations","type":"article-journal"},"uris":["http://www.mendeley.com/documents/?uuid=2a387782-9b4a-4264-ad7c-7696b8abb3db"]}],"mendeley":{"formattedCitation":"(Fang et al., 2021; Marynowski and Simoneit, 2009; Song et al., 2020; van de Schootbrugge et al., 2009; Williford et al., 2014; Zhang et al., 2020)","plainTextFormattedCitation":"(Fang et al., 2021; Marynowski and Simoneit, 2009; Song et al., 2020; van de Schootbrugge et al., 2009; Williford et al., 2014; Zhang et al., 2020)","previouslyFormattedCitation":"(Fang et al., 2021; Marynowski and Simoneit, 2009; Song et al., 2020; van de Schootbrugge et al., 2009; Williford et al., 2014; Zhang et al., 2020)"},"properties":{"noteIndex":0},"schema":"https://github.com/citation-style-language/schema/raw/master/csl-citation.json"}</w:instrText>
      </w:r>
      <w:r w:rsidR="008C4F30">
        <w:fldChar w:fldCharType="separate"/>
      </w:r>
      <w:r w:rsidR="006C12E7" w:rsidRPr="006C12E7">
        <w:rPr>
          <w:noProof/>
        </w:rPr>
        <w:t>(Fang et al., 2021; Marynowski and Simoneit, 2009; Song et al., 2020; van de Schootbrugge et al., 2009; Williford et al., 2014; Zhang et al., 2020)</w:t>
      </w:r>
      <w:r w:rsidR="008C4F30">
        <w:fldChar w:fldCharType="end"/>
      </w:r>
      <w:r w:rsidR="00247207">
        <w:t xml:space="preserve"> </w:t>
      </w:r>
      <w:r w:rsidR="0096521D">
        <w:t>(Fig. 2).</w:t>
      </w:r>
      <w:r w:rsidR="005F035D">
        <w:t xml:space="preserve"> However</w:t>
      </w:r>
      <w:r w:rsidR="003207B3">
        <w:t>,</w:t>
      </w:r>
      <w:r w:rsidR="005F035D">
        <w:t xml:space="preserve"> some of these studies lack more recent </w:t>
      </w:r>
      <w:r w:rsidR="00C048EA">
        <w:t>but</w:t>
      </w:r>
      <w:r w:rsidR="005F035D">
        <w:t xml:space="preserve"> critical findings such as determining whether </w:t>
      </w:r>
      <w:proofErr w:type="spellStart"/>
      <w:r w:rsidR="00CD028E">
        <w:t>py</w:t>
      </w:r>
      <w:r w:rsidR="005F035D">
        <w:t>PAHs</w:t>
      </w:r>
      <w:proofErr w:type="spellEnd"/>
      <w:r w:rsidR="005F035D">
        <w:t xml:space="preserve"> are of petrogenic (oil/coal-related) or pyrogenic (fire-related) origins</w:t>
      </w:r>
      <w:r w:rsidR="003207B3">
        <w:t xml:space="preserve"> </w:t>
      </w:r>
      <w:r w:rsidR="009D585C">
        <w:t>and</w:t>
      </w:r>
      <w:r w:rsidR="005A6213">
        <w:t xml:space="preserve"> </w:t>
      </w:r>
      <w:r w:rsidR="009D585C">
        <w:t>if</w:t>
      </w:r>
      <w:r w:rsidR="005A6213">
        <w:t xml:space="preserve"> </w:t>
      </w:r>
      <w:proofErr w:type="spellStart"/>
      <w:r w:rsidR="005A6213" w:rsidRPr="009A256E">
        <w:t>py</w:t>
      </w:r>
      <w:r w:rsidR="005A6213">
        <w:t>PAHs</w:t>
      </w:r>
      <w:proofErr w:type="spellEnd"/>
      <w:r w:rsidR="005A6213">
        <w:t xml:space="preserve"> </w:t>
      </w:r>
      <w:r w:rsidR="003207B3">
        <w:t xml:space="preserve">represent </w:t>
      </w:r>
      <w:r w:rsidR="005A6213">
        <w:t xml:space="preserve">smoke or residue sources </w:t>
      </w:r>
      <w:r w:rsidR="005A6213">
        <w:fldChar w:fldCharType="begin" w:fldLock="1"/>
      </w:r>
      <w:r w:rsidR="002D1930">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sidR="002D1930">
        <w:rPr>
          <w:rFonts w:ascii="Cambria Math" w:hAnsi="Cambria Math" w:cs="Cambria Math"/>
        </w:rPr>
        <w:instrText>∼</w:instrText>
      </w:r>
      <w:r w:rsidR="002D1930">
        <w:instrText>12‰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paleo-applications","type":"article-journal","volume":"289"},"uris":["http://www.mendeley.com/documents/?uuid=a4f6bf2d-6c02-41f3-8889-b9f9a26ebff2"]}],"mendeley":{"formattedCitation":"(Karp et al., 2020)","plainTextFormattedCitation":"(Karp et al., 2020)","previouslyFormattedCitation":"(Karp et al., 2020)"},"properties":{"noteIndex":0},"schema":"https://github.com/citation-style-language/schema/raw/master/csl-citation.json"}</w:instrText>
      </w:r>
      <w:r w:rsidR="005A6213">
        <w:fldChar w:fldCharType="separate"/>
      </w:r>
      <w:r w:rsidR="005A6213" w:rsidRPr="005A6213">
        <w:rPr>
          <w:noProof/>
        </w:rPr>
        <w:t>(Karp et al., 2020)</w:t>
      </w:r>
      <w:r w:rsidR="005A6213">
        <w:fldChar w:fldCharType="end"/>
      </w:r>
      <w:r w:rsidR="005A6213">
        <w:t>.</w:t>
      </w:r>
    </w:p>
    <w:bookmarkEnd w:id="1"/>
    <w:bookmarkEnd w:id="3"/>
    <w:p w14:paraId="0815C7F1" w14:textId="3B7176B0" w:rsidR="008345C7" w:rsidRPr="009A256E" w:rsidRDefault="00552CEF" w:rsidP="00C367B1">
      <w:pPr>
        <w:pStyle w:val="AbstractSummary"/>
        <w:spacing w:line="480" w:lineRule="auto"/>
        <w:ind w:firstLine="360"/>
        <w:jc w:val="both"/>
        <w:rPr>
          <w:lang w:val="en-GB"/>
        </w:rPr>
      </w:pPr>
      <w:r>
        <w:t>Linking the CAMP</w:t>
      </w:r>
      <w:r w:rsidR="00020B7A">
        <w:t>-induced</w:t>
      </w:r>
      <w:r>
        <w:t xml:space="preserve"> environmental perturbations</w:t>
      </w:r>
      <w:r w:rsidR="00020B7A">
        <w:t>,</w:t>
      </w:r>
      <w:r>
        <w:t xml:space="preserve"> including </w:t>
      </w:r>
      <w:proofErr w:type="spellStart"/>
      <w:r>
        <w:t>paleowildife</w:t>
      </w:r>
      <w:proofErr w:type="spellEnd"/>
      <w:r>
        <w:t xml:space="preserve"> events</w:t>
      </w:r>
      <w:r w:rsidR="00020B7A">
        <w:t xml:space="preserve">, </w:t>
      </w:r>
      <w:r>
        <w:t xml:space="preserve">among globally dispersed </w:t>
      </w:r>
      <w:r w:rsidR="00020B7A">
        <w:t>localities</w:t>
      </w:r>
      <w:r>
        <w:t xml:space="preserve"> has mostly relied on chemostratigraphic correlations using carbon isotope excursions (CIEs) in the bulk organic carbon isotope (</w:t>
      </w:r>
      <w:r w:rsidRPr="00EA5608">
        <w:rPr>
          <w:shd w:val="clear" w:color="auto" w:fill="FFFFFF"/>
        </w:rPr>
        <w:t>δ</w:t>
      </w:r>
      <w:r>
        <w:rPr>
          <w:shd w:val="clear" w:color="auto" w:fill="FFFFFF"/>
          <w:vertAlign w:val="superscript"/>
        </w:rPr>
        <w:t>13</w:t>
      </w:r>
      <w:r>
        <w:rPr>
          <w:shd w:val="clear" w:color="auto" w:fill="FFFFFF"/>
        </w:rPr>
        <w:t>C</w:t>
      </w:r>
      <w:r>
        <w:rPr>
          <w:shd w:val="clear" w:color="auto" w:fill="FFFFFF"/>
          <w:vertAlign w:val="subscript"/>
        </w:rPr>
        <w:t>org</w:t>
      </w:r>
      <w:r>
        <w:t>) record</w:t>
      </w:r>
      <w:r w:rsidR="00C6007A">
        <w:t>.</w:t>
      </w:r>
      <w:r>
        <w:t xml:space="preserve"> </w:t>
      </w:r>
      <w:r w:rsidR="008345C7">
        <w:t>The ETE contains three</w:t>
      </w:r>
      <w:r>
        <w:t>, often</w:t>
      </w:r>
      <w:r w:rsidR="008345C7">
        <w:t xml:space="preserve"> distinct</w:t>
      </w:r>
      <w:r>
        <w:t>,</w:t>
      </w:r>
      <w:r w:rsidR="008345C7">
        <w:t xml:space="preserve"> </w:t>
      </w:r>
      <w:r w:rsidR="00CD028E">
        <w:t>CIEs</w:t>
      </w:r>
      <w:r w:rsidR="008345C7">
        <w:t xml:space="preserve"> </w:t>
      </w:r>
      <w:r w:rsidR="00DB0CB0">
        <w:t xml:space="preserve">typically </w:t>
      </w:r>
      <w:r w:rsidR="008345C7">
        <w:t xml:space="preserve">termed the precursor CIE (or </w:t>
      </w:r>
      <w:proofErr w:type="spellStart"/>
      <w:r w:rsidR="008345C7">
        <w:t>Marshi</w:t>
      </w:r>
      <w:proofErr w:type="spellEnd"/>
      <w:r w:rsidR="008345C7">
        <w:t xml:space="preserve"> CIE), the initial CIE (or </w:t>
      </w:r>
      <w:proofErr w:type="spellStart"/>
      <w:r w:rsidR="008345C7">
        <w:t>Spelae</w:t>
      </w:r>
      <w:proofErr w:type="spellEnd"/>
      <w:r w:rsidR="008345C7">
        <w:t xml:space="preserve"> CIE), and the main CIE (or top-</w:t>
      </w:r>
      <w:proofErr w:type="spellStart"/>
      <w:r w:rsidR="008345C7">
        <w:t>Tilmanni</w:t>
      </w:r>
      <w:proofErr w:type="spellEnd"/>
      <w:r w:rsidR="008345C7">
        <w:t xml:space="preserve"> CIE), as observed in European (Tethys/Pangea), North American and Japanese (</w:t>
      </w:r>
      <w:proofErr w:type="spellStart"/>
      <w:r w:rsidR="008345C7">
        <w:t>Panthalassic</w:t>
      </w:r>
      <w:proofErr w:type="spellEnd"/>
      <w:r w:rsidR="008345C7">
        <w:t xml:space="preserve"> Ocean) Triassic-Jurassic boundary sections </w:t>
      </w:r>
      <w:r w:rsidR="008345C7">
        <w:fldChar w:fldCharType="begin" w:fldLock="1"/>
      </w:r>
      <w:r w:rsidR="006C6DED">
        <w:instrText>ADDIN CSL_CITATION {"citationItems":[{"id":"ITEM-1","itemData":{"DOI":"https://doi.org/10.1016/j.earscirev.2020.103444","ISSN":"0012-8252","abstract":"The end-Triassic mass extinction (ETME) is thought to have been caused by voluminous, pulsed volcanic activity of the Central Atlantic Magmatic Province (CAMP). Over the last decades, various geochemical signals and proxy records, including δ13C, pCO2, iridium and other platinum-group elements, mercury, polycyclic aromatic hydrocarbons (PAH), charcoal and SO2, have been directly or indirectly attributed to CAMP magmatism. Here, we compile these various records in a stratigraphic framework to present a cohesive chain of events for the CAMP and the end-Triassic mass extinction. Mercury and iridium anomalies in sediments indicate that CAMP activity commenced prior to the onset of the marine extinctions (as marked by the last occurrence of the Triassic ammonoid Choristoceras marshi or closely related species), and a negative δ13C excursion in organic matter (the Marshi CIE). This CIE may be explained by input of light carbon to the atmosphere from CAMP lavas of the Tiourjdal and Prevalent groups. Pedogenic carbonate below and above the Prevalent group in North America indicates a more than twofold increase in atmospheric pCO2. Subsequent n-alkane C-isotopes, and stomatal pCO2 data seem to indicate a temporary cooling after the Marshi CIE, which is consistent with climate models incorporating volcanic emissions of both CO2 and SO2. Records of excess iridium and Hg/TOC indicate intensified magmatism during the extinction interval. Tectonic and perhaps epeirogenic (i.e. doming due to rise of magma) activity is suggested by the occurrence of multiple and widespread seismites in Europe. Atmospheric pCO2 proxies indicate global warming, which culminated contemporaneously with the Spelae CIE. Global warming is corroborated by increased wildfire activity testified by charcoal and pyrolytic PAH records. Increased isotopic ratios of Os and Sr from sections that record global ocean signatures suggest increased weathering of continental crust likely due to climatic changes. Just prior to the increase in pCO2 from stomatal proxy data, fossil plants exhibit SO2-induced damage indicating excess sulfur dioxide deposition priot to and across the Triassic–Jurassic boundary. At the same time, increased ratios of heavy molecular PAHs (coronene/benzo(a)pyrene) in sediments suggest metamorphism of organic sediments also occurred across the Triassic–Jurassic boundary. These proxies may suggest that thermogenic release of light carbon and sulfur from sill intrusions in the Trans-A…","author":[{"dropping-particle":"","family":"Lindström","given":"Sofie","non-dropping-particle":"","parse-names":false,"suffix":""},{"dropping-particle":"","family":"Callegaro","given":"Sara","non-dropping-particle":"","parse-names":false,"suffix":""},{"dropping-particle":"","family":"Davies","given":"Joshua","non-dropping-particle":"","parse-names":false,"suffix":""},{"dropping-particle":"","family":"Tegner","given":"Christian","non-dropping-particle":"","parse-names":false,"suffix":""},{"dropping-particle":"","family":"Schootbrugge","given":"Bas","non-dropping-particle":"van de","parse-names":false,"suffix":""},{"dropping-particle":"","family":"Pedersen","given":"Gunver K","non-dropping-particle":"","parse-names":false,"suffix":""},{"dropping-particle":"","family":"Youbi","given":"Nasrrddine","non-dropping-particle":"","parse-names":false,"suffix":""},{"dropping-particle":"","family":"Sanei","given":"Hamed","non-dropping-particle":"","parse-names":false,"suffix":""},{"dropping-particle":"","family":"Marzoli","given":"Andrea","non-dropping-particle":"","parse-names":false,"suffix":""}],"container-title":"Earth-Science Reviews","id":"ITEM-1","issued":{"date-parts":[["2021"]]},"page":"103444","title":"Tracing volcanic emissions from the Central Atlantic Magmatic Province in the sedimentary record","type":"article-journal","volume":"212"},"uris":["http://www.mendeley.com/documents/?uuid=cf51fac2-6e66-43b4-a599-0a39943b868b"]}],"mendeley":{"formattedCitation":"(Lindström et al., 2021)","manualFormatting":"(e.g. Lindström et al., 2017)","plainTextFormattedCitation":"(Lindström et al., 2021)","previouslyFormattedCitation":"(Lindström et al., 2021)"},"properties":{"noteIndex":0},"schema":"https://github.com/citation-style-language/schema/raw/master/csl-citation.json"}</w:instrText>
      </w:r>
      <w:r w:rsidR="008345C7">
        <w:fldChar w:fldCharType="separate"/>
      </w:r>
      <w:r w:rsidR="008345C7" w:rsidRPr="009F6488">
        <w:rPr>
          <w:noProof/>
        </w:rPr>
        <w:t>(</w:t>
      </w:r>
      <w:r w:rsidR="008345C7">
        <w:rPr>
          <w:noProof/>
        </w:rPr>
        <w:t xml:space="preserve">e.g. </w:t>
      </w:r>
      <w:r w:rsidR="008345C7" w:rsidRPr="009F6488">
        <w:rPr>
          <w:noProof/>
        </w:rPr>
        <w:t>Lindström et al., 201</w:t>
      </w:r>
      <w:r w:rsidR="006C6DED">
        <w:rPr>
          <w:noProof/>
        </w:rPr>
        <w:t>7</w:t>
      </w:r>
      <w:r w:rsidR="008345C7" w:rsidRPr="009F6488">
        <w:rPr>
          <w:noProof/>
        </w:rPr>
        <w:t>)</w:t>
      </w:r>
      <w:r w:rsidR="008345C7">
        <w:fldChar w:fldCharType="end"/>
      </w:r>
      <w:r w:rsidR="008345C7">
        <w:t xml:space="preserve">. </w:t>
      </w:r>
      <w:r w:rsidR="007C05E3" w:rsidRPr="008E3750">
        <w:rPr>
          <w:rFonts w:asciiTheme="majorBidi" w:hAnsiTheme="majorBidi" w:cstheme="majorBidi"/>
        </w:rPr>
        <w:t xml:space="preserve">Increases in ETE </w:t>
      </w:r>
      <w:proofErr w:type="spellStart"/>
      <w:r w:rsidR="00A16979">
        <w:rPr>
          <w:rFonts w:asciiTheme="majorBidi" w:hAnsiTheme="majorBidi" w:cstheme="majorBidi"/>
        </w:rPr>
        <w:t>py</w:t>
      </w:r>
      <w:r w:rsidR="007C05E3" w:rsidRPr="008E3750">
        <w:rPr>
          <w:rFonts w:asciiTheme="majorBidi" w:hAnsiTheme="majorBidi" w:cstheme="majorBidi"/>
        </w:rPr>
        <w:t>PAHs</w:t>
      </w:r>
      <w:proofErr w:type="spellEnd"/>
      <w:r w:rsidR="007C05E3" w:rsidRPr="008E3750">
        <w:rPr>
          <w:rFonts w:asciiTheme="majorBidi" w:hAnsiTheme="majorBidi" w:cstheme="majorBidi"/>
        </w:rPr>
        <w:t xml:space="preserve"> in sections from Greenland, Poland, Germany, and China, coincide with shifts in palynomorphs and occur at or close to CIEs</w:t>
      </w:r>
      <w:r w:rsidR="00132DA1" w:rsidRPr="008E3750">
        <w:rPr>
          <w:rFonts w:asciiTheme="majorBidi" w:hAnsiTheme="majorBidi" w:cstheme="majorBidi"/>
        </w:rPr>
        <w:t xml:space="preserve"> used in these chemostratigraphic correlations </w:t>
      </w:r>
      <w:r w:rsidR="00132DA1" w:rsidRPr="008E3750">
        <w:rPr>
          <w:rFonts w:asciiTheme="majorBidi" w:hAnsiTheme="majorBidi" w:cstheme="majorBidi"/>
        </w:rPr>
        <w:fldChar w:fldCharType="begin" w:fldLock="1"/>
      </w:r>
      <w:r w:rsidR="00132DA1" w:rsidRPr="008E3750">
        <w:rPr>
          <w:rFonts w:asciiTheme="majorBidi" w:hAnsiTheme="majorBidi" w:cstheme="majorBidi"/>
        </w:rPr>
        <w:instrText xml:space="preserve">ADDIN CSL_CITATION {"citationItems":[{"id":"ITEM-1","itemData":{"DOI":"https://doi.org/10.1016/j.gca.2013.11.033","ISSN":"0016-7037","abstract":"Terrestrial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sidR="00132DA1" w:rsidRPr="00C367B1">
        <w:rPr>
          <w:rFonts w:ascii="Cambria Math" w:hAnsi="Cambria Math" w:cs="Cambria Math"/>
        </w:rPr>
        <w:instrText>∼</w:instrText>
      </w:r>
      <w:r w:rsidR="00132DA1" w:rsidRPr="008E3750">
        <w:rPr>
          <w:rFonts w:asciiTheme="majorBidi" w:hAnsiTheme="majorBidi" w:cstheme="majorBidi"/>
        </w:rPr>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Acta","id":"ITEM-1","issued":{"date-parts":[["2014"]]},"page":"251-263","title":"An organic record of terrestrial ecosystem collapse and recovery at the Triassic–Jurassic boundary in East Greenland","type":"article-journal","volume":"127"},"uris":["http://www.mendeley.com/documents/?uuid=b7d8a644-9eb1-4450-a9f8-79a0ac3648c6"]},{"id":"ITEM-2","itemData":{"DOI":"https://doi.org/10.1016/j.earscirev.2019.102970","ISSN":"0012-8252","abstract":"Emplacement of the Central Atlantic Magmatic Province (CAMP) during the Triassic-Jurassic (Tr-J) transition is believed to have indirectly increased wildfire frequency through climatic warming and drying. To date, evidence for wildfires has come mainly from within the CAMP region. Here, we present biomarker evidence for wildfires in the form of polycyclic aromatic hydrocarbons (PAHs) in two terrestrial Triassic-Jurassic boundary sections in the Sichuan Basin, southwestern China. Pyrolytic PAHs of probable wildfire origin identified in these sections include pyrene, benzofluoranthene, benzo[e]pyrene, indeno[1,2,3-cd]pyrene, benzo[ghi]perylene, and coronene. Sharp increases in the abundances of pyrolytic PAHs normalized to total organic carbon were found during the Rhaetian Stage (R1 and R2) and at the Tr-J boundary. The ratios of pyrolytic PAHs (PPAHs) to methylated homologues document the combustion origin of PPAHs from methylated PAHs during these intervals of increased wildfire frequency. The abundances of oxygenated PAHs with furan structure show the same stratigraphic trend, testifying to enhanced soil erosion or weathering that may have resulted from a reduction of vegetative cover. Although CAMP-induced climate changes probably set the stage for more frequent wildfires in South China, the immediate trigger was probably a southward shift of the paleo-Intertropical Convergence Zone (ITCZ). These observations suggest a complex feedback involving climatic warming, precipitation and evapo-transpiration, vegetation density, and wildfire prevalence during the Tr-J transition.","author":[{"dropping-particle":"","family":"Song","given":"Yi","non-dropping-particle":"","parse-names":false,"suffix":""},{"dropping-particle":"","family":"Algeo","given":"Thomas J","non-dropping-particle":"","parse-names":false,"suffix":""},{"dropping-particle":"","family":"Wu","given":"Wenjun","non-dropping-particle":"","parse-names":false,"suffix":""},{"dropping-particle":"","family":"Luo","given":"Genming","non-dropping-particle":"","parse-names":false,"suffix":""},{"dropping-particle":"","family":"Li","given":"Liqin","non-dropping-particle":"","parse-names":false,"suffix":""},{"dropping-particle":"","family":"Wang","given":"Yongdong","non-dropping-particle":"","parse-names":false,"suffix":""},{"dropping-particle":"","family":"Xie","given":"Shucheng","non-dropping-particle":"","parse-names":false,"suffix":""}],"container-title":"Earth-Science Reviews","id":"ITEM-2","issued":{"date-parts":[["2020"]]},"page":"102970","title":"Distribution of pyrolytic PAHs across the Triassic-Jurassic boundary in the Sichuan Basin, southwestern China: Evidence of wildfire outside the Central Atlantic Magmatic Province","type":"article-journal","volume":"201"},"uris":["http://www.mendeley.com/documents/?uuid=177f61fb-4d2a-4442-b15d-f8ffbd214856"]},{"id":"ITEM-3","itemData":{"ISSN":"08831351, 19385323","abstract":"[Laboratory tests indicate that 15% O₂, instead of 12%, is required for the propagation of a widespread forest fire, a 3% increase from what was previously assumed. The presence of widespread wildfire records in the Upper Triassic and Lower Jurassic of Central Europe suggests that the lower limit for O₂ during this time was at least 15%. Wildfire records are based on the co-occurrence of charcoal fragments and elevated concentrations of pyrolytic polycyclic aromatic hydrocarbons (PAHs). In all samples charcoal fragments are large to medium-sized and angular, suggesting that they were transported by rivers only short distances after charcoalification. Calculated combustion temperatures vary with stratigraphic position and average 295-377 °C, which is characteristic for ground or near-surface wildfires. The most extensive wildfires occurred in the earliest Jurassic and their intensities successively decreased with time. Average concentrations of the sum of pyrolytic PAHs for the lowermost Jurassic Zagaje Formation reached ~1253 μg/g total organic carbon (TOC), whereas for the Upper Triassic-Lower Jurassic Sktoby Formation they did not exceed ~16 μg/g TOC. Charcoal-bearing sequences were also characterized by the presence of phenyl-PAHs (Ph-PAHs) and oxygen-containing aromatic compounds. The dominance of the more stable Ph-PAH isomers in these immature to low-maturity sedimentary rocks supports their pyrolytic origin. The oxygenated PAHs may also be derived from combustion processes.]","author":[{"dropping-particle":"","family":"Marynowski","given":"Leszek","non-dropping-particle":"","parse-names":false,"suffix":""},{"dropping-particle":"","family":"Simoneit","given":"Bernd R T","non-dropping-particle":"","parse-names":false,"suffix":""}],"container-title":"Palaios","id":"ITEM-3","issue":"11/12","issued":{"date-parts":[["2009","4","9"]]},"page":"785-798","publisher":"SEPM Society for Sedimentary Geology","title":"Widespread upper Triassic to lower Jurassic wildfire records from Poland: Evidence from charcoal and pyrolytic and pyrolytic polycyclic aromatic hydrocarbons","type":"article-journal","volume":"24"},"uris":["http://www.mendeley.com/documents/?uuid=2a6cb468-e7c6-4713-aac1-81b87c770762"]},{"id":"ITEM-4","itemData":{"DOI":"10.1038/ngeo577","ISSN":"1752-0908","abstract":"One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Geoscience","id":"ITEM-4","issue":"8","issued":{"date-parts":[["2009"]]},"page":"589-594","title":"Floral changes across the Triassic/Jurassic boundary linked to flood basalt volcanism","type":"article-journal","volume":"2"},"uris":["http://www.mendeley.com/documents/?uuid=7a9f3397-a2a7-4fd8-bfbf-4ff746b02c61"]},{"id":"ITEM-5","itemData":{"DOI":"https://doi.org/10.1016/j.palaeo.2021.110559","ISSN":"0031-0182","abstract":"Carbon isotope stratigraphic records across the Triassic-Jurassic (Tr-J) boundary show carbon isotope excursions in both marine and terrestrial sections, indicating frequent perturbations of the global carbon cycles, which are linked to the ~600 kyr pulsed emplacement of the Central Atlantic Magmatic Province (CAMP). However, few detailed carbon isotope stratigraphic reports from high-latitude terrestrial deposition have been documented in contrast to the contemporaneous low- to mid-latitude records. It hampers the understanding of the climatic response in the high-latitude terrestrial areas and the modeling global carbon cycles triggered by CAMP volcanisms. Here, we present high-resolution organic carbon isotope data primarily originated from C3 plants in the Haojiagou section in the paleo-high-latitude Junggar Basin, NW China. Combined with previously published biostratigraphic and geochemical results, carbon isotope stratigraphy with distinct “initial negative carbon isotope excursions” (I-CIE) and “main negative carbon isotope excursions” (M-CIE) is built in the Junggar Basin and allows a global stratigraphic correlation. The end-Triassic mass extinction (ETE) and the Tr-J boundary is then well identified. The excursion magnitude is similar to that in Greenland and Poland where the sections are also terrestrial. Climatic pattern recorded in the Junggar Basin rapidly changed across the Tr-J transition and coincides with a bloom of fern spores, increased wildfire activities, enhanced hydrological cycles and soil loss.","author":[{"dropping-particle":"","family":"Fang","given":"Yanan","non-dropping-particle":"","parse-names":false,"suffix":""},{"dropping-particle":"","family":"Fang","given":"Linhao","non-dropping-particle":"","parse-names":false,"suffix":""},{"dropping-particle":"","family":"Deng","given":"Shenghui","non-dropping-particle":"","parse-names":false,"suffix":""},{"dropping-particle":"","family":"Lu","given":"Yuanzheng","non-dropping-particle":"","parse-names":false,"suffix":""},{"dropping-particle":"","family":"Wang","given":"Bo","non-dropping-particle":"","parse-names":false,"suffix":""},{"dropping-particle":"","family":"Zhao","given":"Xiangdong","non-dropping-particle":"","parse-names":false,"suffix":""},{"dropping-particle":"","family":"Wang","given":"Yizhe","non-dropping-particle":"","parse-names":false,"suffix":""},{"dropping-particle":"","family":"Zhang","given":"Haichun","non-dropping-particle":"","parse-names":false,"suffix":""},{"dropping-particle":"","family":"Zhang","given":"Xinzhi","non-dropping-particle":"","parse-names":false,"suffix":""},{"dropping-particle":"","family":"Sha","given":"Jingeng","non-dropping-particle":"","parse-names":false,"suffix":""}],"container-title":"Palaeogeography, Palaeoclimatology, Palaeoecology","id":"ITEM-5","issued":{"date-parts":[["2021"]]},"page":"110559","title":"Carbon isotope stratigraphy across the Triassic-Jurassic boundary in the high-latitude terrestrial Junggar Basin, NW China","type":"article-journal","volume":"577"},"uris":["http://www.mendeley.com/documents/?uuid=ab66d73b-ed97-439d-b004-4b2d160f2cca"]},{"id":"ITEM-6","itemData":{"DOI":"10.14027/j.issn.1000-0550.2020.103","author":[{"dropping-particle":"","family":"Zhang","given":"X.","non-dropping-particle":"","parse-names":false,"suffix":""},{"dropping-particle":"","family":"Lv","given":"P.","non-dropping-particle":"","parse-names":false,"suffix":""},{"dropping-particle":"","family":"Fang","given":"L.","non-dropping-particle":"","parse-names":false,"suffix":""},{"dropping-particle":"","family":"Yang","given":"H.","non-dropping-particle":"","parse-names":false,"suffix":""},{"dropping-particle":"","family":"Deng","given":"S.","non-dropping-particle":"","parse-names":false,"suffix":""},{"dropping-particle":"","family":"Lu","given":"Y.","non-dropping-particle":"","parse-names":false,"suffix":""},{"dropping-particle":"","family":"Fang","given":"Y.","non-dropping-particle":"","parse-names":false,"suffix":""},{"dropping-particle":"","family":"Zhang","given":"X.","non-dropping-particle":"","parse-names":false,"suffix":""},{"dropping-particle":"","family":"Huang","given":"R.","non-dropping-particle":"","parse-names":false,"suffix":""},{"dropping-particle":"","family":"Liang","given":"J.","non-dropping-particle":"","parse-names":false,"suffix":""},{"dropping-particle":"","family":"Shi","given":"S.","non-dropping-particle":"","parse-names":false,"suffix":""}],"container-title":"Acta Sedimentologica Sinica","id":"ITEM-6","issued":{"date-parts":[["2020"]]},"title":"Widefire records across the Triassic-Jurassic boundary in the southern margin of the Junggar Basin and global correlations","type":"article-journal"},"uris":["http://www.mendeley.com/documents/?uuid=2a387782-9b4a-4264-ad7c-7696b8abb3db"]}],"mendeley":{"formattedCitation":"(Fang et al., 2021; Marynowski and Simoneit, 2009; Song et al., 2020; van de Schootbrugge et al., 2009; Williford et al., 2014; Zhang et al., 2020)","plainTextFormattedCitation":"(Fang et al., 2021; Marynowski and Simoneit, 2009; Song et al., 2020; van de Schootbrugge et al., 2009; Williford et al., 2014; Zhang et al., 2020)","previouslyFormattedCitation":"(Fang et al., 2021; Marynowski and Simoneit, 2009; Song et al., 2020; van de Schootbrugge et al., 2009; Williford et al., 2014; Zhang et al., 2020)"},"properties":{"noteIndex":0},"schema":"https://github.com/citation-style-language/schema/raw/master/csl-citation.json"}</w:instrText>
      </w:r>
      <w:r w:rsidR="00132DA1" w:rsidRPr="008E3750">
        <w:rPr>
          <w:rFonts w:asciiTheme="majorBidi" w:hAnsiTheme="majorBidi" w:cstheme="majorBidi"/>
        </w:rPr>
        <w:fldChar w:fldCharType="separate"/>
      </w:r>
      <w:r w:rsidR="00132DA1" w:rsidRPr="008E3750">
        <w:rPr>
          <w:rFonts w:asciiTheme="majorBidi" w:hAnsiTheme="majorBidi" w:cstheme="majorBidi"/>
          <w:noProof/>
        </w:rPr>
        <w:t xml:space="preserve">(Fang et al., 2021; Marynowski and Simoneit, 2009; </w:t>
      </w:r>
      <w:r w:rsidR="00132DA1" w:rsidRPr="008E3750">
        <w:rPr>
          <w:rFonts w:asciiTheme="majorBidi" w:hAnsiTheme="majorBidi" w:cstheme="majorBidi"/>
          <w:noProof/>
        </w:rPr>
        <w:lastRenderedPageBreak/>
        <w:t>Song et al., 2020; van de Schootbrugge et al., 2009; Williford et al., 2014; Zhang et al., 2020)</w:t>
      </w:r>
      <w:r w:rsidR="00132DA1" w:rsidRPr="008E3750">
        <w:rPr>
          <w:rFonts w:asciiTheme="majorBidi" w:hAnsiTheme="majorBidi" w:cstheme="majorBidi"/>
        </w:rPr>
        <w:fldChar w:fldCharType="end"/>
      </w:r>
      <w:r w:rsidR="00132DA1" w:rsidRPr="008105C4">
        <w:rPr>
          <w:rFonts w:asciiTheme="majorBidi" w:hAnsiTheme="majorBidi" w:cstheme="majorBidi"/>
        </w:rPr>
        <w:t xml:space="preserve"> </w:t>
      </w:r>
      <w:r w:rsidR="007C05E3" w:rsidRPr="008105C4">
        <w:rPr>
          <w:rFonts w:asciiTheme="majorBidi" w:hAnsiTheme="majorBidi" w:cstheme="majorBidi"/>
        </w:rPr>
        <w:t xml:space="preserve">(Fig. 2). </w:t>
      </w:r>
      <w:r w:rsidR="00CD028E">
        <w:rPr>
          <w:rFonts w:asciiTheme="majorBidi" w:hAnsiTheme="majorBidi" w:cstheme="majorBidi"/>
        </w:rPr>
        <w:t>The precursor, initial, and main</w:t>
      </w:r>
      <w:r w:rsidR="00540AA5" w:rsidRPr="008105C4">
        <w:rPr>
          <w:rFonts w:asciiTheme="majorBidi" w:hAnsiTheme="majorBidi" w:cstheme="majorBidi"/>
        </w:rPr>
        <w:t xml:space="preserve"> </w:t>
      </w:r>
      <w:r w:rsidR="008345C7" w:rsidRPr="008105C4">
        <w:rPr>
          <w:rFonts w:asciiTheme="majorBidi" w:hAnsiTheme="majorBidi" w:cstheme="majorBidi"/>
        </w:rPr>
        <w:t>CIEs</w:t>
      </w:r>
      <w:r w:rsidR="00540AA5" w:rsidRPr="008105C4">
        <w:rPr>
          <w:rFonts w:asciiTheme="majorBidi" w:hAnsiTheme="majorBidi" w:cstheme="majorBidi"/>
        </w:rPr>
        <w:t xml:space="preserve"> are used as chemostratigraphic markers since </w:t>
      </w:r>
      <w:r w:rsidR="00067CE8" w:rsidRPr="008105C4">
        <w:rPr>
          <w:rFonts w:asciiTheme="majorBidi" w:hAnsiTheme="majorBidi" w:cstheme="majorBidi"/>
        </w:rPr>
        <w:t xml:space="preserve">they </w:t>
      </w:r>
      <w:r w:rsidR="00540AA5" w:rsidRPr="008105C4">
        <w:rPr>
          <w:rFonts w:asciiTheme="majorBidi" w:hAnsiTheme="majorBidi" w:cstheme="majorBidi"/>
        </w:rPr>
        <w:t>are</w:t>
      </w:r>
      <w:r w:rsidR="008345C7" w:rsidRPr="008105C4">
        <w:rPr>
          <w:rFonts w:asciiTheme="majorBidi" w:hAnsiTheme="majorBidi" w:cstheme="majorBidi"/>
        </w:rPr>
        <w:t xml:space="preserve"> hypothesized to express the </w:t>
      </w:r>
      <w:r w:rsidR="008345C7" w:rsidRPr="008105C4">
        <w:rPr>
          <w:rFonts w:asciiTheme="majorBidi" w:hAnsiTheme="majorBidi" w:cstheme="majorBidi"/>
          <w:lang w:val="en-GB"/>
        </w:rPr>
        <w:t>CAMP-induced release of isotopically light methane clathrate</w:t>
      </w:r>
      <w:r w:rsidR="00CD028E">
        <w:rPr>
          <w:rFonts w:asciiTheme="majorBidi" w:hAnsiTheme="majorBidi" w:cstheme="majorBidi"/>
          <w:lang w:val="en-GB"/>
        </w:rPr>
        <w:t>s</w:t>
      </w:r>
      <w:r w:rsidR="008345C7" w:rsidRPr="008105C4">
        <w:rPr>
          <w:rFonts w:asciiTheme="majorBidi" w:hAnsiTheme="majorBidi" w:cstheme="majorBidi"/>
          <w:lang w:val="en-GB"/>
        </w:rPr>
        <w:t xml:space="preserve"> </w:t>
      </w:r>
      <w:r w:rsidR="008345C7" w:rsidRPr="008105C4">
        <w:rPr>
          <w:rFonts w:asciiTheme="majorBidi" w:hAnsiTheme="majorBidi" w:cstheme="majorBidi"/>
          <w:lang w:val="en-GB"/>
        </w:rPr>
        <w:fldChar w:fldCharType="begin" w:fldLock="1"/>
      </w:r>
      <w:r w:rsidR="00755B8D" w:rsidRPr="008105C4">
        <w:rPr>
          <w:rFonts w:asciiTheme="majorBidi" w:hAnsiTheme="majorBidi" w:cstheme="majorBidi"/>
          <w:lang w:val="en-GB"/>
        </w:rPr>
        <w:instrText>ADDIN CSL_CITATION {"citationItems":[{"id":"ITEM-1","itemData":{"ISSN":"0091-7613","abstract":"Mass extinction at the Triassic-Jurassic (Tr-J) boundary occurred about the same time (200 Ma) as one of the largest volcanic eruptive events known, that which characterized the Central Atlantic magmatic province. Organic carbon isotope data from the UK and Greenland demonstrate that changes in flora and fauna from terrestrial and marine environments occurred synchronously with a light carbon isotope excursion, and that this happened earlier than the Tr-J boundary marked by ammonites in the UK. The results also point toward synchronicity between extinctions and eruption of the first Central Atlantic magmatic province lavas, suggesting a causal link between loss of taxa and the very earliest eruptive phases. The initial isotopic excursion potentially provides a widely correlatable marker for the base of the Jurassic. A temporary return to heavier values followed, but relatively light carbon dominated the shallow oceanic and atmospheric reservoirs for at least 600 k.y.","author":[{"dropping-particle":"","family":"Hesselbo","given":"Stephen P","non-dropping-particle":"","parse-names":false,"suffix":""},{"dropping-particle":"","family":"Robinson","given":"Stuart A","non-dropping-particle":"","parse-names":false,"suffix":""},{"dropping-particle":"","family":"Surlyk","given":"Finn","non-dropping-particle":"","parse-names":false,"suffix":""},{"dropping-particle":"","family":"Piasecki","given":"Stefan","non-dropping-particle":"","parse-names":false,"suffix":""}],"container-title":"Geology","id":"ITEM-1","issue":"3","issued":{"date-parts":[["2002","3","1"]]},"page":"251-254","title":"Terrestrial and marine extinction at the Triassic-Jurassic boundary synchronized with major carbon-cycle perturbation: A link to initiation of massive volcanism?","type":"article-journal","volume":"30"},"uris":["http://www.mendeley.com/documents/?uuid=c53ba0f4-545e-42d9-99b4-198381a55b6a"]}],"mendeley":{"formattedCitation":"(Hesselbo et al., 2002)","plainTextFormattedCitation":"(Hesselbo et al., 2002)","previouslyFormattedCitation":"(Hesselbo et al., 2002)"},"properties":{"noteIndex":0},"schema":"https://github.com/citation-style-language/schema/raw/master/csl-citation.json"}</w:instrText>
      </w:r>
      <w:r w:rsidR="008345C7" w:rsidRPr="008105C4">
        <w:rPr>
          <w:rFonts w:asciiTheme="majorBidi" w:hAnsiTheme="majorBidi" w:cstheme="majorBidi"/>
          <w:lang w:val="en-GB"/>
        </w:rPr>
        <w:fldChar w:fldCharType="separate"/>
      </w:r>
      <w:r w:rsidR="008345C7" w:rsidRPr="008105C4">
        <w:rPr>
          <w:rFonts w:asciiTheme="majorBidi" w:hAnsiTheme="majorBidi" w:cstheme="majorBidi"/>
          <w:noProof/>
          <w:lang w:val="en-GB"/>
        </w:rPr>
        <w:t>(Hesselbo et al., 2002)</w:t>
      </w:r>
      <w:r w:rsidR="008345C7" w:rsidRPr="008105C4">
        <w:rPr>
          <w:rFonts w:asciiTheme="majorBidi" w:hAnsiTheme="majorBidi" w:cstheme="majorBidi"/>
          <w:lang w:val="en-GB"/>
        </w:rPr>
        <w:fldChar w:fldCharType="end"/>
      </w:r>
      <w:r w:rsidR="008345C7" w:rsidRPr="008105C4">
        <w:rPr>
          <w:rFonts w:asciiTheme="majorBidi" w:hAnsiTheme="majorBidi" w:cstheme="majorBidi"/>
          <w:lang w:val="en-GB"/>
        </w:rPr>
        <w:t xml:space="preserve"> and/or thermogenic carbon </w:t>
      </w:r>
      <w:r w:rsidR="008345C7" w:rsidRPr="008105C4">
        <w:rPr>
          <w:rFonts w:asciiTheme="majorBidi" w:hAnsiTheme="majorBidi" w:cstheme="majorBidi"/>
          <w:lang w:val="en-GB"/>
        </w:rPr>
        <w:fldChar w:fldCharType="begin" w:fldLock="1"/>
      </w:r>
      <w:r w:rsidR="008345C7" w:rsidRPr="008105C4">
        <w:rPr>
          <w:rFonts w:asciiTheme="majorBidi" w:hAnsiTheme="majorBidi" w:cstheme="majorBidi"/>
          <w:lang w:val="en-GB"/>
        </w:rPr>
        <w:instrText xml:space="preserve">ADDIN CSL_CITATION {"citationItems":[{"id":"ITEM-1","itemData":{"DOI":"10.1038/ncomms15596","ISSN":"2041-1723","abstract":"The end-Triassic extinction is one of the Phanerozoic’s largest mass extinctions. This extinction is typically attributed to climate change associated with degassing of basalt flows from the central Atlantic magmatic province (CAMP). However, recent work suggests that the earliest known CAMP basalts occur above the extinction horizon and that climatic and biotic changes began before the earliest known CAMP eruptions. Here we present new high-precision U-Pb ages from CAMP mafic intrusive units, showing that magmatic activity was occurring </w:instrText>
      </w:r>
      <w:r w:rsidR="008345C7" w:rsidRPr="00C367B1">
        <w:rPr>
          <w:rFonts w:ascii="Cambria Math" w:hAnsi="Cambria Math" w:cs="Cambria Math"/>
          <w:lang w:val="en-GB"/>
        </w:rPr>
        <w:instrText>∼</w:instrText>
      </w:r>
      <w:r w:rsidR="008345C7" w:rsidRPr="008105C4">
        <w:rPr>
          <w:rFonts w:asciiTheme="majorBidi" w:hAnsiTheme="majorBidi" w:cstheme="majorBidi"/>
          <w:lang w:val="en-GB"/>
        </w:rPr>
        <w:instrText>100 Kyr ago before the earliest known eruptions. We correlate the early magmatic activity with the onset of changes to the climatic and biotic records. We also report ages from sills in an organic rich sedimentary basin in Brazil that intrude synchronously with the extinction suggesting that degassing of these organics contributed to the climate change which drove the extinction. Our results indicate that the intrusive record from large igneous provinces may be more important for linking to mass extinctions than the eruptive record.","author":[{"dropping-particle":"","family":"Davies","given":"J.H.F.L.","non-dropping-particle":"","parse-names":false,"suffix":""},{"dropping-particle":"","family":"Marzoli","given":"A","non-dropping-particle":"","parse-names":false,"suffix":""},{"dropping-particle":"","family":"Bertrand","given":"H","non-dropping-particle":"","parse-names":false,"suffix":""},{"dropping-particle":"","family":"Youbi","given":"N","non-dropping-particle":"","parse-names":false,"suffix":""},{"dropping-particle":"","family":"Ernesto","given":"M","non-dropping-particle":"","parse-names":false,"suffix":""},{"dropping-particle":"","family":"Schaltegger","given":"U","non-dropping-particle":"","parse-names":false,"suffix":""}],"container-title":"Nature Communications","id":"ITEM-1","issue":"1","issued":{"date-parts":[["2017"]]},"page":"15596","title":"End-Triassic mass extinction started by intrusive CAMP activity","type":"article-journal","volume":"8"},"uris":["http://www.mendeley.com/documents/?uuid=0f1f9f1a-5554-49d4-a429-9e2fa9d546e3"]}],"mendeley":{"formattedCitation":"(Davies et al., 2017)","plainTextFormattedCitation":"(Davies et al., 2017)","previouslyFormattedCitation":"(Davies et al., 2017)"},"properties":{"noteIndex":0},"schema":"https://github.com/citation-style-language/schema/raw/master/csl-citation.json"}</w:instrText>
      </w:r>
      <w:r w:rsidR="008345C7" w:rsidRPr="008105C4">
        <w:rPr>
          <w:rFonts w:asciiTheme="majorBidi" w:hAnsiTheme="majorBidi" w:cstheme="majorBidi"/>
          <w:lang w:val="en-GB"/>
        </w:rPr>
        <w:fldChar w:fldCharType="separate"/>
      </w:r>
      <w:r w:rsidR="008345C7" w:rsidRPr="008105C4">
        <w:rPr>
          <w:rFonts w:asciiTheme="majorBidi" w:hAnsiTheme="majorBidi" w:cstheme="majorBidi"/>
          <w:noProof/>
          <w:lang w:val="en-GB"/>
        </w:rPr>
        <w:t>(Davies et al., 2017)</w:t>
      </w:r>
      <w:r w:rsidR="008345C7" w:rsidRPr="008105C4">
        <w:rPr>
          <w:rFonts w:asciiTheme="majorBidi" w:hAnsiTheme="majorBidi" w:cstheme="majorBidi"/>
          <w:lang w:val="en-GB"/>
        </w:rPr>
        <w:fldChar w:fldCharType="end"/>
      </w:r>
      <w:r w:rsidR="008345C7" w:rsidRPr="008105C4">
        <w:rPr>
          <w:rFonts w:asciiTheme="majorBidi" w:hAnsiTheme="majorBidi" w:cstheme="majorBidi"/>
        </w:rPr>
        <w:t xml:space="preserve"> </w:t>
      </w:r>
      <w:r w:rsidR="008345C7" w:rsidRPr="008105C4">
        <w:rPr>
          <w:rFonts w:asciiTheme="majorBidi" w:hAnsiTheme="majorBidi" w:cstheme="majorBidi"/>
          <w:lang w:val="en-GB"/>
        </w:rPr>
        <w:t xml:space="preserve">into the global ocean–atmosphere system. </w:t>
      </w:r>
      <w:bookmarkStart w:id="4" w:name="_Hlk93650218"/>
      <w:bookmarkStart w:id="5" w:name="_Hlk93649470"/>
      <w:r w:rsidR="008345C7" w:rsidRPr="008105C4">
        <w:rPr>
          <w:rFonts w:asciiTheme="majorBidi" w:hAnsiTheme="majorBidi" w:cstheme="majorBidi"/>
        </w:rPr>
        <w:t>However</w:t>
      </w:r>
      <w:r w:rsidR="00C048EA" w:rsidRPr="008105C4">
        <w:rPr>
          <w:rFonts w:asciiTheme="majorBidi" w:hAnsiTheme="majorBidi" w:cstheme="majorBidi"/>
        </w:rPr>
        <w:t>,</w:t>
      </w:r>
      <w:r w:rsidR="008345C7" w:rsidRPr="008105C4">
        <w:rPr>
          <w:rFonts w:asciiTheme="majorBidi" w:hAnsiTheme="majorBidi" w:cstheme="majorBidi"/>
        </w:rPr>
        <w:t xml:space="preserve"> in the SW UK</w:t>
      </w:r>
      <w:r w:rsidR="00F43CC7" w:rsidRPr="008105C4">
        <w:rPr>
          <w:rFonts w:asciiTheme="majorBidi" w:hAnsiTheme="majorBidi" w:cstheme="majorBidi"/>
        </w:rPr>
        <w:t xml:space="preserve">, </w:t>
      </w:r>
      <w:r w:rsidR="00B8336F" w:rsidRPr="008105C4">
        <w:rPr>
          <w:rFonts w:asciiTheme="majorBidi" w:hAnsiTheme="majorBidi" w:cstheme="majorBidi"/>
        </w:rPr>
        <w:t xml:space="preserve">typically considered an ETE type locality </w:t>
      </w:r>
      <w:r w:rsidR="00B8336F">
        <w:rPr>
          <w:rFonts w:asciiTheme="majorBidi" w:hAnsiTheme="majorBidi" w:cstheme="majorBidi"/>
        </w:rPr>
        <w:t xml:space="preserve">and the site </w:t>
      </w:r>
      <w:r w:rsidR="00F43CC7" w:rsidRPr="008105C4">
        <w:rPr>
          <w:rFonts w:asciiTheme="majorBidi" w:hAnsiTheme="majorBidi" w:cstheme="majorBidi"/>
        </w:rPr>
        <w:t>to which almost all other</w:t>
      </w:r>
      <w:r w:rsidR="008345C7" w:rsidRPr="008105C4">
        <w:rPr>
          <w:rFonts w:asciiTheme="majorBidi" w:hAnsiTheme="majorBidi" w:cstheme="majorBidi"/>
        </w:rPr>
        <w:t xml:space="preserve"> ETE</w:t>
      </w:r>
      <w:r w:rsidR="008A2659" w:rsidRPr="008105C4">
        <w:rPr>
          <w:rFonts w:asciiTheme="majorBidi" w:hAnsiTheme="majorBidi" w:cstheme="majorBidi"/>
        </w:rPr>
        <w:t xml:space="preserve"> </w:t>
      </w:r>
      <w:r w:rsidR="008A2659" w:rsidRPr="008105C4">
        <w:rPr>
          <w:rFonts w:asciiTheme="majorBidi" w:hAnsiTheme="majorBidi" w:cstheme="majorBidi"/>
          <w:shd w:val="clear" w:color="auto" w:fill="FFFFFF"/>
        </w:rPr>
        <w:t>δ</w:t>
      </w:r>
      <w:r w:rsidR="008A2659" w:rsidRPr="008105C4">
        <w:rPr>
          <w:rFonts w:asciiTheme="majorBidi" w:hAnsiTheme="majorBidi" w:cstheme="majorBidi"/>
          <w:shd w:val="clear" w:color="auto" w:fill="FFFFFF"/>
          <w:vertAlign w:val="superscript"/>
        </w:rPr>
        <w:t>13</w:t>
      </w:r>
      <w:r w:rsidR="008A2659" w:rsidRPr="008105C4">
        <w:rPr>
          <w:rFonts w:asciiTheme="majorBidi" w:hAnsiTheme="majorBidi" w:cstheme="majorBidi"/>
          <w:shd w:val="clear" w:color="auto" w:fill="FFFFFF"/>
        </w:rPr>
        <w:t>C</w:t>
      </w:r>
      <w:r w:rsidR="008A2659" w:rsidRPr="008105C4">
        <w:rPr>
          <w:rFonts w:asciiTheme="majorBidi" w:hAnsiTheme="majorBidi" w:cstheme="majorBidi"/>
          <w:shd w:val="clear" w:color="auto" w:fill="FFFFFF"/>
          <w:vertAlign w:val="subscript"/>
        </w:rPr>
        <w:t>org</w:t>
      </w:r>
      <w:r w:rsidR="00FA5D02" w:rsidRPr="008105C4">
        <w:rPr>
          <w:rFonts w:asciiTheme="majorBidi" w:hAnsiTheme="majorBidi" w:cstheme="majorBidi"/>
        </w:rPr>
        <w:t xml:space="preserve"> records are compared</w:t>
      </w:r>
      <w:r w:rsidR="00B8336F">
        <w:rPr>
          <w:rFonts w:asciiTheme="majorBidi" w:hAnsiTheme="majorBidi" w:cstheme="majorBidi"/>
        </w:rPr>
        <w:t xml:space="preserve">, </w:t>
      </w:r>
      <w:r w:rsidR="008A2659" w:rsidRPr="008105C4">
        <w:rPr>
          <w:rFonts w:asciiTheme="majorBidi" w:hAnsiTheme="majorBidi" w:cstheme="majorBidi"/>
        </w:rPr>
        <w:t>the initial CIE</w:t>
      </w:r>
      <w:r w:rsidR="008345C7" w:rsidRPr="008105C4">
        <w:rPr>
          <w:rFonts w:asciiTheme="majorBidi" w:hAnsiTheme="majorBidi" w:cstheme="majorBidi"/>
        </w:rPr>
        <w:t xml:space="preserve"> seems better explained as being driven by the emergence of shallow-water microbial mats, amongst other dramatic ecological and environmental changes associated with sea-level change</w:t>
      </w:r>
      <w:r w:rsidR="00CD028E">
        <w:rPr>
          <w:rFonts w:asciiTheme="majorBidi" w:hAnsiTheme="majorBidi" w:cstheme="majorBidi"/>
        </w:rPr>
        <w:t xml:space="preserve"> </w:t>
      </w:r>
      <w:r w:rsidR="00CD028E">
        <w:rPr>
          <w:rFonts w:asciiTheme="majorBidi" w:hAnsiTheme="majorBidi" w:cstheme="majorBidi"/>
        </w:rPr>
        <w:fldChar w:fldCharType="begin" w:fldLock="1"/>
      </w:r>
      <w:r w:rsidR="00947CBE">
        <w:rPr>
          <w:rFonts w:asciiTheme="majorBidi" w:hAnsiTheme="majorBidi" w:cstheme="majorBidi"/>
        </w:rPr>
        <w:instrText xml:space="preserve">ADDIN CSL_CITATION {"citationItems":[{"id":"ITEM-1","itemData":{"DOI":"10.1073/pnas.1917661117","abstract":"The end-Triassic mass extinction that occurred </w:instrText>
      </w:r>
      <w:r w:rsidR="00947CBE">
        <w:rPr>
          <w:rFonts w:ascii="Cambria Math" w:hAnsi="Cambria Math" w:cs="Cambria Math"/>
        </w:rPr>
        <w:instrText>∼</w:instrText>
      </w:r>
      <w:r w:rsidR="00947CBE">
        <w:rPr>
          <w:rFonts w:asciiTheme="majorBidi" w:hAnsiTheme="majorBidi" w:cstheme="majorBidi"/>
        </w:rPr>
        <w:instrText xml:space="preserve">202 Ma is one of the </w:instrText>
      </w:r>
      <w:r w:rsidR="00947CBE">
        <w:instrText>“</w:instrText>
      </w:r>
      <w:r w:rsidR="00947CBE">
        <w:rPr>
          <w:rFonts w:asciiTheme="majorBidi" w:hAnsiTheme="majorBidi" w:cstheme="majorBidi"/>
        </w:rPr>
        <w:instrText>Big Five</w:instrText>
      </w:r>
      <w:r w:rsidR="00947CBE">
        <w:instrText>”</w:instrText>
      </w:r>
      <w:r w:rsidR="00947CBE">
        <w:rPr>
          <w:rFonts w:asciiTheme="majorBidi" w:hAnsiTheme="majorBidi" w:cstheme="majorBidi"/>
        </w:rPr>
        <w:instrText xml:space="preser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id":"ITEM-2","itemData":{"DOI":"https://doi.org/10.1016/j.palaeo.2021.110680","author":[{"dropping-particle":"","family":"Beith","given":"S. J.","non-dropping-particle":"","parse-names":false,"suffix":""},{"dropping-particle":"","family":"Fox","given":"Calum P","non-dropping-particle":"","parse-names":false,"suffix":""},{"dropping-particle":"","family":"Marshall","given":"John E. A.","non-dropping-particle":"","parse-names":false,"suffix":""},{"dropping-particle":"","family":"Whiteside","given":"Jessica H.","non-dropping-particle":"","parse-names":false,"suffix":""}],"container-title":"Palaeogeography, Palaeoclimatology, Palaeoecology (in press)","id":"ITEM-2","issued":{"date-parts":[["2021"]]},"page":"110680","title":"Recurring photic zone euxinia in the nrthwest Tethys impinged end-Triassic recovery","type":"article-journal","volume":"584"},"uris":["http://www.mendeley.com/documents/?uuid=565f65c8-b0ec-4b26-97d0-76904e1fe01f"]}],"mendeley":{"formattedCitation":"(Beith et al., 2021; Fox et al., 2020)","plainTextFormattedCitation":"(Beith et al., 2021; Fox et al., 2020)","previouslyFormattedCitation":"(Beith et al., 2021; Fox et al., 2020)"},"properties":{"noteIndex":0},"schema":"https://github.com/citation-style-language/schema/raw/master/csl-citation.json"}</w:instrText>
      </w:r>
      <w:r w:rsidR="00CD028E">
        <w:rPr>
          <w:rFonts w:asciiTheme="majorBidi" w:hAnsiTheme="majorBidi" w:cstheme="majorBidi"/>
        </w:rPr>
        <w:fldChar w:fldCharType="separate"/>
      </w:r>
      <w:r w:rsidR="00CD028E" w:rsidRPr="00CD028E">
        <w:rPr>
          <w:rFonts w:asciiTheme="majorBidi" w:hAnsiTheme="majorBidi" w:cstheme="majorBidi"/>
          <w:noProof/>
        </w:rPr>
        <w:t>(Beith et al., 2021; Fox et al., 2020)</w:t>
      </w:r>
      <w:r w:rsidR="00CD028E">
        <w:rPr>
          <w:rFonts w:asciiTheme="majorBidi" w:hAnsiTheme="majorBidi" w:cstheme="majorBidi"/>
        </w:rPr>
        <w:fldChar w:fldCharType="end"/>
      </w:r>
      <w:r w:rsidR="008345C7" w:rsidRPr="008105C4">
        <w:rPr>
          <w:rFonts w:asciiTheme="majorBidi" w:hAnsiTheme="majorBidi" w:cstheme="majorBidi"/>
        </w:rPr>
        <w:t xml:space="preserve">. </w:t>
      </w:r>
      <w:bookmarkEnd w:id="4"/>
      <w:r w:rsidR="008A2659" w:rsidRPr="008105C4">
        <w:rPr>
          <w:rFonts w:asciiTheme="majorBidi" w:hAnsiTheme="majorBidi" w:cstheme="majorBidi"/>
        </w:rPr>
        <w:t>Additionally</w:t>
      </w:r>
      <w:r w:rsidR="008345C7" w:rsidRPr="008105C4">
        <w:rPr>
          <w:rFonts w:asciiTheme="majorBidi" w:hAnsiTheme="majorBidi" w:cstheme="majorBidi"/>
        </w:rPr>
        <w:t xml:space="preserve">, the succeeding main CIE </w:t>
      </w:r>
      <w:r w:rsidR="008A2659" w:rsidRPr="008105C4">
        <w:rPr>
          <w:rFonts w:asciiTheme="majorBidi" w:hAnsiTheme="majorBidi" w:cstheme="majorBidi"/>
        </w:rPr>
        <w:t xml:space="preserve">instead </w:t>
      </w:r>
      <w:r w:rsidR="008345C7" w:rsidRPr="008105C4">
        <w:rPr>
          <w:rFonts w:asciiTheme="majorBidi" w:hAnsiTheme="majorBidi" w:cstheme="majorBidi"/>
        </w:rPr>
        <w:t xml:space="preserve">reflects the shift to prolonged negative </w:t>
      </w:r>
      <w:r w:rsidR="008345C7" w:rsidRPr="008105C4">
        <w:rPr>
          <w:rFonts w:asciiTheme="majorBidi" w:hAnsiTheme="majorBidi" w:cstheme="majorBidi"/>
          <w:shd w:val="clear" w:color="auto" w:fill="FFFFFF"/>
        </w:rPr>
        <w:t>δ</w:t>
      </w:r>
      <w:r w:rsidR="008345C7" w:rsidRPr="008105C4">
        <w:rPr>
          <w:rFonts w:asciiTheme="majorBidi" w:hAnsiTheme="majorBidi" w:cstheme="majorBidi"/>
          <w:shd w:val="clear" w:color="auto" w:fill="FFFFFF"/>
          <w:vertAlign w:val="superscript"/>
        </w:rPr>
        <w:t>13</w:t>
      </w:r>
      <w:r w:rsidR="008345C7" w:rsidRPr="008105C4">
        <w:rPr>
          <w:rFonts w:asciiTheme="majorBidi" w:hAnsiTheme="majorBidi" w:cstheme="majorBidi"/>
          <w:shd w:val="clear" w:color="auto" w:fill="FFFFFF"/>
        </w:rPr>
        <w:t>C</w:t>
      </w:r>
      <w:r w:rsidR="008345C7" w:rsidRPr="008105C4">
        <w:rPr>
          <w:rFonts w:asciiTheme="majorBidi" w:hAnsiTheme="majorBidi" w:cstheme="majorBidi"/>
          <w:shd w:val="clear" w:color="auto" w:fill="FFFFFF"/>
          <w:vertAlign w:val="subscript"/>
        </w:rPr>
        <w:t>org</w:t>
      </w:r>
      <w:r w:rsidR="008345C7" w:rsidRPr="008105C4">
        <w:rPr>
          <w:rFonts w:asciiTheme="majorBidi" w:hAnsiTheme="majorBidi" w:cstheme="majorBidi"/>
        </w:rPr>
        <w:t xml:space="preserve"> values associated with the extinction, spanning the Hettangian and early Sinemurian </w:t>
      </w:r>
      <w:r w:rsidR="008345C7" w:rsidRPr="008105C4">
        <w:rPr>
          <w:rFonts w:asciiTheme="majorBidi" w:hAnsiTheme="majorBidi" w:cstheme="majorBidi"/>
        </w:rPr>
        <w:fldChar w:fldCharType="begin" w:fldLock="1"/>
      </w:r>
      <w:r w:rsidR="008345C7" w:rsidRPr="008105C4">
        <w:rPr>
          <w:rFonts w:asciiTheme="majorBidi" w:hAnsiTheme="majorBidi" w:cstheme="majorBidi"/>
        </w:rPr>
        <w:instrText xml:space="preserve">ADDIN CSL_CITATION {"citationItems":[{"id":"ITEM-1","itemData":{"DOI":"10.1073/pnas.1917661117","abstract":"The end-Triassic mass extinction that occurred </w:instrText>
      </w:r>
      <w:r w:rsidR="008345C7" w:rsidRPr="00C367B1">
        <w:rPr>
          <w:rFonts w:ascii="Cambria Math" w:hAnsi="Cambria Math" w:cs="Cambria Math"/>
        </w:rPr>
        <w:instrText>∼</w:instrText>
      </w:r>
      <w:r w:rsidR="008345C7" w:rsidRPr="008105C4">
        <w:rPr>
          <w:rFonts w:asciiTheme="majorBidi" w:hAnsiTheme="majorBidi" w:cstheme="majorBidi"/>
        </w:rPr>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carbon","type":"article-journal","volume":"117"},"uris":["http://www.mendeley.com/documents/?uuid=42d5ad45-4ba0-4b12-940f-377c7823c015"]}],"mendeley":{"formattedCitation":"(Fox et al., 2020)","plainTextFormattedCitation":"(Fox et al., 2020)","previouslyFormattedCitation":"(Fox et al., 2020)"},"properties":{"noteIndex":0},"schema":"https://github.com/citation-style-language/schema/raw/master/csl-citation.json"}</w:instrText>
      </w:r>
      <w:r w:rsidR="008345C7" w:rsidRPr="008105C4">
        <w:rPr>
          <w:rFonts w:asciiTheme="majorBidi" w:hAnsiTheme="majorBidi" w:cstheme="majorBidi"/>
        </w:rPr>
        <w:fldChar w:fldCharType="separate"/>
      </w:r>
      <w:r w:rsidR="008345C7" w:rsidRPr="008105C4">
        <w:rPr>
          <w:rFonts w:asciiTheme="majorBidi" w:hAnsiTheme="majorBidi" w:cstheme="majorBidi"/>
          <w:noProof/>
        </w:rPr>
        <w:t>(Fox et al., 2020)</w:t>
      </w:r>
      <w:r w:rsidR="008345C7" w:rsidRPr="008105C4">
        <w:rPr>
          <w:rFonts w:asciiTheme="majorBidi" w:hAnsiTheme="majorBidi" w:cstheme="majorBidi"/>
        </w:rPr>
        <w:fldChar w:fldCharType="end"/>
      </w:r>
      <w:r w:rsidR="008345C7" w:rsidRPr="008105C4">
        <w:rPr>
          <w:rFonts w:asciiTheme="majorBidi" w:hAnsiTheme="majorBidi" w:cstheme="majorBidi"/>
        </w:rPr>
        <w:t>.</w:t>
      </w:r>
      <w:r w:rsidR="003E2EB4" w:rsidRPr="008105C4">
        <w:rPr>
          <w:rFonts w:asciiTheme="majorBidi" w:hAnsiTheme="majorBidi" w:cstheme="majorBidi"/>
        </w:rPr>
        <w:t xml:space="preserve"> </w:t>
      </w:r>
      <w:bookmarkStart w:id="6" w:name="_Hlk92102177"/>
      <w:r w:rsidR="000029A5" w:rsidRPr="008105C4">
        <w:rPr>
          <w:rFonts w:asciiTheme="majorBidi" w:hAnsiTheme="majorBidi" w:cstheme="majorBidi"/>
        </w:rPr>
        <w:t>S</w:t>
      </w:r>
      <w:r w:rsidR="003E2EB4" w:rsidRPr="008105C4">
        <w:rPr>
          <w:rFonts w:asciiTheme="majorBidi" w:hAnsiTheme="majorBidi" w:cstheme="majorBidi"/>
        </w:rPr>
        <w:t xml:space="preserve">imilar investigations to determine the origin of the precursor CIE </w:t>
      </w:r>
      <w:r w:rsidR="00B8336F">
        <w:rPr>
          <w:rFonts w:asciiTheme="majorBidi" w:hAnsiTheme="majorBidi" w:cstheme="majorBidi"/>
        </w:rPr>
        <w:t>have</w:t>
      </w:r>
      <w:r w:rsidR="003E2EB4" w:rsidRPr="008105C4">
        <w:rPr>
          <w:rFonts w:asciiTheme="majorBidi" w:hAnsiTheme="majorBidi" w:cstheme="majorBidi"/>
        </w:rPr>
        <w:t xml:space="preserve"> not yet </w:t>
      </w:r>
      <w:r w:rsidR="00B8336F">
        <w:rPr>
          <w:rFonts w:asciiTheme="majorBidi" w:hAnsiTheme="majorBidi" w:cstheme="majorBidi"/>
        </w:rPr>
        <w:t xml:space="preserve">been </w:t>
      </w:r>
      <w:r w:rsidR="003E2EB4" w:rsidRPr="008105C4">
        <w:rPr>
          <w:rFonts w:asciiTheme="majorBidi" w:hAnsiTheme="majorBidi" w:cstheme="majorBidi"/>
        </w:rPr>
        <w:t>presented, hindering the robustness of chemostratigraphic correlations using this CIE.</w:t>
      </w:r>
      <w:bookmarkEnd w:id="5"/>
      <w:bookmarkEnd w:id="6"/>
    </w:p>
    <w:p w14:paraId="7DD03F4E" w14:textId="7A89129D" w:rsidR="00F068A5" w:rsidRDefault="003D77EB" w:rsidP="00515BFB">
      <w:pPr>
        <w:pStyle w:val="AbstractSummary"/>
        <w:spacing w:line="480" w:lineRule="auto"/>
        <w:ind w:firstLine="720"/>
        <w:jc w:val="both"/>
      </w:pPr>
      <w:bookmarkStart w:id="7" w:name="_Hlk92106651"/>
      <w:r>
        <w:t>Currently,</w:t>
      </w:r>
      <w:r w:rsidR="008A2659">
        <w:t xml:space="preserve"> </w:t>
      </w:r>
      <w:r w:rsidR="004A4B5E">
        <w:t>the</w:t>
      </w:r>
      <w:r>
        <w:t>re is a</w:t>
      </w:r>
      <w:r w:rsidR="004A4B5E">
        <w:t xml:space="preserve"> lack of </w:t>
      </w:r>
      <w:r w:rsidR="005E0E36">
        <w:t>understanding relating to the timing</w:t>
      </w:r>
      <w:r w:rsidR="004C724E">
        <w:t>,</w:t>
      </w:r>
      <w:r w:rsidR="005E0E36">
        <w:t xml:space="preserve"> duration</w:t>
      </w:r>
      <w:r w:rsidR="004C724E">
        <w:t>, and global extent</w:t>
      </w:r>
      <w:r w:rsidR="005E0E36">
        <w:t xml:space="preserve"> of ETE paleowildfires</w:t>
      </w:r>
      <w:r w:rsidR="004A4B5E">
        <w:t xml:space="preserve"> </w:t>
      </w:r>
      <w:r w:rsidR="005E0E36">
        <w:t xml:space="preserve">and </w:t>
      </w:r>
      <w:r>
        <w:t xml:space="preserve">the </w:t>
      </w:r>
      <w:r w:rsidR="008C393D">
        <w:t>validity</w:t>
      </w:r>
      <w:r w:rsidR="005E0E36">
        <w:t xml:space="preserve"> of </w:t>
      </w:r>
      <w:r w:rsidR="000029A5">
        <w:t xml:space="preserve">the precursor </w:t>
      </w:r>
      <w:r w:rsidR="005E0E36">
        <w:t>CIE</w:t>
      </w:r>
      <w:r w:rsidR="00580926">
        <w:t>s</w:t>
      </w:r>
      <w:r w:rsidR="005E0E36">
        <w:t xml:space="preserve"> as</w:t>
      </w:r>
      <w:r w:rsidR="000029A5">
        <w:t xml:space="preserve"> a</w:t>
      </w:r>
      <w:r w:rsidR="005E0E36">
        <w:t xml:space="preserve"> chemostratigraphic marker</w:t>
      </w:r>
      <w:r>
        <w:t xml:space="preserve">. </w:t>
      </w:r>
      <w:r w:rsidR="004C724E">
        <w:t xml:space="preserve">To </w:t>
      </w:r>
      <w:r w:rsidR="00B17E78">
        <w:t>better understand these processes during the ETE</w:t>
      </w:r>
      <w:r w:rsidR="00CD028E">
        <w:t>,</w:t>
      </w:r>
      <w:r w:rsidR="006B15D5">
        <w:t xml:space="preserve"> </w:t>
      </w:r>
      <w:r w:rsidR="00515BFB">
        <w:t>as well as</w:t>
      </w:r>
      <w:r w:rsidR="006B15D5">
        <w:t xml:space="preserve"> other mass extinction events and </w:t>
      </w:r>
      <w:r w:rsidR="00B8336F">
        <w:t>intervals</w:t>
      </w:r>
      <w:r w:rsidR="006B15D5">
        <w:t xml:space="preserve"> </w:t>
      </w:r>
      <w:r w:rsidR="008C2ACC">
        <w:t>of</w:t>
      </w:r>
      <w:r w:rsidR="006B15D5">
        <w:t xml:space="preserve"> biotic crises</w:t>
      </w:r>
      <w:r w:rsidR="00EC3B2B">
        <w:t>,</w:t>
      </w:r>
      <w:r w:rsidR="004C724E" w:rsidRPr="00B17E78">
        <w:t xml:space="preserve"> t</w:t>
      </w:r>
      <w:r w:rsidRPr="00B17E78">
        <w:t>his study</w:t>
      </w:r>
      <w:r w:rsidR="00B17E78">
        <w:t xml:space="preserve"> aim</w:t>
      </w:r>
      <w:r w:rsidR="008C2ACC">
        <w:t>s</w:t>
      </w:r>
      <w:r w:rsidR="00B17E78">
        <w:t xml:space="preserve"> </w:t>
      </w:r>
      <w:r w:rsidR="006B15D5">
        <w:t>to</w:t>
      </w:r>
      <w:r w:rsidRPr="00B17E78">
        <w:t xml:space="preserve"> </w:t>
      </w:r>
      <w:r>
        <w:t>1) evaluate terrestrial biomass burning as the major source of end-Triassic PAHs and help determine whether CAMP-induced biomass burning</w:t>
      </w:r>
      <w:r w:rsidR="004C724E">
        <w:t xml:space="preserve"> occurred at a global scale</w:t>
      </w:r>
      <w:r>
        <w:t xml:space="preserve">; and 2) </w:t>
      </w:r>
      <w:r w:rsidR="00B17E78">
        <w:t>probe</w:t>
      </w:r>
      <w:r>
        <w:t xml:space="preserve"> the robustness of the precursor CIE in relation to the CAMP and chemostratigraphic correlations.</w:t>
      </w:r>
      <w:r w:rsidR="00B17E78">
        <w:t xml:space="preserve"> </w:t>
      </w:r>
      <w:bookmarkStart w:id="8" w:name="_Hlk93650018"/>
      <w:r>
        <w:t>To answer these questions</w:t>
      </w:r>
      <w:r w:rsidR="00515BFB">
        <w:t>,</w:t>
      </w:r>
      <w:r w:rsidR="005E0E36">
        <w:t xml:space="preserve"> </w:t>
      </w:r>
      <w:bookmarkStart w:id="9" w:name="_Hlk92115980"/>
      <w:r w:rsidR="005E0E36">
        <w:t xml:space="preserve">we </w:t>
      </w:r>
      <w:r w:rsidR="00580926">
        <w:t>undertook a high-resolution (i.e., cm sample interval) study</w:t>
      </w:r>
      <w:bookmarkEnd w:id="9"/>
      <w:r w:rsidR="00580926">
        <w:t xml:space="preserve"> of PAH distributions and </w:t>
      </w:r>
      <w:r w:rsidR="00580926" w:rsidRPr="00EA5608">
        <w:rPr>
          <w:shd w:val="clear" w:color="auto" w:fill="FFFFFF"/>
        </w:rPr>
        <w:t>δ</w:t>
      </w:r>
      <w:r w:rsidR="00580926">
        <w:rPr>
          <w:shd w:val="clear" w:color="auto" w:fill="FFFFFF"/>
          <w:vertAlign w:val="superscript"/>
        </w:rPr>
        <w:t>13</w:t>
      </w:r>
      <w:r w:rsidR="00580926">
        <w:rPr>
          <w:shd w:val="clear" w:color="auto" w:fill="FFFFFF"/>
        </w:rPr>
        <w:t xml:space="preserve">C </w:t>
      </w:r>
      <w:r w:rsidR="00580926">
        <w:t xml:space="preserve">values of </w:t>
      </w:r>
      <w:r w:rsidR="00580926">
        <w:rPr>
          <w:i/>
        </w:rPr>
        <w:t>n-</w:t>
      </w:r>
      <w:r w:rsidR="00580926">
        <w:t xml:space="preserve">alkanes and regular isoprenoids </w:t>
      </w:r>
      <w:bookmarkEnd w:id="8"/>
      <w:r w:rsidR="00580926">
        <w:t>originating from lower trophic organisms and higher plants at two neighboring ETE sections in the Bristol Channel Basin, UK (St. Audrie’s Bay and Lilstock)</w:t>
      </w:r>
      <w:r w:rsidR="008C393D">
        <w:t>.</w:t>
      </w:r>
      <w:r w:rsidR="006B15D5">
        <w:t xml:space="preserve"> </w:t>
      </w:r>
      <w:bookmarkEnd w:id="7"/>
    </w:p>
    <w:p w14:paraId="50173BB7" w14:textId="560AF1FD" w:rsidR="004746A5" w:rsidRDefault="00067CE8" w:rsidP="004746A5">
      <w:pPr>
        <w:pStyle w:val="AbstractSummary"/>
        <w:numPr>
          <w:ilvl w:val="0"/>
          <w:numId w:val="1"/>
        </w:numPr>
        <w:spacing w:line="480" w:lineRule="auto"/>
        <w:rPr>
          <w:b/>
        </w:rPr>
      </w:pPr>
      <w:r>
        <w:rPr>
          <w:b/>
        </w:rPr>
        <w:lastRenderedPageBreak/>
        <w:t>Studied Sections</w:t>
      </w:r>
    </w:p>
    <w:p w14:paraId="02FBC4AB" w14:textId="05586CDF" w:rsidR="004746A5" w:rsidRPr="008105C4" w:rsidRDefault="00A926FA" w:rsidP="002D1930">
      <w:pPr>
        <w:pStyle w:val="AbstractSummary"/>
        <w:spacing w:line="480" w:lineRule="auto"/>
        <w:ind w:firstLine="360"/>
        <w:jc w:val="both"/>
      </w:pPr>
      <w:bookmarkStart w:id="10" w:name="_Hlk93650356"/>
      <w:bookmarkStart w:id="11" w:name="_Hlk93601479"/>
      <w:r>
        <w:t>The</w:t>
      </w:r>
      <w:r w:rsidR="00C72FCF">
        <w:t xml:space="preserve"> Bristol Channel Basin, SW UK that includes the</w:t>
      </w:r>
      <w:r>
        <w:t xml:space="preserve"> </w:t>
      </w:r>
      <w:r w:rsidR="004746A5">
        <w:t>St. Audrie’s Bay (51.182833°, -3.286000°) and Lilstock (51.200757°, -3.176389°)</w:t>
      </w:r>
      <w:r w:rsidR="003E24F8">
        <w:t xml:space="preserve"> sections, </w:t>
      </w:r>
      <w:r w:rsidR="00F90B6B">
        <w:t>is</w:t>
      </w:r>
      <w:r w:rsidR="00C72FCF">
        <w:t xml:space="preserve"> well characterized in terms of pale</w:t>
      </w:r>
      <w:r w:rsidR="00EC3B2B">
        <w:t>o</w:t>
      </w:r>
      <w:r w:rsidR="00F97ABD">
        <w:t>ntology, palynology</w:t>
      </w:r>
      <w:r w:rsidR="00CC2278">
        <w:t>,</w:t>
      </w:r>
      <w:r w:rsidR="00830DBB">
        <w:t xml:space="preserve"> </w:t>
      </w:r>
      <w:r w:rsidR="00F97ABD">
        <w:t>and geochemistry</w:t>
      </w:r>
      <w:r w:rsidR="00CC2278">
        <w:t xml:space="preserve"> (see supplementary information for full details).</w:t>
      </w:r>
      <w:r w:rsidR="002D1930">
        <w:t xml:space="preserve"> </w:t>
      </w:r>
      <w:r w:rsidR="00F90B6B">
        <w:t>Importantly, the</w:t>
      </w:r>
      <w:r w:rsidR="00C72FCF">
        <w:t xml:space="preserve"> St. Audrie’s Bay</w:t>
      </w:r>
      <w:r w:rsidR="00F90B6B">
        <w:t xml:space="preserve"> is a focal ETE s</w:t>
      </w:r>
      <w:r w:rsidR="00C72FCF">
        <w:t>ectio</w:t>
      </w:r>
      <w:r w:rsidR="00F90B6B">
        <w:t>n to which many records are</w:t>
      </w:r>
      <w:r w:rsidR="00F97ABD">
        <w:t xml:space="preserve"> compared</w:t>
      </w:r>
      <w:r w:rsidR="00CC2278">
        <w:t>, hence these localities were chosen for this study</w:t>
      </w:r>
      <w:r w:rsidR="00C72FCF">
        <w:t>.</w:t>
      </w:r>
      <w:bookmarkEnd w:id="10"/>
      <w:r w:rsidR="00C72FCF">
        <w:t xml:space="preserve"> </w:t>
      </w:r>
      <w:bookmarkStart w:id="12" w:name="_Hlk92182660"/>
      <w:r w:rsidR="003E24F8">
        <w:t>The</w:t>
      </w:r>
      <w:r w:rsidR="004746A5">
        <w:t xml:space="preserve"> </w:t>
      </w:r>
      <w:r w:rsidR="00E952A8">
        <w:t xml:space="preserve">late </w:t>
      </w:r>
      <w:r w:rsidR="004746A5">
        <w:t xml:space="preserve">Rhaetian to </w:t>
      </w:r>
      <w:r w:rsidR="00E952A8">
        <w:t xml:space="preserve">early </w:t>
      </w:r>
      <w:r w:rsidR="004746A5">
        <w:t xml:space="preserve">Hettangian </w:t>
      </w:r>
      <w:r w:rsidR="00E952A8">
        <w:t xml:space="preserve">age strata </w:t>
      </w:r>
      <w:r w:rsidR="004746A5">
        <w:t>(Triassic-Jurassic boundary</w:t>
      </w:r>
      <w:r w:rsidR="00E952A8">
        <w:t xml:space="preserve"> transition</w:t>
      </w:r>
      <w:r w:rsidR="004746A5">
        <w:t xml:space="preserve">) are </w:t>
      </w:r>
      <w:r w:rsidR="00E952A8">
        <w:t xml:space="preserve">represented by </w:t>
      </w:r>
      <w:r w:rsidR="004746A5">
        <w:t>the Westbury, Lilstock, and Blue Lias formations, with the Lilstock Formation subdivided into the Cotham and Langport members.</w:t>
      </w:r>
      <w:r w:rsidR="00CC2278">
        <w:t xml:space="preserve"> Here we briefly describe the depositional setting, for full details see the supplementary information.</w:t>
      </w:r>
      <w:bookmarkEnd w:id="12"/>
    </w:p>
    <w:p w14:paraId="4E165C43" w14:textId="599D8E02" w:rsidR="00820EAE" w:rsidRDefault="004746A5" w:rsidP="00820EAE">
      <w:pPr>
        <w:pStyle w:val="AbstractSummary"/>
        <w:spacing w:line="480" w:lineRule="auto"/>
        <w:ind w:firstLine="720"/>
        <w:jc w:val="both"/>
      </w:pPr>
      <w:bookmarkStart w:id="13" w:name="_Hlk93651075"/>
      <w:r>
        <w:t>The Westbury Formation</w:t>
      </w:r>
      <w:r w:rsidR="00BC1321">
        <w:t>, a regionally extensive marine unit</w:t>
      </w:r>
      <w:r w:rsidR="00E84055">
        <w:t xml:space="preserve"> that contains the precursor CIE</w:t>
      </w:r>
      <w:r w:rsidR="00BC1321">
        <w:t>,</w:t>
      </w:r>
      <w:r>
        <w:t xml:space="preserve"> consists of dark grey to black </w:t>
      </w:r>
      <w:r w:rsidR="00B920C7">
        <w:t>organic rich mudstones (“shales”)</w:t>
      </w:r>
      <w:r>
        <w:t xml:space="preserve"> and subordinate silty calcareous mudstones that are interbedded with grey limestone concretions. </w:t>
      </w:r>
      <w:r w:rsidR="00BC1321">
        <w:t xml:space="preserve">The Formation </w:t>
      </w:r>
      <w:r w:rsidR="00DB4F76">
        <w:t xml:space="preserve">generally </w:t>
      </w:r>
      <w:r w:rsidR="00BC1321">
        <w:t>represents a</w:t>
      </w:r>
      <w:r w:rsidR="002F7964">
        <w:t xml:space="preserve"> calm offshore but</w:t>
      </w:r>
      <w:r w:rsidR="00BC1321">
        <w:t xml:space="preserve"> </w:t>
      </w:r>
      <w:r w:rsidR="00DB4F76">
        <w:t xml:space="preserve">shallow sea with maximum flooding surface in the middle of the Formation, possibly below the precursor CIE </w:t>
      </w:r>
      <w:r w:rsidR="00064E57">
        <w:t xml:space="preserve">recorded in the middle/upper portion of the Formation </w:t>
      </w:r>
      <w:r w:rsidR="00DB4F76">
        <w:fldChar w:fldCharType="begin" w:fldLock="1"/>
      </w:r>
      <w:r w:rsidR="009D4ABB">
        <w:instrText>ADDIN CSL_CITATION {"citationItems":[{"id":"ITEM-1","itemData":{"DOI":"10.1144/0016-764903-033","ISSN":"0016-7649","abstract":"The Late Triassic to Early Jurassic aged succession of SW Britain (the Penarth and lower Lias Groups) comprises mudstone, sandstone and limestone strata deposited in a variety of marine to non-marine environments. Faunal and floral characteristics of these successions have led to the proposal that one location in SW England, St Audrie's Bay, should serve as the Global Stratotype Section and Point (GSSP) for the base of the Hettangian Stage and, thus, for the Triassic–Jurassic (Tr–J) boundary. The sections of SW Britain have also been used previously to infer sea-level change history and relate this to potential kill mechanisms associated with the Tr–J boundary mass extinction. Chemostratigraphic, biofacies and lithofacies data are used here to suggest alternative models of sea-level change in relation to possible Tr–J boundary horizons in the sections of SW Britain. A sea-level lowstand surface of erosion is inferred to occur within the Cotham Member of the Lilstock Formation, a unit deposited in an environment that was often subaerially exposed. In contrast to previous interpretations, the top surface of the overlying Langport Member (here inferred to be deposited on a carbonate ramp of depositional or tectonic origin) represents a drowning event of at least regional extent. All horizons regarded as plausible levels at which to place the Tr–J boundary based on fossil distributions lie within strata deposited during relative sea-level rise. However, it is doubtful whether the higher horizons proposed to mark the boundary faithfully record times of true biotic change on a global scale and, additionally, there is no positive evidence that sea-level fall had any relation to the genesis of proposed Tr–J marker horizons. It is unlikely that sea-level fall played a significant role in the Tr–J boundary extinctions in either a local or a global context.","author":[{"dropping-particle":"","family":"Hesselbo","given":"Stephen P","non-dropping-particle":"","parse-names":false,"suffix":""},{"dropping-particle":"","family":"Robinson","given":"Stuart A","non-dropping-particle":"","parse-names":false,"suffix":""},{"dropping-particle":"","family":"Surlyk","given":"Finn","non-dropping-particle":"","parse-names":false,"suffix":""}],"container-title":"Journal of the Geological Society","id":"ITEM-1","issue":"3","issued":{"date-parts":[["2004","5","1"]]},"page":"365-379","title":"Sea-level change and facies development across potential Triassic–Jurassic boundary horizons, SW Britain","type":"article-journal","volume":"161"},"uris":["http://www.mendeley.com/documents/?uuid=0c161847-107d-4486-b8ca-6a19f9c6d51a"]}],"mendeley":{"formattedCitation":"(Hesselbo et al., 2004)","plainTextFormattedCitation":"(Hesselbo et al., 2004)","previouslyFormattedCitation":"(Hesselbo et al., 2004)"},"properties":{"noteIndex":0},"schema":"https://github.com/citation-style-language/schema/raw/master/csl-citation.json"}</w:instrText>
      </w:r>
      <w:r w:rsidR="00DB4F76">
        <w:fldChar w:fldCharType="separate"/>
      </w:r>
      <w:r w:rsidR="00DB4F76" w:rsidRPr="00DB4F76">
        <w:rPr>
          <w:noProof/>
        </w:rPr>
        <w:t>(Hesselbo et al., 2004)</w:t>
      </w:r>
      <w:r w:rsidR="00DB4F76">
        <w:fldChar w:fldCharType="end"/>
      </w:r>
      <w:r w:rsidR="00DB4F76">
        <w:t xml:space="preserve">.  </w:t>
      </w:r>
    </w:p>
    <w:bookmarkEnd w:id="13"/>
    <w:p w14:paraId="5794C9FD" w14:textId="3B5A27B6" w:rsidR="002F7964" w:rsidRDefault="004746A5" w:rsidP="00637240">
      <w:pPr>
        <w:pStyle w:val="AbstractSummary"/>
        <w:spacing w:line="480" w:lineRule="auto"/>
        <w:ind w:firstLine="720"/>
        <w:jc w:val="both"/>
      </w:pPr>
      <w:r>
        <w:t>Overlaying the Westbury Formation, the Cotham Member contains green-grey calcareous mudstones, subordinate limestones, sandstones</w:t>
      </w:r>
      <w:r w:rsidR="003C0C22">
        <w:t xml:space="preserve">, and evidence of </w:t>
      </w:r>
      <w:proofErr w:type="spellStart"/>
      <w:r w:rsidR="003C0C22">
        <w:t>seismites</w:t>
      </w:r>
      <w:proofErr w:type="spellEnd"/>
      <w:r>
        <w:t xml:space="preserve">. </w:t>
      </w:r>
      <w:r w:rsidR="00CC2278">
        <w:t>S</w:t>
      </w:r>
      <w:r>
        <w:t>oft sediment deformation of sandstones that are cut by siltstone-filled desiccation cracks (above which a hiatus is recorded), wave ripples, and possible raindrop imprints indicat</w:t>
      </w:r>
      <w:r w:rsidR="00CC2278">
        <w:t>e</w:t>
      </w:r>
      <w:r>
        <w:t xml:space="preserve"> a shallow</w:t>
      </w:r>
      <w:r w:rsidR="00BB1D4F">
        <w:t>er</w:t>
      </w:r>
      <w:r>
        <w:t xml:space="preserve"> water environment. The Cotham Member is separated into the upper and lower </w:t>
      </w:r>
      <w:r w:rsidR="00FA1E8B">
        <w:t>un</w:t>
      </w:r>
      <w:r w:rsidR="003939F1">
        <w:t>i</w:t>
      </w:r>
      <w:r w:rsidR="00FA1E8B">
        <w:t>ts</w:t>
      </w:r>
      <w:r>
        <w:t xml:space="preserve"> above and below where the first (and deepest) desiccation cracks occur</w:t>
      </w:r>
      <w:r w:rsidR="00CC2278">
        <w:t>, at which point</w:t>
      </w:r>
      <w:r w:rsidR="00064E57">
        <w:t xml:space="preserve"> the initial CIE begins. </w:t>
      </w:r>
      <w:bookmarkStart w:id="14" w:name="_Hlk93651149"/>
      <w:r w:rsidR="009E7B9E">
        <w:t>Water depth</w:t>
      </w:r>
      <w:r w:rsidR="00BB1D4F">
        <w:t xml:space="preserve"> is </w:t>
      </w:r>
      <w:r w:rsidR="00042EE1">
        <w:t>inferred</w:t>
      </w:r>
      <w:r w:rsidR="00BB1D4F">
        <w:t xml:space="preserve"> to</w:t>
      </w:r>
      <w:r w:rsidR="009E7B9E">
        <w:t xml:space="preserve"> shallow upward through the lower Cotham Member, although marine pelagophytes </w:t>
      </w:r>
      <w:r w:rsidR="009D4ABB">
        <w:t>swiftly reduce at the Westbury Formation to Cotham Member boundary</w:t>
      </w:r>
      <w:r w:rsidR="00153337">
        <w:t xml:space="preserve"> suggesting a regression </w:t>
      </w:r>
      <w:r w:rsidR="00153337">
        <w:lastRenderedPageBreak/>
        <w:t>event</w:t>
      </w:r>
      <w:r w:rsidR="009D4ABB">
        <w:t xml:space="preserve"> </w:t>
      </w:r>
      <w:r w:rsidR="009D4ABB">
        <w:fldChar w:fldCharType="begin" w:fldLock="1"/>
      </w:r>
      <w:r w:rsidR="00BB1D4F">
        <w:instrText xml:space="preserve">ADDIN CSL_CITATION {"citationItems":[{"id":"ITEM-1","itemData":{"DOI":"10.1144/0016-764903-033","ISSN":"0016-7649","abstract":"The Late Triassic to Early Jurassic aged succession of SW Britain (the Penarth and lower Lias Groups) comprises mudstone, sandstone and limestone strata deposited in a variety of marine to non-marine environments. Faunal and floral characteristics of these successions have led to the proposal that one location in SW England, St Audrie's Bay, should serve as the Global Stratotype Section and Point (GSSP) for the base of the Hettangian Stage and, thus, for the Triassic–Jurassic (Tr–J) boundary. The sections of SW Britain have also been used previously to infer sea-level change history and relate this to potential kill mechanisms associated with the Tr–J boundary mass extinction. Chemostratigraphic, biofacies and lithofacies data are used here to suggest alternative models of sea-level change in relation to possible Tr–J boundary horizons in the sections of SW Britain. A sea-level lowstand surface of erosion is inferred to occur within the Cotham Member of the Lilstock Formation, a unit deposited in an environment that was often subaerially exposed. In contrast to previous interpretations, the top surface of the overlying Langport Member (here inferred to be deposited on a carbonate ramp of depositional or tectonic origin) represents a drowning event of at least regional extent. All horizons regarded as plausible levels at which to place the Tr–J boundary based on fossil distributions lie within strata deposited during relative sea-level rise. However, it is doubtful whether the higher horizons proposed to mark the boundary faithfully record times of true biotic change on a global scale and, additionally, there is no positive evidence that sea-level fall had any relation to the genesis of proposed Tr–J marker horizons. It is unlikely that sea-level fall played a significant role in the Tr–J boundary extinctions in either a local or a global context.","author":[{"dropping-particle":"","family":"Hesselbo","given":"Stephen P","non-dropping-particle":"","parse-names":false,"suffix":""},{"dropping-particle":"","family":"Robinson","given":"Stuart A","non-dropping-particle":"","parse-names":false,"suffix":""},{"dropping-particle":"","family":"Surlyk","given":"Finn","non-dropping-particle":"","parse-names":false,"suffix":""}],"container-title":"Journal of the Geological Society","id":"ITEM-1","issue":"3","issued":{"date-parts":[["2004","5","1"]]},"page":"365-379","title":"Sea-level change and facies development across potential Triassic–Jurassic boundary horizons, SW Britain","type":"article-journal","volume":"161"},"uris":["http://www.mendeley.com/documents/?uuid=0c161847-107d-4486-b8ca-6a19f9c6d51a"]},{"id":"ITEM-2","itemData":{"DOI":"10.1073/pnas.1917661117","abstract":"The end-Triassic mass extinction that occurred </w:instrText>
      </w:r>
      <w:r w:rsidR="00BB1D4F">
        <w:rPr>
          <w:rFonts w:ascii="Cambria Math" w:hAnsi="Cambria Math" w:cs="Cambria Math"/>
        </w:rPr>
        <w:instrText>∼</w:instrText>
      </w:r>
      <w:r w:rsidR="00BB1D4F">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Sciences","id":"ITEM-2","issue":"48","issued":{"date-parts":[["2020","12","1"]]},"page":"30171 LP  - 30178","title":"Molecular and isotopic evidence reveals the end-Triassic carbon isotope excursion is not from massive exogenous light carbon","type":"article-journal","volume":"117"},"uris":["http://www.mendeley.com/documents/?uuid=42d5ad45-4ba0-4b12-940f-377c7823c015"]}],"mendeley":{"formattedCitation":"(Fox et al., 2020; Hesselbo et al., 2004)","plainTextFormattedCitation":"(Fox et al., 2020; Hesselbo et al., 2004)","previouslyFormattedCitation":"(Fox et al., 2020; Hesselbo et al., 2004)"},"properties":{"noteIndex":0},"schema":"https://github.com/citation-style-language/schema/raw/master/csl-citation.json"}</w:instrText>
      </w:r>
      <w:r w:rsidR="009D4ABB">
        <w:fldChar w:fldCharType="separate"/>
      </w:r>
      <w:r w:rsidR="00BB1D4F" w:rsidRPr="00BB1D4F">
        <w:rPr>
          <w:noProof/>
        </w:rPr>
        <w:t>(Fox et al., 2020; Hesselbo et al., 2004)</w:t>
      </w:r>
      <w:r w:rsidR="009D4ABB">
        <w:fldChar w:fldCharType="end"/>
      </w:r>
      <w:r w:rsidR="009D4ABB">
        <w:t>.</w:t>
      </w:r>
      <w:r>
        <w:t xml:space="preserve"> This interval</w:t>
      </w:r>
      <w:r w:rsidR="00F024AE">
        <w:t>, especially the upper part,</w:t>
      </w:r>
      <w:r>
        <w:t xml:space="preserve"> is marked by a </w:t>
      </w:r>
      <w:r w:rsidR="00F024AE">
        <w:t>near absence</w:t>
      </w:r>
      <w:r>
        <w:t xml:space="preserve"> of marine biota,</w:t>
      </w:r>
      <w:r w:rsidR="00BB1D4F">
        <w:t xml:space="preserve"> </w:t>
      </w:r>
      <w:r>
        <w:t>representing a shallow brackish to freshwater lagoon-type environment</w:t>
      </w:r>
      <w:r w:rsidR="00153337">
        <w:t>, on the order of 10s of cm at some intervals</w:t>
      </w:r>
      <w:r w:rsidR="00CC2278">
        <w:t xml:space="preserve"> </w:t>
      </w:r>
      <w:r w:rsidR="009F00C8">
        <w:fldChar w:fldCharType="begin" w:fldLock="1"/>
      </w:r>
      <w:r w:rsidR="00A06EF8">
        <w:instrText xml:space="preserve">ADDIN CSL_CITATION {"citationItems":[{"id":"ITEM-1","itemData":{"DOI":"10.1073/pnas.1917661117","abstract":"The end-Triassic mass extinction that occurred </w:instrText>
      </w:r>
      <w:r w:rsidR="00A06EF8">
        <w:rPr>
          <w:rFonts w:ascii="Cambria Math" w:hAnsi="Cambria Math" w:cs="Cambria Math"/>
        </w:rPr>
        <w:instrText>∼</w:instrText>
      </w:r>
      <w:r w:rsidR="00A06EF8">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carbon","type":"article-journal","volume":"117"},"uris":["http://www.mendeley.com/documents/?uuid=42d5ad45-4ba0-4b12-940f-377c7823c015"]},{"id":"ITEM-2","itemData":{"DOI":"10.1144/0016-76492007-029","ISSN":"0016-7649","abstract":"A high-resolution palaeoecological study of the shelly invertebrate macrofauna across two marine Triassic–Jurassic boundary sections in the UK (St. Audrie's Bay and Lavernock Point) is presented. Loss of taxonomic richness occurs in the upper Westbury Formation to lower Lilstock Formation (late Rhaetian), but if sample size is taken into account there is little convincing evidence of a catastrophic marine extinction. There is, however, good evidence for significant palaeoecological change in the benthic marine ecosystem at this time. The immediate post-event recovery interval in the upper Lilstock Formation is characterized by assemblages of low abundance, low diversity, high dominance and low evenness. Body-sizes of taxa that survived the event and originated afterwards were low until the later Hettangian. Recovery to higher abundance, higher diversity and higher evenness is recorded in the Psiloceras planorbis Zone. Recovery of the benthic ecosystem in the aftermath of the Late Triassic event was disrupted by marine anoxia and shows additional similarities to the (much slower) recovery that followed the Late Permian event. The pattern of body-size changes recorded in the shelly fossil record closely matches that of the trace fossil record. Shell thickness trends do not support a biocalcification crisis during the Late Triassic biotic event.","author":[{"dropping-particle":"","family":"Mander","given":"Luke","non-dropping-particle":"","parse-names":false,"suffix":""},{"dropping-particle":"","family":"Twitchett","given":"Richard J","non-dropping-particle":"","parse-names":false,"suffix":""},{"dropping-particle":"","family":"Benton","given":"Michael J","non-dropping-particle":"","parse-names":false,"suffix":""}],"container-title":"Journal of the Geological Society","id":"ITEM-2","issue":"1","issued":{"date-parts":[["2008","1","1"]]},"page":"319-332","title":"Palaeoecology of the Late Triassic extinction event in the SW UK","type":"article-journal","volume":"165"},"uris":["http://www.mendeley.com/documents/?uuid=c05ef9d0-7426-4ff6-b6f6-a9841453e18b"]},{"id":"ITEM-3","itemData":{"DOI":"https://doi.org/10.1016/S0016-7878(08)80259-3","ISSN":"0016-7878","abstract":"The complex crises of the end-Triassic and Early Jurassic (Toarcian) mass extinctions are well recorded in the British Isles where they coincide with major palaeoenvironmental changes. The end-Triassic extinction occurs within the quasi-marine Lilstock Formation, the fauna of which is dominated by eurytopic bivalves. These suffered a major extinction event (77% of species), including all infaunal forms, within the basal beds of the Formation. This crisis slightly predates a series of environmental events that include, in ascending order, an intense phase of seismicity (the onset of Central Atlantic flood basalt volcanism?), sea-level fall and a negative δ13Corg spike. The extinction is linked most clearly (i.e. closest in timing) with regression and seismicity. A further sea-level fall is recorded at the top of the Formation, followed by transgression and the spread of anoxia. These events are not associated with any further bivalve losses although conodonts disappeared at this time. The link between extinction and oxygen-poor conditions is demonstrated better by the Toarcian crisis, when a bivalve extinction event (85% species loss) coincided with the onset of intense anoxia within the middle of the Semicelatum Subzone of the Yorkshire coast sections. However, these losses are part of several extinction pulses spread over more than a million years. These began earlier, at the Pliensbachian/Toarcian stage boundary when ammonites, brachiopods and ostracods all suffered losses coinciding with regression and cooling. However, the subsequent transgression saw a brief spread of marine anoxia (represented by the Sulphur Band in Yorkshire sections) that may also be implicated in the extinctions. Black shale deposition is extremely widespread in the British Toarcian record, with the remarkable exception of the Somerset and south Dorset areas where condensed, fully-oxygenated, deep-water conditions are recorded by the Leptaena Bed and ‘Junction Bed’. Even more remarkably, severe extinction losses (of brachiopods and ostracods) are recorded in this apparently benign depositional setting.","author":[{"dropping-particle":"","family":"Wignall","given":"Paul B","non-dropping-particle":"","parse-names":false,"suffix":""},{"dropping-particle":"","family":"Bond","given":"David P G","non-dropping-particle":"","parse-names":false,"suffix":""}],"container-title":"Proceedings of the Geologists' Association","id":"ITEM-3","issue":"1","issued":{"date-parts":[["2008"]]},"page":"73-84","title":"The end-Triassic and Early Jurassic mass extinction records in the British Isles","type":"article-journal","volume":"119"},"uris":["http://www.mendeley.com/documents/?uuid=22b810c3-bf9c-4c2e-a02d-e9ecc8acaf2c"]}],"mendeley":{"formattedCitation":"(Fox et al., 2020; Mander et al., 2008; Wignall and Bond, 2008)","manualFormatting":"(Fox et al., 2020 and refs therein; Mander et al., 2008; Wignall and Bond, 2008 and refs therein)","plainTextFormattedCitation":"(Fox et al., 2020; Mander et al., 2008; Wignall and Bond, 2008)","previouslyFormattedCitation":"(Fox et al., 2020; Mander et al., 2008; Wignall and Bond, 2008)"},"properties":{"noteIndex":0},"schema":"https://github.com/citation-style-language/schema/raw/master/csl-citation.json"}</w:instrText>
      </w:r>
      <w:r w:rsidR="009F00C8">
        <w:fldChar w:fldCharType="separate"/>
      </w:r>
      <w:r w:rsidR="009F00C8" w:rsidRPr="00A249D1">
        <w:rPr>
          <w:noProof/>
        </w:rPr>
        <w:t>(Fox et al., 2020</w:t>
      </w:r>
      <w:r w:rsidR="00226934">
        <w:rPr>
          <w:noProof/>
        </w:rPr>
        <w:t xml:space="preserve"> and refs therein</w:t>
      </w:r>
      <w:r w:rsidR="009F00C8" w:rsidRPr="00A249D1">
        <w:rPr>
          <w:noProof/>
        </w:rPr>
        <w:t>; Mander et al., 2008; Wignall and Bond, 2008</w:t>
      </w:r>
      <w:r w:rsidR="009F00C8">
        <w:rPr>
          <w:noProof/>
        </w:rPr>
        <w:t xml:space="preserve"> and refs therein</w:t>
      </w:r>
      <w:r w:rsidR="009F00C8" w:rsidRPr="00A249D1">
        <w:rPr>
          <w:noProof/>
        </w:rPr>
        <w:t>)</w:t>
      </w:r>
      <w:r w:rsidR="009F00C8">
        <w:fldChar w:fldCharType="end"/>
      </w:r>
      <w:r>
        <w:t xml:space="preserve">. </w:t>
      </w:r>
      <w:bookmarkEnd w:id="14"/>
    </w:p>
    <w:p w14:paraId="73F1DA38" w14:textId="6A5129C6" w:rsidR="00473250" w:rsidRDefault="004746A5" w:rsidP="006647C3">
      <w:pPr>
        <w:pStyle w:val="AbstractSummary"/>
        <w:spacing w:line="480" w:lineRule="auto"/>
        <w:ind w:firstLine="720"/>
        <w:jc w:val="both"/>
      </w:pPr>
      <w:r>
        <w:t xml:space="preserve">The Langport Member contains nodular/laminated peloidal and </w:t>
      </w:r>
      <w:proofErr w:type="spellStart"/>
      <w:r>
        <w:t>microspar</w:t>
      </w:r>
      <w:proofErr w:type="spellEnd"/>
      <w:r>
        <w:t xml:space="preserve"> pale grey limestones</w:t>
      </w:r>
      <w:r w:rsidR="00A65C13">
        <w:t xml:space="preserve"> with</w:t>
      </w:r>
      <w:r>
        <w:t xml:space="preserve"> marine fossils return</w:t>
      </w:r>
      <w:r w:rsidR="00A65C13">
        <w:t>ing in</w:t>
      </w:r>
      <w:r>
        <w:t xml:space="preserve"> close</w:t>
      </w:r>
      <w:r w:rsidR="00A65C13">
        <w:t xml:space="preserve"> proximity</w:t>
      </w:r>
      <w:r>
        <w:t xml:space="preserve"> to a minor transgression event</w:t>
      </w:r>
      <w:r w:rsidR="00064E57">
        <w:t xml:space="preserve"> and termination of the initial CIE</w:t>
      </w:r>
      <w:r w:rsidR="00254C22">
        <w:t xml:space="preserve"> </w:t>
      </w:r>
      <w:r w:rsidR="00254C22">
        <w:fldChar w:fldCharType="begin" w:fldLock="1"/>
      </w:r>
      <w:r w:rsidR="00A249D1">
        <w:instrText xml:space="preserve">ADDIN CSL_CITATION {"citationItems":[{"id":"ITEM-1","itemData":{"DOI":"10.1073/pnas.1917661117","abstract":"The end-Triassic mass extinction that occurred </w:instrText>
      </w:r>
      <w:r w:rsidR="00A249D1">
        <w:rPr>
          <w:rFonts w:ascii="Cambria Math" w:hAnsi="Cambria Math" w:cs="Cambria Math"/>
        </w:rPr>
        <w:instrText>∼</w:instrText>
      </w:r>
      <w:r w:rsidR="00A249D1">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carbon","type":"article-journal","volume":"117"},"uris":["http://www.mendeley.com/documents/?uuid=42d5ad45-4ba0-4b12-940f-377c7823c015"]},{"id":"ITEM-2","itemData":{"DOI":"10.1144/0016-76492007-029","ISSN":"0016-7649","abstract":"A high-resolution palaeoecological study of the shelly invertebrate macrofauna across two marine Triassic–Jurassic boundary sections in the UK (St. Audrie's Bay and Lavernock Point) is presented. Loss of taxonomic richness occurs in the upper Westbury Formation to lower Lilstock Formation (late Rhaetian), but if sample size is taken into account there is little convincing evidence of a catastrophic marine extinction. There is, however, good evidence for significant palaeoecological change in the benthic marine ecosystem at this time. The immediate post-event recovery interval in the upper Lilstock Formation is characterized by assemblages of low abundance, low diversity, high dominance and low evenness. Body-sizes of taxa that survived the event and originated afterwards were low until the later Hettangian. Recovery to higher abundance, higher diversity and higher evenness is recorded in the Psiloceras planorbis Zone. Recovery of the benthic ecosystem in the aftermath of the Late Triassic event was disrupted by marine anoxia and shows additional similarities to the (much slower) recovery that followed the Late Permian event. The pattern of body-size changes recorded in the shelly fossil record closely matches that of the trace fossil record. Shell thickness trends do not support a biocalcification crisis during the Late Triassic biotic event.","author":[{"dropping-particle":"","family":"Mander","given":"Luke","non-dropping-particle":"","parse-names":false,"suffix":""},{"dropping-particle":"","family":"Twitchett","given":"Richard J","non-dropping-particle":"","parse-names":false,"suffix":""},{"dropping-particle":"","family":"Benton","given":"Michael J","non-dropping-particle":"","parse-names":false,"suffix":""}],"container-title":"Journal of the Geological Society","id":"ITEM-2","issue":"1","issued":{"date-parts":[["2008","1","1"]]},"page":"319-332","title":"Palaeoecology of the Late Triassic extinction event in the SW UK","type":"article-journal","volume":"165"},"uris":["http://www.mendeley.com/documents/?uuid=c05ef9d0-7426-4ff6-b6f6-a9841453e18b"]},{"id":"ITEM-3","itemData":{"DOI":"https://doi.org/10.1016/S0016-7878(08)80259-3","ISSN":"0016-7878","abstract":"The complex crises of the end-Triassic and Early Jurassic (Toarcian) mass extinctions are well recorded in the British Isles where they coincide with major palaeoenvironmental changes. The end-Triassic extinction occurs within the quasi-marine Lilstock Formation, the fauna of which is dominated by eurytopic bivalves. These suffered a major extinction event (77% of species), including all infaunal forms, within the basal beds of the Formation. This crisis slightly predates a series of environmental events that include, in ascending order, an intense phase of seismicity (the onset of Central Atlantic flood basalt volcanism?), sea-level fall and a negative δ13Corg spike. The extinction is linked most clearly (i.e. closest in timing) with regression and seismicity. A further sea-level fall is recorded at the top of the Formation, followed by transgression and the spread of anoxia. These events are not associated with any further bivalve losses although conodonts disappeared at this time. The link between extinction and oxygen-poor conditions is demonstrated better by the Toarcian crisis, when a bivalve extinction event (85% species loss) coincided with the onset of intense anoxia within the middle of the Semicelatum Subzone of the Yorkshire coast sections. However, these losses are part of several extinction pulses spread over more than a million years. These began earlier, at the Pliensbachian/Toarcian stage boundary when ammonites, brachiopods and ostracods all suffered losses coinciding with regression and cooling. However, the subsequent transgression saw a brief spread of marine anoxia (represented by the Sulphur Band in Yorkshire sections) that may also be implicated in the extinctions. Black shale deposition is extremely widespread in the British Toarcian record, with the remarkable exception of the Somerset and south Dorset areas where condensed, fully-oxygenated, deep-water conditions are recorded by the Leptaena Bed and ‘Junction Bed’. Even more remarkably, severe extinction losses (of brachiopods and ostracods) are recorded in this apparently benign depositional setting.","author":[{"dropping-particle":"","family":"Wignall","given":"Paul B","non-dropping-particle":"","parse-names":false,"suffix":""},{"dropping-particle":"","family":"Bond","given":"David P G","non-dropping-particle":"","parse-names":false,"suffix":""}],"container-title":"Proceedings of the Geologists' Association","id":"ITEM-3","issue":"1","issued":{"date-parts":[["2008"]]},"page":"73-84","title":"The end-Triassic and Early Jurassic mass extinction records in the British Isles","type":"article-journal","volume":"119"},"uris":["http://www.mendeley.com/documents/?uuid=22b810c3-bf9c-4c2e-a02d-e9ecc8acaf2c"]}],"mendeley":{"formattedCitation":"(Fox et al., 2020; Mander et al., 2008; Wignall and Bond, 2008)","plainTextFormattedCitation":"(Fox et al., 2020; Mander et al., 2008; Wignall and Bond, 2008)","previouslyFormattedCitation":"(Fox et al., 2020; Mander et al., 2008; Wignall and Bond, 2008)"},"properties":{"noteIndex":0},"schema":"https://github.com/citation-style-language/schema/raw/master/csl-citation.json"}</w:instrText>
      </w:r>
      <w:r w:rsidR="00254C22">
        <w:fldChar w:fldCharType="separate"/>
      </w:r>
      <w:r w:rsidR="00A249D1" w:rsidRPr="00A249D1">
        <w:rPr>
          <w:noProof/>
        </w:rPr>
        <w:t>(Fox et al., 2020; Mander et al., 2008; Wignall and Bond, 2008)</w:t>
      </w:r>
      <w:r w:rsidR="00254C22">
        <w:fldChar w:fldCharType="end"/>
      </w:r>
      <w:r>
        <w:t xml:space="preserve">. </w:t>
      </w:r>
      <w:bookmarkStart w:id="15" w:name="_Hlk93651243"/>
      <w:r w:rsidR="00687BFE">
        <w:t>In the SW UK, this</w:t>
      </w:r>
      <w:r w:rsidR="00906C3C">
        <w:t xml:space="preserve"> Member has been described as</w:t>
      </w:r>
      <w:r w:rsidR="00DF574B">
        <w:t xml:space="preserve"> representing </w:t>
      </w:r>
      <w:r w:rsidR="00A75365">
        <w:t>the</w:t>
      </w:r>
      <w:r w:rsidR="00DF574B">
        <w:t xml:space="preserve"> distal part of </w:t>
      </w:r>
      <w:r w:rsidR="006114C7">
        <w:t>a</w:t>
      </w:r>
      <w:r w:rsidR="00DF574B">
        <w:t xml:space="preserve"> carbonate ramp </w:t>
      </w:r>
      <w:r w:rsidR="00DF574B">
        <w:fldChar w:fldCharType="begin" w:fldLock="1"/>
      </w:r>
      <w:r w:rsidR="00A75365">
        <w:instrText>ADDIN CSL_CITATION {"citationItems":[{"id":"ITEM-1","itemData":{"DOI":"10.1144/0016-764903-033","ISSN":"0016-7649","abstract":"The Late Triassic to Early Jurassic aged succession of SW Britain (the Penarth and lower Lias Groups) comprises mudstone, sandstone and limestone strata deposited in a variety of marine to non-marine environments. Faunal and floral characteristics of these successions have led to the proposal that one location in SW England, St Audrie's Bay, should serve as the Global Stratotype Section and Point (GSSP) for the base of the Hettangian Stage and, thus, for the Triassic–Jurassic (Tr–J) boundary. The sections of SW Britain have also been used previously to infer sea-level change history and relate this to potential kill mechanisms associated with the Tr–J boundary mass extinction. Chemostratigraphic, biofacies and lithofacies data are used here to suggest alternative models of sea-level change in relation to possible Tr–J boundary horizons in the sections of SW Britain. A sea-level lowstand surface of erosion is inferred to occur within the Cotham Member of the Lilstock Formation, a unit deposited in an environment that was often subaerially exposed. In contrast to previous interpretations, the top surface of the overlying Langport Member (here inferred to be deposited on a carbonate ramp of depositional or tectonic origin) represents a drowning event of at least regional extent. All horizons regarded as plausible levels at which to place the Tr–J boundary based on fossil distributions lie within strata deposited during relative sea-level rise. However, it is doubtful whether the higher horizons proposed to mark the boundary faithfully record times of true biotic change on a global scale and, additionally, there is no positive evidence that sea-level fall had any relation to the genesis of proposed Tr–J marker horizons. It is unlikely that sea-level fall played a significant role in the Tr–J boundary extinctions in either a local or a global context.","author":[{"dropping-particle":"","family":"Hesselbo","given":"Stephen P","non-dropping-particle":"","parse-names":false,"suffix":""},{"dropping-particle":"","family":"Robinson","given":"Stuart A","non-dropping-particle":"","parse-names":false,"suffix":""},{"dropping-particle":"","family":"Surlyk","given":"Finn","non-dropping-particle":"","parse-names":false,"suffix":""}],"container-title":"Journal of the Geological Society","id":"ITEM-1","issue":"3","issued":{"date-parts":[["2004","5","1"]]},"page":"365-379","title":"Sea-level change and facies development across potential Triassic–Jurassic boundary horizons, SW Britain","type":"article-journal","volume":"161"},"uris":["http://www.mendeley.com/documents/?uuid=0c161847-107d-4486-b8ca-6a19f9c6d51a"]}],"mendeley":{"formattedCitation":"(Hesselbo et al., 2004)","plainTextFormattedCitation":"(Hesselbo et al., 2004)","previouslyFormattedCitation":"(Hesselbo et al., 2004)"},"properties":{"noteIndex":0},"schema":"https://github.com/citation-style-language/schema/raw/master/csl-citation.json"}</w:instrText>
      </w:r>
      <w:r w:rsidR="00DF574B">
        <w:fldChar w:fldCharType="separate"/>
      </w:r>
      <w:r w:rsidR="00DF574B" w:rsidRPr="00DF574B">
        <w:rPr>
          <w:noProof/>
        </w:rPr>
        <w:t>(Hesselbo et al., 2004)</w:t>
      </w:r>
      <w:r w:rsidR="00DF574B">
        <w:fldChar w:fldCharType="end"/>
      </w:r>
      <w:r w:rsidR="006114C7">
        <w:t xml:space="preserve">, </w:t>
      </w:r>
      <w:r w:rsidR="00687BFE">
        <w:t>or</w:t>
      </w:r>
      <w:r w:rsidR="006114C7">
        <w:t xml:space="preserve"> a warm</w:t>
      </w:r>
      <w:r w:rsidR="00A75365">
        <w:t>,</w:t>
      </w:r>
      <w:r w:rsidR="006114C7">
        <w:t xml:space="preserve"> shallow</w:t>
      </w:r>
      <w:r w:rsidR="00A75365">
        <w:t>, carbonate-rich</w:t>
      </w:r>
      <w:r w:rsidR="006114C7">
        <w:t xml:space="preserve"> lagoo</w:t>
      </w:r>
      <w:r w:rsidR="00A75365">
        <w:t xml:space="preserve">n </w:t>
      </w:r>
      <w:r w:rsidR="00A75365">
        <w:fldChar w:fldCharType="begin" w:fldLock="1"/>
      </w:r>
      <w:r w:rsidR="00473250">
        <w:instrText>ADDIN CSL_CITATION {"citationItems":[{"id":"ITEM-1","itemData":{"DOI":"https://doi.org/10.1016/j.palaeo.2004.07.018","ISSN":"0031-0182","abstract":"The St. Audrie's Bay section in west Somerset comprises the uppermost Mercia Mudstone Group, the Penarth Group and the basal Lias Group and includes a candidate Global Stratotype Section and Point for the base of the Jurassic. The magnetostratigraphy has been evaluated through 122 m of this section at 147 stratigraphic levels, which range in age from mid-Norian to earliest Hettangian. In red dolomitic mudstones, the remanence is carried predominantly by haematite, whereas in non-red lithologies, it is mostly carried by magnetite. The mean virtual geomagnetic poles fall near the mean Upper Triassic and Lower Jurassic apparent polar wander track and display the start of the northeast-directed track typical of the Jurassic. The magnetostratigraphy comprises nine major magnetozones, five of normal polarity and four reversed, together with several minor magnetozones. In the Mercia Mudstone Group, the 68 m of the Twyning Mudstone Formation examined includes three major normal magnetozones (SA2n, SA3n and SA4n) and the Blue Anchor Formation has predominantly reversed polarity (SA4r) except at its top, in the Williton Member. The Penarth Group and basal Lias Group have predominantly normal polarity (SA5 to SA6n) but short reversals occur within the Westbury Formation and at the base of the Lilstock Formation and the Lias Group (SA5r). This magnetostratigraphy is a good match with that found in the upper part of the Newark Supergroup succession in the eastern USA. The distinctive long reversal (SA4r) in the Blue Anchor Formation is equivalent to Newark Supergroup magnetozone interval E18r to E20r. Magnetozone SA5n, located mainly in the Penarth Group, probably equates with part of E22n and all of E23n in the Newark Supergroup. The reversed magnetozone, SA5r, at the base of the Lias Group, may correspond either with E23r in the Exeter Member (Passaic Formation) in the Newark Supergroup or with an undetected reverse polarity interval within the Newark Basin flood basalts. A change in the composition and diversity of terrestrial microfloras that occurs in the upper part of the Penarth Group at St. Audrie's Bay and elsewhere in the UK, is similar to that interpreted as marking the Triassic–Jurassic boundary in the Newark Supergroup. At St. Audrie's Bay, this change occurs c. 0.6 m below SA5r, within the Rhaetian, whereas in the Newark Supergroup, it occurs c. 20 m above the potentially equivalent E23r. Reconciliation of these disparities requires that either the mic…","author":[{"dropping-particle":"","family":"Hounslow","given":"Mark W","non-dropping-particle":"","parse-names":false,"suffix":""},{"dropping-particle":"","family":"Posen","given":"Paulette E","non-dropping-particle":"","parse-names":false,"suffix":""},{"dropping-particle":"","family":"Warrington","given":"Geoffrey","non-dropping-particle":"","parse-names":false,"suffix":""}],"container-title":"Palaeogeography, Palaeoclimatology, Palaeoecology","id":"ITEM-1","issue":"3","issued":{"date-parts":[["2004"]]},"page":"331-358","title":"Magnetostratigraphy and biostratigraphy of the Upper Triassic and lowermost Jurassic succession, St. Audrie's Bay, UK","type":"article-journal","volume":"213"},"uris":["http://www.mendeley.com/documents/?uuid=c6203b34-5a01-4b8b-9c71-dd405bb918ec"]}],"mendeley":{"formattedCitation":"(Hounslow et al., 2004)","plainTextFormattedCitation":"(Hounslow et al., 2004)","previouslyFormattedCitation":"(Hounslow et al., 2004)"},"properties":{"noteIndex":0},"schema":"https://github.com/citation-style-language/schema/raw/master/csl-citation.json"}</w:instrText>
      </w:r>
      <w:r w:rsidR="00A75365">
        <w:fldChar w:fldCharType="separate"/>
      </w:r>
      <w:r w:rsidR="00A75365" w:rsidRPr="00A75365">
        <w:rPr>
          <w:noProof/>
        </w:rPr>
        <w:t>(Hounslow et al., 2004)</w:t>
      </w:r>
      <w:r w:rsidR="00A75365">
        <w:fldChar w:fldCharType="end"/>
      </w:r>
      <w:r w:rsidR="00540405">
        <w:t xml:space="preserve"> punctuating more humid condi</w:t>
      </w:r>
      <w:r w:rsidR="006647C3">
        <w:t>ti</w:t>
      </w:r>
      <w:r w:rsidR="00540405">
        <w:t xml:space="preserve">ons with increased aridity </w:t>
      </w:r>
      <w:r w:rsidR="00540405">
        <w:fldChar w:fldCharType="begin" w:fldLock="1"/>
      </w:r>
      <w:r w:rsidR="009A256E">
        <w:instrText>ADDIN CSL_CITATION {"citationItems":[{"id":"ITEM-1","itemData":{"DOI":"https://doi.org/10.1016/S0016-7878(08)80259-3","ISSN":"0016-7878","abstract":"The complex crises of the end-Triassic and Early Jurassic (Toarcian) mass extinctions are well recorded in the British Isles where they coincide with major palaeoenvironmental changes. The end-Triassic extinction occurs within the quasi-marine Lilstock Formation, the fauna of which is dominated by eurytopic bivalves. These suffered a major extinction event (77% of species), including all infaunal forms, within the basal beds of the Formation. This crisis slightly predates a series of environmental events that include, in ascending order, an intense phase of seismicity (the onset of Central Atlantic flood basalt volcanism?), sea-level fall and a negative δ13Corg spike. The extinction is linked most clearly (i.e. closest in timing) with regression and seismicity. A further sea-level fall is recorded at the top of the Formation, followed by transgression and the spread of anoxia. These events are not associated with any further bivalve losses although conodonts disappeared at this time. The link between extinction and oxygen-poor conditions is demonstrated better by the Toarcian crisis, when a bivalve extinction event (85% species loss) coincided with the onset of intense anoxia within the middle of the Semicelatum Subzone of the Yorkshire coast sections. However, these losses are part of several extinction pulses spread over more than a million years. These began earlier, at the Pliensbachian/Toarcian stage boundary when ammonites, brachiopods and ostracods all suffered losses coinciding with regression and cooling. However, the subsequent transgression saw a brief spread of marine anoxia (represented by the Sulphur Band in Yorkshire sections) that may also be implicated in the extinctions. Black shale deposition is extremely widespread in the British Toarcian record, with the remarkable exception of the Somerset and south Dorset areas where condensed, fully-oxygenated, deep-water conditions are recorded by the Leptaena Bed and ‘Junction Bed’. Even more remarkably, severe extinction losses (of brachiopods and ostracods) are recorded in this apparently benign depositional setting.","author":[{"dropping-particle":"","family":"Wignall","given":"Paul B","non-dropping-particle":"","parse-names":false,"suffix":""},{"dropping-particle":"","family":"Bond","given":"David P G","non-dropping-particle":"","parse-names":false,"suffix":""}],"container-title":"Proceedings of the Geologists' Association","id":"ITEM-1","issue":"1","issued":{"date-parts":[["2008"]]},"page":"73-84","title":"The end-Triassic and Early Jurassic mass extinction records in the British Isles","type":"article-journal","volume":"119"},"uris":["http://www.mendeley.com/documents/?uuid=22b810c3-bf9c-4c2e-a02d-e9ecc8acaf2c"]}],"mendeley":{"formattedCitation":"(Wignall and Bond, 2008)","plainTextFormattedCitation":"(Wignall and Bond, 2008)","previouslyFormattedCitation":"(Wignall and Bond, 2008)"},"properties":{"noteIndex":0},"schema":"https://github.com/citation-style-language/schema/raw/master/csl-citation.json"}</w:instrText>
      </w:r>
      <w:r w:rsidR="00540405">
        <w:fldChar w:fldCharType="separate"/>
      </w:r>
      <w:r w:rsidR="00540405" w:rsidRPr="00540405">
        <w:rPr>
          <w:noProof/>
        </w:rPr>
        <w:t>(Wignall and Bond, 2008)</w:t>
      </w:r>
      <w:r w:rsidR="00540405">
        <w:fldChar w:fldCharType="end"/>
      </w:r>
      <w:r w:rsidR="00A75365">
        <w:t xml:space="preserve">. </w:t>
      </w:r>
      <w:bookmarkEnd w:id="15"/>
      <w:r w:rsidR="00A75365">
        <w:t xml:space="preserve">Biomarkers of microbial mat containing organisms, </w:t>
      </w:r>
      <w:r>
        <w:t xml:space="preserve">laminar and thrombolytic stromatolites, and an absence of metazoans are evidenced within the Cotham and Langport members during the initial CIE supporting the formation of microbial mats that likely accounts for the </w:t>
      </w:r>
      <w:r w:rsidR="009F00C8">
        <w:t>initial CIE</w:t>
      </w:r>
      <w:r w:rsidR="00254C22">
        <w:t xml:space="preserve"> </w:t>
      </w:r>
      <w:r w:rsidR="00254C22">
        <w:fldChar w:fldCharType="begin" w:fldLock="1"/>
      </w:r>
      <w:r w:rsidR="003C6C40">
        <w:instrText xml:space="preserve">ADDIN CSL_CITATION {"citationItems":[{"id":"ITEM-1","itemData":{"DOI":"10.1073/pnas.1917661117","abstract":"The end-Triassic mass extinction that occurred </w:instrText>
      </w:r>
      <w:r w:rsidR="003C6C40">
        <w:rPr>
          <w:rFonts w:ascii="Cambria Math" w:hAnsi="Cambria Math" w:cs="Cambria Math"/>
        </w:rPr>
        <w:instrText>∼</w:instrText>
      </w:r>
      <w:r w:rsidR="003C6C40">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carbon","type":"article-journal","volume":"117"},"uris":["http://www.mendeley.com/documents/?uuid=42d5ad45-4ba0-4b12-940f-377c7823c015"]}],"mendeley":{"formattedCitation":"(Fox et al., 2020)","manualFormatting":"(Fox et al., 2020 and refs therein)","plainTextFormattedCitation":"(Fox et al., 2020)","previouslyFormattedCitation":"(Fox et al., 2020)"},"properties":{"noteIndex":0},"schema":"https://github.com/citation-style-language/schema/raw/master/csl-citation.json"}</w:instrText>
      </w:r>
      <w:r w:rsidR="00254C22">
        <w:fldChar w:fldCharType="separate"/>
      </w:r>
      <w:r w:rsidR="00AF066C" w:rsidRPr="00AF066C">
        <w:rPr>
          <w:noProof/>
        </w:rPr>
        <w:t>(Fox et al., 2020</w:t>
      </w:r>
      <w:r w:rsidR="003C6C40">
        <w:rPr>
          <w:noProof/>
        </w:rPr>
        <w:t xml:space="preserve"> and refs therein</w:t>
      </w:r>
      <w:r w:rsidR="0048079F">
        <w:rPr>
          <w:noProof/>
        </w:rPr>
        <w:t>)</w:t>
      </w:r>
      <w:r w:rsidR="00254C22">
        <w:fldChar w:fldCharType="end"/>
      </w:r>
      <w:r>
        <w:t xml:space="preserve">. The initial CIE and apparent “dead zone” is </w:t>
      </w:r>
      <w:r w:rsidR="0001579C">
        <w:t xml:space="preserve">purported </w:t>
      </w:r>
      <w:r>
        <w:t>to mark the extinction horizon</w:t>
      </w:r>
      <w:r w:rsidR="008E3A6F">
        <w:t xml:space="preserve"> </w:t>
      </w:r>
      <w:r w:rsidR="008E3A6F">
        <w:fldChar w:fldCharType="begin" w:fldLock="1"/>
      </w:r>
      <w:r w:rsidR="00A249D1">
        <w:instrText>ADDIN CSL_CITATION {"citationItems":[{"id":"ITEM-1","itemData":{"DOI":"10.1144/0016-76492007-029","ISSN":"0016-7649","abstract":"A high-resolution palaeoecological study of the shelly invertebrate macrofauna across two marine Triassic–Jurassic boundary sections in the UK (St. Audrie's Bay and Lavernock Point) is presented. Loss of taxonomic richness occurs in the upper Westbury Formation to lower Lilstock Formation (late Rhaetian), but if sample size is taken into account there is little convincing evidence of a catastrophic marine extinction. There is, however, good evidence for significant palaeoecological change in the benthic marine ecosystem at this time. The immediate post-event recovery interval in the upper Lilstock Formation is characterized by assemblages of low abundance, low diversity, high dominance and low evenness. Body-sizes of taxa that survived the event and originated afterwards were low until the later Hettangian. Recovery to higher abundance, higher diversity and higher evenness is recorded in the Psiloceras planorbis Zone. Recovery of the benthic ecosystem in the aftermath of the Late Triassic event was disrupted by marine anoxia and shows additional similarities to the (much slower) recovery that followed the Late Permian event. The pattern of body-size changes recorded in the shelly fossil record closely matches that of the trace fossil record. Shell thickness trends do not support a biocalcification crisis during the Late Triassic biotic event.","author":[{"dropping-particle":"","family":"Mander","given":"Luke","non-dropping-particle":"","parse-names":false,"suffix":""},{"dropping-particle":"","family":"Twitchett","given":"Richard J","non-dropping-particle":"","parse-names":false,"suffix":""},{"dropping-particle":"","family":"Benton","given":"Michael J","non-dropping-particle":"","parse-names":false,"suffix":""}],"container-title":"Journal of the Geological Society","id":"ITEM-1","issue":"1","issued":{"date-parts":[["2008","1","1"]]},"page":"319-332","title":"Palaeoecology of the Late Triassic extinction event in the SW UK","type":"article-journal","volume":"165"},"uris":["http://www.mendeley.com/documents/?uuid=c05ef9d0-7426-4ff6-b6f6-a9841453e18b"]}],"mendeley":{"formattedCitation":"(Mander et al., 2008)","plainTextFormattedCitation":"(Mander et al., 2008)","previouslyFormattedCitation":"(Mander et al., 2008)"},"properties":{"noteIndex":0},"schema":"https://github.com/citation-style-language/schema/raw/master/csl-citation.json"}</w:instrText>
      </w:r>
      <w:r w:rsidR="008E3A6F">
        <w:fldChar w:fldCharType="separate"/>
      </w:r>
      <w:r w:rsidR="00A249D1" w:rsidRPr="00A249D1">
        <w:rPr>
          <w:noProof/>
        </w:rPr>
        <w:t>(Mander et al., 2008)</w:t>
      </w:r>
      <w:r w:rsidR="008E3A6F">
        <w:fldChar w:fldCharType="end"/>
      </w:r>
      <w:r>
        <w:t xml:space="preserve">. However, lack of marine biota at this interval is simply explained by </w:t>
      </w:r>
      <w:r w:rsidR="00F024AE">
        <w:t xml:space="preserve">low </w:t>
      </w:r>
      <w:r>
        <w:t xml:space="preserve">water depth and </w:t>
      </w:r>
      <w:r w:rsidR="00F024AE">
        <w:t xml:space="preserve">low </w:t>
      </w:r>
      <w:r>
        <w:t>salinity.</w:t>
      </w:r>
    </w:p>
    <w:p w14:paraId="51FC91DA" w14:textId="1DF27C63" w:rsidR="002749EC" w:rsidRDefault="002749EC" w:rsidP="00A75365">
      <w:pPr>
        <w:pStyle w:val="AbstractSummary"/>
        <w:spacing w:line="480" w:lineRule="auto"/>
        <w:ind w:firstLine="720"/>
        <w:jc w:val="both"/>
      </w:pPr>
      <w:r>
        <w:t xml:space="preserve">The transition from the </w:t>
      </w:r>
      <w:r w:rsidR="00744187">
        <w:t>Langport</w:t>
      </w:r>
      <w:r>
        <w:t xml:space="preserve"> Member to the Blue Lias Formation </w:t>
      </w:r>
      <w:r w:rsidR="004746A5">
        <w:t>is marked by a</w:t>
      </w:r>
      <w:r>
        <w:t xml:space="preserve"> flooding event, in which marine water quickly became stratified,</w:t>
      </w:r>
      <w:r w:rsidR="00473250">
        <w:t xml:space="preserve"> anoxic,</w:t>
      </w:r>
      <w:r>
        <w:t xml:space="preserve"> euxinic and acidic</w:t>
      </w:r>
      <w:r w:rsidR="00285947">
        <w:t xml:space="preserve"> </w:t>
      </w:r>
      <w:r w:rsidR="008E3A6F">
        <w:fldChar w:fldCharType="begin" w:fldLock="1"/>
      </w:r>
      <w:r w:rsidR="006709EF">
        <w:instrText>ADDIN CSL_CITATION {"citationItems":[{"id":"ITEM-1","itemData":{"DOI":"10.1130/G49560.1","abstract":"High-resolution biomarker and compound-specific isotope distributions coupled with the degradation of calcareous fossil remnants reveal that intensive euxinia and decalcification (acidification) driven by Central Atlantic magmatic province (CAMP) activity formed a two-pronged kill mechanism at the end-Triassic mass extinction. In a newly proposed extinction interval for the basal Blue Lias Formation (Bristol Channel Basin, UK), biomarker distributions reveal an episode of persistent photic zone euxinia (PZE) that extended further upward into the surface waters. In the same interval, shelly taxa almost completely disappear. Beginning in the basal paper shales of the Blue Lias Formation, a Lilliput assemblage is preserved consisting of only rare calcitic oysters (Liostrea) and ghost fossils of decalcified aragonitic bivalves. The stressors of PZE and decalcification parsimoniously explain the extinction event and inform possible combined causes of other biotic crises linked to emplacement of large igneous provinces, notably the end-Permian mass extinction, when PZE occurred on a broad and perhaps global scale.","author":[{"dropping-particle":"","family":"Fox","given":"C. P.","non-dropping-particle":"","parse-names":false,"suffix":""},{"dropping-particle":"","family":"Whiteside","given":"Jessica H.","non-dropping-particle":"","parse-names":false,"suffix":""},{"dropping-particle":"","family":"Olsen","given":"Paul E.","non-dropping-particle":"","parse-names":false,"suffix":""},{"dropping-particle":"","family":"Cui","given":"Xingqian","non-dropping-particle":"","parse-names":false,"suffix":""},{"dropping-particle":"","family":"Summons","given":"Roger E.","non-dropping-particle":"","parse-names":false,"suffix":""},{"dropping-particle":"","family":"Idiz","given":"Erdem","non-dropping-particle":"","parse-names":false,"suffix":""},{"dropping-particle":"","family":"Grice","given":"Kliti","non-dropping-particle":"","parse-names":false,"suffix":""}],"container-title":"Geology","id":"ITEM-1","issued":{"date-parts":[["2022"]]},"title":"Two-pronged kill mechanism at the end-Triassic mass extinction","type":"article-journal"},"uris":["http://www.mendeley.com/documents/?uuid=037261d0-5628-4849-be97-7b88b33548f2"]}],"mendeley":{"formattedCitation":"(Fox et al., 2022)","plainTextFormattedCitation":"(Fox et al., 2022)","previouslyFormattedCitation":"(Fox et al., 2022)"},"properties":{"noteIndex":0},"schema":"https://github.com/citation-style-language/schema/raw/master/csl-citation.json"}</w:instrText>
      </w:r>
      <w:r w:rsidR="008E3A6F">
        <w:fldChar w:fldCharType="separate"/>
      </w:r>
      <w:r w:rsidR="00184130" w:rsidRPr="00184130">
        <w:rPr>
          <w:noProof/>
        </w:rPr>
        <w:t>(Fox et al., 2022)</w:t>
      </w:r>
      <w:r w:rsidR="008E3A6F">
        <w:fldChar w:fldCharType="end"/>
      </w:r>
      <w:r>
        <w:t>, and</w:t>
      </w:r>
      <w:r w:rsidR="004746A5">
        <w:t xml:space="preserve"> shift to organic</w:t>
      </w:r>
      <w:r w:rsidR="00A65C13">
        <w:t xml:space="preserve">-matter </w:t>
      </w:r>
      <w:r w:rsidR="004746A5">
        <w:t xml:space="preserve">rich </w:t>
      </w:r>
      <w:r>
        <w:t>highly lithified</w:t>
      </w:r>
      <w:r w:rsidR="004746A5">
        <w:t xml:space="preserve"> black shales</w:t>
      </w:r>
      <w:r>
        <w:t>, termed the paper shales.</w:t>
      </w:r>
      <w:r w:rsidR="00473250">
        <w:t xml:space="preserve"> Better placement for the extinction horizon is within the very basal Blue Lias Formation coincident with a Lilliput assemblage of bivalves, last occurrences of conodonts and the reptile clade </w:t>
      </w:r>
      <w:proofErr w:type="spellStart"/>
      <w:r w:rsidR="00473250">
        <w:t>Phytosauria</w:t>
      </w:r>
      <w:proofErr w:type="spellEnd"/>
      <w:r w:rsidR="00473250">
        <w:t xml:space="preserve"> </w:t>
      </w:r>
      <w:r w:rsidR="00473250">
        <w:fldChar w:fldCharType="begin" w:fldLock="1"/>
      </w:r>
      <w:r w:rsidR="00473250">
        <w:instrText xml:space="preserve">ADDIN CSL_CITATION {"citationItems":[{"id":"ITEM-1","itemData":{"DOI":"10.1073/pnas.1917661117","abstract":"The end-Triassic mass extinction that occurred </w:instrText>
      </w:r>
      <w:r w:rsidR="00473250">
        <w:rPr>
          <w:rFonts w:ascii="Cambria Math" w:hAnsi="Cambria Math" w:cs="Cambria Math"/>
        </w:rPr>
        <w:instrText>∼</w:instrText>
      </w:r>
      <w:r w:rsidR="00473250">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carbon","type":"article-journal","volume":"117"},"uris":["http://www.mendeley.com/documents/?uuid=42d5ad45-4ba0-4b12-940f-377c7823c015"]},{"id":"ITEM-2","itemData":{"DOI":"10.1016/j.earscirev.2020.103282","ISSN":"00128252","abstract":"The end-Triassic mass extinction was one of the big five crises of the fossil record. It affected diverse marine groups, including bivalves, brachiopods, ostracods, calcareous algae, radiolarians, and tetrapods and coincided with major changes in palynological assemblages. The rapidity of the event has long been debated and here we show that it can be resolved into two distinct, short-lived extinction pulses separated by a several hundred-thousand-year interlude phase. Detailed collecting in the British Isles shows the first extinction in the lower Cotham Member eliminated many bivalves and ostracods. This event has been previously considered as the end-Triassic mass extinction horizon, however a second extinction is also seen at the top of the Langport Member after a phase of recovery marked by diversity increase. This younger crisis caused the loss of further bivalves, ostracods and the last of the conodonts. The two phases of marine extinctions coincide with marked turnovers amongst palynofloral assemblages with the interlude phase manifest as a fern spore-dominated interval (the Polypodiisporites polymicroforatus abundance interval). Correlation of Triassic-Jurassic boundary sections (and their associated extinction record) in Europe has been controversial. The most parsimonious correlation scheme assumes that a brief, high amplitude negative excursion of δ13Corg values, seen at the level of the first extinction phase in the UK, is manifest in other European sections in the same way. Alternative correlation schemes require complex scenarios with extinction occurring in some areas as recovery is happening elsewhere. In Europe, the first extinction coincides with regression whilst the second occurs at a flooding surface marked by the spread of anoxia. The extinction history of the terminal Triassic crisis is remarkably similar to that seen during other extinction events (end-Ordovician, Permo-Triassic, Toarcian) and suggests that, if the ultimate driver of these crises – large igneous province eruptions – is the same, then they show the same “double-punch” eruption history separated by a more benign interval of a few hundred-thousand-year duration.","author":[{"dropping-particle":"","family":"Wignall","given":"Paul B.","non-dropping-particle":"","parse-names":false,"suffix":""},{"dropping-particle":"","family":"Atkinson","given":"Jed W.","non-dropping-particle":"","parse-names":false,"suffix":""}],"container-title":"Earth-Science Reviews","id":"ITEM-2","issued":{"date-parts":[["2020"]]},"page":"103282","publisher":"Elsevier","title":"A two-phase end-Triassic mass extinction","type":"article-journal","volume":"208"},"uris":["http://www.mendeley.com/documents/?uuid=c84473ad-6100-4a63-a231-2dc81779c26a"]}],"mendeley":{"formattedCitation":"(Fox et al., 2020; Wignall and Atkinson, 2020)","plainTextFormattedCitation":"(Fox et al., 2020; Wignall and Atkinson, 2020)","previouslyFormattedCitation":"(Fox et al., 2020; Wignall and Atkinson, 2020)"},"properties":{"noteIndex":0},"schema":"https://github.com/citation-style-language/schema/raw/master/csl-citation.json"}</w:instrText>
      </w:r>
      <w:r w:rsidR="00473250">
        <w:fldChar w:fldCharType="separate"/>
      </w:r>
      <w:r w:rsidR="00473250" w:rsidRPr="00473250">
        <w:rPr>
          <w:noProof/>
        </w:rPr>
        <w:t>(Fox et al., 2020; Wignall and Atkinson, 2020)</w:t>
      </w:r>
      <w:r w:rsidR="00473250">
        <w:fldChar w:fldCharType="end"/>
      </w:r>
      <w:r w:rsidR="00473250">
        <w:t>, and the strongest evidence of CAMP-driven environmental perturbations</w:t>
      </w:r>
      <w:r w:rsidR="006647C3">
        <w:t xml:space="preserve"> </w:t>
      </w:r>
      <w:r w:rsidR="00473250">
        <w:fldChar w:fldCharType="begin" w:fldLock="1"/>
      </w:r>
      <w:r w:rsidR="00947CBE">
        <w:instrText>ADDIN CSL_CITATION {"citationItems":[{"id":"ITEM-1","itemData":{"DOI":"10.1130/G49560.1","abstract":"High-resolution biomarker and compound-specific isotope distributions coupled with the degradation of calcareous fossil remnants reveal that intensive euxinia and decalcification (acidification) driven by Central Atlantic magmatic province (CAMP) activity formed a two-pronged kill mechanism at the end-Triassic mass extinction. In a newly proposed extinction interval for the basal Blue Lias Formation (Bristol Channel Basin, UK), biomarker distributions reveal an episode of persistent photic zone euxinia (PZE) that extended further upward into the surface waters. In the same interval, shelly taxa almost completely disappear. Beginning in the basal paper shales of the Blue Lias Formation, a Lilliput assemblage is preserved consisting of only rare calcitic oysters (Liostrea) and ghost fossils of decalcified aragonitic bivalves. The stressors of PZE and decalcification parsimoniously explain the extinction event and inform possible combined causes of other biotic crises linked to emplacement of large igneous provinces, notably the end-Permian mass extinction, when PZE occurred on a broad and perhaps global scale.","author":[{"dropping-particle":"","family":"Fox","given":"C. P.","non-dropping-particle":"","parse-names":false,"suffix":""},{"dropping-particle":"","family":"Whiteside","given":"Jessica H.","non-dropping-particle":"","parse-names":false,"suffix":""},{"dropping-particle":"","family":"Olsen","given":"Paul E.","non-dropping-particle":"","parse-names":false,"suffix":""},{"dropping-particle":"","family":"Cui","given":"Xingqian","non-dropping-particle":"","parse-names":false,"suffix":""},{"dropping-particle":"","family":"Summons","given":"Roger E.","non-dropping-particle":"","parse-names":false,"suffix":""},{"dropping-particle":"","family":"Idiz","given":"Erdem","non-dropping-particle":"","parse-names":false,"suffix":""},{"dropping-particle":"","family":"Grice","given":"Kliti","non-dropping-particle":"","parse-names":false,"suffix":""}],"container-title":"Geology","id":"ITEM-1","issued":{"date-parts":[["2022"]]},"title":"Two-pronged kill mechanism at the end-Triassic mass extinction","type":"article-journal"},"uris":["http://www.mendeley.com/documents/?uuid=037261d0-5628-4849-be97-7b88b33548f2"]},{"id":"ITEM-2","itemData":{"DOI":"https://doi.org/10.1016/j.palaeo.2021.110680","author":[{"dropping-particle":"","family":"Beith","given":"S. J.","non-dropping-particle":"","parse-names":false,"suffix":""},{"dropping-particle":"","family":"Fox","given":"Calum P","non-dropping-particle":"","parse-names":false,"suffix":""},{"dropping-particle":"","family":"Marshall","given":"John E. A.","non-dropping-particle":"","parse-names":false,"suffix":""},{"dropping-particle":"","family":"Whiteside","given":"Jessica H.","non-dropping-particle":"","parse-names":false,"suffix":""}],"container-title":"Palaeogeography, Palaeoclimatology, Palaeoecology (in press)","id":"ITEM-2","issued":{"date-parts":[["2021"]]},"page":"110680","title":"Recurring photic zone euxinia in the nrthwest Tethys impinged end-Triassic recovery","type":"article-journal","volume":"584"},"uris":["http://www.mendeley.com/documents/?uuid=565f65c8-b0ec-4b26-97d0-76904e1fe01f"]}],"mendeley":{"formattedCitation":"(Beith et al., 2021; Fox et al., 2022)","manualFormatting":"(Beith et al., 2021; and refs therein Fox et al., 2022)","plainTextFormattedCitation":"(Beith et al., 2021; Fox et al., 2022)","previouslyFormattedCitation":"(Beith et al., 2021; Fox et al., 2022)"},"properties":{"noteIndex":0},"schema":"https://github.com/citation-style-language/schema/raw/master/csl-citation.json"}</w:instrText>
      </w:r>
      <w:r w:rsidR="00473250">
        <w:fldChar w:fldCharType="separate"/>
      </w:r>
      <w:r w:rsidR="00A06EF8" w:rsidRPr="00A06EF8">
        <w:rPr>
          <w:noProof/>
        </w:rPr>
        <w:t>(Beith et al., 2021;</w:t>
      </w:r>
      <w:r w:rsidR="00A06EF8">
        <w:rPr>
          <w:noProof/>
        </w:rPr>
        <w:t xml:space="preserve"> and refs therein</w:t>
      </w:r>
      <w:r w:rsidR="00A06EF8" w:rsidRPr="00A06EF8">
        <w:rPr>
          <w:noProof/>
        </w:rPr>
        <w:t xml:space="preserve"> Fox et al., 2022)</w:t>
      </w:r>
      <w:r w:rsidR="00473250">
        <w:fldChar w:fldCharType="end"/>
      </w:r>
      <w:r w:rsidR="00473250">
        <w:t xml:space="preserve">. </w:t>
      </w:r>
      <w:bookmarkStart w:id="16" w:name="_Hlk93651298"/>
      <w:proofErr w:type="gramStart"/>
      <w:r w:rsidR="00473250">
        <w:t xml:space="preserve">This </w:t>
      </w:r>
      <w:r w:rsidR="00473250">
        <w:lastRenderedPageBreak/>
        <w:t>portion of the Blue Lias Formation,</w:t>
      </w:r>
      <w:proofErr w:type="gramEnd"/>
      <w:r w:rsidR="00473250">
        <w:t xml:space="preserve"> is at least 10s of meters preventing influence of wave action on bottom waters.</w:t>
      </w:r>
      <w:bookmarkEnd w:id="16"/>
    </w:p>
    <w:p w14:paraId="0FB49024" w14:textId="1246A4A5" w:rsidR="004746A5" w:rsidRDefault="00CA3118" w:rsidP="009F00C8">
      <w:pPr>
        <w:pStyle w:val="AbstractSummary"/>
        <w:spacing w:line="480" w:lineRule="auto"/>
        <w:ind w:firstLine="720"/>
        <w:jc w:val="both"/>
      </w:pPr>
      <w:r>
        <w:t>In this study, s</w:t>
      </w:r>
      <w:r w:rsidR="008A592B">
        <w:t xml:space="preserve">amples from St. Audrie’s Bay </w:t>
      </w:r>
      <w:r w:rsidR="002749EC">
        <w:t xml:space="preserve">span the upper </w:t>
      </w:r>
      <w:r w:rsidR="00042EE1">
        <w:t xml:space="preserve">two </w:t>
      </w:r>
      <w:r w:rsidR="002749EC">
        <w:t>meter</w:t>
      </w:r>
      <w:r w:rsidR="008A592B">
        <w:t>s of the Westbury Formation, through Cotham and Langport members to the very base of the Blue Lias Formation</w:t>
      </w:r>
      <w:r>
        <w:t xml:space="preserve"> and s</w:t>
      </w:r>
      <w:r w:rsidR="008A592B">
        <w:t>amples from Lilstock begin at the very top of the Westbury Formation, continue through the Cotham and Langport members</w:t>
      </w:r>
      <w:r>
        <w:t>,</w:t>
      </w:r>
      <w:r w:rsidR="008A592B">
        <w:t xml:space="preserve"> and the lower 1.2 meters of the Blue Lias Formation. </w:t>
      </w:r>
    </w:p>
    <w:bookmarkEnd w:id="11"/>
    <w:p w14:paraId="1D0A7B84" w14:textId="77777777" w:rsidR="004746A5" w:rsidRDefault="004746A5" w:rsidP="004746A5">
      <w:pPr>
        <w:pStyle w:val="AbstractSummary"/>
        <w:spacing w:line="480" w:lineRule="auto"/>
        <w:jc w:val="both"/>
      </w:pPr>
    </w:p>
    <w:p w14:paraId="3631378B" w14:textId="77777777" w:rsidR="004746A5" w:rsidRPr="008B481D" w:rsidRDefault="004746A5" w:rsidP="004746A5">
      <w:pPr>
        <w:pStyle w:val="AbstractSummary"/>
        <w:numPr>
          <w:ilvl w:val="0"/>
          <w:numId w:val="1"/>
        </w:numPr>
        <w:spacing w:line="480" w:lineRule="auto"/>
        <w:jc w:val="both"/>
        <w:rPr>
          <w:b/>
        </w:rPr>
      </w:pPr>
      <w:r w:rsidRPr="008B481D">
        <w:rPr>
          <w:b/>
        </w:rPr>
        <w:t>Analytical methods</w:t>
      </w:r>
    </w:p>
    <w:p w14:paraId="192C9901" w14:textId="0C2F5770" w:rsidR="004746A5" w:rsidRDefault="004746A5" w:rsidP="004746A5">
      <w:pPr>
        <w:pStyle w:val="AbstractSummary"/>
        <w:numPr>
          <w:ilvl w:val="1"/>
          <w:numId w:val="1"/>
        </w:numPr>
        <w:spacing w:line="480" w:lineRule="auto"/>
        <w:jc w:val="both"/>
        <w:rPr>
          <w:i/>
        </w:rPr>
      </w:pPr>
      <w:r w:rsidRPr="00877D53">
        <w:rPr>
          <w:i/>
        </w:rPr>
        <w:t>Sample preparation</w:t>
      </w:r>
      <w:r>
        <w:rPr>
          <w:i/>
        </w:rPr>
        <w:t>,</w:t>
      </w:r>
      <w:r w:rsidRPr="00877D53">
        <w:rPr>
          <w:i/>
        </w:rPr>
        <w:t xml:space="preserve"> separation</w:t>
      </w:r>
      <w:r w:rsidR="00BC4844">
        <w:rPr>
          <w:i/>
        </w:rPr>
        <w:t>,</w:t>
      </w:r>
      <w:r>
        <w:rPr>
          <w:i/>
        </w:rPr>
        <w:t xml:space="preserve"> Gas Chromatography-Mass Spectrometry (GC-MS)</w:t>
      </w:r>
      <w:r w:rsidR="00BC4844">
        <w:rPr>
          <w:i/>
        </w:rPr>
        <w:t xml:space="preserve"> and GC-Isotope Ratio Mass Spectrome</w:t>
      </w:r>
      <w:r w:rsidR="00042EE1">
        <w:rPr>
          <w:i/>
        </w:rPr>
        <w:t>t</w:t>
      </w:r>
      <w:r w:rsidR="00BC4844">
        <w:rPr>
          <w:i/>
        </w:rPr>
        <w:t>ry (GC-IRMS)</w:t>
      </w:r>
      <w:r>
        <w:rPr>
          <w:i/>
        </w:rPr>
        <w:t xml:space="preserve"> analysis</w:t>
      </w:r>
    </w:p>
    <w:p w14:paraId="5EF6761B" w14:textId="5A56D2CE" w:rsidR="004746A5" w:rsidRDefault="004F1D26" w:rsidP="0014005C">
      <w:pPr>
        <w:pStyle w:val="AbstractSummary"/>
        <w:spacing w:line="480" w:lineRule="auto"/>
        <w:ind w:firstLine="360"/>
        <w:jc w:val="both"/>
      </w:pPr>
      <w:bookmarkStart w:id="17" w:name="_Hlk92116777"/>
      <w:bookmarkStart w:id="18" w:name="_Hlk93651390"/>
      <w:r>
        <w:t>Sediment/rock s</w:t>
      </w:r>
      <w:r w:rsidR="004746A5">
        <w:t>amples</w:t>
      </w:r>
      <w:r>
        <w:t xml:space="preserve"> weighing more than ~100g were</w:t>
      </w:r>
      <w:r w:rsidR="004746A5">
        <w:t xml:space="preserve"> collected</w:t>
      </w:r>
      <w:r w:rsidR="007E27C9">
        <w:t xml:space="preserve"> </w:t>
      </w:r>
      <w:r w:rsidR="004F58CE">
        <w:t xml:space="preserve">at ~10 cm intervals </w:t>
      </w:r>
      <w:r w:rsidR="007E27C9">
        <w:t>using a rock hammer</w:t>
      </w:r>
      <w:r w:rsidR="004746A5">
        <w:t xml:space="preserve"> from outcrops at St. Audrie’s Bay</w:t>
      </w:r>
      <w:r w:rsidR="0082751C">
        <w:t xml:space="preserve"> (</w:t>
      </w:r>
      <w:r w:rsidR="009153EB">
        <w:t>55</w:t>
      </w:r>
      <w:r w:rsidR="0082751C">
        <w:t xml:space="preserve"> samples)</w:t>
      </w:r>
      <w:r w:rsidR="004746A5">
        <w:t xml:space="preserve"> and Lilstock</w:t>
      </w:r>
      <w:r w:rsidR="0082751C">
        <w:t xml:space="preserve"> (</w:t>
      </w:r>
      <w:r w:rsidR="007E27C9">
        <w:t>60</w:t>
      </w:r>
      <w:r w:rsidR="0082751C">
        <w:t xml:space="preserve"> samples)</w:t>
      </w:r>
      <w:r>
        <w:t xml:space="preserve">. </w:t>
      </w:r>
      <w:bookmarkEnd w:id="17"/>
      <w:r>
        <w:t xml:space="preserve">Surface edges of samples </w:t>
      </w:r>
      <w:r w:rsidR="004746A5">
        <w:t>were removed</w:t>
      </w:r>
      <w:r>
        <w:t xml:space="preserve"> (~5cm of all edges</w:t>
      </w:r>
      <w:r w:rsidR="004F58CE">
        <w:t xml:space="preserve"> </w:t>
      </w:r>
      <w:r w:rsidR="00D002CA">
        <w:t>of non-shales samples</w:t>
      </w:r>
      <w:r>
        <w:t xml:space="preserve">) </w:t>
      </w:r>
      <w:r w:rsidR="004746A5">
        <w:t xml:space="preserve">and samples were sonicated in 9:1 </w:t>
      </w:r>
      <w:proofErr w:type="spellStart"/>
      <w:proofErr w:type="gramStart"/>
      <w:r w:rsidR="004746A5">
        <w:t>dichloromethane:methanol</w:t>
      </w:r>
      <w:proofErr w:type="spellEnd"/>
      <w:proofErr w:type="gramEnd"/>
      <w:r w:rsidR="004746A5">
        <w:t xml:space="preserve"> (</w:t>
      </w:r>
      <w:proofErr w:type="spellStart"/>
      <w:r w:rsidR="004746A5">
        <w:t>DCM:MeOH</w:t>
      </w:r>
      <w:proofErr w:type="spellEnd"/>
      <w:r w:rsidR="004746A5">
        <w:t>; 15 min, 3 times) to remove</w:t>
      </w:r>
      <w:r>
        <w:t xml:space="preserve"> any</w:t>
      </w:r>
      <w:r w:rsidR="00A65C13">
        <w:t xml:space="preserve"> surface</w:t>
      </w:r>
      <w:r>
        <w:t xml:space="preserve"> organic matter</w:t>
      </w:r>
      <w:r w:rsidR="004746A5">
        <w:t xml:space="preserve"> contamin</w:t>
      </w:r>
      <w:r w:rsidR="00DB5A4F">
        <w:t>ation</w:t>
      </w:r>
      <w:r w:rsidR="004746A5">
        <w:t>.</w:t>
      </w:r>
      <w:r w:rsidR="0082751C">
        <w:t xml:space="preserve"> </w:t>
      </w:r>
      <w:bookmarkEnd w:id="18"/>
      <w:r w:rsidR="004746A5">
        <w:t xml:space="preserve">Samples were crushed using a </w:t>
      </w:r>
      <w:proofErr w:type="spellStart"/>
      <w:r w:rsidR="004746A5">
        <w:t>Rocklabs</w:t>
      </w:r>
      <w:proofErr w:type="spellEnd"/>
      <w:r w:rsidR="004746A5">
        <w:t xml:space="preserve"> SRM C+PB rock grinder. Between 30-180g of rock was extracted using a Milestone Start-E microwave extraction system in 50 mL of 9:1 </w:t>
      </w:r>
      <w:proofErr w:type="spellStart"/>
      <w:proofErr w:type="gramStart"/>
      <w:r w:rsidR="004746A5">
        <w:t>DCM:MeOH</w:t>
      </w:r>
      <w:proofErr w:type="spellEnd"/>
      <w:proofErr w:type="gramEnd"/>
      <w:r w:rsidR="004746A5">
        <w:t xml:space="preserve"> using a temperature program of 21 °C to 80 °</w:t>
      </w:r>
      <w:proofErr w:type="spellStart"/>
      <w:r w:rsidR="004746A5">
        <w:t>C over</w:t>
      </w:r>
      <w:proofErr w:type="spellEnd"/>
      <w:r w:rsidR="004746A5">
        <w:t xml:space="preserve"> 10 min (held at 80 °C for 15 mins). Samples rich in extractable organic material </w:t>
      </w:r>
      <w:r w:rsidR="00B86A23">
        <w:t>(</w:t>
      </w:r>
      <w:r w:rsidR="00B86A23" w:rsidRPr="005F5390">
        <w:t>TOC</w:t>
      </w:r>
      <w:r w:rsidR="005F5390" w:rsidRPr="005045DC">
        <w:t xml:space="preserve"> &gt;2 %</w:t>
      </w:r>
      <w:r w:rsidR="00B86A23">
        <w:t xml:space="preserve">) </w:t>
      </w:r>
      <w:r w:rsidR="004746A5">
        <w:t xml:space="preserve">were re-extracted to ensure all organics </w:t>
      </w:r>
      <w:r w:rsidR="00A65C13">
        <w:t>had been</w:t>
      </w:r>
      <w:r w:rsidR="004746A5">
        <w:t xml:space="preserve"> collected. Copper turnings were solvent washed (15 min, sonicated in 9:1 </w:t>
      </w:r>
      <w:proofErr w:type="spellStart"/>
      <w:proofErr w:type="gramStart"/>
      <w:r w:rsidR="004746A5">
        <w:t>DCM:MeOH</w:t>
      </w:r>
      <w:proofErr w:type="spellEnd"/>
      <w:proofErr w:type="gramEnd"/>
      <w:r w:rsidR="004746A5">
        <w:t xml:space="preserve">) and activated (30 min in 2M hydrochloric acid; HCl) and added to samples to remove elemental sulfur. </w:t>
      </w:r>
      <w:bookmarkStart w:id="19" w:name="_Hlk93658653"/>
      <w:r w:rsidR="004746A5">
        <w:t>Samples were then fractionated into saturate (</w:t>
      </w:r>
      <w:r w:rsidR="004746A5" w:rsidRPr="00703748">
        <w:rPr>
          <w:i/>
        </w:rPr>
        <w:t>n</w:t>
      </w:r>
      <w:r w:rsidR="004746A5">
        <w:t xml:space="preserve">-hexane), aromatic (9:1 </w:t>
      </w:r>
      <w:proofErr w:type="spellStart"/>
      <w:r w:rsidR="004746A5" w:rsidRPr="00703748">
        <w:rPr>
          <w:i/>
        </w:rPr>
        <w:t>n</w:t>
      </w:r>
      <w:r w:rsidR="004746A5" w:rsidRPr="00703748">
        <w:t>-</w:t>
      </w:r>
      <w:proofErr w:type="gramStart"/>
      <w:r w:rsidR="004746A5" w:rsidRPr="00703748">
        <w:t>hexane</w:t>
      </w:r>
      <w:r w:rsidR="004746A5">
        <w:t>:DCM</w:t>
      </w:r>
      <w:proofErr w:type="spellEnd"/>
      <w:proofErr w:type="gramEnd"/>
      <w:r w:rsidR="004746A5">
        <w:t xml:space="preserve">) and polar (9:1 </w:t>
      </w:r>
      <w:proofErr w:type="spellStart"/>
      <w:r w:rsidR="004746A5">
        <w:t>DCM:MeOH</w:t>
      </w:r>
      <w:proofErr w:type="spellEnd"/>
      <w:r w:rsidR="004746A5">
        <w:t xml:space="preserve">) fractions using activated silica gel (heated to 160 </w:t>
      </w:r>
      <w:r w:rsidR="004746A5">
        <w:lastRenderedPageBreak/>
        <w:t>°C overnight) using columns varying from 4 cm Pasteur pipettes</w:t>
      </w:r>
      <w:r w:rsidR="00CB46B0">
        <w:t xml:space="preserve"> (</w:t>
      </w:r>
      <w:r w:rsidR="00547FB1">
        <w:t>7.5</w:t>
      </w:r>
      <w:r w:rsidR="00CB46B0">
        <w:t xml:space="preserve"> g silica gel)</w:t>
      </w:r>
      <w:r w:rsidR="004746A5">
        <w:t xml:space="preserve"> to 20 cm x 1.5 cm glass columns</w:t>
      </w:r>
      <w:r w:rsidR="00CB46B0">
        <w:t xml:space="preserve"> (</w:t>
      </w:r>
      <w:r w:rsidR="00D002CA">
        <w:t>4</w:t>
      </w:r>
      <w:r w:rsidR="00CB46B0">
        <w:t>0 g silica gel)</w:t>
      </w:r>
      <w:r w:rsidR="004746A5">
        <w:t xml:space="preserve">. </w:t>
      </w:r>
      <w:bookmarkEnd w:id="19"/>
      <w:r w:rsidR="004746A5">
        <w:t xml:space="preserve">An internal standard (deuterated phenanthrene; 300 or 600 ng) was added to the aromatic fraction to quantify PAHs. </w:t>
      </w:r>
    </w:p>
    <w:p w14:paraId="301DD33C" w14:textId="394BC283" w:rsidR="004746A5" w:rsidRDefault="004746A5" w:rsidP="00B95056">
      <w:pPr>
        <w:pStyle w:val="AbstractSummary"/>
        <w:spacing w:line="480" w:lineRule="auto"/>
        <w:ind w:firstLine="720"/>
        <w:jc w:val="both"/>
      </w:pPr>
      <w:r>
        <w:t xml:space="preserve">The PAH-containing aromatic fractions were </w:t>
      </w:r>
      <w:r w:rsidR="009B33BC">
        <w:t xml:space="preserve">analyzed </w:t>
      </w:r>
      <w:r>
        <w:t xml:space="preserve">using an Agilent 6890N GC with </w:t>
      </w:r>
      <w:proofErr w:type="spellStart"/>
      <w:r>
        <w:t>splitless</w:t>
      </w:r>
      <w:proofErr w:type="spellEnd"/>
      <w:r>
        <w:t xml:space="preserve"> injection and DB-5MS (60 m length, 0.25 mm diameter, 0.25 µm film thickness) capillary column coupled to an Agilent 5975B MS. The GC temperature program was 3 °C/min from a 40 °C initial start temperature to 325 °C, where temperature was held (30 min). Helium was used as the carrier gas (constant flow rate 1.1 mL/min). </w:t>
      </w:r>
      <w:bookmarkStart w:id="20" w:name="_Hlk92273761"/>
      <w:bookmarkStart w:id="21" w:name="_Hlk93651949"/>
      <w:r>
        <w:t xml:space="preserve">Samples were run using selected ion monitoring (SIM) analysis (see </w:t>
      </w:r>
      <w:r w:rsidR="00F439FF">
        <w:t>S</w:t>
      </w:r>
      <w:r>
        <w:t xml:space="preserve">upplementary </w:t>
      </w:r>
      <w:r w:rsidR="00F439FF">
        <w:t>I</w:t>
      </w:r>
      <w:r>
        <w:t>nformation</w:t>
      </w:r>
      <w:r w:rsidR="008E08A5">
        <w:t xml:space="preserve"> Table S1</w:t>
      </w:r>
      <w:r>
        <w:t>) for all PAHs of interest</w:t>
      </w:r>
      <w:r w:rsidR="008E08A5">
        <w:t xml:space="preserve"> (Table 1)</w:t>
      </w:r>
      <w:r>
        <w:t>.</w:t>
      </w:r>
      <w:r w:rsidR="003E59F0">
        <w:t xml:space="preserve"> </w:t>
      </w:r>
      <w:bookmarkStart w:id="22" w:name="_Hlk93651905"/>
      <w:bookmarkEnd w:id="20"/>
      <w:r w:rsidR="003E59F0">
        <w:t xml:space="preserve">These PAHs include a wide range of LMW and HMW compounds typically used to investigate past wildfire events </w:t>
      </w:r>
      <w:r w:rsidR="003E59F0">
        <w:fldChar w:fldCharType="begin" w:fldLock="1"/>
      </w:r>
      <w:r w:rsidR="00250793">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sidR="00250793">
        <w:rPr>
          <w:rFonts w:ascii="Cambria Math" w:hAnsi="Cambria Math" w:cs="Cambria Math"/>
        </w:rPr>
        <w:instrText>∼</w:instrText>
      </w:r>
      <w:r w:rsidR="00250793">
        <w:instrText>12‰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paleo-applications","type":"article-journal","volume":"289"},"uris":["http://www.mendeley.com/documents/?uuid=a4f6bf2d-6c02-41f3-8889-b9f9a26ebff2"]}],"mendeley":{"formattedCitation":"(Karp et al., 2020)","manualFormatting":"(see Karp et al., 2020)","plainTextFormattedCitation":"(Karp et al., 2020)","previouslyFormattedCitation":"(Karp et al., 2020)"},"properties":{"noteIndex":0},"schema":"https://github.com/citation-style-language/schema/raw/master/csl-citation.json"}</w:instrText>
      </w:r>
      <w:r w:rsidR="003E59F0">
        <w:fldChar w:fldCharType="separate"/>
      </w:r>
      <w:r w:rsidR="003E59F0" w:rsidRPr="003E59F0">
        <w:rPr>
          <w:noProof/>
        </w:rPr>
        <w:t>(</w:t>
      </w:r>
      <w:r w:rsidR="003E59F0">
        <w:rPr>
          <w:noProof/>
        </w:rPr>
        <w:t xml:space="preserve">see </w:t>
      </w:r>
      <w:r w:rsidR="003E59F0" w:rsidRPr="003E59F0">
        <w:rPr>
          <w:noProof/>
        </w:rPr>
        <w:t>Karp et al., 2020)</w:t>
      </w:r>
      <w:r w:rsidR="003E59F0">
        <w:fldChar w:fldCharType="end"/>
      </w:r>
      <w:r w:rsidR="003E59F0">
        <w:t xml:space="preserve"> or other processes associated with mass extinction events</w:t>
      </w:r>
      <w:r w:rsidR="0062292B">
        <w:t xml:space="preserve">, such as </w:t>
      </w:r>
      <w:r w:rsidR="00250793">
        <w:t>soil erosion</w:t>
      </w:r>
      <w:r w:rsidR="00E66030">
        <w:t xml:space="preserve"> </w:t>
      </w:r>
      <w:r w:rsidR="00E66030">
        <w:fldChar w:fldCharType="begin" w:fldLock="1"/>
      </w:r>
      <w:r w:rsidR="00316ADB">
        <w:instrText>ADDIN CSL_CITATION {"citationItems":[{"id":"ITEM-1","itemData":{"DOI":"https://doi.org/10.1016/j.epsl.2007.07.033","ISSN":"0012-821X","abstract":"In this study, we report on biomarker abundances through parts of the Permian/Triassic boundary (PTB) of Schuchert Dal (East Greenland) that contains rich marine faunal records and excellent terrestrial palynological records. Biomarker abundances and sulfur isotopes are used to correlate the series of events (including changes in element cycling and associated redox conditions of the ocean) surrounding the collapse of the marine and terrestrial ecosystems through this record of a major crisis of life on Earth during a mass extinction episode. The Upper Schuchert Dal Formation contains a low diversity palynological assemblage, ascribed to arborescent cordiaite–conifer–pteridosperm vegetation. Samples from this pre-collapse interval are characterised by high abundances of dibenzofuran (DBF), dibenzothiophene (DBT) and biphenyl. Since these compounds have similar base structures, and show comparable abundance curves, it is plausible that they probably derive from a common source. We propose that phenolic compounds of lignin of the woody plants present during this period could be the source for DBF, DBT and biphenyl. The redox conditions during this period of time also support the formation of DBF and DBT. Just above the extinction interval, there is a dramatic decrease in the abundances of DBF and DBT which occurs at the same time as a sudden change in the stable sulfur isotopic composition (δ34S) of pyrite, indicating a change in redox conditions from oxic to anoxic/euxinic conditions. δ34S values leading up to the extinction are highly depleted in the heavy sulfur isotope (about −40‰ vs. VCDT), whilst shortly after the extinction interval much more positive isotope values are observed (about −25‰). An inferred change in the biogeochemical sulfur cycle is supported by facies evidence from similar neighbouring sections. It is suggested that two processes are operating closely here; 1) Changes in redox conditions and 2) extinction and/or transgression accounting for the absence of woody material.","author":[{"dropping-particle":"","family":"Fenton","given":"Stephen","non-dropping-particle":"","parse-names":false,"suffix":""},{"dropping-particle":"","family":"Grice","given":"Kliti","non-dropping-particle":"","parse-names":false,"suffix":""},{"dropping-particle":"","family":"Twitchett","given":"Richard J","non-dropping-particle":"","parse-names":false,"suffix":""},{"dropping-particle":"","family":"Böttcher","given":"Michael E","non-dropping-particle":"","parse-names":false,"suffix":""},{"dropping-particle":"V","family":"Looy","given":"Cindy","non-dropping-particle":"","parse-names":false,"suffix":""},{"dropping-particle":"","family":"Nabbefeld","given":"Birgit","non-dropping-particle":"","parse-names":false,"suffix":""}],"container-title":"Earth and Planetary Science Letters","id":"ITEM-1","issue":"1","issued":{"date-parts":[["2007"]]},"page":"230-239","title":"Changes in biomarker abundances and sulfur isotopes of pyrite across the Permian–Triassic (P/Tr) Schuchert Dal section (East Greenland)","type":"article-journal","volume":"262"},"uris":["http://www.mendeley.com/documents/?uuid=3c2b2b8c-2f84-4d7d-977d-8eae873ec626"]}],"mendeley":{"formattedCitation":"(Fenton et al., 2007)","manualFormatting":"(e.g., Fenton et al., 2007)","plainTextFormattedCitation":"(Fenton et al., 2007)","previouslyFormattedCitation":"(Fenton et al., 2007)"},"properties":{"noteIndex":0},"schema":"https://github.com/citation-style-language/schema/raw/master/csl-citation.json"}</w:instrText>
      </w:r>
      <w:r w:rsidR="00E66030">
        <w:fldChar w:fldCharType="separate"/>
      </w:r>
      <w:r w:rsidR="00E66030" w:rsidRPr="00E66030">
        <w:rPr>
          <w:noProof/>
        </w:rPr>
        <w:t>(</w:t>
      </w:r>
      <w:r w:rsidR="00316ADB">
        <w:rPr>
          <w:noProof/>
        </w:rPr>
        <w:t xml:space="preserve">e.g., </w:t>
      </w:r>
      <w:r w:rsidR="00E66030" w:rsidRPr="00E66030">
        <w:rPr>
          <w:noProof/>
        </w:rPr>
        <w:t>Fenton et al., 2007)</w:t>
      </w:r>
      <w:r w:rsidR="00E66030">
        <w:fldChar w:fldCharType="end"/>
      </w:r>
      <w:r w:rsidR="003E59F0">
        <w:t>.</w:t>
      </w:r>
      <w:bookmarkEnd w:id="21"/>
      <w:bookmarkEnd w:id="22"/>
      <w:r>
        <w:t xml:space="preserve"> </w:t>
      </w:r>
      <w:r w:rsidR="003E59F0">
        <w:t>PAH c</w:t>
      </w:r>
      <w:r w:rsidRPr="000D15A7">
        <w:t>ompounds</w:t>
      </w:r>
      <w:r>
        <w:t xml:space="preserve"> were identified by comparing retention times, elution patterns, and extracted ions to standards (</w:t>
      </w:r>
      <w:proofErr w:type="spellStart"/>
      <w:r>
        <w:t>Neochema</w:t>
      </w:r>
      <w:proofErr w:type="spellEnd"/>
      <w:r>
        <w:t xml:space="preserve"> PAH mix) and PAHs reported in the literature. All glassware was combusted overnight (at 550 °C) and all materials were washed in 9:1 </w:t>
      </w:r>
      <w:proofErr w:type="spellStart"/>
      <w:proofErr w:type="gramStart"/>
      <w:r>
        <w:t>DCM:MeOH</w:t>
      </w:r>
      <w:proofErr w:type="spellEnd"/>
      <w:proofErr w:type="gramEnd"/>
      <w:r>
        <w:t xml:space="preserve"> to remove contamination.</w:t>
      </w:r>
    </w:p>
    <w:p w14:paraId="033D6E15" w14:textId="62276D86" w:rsidR="004746A5" w:rsidRDefault="004746A5" w:rsidP="004746A5">
      <w:pPr>
        <w:pStyle w:val="AbstractSummary"/>
        <w:spacing w:line="480" w:lineRule="auto"/>
        <w:ind w:firstLine="360"/>
        <w:jc w:val="both"/>
      </w:pPr>
      <w:r>
        <w:tab/>
        <w:t xml:space="preserve">The </w:t>
      </w:r>
      <w:r>
        <w:rPr>
          <w:i/>
        </w:rPr>
        <w:t>n-</w:t>
      </w:r>
      <w:r>
        <w:t xml:space="preserve">alkane-containing saturate fractions </w:t>
      </w:r>
      <w:r w:rsidR="0001579C">
        <w:t xml:space="preserve">were </w:t>
      </w:r>
      <w:r>
        <w:t xml:space="preserve">first analyzed using an Agilent 6890 GC with </w:t>
      </w:r>
      <w:proofErr w:type="spellStart"/>
      <w:r>
        <w:t>splitless</w:t>
      </w:r>
      <w:proofErr w:type="spellEnd"/>
      <w:r>
        <w:t xml:space="preserve"> injection and DB-1MS (60 m length, 0.25 mm diameter, 0.25 µm film thickness) capillary column connected to an Agilent 5973 MS. The GC program was 3 °C/min from a 40 °C initial start temperature to 325 °C, where temperature was held (30 min). </w:t>
      </w:r>
      <w:bookmarkStart w:id="23" w:name="_Hlk93652198"/>
      <w:r w:rsidR="00CA5B8E">
        <w:t xml:space="preserve">The </w:t>
      </w:r>
      <w:r w:rsidR="00CA5B8E" w:rsidRPr="00CA5B8E">
        <w:rPr>
          <w:i/>
          <w:iCs/>
        </w:rPr>
        <w:t>n</w:t>
      </w:r>
      <w:r w:rsidR="00CA5B8E">
        <w:t xml:space="preserve">-alkanes were not isolated from other branched </w:t>
      </w:r>
      <w:r w:rsidR="00B86A23">
        <w:t>cyclic</w:t>
      </w:r>
      <w:r w:rsidR="00CA5B8E">
        <w:t xml:space="preserve"> compounds (</w:t>
      </w:r>
      <w:proofErr w:type="spellStart"/>
      <w:r w:rsidR="00CA5B8E">
        <w:t>hopanes</w:t>
      </w:r>
      <w:proofErr w:type="spellEnd"/>
      <w:r w:rsidR="00CA5B8E">
        <w:t xml:space="preserve"> and steranes) since</w:t>
      </w:r>
      <w:r w:rsidR="00BB1711">
        <w:t xml:space="preserve"> </w:t>
      </w:r>
      <w:r w:rsidR="00BB1711" w:rsidRPr="00CA5B8E">
        <w:rPr>
          <w:i/>
          <w:iCs/>
        </w:rPr>
        <w:t>n</w:t>
      </w:r>
      <w:r w:rsidR="00BB1711">
        <w:t xml:space="preserve">-alkanes formed a major portion of the </w:t>
      </w:r>
      <w:r w:rsidR="00B86A23">
        <w:t xml:space="preserve">saturated hydrocarbon fraction and </w:t>
      </w:r>
      <w:r w:rsidR="00BB1711">
        <w:t>sample material was limited.</w:t>
      </w:r>
      <w:r w:rsidR="00CA5B8E">
        <w:t xml:space="preserve"> </w:t>
      </w:r>
      <w:bookmarkEnd w:id="23"/>
      <w:r>
        <w:t xml:space="preserve">After </w:t>
      </w:r>
      <w:r w:rsidR="00CA5B8E" w:rsidRPr="00CA5B8E">
        <w:rPr>
          <w:i/>
          <w:iCs/>
        </w:rPr>
        <w:t>n</w:t>
      </w:r>
      <w:r w:rsidR="00CA5B8E">
        <w:t xml:space="preserve">-alkane </w:t>
      </w:r>
      <w:r>
        <w:t xml:space="preserve">characterization, compound-specific isotope analysis of samples was conducted using a Thermo Trace GC Ultra fitted with a DB-1MS capillary column (same parameters described </w:t>
      </w:r>
      <w:r>
        <w:lastRenderedPageBreak/>
        <w:t xml:space="preserve">above) coupled via a GC </w:t>
      </w:r>
      <w:proofErr w:type="spellStart"/>
      <w:r>
        <w:t>Isolink</w:t>
      </w:r>
      <w:proofErr w:type="spellEnd"/>
      <w:r>
        <w:t xml:space="preserve"> and </w:t>
      </w:r>
      <w:proofErr w:type="spellStart"/>
      <w:r>
        <w:t>Conflo</w:t>
      </w:r>
      <w:proofErr w:type="spellEnd"/>
      <w:r>
        <w:t xml:space="preserve"> IV to a Thermo Delta V Advantage isotope ratio MS. The carrier gas for both GC-MS and GC-IRMS was helium (constant flow 1.1 mL/min).</w:t>
      </w:r>
      <w:r w:rsidR="00BB1711">
        <w:t xml:space="preserve"> </w:t>
      </w:r>
      <w:bookmarkStart w:id="24" w:name="_Hlk93652264"/>
      <w:bookmarkStart w:id="25" w:name="_Hlk93652046"/>
      <w:r w:rsidR="00B86A23" w:rsidRPr="005045DC">
        <w:rPr>
          <w:rFonts w:ascii="Symbol" w:hAnsi="Symbol"/>
        </w:rPr>
        <w:t>d</w:t>
      </w:r>
      <w:r w:rsidR="00B86A23" w:rsidRPr="005045DC">
        <w:rPr>
          <w:vertAlign w:val="superscript"/>
        </w:rPr>
        <w:t>13</w:t>
      </w:r>
      <w:r w:rsidR="00B86A23">
        <w:t xml:space="preserve">C data are </w:t>
      </w:r>
      <w:r w:rsidR="008C52F9">
        <w:t xml:space="preserve">only </w:t>
      </w:r>
      <w:r w:rsidR="00B86A23">
        <w:t>given</w:t>
      </w:r>
      <w:r w:rsidR="00BB1711">
        <w:t xml:space="preserve"> </w:t>
      </w:r>
      <w:r w:rsidR="00B86A23">
        <w:t>when GC baseline separation was achieved for compounds of interest</w:t>
      </w:r>
      <w:bookmarkEnd w:id="24"/>
      <w:r w:rsidR="00BB1711">
        <w:t xml:space="preserve">. </w:t>
      </w:r>
      <w:r w:rsidR="00545115">
        <w:t xml:space="preserve">Each sample was run in triplicate, </w:t>
      </w:r>
      <w:r w:rsidR="004F58CE">
        <w:t>averaged,</w:t>
      </w:r>
      <w:r w:rsidR="00545115">
        <w:t xml:space="preserve"> and given a standard deviation. The standard used was the Vienna Pee Dee Belemnite (VPDB).</w:t>
      </w:r>
      <w:bookmarkEnd w:id="25"/>
    </w:p>
    <w:p w14:paraId="66B4C177" w14:textId="77777777" w:rsidR="004746A5" w:rsidRPr="0084183D" w:rsidRDefault="004746A5" w:rsidP="004746A5">
      <w:pPr>
        <w:pStyle w:val="AbstractSummary"/>
        <w:spacing w:line="480" w:lineRule="auto"/>
        <w:ind w:firstLine="360"/>
        <w:jc w:val="both"/>
      </w:pPr>
    </w:p>
    <w:p w14:paraId="3F6EE805" w14:textId="77777777" w:rsidR="004746A5" w:rsidRPr="00877D53" w:rsidRDefault="004746A5" w:rsidP="0014005C">
      <w:pPr>
        <w:pStyle w:val="AbstractSummary"/>
        <w:keepNext/>
        <w:numPr>
          <w:ilvl w:val="1"/>
          <w:numId w:val="1"/>
        </w:numPr>
        <w:spacing w:line="480" w:lineRule="auto"/>
        <w:jc w:val="both"/>
        <w:rPr>
          <w:i/>
        </w:rPr>
      </w:pPr>
      <w:r w:rsidRPr="00877D53">
        <w:rPr>
          <w:i/>
        </w:rPr>
        <w:t>Bulk</w:t>
      </w:r>
      <w:r>
        <w:rPr>
          <w:i/>
        </w:rPr>
        <w:t xml:space="preserve"> organic</w:t>
      </w:r>
      <w:r w:rsidRPr="00877D53">
        <w:rPr>
          <w:i/>
        </w:rPr>
        <w:t xml:space="preserve"> carbon isotopes and total organic carbon</w:t>
      </w:r>
    </w:p>
    <w:p w14:paraId="1CC7E6FA" w14:textId="52259794" w:rsidR="004746A5" w:rsidRDefault="004746A5" w:rsidP="0014005C">
      <w:pPr>
        <w:pStyle w:val="AbstractSummary"/>
        <w:spacing w:line="480" w:lineRule="auto"/>
        <w:ind w:firstLine="360"/>
        <w:jc w:val="both"/>
      </w:pPr>
      <w:r>
        <w:t xml:space="preserve">Powdered rock samples (&lt;0.5 g) were digested in 2M HCl (12 </w:t>
      </w:r>
      <w:proofErr w:type="spellStart"/>
      <w:r>
        <w:t>hr</w:t>
      </w:r>
      <w:proofErr w:type="spellEnd"/>
      <w:r>
        <w:t xml:space="preserve">) and washed with Milli-Q water (until neutral) to remove carbonates. Samples were freeze-dried (12 </w:t>
      </w:r>
      <w:proofErr w:type="spellStart"/>
      <w:r>
        <w:t>hr</w:t>
      </w:r>
      <w:proofErr w:type="spellEnd"/>
      <w:r>
        <w:t xml:space="preserve">) to remove residual water. </w:t>
      </w:r>
      <w:bookmarkStart w:id="26" w:name="_Hlk93652115"/>
      <w:r>
        <w:t>Elemental (total organic carbon) and isotopic (</w:t>
      </w:r>
      <w:r w:rsidRPr="00EA5608">
        <w:rPr>
          <w:shd w:val="clear" w:color="auto" w:fill="FFFFFF"/>
        </w:rPr>
        <w:t>δ</w:t>
      </w:r>
      <w:r>
        <w:rPr>
          <w:shd w:val="clear" w:color="auto" w:fill="FFFFFF"/>
          <w:vertAlign w:val="superscript"/>
        </w:rPr>
        <w:t>13</w:t>
      </w:r>
      <w:r>
        <w:rPr>
          <w:shd w:val="clear" w:color="auto" w:fill="FFFFFF"/>
        </w:rPr>
        <w:t>C</w:t>
      </w:r>
      <w:r>
        <w:rPr>
          <w:shd w:val="clear" w:color="auto" w:fill="FFFFFF"/>
          <w:vertAlign w:val="subscript"/>
        </w:rPr>
        <w:t>org</w:t>
      </w:r>
      <w:r>
        <w:t xml:space="preserve">) analyses were undertaken at the West Australian Biogeochemistry Centre, University of Western Australia under Grzegorz </w:t>
      </w:r>
      <w:proofErr w:type="spellStart"/>
      <w:r>
        <w:t>Skrzypek</w:t>
      </w:r>
      <w:proofErr w:type="spellEnd"/>
      <w:r>
        <w:t xml:space="preserve"> using a CHNS elemental </w:t>
      </w:r>
      <w:r w:rsidR="009B33BC">
        <w:t xml:space="preserve">analyzer </w:t>
      </w:r>
      <w:r>
        <w:t xml:space="preserve">and Delta V Plus MS connected to a Thermo Flash 1112 via a </w:t>
      </w:r>
      <w:proofErr w:type="spellStart"/>
      <w:r>
        <w:t>Conflo</w:t>
      </w:r>
      <w:proofErr w:type="spellEnd"/>
      <w:r>
        <w:t xml:space="preserve"> IV.</w:t>
      </w:r>
      <w:r w:rsidR="009A256E">
        <w:t xml:space="preserve"> Full details in </w:t>
      </w:r>
      <w:r w:rsidR="009A256E">
        <w:fldChar w:fldCharType="begin" w:fldLock="1"/>
      </w:r>
      <w:r w:rsidR="00CF14CA">
        <w:instrText>ADDIN CSL_CITATION {"citationItems":[{"id":"ITEM-1","itemData":{"DOI":"10.1007/s00216-012-6517-2","ISSN":"1618-2650","abstract":"The uncertainties of stable isotope results depend not only on the technical aspects of measurements, but also on how raw data are normalized to one of the international isotope scales. The inconsistency in the normalization methods used and in the selection of standards may lead to substantial differences in the results obtained. Therefore, unification of the data processing protocols employed is highly desirable. The best performing methods are two-point or multipoint normalization methods based on linear regression. Linear regression is most robust when based on standards that cover the entire range of δ values typically observed in nature, regardless of the δ values of the samples analysed. The uncertainty can be reduced by 50 % if measurements of two different standards are performed four times, or measurements of four standards are performed twice, with each batch of samples. Chemical matrix matching between standards and samples seems to be critical for δ18O of nitrate or δ2H of hair samples (thermal conversion/elemental analyser), for example; however, it is not necessarily always critical for all types of samples and techniques (e.g. not for most δ15N and δ13C elemental analyser analyses). To ensure that all published data can be recalculated, if δ values of standards or the isotope scales are to be updated, the details of the normalization technique and the δ values of the standards used should always be clearly reported.","author":[{"dropping-particle":"","family":"Skrzypek","given":"Grzegorz","non-dropping-particle":"","parse-names":false,"suffix":""}],"container-title":"Analytical and Bioanalytical Chemistry","id":"ITEM-1","issue":"9","issued":{"date-parts":[["2013"]]},"page":"2815-2823","title":"Normalization procedures and reference material selection in stable HCNOS isotope analyses: an overview","type":"article-journal","volume":"405"},"uris":["http://www.mendeley.com/documents/?uuid=401bb122-7450-4278-846a-3938870d5be8"]}],"mendeley":{"formattedCitation":"(Skrzypek, 2013)","manualFormatting":"Skrzypek, (2013)","plainTextFormattedCitation":"(Skrzypek, 2013)","previouslyFormattedCitation":"(Skrzypek, 2013)"},"properties":{"noteIndex":0},"schema":"https://github.com/citation-style-language/schema/raw/master/csl-citation.json"}</w:instrText>
      </w:r>
      <w:r w:rsidR="009A256E">
        <w:fldChar w:fldCharType="separate"/>
      </w:r>
      <w:r w:rsidR="009A256E" w:rsidRPr="009A256E">
        <w:rPr>
          <w:noProof/>
        </w:rPr>
        <w:t xml:space="preserve">Skrzypek, </w:t>
      </w:r>
      <w:r w:rsidR="009A256E">
        <w:rPr>
          <w:noProof/>
        </w:rPr>
        <w:t>(</w:t>
      </w:r>
      <w:r w:rsidR="009A256E" w:rsidRPr="009A256E">
        <w:rPr>
          <w:noProof/>
        </w:rPr>
        <w:t>2013)</w:t>
      </w:r>
      <w:r w:rsidR="009A256E">
        <w:fldChar w:fldCharType="end"/>
      </w:r>
      <w:r w:rsidR="006E7DEF">
        <w:t>.</w:t>
      </w:r>
      <w:r>
        <w:t xml:space="preserve"> </w:t>
      </w:r>
      <w:r w:rsidR="006C1171">
        <w:t>The standard used was the VPDB.</w:t>
      </w:r>
      <w:bookmarkEnd w:id="26"/>
    </w:p>
    <w:p w14:paraId="2EA0E815" w14:textId="6AA1F33D" w:rsidR="007F45B2" w:rsidRDefault="007F45B2" w:rsidP="0014005C">
      <w:pPr>
        <w:pStyle w:val="AbstractSummary"/>
        <w:spacing w:line="480" w:lineRule="auto"/>
        <w:ind w:firstLine="360"/>
        <w:jc w:val="both"/>
      </w:pPr>
    </w:p>
    <w:p w14:paraId="43168A71" w14:textId="2CC9181C" w:rsidR="007F45B2" w:rsidRPr="001C169D" w:rsidRDefault="007F45B2" w:rsidP="007F45B2">
      <w:pPr>
        <w:pStyle w:val="AbstractSummary"/>
        <w:numPr>
          <w:ilvl w:val="0"/>
          <w:numId w:val="1"/>
        </w:numPr>
        <w:spacing w:line="480" w:lineRule="auto"/>
        <w:jc w:val="both"/>
        <w:rPr>
          <w:b/>
        </w:rPr>
      </w:pPr>
      <w:r>
        <w:rPr>
          <w:b/>
        </w:rPr>
        <w:t>PAHs in the ETE</w:t>
      </w:r>
    </w:p>
    <w:p w14:paraId="61FD5ABA" w14:textId="0D1590B4" w:rsidR="007F45B2" w:rsidRDefault="00BF7263" w:rsidP="00377418">
      <w:pPr>
        <w:pStyle w:val="AbstractSummary"/>
        <w:spacing w:line="480" w:lineRule="auto"/>
        <w:ind w:firstLine="360"/>
        <w:jc w:val="both"/>
      </w:pPr>
      <w:r>
        <w:t xml:space="preserve">Before detailing the results of this study, it is pertinent to understand how </w:t>
      </w:r>
      <w:proofErr w:type="spellStart"/>
      <w:r w:rsidR="008C52F9">
        <w:t>py</w:t>
      </w:r>
      <w:r>
        <w:t>PAH</w:t>
      </w:r>
      <w:proofErr w:type="spellEnd"/>
      <w:r>
        <w:t xml:space="preserve"> distributions and their ratios </w:t>
      </w:r>
      <w:r w:rsidR="00FF610B">
        <w:t>are</w:t>
      </w:r>
      <w:r>
        <w:t xml:space="preserve"> used to </w:t>
      </w:r>
      <w:r w:rsidR="00FB5569">
        <w:t>support</w:t>
      </w:r>
      <w:r>
        <w:t xml:space="preserve"> wildfire activity during the ETE.</w:t>
      </w:r>
      <w:r w:rsidR="00791475">
        <w:t xml:space="preserve"> Figure 2 </w:t>
      </w:r>
      <w:r w:rsidR="00042EE1">
        <w:t>provides</w:t>
      </w:r>
      <w:r w:rsidR="00791475">
        <w:t xml:space="preserve"> a summary of PAHs and charcoal evidence during the ETE with expanded profiles </w:t>
      </w:r>
      <w:r w:rsidR="00FF610B">
        <w:t>of</w:t>
      </w:r>
      <w:r w:rsidR="00791475">
        <w:t xml:space="preserve"> sections closest to the SW UK. </w:t>
      </w:r>
      <w:bookmarkStart w:id="27" w:name="_Hlk93658744"/>
      <w:r>
        <w:t xml:space="preserve">Increases in </w:t>
      </w:r>
      <w:proofErr w:type="spellStart"/>
      <w:r w:rsidR="0050419F">
        <w:t>py</w:t>
      </w:r>
      <w:r>
        <w:t>PAHs</w:t>
      </w:r>
      <w:proofErr w:type="spellEnd"/>
      <w:r>
        <w:t xml:space="preserve"> across Greenland, Poland, and China were attributed to evidence of paleowildfire</w:t>
      </w:r>
      <w:r w:rsidR="00312C78">
        <w:t xml:space="preserve"> </w:t>
      </w:r>
      <w:r w:rsidR="00312C78">
        <w:fldChar w:fldCharType="begin" w:fldLock="1"/>
      </w:r>
      <w:r w:rsidR="00312C78">
        <w:instrText xml:space="preserve">ADDIN CSL_CITATION {"citationItems":[{"id":"ITEM-1","itemData":{"DOI":"https://doi.org/10.1016/j.gca.2013.11.033","ISSN":"0016-7037","abstract":"Terrestrial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sidR="00312C78">
        <w:rPr>
          <w:rFonts w:ascii="Cambria Math" w:hAnsi="Cambria Math" w:cs="Cambria Math"/>
        </w:rPr>
        <w:instrText>∼</w:instrText>
      </w:r>
      <w:r w:rsidR="00312C78">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Acta","id":"ITEM-1","issued":{"date-parts":[["2014"]]},"page":"251-263","title":"An organic record of terrestrial ecosystem collapse and recovery at the Triassic–Jurassic boundary in East Greenland","type":"article-journal","volume":"127"},"uris":["http://www.mendeley.com/documents/?uuid=b7d8a644-9eb1-4450-a9f8-79a0ac3648c6"]},{"id":"ITEM-2","itemData":{"ISSN":"08831351, 19385323","abstract":"[Laboratory tests indicate that 15% O₂, instead of 12%, is required for the propagation of a widespread forest fire, a 3% increase from what was previously assumed. The presence of widespread wildfire records in the Upper Triassic and Lower Jurassic of Central Europe suggests that the lower limit for O₂ during this time was at least 15%. Wildfire records are based on the co-occurrence of charcoal fragments and elevated concentrations of pyrolytic polycyclic aromatic hydrocarbons (PAHs). In all samples charcoal fragments are large to medium-sized and angular, suggesting that they were transported by rivers only short distances after charcoalification. Calculated combustion temperatures vary with stratigraphic position and average 295-377 °C, which is characteristic for ground or near-surface wildfires. The most extensive wildfires occurred in the earliest Jurassic and their intensities successively decreased with time. Average concentrations of the sum of pyrolytic PAHs for the lowermost Jurassic Zagaje Formation reached ~1253 μg/g total organic carbon (TOC), whereas for the Upper Triassic-Lower Jurassic Sktoby Formation they did not exceed ~16 μg/g TOC. Charcoal-bearing sequences were also characterized by the presence of phenyl-PAHs (Ph-PAHs) and oxygen-containing aromatic compounds. The dominance of the more stable Ph-PAH isomers in these immature to low-maturity sedimentary rocks supports their pyrolytic origin. The oxygenated PAHs may also be derived from combustion processes.]","author":[{"dropping-particle":"","family":"Marynowski","given":"Leszek","non-dropping-particle":"","parse-names":false,"suffix":""},{"dropping-particle":"","family":"Simoneit","given":"Bernd R T","non-dropping-particle":"","parse-names":false,"suffix":""}],"container-title":"Palaios","id":"ITEM-2","issue":"11/12","issued":{"date-parts":[["2009","4","9"]]},"page":"785-798","publisher":"SEPM Society for Sedimentary Geology","title":"Widespread upper Triassic to lower Jurassic wildfire records from Poland: Evidence from charcoal and pyrolytic and pyrolytic polycyclic aromatic hydrocarbons","type":"article-journal","volume":"24"},"uris":["http://www.mendeley.com/documents/?uuid=2a6cb468-e7c6-4713-aac1-81b87c770762"]},{"id":"ITEM-3","itemData":{"DOI":"10.14027/j.issn.1000-0550.2020.103","author":[{"dropping-particle":"","family":"Zhang","given":"X.","non-dropping-particle":"","parse-names":false,"suffix":""},{"dropping-particle":"","family":"Lv","given":"P.","non-dropping-particle":"","parse-names":false,"suffix":""},{"dropping-particle":"","family":"Fang","given":"L.","non-dropping-particle":"","parse-names":false,"suffix":""},{"dropping-particle":"","family":"Yang","given":"H.","non-dropping-particle":"","parse-names":false,"suffix":""},{"dropping-particle":"","family":"Deng","given":"S.","non-dropping-particle":"","parse-names":false,"suffix":""},{"dropping-particle":"","family":"Lu","given":"Y.","non-dropping-particle":"","parse-names":false,"suffix":""},{"dropping-particle":"","family":"Fang","given":"Y.","non-dropping-particle":"","parse-names":false,"suffix":""},{"dropping-particle":"","family":"Zhang","given":"X.","non-dropping-particle":"","parse-names":false,"suffix":""},{"dropping-particle":"","family":"Huang","given":"R.","non-dropping-particle":"","parse-names":false,"suffix":""},{"dropping-particle":"","family":"Liang","given":"J.","non-dropping-particle":"","parse-names":false,"suffix":""},{"dropping-particle":"","family":"Shi","given":"S.","non-dropping-particle":"","parse-names":false,"suffix":""}],"container-title":"Acta Sedimentologica Sinica","id":"ITEM-3","issued":{"date-parts":[["2020"]]},"title":"Widefire records across the Triassic-Jurassic boundary in the southern margin of the Junggar Basin and global correlations","type":"article-journal"},"uris":["http://www.mendeley.com/documents/?uuid=2a387782-9b4a-4264-ad7c-7696b8abb3db"]},{"id":"ITEM-4","itemData":{"DOI":"https://doi.org/10.1016/j.palaeo.2021.110559","ISSN":"0031-0182","abstract":"Carbon isotope stratigraphic records across the Triassic-Jurassic (Tr-J) boundary show carbon isotope excursions in both marine and terrestrial sections, indicating frequent perturbations of the global carbon cycles, which are linked to the ~600 kyr pulsed emplacement of the Central Atlantic Magmatic Province (CAMP). However, few detailed carbon isotope stratigraphic reports from high-latitude terrestrial deposition have been documented in contrast to the contemporaneous low- to mid-latitude records. It hampers the understanding of the climatic response in the high-latitude terrestrial areas and the modeling global carbon cycles triggered by CAMP volcanisms. Here, we present high-resolution organic carbon isotope data primarily originated from C3 plants in the Haojiagou section in the paleo-high-latitude Junggar Basin, NW China. Combined with previously published biostratigraphic and geochemical results, carbon isotope stratigraphy with distinct “initial negative carbon isotope excursions” (I-CIE) and “main negative carbon isotope excursions” (M-CIE) is built in the Junggar Basin and allows a global stratigraphic correlation. The end-Triassic mass extinction (ETE) and the Tr-J boundary is then well identified. The excursion magnitude is similar to that in Greenland and Poland where the sections are also terrestrial. Climatic pattern recorded in the Junggar Basin rapidly changed across the Tr-J transition and coincides with a bloom of fern spores, increased wildfire activities, enhanced hydrological cycles and soil loss.","author":[{"dropping-particle":"","family":"Fang","given":"Yanan","non-dropping-particle":"","parse-names":false,"suffix":""},{"dropping-particle":"","family":"Fang","given":"Linhao","non-dropping-particle":"","parse-names":false,"suffix":""},{"dropping-particle":"","family":"Deng","given":"Shenghui","non-dropping-particle":"","parse-names":false,"suffix":""},{"dropping-particle":"","family":"Lu","given":"Yuanzheng","non-dropping-particle":"","parse-names":false,"suffix":""},{"dropping-particle":"","family":"Wang","given":"Bo","non-dropping-particle":"","parse-names":false,"suffix":""},{"dropping-particle":"","family":"Zhao","given":"Xiangdong","non-dropping-particle":"","parse-names":false,"suffix":""},{"dropping-particle":"","family":"Wang","given":"Yizhe","non-dropping-particle":"","parse-names":false,"suffix":""},{"dropping-particle":"","family":"Zhang","given":"Haichun","non-dropping-particle":"","parse-names":false,"suffix":""},{"dropping-particle":"","family":"Zhang","given":"Xinzhi","non-dropping-particle":"","parse-names":false,"suffix":""},{"dropping-particle":"","family":"Sha","given":"Jingeng","non-dropping-particle":"","parse-names":false,"suffix":""}],"container-title":"Palaeogeography, Palaeoclimatology, Palaeoecology","id":"ITEM-4","issued":{"date-parts":[["2021"]]},"page":"110559","title":"Carbon isotope stratigraphy across the Triassic-Jurassic boundary in the high-latitude terrestrial Junggar Basin, NW China","type":"article-journal","volume":"577"},"uris":["http://www.mendeley.com/documents/?uuid=ab66d73b-ed97-439d-b004-4b2d160f2cca"]},{"id":"ITEM-5","itemData":{"DOI":"https://doi.org/10.1016/j.earscirev.2019.102970","ISSN":"0012-8252","abstract":"Emplacement of the Central Atlantic Magmatic Province (CAMP) during the Triassic-Jurassic (Tr-J) transition is believed to have indirectly increased wildfire frequency through climatic warming and drying. To date, evidence for wildfires has come mainly from within the CAMP region. Here, we present biomarker evidence for wildfires in the form of polycyclic aromatic hydrocarbons (PAHs) in two terrestrial Triassic-Jurassic boundary sections in the Sichuan Basin, southwestern China. Pyrolytic PAHs of probable wildfire origin identified in these sections include pyrene, benzofluoranthene, benzo[e]pyrene, indeno[1,2,3-cd]pyrene, benzo[ghi]perylene, and coronene. Sharp increases in the abundances of pyrolytic PAHs normalized to total organic carbon were found during the Rhaetian Stage (R1 and R2) and at the Tr-J boundary. The ratios of pyrolytic PAHs (PPAHs) to methylated homologues document the combustion origin of PPAHs from methylated PAHs during these intervals of increased wildfire frequency. The abundances of oxygenated PAHs with furan structure show the same stratigraphic trend, testifying to enhanced soil erosion or weathering that may have resulted from a reduction of vegetative cover. Although CAMP-induced climate changes probably set the stage for more frequent wildfires in South China, the immediate trigger was probably a southward shift of the paleo-Intertropical Convergence Zone (ITCZ). These observations suggest a complex feedback involving climatic warming, precipitation and evapo-transpiration, vegetation density, and wildfire prevalence during the Tr-J transition.","author":[{"dropping-particle":"","family":"Song","given":"Yi","non-dropping-particle":"","parse-names":false,"suffix":""},{"dropping-particle":"","family":"Algeo","given":"Thomas J","non-dropping-particle":"","parse-names":false,"suffix":""},{"dropping-particle":"","family":"Wu","given":"Wenjun","non-dropping-particle":"","parse-names":false,"suffix":""},{"dropping-particle":"","family":"Luo","given":"Genming","non-dropping-particle":"","parse-names":false,"suffix":""},{"dropping-particle":"","family":"Li","given":"Liqin","non-dropping-particle":"","parse-names":false,"suffix":""},{"dropping-particle":"","family":"Wang","given":"Yongdong","non-dropping-particle":"","parse-names":false,"suffix":""},{"dropping-particle":"","family":"Xie","given":"Shucheng","non-dropping-particle":"","parse-names":false,"suffix":""}],"container-title":"Earth-Science Reviews","id":"ITEM-5","issued":{"date-parts":[["2020"]]},"page":"102970","title":"Distribution of pyrolytic PAHs across the Triassic-Jurassic boundary in the Sichuan Basin, southwestern China: Evidence of wildfire outside the Central Atlantic Magmatic Province","type":"article-journal","volume":"201"},"uris":["http://www.mendeley.com/documents/?uuid=177f61fb-4d2a-4442-b15d-f8ffbd214856"]}],"mendeley":{"formattedCitation":"(Fang et al., 2021; Marynowski and Simoneit, 2009; Song et al., 2020; Williford et al., 2014; Zhang et al., 2020)","plainTextFormattedCitation":"(Fang et al., 2021; Marynowski and Simoneit, 2009; Song et al., 2020; Williford et al., 2014; Zhang et al., 2020)","previouslyFormattedCitation":"(Fang et al., 2021; Marynowski and Simoneit, 2009; Song et al., 2020; Williford et al., 2014; Zhang et al., 2020)"},"properties":{"noteIndex":0},"schema":"https://github.com/citation-style-language/schema/raw/master/csl-citation.json"}</w:instrText>
      </w:r>
      <w:r w:rsidR="00312C78">
        <w:fldChar w:fldCharType="separate"/>
      </w:r>
      <w:r w:rsidR="00312C78" w:rsidRPr="00312C78">
        <w:rPr>
          <w:noProof/>
        </w:rPr>
        <w:t>(Fang et al., 2021; Marynowski and Simoneit, 2009; Song et al., 2020; Williford et al., 2014; Zhang et al., 2020)</w:t>
      </w:r>
      <w:r w:rsidR="00312C78">
        <w:fldChar w:fldCharType="end"/>
      </w:r>
      <w:r w:rsidR="006F67C2">
        <w:t>, similar to other mass extinction events</w:t>
      </w:r>
      <w:r w:rsidR="00312C78">
        <w:t xml:space="preserve"> e.g., the end-Permian </w:t>
      </w:r>
      <w:r w:rsidR="00312C78">
        <w:fldChar w:fldCharType="begin" w:fldLock="1"/>
      </w:r>
      <w:r w:rsidR="00312C78">
        <w:instrText>ADDIN CSL_CITATION {"citationItems":[{"id":"ITEM-1","itemData":{"DOI":"https://doi.org/10.1016/j.gca.2011.01.027","ISSN":"0016-7037","abstract":"Polynuclear aromatic hydrocarbons (PAHs) and black carbon (BC) in sediments are powerful tools in the identification of the combustion process throughout geologic history. In this study, combustion-derived PAHs and BC were carefully investigated in sediments from the Global Stratotype Section and Point of the Permian–Triassic (P/Tr) boundary in Meishan, China. Quantitative analyses of combustion-derived PAHs and BC demonstrate anomalously high concentrations in the boundary event beds that coincide with the mass extinction horizon. The prevalence of parent polynuclear aromatics (e.g., phenanthrene) in PAHs, together with non-metric multidimensional scaling analysis, confirms that the PAHs are mainly derived from vegetation burning instead of having a coal and/or oil origin. BC detected in sediment occurs in various forms from large irregular charcoal particles to fine aciniform soot, with an equivalent reflectance of up to 3.5%. The results strongly suggest that a wildfire occurred during the P/Tr boundary, which served as one of the possible triggers of mass extinction on land. The wildfire occurrence indicates that the O2 concentration of the atmosphere during (or before) the P/Tr mass extinction was probably &gt;17%. The temporal coincidence of the mass extinction with intensive volcanic eruption, marine anoxia and wildfire events in the region of the Meishan section provides new insight into the mechanisms of the P/Tr biotic crisis. Our results show that wildfires could have played an important role in the collapse of the ecosystem in the Meishan P/Tr events.","author":[{"dropping-particle":"","family":"Shen","given":"Wenjie","non-dropping-particle":"","parse-names":false,"suffix":""},{"dropping-particle":"","family":"Sun","given":"Yongge","non-dropping-particle":"","parse-names":false,"suffix":""},{"dropping-particle":"","family":"Lin","given":"Yangting","non-dropping-particle":"","parse-names":false,"suffix":""},{"dropping-particle":"","family":"Liu","given":"Dehan","non-dropping-particle":"","parse-names":false,"suffix":""},{"dropping-particle":"","family":"Chai","given":"Pingxia","non-dropping-particle":"","parse-names":false,"suffix":""}],"container-title":"Geochimica et Cosmochimica Acta","id":"ITEM-1","issue":"7","issued":{"date-parts":[["2011"]]},"page":"1992-2006","title":"Evidence for wildfire in the Meishan section and implications for Permian–Triassic events","type":"article-journal","volume":"75"},"uris":["http://www.mendeley.com/documents/?uuid=4a26ec58-a184-40f8-a2e4-40bb86a0ff31"]}],"mendeley":{"formattedCitation":"(Shen et al., 2011)","plainTextFormattedCitation":"(Shen et al., 2011)","previouslyFormattedCitation":"(Shen et al., 2011)"},"properties":{"noteIndex":0},"schema":"https://github.com/citation-style-language/schema/raw/master/csl-citation.json"}</w:instrText>
      </w:r>
      <w:r w:rsidR="00312C78">
        <w:fldChar w:fldCharType="separate"/>
      </w:r>
      <w:r w:rsidR="00312C78" w:rsidRPr="00312C78">
        <w:rPr>
          <w:noProof/>
        </w:rPr>
        <w:t>(Shen et al., 2011)</w:t>
      </w:r>
      <w:r w:rsidR="00312C78">
        <w:fldChar w:fldCharType="end"/>
      </w:r>
      <w:bookmarkEnd w:id="27"/>
      <w:r>
        <w:t>.</w:t>
      </w:r>
      <w:r w:rsidR="003B0548">
        <w:t xml:space="preserve"> </w:t>
      </w:r>
      <w:bookmarkStart w:id="28" w:name="_Hlk93658887"/>
      <w:r w:rsidR="003B0548">
        <w:t>However,</w:t>
      </w:r>
      <w:r>
        <w:t xml:space="preserve"> </w:t>
      </w:r>
      <w:proofErr w:type="spellStart"/>
      <w:r w:rsidR="008C52F9">
        <w:t>py</w:t>
      </w:r>
      <w:r w:rsidR="00B86A23">
        <w:t>PAH</w:t>
      </w:r>
      <w:r w:rsidR="00833BA9">
        <w:t>s</w:t>
      </w:r>
      <w:proofErr w:type="spellEnd"/>
      <w:r w:rsidR="00B86A23">
        <w:t xml:space="preserve"> </w:t>
      </w:r>
      <w:r w:rsidR="00F66FC3">
        <w:t>at Mariental-1,</w:t>
      </w:r>
      <w:r w:rsidR="00B86A23">
        <w:t xml:space="preserve"> </w:t>
      </w:r>
      <w:r w:rsidR="00F66FC3">
        <w:t xml:space="preserve">NW </w:t>
      </w:r>
      <w:r>
        <w:t>German</w:t>
      </w:r>
      <w:r w:rsidR="008C52F9">
        <w:t>y</w:t>
      </w:r>
      <w:r w:rsidR="00B86A23">
        <w:t xml:space="preserve"> </w:t>
      </w:r>
      <w:r>
        <w:t>were instead attributed</w:t>
      </w:r>
      <w:r w:rsidRPr="002B164A">
        <w:t xml:space="preserve"> </w:t>
      </w:r>
      <w:r>
        <w:t xml:space="preserve">directly </w:t>
      </w:r>
      <w:r w:rsidRPr="002B164A">
        <w:t xml:space="preserve">to </w:t>
      </w:r>
      <w:r w:rsidRPr="002B164A">
        <w:lastRenderedPageBreak/>
        <w:t>CAMP activity</w:t>
      </w:r>
      <w:r>
        <w:t>, possibly CAMP intrusions into coal beds, rather than CAMP-induced biomass burning</w:t>
      </w:r>
      <w:r w:rsidR="00312C78">
        <w:t xml:space="preserve"> </w:t>
      </w:r>
      <w:r w:rsidR="00312C78">
        <w:fldChar w:fldCharType="begin" w:fldLock="1"/>
      </w:r>
      <w:r w:rsidR="008E3750">
        <w:instrText>ADDIN CSL_CITATION {"citationItems":[{"id":"ITEM-1","itemData":{"DOI":"10.1038/ngeo577","ISSN":"1752-0908","abstract":"One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Geoscience","id":"ITEM-1","issue":"8","issued":{"date-parts":[["2009"]]},"page":"589-594","title":"Floral changes across the Triassic/Jurassic boundary linked to flood basalt volcanism","type":"article-journal","volume":"2"},"uris":["http://www.mendeley.com/documents/?uuid=7a9f3397-a2a7-4fd8-bfbf-4ff746b02c61"]}],"mendeley":{"formattedCitation":"(van de Schootbrugge et al., 2009)","plainTextFormattedCitation":"(van de Schootbrugge et al., 2009)","previouslyFormattedCitation":"(van de Schootbrugge et al., 2009)"},"properties":{"noteIndex":0},"schema":"https://github.com/citation-style-language/schema/raw/master/csl-citation.json"}</w:instrText>
      </w:r>
      <w:r w:rsidR="00312C78">
        <w:fldChar w:fldCharType="separate"/>
      </w:r>
      <w:r w:rsidR="00312C78" w:rsidRPr="00312C78">
        <w:rPr>
          <w:noProof/>
        </w:rPr>
        <w:t>(van de Schootbrugge et al., 2009)</w:t>
      </w:r>
      <w:r w:rsidR="00312C78">
        <w:fldChar w:fldCharType="end"/>
      </w:r>
      <w:r>
        <w:t xml:space="preserve"> </w:t>
      </w:r>
      <w:r w:rsidR="00620055">
        <w:t>due to</w:t>
      </w:r>
      <w:r>
        <w:t xml:space="preserve"> elevated </w:t>
      </w:r>
      <w:r w:rsidRPr="002B164A">
        <w:t xml:space="preserve">concentrations of coronene </w:t>
      </w:r>
      <w:r>
        <w:t xml:space="preserve">and </w:t>
      </w:r>
      <w:r w:rsidRPr="002B164A">
        <w:t>increases in the ratio of coronene to benzo</w:t>
      </w:r>
      <w:r>
        <w:t>(</w:t>
      </w:r>
      <w:r w:rsidRPr="002B164A">
        <w:rPr>
          <w:i/>
        </w:rPr>
        <w:t>a</w:t>
      </w:r>
      <w:r>
        <w:t>)</w:t>
      </w:r>
      <w:r w:rsidRPr="002B164A">
        <w:t>pyrene (C</w:t>
      </w:r>
      <w:r>
        <w:t>or</w:t>
      </w:r>
      <w:r w:rsidRPr="002B164A">
        <w:t>/</w:t>
      </w:r>
      <w:proofErr w:type="spellStart"/>
      <w:r w:rsidRPr="002B164A">
        <w:t>BaP</w:t>
      </w:r>
      <w:proofErr w:type="spellEnd"/>
      <w:r w:rsidRPr="002B164A">
        <w:t>; values of 3.46)</w:t>
      </w:r>
      <w:r>
        <w:t xml:space="preserve">. This hypothesis </w:t>
      </w:r>
      <w:r w:rsidR="00FB5569">
        <w:t>was</w:t>
      </w:r>
      <w:r>
        <w:t xml:space="preserve"> based on 1) an absence of charcoal; 2) darkened palynomorphs in the Trilete beds attributed to CAMP-induced soil acidification and/or su</w:t>
      </w:r>
      <w:r w:rsidR="00833BA9">
        <w:t>lf</w:t>
      </w:r>
      <w:r>
        <w:t xml:space="preserve">uric acid depositions </w:t>
      </w:r>
      <w:r>
        <w:fldChar w:fldCharType="begin" w:fldLock="1"/>
      </w:r>
      <w:r>
        <w:instrText>ADDIN CSL_CITATION {"citationItems":[{"id":"ITEM-1","itemData":{"DOI":"10.1038/ngeo577","ISSN":"1752-0908","abstract":"One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Geoscience","id":"ITEM-1","issue":"8","issued":{"date-parts":[["2009"]]},"page":"589-594","title":"Floral changes across the Triassic/Jurassic boundary linked to flood basalt volcanism","type":"article-journal","volume":"2"},"uris":["http://www.mendeley.com/documents/?uuid=7a9f3397-a2a7-4fd8-bfbf-4ff746b02c61"]}],"mendeley":{"formattedCitation":"(van de Schootbrugge et al., 2009)","plainTextFormattedCitation":"(van de Schootbrugge et al., 2009)","previouslyFormattedCitation":"(van de Schootbrugge et al., 2009)"},"properties":{"noteIndex":0},"schema":"https://github.com/citation-style-language/schema/raw/master/csl-citation.json"}</w:instrText>
      </w:r>
      <w:r>
        <w:fldChar w:fldCharType="separate"/>
      </w:r>
      <w:r w:rsidRPr="00A249D1">
        <w:rPr>
          <w:noProof/>
        </w:rPr>
        <w:t>(van de Schootbrugge et al., 2009)</w:t>
      </w:r>
      <w:r>
        <w:fldChar w:fldCharType="end"/>
      </w:r>
      <w:r>
        <w:t>; and 3) burn experiment</w:t>
      </w:r>
      <w:r w:rsidR="00620055">
        <w:t xml:space="preserve"> data</w:t>
      </w:r>
      <w:r>
        <w:t xml:space="preserve"> in which biomass burning resulted in both low concentrations of </w:t>
      </w:r>
      <w:r w:rsidRPr="00E02DAC">
        <w:rPr>
          <w:rFonts w:asciiTheme="majorBidi" w:hAnsiTheme="majorBidi" w:cstheme="majorBidi"/>
        </w:rPr>
        <w:t>coronene and low ratios of Cor/</w:t>
      </w:r>
      <w:proofErr w:type="spellStart"/>
      <w:r w:rsidRPr="00E02DAC">
        <w:rPr>
          <w:rFonts w:asciiTheme="majorBidi" w:hAnsiTheme="majorBidi" w:cstheme="majorBidi"/>
        </w:rPr>
        <w:t>BaP</w:t>
      </w:r>
      <w:proofErr w:type="spellEnd"/>
      <w:r w:rsidRPr="00E02DAC">
        <w:rPr>
          <w:rFonts w:asciiTheme="majorBidi" w:hAnsiTheme="majorBidi" w:cstheme="majorBidi"/>
        </w:rPr>
        <w:t xml:space="preserve"> </w:t>
      </w:r>
      <w:r w:rsidRPr="00E02DAC">
        <w:rPr>
          <w:rFonts w:asciiTheme="majorBidi" w:hAnsiTheme="majorBidi" w:cstheme="majorBidi"/>
        </w:rPr>
        <w:fldChar w:fldCharType="begin" w:fldLock="1"/>
      </w:r>
      <w:r w:rsidRPr="00E02DAC">
        <w:rPr>
          <w:rFonts w:asciiTheme="majorBidi" w:hAnsiTheme="majorBidi" w:cstheme="majorBidi"/>
        </w:rPr>
        <w:instrText>ADDIN CSL_CITATION {"citationItems":[{"id":"ITEM-1","itemData":{"DOI":"10.1021/es00080a019","ISSN":"0013-936X","author":[{"dropping-particle":"","family":"Freeman","given":"Diana J","non-dropping-particle":"","parse-names":false,"suffix":""},{"dropping-particle":"","family":"Cattell","given":"Frank C R","non-dropping-particle":"","parse-names":false,"suffix":""}],"container-title":"Environmental Science &amp; Technology","id":"ITEM-1","issue":"10","issued":{"date-parts":[["1990","10","1"]]},"note":"doi: 10.1021/es00080a019","page":"1581-1585","publisher":"American Chemical Society","title":"Woodburning as a source of atmospheric polycyclic aromatic hydrocarbons","type":"article-journal","volume":"24"},"uris":["http://www.mendeley.com/documents/?uuid=c1169a4f-76a1-45cd-920e-a1a9d0d34463"]}],"mendeley":{"formattedCitation":"(Freeman and Cattell, 1990)","plainTextFormattedCitation":"(Freeman and Cattell, 1990)","previouslyFormattedCitation":"(Freeman and Cattell, 1990)"},"properties":{"noteIndex":0},"schema":"https://github.com/citation-style-language/schema/raw/master/csl-citation.json"}</w:instrText>
      </w:r>
      <w:r w:rsidRPr="00E02DAC">
        <w:rPr>
          <w:rFonts w:asciiTheme="majorBidi" w:hAnsiTheme="majorBidi" w:cstheme="majorBidi"/>
        </w:rPr>
        <w:fldChar w:fldCharType="separate"/>
      </w:r>
      <w:r w:rsidRPr="00E02DAC">
        <w:rPr>
          <w:rFonts w:asciiTheme="majorBidi" w:hAnsiTheme="majorBidi" w:cstheme="majorBidi"/>
          <w:noProof/>
        </w:rPr>
        <w:t>(Freeman and Cattell, 1990)</w:t>
      </w:r>
      <w:r w:rsidRPr="00E02DAC">
        <w:rPr>
          <w:rFonts w:asciiTheme="majorBidi" w:hAnsiTheme="majorBidi" w:cstheme="majorBidi"/>
        </w:rPr>
        <w:fldChar w:fldCharType="end"/>
      </w:r>
      <w:r w:rsidRPr="00E02DAC">
        <w:rPr>
          <w:rFonts w:asciiTheme="majorBidi" w:hAnsiTheme="majorBidi" w:cstheme="majorBidi"/>
        </w:rPr>
        <w:t xml:space="preserve">. </w:t>
      </w:r>
      <w:bookmarkEnd w:id="28"/>
      <w:r w:rsidRPr="00E02DAC">
        <w:rPr>
          <w:rFonts w:asciiTheme="majorBidi" w:hAnsiTheme="majorBidi" w:cstheme="majorBidi"/>
        </w:rPr>
        <w:t>Similar Cor/</w:t>
      </w:r>
      <w:proofErr w:type="spellStart"/>
      <w:r w:rsidRPr="00E02DAC">
        <w:rPr>
          <w:rFonts w:asciiTheme="majorBidi" w:hAnsiTheme="majorBidi" w:cstheme="majorBidi"/>
        </w:rPr>
        <w:t>BaP</w:t>
      </w:r>
      <w:proofErr w:type="spellEnd"/>
      <w:r w:rsidRPr="00E02DAC">
        <w:rPr>
          <w:rFonts w:asciiTheme="majorBidi" w:hAnsiTheme="majorBidi" w:cstheme="majorBidi"/>
        </w:rPr>
        <w:t xml:space="preserve"> increases </w:t>
      </w:r>
      <w:r w:rsidR="00FB5569">
        <w:rPr>
          <w:rFonts w:asciiTheme="majorBidi" w:hAnsiTheme="majorBidi" w:cstheme="majorBidi"/>
        </w:rPr>
        <w:t>were</w:t>
      </w:r>
      <w:r w:rsidRPr="00E02DAC">
        <w:rPr>
          <w:rFonts w:asciiTheme="majorBidi" w:hAnsiTheme="majorBidi" w:cstheme="majorBidi"/>
        </w:rPr>
        <w:t xml:space="preserve"> also observed at </w:t>
      </w:r>
      <w:proofErr w:type="spellStart"/>
      <w:r w:rsidR="00620055" w:rsidRPr="00E02DAC">
        <w:rPr>
          <w:rFonts w:asciiTheme="majorBidi" w:hAnsiTheme="majorBidi" w:cstheme="majorBidi"/>
        </w:rPr>
        <w:t>Astartekløft</w:t>
      </w:r>
      <w:proofErr w:type="spellEnd"/>
      <w:r w:rsidR="00620055" w:rsidRPr="00E02DAC">
        <w:rPr>
          <w:rFonts w:asciiTheme="majorBidi" w:hAnsiTheme="majorBidi" w:cstheme="majorBidi"/>
        </w:rPr>
        <w:t xml:space="preserve">, East Greenland (2.15) </w:t>
      </w:r>
      <w:r w:rsidR="00620055" w:rsidRPr="00E02DAC">
        <w:rPr>
          <w:rFonts w:asciiTheme="majorBidi" w:hAnsiTheme="majorBidi" w:cstheme="majorBidi"/>
        </w:rPr>
        <w:fldChar w:fldCharType="begin" w:fldLock="1"/>
      </w:r>
      <w:r w:rsidR="00620055" w:rsidRPr="00E02DAC">
        <w:rPr>
          <w:rFonts w:asciiTheme="majorBidi" w:hAnsiTheme="majorBidi" w:cstheme="majorBidi"/>
        </w:rPr>
        <w:instrText xml:space="preserve">ADDIN CSL_CITATION {"citationItems":[{"id":"ITEM-1","itemData":{"DOI":"https://doi.org/10.1016/j.gca.2013.11.033","ISSN":"0016-7037","abstract":"Terrestrial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sidR="00620055" w:rsidRPr="00090962">
        <w:rPr>
          <w:rFonts w:ascii="Cambria Math" w:hAnsi="Cambria Math" w:cs="Cambria Math"/>
        </w:rPr>
        <w:instrText>∼</w:instrText>
      </w:r>
      <w:r w:rsidR="00620055" w:rsidRPr="00E02DAC">
        <w:rPr>
          <w:rFonts w:asciiTheme="majorBidi" w:hAnsiTheme="majorBidi" w:cstheme="majorBidi"/>
        </w:rPr>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Acta","id":"ITEM-1","issued":{"date-parts":[["2014"]]},"page":"251-263","title":"An organic record of terrestrial ecosystem collapse and recovery at the Triassic–Jurassic boundary in East Greenland","type":"article-journal","volume":"127"},"uris":["http://www.mendeley.com/documents/?uuid=b7d8a644-9eb1-4450-a9f8-79a0ac3648c6"]}],"mendeley":{"formattedCitation":"(Williford et al., 2014)","plainTextFormattedCitation":"(Williford et al., 2014)","previouslyFormattedCitation":"(Williford et al., 2014)"},"properties":{"noteIndex":0},"schema":"https://github.com/citation-style-language/schema/raw/master/csl-citation.json"}</w:instrText>
      </w:r>
      <w:r w:rsidR="00620055" w:rsidRPr="00E02DAC">
        <w:rPr>
          <w:rFonts w:asciiTheme="majorBidi" w:hAnsiTheme="majorBidi" w:cstheme="majorBidi"/>
        </w:rPr>
        <w:fldChar w:fldCharType="separate"/>
      </w:r>
      <w:r w:rsidR="00620055" w:rsidRPr="00E02DAC">
        <w:rPr>
          <w:rFonts w:asciiTheme="majorBidi" w:hAnsiTheme="majorBidi" w:cstheme="majorBidi"/>
          <w:noProof/>
        </w:rPr>
        <w:t>(Williford et al., 2014)</w:t>
      </w:r>
      <w:r w:rsidR="00620055" w:rsidRPr="00E02DAC">
        <w:rPr>
          <w:rFonts w:asciiTheme="majorBidi" w:hAnsiTheme="majorBidi" w:cstheme="majorBidi"/>
        </w:rPr>
        <w:fldChar w:fldCharType="end"/>
      </w:r>
      <w:r w:rsidR="00620055">
        <w:rPr>
          <w:rFonts w:asciiTheme="majorBidi" w:hAnsiTheme="majorBidi" w:cstheme="majorBidi"/>
        </w:rPr>
        <w:t xml:space="preserve"> </w:t>
      </w:r>
      <w:r w:rsidR="00791475">
        <w:rPr>
          <w:rFonts w:asciiTheme="majorBidi" w:hAnsiTheme="majorBidi" w:cstheme="majorBidi"/>
        </w:rPr>
        <w:t xml:space="preserve">and even higher ratios </w:t>
      </w:r>
      <w:r w:rsidR="00FF610B">
        <w:rPr>
          <w:rFonts w:asciiTheme="majorBidi" w:hAnsiTheme="majorBidi" w:cstheme="majorBidi"/>
        </w:rPr>
        <w:t>were</w:t>
      </w:r>
      <w:r w:rsidR="00791475">
        <w:rPr>
          <w:rFonts w:asciiTheme="majorBidi" w:hAnsiTheme="majorBidi" w:cstheme="majorBidi"/>
        </w:rPr>
        <w:t xml:space="preserve"> observed at </w:t>
      </w:r>
      <w:proofErr w:type="spellStart"/>
      <w:r w:rsidR="00791475" w:rsidRPr="00E02DAC">
        <w:rPr>
          <w:rFonts w:asciiTheme="majorBidi" w:hAnsiTheme="majorBidi" w:cstheme="majorBidi"/>
        </w:rPr>
        <w:t>Kamień</w:t>
      </w:r>
      <w:proofErr w:type="spellEnd"/>
      <w:r w:rsidR="00791475" w:rsidRPr="00E02DAC">
        <w:rPr>
          <w:rFonts w:asciiTheme="majorBidi" w:hAnsiTheme="majorBidi" w:cstheme="majorBidi"/>
        </w:rPr>
        <w:t xml:space="preserve"> </w:t>
      </w:r>
      <w:proofErr w:type="spellStart"/>
      <w:r w:rsidR="00791475" w:rsidRPr="00E02DAC">
        <w:rPr>
          <w:rFonts w:asciiTheme="majorBidi" w:hAnsiTheme="majorBidi" w:cstheme="majorBidi"/>
        </w:rPr>
        <w:t>Pomorski</w:t>
      </w:r>
      <w:proofErr w:type="spellEnd"/>
      <w:r w:rsidR="00791475" w:rsidRPr="00E02DAC">
        <w:rPr>
          <w:rFonts w:asciiTheme="majorBidi" w:hAnsiTheme="majorBidi" w:cstheme="majorBidi"/>
        </w:rPr>
        <w:t xml:space="preserve"> IG-1</w:t>
      </w:r>
      <w:r w:rsidR="00791475">
        <w:rPr>
          <w:rFonts w:asciiTheme="majorBidi" w:hAnsiTheme="majorBidi" w:cstheme="majorBidi"/>
        </w:rPr>
        <w:t xml:space="preserve">, NW Poland (24.5) where darkened palynomorphs </w:t>
      </w:r>
      <w:r w:rsidR="00FB5569">
        <w:rPr>
          <w:rFonts w:asciiTheme="majorBidi" w:hAnsiTheme="majorBidi" w:cstheme="majorBidi"/>
        </w:rPr>
        <w:t>were</w:t>
      </w:r>
      <w:r w:rsidR="00791475">
        <w:rPr>
          <w:rFonts w:asciiTheme="majorBidi" w:hAnsiTheme="majorBidi" w:cstheme="majorBidi"/>
        </w:rPr>
        <w:t xml:space="preserve"> also evidenced </w:t>
      </w:r>
      <w:r w:rsidR="00791475">
        <w:rPr>
          <w:rFonts w:asciiTheme="majorBidi" w:hAnsiTheme="majorBidi" w:cstheme="majorBidi"/>
        </w:rPr>
        <w:fldChar w:fldCharType="begin" w:fldLock="1"/>
      </w:r>
      <w:r w:rsidR="00791475">
        <w:rPr>
          <w:rFonts w:asciiTheme="majorBidi" w:hAnsiTheme="majorBidi" w:cstheme="majorBidi"/>
        </w:rPr>
        <w:instrText>ADDIN CSL_CITATION {"citationItems":[{"id":"ITEM-1","itemData":{"ISSN":"08831351, 19385323","abstract":"[Laboratory tests indicate that 15% O₂, instead of 12%, is required for the propagation of a widespread forest fire, a 3% increase from what was previously assumed. The presence of widespread wildfire records in the Upper Triassic and Lower Jurassic of Central Europe suggests that the lower limit for O₂ during this time was at least 15%. Wildfire records are based on the co-occurrence of charcoal fragments and elevated concentrations of pyrolytic polycyclic aromatic hydrocarbons (PAHs). In all samples charcoal fragments are large to medium-sized and angular, suggesting that they were transported by rivers only short distances after charcoalification. Calculated combustion temperatures vary with stratigraphic position and average 295-377 °C, which is characteristic for ground or near-surface wildfires. The most extensive wildfires occurred in the earliest Jurassic and their intensities successively decreased with time. Average concentrations of the sum of pyrolytic PAHs for the lowermost Jurassic Zagaje Formation reached ~1253 μg/g total organic carbon (TOC), whereas for the Upper Triassic-Lower Jurassic Sktoby Formation they did not exceed ~16 μg/g TOC. Charcoal-bearing sequences were also characterized by the presence of phenyl-PAHs (Ph-PAHs) and oxygen-containing aromatic compounds. The dominance of the more stable Ph-PAH isomers in these immature to low-maturity sedimentary rocks supports their pyrolytic origin. The oxygenated PAHs may also be derived from combustion processes.]","author":[{"dropping-particle":"","family":"Marynowski","given":"Leszek","non-dropping-particle":"","parse-names":false,"suffix":""},{"dropping-particle":"","family":"Simoneit","given":"Bernd R T","non-dropping-particle":"","parse-names":false,"suffix":""}],"container-title":"Palaios","id":"ITEM-1","issue":"11/12","issued":{"date-parts":[["2009","4","9"]]},"page":"785-798","publisher":"SEPM Society for Sedimentary Geology","title":"Widespread upper Triassic to lower Jurassic wildfire records from Poland: Evidence from charcoal and pyrolytic and pyrolytic polycyclic aromatic hydrocarbons","type":"article-journal","volume":"24"},"uris":["http://www.mendeley.com/documents/?uuid=2a6cb468-e7c6-4713-aac1-81b87c770762"]},{"id":"ITEM-2","itemData":{"DOI":"10.1017/S0016756811000914","ISSN":"0016-7568","abstract":"The Kamień Pomorski IG-1 borehole (Pomerania, NW Poland) yields a profile through the Triassic–Jurassic (T–J) transition in continental deposits. An integrated study of the sedimentology, sequence stratigraphy, palynology, biostratigraphy and geochemistry of these deposits has been carried out on the boundary interval, which represents a time of major environmental change. Two lithological units within the transitional section are distinguished: the Lower–Middle Rhaetian Wielichowo Beds of alluvial plain facies, which shows evidence of a semi-arid climate, and the Upper Rhaetian to Lower Hettangian Zagaje Formation, lying above a marked erosional sequence boundary, composed of mudstone-claystone and sandstone deposited in a fluvial-lacustrine environment. Carbon isotope values obtained from palynomaceral separates, and thus reflecting isotopic changes in atmospheric CO2, show significant fluctuations through the Rhaetian; the most conspicuous negative δ13Corg excursion is correlated with the Rhaetian ‘initial’ excursion and shows two sub-peaks, pointing to short-term carbon-cycle disturbances of lesser magnitude. Above the ‘initial’ negative excursion, there is a positive excursion followed again by more negative values, representing subordinate fluctuation within a positive excursion and is correlated with the T–J boundary. Seventy-two miospore taxa have been determined from the studied T–J transitional section. Two major palynological assemblages have been distinguished: the lower one, typically Rhaetian, named the Cingulizonates rhaeticus–Limbosporites lundblandii association, which corresponds to the Rhaetipollis–Ricciisporites (= Rhaetipollis–Limbosporites) Zone; and the upper one, typically Hettangian, named the Conbaculatisporites mesozoicus– Dictyophyllidites mortoni–Cerebropollenites thiergartii association (with the age-diagnostic pollen C. thiergartii), which corresponds to the Pinuspollenites–Trachysporites (= Trachysporites–Heliosporites) Zone. The T–J palynofloral turnover occurred in a humid period and is more conspicuous then palynofloral changes observed in Greenland, the Tethyan domain or other parts of NE Europe. The osmium isotope system is studied herein for the first time from T–J continental deposits and shows marked disturbances similar to those measured in marine deposits and attributed to volcanic fallout. Carbon and osmium isotope correlation and coeval increase in polycyclic aromatic hydrocarbon (PAH) content and darkening of…","author":[{"dropping-particle":"","family":"Pieńkowski","given":"Grzegorz","non-dropping-particle":"","parse-names":false,"suffix":""},{"dropping-particle":"","family":"Niedźwiedzki","given":"Grzegorz","non-dropping-particle":"","parse-names":false,"suffix":""},{"dropping-particle":"","family":"Waksmundzka","given":"Marta","non-dropping-particle":"","parse-names":false,"suffix":""}],"container-title":"Geological Magazine","id":"ITEM-2","issue":"2","issued":{"date-parts":[["2011","9","12"]]},"page":"308-332","title":"Sedimentological, palynological and geochemical studies of the terrestrial Triassic–Jurassic boundary in northwestern Poland","type":"article-journal","volume":"149"},"uris":["http://www.mendeley.com/documents/?uuid=a0ba88ba-d64b-4229-8c6a-22e361f52868"]}],"mendeley":{"formattedCitation":"(Marynowski and Simoneit, 2009; Pieńkowski et al., 2011)","plainTextFormattedCitation":"(Marynowski and Simoneit, 2009; Pieńkowski et al., 2011)","previouslyFormattedCitation":"(Marynowski and Simoneit, 2009; Pieńkowski et al., 2011)"},"properties":{"noteIndex":0},"schema":"https://github.com/citation-style-language/schema/raw/master/csl-citation.json"}</w:instrText>
      </w:r>
      <w:r w:rsidR="00791475">
        <w:rPr>
          <w:rFonts w:asciiTheme="majorBidi" w:hAnsiTheme="majorBidi" w:cstheme="majorBidi"/>
        </w:rPr>
        <w:fldChar w:fldCharType="separate"/>
      </w:r>
      <w:r w:rsidR="00791475" w:rsidRPr="00CF14CA">
        <w:rPr>
          <w:rFonts w:asciiTheme="majorBidi" w:hAnsiTheme="majorBidi" w:cstheme="majorBidi"/>
          <w:noProof/>
        </w:rPr>
        <w:t>(Marynowski and Simoneit, 2009; Pieńkowski et al., 2011)</w:t>
      </w:r>
      <w:r w:rsidR="00791475">
        <w:rPr>
          <w:rFonts w:asciiTheme="majorBidi" w:hAnsiTheme="majorBidi" w:cstheme="majorBidi"/>
        </w:rPr>
        <w:fldChar w:fldCharType="end"/>
      </w:r>
      <w:r w:rsidR="00791475">
        <w:rPr>
          <w:rFonts w:asciiTheme="majorBidi" w:hAnsiTheme="majorBidi" w:cstheme="majorBidi"/>
        </w:rPr>
        <w:t xml:space="preserve"> </w:t>
      </w:r>
      <w:r>
        <w:rPr>
          <w:rFonts w:asciiTheme="majorBidi" w:hAnsiTheme="majorBidi" w:cstheme="majorBidi"/>
        </w:rPr>
        <w:t>(Fig. 2</w:t>
      </w:r>
      <w:bookmarkStart w:id="29" w:name="_Hlk93659000"/>
      <w:r>
        <w:rPr>
          <w:rFonts w:asciiTheme="majorBidi" w:hAnsiTheme="majorBidi" w:cstheme="majorBidi"/>
        </w:rPr>
        <w:t xml:space="preserve">). </w:t>
      </w:r>
      <w:bookmarkStart w:id="30" w:name="_Hlk92744905"/>
      <w:r w:rsidRPr="00E02DAC">
        <w:rPr>
          <w:rFonts w:asciiTheme="majorBidi" w:hAnsiTheme="majorBidi" w:cstheme="majorBidi"/>
        </w:rPr>
        <w:t xml:space="preserve">However, based on other and more recent findings, </w:t>
      </w:r>
      <w:proofErr w:type="spellStart"/>
      <w:r w:rsidR="008C52F9">
        <w:rPr>
          <w:rFonts w:asciiTheme="majorBidi" w:hAnsiTheme="majorBidi" w:cstheme="majorBidi"/>
        </w:rPr>
        <w:t>py</w:t>
      </w:r>
      <w:r w:rsidRPr="00E02DAC">
        <w:rPr>
          <w:rFonts w:asciiTheme="majorBidi" w:hAnsiTheme="majorBidi" w:cstheme="majorBidi"/>
        </w:rPr>
        <w:t>PAH</w:t>
      </w:r>
      <w:proofErr w:type="spellEnd"/>
      <w:r w:rsidRPr="00E02DAC">
        <w:rPr>
          <w:rFonts w:asciiTheme="majorBidi" w:hAnsiTheme="majorBidi" w:cstheme="majorBidi"/>
        </w:rPr>
        <w:t xml:space="preserve"> increases at Mariental-1 could instead be attributed to biomass burning rather than a direct signal of the CAMP. For example, periods of intense biomass</w:t>
      </w:r>
      <w:r>
        <w:t xml:space="preserve"> burning can preferentially form HMW pyrogenic PAHs, including </w:t>
      </w:r>
      <w:r w:rsidRPr="00486DE3">
        <w:t>coronene (</w:t>
      </w:r>
      <w:r w:rsidR="00921F7A">
        <w:t>seven</w:t>
      </w:r>
      <w:r w:rsidRPr="00486DE3">
        <w:t xml:space="preserve"> rings)</w:t>
      </w:r>
      <w:r>
        <w:t>, explaining increased C</w:t>
      </w:r>
      <w:r w:rsidR="00727301">
        <w:t>or</w:t>
      </w:r>
      <w:r>
        <w:t>/</w:t>
      </w:r>
      <w:proofErr w:type="spellStart"/>
      <w:r>
        <w:t>BaP</w:t>
      </w:r>
      <w:proofErr w:type="spellEnd"/>
      <w:r>
        <w:t xml:space="preserve"> abundances </w:t>
      </w:r>
      <w:r>
        <w:fldChar w:fldCharType="begin" w:fldLock="1"/>
      </w:r>
      <w:r>
        <w:instrText>ADDIN CSL_CITATION {"citationItems":[{"id":"ITEM-1","itemData":{"DOI":"https://doi.org/10.1111/j.1365-3091.2005.00712.x","ISSN":"0037-0746","abstract":"Abstract Lithostratigraphic and organic chemostratigraphic studies of fluvial/lacustrine sediments in the Late Cretaceous Fort Crittenden Formation in south-eastern Arizona USA, reveal changes in palaeoclimate and tectonics as well as associated fluctuations in lake level. The lower Fort Crittenden is dominated by marginal wetland to deep-water lake deposits, whereas the upper Fort Crittenden is characterized by wetland to deltaic deposits. Abundance of polycyclic aromatic hydrocarbons (PAH) and reflectance of fusinite substantiate the impact of wildfires within the watershed. Organic geochemical evidence of wildfires is linked with sedimentological indicators of seasonal aridity suggesting that wildfires were common occurrences. Sedimentological evidence for seasonal aridity includes mottles and pseudoslickensides on ped structures within wetland mudstones. Distinct variations in PAH assemblages, characterized by the number of aromatic rings, indicate that there were variations in the intensities of wildfires, assuming no variations in the types of fuel. Fusinite reflectance values are consistent with combustion temperatures from 470 to 550?°C observed in modern wildfires.","author":[{"dropping-particle":"","family":"Finkelstein","given":"David B","non-dropping-particle":"","parse-names":false,"suffix":""},{"dropping-particle":"","family":"Pratt","given":"Lisa M","non-dropping-particle":"","parse-names":false,"suffix":""},{"dropping-particle":"","family":"Curtin","given":"Tara M","non-dropping-particle":"","parse-names":false,"suffix":""},{"dropping-particle":"","family":"Brassell","given":"Simon C","non-dropping-particle":"","parse-names":false,"suffix":""}],"container-title":"Sedimentology","id":"ITEM-1","issue":"3","issued":{"date-parts":[["2005","6","1"]]},"note":"https://doi.org/10.1111/j.1365-3091.2005.00712.x","page":"587-599","publisher":"John Wiley &amp; Sons, Ltd","title":"Wildfires and seasonal aridity recorded in Late Cretaceous strata from south-eastern Arizona, USA","type":"article-journal","volume":"52"},"uris":["http://www.mendeley.com/documents/?uuid=7b2a410a-778f-4ac9-a81c-0e3a568f091b"]}],"mendeley":{"formattedCitation":"(Finkelstein et al., 2005)","plainTextFormattedCitation":"(Finkelstein et al., 2005)","previouslyFormattedCitation":"(Finkelstein et al., 2005)"},"properties":{"noteIndex":0},"schema":"https://github.com/citation-style-language/schema/raw/master/csl-citation.json"}</w:instrText>
      </w:r>
      <w:r>
        <w:fldChar w:fldCharType="separate"/>
      </w:r>
      <w:r w:rsidRPr="00A249D1">
        <w:rPr>
          <w:noProof/>
        </w:rPr>
        <w:t>(Finkelstein et al., 2005)</w:t>
      </w:r>
      <w:r>
        <w:fldChar w:fldCharType="end"/>
      </w:r>
      <w:r>
        <w:t xml:space="preserve">. Additionally, increases in the </w:t>
      </w:r>
      <w:proofErr w:type="spellStart"/>
      <w:r w:rsidR="00791475">
        <w:t>py</w:t>
      </w:r>
      <w:r>
        <w:t>PAHs</w:t>
      </w:r>
      <w:proofErr w:type="spellEnd"/>
      <w:r>
        <w:t xml:space="preserve"> benzo(</w:t>
      </w:r>
      <w:r w:rsidRPr="00A54D6D">
        <w:rPr>
          <w:i/>
        </w:rPr>
        <w:t>a</w:t>
      </w:r>
      <w:r>
        <w:t>)anthracene and benzo(</w:t>
      </w:r>
      <w:proofErr w:type="spellStart"/>
      <w:r w:rsidRPr="00A54D6D">
        <w:rPr>
          <w:i/>
        </w:rPr>
        <w:t>ghi</w:t>
      </w:r>
      <w:proofErr w:type="spellEnd"/>
      <w:r>
        <w:t>)perylene at Mariental-1 are</w:t>
      </w:r>
      <w:r w:rsidR="00791475">
        <w:t xml:space="preserve"> similar</w:t>
      </w:r>
      <w:r w:rsidR="00F66FC3">
        <w:t xml:space="preserve"> to</w:t>
      </w:r>
      <w:r w:rsidR="00791475">
        <w:t xml:space="preserve"> or</w:t>
      </w:r>
      <w:r>
        <w:t xml:space="preserve"> greater than those of coronene; a profile </w:t>
      </w:r>
      <w:r w:rsidRPr="00A54D6D">
        <w:t>consistent</w:t>
      </w:r>
      <w:r>
        <w:t xml:space="preserve"> with combustion of terrestrial material </w:t>
      </w:r>
      <w:r>
        <w:fldChar w:fldCharType="begin" w:fldLock="1"/>
      </w:r>
      <w:r>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Pr>
          <w:rFonts w:ascii="Cambria Math" w:hAnsi="Cambria Math" w:cs="Cambria Math"/>
        </w:rPr>
        <w:instrText>∼</w:instrText>
      </w:r>
      <w:r>
        <w:instrText>12‰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id":"ITEM-2","itemData":{"DOI":"10.1021/es00080a019","ISSN":"0013-936X","author":[{"dropping-particle":"","family":"Freeman","given":"Diana J","non-dropping-particle":"","parse-names":false,"suffix":""},{"dropping-particle":"","family":"Cattell","given":"Frank C R","non-dropping-particle":"","parse-names":false,"suffix":""}],"container-title":"Environmental Science &amp; Technology","id":"ITEM-2","issue":"10","issued":{"date-parts":[["1990","10","1"]]},"note":"doi: 10.1021/es00080a019","page":"1581-1585","publisher":"American Chemical Society","title":"Woodburning as a source of atmospheric polycyclic aromatic hydrocarbons","type":"article-journal","volume":"24"},"uris":["http://www.mendeley.com/documents/?uuid=c1169a4f-76a1-45cd-920e-a1a9d0d34463"]}],"mendeley":{"formattedCitation":"(Freeman and Cattell, 1990; Karp et al., 2020)","plainTextFormattedCitation":"(Freeman and Cattell, 1990; Karp et al., 2020)","previouslyFormattedCitation":"(Freeman and Cattell, 1990; Karp et al., 2020)"},"properties":{"noteIndex":0},"schema":"https://github.com/citation-style-language/schema/raw/master/csl-citation.json"}</w:instrText>
      </w:r>
      <w:r>
        <w:fldChar w:fldCharType="separate"/>
      </w:r>
      <w:r w:rsidRPr="00A249D1">
        <w:rPr>
          <w:noProof/>
        </w:rPr>
        <w:t>(Freeman and Cattell, 1990; Karp et al., 2020)</w:t>
      </w:r>
      <w:r>
        <w:fldChar w:fldCharType="end"/>
      </w:r>
      <w:r>
        <w:t xml:space="preserve">. Finally, sedimentary charcoal preservation is biased towards high temperature burning events and combustion of woody </w:t>
      </w:r>
      <w:proofErr w:type="gramStart"/>
      <w:r>
        <w:t>material</w:t>
      </w:r>
      <w:proofErr w:type="gramEnd"/>
      <w:r>
        <w:t xml:space="preserve"> but Mariental-1 PAH increases coincide with fern proliferation</w:t>
      </w:r>
      <w:r w:rsidRPr="00486DE3">
        <w:t>.</w:t>
      </w:r>
      <w:r>
        <w:t xml:space="preserve"> </w:t>
      </w:r>
      <w:bookmarkEnd w:id="30"/>
      <w:r>
        <w:t>Arguably, increases in coronene relative to other combustion-derived PAHs likely reflect more intense burning</w:t>
      </w:r>
      <w:r w:rsidR="00377418">
        <w:t xml:space="preserve"> </w:t>
      </w:r>
      <w:r w:rsidR="00377418">
        <w:fldChar w:fldCharType="begin" w:fldLock="1"/>
      </w:r>
      <w:r w:rsidR="00377418">
        <w:instrText>ADDIN CSL_CITATION {"citationItems":[{"id":"ITEM-1","itemData":{"DOI":"https://doi.org/10.1111/j.1365-3091.2005.00712.x","ISSN":"0037-0746","abstract":"Abstract Lithostratigraphic and organic chemostratigraphic studies of fluvial/lacustrine sediments in the Late Cretaceous Fort Crittenden Formation in south-eastern Arizona USA, reveal changes in palaeoclimate and tectonics as well as associated fluctuations in lake level. The lower Fort Crittenden is dominated by marginal wetland to deep-water lake deposits, whereas the upper Fort Crittenden is characterized by wetland to deltaic deposits. Abundance of polycyclic aromatic hydrocarbons (PAH) and reflectance of fusinite substantiate the impact of wildfires within the watershed. Organic geochemical evidence of wildfires is linked with sedimentological indicators of seasonal aridity suggesting that wildfires were common occurrences. Sedimentological evidence for seasonal aridity includes mottles and pseudoslickensides on ped structures within wetland mudstones. Distinct variations in PAH assemblages, characterized by the number of aromatic rings, indicate that there were variations in the intensities of wildfires, assuming no variations in the types of fuel. Fusinite reflectance values are consistent with combustion temperatures from 470 to 550?°C observed in modern wildfires.","author":[{"dropping-particle":"","family":"Finkelstein","given":"David B","non-dropping-particle":"","parse-names":false,"suffix":""},{"dropping-particle":"","family":"Pratt","given":"Lisa M","non-dropping-particle":"","parse-names":false,"suffix":""},{"dropping-particle":"","family":"Curtin","given":"Tara M","non-dropping-particle":"","parse-names":false,"suffix":""},{"dropping-particle":"","family":"Brassell","given":"Simon C","non-dropping-particle":"","parse-names":false,"suffix":""}],"container-title":"Sedimentology","id":"ITEM-1","issue":"3","issued":{"date-parts":[["2005","6","1"]]},"note":"https://doi.org/10.1111/j.1365-3091.2005.00712.x","page":"587-599","publisher":"John Wiley &amp; Sons, Ltd","title":"Wildfires and seasonal aridity recorded in Late Cretaceous strata from south-eastern Arizona, USA","type":"article-journal","volume":"52"},"uris":["http://www.mendeley.com/documents/?uuid=7b2a410a-778f-4ac9-a81c-0e3a568f091b"]}],"mendeley":{"formattedCitation":"(Finkelstein et al., 2005)","plainTextFormattedCitation":"(Finkelstein et al., 2005)","previouslyFormattedCitation":"(Finkelstein et al., 2005)"},"properties":{"noteIndex":0},"schema":"https://github.com/citation-style-language/schema/raw/master/csl-citation.json"}</w:instrText>
      </w:r>
      <w:r w:rsidR="00377418">
        <w:fldChar w:fldCharType="separate"/>
      </w:r>
      <w:r w:rsidR="00377418" w:rsidRPr="00377418">
        <w:rPr>
          <w:noProof/>
        </w:rPr>
        <w:t>(Finkelstein et al., 2005)</w:t>
      </w:r>
      <w:r w:rsidR="00377418">
        <w:fldChar w:fldCharType="end"/>
      </w:r>
      <w:r w:rsidR="00377418">
        <w:t>.</w:t>
      </w:r>
      <w:r w:rsidR="0044431D">
        <w:t xml:space="preserve"> </w:t>
      </w:r>
      <w:bookmarkEnd w:id="29"/>
      <w:r w:rsidR="0044431D">
        <w:t xml:space="preserve">For expanded details on all charcoal and </w:t>
      </w:r>
      <w:proofErr w:type="spellStart"/>
      <w:r w:rsidR="0044431D">
        <w:t>pyPAH</w:t>
      </w:r>
      <w:proofErr w:type="spellEnd"/>
      <w:r w:rsidR="0044431D">
        <w:t xml:space="preserve"> bearing ETE sections, see the supplementary information.</w:t>
      </w:r>
    </w:p>
    <w:p w14:paraId="3BF4D286" w14:textId="3A49C8CB" w:rsidR="004746A5" w:rsidRDefault="004746A5" w:rsidP="004746A5">
      <w:pPr>
        <w:pStyle w:val="AbstractSummary"/>
        <w:spacing w:line="480" w:lineRule="auto"/>
        <w:jc w:val="both"/>
      </w:pPr>
    </w:p>
    <w:p w14:paraId="3A3D2005" w14:textId="10A453A4" w:rsidR="004746A5" w:rsidRPr="001C169D" w:rsidRDefault="004746A5" w:rsidP="001C169D">
      <w:pPr>
        <w:pStyle w:val="AbstractSummary"/>
        <w:numPr>
          <w:ilvl w:val="0"/>
          <w:numId w:val="1"/>
        </w:numPr>
        <w:spacing w:line="480" w:lineRule="auto"/>
        <w:jc w:val="both"/>
        <w:rPr>
          <w:b/>
        </w:rPr>
      </w:pPr>
      <w:r w:rsidRPr="001C169D">
        <w:rPr>
          <w:b/>
        </w:rPr>
        <w:lastRenderedPageBreak/>
        <w:t>Results and discussion</w:t>
      </w:r>
    </w:p>
    <w:p w14:paraId="56022247" w14:textId="77777777" w:rsidR="004746A5" w:rsidRDefault="004746A5" w:rsidP="00DF052C">
      <w:pPr>
        <w:pStyle w:val="AbstractSummary"/>
        <w:numPr>
          <w:ilvl w:val="1"/>
          <w:numId w:val="1"/>
        </w:numPr>
        <w:spacing w:line="480" w:lineRule="auto"/>
        <w:jc w:val="both"/>
        <w:rPr>
          <w:i/>
        </w:rPr>
      </w:pPr>
      <w:r w:rsidRPr="00DF052C">
        <w:rPr>
          <w:i/>
        </w:rPr>
        <w:t>Combustion PAHs and</w:t>
      </w:r>
      <w:r w:rsidR="00DF052C">
        <w:rPr>
          <w:i/>
        </w:rPr>
        <w:t xml:space="preserve"> the “initial”</w:t>
      </w:r>
      <w:r w:rsidRPr="00DF052C">
        <w:rPr>
          <w:i/>
        </w:rPr>
        <w:t xml:space="preserve"> </w:t>
      </w:r>
      <w:r w:rsidR="00DF052C">
        <w:rPr>
          <w:i/>
        </w:rPr>
        <w:t>CIE</w:t>
      </w:r>
    </w:p>
    <w:p w14:paraId="122FD498" w14:textId="3E3D51CA" w:rsidR="0095768F" w:rsidRDefault="00CE7418" w:rsidP="00863CEA">
      <w:pPr>
        <w:spacing w:line="480" w:lineRule="auto"/>
        <w:jc w:val="both"/>
        <w:rPr>
          <w:rFonts w:ascii="Times New Roman" w:hAnsi="Times New Roman" w:cs="Times New Roman"/>
          <w:sz w:val="24"/>
          <w:szCs w:val="24"/>
        </w:rPr>
      </w:pPr>
      <w:r>
        <w:rPr>
          <w:rFonts w:ascii="Times New Roman" w:hAnsi="Times New Roman" w:cs="Times New Roman"/>
          <w:sz w:val="24"/>
          <w:szCs w:val="24"/>
        </w:rPr>
        <w:tab/>
      </w:r>
      <w:bookmarkStart w:id="31" w:name="_Hlk93652798"/>
      <w:bookmarkStart w:id="32" w:name="_Hlk92745078"/>
      <w:r>
        <w:rPr>
          <w:rFonts w:ascii="Times New Roman" w:hAnsi="Times New Roman" w:cs="Times New Roman"/>
          <w:sz w:val="24"/>
          <w:szCs w:val="24"/>
        </w:rPr>
        <w:t>I</w:t>
      </w:r>
      <w:r w:rsidR="00486DE3">
        <w:rPr>
          <w:rFonts w:ascii="Times New Roman" w:hAnsi="Times New Roman" w:cs="Times New Roman"/>
          <w:sz w:val="24"/>
          <w:szCs w:val="24"/>
        </w:rPr>
        <w:t xml:space="preserve">n </w:t>
      </w:r>
      <w:r w:rsidR="00DF052C" w:rsidRPr="002B164A">
        <w:rPr>
          <w:rFonts w:ascii="Times New Roman" w:hAnsi="Times New Roman" w:cs="Times New Roman"/>
          <w:sz w:val="24"/>
          <w:szCs w:val="24"/>
        </w:rPr>
        <w:t>the SW UK</w:t>
      </w:r>
      <w:r>
        <w:rPr>
          <w:rFonts w:ascii="Times New Roman" w:hAnsi="Times New Roman" w:cs="Times New Roman"/>
          <w:sz w:val="24"/>
          <w:szCs w:val="24"/>
        </w:rPr>
        <w:t>,</w:t>
      </w:r>
      <w:r w:rsidR="00680CA1">
        <w:rPr>
          <w:rFonts w:ascii="Times New Roman" w:hAnsi="Times New Roman" w:cs="Times New Roman"/>
          <w:sz w:val="24"/>
          <w:szCs w:val="24"/>
        </w:rPr>
        <w:t xml:space="preserve"> initial CIE</w:t>
      </w:r>
      <w:r w:rsidR="002E0573" w:rsidRPr="002B164A">
        <w:rPr>
          <w:rFonts w:ascii="Times New Roman" w:hAnsi="Times New Roman" w:cs="Times New Roman"/>
          <w:sz w:val="24"/>
          <w:szCs w:val="24"/>
        </w:rPr>
        <w:t xml:space="preserve"> C</w:t>
      </w:r>
      <w:r w:rsidR="007F45B2">
        <w:rPr>
          <w:rFonts w:ascii="Times New Roman" w:hAnsi="Times New Roman" w:cs="Times New Roman"/>
          <w:sz w:val="24"/>
          <w:szCs w:val="24"/>
        </w:rPr>
        <w:t>or</w:t>
      </w:r>
      <w:r w:rsidR="002E0573" w:rsidRPr="002B164A">
        <w:rPr>
          <w:rFonts w:ascii="Times New Roman" w:hAnsi="Times New Roman" w:cs="Times New Roman"/>
          <w:sz w:val="24"/>
          <w:szCs w:val="24"/>
        </w:rPr>
        <w:t>/</w:t>
      </w:r>
      <w:proofErr w:type="spellStart"/>
      <w:r w:rsidR="002E0573" w:rsidRPr="002B164A">
        <w:rPr>
          <w:rFonts w:ascii="Times New Roman" w:hAnsi="Times New Roman" w:cs="Times New Roman"/>
          <w:sz w:val="24"/>
          <w:szCs w:val="24"/>
        </w:rPr>
        <w:t>BaP</w:t>
      </w:r>
      <w:proofErr w:type="spellEnd"/>
      <w:r w:rsidR="002E0573" w:rsidRPr="002B164A">
        <w:rPr>
          <w:rFonts w:ascii="Times New Roman" w:hAnsi="Times New Roman" w:cs="Times New Roman"/>
          <w:sz w:val="24"/>
          <w:szCs w:val="24"/>
        </w:rPr>
        <w:t xml:space="preserve"> ratios of </w:t>
      </w:r>
      <w:r w:rsidR="007E7899">
        <w:rPr>
          <w:rFonts w:ascii="Times New Roman" w:hAnsi="Times New Roman" w:cs="Times New Roman"/>
          <w:sz w:val="24"/>
          <w:szCs w:val="24"/>
        </w:rPr>
        <w:t>33.70</w:t>
      </w:r>
      <w:r w:rsidR="00DF052C" w:rsidRPr="002B164A">
        <w:rPr>
          <w:rFonts w:ascii="Times New Roman" w:hAnsi="Times New Roman" w:cs="Times New Roman"/>
          <w:sz w:val="24"/>
          <w:szCs w:val="24"/>
        </w:rPr>
        <w:t xml:space="preserve"> </w:t>
      </w:r>
      <w:r w:rsidR="002E0573" w:rsidRPr="002B164A">
        <w:rPr>
          <w:rFonts w:ascii="Times New Roman" w:hAnsi="Times New Roman" w:cs="Times New Roman"/>
          <w:sz w:val="24"/>
          <w:szCs w:val="24"/>
        </w:rPr>
        <w:t>at St. Audrie’s Bay</w:t>
      </w:r>
      <w:r w:rsidR="00DF052C" w:rsidRPr="002B164A">
        <w:rPr>
          <w:rFonts w:ascii="Times New Roman" w:hAnsi="Times New Roman" w:cs="Times New Roman"/>
          <w:sz w:val="24"/>
          <w:szCs w:val="24"/>
        </w:rPr>
        <w:t xml:space="preserve"> and even greater ratios of 88.20 and 20.93 at Lilstock</w:t>
      </w:r>
      <w:r w:rsidR="00A35D55">
        <w:rPr>
          <w:rFonts w:ascii="Times New Roman" w:hAnsi="Times New Roman" w:cs="Times New Roman"/>
          <w:sz w:val="24"/>
          <w:szCs w:val="24"/>
        </w:rPr>
        <w:t xml:space="preserve"> </w:t>
      </w:r>
      <w:r w:rsidR="00664F51">
        <w:rPr>
          <w:rFonts w:ascii="Times New Roman" w:hAnsi="Times New Roman" w:cs="Times New Roman"/>
          <w:sz w:val="24"/>
          <w:szCs w:val="24"/>
        </w:rPr>
        <w:t xml:space="preserve">superficially suggest widespread and intense wildfire </w:t>
      </w:r>
      <w:r w:rsidR="00BC07E6">
        <w:rPr>
          <w:rFonts w:ascii="Times New Roman" w:hAnsi="Times New Roman" w:cs="Times New Roman"/>
          <w:sz w:val="24"/>
          <w:szCs w:val="24"/>
        </w:rPr>
        <w:t>activity</w:t>
      </w:r>
      <w:r w:rsidR="00664F51">
        <w:rPr>
          <w:rFonts w:ascii="Times New Roman" w:hAnsi="Times New Roman" w:cs="Times New Roman"/>
          <w:sz w:val="24"/>
          <w:szCs w:val="24"/>
        </w:rPr>
        <w:t xml:space="preserve"> across Greenland and Europe</w:t>
      </w:r>
      <w:r w:rsidR="00122B32">
        <w:rPr>
          <w:rFonts w:ascii="Times New Roman" w:hAnsi="Times New Roman" w:cs="Times New Roman"/>
          <w:sz w:val="24"/>
          <w:szCs w:val="24"/>
        </w:rPr>
        <w:t xml:space="preserve"> during deposition of the initial CIE</w:t>
      </w:r>
      <w:r w:rsidR="0050419F">
        <w:rPr>
          <w:rFonts w:ascii="Times New Roman" w:hAnsi="Times New Roman" w:cs="Times New Roman"/>
          <w:sz w:val="24"/>
          <w:szCs w:val="24"/>
        </w:rPr>
        <w:t xml:space="preserve"> (Fig. 2)</w:t>
      </w:r>
      <w:r w:rsidR="00664F51">
        <w:rPr>
          <w:rFonts w:ascii="Times New Roman" w:hAnsi="Times New Roman" w:cs="Times New Roman"/>
          <w:sz w:val="24"/>
          <w:szCs w:val="24"/>
        </w:rPr>
        <w:t>.</w:t>
      </w:r>
      <w:bookmarkStart w:id="33" w:name="_Hlk93652827"/>
      <w:r w:rsidR="00664F51">
        <w:rPr>
          <w:rFonts w:ascii="Times New Roman" w:hAnsi="Times New Roman" w:cs="Times New Roman"/>
          <w:sz w:val="24"/>
          <w:szCs w:val="24"/>
        </w:rPr>
        <w:t xml:space="preserve"> </w:t>
      </w:r>
      <w:bookmarkEnd w:id="31"/>
      <w:r w:rsidR="00664F51" w:rsidRPr="00664F51">
        <w:rPr>
          <w:rFonts w:ascii="Times New Roman" w:hAnsi="Times New Roman" w:cs="Times New Roman"/>
          <w:sz w:val="24"/>
          <w:szCs w:val="24"/>
        </w:rPr>
        <w:t>However, b</w:t>
      </w:r>
      <w:r w:rsidR="00E86BDD" w:rsidRPr="00664F51">
        <w:rPr>
          <w:rFonts w:ascii="Times New Roman" w:hAnsi="Times New Roman" w:cs="Times New Roman"/>
          <w:sz w:val="24"/>
          <w:szCs w:val="24"/>
        </w:rPr>
        <w:t xml:space="preserve">ased on concentrations of </w:t>
      </w:r>
      <w:proofErr w:type="spellStart"/>
      <w:r w:rsidR="00F66FC3">
        <w:rPr>
          <w:rFonts w:ascii="Times New Roman" w:hAnsi="Times New Roman" w:cs="Times New Roman"/>
          <w:sz w:val="24"/>
          <w:szCs w:val="24"/>
        </w:rPr>
        <w:t>py</w:t>
      </w:r>
      <w:r w:rsidR="00CA2C65" w:rsidRPr="00664F51">
        <w:rPr>
          <w:rFonts w:ascii="Times New Roman" w:hAnsi="Times New Roman" w:cs="Times New Roman"/>
          <w:sz w:val="24"/>
          <w:szCs w:val="24"/>
        </w:rPr>
        <w:t>PAHs</w:t>
      </w:r>
      <w:proofErr w:type="spellEnd"/>
      <w:r w:rsidR="00632038">
        <w:rPr>
          <w:rFonts w:ascii="Times New Roman" w:hAnsi="Times New Roman" w:cs="Times New Roman"/>
          <w:sz w:val="24"/>
          <w:szCs w:val="24"/>
        </w:rPr>
        <w:t xml:space="preserve"> and their ratios</w:t>
      </w:r>
      <w:r w:rsidR="002A6159">
        <w:rPr>
          <w:rFonts w:ascii="Times New Roman" w:hAnsi="Times New Roman" w:cs="Times New Roman"/>
          <w:sz w:val="24"/>
          <w:szCs w:val="24"/>
        </w:rPr>
        <w:t xml:space="preserve"> (described below) other processes are </w:t>
      </w:r>
      <w:r w:rsidR="00A9256B">
        <w:rPr>
          <w:rFonts w:ascii="Times New Roman" w:hAnsi="Times New Roman" w:cs="Times New Roman"/>
          <w:sz w:val="24"/>
          <w:szCs w:val="24"/>
        </w:rPr>
        <w:t xml:space="preserve">likely </w:t>
      </w:r>
      <w:r w:rsidR="006B0029">
        <w:rPr>
          <w:rFonts w:ascii="Times New Roman" w:hAnsi="Times New Roman" w:cs="Times New Roman"/>
          <w:sz w:val="24"/>
          <w:szCs w:val="24"/>
        </w:rPr>
        <w:t>responsible,</w:t>
      </w:r>
      <w:r w:rsidR="002A6159">
        <w:rPr>
          <w:rFonts w:ascii="Times New Roman" w:hAnsi="Times New Roman" w:cs="Times New Roman"/>
          <w:sz w:val="24"/>
          <w:szCs w:val="24"/>
        </w:rPr>
        <w:t xml:space="preserve"> </w:t>
      </w:r>
      <w:r w:rsidR="00DA5057">
        <w:rPr>
          <w:rFonts w:ascii="Times New Roman" w:hAnsi="Times New Roman" w:cs="Times New Roman"/>
          <w:sz w:val="24"/>
          <w:szCs w:val="24"/>
        </w:rPr>
        <w:t>and a more thorough interpretation is required.</w:t>
      </w:r>
      <w:bookmarkEnd w:id="32"/>
      <w:bookmarkEnd w:id="33"/>
    </w:p>
    <w:p w14:paraId="40962BF4" w14:textId="2BE64F37" w:rsidR="005C3F7F" w:rsidRDefault="006B0029" w:rsidP="005045D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5C3F7F" w:rsidRPr="00863CEA">
        <w:rPr>
          <w:rFonts w:ascii="Times New Roman" w:hAnsi="Times New Roman" w:cs="Times New Roman"/>
          <w:sz w:val="24"/>
          <w:szCs w:val="24"/>
        </w:rPr>
        <w:t>ntense biomass burning can lead to the preferential formation of</w:t>
      </w:r>
      <w:r w:rsidR="005C3F7F">
        <w:rPr>
          <w:rFonts w:ascii="Times New Roman" w:hAnsi="Times New Roman" w:cs="Times New Roman"/>
          <w:sz w:val="24"/>
          <w:szCs w:val="24"/>
        </w:rPr>
        <w:t xml:space="preserve"> HMW</w:t>
      </w:r>
      <w:r w:rsidR="005C3F7F" w:rsidRPr="00863CEA">
        <w:rPr>
          <w:rFonts w:ascii="Times New Roman" w:hAnsi="Times New Roman" w:cs="Times New Roman"/>
          <w:sz w:val="24"/>
          <w:szCs w:val="24"/>
        </w:rPr>
        <w:t xml:space="preserve"> </w:t>
      </w:r>
      <w:proofErr w:type="spellStart"/>
      <w:r w:rsidR="00680CA1">
        <w:rPr>
          <w:rFonts w:ascii="Times New Roman" w:hAnsi="Times New Roman" w:cs="Times New Roman"/>
          <w:sz w:val="24"/>
          <w:szCs w:val="24"/>
        </w:rPr>
        <w:t>py</w:t>
      </w:r>
      <w:r w:rsidR="005C3F7F" w:rsidRPr="00863CEA">
        <w:rPr>
          <w:rFonts w:ascii="Times New Roman" w:hAnsi="Times New Roman" w:cs="Times New Roman"/>
          <w:sz w:val="24"/>
          <w:szCs w:val="24"/>
        </w:rPr>
        <w:t>PAH</w:t>
      </w:r>
      <w:proofErr w:type="spellEnd"/>
      <w:r w:rsidR="005C3F7F">
        <w:rPr>
          <w:rFonts w:ascii="Times New Roman" w:hAnsi="Times New Roman" w:cs="Times New Roman"/>
          <w:sz w:val="24"/>
          <w:szCs w:val="24"/>
        </w:rPr>
        <w:t xml:space="preserve"> </w:t>
      </w:r>
      <w:r w:rsidR="005C3F7F">
        <w:rPr>
          <w:rFonts w:ascii="Times New Roman" w:hAnsi="Times New Roman" w:cs="Times New Roman"/>
          <w:sz w:val="24"/>
          <w:szCs w:val="24"/>
        </w:rPr>
        <w:fldChar w:fldCharType="begin" w:fldLock="1"/>
      </w:r>
      <w:r w:rsidR="00E66030">
        <w:rPr>
          <w:rFonts w:ascii="Times New Roman" w:hAnsi="Times New Roman" w:cs="Times New Roman"/>
          <w:sz w:val="24"/>
          <w:szCs w:val="24"/>
        </w:rPr>
        <w:instrText>ADDIN CSL_CITATION {"citationItems":[{"id":"ITEM-1","itemData":{"DOI":"https://doi.org/10.1111/j.1365-3091.2005.00712.x","ISSN":"0037-0746","abstract":"Abstract Lithostratigraphic and organic chemostratigraphic studies of fluvial/lacustrine sediments in the Late Cretaceous Fort Crittenden Formation in south-eastern Arizona USA, reveal changes in palaeoclimate and tectonics as well as associated fluctuations in lake level. The lower Fort Crittenden is dominated by marginal wetland to deep-water lake deposits, whereas the upper Fort Crittenden is characterized by wetland to deltaic deposits. Abundance of polycyclic aromatic hydrocarbons (PAH) and reflectance of fusinite substantiate the impact of wildfires within the watershed. Organic geochemical evidence of wildfires is linked with sedimentological indicators of seasonal aridity suggesting that wildfires were common occurrences. Sedimentological evidence for seasonal aridity includes mottles and pseudoslickensides on ped structures within wetland mudstones. Distinct variations in PAH assemblages, characterized by the number of aromatic rings, indicate that there were variations in the intensities of wildfires, assuming no variations in the types of fuel. Fusinite reflectance values are consistent with combustion temperatures from 470 to 550?°C observed in modern wildfires.","author":[{"dropping-particle":"","family":"Finkelstein","given":"David B","non-dropping-particle":"","parse-names":false,"suffix":""},{"dropping-particle":"","family":"Pratt","given":"Lisa M","non-dropping-particle":"","parse-names":false,"suffix":""},{"dropping-particle":"","family":"Curtin","given":"Tara M","non-dropping-particle":"","parse-names":false,"suffix":""},{"dropping-particle":"","family":"Brassell","given":"Simon C","non-dropping-particle":"","parse-names":false,"suffix":""}],"container-title":"Sedimentology","id":"ITEM-1","issue":"3","issued":{"date-parts":[["2005","6","1"]]},"note":"https://doi.org/10.1111/j.1365-3091.2005.00712.x","page":"587-599","publisher":"John Wiley &amp; Sons, Ltd","title":"Wildfires and seasonal aridity recorded in Late Cretaceous strata from south-eastern Arizona, USA","type":"article-journal","volume":"52"},"uris":["http://www.mendeley.com/documents/?uuid=7b2a410a-778f-4ac9-a81c-0e3a568f091b"]}],"mendeley":{"formattedCitation":"(Finkelstein et al., 2005)","plainTextFormattedCitation":"(Finkelstein et al., 2005)","previouslyFormattedCitation":"(Finkelstein et al., 2005)"},"properties":{"noteIndex":0},"schema":"https://github.com/citation-style-language/schema/raw/master/csl-citation.json"}</w:instrText>
      </w:r>
      <w:r w:rsidR="005C3F7F">
        <w:rPr>
          <w:rFonts w:ascii="Times New Roman" w:hAnsi="Times New Roman" w:cs="Times New Roman"/>
          <w:sz w:val="24"/>
          <w:szCs w:val="24"/>
        </w:rPr>
        <w:fldChar w:fldCharType="separate"/>
      </w:r>
      <w:r w:rsidR="00377418" w:rsidRPr="00377418">
        <w:rPr>
          <w:rFonts w:ascii="Times New Roman" w:hAnsi="Times New Roman" w:cs="Times New Roman"/>
          <w:noProof/>
          <w:sz w:val="24"/>
          <w:szCs w:val="24"/>
        </w:rPr>
        <w:t>(Finkelstein et al., 2005)</w:t>
      </w:r>
      <w:r w:rsidR="005C3F7F">
        <w:rPr>
          <w:rFonts w:ascii="Times New Roman" w:hAnsi="Times New Roman" w:cs="Times New Roman"/>
          <w:sz w:val="24"/>
          <w:szCs w:val="24"/>
        </w:rPr>
        <w:fldChar w:fldCharType="end"/>
      </w:r>
      <w:r>
        <w:rPr>
          <w:rFonts w:ascii="Times New Roman" w:hAnsi="Times New Roman" w:cs="Times New Roman"/>
          <w:sz w:val="24"/>
          <w:szCs w:val="24"/>
        </w:rPr>
        <w:t>. Thus,</w:t>
      </w:r>
      <w:r w:rsidR="005C3F7F" w:rsidRPr="00863CEA">
        <w:rPr>
          <w:rFonts w:ascii="Times New Roman" w:hAnsi="Times New Roman" w:cs="Times New Roman"/>
          <w:sz w:val="24"/>
          <w:szCs w:val="24"/>
        </w:rPr>
        <w:t xml:space="preserve"> comparisons between the relative abundance of</w:t>
      </w:r>
      <w:r w:rsidR="005C3F7F">
        <w:rPr>
          <w:rFonts w:ascii="Times New Roman" w:hAnsi="Times New Roman" w:cs="Times New Roman"/>
          <w:sz w:val="24"/>
          <w:szCs w:val="24"/>
        </w:rPr>
        <w:t xml:space="preserve"> HMW</w:t>
      </w:r>
      <w:r w:rsidR="005C3F7F" w:rsidRPr="00863CEA">
        <w:rPr>
          <w:rFonts w:ascii="Times New Roman" w:hAnsi="Times New Roman" w:cs="Times New Roman"/>
          <w:sz w:val="24"/>
          <w:szCs w:val="24"/>
        </w:rPr>
        <w:t xml:space="preserve"> and</w:t>
      </w:r>
      <w:r w:rsidR="005C3F7F">
        <w:rPr>
          <w:rFonts w:ascii="Times New Roman" w:hAnsi="Times New Roman" w:cs="Times New Roman"/>
          <w:sz w:val="24"/>
          <w:szCs w:val="24"/>
        </w:rPr>
        <w:t xml:space="preserve"> LMW</w:t>
      </w:r>
      <w:r w:rsidR="005C3F7F" w:rsidRPr="00863CEA">
        <w:rPr>
          <w:rFonts w:ascii="Times New Roman" w:hAnsi="Times New Roman" w:cs="Times New Roman"/>
          <w:sz w:val="24"/>
          <w:szCs w:val="24"/>
        </w:rPr>
        <w:t xml:space="preserve"> </w:t>
      </w:r>
      <w:proofErr w:type="spellStart"/>
      <w:r w:rsidR="00FF610B">
        <w:rPr>
          <w:rFonts w:ascii="Times New Roman" w:hAnsi="Times New Roman" w:cs="Times New Roman"/>
          <w:sz w:val="24"/>
          <w:szCs w:val="24"/>
        </w:rPr>
        <w:t>py</w:t>
      </w:r>
      <w:r w:rsidR="005C3F7F" w:rsidRPr="00863CEA">
        <w:rPr>
          <w:rFonts w:ascii="Times New Roman" w:hAnsi="Times New Roman" w:cs="Times New Roman"/>
          <w:sz w:val="24"/>
          <w:szCs w:val="24"/>
        </w:rPr>
        <w:t>PAHs</w:t>
      </w:r>
      <w:proofErr w:type="spellEnd"/>
      <w:r w:rsidR="005C3F7F" w:rsidRPr="00863CEA">
        <w:rPr>
          <w:rFonts w:ascii="Times New Roman" w:hAnsi="Times New Roman" w:cs="Times New Roman"/>
          <w:sz w:val="24"/>
          <w:szCs w:val="24"/>
        </w:rPr>
        <w:t xml:space="preserve"> </w:t>
      </w:r>
      <w:r w:rsidR="005C3F7F">
        <w:rPr>
          <w:rFonts w:ascii="Times New Roman" w:hAnsi="Times New Roman" w:cs="Times New Roman"/>
          <w:sz w:val="24"/>
          <w:szCs w:val="24"/>
        </w:rPr>
        <w:t>provides</w:t>
      </w:r>
      <w:r w:rsidR="005C3F7F" w:rsidRPr="00863CEA">
        <w:rPr>
          <w:rFonts w:ascii="Times New Roman" w:hAnsi="Times New Roman" w:cs="Times New Roman"/>
          <w:sz w:val="24"/>
          <w:szCs w:val="24"/>
        </w:rPr>
        <w:t xml:space="preserve"> details on the activity and intensity of CAMP-induced </w:t>
      </w:r>
      <w:r>
        <w:rPr>
          <w:rFonts w:ascii="Times New Roman" w:hAnsi="Times New Roman" w:cs="Times New Roman"/>
          <w:sz w:val="24"/>
          <w:szCs w:val="24"/>
        </w:rPr>
        <w:t>wildfires</w:t>
      </w:r>
      <w:r w:rsidR="005C3F7F" w:rsidRPr="00863CEA">
        <w:rPr>
          <w:rFonts w:ascii="Times New Roman" w:hAnsi="Times New Roman" w:cs="Times New Roman"/>
          <w:sz w:val="24"/>
          <w:szCs w:val="24"/>
        </w:rPr>
        <w:t>.</w:t>
      </w:r>
      <w:r w:rsidR="005C3F7F">
        <w:rPr>
          <w:rFonts w:ascii="Times New Roman" w:hAnsi="Times New Roman" w:cs="Times New Roman"/>
          <w:sz w:val="24"/>
          <w:szCs w:val="24"/>
        </w:rPr>
        <w:t xml:space="preserve"> I</w:t>
      </w:r>
      <w:r w:rsidR="005C3F7F" w:rsidRPr="00863CEA">
        <w:rPr>
          <w:rFonts w:ascii="Times New Roman" w:hAnsi="Times New Roman" w:cs="Times New Roman"/>
          <w:sz w:val="24"/>
          <w:szCs w:val="24"/>
        </w:rPr>
        <w:t xml:space="preserve">n the initial CIE there are no significant changes in the relative abundance of </w:t>
      </w:r>
      <w:proofErr w:type="spellStart"/>
      <w:r w:rsidR="00DB1FE8">
        <w:rPr>
          <w:rFonts w:ascii="Times New Roman" w:hAnsi="Times New Roman" w:cs="Times New Roman"/>
          <w:sz w:val="24"/>
          <w:szCs w:val="24"/>
        </w:rPr>
        <w:t>py</w:t>
      </w:r>
      <w:r w:rsidR="005C3F7F" w:rsidRPr="00863CEA">
        <w:rPr>
          <w:rFonts w:ascii="Times New Roman" w:hAnsi="Times New Roman" w:cs="Times New Roman"/>
          <w:sz w:val="24"/>
          <w:szCs w:val="24"/>
        </w:rPr>
        <w:t>PAHs</w:t>
      </w:r>
      <w:proofErr w:type="spellEnd"/>
      <w:r w:rsidR="005C3F7F" w:rsidRPr="00863CEA">
        <w:rPr>
          <w:rFonts w:ascii="Times New Roman" w:hAnsi="Times New Roman" w:cs="Times New Roman"/>
          <w:sz w:val="24"/>
          <w:szCs w:val="24"/>
        </w:rPr>
        <w:t xml:space="preserve"> with differing ring numbers</w:t>
      </w:r>
      <w:r w:rsidR="005C3F7F">
        <w:rPr>
          <w:rFonts w:ascii="Times New Roman" w:hAnsi="Times New Roman" w:cs="Times New Roman"/>
          <w:sz w:val="24"/>
          <w:szCs w:val="24"/>
        </w:rPr>
        <w:t xml:space="preserve"> that may be expected with a</w:t>
      </w:r>
      <w:r w:rsidR="00F66FC3">
        <w:rPr>
          <w:rFonts w:ascii="Times New Roman" w:hAnsi="Times New Roman" w:cs="Times New Roman"/>
          <w:sz w:val="24"/>
          <w:szCs w:val="24"/>
        </w:rPr>
        <w:t>n intense</w:t>
      </w:r>
      <w:r w:rsidR="005C3F7F">
        <w:rPr>
          <w:rFonts w:ascii="Times New Roman" w:hAnsi="Times New Roman" w:cs="Times New Roman"/>
          <w:sz w:val="24"/>
          <w:szCs w:val="24"/>
        </w:rPr>
        <w:t xml:space="preserve"> burning event</w:t>
      </w:r>
      <w:r w:rsidR="005C3F7F" w:rsidRPr="00863CEA">
        <w:rPr>
          <w:rFonts w:ascii="Times New Roman" w:hAnsi="Times New Roman" w:cs="Times New Roman"/>
          <w:sz w:val="24"/>
          <w:szCs w:val="24"/>
        </w:rPr>
        <w:t>.</w:t>
      </w:r>
      <w:r w:rsidR="005C3F7F">
        <w:rPr>
          <w:rFonts w:ascii="Times New Roman" w:hAnsi="Times New Roman" w:cs="Times New Roman"/>
          <w:sz w:val="24"/>
          <w:szCs w:val="24"/>
        </w:rPr>
        <w:t xml:space="preserve"> </w:t>
      </w:r>
      <w:r w:rsidR="005C3F7F" w:rsidRPr="00863CEA">
        <w:rPr>
          <w:rFonts w:ascii="Times New Roman" w:hAnsi="Times New Roman" w:cs="Times New Roman"/>
          <w:sz w:val="24"/>
          <w:szCs w:val="24"/>
        </w:rPr>
        <w:t xml:space="preserve">Additionally, the relative abundance of </w:t>
      </w:r>
      <w:r w:rsidR="005C3F7F">
        <w:rPr>
          <w:rFonts w:ascii="Times New Roman" w:hAnsi="Times New Roman" w:cs="Times New Roman"/>
          <w:sz w:val="24"/>
          <w:szCs w:val="24"/>
        </w:rPr>
        <w:t>HMW</w:t>
      </w:r>
      <w:r w:rsidR="005C3F7F" w:rsidRPr="00863CEA">
        <w:rPr>
          <w:rFonts w:ascii="Times New Roman" w:hAnsi="Times New Roman" w:cs="Times New Roman"/>
          <w:sz w:val="24"/>
          <w:szCs w:val="24"/>
        </w:rPr>
        <w:t xml:space="preserve"> and</w:t>
      </w:r>
      <w:r w:rsidR="005C3F7F">
        <w:rPr>
          <w:rFonts w:ascii="Times New Roman" w:hAnsi="Times New Roman" w:cs="Times New Roman"/>
          <w:sz w:val="24"/>
          <w:szCs w:val="24"/>
        </w:rPr>
        <w:t xml:space="preserve"> LMW</w:t>
      </w:r>
      <w:r w:rsidR="005C3F7F" w:rsidRPr="00863CEA">
        <w:rPr>
          <w:rFonts w:ascii="Times New Roman" w:hAnsi="Times New Roman" w:cs="Times New Roman"/>
          <w:sz w:val="24"/>
          <w:szCs w:val="24"/>
        </w:rPr>
        <w:t xml:space="preserve"> </w:t>
      </w:r>
      <w:proofErr w:type="spellStart"/>
      <w:r>
        <w:rPr>
          <w:rFonts w:ascii="Times New Roman" w:hAnsi="Times New Roman" w:cs="Times New Roman"/>
          <w:sz w:val="24"/>
          <w:szCs w:val="24"/>
        </w:rPr>
        <w:t>py</w:t>
      </w:r>
      <w:r w:rsidR="005C3F7F" w:rsidRPr="00863CEA">
        <w:rPr>
          <w:rFonts w:ascii="Times New Roman" w:hAnsi="Times New Roman" w:cs="Times New Roman"/>
          <w:sz w:val="24"/>
          <w:szCs w:val="24"/>
        </w:rPr>
        <w:t>PAHs</w:t>
      </w:r>
      <w:proofErr w:type="spellEnd"/>
      <w:r w:rsidR="005C3F7F" w:rsidRPr="00863CEA">
        <w:rPr>
          <w:rFonts w:ascii="Times New Roman" w:hAnsi="Times New Roman" w:cs="Times New Roman"/>
          <w:sz w:val="24"/>
          <w:szCs w:val="24"/>
        </w:rPr>
        <w:t xml:space="preserve"> are different between the sections. </w:t>
      </w:r>
      <w:r w:rsidR="00DB1FE8">
        <w:rPr>
          <w:rFonts w:ascii="Times New Roman" w:hAnsi="Times New Roman" w:cs="Times New Roman"/>
          <w:sz w:val="24"/>
          <w:szCs w:val="24"/>
        </w:rPr>
        <w:t>T</w:t>
      </w:r>
      <w:r w:rsidR="00DB1FE8" w:rsidRPr="00863CEA">
        <w:rPr>
          <w:rFonts w:ascii="Times New Roman" w:hAnsi="Times New Roman" w:cs="Times New Roman"/>
          <w:sz w:val="24"/>
          <w:szCs w:val="24"/>
        </w:rPr>
        <w:t>hroughout the St. Audrie’s Bay section</w:t>
      </w:r>
      <w:r w:rsidR="00DB1FE8">
        <w:rPr>
          <w:rFonts w:ascii="Times New Roman" w:hAnsi="Times New Roman" w:cs="Times New Roman"/>
          <w:sz w:val="24"/>
          <w:szCs w:val="24"/>
        </w:rPr>
        <w:t xml:space="preserve">, </w:t>
      </w:r>
      <w:r>
        <w:rPr>
          <w:rFonts w:ascii="Times New Roman" w:hAnsi="Times New Roman" w:cs="Times New Roman"/>
          <w:sz w:val="24"/>
          <w:szCs w:val="24"/>
        </w:rPr>
        <w:t xml:space="preserve">the relative abundances of </w:t>
      </w:r>
      <w:proofErr w:type="spellStart"/>
      <w:r w:rsidR="005C3F7F">
        <w:rPr>
          <w:rFonts w:ascii="Times New Roman" w:hAnsi="Times New Roman" w:cs="Times New Roman"/>
          <w:sz w:val="24"/>
          <w:szCs w:val="24"/>
        </w:rPr>
        <w:t>py</w:t>
      </w:r>
      <w:r w:rsidR="005C3F7F" w:rsidRPr="00863CEA">
        <w:rPr>
          <w:rFonts w:ascii="Times New Roman" w:hAnsi="Times New Roman" w:cs="Times New Roman"/>
          <w:sz w:val="24"/>
          <w:szCs w:val="24"/>
        </w:rPr>
        <w:t>PAHs</w:t>
      </w:r>
      <w:proofErr w:type="spellEnd"/>
      <w:r w:rsidR="005C3F7F" w:rsidRPr="00863CEA">
        <w:rPr>
          <w:rFonts w:ascii="Times New Roman" w:hAnsi="Times New Roman" w:cs="Times New Roman"/>
          <w:sz w:val="24"/>
          <w:szCs w:val="24"/>
        </w:rPr>
        <w:t xml:space="preserve"> containing </w:t>
      </w:r>
      <w:r w:rsidR="00921F7A">
        <w:rPr>
          <w:rFonts w:ascii="Times New Roman" w:hAnsi="Times New Roman" w:cs="Times New Roman"/>
          <w:sz w:val="24"/>
          <w:szCs w:val="24"/>
        </w:rPr>
        <w:t>three</w:t>
      </w:r>
      <w:r w:rsidR="005C3F7F" w:rsidRPr="00863CEA">
        <w:rPr>
          <w:rFonts w:ascii="Times New Roman" w:hAnsi="Times New Roman" w:cs="Times New Roman"/>
          <w:sz w:val="24"/>
          <w:szCs w:val="24"/>
        </w:rPr>
        <w:t xml:space="preserve"> rings (p</w:t>
      </w:r>
      <w:r w:rsidR="005C3F7F">
        <w:rPr>
          <w:rFonts w:ascii="Times New Roman" w:hAnsi="Times New Roman" w:cs="Times New Roman"/>
          <w:sz w:val="24"/>
          <w:szCs w:val="24"/>
        </w:rPr>
        <w:t>henanthrene</w:t>
      </w:r>
      <w:r w:rsidR="005C3F7F" w:rsidRPr="00863CEA">
        <w:rPr>
          <w:rFonts w:ascii="Times New Roman" w:hAnsi="Times New Roman" w:cs="Times New Roman"/>
          <w:sz w:val="24"/>
          <w:szCs w:val="24"/>
        </w:rPr>
        <w:t xml:space="preserve"> and fluoranth</w:t>
      </w:r>
      <w:r w:rsidR="005C3F7F">
        <w:rPr>
          <w:rFonts w:ascii="Times New Roman" w:hAnsi="Times New Roman" w:cs="Times New Roman"/>
          <w:sz w:val="24"/>
          <w:szCs w:val="24"/>
        </w:rPr>
        <w:t>ene</w:t>
      </w:r>
      <w:r w:rsidR="005C3F7F" w:rsidRPr="00863CEA">
        <w:rPr>
          <w:rFonts w:ascii="Times New Roman" w:hAnsi="Times New Roman" w:cs="Times New Roman"/>
          <w:sz w:val="24"/>
          <w:szCs w:val="24"/>
        </w:rPr>
        <w:t xml:space="preserve">) and </w:t>
      </w:r>
      <w:r w:rsidR="00921F7A">
        <w:rPr>
          <w:rFonts w:ascii="Times New Roman" w:hAnsi="Times New Roman" w:cs="Times New Roman"/>
          <w:sz w:val="24"/>
          <w:szCs w:val="24"/>
        </w:rPr>
        <w:t>six</w:t>
      </w:r>
      <w:r w:rsidR="005C3F7F">
        <w:rPr>
          <w:rFonts w:ascii="Times New Roman" w:hAnsi="Times New Roman" w:cs="Times New Roman"/>
          <w:sz w:val="24"/>
          <w:szCs w:val="24"/>
        </w:rPr>
        <w:t xml:space="preserve"> and </w:t>
      </w:r>
      <w:r w:rsidR="00921F7A">
        <w:rPr>
          <w:rFonts w:ascii="Times New Roman" w:hAnsi="Times New Roman" w:cs="Times New Roman"/>
          <w:sz w:val="24"/>
          <w:szCs w:val="24"/>
        </w:rPr>
        <w:t>seven</w:t>
      </w:r>
      <w:r w:rsidR="005C3F7F" w:rsidRPr="00863CEA">
        <w:rPr>
          <w:rFonts w:ascii="Times New Roman" w:hAnsi="Times New Roman" w:cs="Times New Roman"/>
          <w:sz w:val="24"/>
          <w:szCs w:val="24"/>
        </w:rPr>
        <w:t xml:space="preserve"> </w:t>
      </w:r>
      <w:r w:rsidR="005C3F7F">
        <w:rPr>
          <w:rFonts w:ascii="Times New Roman" w:hAnsi="Times New Roman" w:cs="Times New Roman"/>
          <w:sz w:val="24"/>
          <w:szCs w:val="24"/>
        </w:rPr>
        <w:t xml:space="preserve">rings </w:t>
      </w:r>
      <w:r w:rsidR="005C3F7F" w:rsidRPr="00863CEA">
        <w:rPr>
          <w:rFonts w:ascii="Times New Roman" w:hAnsi="Times New Roman" w:cs="Times New Roman"/>
          <w:sz w:val="24"/>
          <w:szCs w:val="24"/>
        </w:rPr>
        <w:t>(benzo(</w:t>
      </w:r>
      <w:proofErr w:type="spellStart"/>
      <w:r w:rsidR="005C3F7F" w:rsidRPr="00863CEA">
        <w:rPr>
          <w:rFonts w:ascii="Times New Roman" w:hAnsi="Times New Roman" w:cs="Times New Roman"/>
          <w:i/>
          <w:sz w:val="24"/>
          <w:szCs w:val="24"/>
        </w:rPr>
        <w:t>ghi</w:t>
      </w:r>
      <w:proofErr w:type="spellEnd"/>
      <w:r w:rsidR="005C3F7F">
        <w:rPr>
          <w:rFonts w:ascii="Times New Roman" w:hAnsi="Times New Roman" w:cs="Times New Roman"/>
          <w:sz w:val="24"/>
          <w:szCs w:val="24"/>
        </w:rPr>
        <w:t>)perylene</w:t>
      </w:r>
      <w:r w:rsidR="005C3F7F" w:rsidRPr="00863CEA">
        <w:rPr>
          <w:rFonts w:ascii="Times New Roman" w:hAnsi="Times New Roman" w:cs="Times New Roman"/>
          <w:sz w:val="24"/>
          <w:szCs w:val="24"/>
        </w:rPr>
        <w:t xml:space="preserve"> and coronene) </w:t>
      </w:r>
      <w:r>
        <w:rPr>
          <w:rFonts w:ascii="Times New Roman" w:hAnsi="Times New Roman" w:cs="Times New Roman"/>
          <w:sz w:val="24"/>
          <w:szCs w:val="24"/>
        </w:rPr>
        <w:t>are</w:t>
      </w:r>
      <w:r w:rsidR="005C3F7F" w:rsidRPr="00863CEA">
        <w:rPr>
          <w:rFonts w:ascii="Times New Roman" w:hAnsi="Times New Roman" w:cs="Times New Roman"/>
          <w:sz w:val="24"/>
          <w:szCs w:val="24"/>
        </w:rPr>
        <w:t xml:space="preserve"> higher than those compris</w:t>
      </w:r>
      <w:r w:rsidR="005C3F7F">
        <w:rPr>
          <w:rFonts w:ascii="Times New Roman" w:hAnsi="Times New Roman" w:cs="Times New Roman"/>
          <w:sz w:val="24"/>
          <w:szCs w:val="24"/>
        </w:rPr>
        <w:t>ed</w:t>
      </w:r>
      <w:r w:rsidR="005C3F7F" w:rsidRPr="00863CEA">
        <w:rPr>
          <w:rFonts w:ascii="Times New Roman" w:hAnsi="Times New Roman" w:cs="Times New Roman"/>
          <w:sz w:val="24"/>
          <w:szCs w:val="24"/>
        </w:rPr>
        <w:t xml:space="preserve"> of </w:t>
      </w:r>
      <w:r w:rsidR="00921F7A">
        <w:rPr>
          <w:rFonts w:ascii="Times New Roman" w:hAnsi="Times New Roman" w:cs="Times New Roman"/>
          <w:sz w:val="24"/>
          <w:szCs w:val="24"/>
        </w:rPr>
        <w:t>four</w:t>
      </w:r>
      <w:r w:rsidR="005C3F7F" w:rsidRPr="00863CEA">
        <w:rPr>
          <w:rFonts w:ascii="Times New Roman" w:hAnsi="Times New Roman" w:cs="Times New Roman"/>
          <w:sz w:val="24"/>
          <w:szCs w:val="24"/>
        </w:rPr>
        <w:t xml:space="preserve"> rings (benzo(</w:t>
      </w:r>
      <w:r w:rsidR="005C3F7F" w:rsidRPr="00863CEA">
        <w:rPr>
          <w:rFonts w:ascii="Times New Roman" w:hAnsi="Times New Roman" w:cs="Times New Roman"/>
          <w:i/>
          <w:sz w:val="24"/>
          <w:szCs w:val="24"/>
        </w:rPr>
        <w:t>a</w:t>
      </w:r>
      <w:r w:rsidR="005C3F7F">
        <w:rPr>
          <w:rFonts w:ascii="Times New Roman" w:hAnsi="Times New Roman" w:cs="Times New Roman"/>
          <w:sz w:val="24"/>
          <w:szCs w:val="24"/>
        </w:rPr>
        <w:t>)anthracene</w:t>
      </w:r>
      <w:r w:rsidR="005C3F7F" w:rsidRPr="00863CEA">
        <w:rPr>
          <w:rFonts w:ascii="Times New Roman" w:hAnsi="Times New Roman" w:cs="Times New Roman"/>
          <w:sz w:val="24"/>
          <w:szCs w:val="24"/>
        </w:rPr>
        <w:t xml:space="preserve">, chrysene, and triphenylene) and </w:t>
      </w:r>
      <w:r w:rsidR="00921F7A">
        <w:rPr>
          <w:rFonts w:ascii="Times New Roman" w:hAnsi="Times New Roman" w:cs="Times New Roman"/>
          <w:sz w:val="24"/>
          <w:szCs w:val="24"/>
        </w:rPr>
        <w:t>five</w:t>
      </w:r>
      <w:r w:rsidR="005C3F7F" w:rsidRPr="00863CEA">
        <w:rPr>
          <w:rFonts w:ascii="Times New Roman" w:hAnsi="Times New Roman" w:cs="Times New Roman"/>
          <w:sz w:val="24"/>
          <w:szCs w:val="24"/>
        </w:rPr>
        <w:t xml:space="preserve"> rings (benzo(</w:t>
      </w:r>
      <w:r w:rsidR="005C3F7F" w:rsidRPr="00863CEA">
        <w:rPr>
          <w:rFonts w:ascii="Times New Roman" w:hAnsi="Times New Roman" w:cs="Times New Roman"/>
          <w:i/>
          <w:sz w:val="24"/>
          <w:szCs w:val="24"/>
        </w:rPr>
        <w:t>e</w:t>
      </w:r>
      <w:r w:rsidR="005C3F7F" w:rsidRPr="00863CEA">
        <w:rPr>
          <w:rFonts w:ascii="Times New Roman" w:hAnsi="Times New Roman" w:cs="Times New Roman"/>
          <w:sz w:val="24"/>
          <w:szCs w:val="24"/>
        </w:rPr>
        <w:t>)pyrene and benzo(</w:t>
      </w:r>
      <w:r w:rsidR="005C3F7F" w:rsidRPr="00863CEA">
        <w:rPr>
          <w:rFonts w:ascii="Times New Roman" w:hAnsi="Times New Roman" w:cs="Times New Roman"/>
          <w:i/>
          <w:sz w:val="24"/>
          <w:szCs w:val="24"/>
        </w:rPr>
        <w:t>a</w:t>
      </w:r>
      <w:r w:rsidR="005C3F7F" w:rsidRPr="00863CEA">
        <w:rPr>
          <w:rFonts w:ascii="Times New Roman" w:hAnsi="Times New Roman" w:cs="Times New Roman"/>
          <w:sz w:val="24"/>
          <w:szCs w:val="24"/>
        </w:rPr>
        <w:t xml:space="preserve">)pyrene). At Lilstock a different pattern is observed; </w:t>
      </w:r>
      <w:proofErr w:type="spellStart"/>
      <w:r w:rsidR="005C3F7F">
        <w:rPr>
          <w:rFonts w:ascii="Times New Roman" w:hAnsi="Times New Roman" w:cs="Times New Roman"/>
          <w:sz w:val="24"/>
          <w:szCs w:val="24"/>
        </w:rPr>
        <w:t>py</w:t>
      </w:r>
      <w:r w:rsidR="005C3F7F" w:rsidRPr="00863CEA">
        <w:rPr>
          <w:rFonts w:ascii="Times New Roman" w:hAnsi="Times New Roman" w:cs="Times New Roman"/>
          <w:sz w:val="24"/>
          <w:szCs w:val="24"/>
        </w:rPr>
        <w:t>PAHs</w:t>
      </w:r>
      <w:proofErr w:type="spellEnd"/>
      <w:r w:rsidR="005C3F7F" w:rsidRPr="00863CEA">
        <w:rPr>
          <w:rFonts w:ascii="Times New Roman" w:hAnsi="Times New Roman" w:cs="Times New Roman"/>
          <w:sz w:val="24"/>
          <w:szCs w:val="24"/>
        </w:rPr>
        <w:t xml:space="preserve"> containing </w:t>
      </w:r>
      <w:r w:rsidR="00921F7A">
        <w:rPr>
          <w:rFonts w:ascii="Times New Roman" w:hAnsi="Times New Roman" w:cs="Times New Roman"/>
          <w:sz w:val="24"/>
          <w:szCs w:val="24"/>
        </w:rPr>
        <w:t>six</w:t>
      </w:r>
      <w:r w:rsidR="005C3F7F" w:rsidRPr="00863CEA">
        <w:rPr>
          <w:rFonts w:ascii="Times New Roman" w:hAnsi="Times New Roman" w:cs="Times New Roman"/>
          <w:sz w:val="24"/>
          <w:szCs w:val="24"/>
        </w:rPr>
        <w:t xml:space="preserve"> and </w:t>
      </w:r>
      <w:r w:rsidR="00921F7A">
        <w:rPr>
          <w:rFonts w:ascii="Times New Roman" w:hAnsi="Times New Roman" w:cs="Times New Roman"/>
          <w:sz w:val="24"/>
          <w:szCs w:val="24"/>
        </w:rPr>
        <w:t>seven</w:t>
      </w:r>
      <w:r w:rsidR="005C3F7F" w:rsidRPr="00863CEA">
        <w:rPr>
          <w:rFonts w:ascii="Times New Roman" w:hAnsi="Times New Roman" w:cs="Times New Roman"/>
          <w:sz w:val="24"/>
          <w:szCs w:val="24"/>
        </w:rPr>
        <w:t xml:space="preserve"> rings have greatest abundance</w:t>
      </w:r>
      <w:r>
        <w:rPr>
          <w:rFonts w:ascii="Times New Roman" w:hAnsi="Times New Roman" w:cs="Times New Roman"/>
          <w:sz w:val="24"/>
          <w:szCs w:val="24"/>
        </w:rPr>
        <w:t>s</w:t>
      </w:r>
      <w:r w:rsidR="005C3F7F" w:rsidRPr="00863CEA">
        <w:rPr>
          <w:rFonts w:ascii="Times New Roman" w:hAnsi="Times New Roman" w:cs="Times New Roman"/>
          <w:sz w:val="24"/>
          <w:szCs w:val="24"/>
        </w:rPr>
        <w:t xml:space="preserve"> from the upper Westbury Formation until the termination of the initial CIE</w:t>
      </w:r>
      <w:r w:rsidR="005C3F7F">
        <w:rPr>
          <w:rFonts w:ascii="Times New Roman" w:hAnsi="Times New Roman" w:cs="Times New Roman"/>
          <w:sz w:val="24"/>
          <w:szCs w:val="24"/>
        </w:rPr>
        <w:t>,</w:t>
      </w:r>
      <w:r w:rsidR="005C3F7F" w:rsidRPr="00863CEA">
        <w:rPr>
          <w:rFonts w:ascii="Times New Roman" w:hAnsi="Times New Roman" w:cs="Times New Roman"/>
          <w:sz w:val="24"/>
          <w:szCs w:val="24"/>
        </w:rPr>
        <w:t xml:space="preserve"> </w:t>
      </w:r>
      <w:r w:rsidR="00A9256B">
        <w:rPr>
          <w:rFonts w:ascii="Times New Roman" w:hAnsi="Times New Roman" w:cs="Times New Roman"/>
          <w:sz w:val="24"/>
          <w:szCs w:val="24"/>
        </w:rPr>
        <w:t>after which</w:t>
      </w:r>
      <w:r w:rsidR="005C3F7F" w:rsidRPr="00863CEA">
        <w:rPr>
          <w:rFonts w:ascii="Times New Roman" w:hAnsi="Times New Roman" w:cs="Times New Roman"/>
          <w:sz w:val="24"/>
          <w:szCs w:val="24"/>
        </w:rPr>
        <w:t xml:space="preserve"> </w:t>
      </w:r>
      <w:proofErr w:type="spellStart"/>
      <w:r w:rsidR="005C3F7F">
        <w:rPr>
          <w:rFonts w:ascii="Times New Roman" w:hAnsi="Times New Roman" w:cs="Times New Roman"/>
          <w:sz w:val="24"/>
          <w:szCs w:val="24"/>
        </w:rPr>
        <w:t>py</w:t>
      </w:r>
      <w:r w:rsidR="005C3F7F" w:rsidRPr="00863CEA">
        <w:rPr>
          <w:rFonts w:ascii="Times New Roman" w:hAnsi="Times New Roman" w:cs="Times New Roman"/>
          <w:sz w:val="24"/>
          <w:szCs w:val="24"/>
        </w:rPr>
        <w:t>PAHs</w:t>
      </w:r>
      <w:proofErr w:type="spellEnd"/>
      <w:r w:rsidR="005C3F7F" w:rsidRPr="00863CEA">
        <w:rPr>
          <w:rFonts w:ascii="Times New Roman" w:hAnsi="Times New Roman" w:cs="Times New Roman"/>
          <w:sz w:val="24"/>
          <w:szCs w:val="24"/>
        </w:rPr>
        <w:t xml:space="preserve"> </w:t>
      </w:r>
      <w:r w:rsidR="005C3F7F">
        <w:rPr>
          <w:rFonts w:ascii="Times New Roman" w:hAnsi="Times New Roman" w:cs="Times New Roman"/>
          <w:sz w:val="24"/>
          <w:szCs w:val="24"/>
        </w:rPr>
        <w:t>comprised of</w:t>
      </w:r>
      <w:r w:rsidR="005C3F7F" w:rsidRPr="00863CEA">
        <w:rPr>
          <w:rFonts w:ascii="Times New Roman" w:hAnsi="Times New Roman" w:cs="Times New Roman"/>
          <w:sz w:val="24"/>
          <w:szCs w:val="24"/>
        </w:rPr>
        <w:t xml:space="preserve"> </w:t>
      </w:r>
      <w:r w:rsidR="00921F7A">
        <w:rPr>
          <w:rFonts w:ascii="Times New Roman" w:hAnsi="Times New Roman" w:cs="Times New Roman"/>
          <w:sz w:val="24"/>
          <w:szCs w:val="24"/>
        </w:rPr>
        <w:t>three</w:t>
      </w:r>
      <w:r w:rsidR="005C3F7F" w:rsidRPr="00863CEA">
        <w:rPr>
          <w:rFonts w:ascii="Times New Roman" w:hAnsi="Times New Roman" w:cs="Times New Roman"/>
          <w:sz w:val="24"/>
          <w:szCs w:val="24"/>
        </w:rPr>
        <w:t xml:space="preserve"> rings have highest abundance</w:t>
      </w:r>
      <w:r w:rsidR="00DB1FE8">
        <w:rPr>
          <w:rFonts w:ascii="Times New Roman" w:hAnsi="Times New Roman" w:cs="Times New Roman"/>
          <w:sz w:val="24"/>
          <w:szCs w:val="24"/>
        </w:rPr>
        <w:t xml:space="preserve"> (Fig. 3)</w:t>
      </w:r>
      <w:r w:rsidR="005C3F7F" w:rsidRPr="00863CEA">
        <w:rPr>
          <w:rFonts w:ascii="Times New Roman" w:hAnsi="Times New Roman" w:cs="Times New Roman"/>
          <w:sz w:val="24"/>
          <w:szCs w:val="24"/>
        </w:rPr>
        <w:t>.</w:t>
      </w:r>
      <w:r w:rsidR="005C3F7F">
        <w:rPr>
          <w:rFonts w:ascii="Times New Roman" w:hAnsi="Times New Roman" w:cs="Times New Roman"/>
          <w:sz w:val="24"/>
          <w:szCs w:val="24"/>
        </w:rPr>
        <w:t xml:space="preserve"> </w:t>
      </w:r>
      <w:r w:rsidR="00867AD1">
        <w:rPr>
          <w:rFonts w:ascii="Times New Roman" w:hAnsi="Times New Roman" w:cs="Times New Roman"/>
          <w:sz w:val="24"/>
          <w:szCs w:val="24"/>
        </w:rPr>
        <w:t xml:space="preserve">These data show different PAH regimes between sections, </w:t>
      </w:r>
      <w:bookmarkStart w:id="34" w:name="_Hlk93658500"/>
      <w:r w:rsidR="00867AD1">
        <w:rPr>
          <w:rFonts w:ascii="Times New Roman" w:hAnsi="Times New Roman" w:cs="Times New Roman"/>
          <w:sz w:val="24"/>
          <w:szCs w:val="24"/>
        </w:rPr>
        <w:t>h</w:t>
      </w:r>
      <w:r w:rsidR="005C3F7F">
        <w:rPr>
          <w:rFonts w:ascii="Times New Roman" w:hAnsi="Times New Roman" w:cs="Times New Roman"/>
          <w:sz w:val="24"/>
          <w:szCs w:val="24"/>
        </w:rPr>
        <w:t>owever, discrepancies</w:t>
      </w:r>
      <w:r w:rsidR="00867AD1">
        <w:rPr>
          <w:rFonts w:ascii="Times New Roman" w:hAnsi="Times New Roman" w:cs="Times New Roman"/>
          <w:sz w:val="24"/>
          <w:szCs w:val="24"/>
        </w:rPr>
        <w:t xml:space="preserve"> between sections</w:t>
      </w:r>
      <w:r w:rsidR="005C3F7F">
        <w:rPr>
          <w:rFonts w:ascii="Times New Roman" w:hAnsi="Times New Roman" w:cs="Times New Roman"/>
          <w:sz w:val="24"/>
          <w:szCs w:val="24"/>
        </w:rPr>
        <w:t xml:space="preserve"> due to preferentially degradation of LMW </w:t>
      </w:r>
      <w:proofErr w:type="spellStart"/>
      <w:r w:rsidR="005C3F7F">
        <w:rPr>
          <w:rFonts w:ascii="Times New Roman" w:hAnsi="Times New Roman" w:cs="Times New Roman"/>
          <w:sz w:val="24"/>
          <w:szCs w:val="24"/>
        </w:rPr>
        <w:t>pyPAHs</w:t>
      </w:r>
      <w:proofErr w:type="spellEnd"/>
      <w:r w:rsidR="005C3F7F">
        <w:rPr>
          <w:rFonts w:ascii="Times New Roman" w:hAnsi="Times New Roman" w:cs="Times New Roman"/>
          <w:sz w:val="24"/>
          <w:szCs w:val="24"/>
        </w:rPr>
        <w:t xml:space="preserve"> cannot be ruled out </w:t>
      </w:r>
      <w:r w:rsidR="005C3F7F">
        <w:rPr>
          <w:rFonts w:ascii="Times New Roman" w:hAnsi="Times New Roman" w:cs="Times New Roman"/>
          <w:sz w:val="24"/>
          <w:szCs w:val="24"/>
        </w:rPr>
        <w:fldChar w:fldCharType="begin" w:fldLock="1"/>
      </w:r>
      <w:r w:rsidR="003B0548">
        <w:rPr>
          <w:rFonts w:ascii="Times New Roman" w:hAnsi="Times New Roman" w:cs="Times New Roman"/>
          <w:sz w:val="24"/>
          <w:szCs w:val="24"/>
        </w:rPr>
        <w:instrText>ADDIN CSL_CITATION {"citationItems":[{"id":"ITEM-1","itemData":{"DOI":"https://doi.org/10.1016/j.epsl.2021.116970","ISSN":"0012-821X","abstract":"Global warming will likely perturb carbon storage and cycling throughout many components of the exogenic carbon cycle, but its net impact on the long-term fate of organic carbon stabilized in soils is unclear. Abrupt warming during the Paleocene-Eocene Thermal Maximum (PETM) profoundly altered vegetation and hydrologic patterns globally. To assess the consequences for soil carbon in a mid-latitude region we measured total organic carbon (%TOC), polycyclic aromatic hydrocarbons (PAHs), charcoal, and sporomorphs (pollen and spores) at two paleo-floodplain depositional sites in the Bighorn Basin, Wyoming, USA. At both sites %TOC, PAHs, charcoal, and sporomorphs declined during the PETM. The decline in pyrogenic carbon, which is more severe than the decline in %TOC, is consistent with isotopic and fossil evidence for degradation of labile organic compounds and preservation of highly refractory allochthonous organic carbon. The severe loss of less-labile contemporaneous PETM (autochthonous) soil carbon, illustrated by the fate of pyrogenic carbon, indicates intensified rates of organic matter decay during the PETM. Because of the highly degraded signature of organic matter in these PETM sections, it is difficult to discern if less pyrogenic carbon is in part a consequence of less fire occurrence during the PETM. We propose that in this mid-latitude region of the western USA increased soil carbon oxidation hindered soil carbon sequestration during this period of hotter climate with more seasonal precipitation.","author":[{"dropping-particle":"","family":"Denis","given":"Elizabeth H","non-dropping-particle":"","parse-names":false,"suffix":""},{"dropping-particle":"","family":"Maibauer","given":"Bianca J","non-dropping-particle":"","parse-names":false,"suffix":""},{"dropping-particle":"","family":"Bowen","given":"Gabriel J","non-dropping-particle":"","parse-names":false,"suffix":""},{"dropping-particle":"","family":"Jardine","given":"Phillip E","non-dropping-particle":"","parse-names":false,"suffix":""},{"dropping-particle":"","family":"Harrington","given":"Guy J","non-dropping-particle":"","parse-names":false,"suffix":""},{"dropping-particle":"","family":"Baczynski","given":"Allison A","non-dropping-particle":"","parse-names":false,"suffix":""},{"dropping-particle":"","family":"McInerney","given":"Francesca A","non-dropping-particle":"","parse-names":false,"suffix":""},{"dropping-particle":"","family":"Collinson","given":"Margaret E","non-dropping-particle":"","parse-names":false,"suffix":""},{"dropping-particle":"","family":"Belcher","given":"Claire M","non-dropping-particle":"","parse-names":false,"suffix":""},{"dropping-particle":"","family":"Wing","given":"Scott L","non-dropping-particle":"","parse-names":false,"suffix":""},{"dropping-particle":"","family":"Freeman","given":"Katherine H","non-dropping-particle":"","parse-names":false,"suffix":""}],"container-title":"Earth and Planetary Science Letters","id":"ITEM-1","issued":{"date-parts":[["2021"]]},"page":"116970","title":"Decreased soil carbon in a warming world: Degraded pyrogenic carbon during the Paleocene-Eocene Thermal Maximum, Bighorn Basin, Wyoming","type":"article-journal","volume":"566"},"uris":["http://www.mendeley.com/documents/?uuid=3955bcbb-aa0e-43cb-adc2-4197a6941e06"]}],"mendeley":{"formattedCitation":"(Denis et al., 2021)","manualFormatting":"(Denis et al., 2021 and refs therein)","plainTextFormattedCitation":"(Denis et al., 2021)","previouslyFormattedCitation":"(Denis et al., 2021)"},"properties":{"noteIndex":0},"schema":"https://github.com/citation-style-language/schema/raw/master/csl-citation.json"}</w:instrText>
      </w:r>
      <w:r w:rsidR="005C3F7F">
        <w:rPr>
          <w:rFonts w:ascii="Times New Roman" w:hAnsi="Times New Roman" w:cs="Times New Roman"/>
          <w:sz w:val="24"/>
          <w:szCs w:val="24"/>
        </w:rPr>
        <w:fldChar w:fldCharType="separate"/>
      </w:r>
      <w:r w:rsidR="005C3F7F" w:rsidRPr="00C97F2A">
        <w:rPr>
          <w:rFonts w:ascii="Times New Roman" w:hAnsi="Times New Roman" w:cs="Times New Roman"/>
          <w:noProof/>
          <w:sz w:val="24"/>
          <w:szCs w:val="24"/>
        </w:rPr>
        <w:t>(Denis et al., 2021</w:t>
      </w:r>
      <w:r w:rsidR="003B0548">
        <w:rPr>
          <w:rFonts w:ascii="Times New Roman" w:hAnsi="Times New Roman" w:cs="Times New Roman"/>
          <w:noProof/>
          <w:sz w:val="24"/>
          <w:szCs w:val="24"/>
        </w:rPr>
        <w:t xml:space="preserve"> and refs therein</w:t>
      </w:r>
      <w:r w:rsidR="005C3F7F" w:rsidRPr="00C97F2A">
        <w:rPr>
          <w:rFonts w:ascii="Times New Roman" w:hAnsi="Times New Roman" w:cs="Times New Roman"/>
          <w:noProof/>
          <w:sz w:val="24"/>
          <w:szCs w:val="24"/>
        </w:rPr>
        <w:t>)</w:t>
      </w:r>
      <w:r w:rsidR="005C3F7F">
        <w:rPr>
          <w:rFonts w:ascii="Times New Roman" w:hAnsi="Times New Roman" w:cs="Times New Roman"/>
          <w:sz w:val="24"/>
          <w:szCs w:val="24"/>
        </w:rPr>
        <w:fldChar w:fldCharType="end"/>
      </w:r>
      <w:r w:rsidR="005C3F7F">
        <w:rPr>
          <w:rFonts w:ascii="Times New Roman" w:hAnsi="Times New Roman" w:cs="Times New Roman"/>
          <w:sz w:val="24"/>
          <w:szCs w:val="24"/>
        </w:rPr>
        <w:t>.</w:t>
      </w:r>
      <w:bookmarkEnd w:id="34"/>
      <w:r w:rsidR="005C3F7F">
        <w:rPr>
          <w:rFonts w:ascii="Times New Roman" w:hAnsi="Times New Roman" w:cs="Times New Roman"/>
          <w:sz w:val="24"/>
          <w:szCs w:val="24"/>
        </w:rPr>
        <w:t xml:space="preserve"> </w:t>
      </w:r>
      <w:r w:rsidR="00564F5D">
        <w:rPr>
          <w:rFonts w:ascii="Times New Roman" w:hAnsi="Times New Roman" w:cs="Times New Roman"/>
          <w:sz w:val="24"/>
          <w:szCs w:val="24"/>
        </w:rPr>
        <w:t xml:space="preserve">Additionally, in comparing concentrations of </w:t>
      </w:r>
      <w:proofErr w:type="spellStart"/>
      <w:r w:rsidR="00564F5D">
        <w:rPr>
          <w:rFonts w:ascii="Times New Roman" w:hAnsi="Times New Roman" w:cs="Times New Roman"/>
          <w:sz w:val="24"/>
          <w:szCs w:val="24"/>
        </w:rPr>
        <w:t>pyPAHs</w:t>
      </w:r>
      <w:proofErr w:type="spellEnd"/>
      <w:r w:rsidR="00564F5D">
        <w:rPr>
          <w:rFonts w:ascii="Times New Roman" w:hAnsi="Times New Roman" w:cs="Times New Roman"/>
          <w:sz w:val="24"/>
          <w:szCs w:val="24"/>
        </w:rPr>
        <w:t xml:space="preserve"> between European sections, c</w:t>
      </w:r>
      <w:r w:rsidR="005C3F7F" w:rsidRPr="00863CEA">
        <w:rPr>
          <w:rFonts w:ascii="Times New Roman" w:hAnsi="Times New Roman" w:cs="Times New Roman"/>
          <w:sz w:val="24"/>
          <w:szCs w:val="24"/>
        </w:rPr>
        <w:t>oncentrations of coronene and benzo(</w:t>
      </w:r>
      <w:r w:rsidR="005C3F7F" w:rsidRPr="00863CEA">
        <w:rPr>
          <w:rFonts w:ascii="Times New Roman" w:hAnsi="Times New Roman" w:cs="Times New Roman"/>
          <w:i/>
          <w:sz w:val="24"/>
          <w:szCs w:val="24"/>
        </w:rPr>
        <w:t>a</w:t>
      </w:r>
      <w:r w:rsidR="005C3F7F" w:rsidRPr="00863CEA">
        <w:rPr>
          <w:rFonts w:ascii="Times New Roman" w:hAnsi="Times New Roman" w:cs="Times New Roman"/>
          <w:sz w:val="24"/>
          <w:szCs w:val="24"/>
        </w:rPr>
        <w:t xml:space="preserve">)pyrene are considerably </w:t>
      </w:r>
      <w:r w:rsidR="005C3F7F" w:rsidRPr="00863CEA">
        <w:rPr>
          <w:rFonts w:ascii="Times New Roman" w:hAnsi="Times New Roman" w:cs="Times New Roman"/>
          <w:sz w:val="24"/>
          <w:szCs w:val="24"/>
        </w:rPr>
        <w:lastRenderedPageBreak/>
        <w:t>lower at St. Audrie’s Bay (coronene av. 0.35 µg/g TOC; benzo(</w:t>
      </w:r>
      <w:r w:rsidR="005C3F7F" w:rsidRPr="00863CEA">
        <w:rPr>
          <w:rFonts w:ascii="Times New Roman" w:hAnsi="Times New Roman" w:cs="Times New Roman"/>
          <w:i/>
          <w:sz w:val="24"/>
          <w:szCs w:val="24"/>
        </w:rPr>
        <w:t>a</w:t>
      </w:r>
      <w:r w:rsidR="005C3F7F" w:rsidRPr="00863CEA">
        <w:rPr>
          <w:rFonts w:ascii="Times New Roman" w:hAnsi="Times New Roman" w:cs="Times New Roman"/>
          <w:sz w:val="24"/>
          <w:szCs w:val="24"/>
        </w:rPr>
        <w:t>)pyrene av. 0.05 µg/g TOC) and Lilstock (coronene av. 2.04 µg/g TOC; benzo(</w:t>
      </w:r>
      <w:r w:rsidR="005C3F7F" w:rsidRPr="00863CEA">
        <w:rPr>
          <w:rFonts w:ascii="Times New Roman" w:hAnsi="Times New Roman" w:cs="Times New Roman"/>
          <w:i/>
          <w:sz w:val="24"/>
          <w:szCs w:val="24"/>
        </w:rPr>
        <w:t>a</w:t>
      </w:r>
      <w:r w:rsidR="005C3F7F" w:rsidRPr="00863CEA">
        <w:rPr>
          <w:rFonts w:ascii="Times New Roman" w:hAnsi="Times New Roman" w:cs="Times New Roman"/>
          <w:sz w:val="24"/>
          <w:szCs w:val="24"/>
        </w:rPr>
        <w:t>)pyrene av. 0.01 µg/g TOC) compared to those reported in East Greenland (coronene 7.93 µg/g TOC; benzo(</w:t>
      </w:r>
      <w:r w:rsidR="005C3F7F" w:rsidRPr="00863CEA">
        <w:rPr>
          <w:rFonts w:ascii="Times New Roman" w:hAnsi="Times New Roman" w:cs="Times New Roman"/>
          <w:i/>
          <w:sz w:val="24"/>
          <w:szCs w:val="24"/>
        </w:rPr>
        <w:t>a</w:t>
      </w:r>
      <w:r w:rsidR="005C3F7F" w:rsidRPr="00863CEA">
        <w:rPr>
          <w:rFonts w:ascii="Times New Roman" w:hAnsi="Times New Roman" w:cs="Times New Roman"/>
          <w:sz w:val="24"/>
          <w:szCs w:val="24"/>
        </w:rPr>
        <w:t>)pyrene 3.70 µg/g TOC)</w:t>
      </w:r>
      <w:r w:rsidR="005C3F7F">
        <w:rPr>
          <w:rFonts w:ascii="Times New Roman" w:hAnsi="Times New Roman" w:cs="Times New Roman"/>
          <w:sz w:val="24"/>
          <w:szCs w:val="24"/>
        </w:rPr>
        <w:t xml:space="preserve"> </w:t>
      </w:r>
      <w:r w:rsidR="005C3F7F">
        <w:rPr>
          <w:rFonts w:ascii="Times New Roman" w:hAnsi="Times New Roman" w:cs="Times New Roman"/>
          <w:sz w:val="24"/>
          <w:szCs w:val="24"/>
        </w:rPr>
        <w:fldChar w:fldCharType="begin" w:fldLock="1"/>
      </w:r>
      <w:r w:rsidR="005C3F7F">
        <w:rPr>
          <w:rFonts w:ascii="Times New Roman" w:hAnsi="Times New Roman" w:cs="Times New Roman"/>
          <w:sz w:val="24"/>
          <w:szCs w:val="24"/>
        </w:rPr>
        <w:instrText xml:space="preserve">ADDIN CSL_CITATION {"citationItems":[{"id":"ITEM-1","itemData":{"DOI":"https://doi.org/10.1016/j.gca.2013.11.033","ISSN":"0016-7037","abstract":"Terrestrial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sidR="005C3F7F">
        <w:rPr>
          <w:rFonts w:ascii="Cambria Math" w:hAnsi="Cambria Math" w:cs="Cambria Math"/>
          <w:sz w:val="24"/>
          <w:szCs w:val="24"/>
        </w:rPr>
        <w:instrText>∼</w:instrText>
      </w:r>
      <w:r w:rsidR="005C3F7F">
        <w:rPr>
          <w:rFonts w:ascii="Times New Roman" w:hAnsi="Times New Roman" w:cs="Times New Roman"/>
          <w:sz w:val="24"/>
          <w:szCs w:val="24"/>
        </w:rPr>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Acta","id":"ITEM-1","issued":{"date-parts":[["2014"]]},"page":"251-263","title":"An organic record of terrestrial ecosystem collapse and recovery at the Triassic–Jurassic boundary in East Greenland","type":"article-journal","volume":"127"},"uris":["http://www.mendeley.com/documents/?uuid=b7d8a644-9eb1-4450-a9f8-79a0ac3648c6"]}],"mendeley":{"formattedCitation":"(Williford et al., 2014)","plainTextFormattedCitation":"(Williford et al., 2014)","previouslyFormattedCitation":"(Williford et al., 2014)"},"properties":{"noteIndex":0},"schema":"https://github.com/citation-style-language/schema/raw/master/csl-citation.json"}</w:instrText>
      </w:r>
      <w:r w:rsidR="005C3F7F">
        <w:rPr>
          <w:rFonts w:ascii="Times New Roman" w:hAnsi="Times New Roman" w:cs="Times New Roman"/>
          <w:sz w:val="24"/>
          <w:szCs w:val="24"/>
        </w:rPr>
        <w:fldChar w:fldCharType="separate"/>
      </w:r>
      <w:r w:rsidR="005C3F7F" w:rsidRPr="00A249D1">
        <w:rPr>
          <w:rFonts w:ascii="Times New Roman" w:hAnsi="Times New Roman" w:cs="Times New Roman"/>
          <w:noProof/>
          <w:sz w:val="24"/>
          <w:szCs w:val="24"/>
        </w:rPr>
        <w:t>(Williford et al., 2014)</w:t>
      </w:r>
      <w:r w:rsidR="005C3F7F">
        <w:rPr>
          <w:rFonts w:ascii="Times New Roman" w:hAnsi="Times New Roman" w:cs="Times New Roman"/>
          <w:sz w:val="24"/>
          <w:szCs w:val="24"/>
        </w:rPr>
        <w:fldChar w:fldCharType="end"/>
      </w:r>
      <w:r w:rsidR="005C3F7F" w:rsidRPr="00863CEA">
        <w:rPr>
          <w:rFonts w:ascii="Times New Roman" w:hAnsi="Times New Roman" w:cs="Times New Roman"/>
          <w:sz w:val="24"/>
          <w:szCs w:val="24"/>
        </w:rPr>
        <w:t xml:space="preserve"> and </w:t>
      </w:r>
      <w:r w:rsidR="005C3F7F">
        <w:rPr>
          <w:rFonts w:ascii="Times New Roman" w:hAnsi="Times New Roman" w:cs="Times New Roman"/>
          <w:sz w:val="24"/>
          <w:szCs w:val="24"/>
        </w:rPr>
        <w:t>German</w:t>
      </w:r>
      <w:r w:rsidR="005C3F7F" w:rsidRPr="00863CEA">
        <w:rPr>
          <w:rFonts w:ascii="Times New Roman" w:hAnsi="Times New Roman" w:cs="Times New Roman"/>
          <w:sz w:val="24"/>
          <w:szCs w:val="24"/>
        </w:rPr>
        <w:t xml:space="preserve"> (coronene 8.38 µg/g TOC; benzo(</w:t>
      </w:r>
      <w:r w:rsidR="005C3F7F" w:rsidRPr="00863CEA">
        <w:rPr>
          <w:rFonts w:ascii="Times New Roman" w:hAnsi="Times New Roman" w:cs="Times New Roman"/>
          <w:i/>
          <w:sz w:val="24"/>
          <w:szCs w:val="24"/>
        </w:rPr>
        <w:t>a</w:t>
      </w:r>
      <w:r w:rsidR="005C3F7F" w:rsidRPr="00863CEA">
        <w:rPr>
          <w:rFonts w:ascii="Times New Roman" w:hAnsi="Times New Roman" w:cs="Times New Roman"/>
          <w:sz w:val="24"/>
          <w:szCs w:val="24"/>
        </w:rPr>
        <w:t xml:space="preserve">)pyrene 2.42 µg/g TOC) sections </w:t>
      </w:r>
      <w:r w:rsidR="005C3F7F">
        <w:rPr>
          <w:rFonts w:ascii="Times New Roman" w:hAnsi="Times New Roman" w:cs="Times New Roman"/>
          <w:sz w:val="24"/>
          <w:szCs w:val="24"/>
        </w:rPr>
        <w:fldChar w:fldCharType="begin" w:fldLock="1"/>
      </w:r>
      <w:r w:rsidR="005C3F7F">
        <w:rPr>
          <w:rFonts w:ascii="Times New Roman" w:hAnsi="Times New Roman" w:cs="Times New Roman"/>
          <w:sz w:val="24"/>
          <w:szCs w:val="24"/>
        </w:rPr>
        <w:instrText>ADDIN CSL_CITATION {"citationItems":[{"id":"ITEM-1","itemData":{"DOI":"10.1038/ngeo577","ISSN":"1752-0908","abstract":"One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Geoscience","id":"ITEM-1","issue":"8","issued":{"date-parts":[["2009"]]},"page":"589-594","title":"Floral changes across the Triassic/Jurassic boundary linked to flood basalt volcanism","type":"article-journal","volume":"2"},"uris":["http://www.mendeley.com/documents/?uuid=7a9f3397-a2a7-4fd8-bfbf-4ff746b02c61"]}],"mendeley":{"formattedCitation":"(van de Schootbrugge et al., 2009)","plainTextFormattedCitation":"(van de Schootbrugge et al., 2009)","previouslyFormattedCitation":"(van de Schootbrugge et al., 2009)"},"properties":{"noteIndex":0},"schema":"https://github.com/citation-style-language/schema/raw/master/csl-citation.json"}</w:instrText>
      </w:r>
      <w:r w:rsidR="005C3F7F">
        <w:rPr>
          <w:rFonts w:ascii="Times New Roman" w:hAnsi="Times New Roman" w:cs="Times New Roman"/>
          <w:sz w:val="24"/>
          <w:szCs w:val="24"/>
        </w:rPr>
        <w:fldChar w:fldCharType="separate"/>
      </w:r>
      <w:r w:rsidR="005C3F7F" w:rsidRPr="00A249D1">
        <w:rPr>
          <w:rFonts w:ascii="Times New Roman" w:hAnsi="Times New Roman" w:cs="Times New Roman"/>
          <w:noProof/>
          <w:sz w:val="24"/>
          <w:szCs w:val="24"/>
        </w:rPr>
        <w:t>(van de Schootbrugge et al., 2009)</w:t>
      </w:r>
      <w:r w:rsidR="005C3F7F">
        <w:rPr>
          <w:rFonts w:ascii="Times New Roman" w:hAnsi="Times New Roman" w:cs="Times New Roman"/>
          <w:sz w:val="24"/>
          <w:szCs w:val="24"/>
        </w:rPr>
        <w:fldChar w:fldCharType="end"/>
      </w:r>
      <w:r w:rsidR="00DB1FE8">
        <w:rPr>
          <w:rFonts w:ascii="Times New Roman" w:hAnsi="Times New Roman" w:cs="Times New Roman"/>
          <w:sz w:val="24"/>
          <w:szCs w:val="24"/>
        </w:rPr>
        <w:t xml:space="preserve"> </w:t>
      </w:r>
      <w:r w:rsidR="00DB1FE8" w:rsidRPr="00863CEA">
        <w:rPr>
          <w:rFonts w:ascii="Times New Roman" w:hAnsi="Times New Roman" w:cs="Times New Roman"/>
          <w:sz w:val="24"/>
          <w:szCs w:val="24"/>
        </w:rPr>
        <w:t xml:space="preserve">(Fig. </w:t>
      </w:r>
      <w:r w:rsidR="00DB1FE8">
        <w:rPr>
          <w:rFonts w:ascii="Times New Roman" w:hAnsi="Times New Roman" w:cs="Times New Roman"/>
          <w:sz w:val="24"/>
          <w:szCs w:val="24"/>
        </w:rPr>
        <w:t>2</w:t>
      </w:r>
      <w:r w:rsidR="00DB1FE8" w:rsidRPr="00863CEA">
        <w:rPr>
          <w:rFonts w:ascii="Times New Roman" w:hAnsi="Times New Roman" w:cs="Times New Roman"/>
          <w:sz w:val="24"/>
          <w:szCs w:val="24"/>
        </w:rPr>
        <w:t>)</w:t>
      </w:r>
      <w:r w:rsidR="005C3F7F" w:rsidRPr="00863CEA">
        <w:rPr>
          <w:rFonts w:ascii="Times New Roman" w:hAnsi="Times New Roman" w:cs="Times New Roman"/>
          <w:sz w:val="24"/>
          <w:szCs w:val="24"/>
        </w:rPr>
        <w:t>.</w:t>
      </w:r>
      <w:r w:rsidR="005C3F7F">
        <w:rPr>
          <w:rFonts w:ascii="Times New Roman" w:hAnsi="Times New Roman" w:cs="Times New Roman"/>
          <w:sz w:val="24"/>
          <w:szCs w:val="24"/>
        </w:rPr>
        <w:t xml:space="preserve"> </w:t>
      </w:r>
      <w:r w:rsidR="00564F5D">
        <w:rPr>
          <w:rFonts w:ascii="Times New Roman" w:hAnsi="Times New Roman" w:cs="Times New Roman"/>
          <w:sz w:val="24"/>
          <w:szCs w:val="24"/>
        </w:rPr>
        <w:t>T</w:t>
      </w:r>
      <w:r w:rsidR="005C3F7F">
        <w:rPr>
          <w:rFonts w:ascii="Times New Roman" w:hAnsi="Times New Roman" w:cs="Times New Roman"/>
          <w:sz w:val="24"/>
          <w:szCs w:val="24"/>
        </w:rPr>
        <w:t>h</w:t>
      </w:r>
      <w:r w:rsidR="00581295">
        <w:rPr>
          <w:rFonts w:ascii="Times New Roman" w:hAnsi="Times New Roman" w:cs="Times New Roman"/>
          <w:sz w:val="24"/>
          <w:szCs w:val="24"/>
        </w:rPr>
        <w:t>ese</w:t>
      </w:r>
      <w:r w:rsidR="005C3F7F">
        <w:rPr>
          <w:rFonts w:ascii="Times New Roman" w:hAnsi="Times New Roman" w:cs="Times New Roman"/>
          <w:sz w:val="24"/>
          <w:szCs w:val="24"/>
        </w:rPr>
        <w:t xml:space="preserve"> data suggest paleowildfires were </w:t>
      </w:r>
      <w:r w:rsidR="00564F5D">
        <w:rPr>
          <w:rFonts w:ascii="Times New Roman" w:hAnsi="Times New Roman" w:cs="Times New Roman"/>
          <w:sz w:val="24"/>
          <w:szCs w:val="24"/>
        </w:rPr>
        <w:t>less intense in the Bristol Channel Basin compared to</w:t>
      </w:r>
      <w:r w:rsidR="005C3F7F">
        <w:rPr>
          <w:rFonts w:ascii="Times New Roman" w:hAnsi="Times New Roman" w:cs="Times New Roman"/>
          <w:sz w:val="24"/>
          <w:szCs w:val="24"/>
        </w:rPr>
        <w:t xml:space="preserve"> those reported in other European basins.</w:t>
      </w:r>
    </w:p>
    <w:p w14:paraId="56FF77A4" w14:textId="74127AF7" w:rsidR="005C3F7F" w:rsidRPr="0070044E" w:rsidRDefault="003A1F64" w:rsidP="00564F5D">
      <w:pPr>
        <w:spacing w:line="480" w:lineRule="auto"/>
        <w:ind w:firstLine="720"/>
        <w:jc w:val="both"/>
        <w:rPr>
          <w:rFonts w:asciiTheme="majorBidi" w:hAnsiTheme="majorBidi" w:cstheme="majorBidi"/>
          <w:sz w:val="24"/>
          <w:szCs w:val="24"/>
        </w:rPr>
      </w:pPr>
      <w:r>
        <w:rPr>
          <w:rFonts w:ascii="Times New Roman" w:hAnsi="Times New Roman" w:cs="Times New Roman"/>
          <w:sz w:val="24"/>
          <w:szCs w:val="24"/>
        </w:rPr>
        <w:t>To infer changes in wildfire activity w</w:t>
      </w:r>
      <w:r w:rsidR="00564F5D">
        <w:rPr>
          <w:rFonts w:ascii="Times New Roman" w:hAnsi="Times New Roman" w:cs="Times New Roman"/>
          <w:sz w:val="24"/>
          <w:szCs w:val="24"/>
        </w:rPr>
        <w:t xml:space="preserve">e use the sum of </w:t>
      </w:r>
      <w:bookmarkStart w:id="35" w:name="_Hlk90464818"/>
      <w:r w:rsidR="00DB1FE8">
        <w:rPr>
          <w:rFonts w:ascii="Times New Roman" w:hAnsi="Times New Roman" w:cs="Times New Roman"/>
          <w:sz w:val="24"/>
          <w:szCs w:val="24"/>
        </w:rPr>
        <w:t>combustion-derived</w:t>
      </w:r>
      <w:r w:rsidR="00C63A87">
        <w:rPr>
          <w:rFonts w:ascii="Times New Roman" w:hAnsi="Times New Roman" w:cs="Times New Roman"/>
          <w:sz w:val="24"/>
          <w:szCs w:val="24"/>
        </w:rPr>
        <w:t xml:space="preserve"> PAHs</w:t>
      </w:r>
      <w:r w:rsidR="00DB1FE8">
        <w:rPr>
          <w:rFonts w:ascii="Times New Roman" w:hAnsi="Times New Roman" w:cs="Times New Roman"/>
          <w:sz w:val="24"/>
          <w:szCs w:val="24"/>
        </w:rPr>
        <w:t xml:space="preserve"> (∑</w:t>
      </w:r>
      <w:proofErr w:type="spellStart"/>
      <w:r w:rsidR="00DB1FE8">
        <w:rPr>
          <w:rFonts w:ascii="Times New Roman" w:hAnsi="Times New Roman" w:cs="Times New Roman"/>
          <w:sz w:val="24"/>
          <w:szCs w:val="24"/>
        </w:rPr>
        <w:t>pyPAH</w:t>
      </w:r>
      <w:proofErr w:type="spellEnd"/>
      <w:r w:rsidR="00DB1FE8">
        <w:rPr>
          <w:rFonts w:ascii="Times New Roman" w:hAnsi="Times New Roman" w:cs="Times New Roman"/>
          <w:sz w:val="24"/>
          <w:szCs w:val="24"/>
        </w:rPr>
        <w:t>; Fig. 3)</w:t>
      </w:r>
      <w:r>
        <w:rPr>
          <w:rFonts w:ascii="Times New Roman" w:hAnsi="Times New Roman" w:cs="Times New Roman"/>
          <w:sz w:val="24"/>
          <w:szCs w:val="24"/>
        </w:rPr>
        <w:t xml:space="preserve">. </w:t>
      </w:r>
      <w:bookmarkStart w:id="36" w:name="_Hlk93659535"/>
      <w:r>
        <w:rPr>
          <w:rFonts w:ascii="Times New Roman" w:hAnsi="Times New Roman" w:cs="Times New Roman"/>
          <w:sz w:val="24"/>
          <w:szCs w:val="24"/>
        </w:rPr>
        <w:t>∑</w:t>
      </w:r>
      <w:proofErr w:type="spellStart"/>
      <w:r>
        <w:rPr>
          <w:rFonts w:ascii="Times New Roman" w:hAnsi="Times New Roman" w:cs="Times New Roman"/>
          <w:sz w:val="24"/>
          <w:szCs w:val="24"/>
        </w:rPr>
        <w:t>pyPAH</w:t>
      </w:r>
      <w:proofErr w:type="spellEnd"/>
      <w:r>
        <w:rPr>
          <w:rFonts w:ascii="Times New Roman" w:hAnsi="Times New Roman" w:cs="Times New Roman"/>
          <w:sz w:val="24"/>
          <w:szCs w:val="24"/>
        </w:rPr>
        <w:t xml:space="preserve"> values</w:t>
      </w:r>
      <w:r w:rsidR="00C63A87">
        <w:rPr>
          <w:rFonts w:ascii="Times New Roman" w:hAnsi="Times New Roman" w:cs="Times New Roman"/>
          <w:sz w:val="24"/>
          <w:szCs w:val="24"/>
        </w:rPr>
        <w:t xml:space="preserve"> increase during the onset of the initial CIE at both St. Audrie’s Bay and Lilstock, however, the magnitude is strikingly different between sections. </w:t>
      </w:r>
      <w:r w:rsidR="00803F28" w:rsidRPr="00863CEA">
        <w:rPr>
          <w:rFonts w:ascii="Times New Roman" w:hAnsi="Times New Roman" w:cs="Times New Roman"/>
          <w:sz w:val="24"/>
          <w:szCs w:val="24"/>
        </w:rPr>
        <w:t>Whereas</w:t>
      </w:r>
      <w:r w:rsidR="00C63A87">
        <w:rPr>
          <w:rFonts w:ascii="Times New Roman" w:hAnsi="Times New Roman" w:cs="Times New Roman"/>
          <w:sz w:val="24"/>
          <w:szCs w:val="24"/>
        </w:rPr>
        <w:t xml:space="preserve"> the </w:t>
      </w:r>
      <w:r w:rsidR="00EA0990">
        <w:rPr>
          <w:rFonts w:ascii="Times New Roman" w:hAnsi="Times New Roman" w:cs="Times New Roman"/>
          <w:sz w:val="24"/>
          <w:szCs w:val="24"/>
        </w:rPr>
        <w:t>∑</w:t>
      </w:r>
      <w:proofErr w:type="spellStart"/>
      <w:r w:rsidR="00EA0990">
        <w:rPr>
          <w:rFonts w:ascii="Times New Roman" w:hAnsi="Times New Roman" w:cs="Times New Roman"/>
          <w:sz w:val="24"/>
          <w:szCs w:val="24"/>
        </w:rPr>
        <w:t>pyPAH</w:t>
      </w:r>
      <w:proofErr w:type="spellEnd"/>
      <w:r w:rsidR="00EA0990">
        <w:rPr>
          <w:rFonts w:ascii="Times New Roman" w:hAnsi="Times New Roman" w:cs="Times New Roman"/>
          <w:sz w:val="24"/>
          <w:szCs w:val="24"/>
        </w:rPr>
        <w:t xml:space="preserve"> profile </w:t>
      </w:r>
      <w:r w:rsidR="00C63A87">
        <w:rPr>
          <w:rFonts w:ascii="Times New Roman" w:hAnsi="Times New Roman" w:cs="Times New Roman"/>
          <w:sz w:val="24"/>
          <w:szCs w:val="24"/>
        </w:rPr>
        <w:t>at</w:t>
      </w:r>
      <w:r w:rsidR="00847DAD">
        <w:rPr>
          <w:rFonts w:ascii="Times New Roman" w:hAnsi="Times New Roman" w:cs="Times New Roman"/>
          <w:sz w:val="24"/>
          <w:szCs w:val="24"/>
        </w:rPr>
        <w:t xml:space="preserve"> </w:t>
      </w:r>
      <w:r w:rsidR="00CA2C65" w:rsidRPr="00863CEA">
        <w:rPr>
          <w:rFonts w:ascii="Times New Roman" w:hAnsi="Times New Roman" w:cs="Times New Roman"/>
          <w:sz w:val="24"/>
          <w:szCs w:val="24"/>
        </w:rPr>
        <w:t xml:space="preserve">Lilstock show a </w:t>
      </w:r>
      <w:r w:rsidR="00847DAD">
        <w:rPr>
          <w:rFonts w:ascii="Times New Roman" w:hAnsi="Times New Roman" w:cs="Times New Roman"/>
          <w:sz w:val="24"/>
          <w:szCs w:val="24"/>
          <w:lang w:val="en-GB"/>
        </w:rPr>
        <w:t xml:space="preserve">distinct, </w:t>
      </w:r>
      <w:r w:rsidR="00847DAD" w:rsidRPr="00847DAD">
        <w:rPr>
          <w:rFonts w:ascii="Times New Roman" w:hAnsi="Times New Roman" w:cs="Times New Roman"/>
          <w:sz w:val="24"/>
          <w:szCs w:val="24"/>
          <w:lang w:val="en-GB"/>
        </w:rPr>
        <w:t>larg</w:t>
      </w:r>
      <w:r w:rsidR="00847DAD">
        <w:rPr>
          <w:rFonts w:ascii="Times New Roman" w:hAnsi="Times New Roman" w:cs="Times New Roman"/>
          <w:sz w:val="24"/>
          <w:szCs w:val="24"/>
          <w:lang w:val="en-GB"/>
        </w:rPr>
        <w:t>e</w:t>
      </w:r>
      <w:r w:rsidR="00847DAD" w:rsidRPr="00847DAD">
        <w:rPr>
          <w:rFonts w:ascii="Times New Roman" w:hAnsi="Times New Roman" w:cs="Times New Roman"/>
          <w:sz w:val="24"/>
          <w:szCs w:val="24"/>
          <w:lang w:val="en-GB"/>
        </w:rPr>
        <w:t xml:space="preserve"> magnitude</w:t>
      </w:r>
      <w:r w:rsidR="00847DAD">
        <w:rPr>
          <w:rFonts w:ascii="Times New Roman" w:hAnsi="Times New Roman" w:cs="Times New Roman"/>
          <w:sz w:val="24"/>
          <w:szCs w:val="24"/>
          <w:lang w:val="en-GB"/>
        </w:rPr>
        <w:t xml:space="preserve">, and </w:t>
      </w:r>
      <w:r w:rsidR="00847DAD">
        <w:rPr>
          <w:rFonts w:ascii="Times New Roman" w:hAnsi="Times New Roman" w:cs="Times New Roman"/>
          <w:sz w:val="24"/>
          <w:szCs w:val="24"/>
        </w:rPr>
        <w:t>transient</w:t>
      </w:r>
      <w:r w:rsidR="00847DAD" w:rsidRPr="00847DAD" w:rsidDel="00847DAD">
        <w:rPr>
          <w:rFonts w:ascii="Times New Roman" w:hAnsi="Times New Roman" w:cs="Times New Roman"/>
          <w:sz w:val="24"/>
          <w:szCs w:val="24"/>
        </w:rPr>
        <w:t xml:space="preserve"> </w:t>
      </w:r>
      <w:r w:rsidR="00CA2C65" w:rsidRPr="00863CEA">
        <w:rPr>
          <w:rFonts w:ascii="Times New Roman" w:hAnsi="Times New Roman" w:cs="Times New Roman"/>
          <w:sz w:val="24"/>
          <w:szCs w:val="24"/>
        </w:rPr>
        <w:t xml:space="preserve">increase </w:t>
      </w:r>
      <w:r w:rsidR="00933027" w:rsidRPr="00863CEA">
        <w:rPr>
          <w:rFonts w:ascii="Times New Roman" w:hAnsi="Times New Roman" w:cs="Times New Roman"/>
          <w:sz w:val="24"/>
          <w:szCs w:val="24"/>
        </w:rPr>
        <w:t>(maximum</w:t>
      </w:r>
      <w:r w:rsidR="00CA2C65" w:rsidRPr="00863CEA">
        <w:rPr>
          <w:rFonts w:ascii="Times New Roman" w:hAnsi="Times New Roman" w:cs="Times New Roman"/>
          <w:sz w:val="24"/>
          <w:szCs w:val="24"/>
        </w:rPr>
        <w:t xml:space="preserve"> 34.07 µg/g TOC)</w:t>
      </w:r>
      <w:r w:rsidR="00BC07E6">
        <w:rPr>
          <w:rFonts w:ascii="Times New Roman" w:hAnsi="Times New Roman" w:cs="Times New Roman"/>
          <w:sz w:val="24"/>
          <w:szCs w:val="24"/>
        </w:rPr>
        <w:t xml:space="preserve"> </w:t>
      </w:r>
      <w:r w:rsidR="00CA2C65" w:rsidRPr="00863CEA">
        <w:rPr>
          <w:rFonts w:ascii="Times New Roman" w:hAnsi="Times New Roman" w:cs="Times New Roman"/>
          <w:sz w:val="24"/>
          <w:szCs w:val="24"/>
        </w:rPr>
        <w:t>consistent with a CAMP-induced bi</w:t>
      </w:r>
      <w:r w:rsidR="00803F28" w:rsidRPr="00863CEA">
        <w:rPr>
          <w:rFonts w:ascii="Times New Roman" w:hAnsi="Times New Roman" w:cs="Times New Roman"/>
          <w:sz w:val="24"/>
          <w:szCs w:val="24"/>
        </w:rPr>
        <w:t>omass burning event,</w:t>
      </w:r>
      <w:r w:rsidR="00CA2C65" w:rsidRPr="00863CEA">
        <w:rPr>
          <w:rFonts w:ascii="Times New Roman" w:hAnsi="Times New Roman" w:cs="Times New Roman"/>
          <w:sz w:val="24"/>
          <w:szCs w:val="24"/>
        </w:rPr>
        <w:t xml:space="preserve"> </w:t>
      </w:r>
      <w:r w:rsidR="00632038">
        <w:rPr>
          <w:rFonts w:ascii="Times New Roman" w:hAnsi="Times New Roman" w:cs="Times New Roman"/>
          <w:sz w:val="24"/>
          <w:szCs w:val="24"/>
        </w:rPr>
        <w:t xml:space="preserve">the </w:t>
      </w:r>
      <w:r w:rsidR="00EA0990">
        <w:rPr>
          <w:rFonts w:ascii="Times New Roman" w:hAnsi="Times New Roman" w:cs="Times New Roman"/>
          <w:sz w:val="24"/>
          <w:szCs w:val="24"/>
        </w:rPr>
        <w:t>∑</w:t>
      </w:r>
      <w:proofErr w:type="spellStart"/>
      <w:r w:rsidR="00EA0990">
        <w:rPr>
          <w:rFonts w:ascii="Times New Roman" w:hAnsi="Times New Roman" w:cs="Times New Roman"/>
          <w:sz w:val="24"/>
          <w:szCs w:val="24"/>
        </w:rPr>
        <w:t>pyPAH</w:t>
      </w:r>
      <w:proofErr w:type="spellEnd"/>
      <w:r w:rsidR="00EA0990">
        <w:rPr>
          <w:rFonts w:ascii="Times New Roman" w:hAnsi="Times New Roman" w:cs="Times New Roman"/>
          <w:sz w:val="24"/>
          <w:szCs w:val="24"/>
        </w:rPr>
        <w:t xml:space="preserve"> profile</w:t>
      </w:r>
      <w:r w:rsidR="00632038">
        <w:rPr>
          <w:rFonts w:ascii="Times New Roman" w:hAnsi="Times New Roman" w:cs="Times New Roman"/>
          <w:sz w:val="24"/>
          <w:szCs w:val="24"/>
        </w:rPr>
        <w:t xml:space="preserve"> at</w:t>
      </w:r>
      <w:r w:rsidR="00847DAD">
        <w:rPr>
          <w:rFonts w:ascii="Times New Roman" w:hAnsi="Times New Roman" w:cs="Times New Roman"/>
          <w:sz w:val="24"/>
          <w:szCs w:val="24"/>
        </w:rPr>
        <w:t xml:space="preserve"> </w:t>
      </w:r>
      <w:r w:rsidR="00CA2C65" w:rsidRPr="00480ACF">
        <w:rPr>
          <w:rFonts w:asciiTheme="majorBidi" w:hAnsiTheme="majorBidi" w:cstheme="majorBidi"/>
          <w:sz w:val="24"/>
          <w:szCs w:val="24"/>
        </w:rPr>
        <w:t>St. Audrie’s Bay</w:t>
      </w:r>
      <w:r w:rsidR="00803F28" w:rsidRPr="00480ACF">
        <w:rPr>
          <w:rFonts w:asciiTheme="majorBidi" w:hAnsiTheme="majorBidi" w:cstheme="majorBidi"/>
          <w:sz w:val="24"/>
          <w:szCs w:val="24"/>
        </w:rPr>
        <w:t xml:space="preserve"> instead display</w:t>
      </w:r>
      <w:r w:rsidR="00632038" w:rsidRPr="00480ACF">
        <w:rPr>
          <w:rFonts w:asciiTheme="majorBidi" w:hAnsiTheme="majorBidi" w:cstheme="majorBidi"/>
          <w:sz w:val="24"/>
          <w:szCs w:val="24"/>
        </w:rPr>
        <w:t>s</w:t>
      </w:r>
      <w:r w:rsidR="00CA2C65" w:rsidRPr="00480ACF">
        <w:rPr>
          <w:rFonts w:asciiTheme="majorBidi" w:hAnsiTheme="majorBidi" w:cstheme="majorBidi"/>
          <w:sz w:val="24"/>
          <w:szCs w:val="24"/>
        </w:rPr>
        <w:t xml:space="preserve"> a </w:t>
      </w:r>
      <w:r w:rsidR="00847DAD" w:rsidRPr="00480ACF">
        <w:rPr>
          <w:rFonts w:asciiTheme="majorBidi" w:hAnsiTheme="majorBidi" w:cstheme="majorBidi"/>
          <w:sz w:val="24"/>
          <w:szCs w:val="24"/>
        </w:rPr>
        <w:t xml:space="preserve">lower magnitude </w:t>
      </w:r>
      <w:r w:rsidR="00CF62F9" w:rsidRPr="00480ACF">
        <w:rPr>
          <w:rFonts w:asciiTheme="majorBidi" w:hAnsiTheme="majorBidi" w:cstheme="majorBidi"/>
          <w:sz w:val="24"/>
          <w:szCs w:val="24"/>
        </w:rPr>
        <w:t>and</w:t>
      </w:r>
      <w:r w:rsidR="00632038" w:rsidRPr="00480ACF">
        <w:rPr>
          <w:rFonts w:asciiTheme="majorBidi" w:hAnsiTheme="majorBidi" w:cstheme="majorBidi"/>
          <w:sz w:val="24"/>
          <w:szCs w:val="24"/>
        </w:rPr>
        <w:t xml:space="preserve"> much</w:t>
      </w:r>
      <w:r w:rsidR="00CF62F9" w:rsidRPr="00480ACF">
        <w:rPr>
          <w:rFonts w:asciiTheme="majorBidi" w:hAnsiTheme="majorBidi" w:cstheme="majorBidi"/>
          <w:sz w:val="24"/>
          <w:szCs w:val="24"/>
        </w:rPr>
        <w:t xml:space="preserve"> short</w:t>
      </w:r>
      <w:r w:rsidR="00581295">
        <w:rPr>
          <w:rFonts w:asciiTheme="majorBidi" w:hAnsiTheme="majorBidi" w:cstheme="majorBidi"/>
          <w:sz w:val="24"/>
          <w:szCs w:val="24"/>
        </w:rPr>
        <w:t>er</w:t>
      </w:r>
      <w:r w:rsidR="00CF62F9" w:rsidRPr="00480ACF">
        <w:rPr>
          <w:rFonts w:asciiTheme="majorBidi" w:hAnsiTheme="majorBidi" w:cstheme="majorBidi"/>
          <w:sz w:val="24"/>
          <w:szCs w:val="24"/>
        </w:rPr>
        <w:t>-lived increase</w:t>
      </w:r>
      <w:r w:rsidR="00CA2C65" w:rsidRPr="00480ACF">
        <w:rPr>
          <w:rFonts w:asciiTheme="majorBidi" w:hAnsiTheme="majorBidi" w:cstheme="majorBidi"/>
          <w:sz w:val="24"/>
          <w:szCs w:val="24"/>
        </w:rPr>
        <w:t xml:space="preserve"> </w:t>
      </w:r>
      <w:r w:rsidR="00847DAD" w:rsidRPr="00480ACF">
        <w:rPr>
          <w:rFonts w:asciiTheme="majorBidi" w:hAnsiTheme="majorBidi" w:cstheme="majorBidi"/>
          <w:sz w:val="24"/>
          <w:szCs w:val="24"/>
        </w:rPr>
        <w:t xml:space="preserve">with </w:t>
      </w:r>
      <w:r w:rsidR="00CA2C65" w:rsidRPr="00480ACF">
        <w:rPr>
          <w:rFonts w:asciiTheme="majorBidi" w:hAnsiTheme="majorBidi" w:cstheme="majorBidi"/>
          <w:sz w:val="24"/>
          <w:szCs w:val="24"/>
        </w:rPr>
        <w:t xml:space="preserve">markedly lower </w:t>
      </w:r>
      <w:r w:rsidR="00847DAD" w:rsidRPr="00480ACF">
        <w:rPr>
          <w:rFonts w:asciiTheme="majorBidi" w:hAnsiTheme="majorBidi" w:cstheme="majorBidi"/>
          <w:sz w:val="24"/>
          <w:szCs w:val="24"/>
        </w:rPr>
        <w:t xml:space="preserve">concentrations </w:t>
      </w:r>
      <w:r w:rsidR="00CA2C65" w:rsidRPr="00480ACF">
        <w:rPr>
          <w:rFonts w:asciiTheme="majorBidi" w:hAnsiTheme="majorBidi" w:cstheme="majorBidi"/>
          <w:sz w:val="24"/>
          <w:szCs w:val="24"/>
        </w:rPr>
        <w:t>(max 4.21 µg/g TOC)</w:t>
      </w:r>
      <w:r w:rsidR="00632038" w:rsidRPr="00480ACF">
        <w:rPr>
          <w:rFonts w:asciiTheme="majorBidi" w:hAnsiTheme="majorBidi" w:cstheme="majorBidi"/>
          <w:sz w:val="24"/>
          <w:szCs w:val="24"/>
        </w:rPr>
        <w:t xml:space="preserve"> comparable with concentrations in the</w:t>
      </w:r>
      <w:r w:rsidR="00123A33">
        <w:rPr>
          <w:rFonts w:asciiTheme="majorBidi" w:hAnsiTheme="majorBidi" w:cstheme="majorBidi"/>
          <w:sz w:val="24"/>
          <w:szCs w:val="24"/>
        </w:rPr>
        <w:t xml:space="preserve"> lower</w:t>
      </w:r>
      <w:r w:rsidR="00632038" w:rsidRPr="00480ACF">
        <w:rPr>
          <w:rFonts w:asciiTheme="majorBidi" w:hAnsiTheme="majorBidi" w:cstheme="majorBidi"/>
          <w:sz w:val="24"/>
          <w:szCs w:val="24"/>
        </w:rPr>
        <w:t xml:space="preserve"> Cotham Member</w:t>
      </w:r>
      <w:r w:rsidR="00CA2C65" w:rsidRPr="00480ACF">
        <w:rPr>
          <w:rFonts w:asciiTheme="majorBidi" w:hAnsiTheme="majorBidi" w:cstheme="majorBidi"/>
          <w:sz w:val="24"/>
          <w:szCs w:val="24"/>
        </w:rPr>
        <w:t>.</w:t>
      </w:r>
      <w:bookmarkEnd w:id="35"/>
      <w:r w:rsidR="00CA2C65" w:rsidRPr="00480ACF">
        <w:rPr>
          <w:rFonts w:asciiTheme="majorBidi" w:hAnsiTheme="majorBidi" w:cstheme="majorBidi"/>
          <w:sz w:val="24"/>
          <w:szCs w:val="24"/>
        </w:rPr>
        <w:t xml:space="preserve"> </w:t>
      </w:r>
      <w:bookmarkEnd w:id="36"/>
      <w:r w:rsidR="00E47ABB" w:rsidRPr="00480ACF">
        <w:rPr>
          <w:rFonts w:asciiTheme="majorBidi" w:hAnsiTheme="majorBidi" w:cstheme="majorBidi"/>
          <w:sz w:val="24"/>
          <w:szCs w:val="24"/>
        </w:rPr>
        <w:t>Given</w:t>
      </w:r>
      <w:r w:rsidR="00611188">
        <w:rPr>
          <w:rFonts w:asciiTheme="majorBidi" w:hAnsiTheme="majorBidi" w:cstheme="majorBidi"/>
          <w:sz w:val="24"/>
          <w:szCs w:val="24"/>
        </w:rPr>
        <w:t xml:space="preserve"> </w:t>
      </w:r>
      <w:r w:rsidR="00611188" w:rsidRPr="00480ACF">
        <w:rPr>
          <w:rFonts w:asciiTheme="majorBidi" w:hAnsiTheme="majorBidi" w:cstheme="majorBidi"/>
          <w:sz w:val="24"/>
          <w:szCs w:val="24"/>
        </w:rPr>
        <w:t xml:space="preserve">the </w:t>
      </w:r>
      <w:r w:rsidR="00611188">
        <w:rPr>
          <w:rFonts w:asciiTheme="majorBidi" w:hAnsiTheme="majorBidi" w:cstheme="majorBidi"/>
          <w:sz w:val="24"/>
          <w:szCs w:val="24"/>
        </w:rPr>
        <w:t>close</w:t>
      </w:r>
      <w:r w:rsidR="00611188" w:rsidRPr="00480ACF">
        <w:rPr>
          <w:rFonts w:asciiTheme="majorBidi" w:hAnsiTheme="majorBidi" w:cstheme="majorBidi"/>
          <w:sz w:val="24"/>
          <w:szCs w:val="24"/>
        </w:rPr>
        <w:t xml:space="preserve"> proximity between St. Audrie’s Bay and Lilstock (</w:t>
      </w:r>
      <w:r w:rsidR="00611188" w:rsidRPr="00480ACF">
        <w:rPr>
          <w:rFonts w:asciiTheme="majorBidi" w:hAnsiTheme="majorBidi" w:cstheme="majorBidi"/>
          <w:color w:val="333333"/>
          <w:sz w:val="24"/>
          <w:szCs w:val="24"/>
          <w:shd w:val="clear" w:color="auto" w:fill="FFFFFF"/>
        </w:rPr>
        <w:t>~</w:t>
      </w:r>
      <w:r w:rsidR="00611188" w:rsidRPr="00480ACF">
        <w:rPr>
          <w:rFonts w:asciiTheme="majorBidi" w:hAnsiTheme="majorBidi" w:cstheme="majorBidi"/>
          <w:sz w:val="24"/>
          <w:szCs w:val="24"/>
        </w:rPr>
        <w:t>7 km)</w:t>
      </w:r>
      <w:r w:rsidR="00611188">
        <w:rPr>
          <w:rFonts w:asciiTheme="majorBidi" w:hAnsiTheme="majorBidi" w:cstheme="majorBidi"/>
          <w:sz w:val="24"/>
          <w:szCs w:val="24"/>
        </w:rPr>
        <w:t xml:space="preserve"> and</w:t>
      </w:r>
      <w:r w:rsidR="00E47ABB" w:rsidRPr="00480ACF">
        <w:rPr>
          <w:rFonts w:asciiTheme="majorBidi" w:hAnsiTheme="majorBidi" w:cstheme="majorBidi"/>
          <w:sz w:val="24"/>
          <w:szCs w:val="24"/>
        </w:rPr>
        <w:t xml:space="preserve"> that fire products can travel great distances, smoke aerosols up to </w:t>
      </w:r>
      <w:r>
        <w:rPr>
          <w:rFonts w:asciiTheme="majorBidi" w:hAnsiTheme="majorBidi" w:cstheme="majorBidi"/>
          <w:sz w:val="24"/>
          <w:szCs w:val="24"/>
        </w:rPr>
        <w:t>~</w:t>
      </w:r>
      <w:r w:rsidR="00E47ABB" w:rsidRPr="00480ACF">
        <w:rPr>
          <w:rFonts w:asciiTheme="majorBidi" w:hAnsiTheme="majorBidi" w:cstheme="majorBidi"/>
          <w:sz w:val="24"/>
          <w:szCs w:val="24"/>
        </w:rPr>
        <w:t xml:space="preserve">10,000 km and charred particles up to </w:t>
      </w:r>
      <w:r>
        <w:rPr>
          <w:rFonts w:asciiTheme="majorBidi" w:hAnsiTheme="majorBidi" w:cstheme="majorBidi"/>
          <w:sz w:val="24"/>
          <w:szCs w:val="24"/>
        </w:rPr>
        <w:t>~</w:t>
      </w:r>
      <w:r w:rsidR="00E47ABB" w:rsidRPr="00480ACF">
        <w:rPr>
          <w:rFonts w:asciiTheme="majorBidi" w:hAnsiTheme="majorBidi" w:cstheme="majorBidi"/>
          <w:sz w:val="24"/>
          <w:szCs w:val="24"/>
        </w:rPr>
        <w:t xml:space="preserve">10 km (with impacts of secondary transport important) </w:t>
      </w:r>
      <w:r w:rsidR="00480ACF">
        <w:rPr>
          <w:rFonts w:asciiTheme="majorBidi" w:hAnsiTheme="majorBidi" w:cstheme="majorBidi"/>
          <w:sz w:val="24"/>
          <w:szCs w:val="24"/>
        </w:rPr>
        <w:fldChar w:fldCharType="begin" w:fldLock="1"/>
      </w:r>
      <w:r w:rsidR="00B910AB">
        <w:rPr>
          <w:rFonts w:asciiTheme="majorBidi" w:hAnsiTheme="majorBidi" w:cstheme="majorBidi"/>
          <w:sz w:val="24"/>
          <w:szCs w:val="24"/>
        </w:rPr>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sidR="00B910AB">
        <w:rPr>
          <w:rFonts w:ascii="Cambria Math" w:hAnsi="Cambria Math" w:cs="Cambria Math"/>
          <w:sz w:val="24"/>
          <w:szCs w:val="24"/>
        </w:rPr>
        <w:instrText>∼</w:instrText>
      </w:r>
      <w:r w:rsidR="00B910AB">
        <w:rPr>
          <w:rFonts w:asciiTheme="majorBidi" w:hAnsiTheme="majorBidi" w:cstheme="majorBidi"/>
          <w:sz w:val="24"/>
          <w:szCs w:val="24"/>
        </w:rPr>
        <w:instrText>12</w:instrText>
      </w:r>
      <w:r w:rsidR="00B910AB">
        <w:rPr>
          <w:rFonts w:ascii="Times New Roman" w:hAnsi="Times New Roman" w:cs="Times New Roman"/>
          <w:sz w:val="24"/>
          <w:szCs w:val="24"/>
        </w:rPr>
        <w:instrText>‰</w:instrText>
      </w:r>
      <w:r w:rsidR="00B910AB">
        <w:rPr>
          <w:rFonts w:asciiTheme="majorBidi" w:hAnsiTheme="majorBidi" w:cstheme="majorBidi"/>
          <w:sz w:val="24"/>
          <w:szCs w:val="24"/>
        </w:rPr>
        <w:instrText xml:space="preserve">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paleo-applications","type":"article-journal","volume":"289"},"uris":["http://www.mendeley.com/documents/?uuid=a4f6bf2d-6c02-41f3-8889-b9f9a26ebff2"]}],"mendeley":{"formattedCitation":"(Karp et al., 2020)","plainTextFormattedCitation":"(Karp et al., 2020)","previouslyFormattedCitation":"(Karp et al., 2020)"},"properties":{"noteIndex":0},"schema":"https://github.com/citation-style-language/schema/raw/master/csl-citation.json"}</w:instrText>
      </w:r>
      <w:r w:rsidR="00480ACF">
        <w:rPr>
          <w:rFonts w:asciiTheme="majorBidi" w:hAnsiTheme="majorBidi" w:cstheme="majorBidi"/>
          <w:sz w:val="24"/>
          <w:szCs w:val="24"/>
        </w:rPr>
        <w:fldChar w:fldCharType="separate"/>
      </w:r>
      <w:r w:rsidR="00480ACF" w:rsidRPr="00480ACF">
        <w:rPr>
          <w:rFonts w:asciiTheme="majorBidi" w:hAnsiTheme="majorBidi" w:cstheme="majorBidi"/>
          <w:noProof/>
          <w:sz w:val="24"/>
          <w:szCs w:val="24"/>
        </w:rPr>
        <w:t>(Karp et al., 2020)</w:t>
      </w:r>
      <w:r w:rsidR="00480ACF">
        <w:rPr>
          <w:rFonts w:asciiTheme="majorBidi" w:hAnsiTheme="majorBidi" w:cstheme="majorBidi"/>
          <w:sz w:val="24"/>
          <w:szCs w:val="24"/>
        </w:rPr>
        <w:fldChar w:fldCharType="end"/>
      </w:r>
      <w:r w:rsidR="00E47ABB" w:rsidRPr="00480ACF">
        <w:rPr>
          <w:rFonts w:asciiTheme="majorBidi" w:hAnsiTheme="majorBidi" w:cstheme="majorBidi"/>
          <w:sz w:val="24"/>
          <w:szCs w:val="24"/>
        </w:rPr>
        <w:t>, the respective PAH profiles through the initial CIE</w:t>
      </w:r>
      <w:r w:rsidR="00B910AB">
        <w:rPr>
          <w:rFonts w:asciiTheme="majorBidi" w:hAnsiTheme="majorBidi" w:cstheme="majorBidi"/>
          <w:sz w:val="24"/>
          <w:szCs w:val="24"/>
        </w:rPr>
        <w:t xml:space="preserve"> do not reflect</w:t>
      </w:r>
      <w:r w:rsidR="00E47ABB" w:rsidRPr="00480ACF">
        <w:rPr>
          <w:rFonts w:asciiTheme="majorBidi" w:hAnsiTheme="majorBidi" w:cstheme="majorBidi"/>
          <w:sz w:val="24"/>
          <w:szCs w:val="24"/>
        </w:rPr>
        <w:t xml:space="preserve"> CAMP-induced biomass burning</w:t>
      </w:r>
      <w:r w:rsidR="00480ACF" w:rsidRPr="00F55CC7">
        <w:rPr>
          <w:rFonts w:asciiTheme="majorBidi" w:hAnsiTheme="majorBidi" w:cstheme="majorBidi"/>
          <w:sz w:val="24"/>
          <w:szCs w:val="24"/>
        </w:rPr>
        <w:t>.</w:t>
      </w:r>
      <w:r w:rsidR="00F55CC7" w:rsidRPr="00F55CC7">
        <w:rPr>
          <w:rFonts w:asciiTheme="majorBidi" w:hAnsiTheme="majorBidi" w:cstheme="majorBidi"/>
          <w:sz w:val="24"/>
          <w:szCs w:val="24"/>
        </w:rPr>
        <w:t xml:space="preserve"> Increased</w:t>
      </w:r>
      <w:r w:rsidR="00EA0990">
        <w:rPr>
          <w:rFonts w:asciiTheme="majorBidi" w:hAnsiTheme="majorBidi" w:cstheme="majorBidi"/>
          <w:sz w:val="24"/>
          <w:szCs w:val="24"/>
        </w:rPr>
        <w:t xml:space="preserve"> initial CIE</w:t>
      </w:r>
      <w:r w:rsidR="00F55CC7" w:rsidRPr="00F55CC7">
        <w:rPr>
          <w:rFonts w:asciiTheme="majorBidi" w:hAnsiTheme="majorBidi" w:cstheme="majorBidi"/>
          <w:sz w:val="24"/>
          <w:szCs w:val="24"/>
        </w:rPr>
        <w:t xml:space="preserve"> </w:t>
      </w:r>
      <w:proofErr w:type="spellStart"/>
      <w:r w:rsidR="00F55CC7">
        <w:rPr>
          <w:rFonts w:asciiTheme="majorBidi" w:hAnsiTheme="majorBidi" w:cstheme="majorBidi"/>
          <w:sz w:val="24"/>
          <w:szCs w:val="24"/>
        </w:rPr>
        <w:t>py</w:t>
      </w:r>
      <w:r w:rsidR="00F55CC7" w:rsidRPr="00F55CC7">
        <w:rPr>
          <w:rFonts w:asciiTheme="majorBidi" w:hAnsiTheme="majorBidi" w:cstheme="majorBidi"/>
          <w:sz w:val="24"/>
          <w:szCs w:val="24"/>
        </w:rPr>
        <w:t>PAHs</w:t>
      </w:r>
      <w:proofErr w:type="spellEnd"/>
      <w:r w:rsidR="00F55CC7" w:rsidRPr="00F55CC7">
        <w:rPr>
          <w:rFonts w:asciiTheme="majorBidi" w:hAnsiTheme="majorBidi" w:cstheme="majorBidi"/>
          <w:sz w:val="24"/>
          <w:szCs w:val="24"/>
        </w:rPr>
        <w:t xml:space="preserve"> at Lilstock could possibly be related to an extremely localized and small burning event in which </w:t>
      </w:r>
      <w:proofErr w:type="spellStart"/>
      <w:r w:rsidR="001F2DC6" w:rsidRPr="005C3F7F">
        <w:rPr>
          <w:rFonts w:asciiTheme="majorBidi" w:hAnsiTheme="majorBidi" w:cstheme="majorBidi"/>
          <w:sz w:val="24"/>
          <w:szCs w:val="24"/>
        </w:rPr>
        <w:t>py</w:t>
      </w:r>
      <w:r w:rsidR="00F55CC7" w:rsidRPr="005C3F7F">
        <w:rPr>
          <w:rFonts w:asciiTheme="majorBidi" w:hAnsiTheme="majorBidi" w:cstheme="majorBidi"/>
          <w:sz w:val="24"/>
          <w:szCs w:val="24"/>
        </w:rPr>
        <w:t>PAHs</w:t>
      </w:r>
      <w:proofErr w:type="spellEnd"/>
      <w:r w:rsidR="00F55CC7" w:rsidRPr="005C3F7F">
        <w:rPr>
          <w:rFonts w:asciiTheme="majorBidi" w:hAnsiTheme="majorBidi" w:cstheme="majorBidi"/>
          <w:sz w:val="24"/>
          <w:szCs w:val="24"/>
        </w:rPr>
        <w:t xml:space="preserve"> did not travel far or, more likely, additional processes were at play (i.e., soil-derived </w:t>
      </w:r>
      <w:proofErr w:type="spellStart"/>
      <w:r w:rsidR="00F55CC7" w:rsidRPr="005C3F7F">
        <w:rPr>
          <w:rFonts w:asciiTheme="majorBidi" w:hAnsiTheme="majorBidi" w:cstheme="majorBidi"/>
          <w:sz w:val="24"/>
          <w:szCs w:val="24"/>
        </w:rPr>
        <w:t>pyPAHs</w:t>
      </w:r>
      <w:proofErr w:type="spellEnd"/>
      <w:r w:rsidR="00F55CC7" w:rsidRPr="005C3F7F">
        <w:rPr>
          <w:rFonts w:asciiTheme="majorBidi" w:hAnsiTheme="majorBidi" w:cstheme="majorBidi"/>
          <w:sz w:val="24"/>
          <w:szCs w:val="24"/>
        </w:rPr>
        <w:t xml:space="preserve"> input described in section 4.2).</w:t>
      </w:r>
    </w:p>
    <w:p w14:paraId="725FA7C8" w14:textId="73192AC1" w:rsidR="00DF052C" w:rsidRPr="005045DC" w:rsidRDefault="000E760A" w:rsidP="0070044E">
      <w:pPr>
        <w:spacing w:line="480" w:lineRule="auto"/>
        <w:ind w:firstLine="720"/>
        <w:jc w:val="both"/>
        <w:rPr>
          <w:rFonts w:asciiTheme="majorBidi" w:hAnsiTheme="majorBidi" w:cstheme="majorBidi"/>
          <w:sz w:val="24"/>
          <w:szCs w:val="24"/>
        </w:rPr>
      </w:pPr>
      <w:bookmarkStart w:id="37" w:name="_Hlk92745255"/>
      <w:bookmarkStart w:id="38" w:name="_Hlk93659851"/>
      <w:r w:rsidRPr="0070044E">
        <w:rPr>
          <w:rFonts w:asciiTheme="majorBidi" w:hAnsiTheme="majorBidi" w:cstheme="majorBidi"/>
          <w:sz w:val="24"/>
          <w:szCs w:val="24"/>
        </w:rPr>
        <w:t xml:space="preserve">Together, </w:t>
      </w:r>
      <w:r w:rsidR="00611188">
        <w:rPr>
          <w:rFonts w:asciiTheme="majorBidi" w:hAnsiTheme="majorBidi" w:cstheme="majorBidi"/>
          <w:sz w:val="24"/>
          <w:szCs w:val="24"/>
        </w:rPr>
        <w:t>these</w:t>
      </w:r>
      <w:r w:rsidRPr="0070044E">
        <w:rPr>
          <w:rFonts w:asciiTheme="majorBidi" w:hAnsiTheme="majorBidi" w:cstheme="majorBidi"/>
          <w:sz w:val="24"/>
          <w:szCs w:val="24"/>
        </w:rPr>
        <w:t xml:space="preserve"> data show</w:t>
      </w:r>
      <w:r w:rsidR="003C77F4" w:rsidRPr="0070044E">
        <w:rPr>
          <w:rFonts w:asciiTheme="majorBidi" w:hAnsiTheme="majorBidi" w:cstheme="majorBidi"/>
          <w:sz w:val="24"/>
          <w:szCs w:val="24"/>
        </w:rPr>
        <w:t xml:space="preserve"> </w:t>
      </w:r>
      <w:r w:rsidR="00B03D6B">
        <w:rPr>
          <w:rFonts w:asciiTheme="majorBidi" w:hAnsiTheme="majorBidi" w:cstheme="majorBidi"/>
          <w:sz w:val="24"/>
          <w:szCs w:val="24"/>
        </w:rPr>
        <w:t>that</w:t>
      </w:r>
      <w:r w:rsidR="00B03D6B" w:rsidRPr="0070044E">
        <w:rPr>
          <w:rFonts w:asciiTheme="majorBidi" w:hAnsiTheme="majorBidi" w:cstheme="majorBidi"/>
          <w:sz w:val="24"/>
          <w:szCs w:val="24"/>
        </w:rPr>
        <w:t xml:space="preserve"> </w:t>
      </w:r>
      <w:r w:rsidR="00B03D6B">
        <w:rPr>
          <w:rFonts w:asciiTheme="majorBidi" w:hAnsiTheme="majorBidi" w:cstheme="majorBidi"/>
          <w:sz w:val="24"/>
          <w:szCs w:val="24"/>
        </w:rPr>
        <w:t xml:space="preserve">through the </w:t>
      </w:r>
      <w:r w:rsidR="004B2C93" w:rsidRPr="0070044E">
        <w:rPr>
          <w:rFonts w:asciiTheme="majorBidi" w:hAnsiTheme="majorBidi" w:cstheme="majorBidi"/>
          <w:sz w:val="24"/>
          <w:szCs w:val="24"/>
        </w:rPr>
        <w:t>initial CIE</w:t>
      </w:r>
      <w:r w:rsidR="00B03D6B">
        <w:rPr>
          <w:rFonts w:asciiTheme="majorBidi" w:hAnsiTheme="majorBidi" w:cstheme="majorBidi"/>
          <w:sz w:val="24"/>
          <w:szCs w:val="24"/>
        </w:rPr>
        <w:t xml:space="preserve"> in the </w:t>
      </w:r>
      <w:r w:rsidR="00B03D6B" w:rsidRPr="0070044E">
        <w:rPr>
          <w:rFonts w:asciiTheme="majorBidi" w:hAnsiTheme="majorBidi" w:cstheme="majorBidi"/>
          <w:sz w:val="24"/>
          <w:szCs w:val="24"/>
        </w:rPr>
        <w:t>SW UK</w:t>
      </w:r>
      <w:r w:rsidR="00B03D6B">
        <w:rPr>
          <w:rFonts w:asciiTheme="majorBidi" w:hAnsiTheme="majorBidi" w:cstheme="majorBidi"/>
          <w:sz w:val="24"/>
          <w:szCs w:val="24"/>
        </w:rPr>
        <w:t>,</w:t>
      </w:r>
      <w:r w:rsidR="004B2C93" w:rsidRPr="0070044E">
        <w:rPr>
          <w:rFonts w:asciiTheme="majorBidi" w:hAnsiTheme="majorBidi" w:cstheme="majorBidi"/>
          <w:sz w:val="24"/>
          <w:szCs w:val="24"/>
        </w:rPr>
        <w:t xml:space="preserve"> </w:t>
      </w:r>
      <w:proofErr w:type="spellStart"/>
      <w:r w:rsidRPr="0070044E">
        <w:rPr>
          <w:rFonts w:asciiTheme="majorBidi" w:hAnsiTheme="majorBidi" w:cstheme="majorBidi"/>
          <w:sz w:val="24"/>
          <w:szCs w:val="24"/>
        </w:rPr>
        <w:t>pyPAHs</w:t>
      </w:r>
      <w:proofErr w:type="spellEnd"/>
      <w:r w:rsidRPr="0070044E">
        <w:rPr>
          <w:rFonts w:asciiTheme="majorBidi" w:hAnsiTheme="majorBidi" w:cstheme="majorBidi"/>
          <w:sz w:val="24"/>
          <w:szCs w:val="24"/>
        </w:rPr>
        <w:t xml:space="preserve"> </w:t>
      </w:r>
      <w:r w:rsidR="004B2C93" w:rsidRPr="0070044E">
        <w:rPr>
          <w:rFonts w:asciiTheme="majorBidi" w:hAnsiTheme="majorBidi" w:cstheme="majorBidi"/>
          <w:sz w:val="24"/>
          <w:szCs w:val="24"/>
        </w:rPr>
        <w:t xml:space="preserve">reflect </w:t>
      </w:r>
      <w:r w:rsidR="005D7FE6" w:rsidRPr="0070044E">
        <w:rPr>
          <w:rFonts w:asciiTheme="majorBidi" w:hAnsiTheme="majorBidi" w:cstheme="majorBidi"/>
          <w:sz w:val="24"/>
          <w:szCs w:val="24"/>
        </w:rPr>
        <w:t>neither</w:t>
      </w:r>
      <w:r w:rsidR="00F10288" w:rsidRPr="0070044E">
        <w:rPr>
          <w:rFonts w:asciiTheme="majorBidi" w:hAnsiTheme="majorBidi" w:cstheme="majorBidi"/>
          <w:sz w:val="24"/>
          <w:szCs w:val="24"/>
        </w:rPr>
        <w:t xml:space="preserve"> intense </w:t>
      </w:r>
      <w:r w:rsidR="00B03D6B">
        <w:rPr>
          <w:rFonts w:asciiTheme="majorBidi" w:hAnsiTheme="majorBidi" w:cstheme="majorBidi"/>
          <w:sz w:val="24"/>
          <w:szCs w:val="24"/>
        </w:rPr>
        <w:t>nor</w:t>
      </w:r>
      <w:r w:rsidR="00B03D6B" w:rsidRPr="0070044E">
        <w:rPr>
          <w:rFonts w:asciiTheme="majorBidi" w:hAnsiTheme="majorBidi" w:cstheme="majorBidi"/>
          <w:sz w:val="24"/>
          <w:szCs w:val="24"/>
        </w:rPr>
        <w:t xml:space="preserve"> </w:t>
      </w:r>
      <w:r w:rsidR="00F10288" w:rsidRPr="0070044E">
        <w:rPr>
          <w:rFonts w:asciiTheme="majorBidi" w:hAnsiTheme="majorBidi" w:cstheme="majorBidi"/>
          <w:sz w:val="24"/>
          <w:szCs w:val="24"/>
        </w:rPr>
        <w:t>widespread CAMP-induced biomass burning</w:t>
      </w:r>
      <w:r w:rsidR="004B2C93" w:rsidRPr="0070044E">
        <w:rPr>
          <w:rFonts w:asciiTheme="majorBidi" w:hAnsiTheme="majorBidi" w:cstheme="majorBidi"/>
          <w:sz w:val="24"/>
          <w:szCs w:val="24"/>
        </w:rPr>
        <w:t>.</w:t>
      </w:r>
      <w:r w:rsidR="004D3962" w:rsidRPr="0070044E">
        <w:rPr>
          <w:rFonts w:asciiTheme="majorBidi" w:hAnsiTheme="majorBidi" w:cstheme="majorBidi"/>
          <w:sz w:val="24"/>
          <w:szCs w:val="24"/>
        </w:rPr>
        <w:t xml:space="preserve"> </w:t>
      </w:r>
      <w:r w:rsidR="003B4F90" w:rsidRPr="0070044E">
        <w:rPr>
          <w:rFonts w:asciiTheme="majorBidi" w:hAnsiTheme="majorBidi" w:cstheme="majorBidi"/>
          <w:sz w:val="24"/>
          <w:szCs w:val="24"/>
        </w:rPr>
        <w:t>During</w:t>
      </w:r>
      <w:r w:rsidR="004D3962" w:rsidRPr="0070044E">
        <w:rPr>
          <w:rFonts w:asciiTheme="majorBidi" w:hAnsiTheme="majorBidi" w:cstheme="majorBidi"/>
          <w:sz w:val="24"/>
          <w:szCs w:val="24"/>
        </w:rPr>
        <w:t xml:space="preserve"> other </w:t>
      </w:r>
      <w:r w:rsidR="00B03D6B">
        <w:rPr>
          <w:rFonts w:asciiTheme="majorBidi" w:hAnsiTheme="majorBidi" w:cstheme="majorBidi"/>
          <w:sz w:val="24"/>
          <w:szCs w:val="24"/>
        </w:rPr>
        <w:t>interval</w:t>
      </w:r>
      <w:r w:rsidR="004D3962" w:rsidRPr="0070044E">
        <w:rPr>
          <w:rFonts w:asciiTheme="majorBidi" w:hAnsiTheme="majorBidi" w:cstheme="majorBidi"/>
          <w:sz w:val="24"/>
          <w:szCs w:val="24"/>
        </w:rPr>
        <w:t>s of</w:t>
      </w:r>
      <w:r w:rsidR="006B7947" w:rsidRPr="0070044E">
        <w:rPr>
          <w:rFonts w:asciiTheme="majorBidi" w:hAnsiTheme="majorBidi" w:cstheme="majorBidi"/>
          <w:sz w:val="24"/>
          <w:szCs w:val="24"/>
        </w:rPr>
        <w:t xml:space="preserve"> </w:t>
      </w:r>
      <w:r w:rsidR="00E4732F" w:rsidRPr="0070044E">
        <w:rPr>
          <w:rFonts w:asciiTheme="majorBidi" w:hAnsiTheme="majorBidi" w:cstheme="majorBidi"/>
          <w:sz w:val="24"/>
          <w:szCs w:val="24"/>
        </w:rPr>
        <w:t>LIP</w:t>
      </w:r>
      <w:r w:rsidR="006B7947" w:rsidRPr="0070044E">
        <w:rPr>
          <w:rFonts w:asciiTheme="majorBidi" w:hAnsiTheme="majorBidi" w:cstheme="majorBidi"/>
          <w:sz w:val="24"/>
          <w:szCs w:val="24"/>
        </w:rPr>
        <w:t>-driven</w:t>
      </w:r>
      <w:r w:rsidR="004D3962" w:rsidRPr="0070044E">
        <w:rPr>
          <w:rFonts w:asciiTheme="majorBidi" w:hAnsiTheme="majorBidi" w:cstheme="majorBidi"/>
          <w:sz w:val="24"/>
          <w:szCs w:val="24"/>
        </w:rPr>
        <w:t xml:space="preserve"> biotic crises,</w:t>
      </w:r>
      <w:r w:rsidR="0066739F" w:rsidRPr="0070044E">
        <w:rPr>
          <w:rFonts w:asciiTheme="majorBidi" w:hAnsiTheme="majorBidi" w:cstheme="majorBidi"/>
          <w:sz w:val="24"/>
          <w:szCs w:val="24"/>
        </w:rPr>
        <w:t xml:space="preserve"> </w:t>
      </w:r>
      <w:r w:rsidR="004D3962" w:rsidRPr="0070044E">
        <w:rPr>
          <w:rFonts w:asciiTheme="majorBidi" w:hAnsiTheme="majorBidi" w:cstheme="majorBidi"/>
          <w:sz w:val="24"/>
          <w:szCs w:val="24"/>
        </w:rPr>
        <w:t xml:space="preserve">such as Ocean Anoxic Event 2, widespread combustion of terrestrial material </w:t>
      </w:r>
      <w:r w:rsidR="004D3962" w:rsidRPr="0070044E">
        <w:rPr>
          <w:rFonts w:asciiTheme="majorBidi" w:hAnsiTheme="majorBidi" w:cstheme="majorBidi"/>
          <w:sz w:val="24"/>
          <w:szCs w:val="24"/>
        </w:rPr>
        <w:lastRenderedPageBreak/>
        <w:t xml:space="preserve">is </w:t>
      </w:r>
      <w:r w:rsidR="00E76A21" w:rsidRPr="0070044E">
        <w:rPr>
          <w:rFonts w:asciiTheme="majorBidi" w:hAnsiTheme="majorBidi" w:cstheme="majorBidi"/>
          <w:sz w:val="24"/>
          <w:szCs w:val="24"/>
        </w:rPr>
        <w:t>thought</w:t>
      </w:r>
      <w:r w:rsidR="004D3962" w:rsidRPr="0070044E">
        <w:rPr>
          <w:rFonts w:asciiTheme="majorBidi" w:hAnsiTheme="majorBidi" w:cstheme="majorBidi"/>
          <w:sz w:val="24"/>
          <w:szCs w:val="24"/>
        </w:rPr>
        <w:t xml:space="preserve"> to </w:t>
      </w:r>
      <w:r w:rsidR="00E76A21" w:rsidRPr="0070044E">
        <w:rPr>
          <w:rFonts w:asciiTheme="majorBidi" w:hAnsiTheme="majorBidi" w:cstheme="majorBidi"/>
          <w:sz w:val="24"/>
          <w:szCs w:val="24"/>
        </w:rPr>
        <w:t>have driven</w:t>
      </w:r>
      <w:r w:rsidR="004D3962" w:rsidRPr="0070044E">
        <w:rPr>
          <w:rFonts w:asciiTheme="majorBidi" w:hAnsiTheme="majorBidi" w:cstheme="majorBidi"/>
          <w:sz w:val="24"/>
          <w:szCs w:val="24"/>
        </w:rPr>
        <w:t xml:space="preserve"> </w:t>
      </w:r>
      <w:r w:rsidR="006B7947" w:rsidRPr="0070044E">
        <w:rPr>
          <w:rFonts w:asciiTheme="majorBidi" w:hAnsiTheme="majorBidi" w:cstheme="majorBidi"/>
          <w:sz w:val="24"/>
          <w:szCs w:val="24"/>
        </w:rPr>
        <w:t>negative CIEs</w:t>
      </w:r>
      <w:r w:rsidR="00984A4D">
        <w:rPr>
          <w:rFonts w:asciiTheme="majorBidi" w:hAnsiTheme="majorBidi" w:cstheme="majorBidi"/>
          <w:sz w:val="24"/>
          <w:szCs w:val="24"/>
        </w:rPr>
        <w:t xml:space="preserve"> similar to the initial CIE</w:t>
      </w:r>
      <w:r w:rsidR="006B7947" w:rsidRPr="0070044E">
        <w:rPr>
          <w:rFonts w:asciiTheme="majorBidi" w:hAnsiTheme="majorBidi" w:cstheme="majorBidi"/>
          <w:sz w:val="24"/>
          <w:szCs w:val="24"/>
        </w:rPr>
        <w:t xml:space="preserve"> </w:t>
      </w:r>
      <w:r w:rsidR="006B7947" w:rsidRPr="0070044E">
        <w:rPr>
          <w:rFonts w:asciiTheme="majorBidi" w:hAnsiTheme="majorBidi" w:cstheme="majorBidi"/>
          <w:sz w:val="24"/>
          <w:szCs w:val="24"/>
        </w:rPr>
        <w:fldChar w:fldCharType="begin" w:fldLock="1"/>
      </w:r>
      <w:r w:rsidR="006B7947" w:rsidRPr="0070044E">
        <w:rPr>
          <w:rFonts w:asciiTheme="majorBidi" w:hAnsiTheme="majorBidi" w:cstheme="majorBidi"/>
          <w:sz w:val="24"/>
          <w:szCs w:val="24"/>
        </w:rPr>
        <w:instrText>ADDIN CSL_CITATION {"citationItems":[{"id":"ITEM-1","itemData":{"DOI":"10.1038/s41561-020-0633-y","ISSN":"1752-0908","abstract":"Volcanic-driven nutrient flux to the oceans stimulated marine productivity and organic matter burial during Oceanic Anoxic Event 2 (OAE2; ~94 million years ago). While the preferential burial of 13C-depleted organic matter led to a general 13C enrichment of sediments during the event, a 2‰ 13C depletion punctuated the first half of the event (known as the Plenus), raising questions about carbon cycle feedbacks during OAE2. Here we present organic geochemical evidence (for example, pyrogenic polycyclic aromatic hydrocarbons) from the Western Interior Seaway that indicates increased forest fire frequency in the western United States during the Plenus. Carbon mass balance equations, which account for the amount and carbon isotopic composition of atmospheric CO2 and forest biomass during OAE2, potentiate fires in the western United States as part of a widespread increase in forest fires that could have alone caused the global 2‰ 13C depletion during the Plenus. Plant biomarkers suggest that local precipitation and plant type did not change significantly, indicating that elevated atmospheric oxygen levels from widespread organic carbon burial increased the frequency of fires in wet forest ecosystems that were extensive during OAE2. Plant biomarkers also indicate that forest fires amplified the flux of terrestrial organic matter and nutrients to the oceans, which may have enhanced marine productivity, organic carbon burial and the return to 13C-enriched sediments at the end of the Plenus. The extent that this feedback impacted global biogeochemistry during the Plenus and the rest of OAE2, as well as other events in Earth history, warrants further investigation.","author":[{"dropping-particle":"","family":"Boudinot","given":"F Garrett","non-dropping-particle":"","parse-names":false,"suffix":""},{"dropping-particle":"","family":"Sepúlveda","given":"Julio","non-dropping-particle":"","parse-names":false,"suffix":""}],"container-title":"Nature Geoscience","id":"ITEM-1","issue":"10","issued":{"date-parts":[["2020"]]},"page":"693-698","title":"Marine organic carbon burial increased forest fire frequency during Oceanic Anoxic Event 2","type":"article-journal","volume":"13"},"uris":["http://www.mendeley.com/documents/?uuid=9817735e-e5ce-46c9-8103-8d9a9e58677f"]}],"mendeley":{"formattedCitation":"(Boudinot and Sepúlveda, 2020)","plainTextFormattedCitation":"(Boudinot and Sepúlveda, 2020)","previouslyFormattedCitation":"(Boudinot and Sepúlveda, 2020)"},"properties":{"noteIndex":0},"schema":"https://github.com/citation-style-language/schema/raw/master/csl-citation.json"}</w:instrText>
      </w:r>
      <w:r w:rsidR="006B7947" w:rsidRPr="0070044E">
        <w:rPr>
          <w:rFonts w:asciiTheme="majorBidi" w:hAnsiTheme="majorBidi" w:cstheme="majorBidi"/>
          <w:sz w:val="24"/>
          <w:szCs w:val="24"/>
        </w:rPr>
        <w:fldChar w:fldCharType="separate"/>
      </w:r>
      <w:r w:rsidR="006B7947" w:rsidRPr="0070044E">
        <w:rPr>
          <w:rFonts w:asciiTheme="majorBidi" w:hAnsiTheme="majorBidi" w:cstheme="majorBidi"/>
          <w:noProof/>
          <w:sz w:val="24"/>
          <w:szCs w:val="24"/>
        </w:rPr>
        <w:t>(Boudinot and Sepúlveda, 2020)</w:t>
      </w:r>
      <w:r w:rsidR="006B7947" w:rsidRPr="0070044E">
        <w:rPr>
          <w:rFonts w:asciiTheme="majorBidi" w:hAnsiTheme="majorBidi" w:cstheme="majorBidi"/>
          <w:sz w:val="24"/>
          <w:szCs w:val="24"/>
        </w:rPr>
        <w:fldChar w:fldCharType="end"/>
      </w:r>
      <w:r w:rsidR="006B7947" w:rsidRPr="0070044E">
        <w:rPr>
          <w:rFonts w:asciiTheme="majorBidi" w:hAnsiTheme="majorBidi" w:cstheme="majorBidi"/>
          <w:sz w:val="24"/>
          <w:szCs w:val="24"/>
        </w:rPr>
        <w:t>. Thus,</w:t>
      </w:r>
      <w:r w:rsidR="003B4F90" w:rsidRPr="0070044E">
        <w:rPr>
          <w:rFonts w:asciiTheme="majorBidi" w:hAnsiTheme="majorBidi" w:cstheme="majorBidi"/>
          <w:sz w:val="24"/>
          <w:szCs w:val="24"/>
        </w:rPr>
        <w:t xml:space="preserve"> the discrepancies between </w:t>
      </w:r>
      <w:r w:rsidR="00EA0990">
        <w:rPr>
          <w:rFonts w:asciiTheme="majorBidi" w:hAnsiTheme="majorBidi" w:cstheme="majorBidi"/>
          <w:sz w:val="24"/>
          <w:szCs w:val="24"/>
        </w:rPr>
        <w:t xml:space="preserve">SW UK </w:t>
      </w:r>
      <w:r w:rsidR="003B4F90" w:rsidRPr="0070044E">
        <w:rPr>
          <w:rFonts w:asciiTheme="majorBidi" w:hAnsiTheme="majorBidi" w:cstheme="majorBidi"/>
          <w:sz w:val="24"/>
          <w:szCs w:val="24"/>
        </w:rPr>
        <w:t>biomass burning records presented in this study</w:t>
      </w:r>
      <w:r w:rsidR="006B7947" w:rsidRPr="0070044E">
        <w:rPr>
          <w:rFonts w:asciiTheme="majorBidi" w:hAnsiTheme="majorBidi" w:cstheme="majorBidi"/>
          <w:sz w:val="24"/>
          <w:szCs w:val="24"/>
        </w:rPr>
        <w:t xml:space="preserve"> </w:t>
      </w:r>
      <w:r w:rsidR="00B6323F" w:rsidRPr="0070044E">
        <w:rPr>
          <w:rFonts w:asciiTheme="majorBidi" w:hAnsiTheme="majorBidi" w:cstheme="majorBidi"/>
          <w:sz w:val="24"/>
          <w:szCs w:val="24"/>
        </w:rPr>
        <w:t>further separate the</w:t>
      </w:r>
      <w:r w:rsidR="00016CAA" w:rsidRPr="0070044E">
        <w:rPr>
          <w:rFonts w:asciiTheme="majorBidi" w:hAnsiTheme="majorBidi" w:cstheme="majorBidi"/>
          <w:sz w:val="24"/>
          <w:szCs w:val="24"/>
        </w:rPr>
        <w:t xml:space="preserve"> SW UK</w:t>
      </w:r>
      <w:r w:rsidR="00B6323F" w:rsidRPr="0070044E">
        <w:rPr>
          <w:rFonts w:asciiTheme="majorBidi" w:hAnsiTheme="majorBidi" w:cstheme="majorBidi"/>
          <w:sz w:val="24"/>
          <w:szCs w:val="24"/>
        </w:rPr>
        <w:t xml:space="preserve"> </w:t>
      </w:r>
      <w:r w:rsidR="004B2C93" w:rsidRPr="0070044E">
        <w:rPr>
          <w:rFonts w:asciiTheme="majorBidi" w:hAnsiTheme="majorBidi" w:cstheme="majorBidi"/>
          <w:sz w:val="24"/>
          <w:szCs w:val="24"/>
        </w:rPr>
        <w:t xml:space="preserve">initial CIE from </w:t>
      </w:r>
      <w:r w:rsidR="00921F7A">
        <w:rPr>
          <w:rFonts w:asciiTheme="majorBidi" w:hAnsiTheme="majorBidi" w:cstheme="majorBidi"/>
          <w:sz w:val="24"/>
          <w:szCs w:val="24"/>
        </w:rPr>
        <w:t xml:space="preserve">the </w:t>
      </w:r>
      <w:r w:rsidR="004B2C93" w:rsidRPr="0070044E">
        <w:rPr>
          <w:rFonts w:asciiTheme="majorBidi" w:hAnsiTheme="majorBidi" w:cstheme="majorBidi"/>
          <w:sz w:val="24"/>
          <w:szCs w:val="24"/>
        </w:rPr>
        <w:t>CAMP activity</w:t>
      </w:r>
      <w:r w:rsidR="006B7947" w:rsidRPr="0070044E">
        <w:rPr>
          <w:rFonts w:asciiTheme="majorBidi" w:hAnsiTheme="majorBidi" w:cstheme="majorBidi"/>
          <w:sz w:val="24"/>
          <w:szCs w:val="24"/>
        </w:rPr>
        <w:t xml:space="preserve"> (i.e</w:t>
      </w:r>
      <w:r w:rsidR="00EA0990">
        <w:rPr>
          <w:rFonts w:asciiTheme="majorBidi" w:hAnsiTheme="majorBidi" w:cstheme="majorBidi"/>
          <w:sz w:val="24"/>
          <w:szCs w:val="24"/>
        </w:rPr>
        <w:t>.,</w:t>
      </w:r>
      <w:r w:rsidR="006B7947" w:rsidRPr="0070044E">
        <w:rPr>
          <w:rFonts w:asciiTheme="majorBidi" w:hAnsiTheme="majorBidi" w:cstheme="majorBidi"/>
          <w:sz w:val="24"/>
          <w:szCs w:val="24"/>
        </w:rPr>
        <w:t xml:space="preserve"> </w:t>
      </w:r>
      <w:r w:rsidR="00B03D6B">
        <w:rPr>
          <w:rFonts w:asciiTheme="majorBidi" w:hAnsiTheme="majorBidi" w:cstheme="majorBidi"/>
          <w:sz w:val="24"/>
          <w:szCs w:val="24"/>
        </w:rPr>
        <w:t>volcanism</w:t>
      </w:r>
      <w:r w:rsidR="006B7947" w:rsidRPr="0070044E">
        <w:rPr>
          <w:rFonts w:asciiTheme="majorBidi" w:hAnsiTheme="majorBidi" w:cstheme="majorBidi"/>
          <w:sz w:val="24"/>
          <w:szCs w:val="24"/>
        </w:rPr>
        <w:t>-induced biomass burning)</w:t>
      </w:r>
      <w:r w:rsidR="003B4F90" w:rsidRPr="0070044E">
        <w:rPr>
          <w:rFonts w:asciiTheme="majorBidi" w:hAnsiTheme="majorBidi" w:cstheme="majorBidi"/>
          <w:sz w:val="24"/>
          <w:szCs w:val="24"/>
        </w:rPr>
        <w:t>,</w:t>
      </w:r>
      <w:r w:rsidR="00E76181" w:rsidRPr="0070044E">
        <w:rPr>
          <w:rFonts w:asciiTheme="majorBidi" w:hAnsiTheme="majorBidi" w:cstheme="majorBidi"/>
          <w:sz w:val="24"/>
          <w:szCs w:val="24"/>
        </w:rPr>
        <w:t xml:space="preserve"> as evidenced by other biomarker studies</w:t>
      </w:r>
      <w:r w:rsidR="008E3750" w:rsidRPr="0070044E">
        <w:rPr>
          <w:rFonts w:asciiTheme="majorBidi" w:hAnsiTheme="majorBidi" w:cstheme="majorBidi"/>
          <w:sz w:val="24"/>
          <w:szCs w:val="24"/>
        </w:rPr>
        <w:t xml:space="preserve"> </w:t>
      </w:r>
      <w:r w:rsidR="008E3750" w:rsidRPr="0070044E">
        <w:rPr>
          <w:rFonts w:asciiTheme="majorBidi" w:hAnsiTheme="majorBidi" w:cstheme="majorBidi"/>
          <w:sz w:val="24"/>
          <w:szCs w:val="24"/>
        </w:rPr>
        <w:fldChar w:fldCharType="begin" w:fldLock="1"/>
      </w:r>
      <w:r w:rsidR="00947CBE">
        <w:rPr>
          <w:rFonts w:asciiTheme="majorBidi" w:hAnsiTheme="majorBidi" w:cstheme="majorBidi"/>
          <w:sz w:val="24"/>
          <w:szCs w:val="24"/>
        </w:rPr>
        <w:instrText xml:space="preserve">ADDIN CSL_CITATION {"citationItems":[{"id":"ITEM-1","itemData":{"DOI":"10.1073/pnas.1917661117","abstract":"The end-Triassic mass extinction that occurred </w:instrText>
      </w:r>
      <w:r w:rsidR="00947CBE">
        <w:rPr>
          <w:rFonts w:ascii="Cambria Math" w:hAnsi="Cambria Math" w:cs="Cambria Math"/>
          <w:sz w:val="24"/>
          <w:szCs w:val="24"/>
        </w:rPr>
        <w:instrText>∼</w:instrText>
      </w:r>
      <w:r w:rsidR="00947CBE">
        <w:rPr>
          <w:rFonts w:asciiTheme="majorBidi" w:hAnsiTheme="majorBidi" w:cstheme="majorBidi"/>
          <w:sz w:val="24"/>
          <w:szCs w:val="24"/>
        </w:rPr>
        <w:instrText xml:space="preserve">202 Ma is one of the </w:instrText>
      </w:r>
      <w:r w:rsidR="00947CBE">
        <w:rPr>
          <w:rFonts w:ascii="Times New Roman" w:hAnsi="Times New Roman" w:cs="Times New Roman"/>
          <w:sz w:val="24"/>
          <w:szCs w:val="24"/>
        </w:rPr>
        <w:instrText>“</w:instrText>
      </w:r>
      <w:r w:rsidR="00947CBE">
        <w:rPr>
          <w:rFonts w:asciiTheme="majorBidi" w:hAnsiTheme="majorBidi" w:cstheme="majorBidi"/>
          <w:sz w:val="24"/>
          <w:szCs w:val="24"/>
        </w:rPr>
        <w:instrText>Big Five</w:instrText>
      </w:r>
      <w:r w:rsidR="00947CBE">
        <w:rPr>
          <w:rFonts w:ascii="Times New Roman" w:hAnsi="Times New Roman" w:cs="Times New Roman"/>
          <w:sz w:val="24"/>
          <w:szCs w:val="24"/>
        </w:rPr>
        <w:instrText>”</w:instrText>
      </w:r>
      <w:r w:rsidR="00947CBE">
        <w:rPr>
          <w:rFonts w:asciiTheme="majorBidi" w:hAnsiTheme="majorBidi" w:cstheme="majorBidi"/>
          <w:sz w:val="24"/>
          <w:szCs w:val="24"/>
        </w:rPr>
        <w:instrText xml:space="preser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id":"ITEM-2","itemData":{"DOI":"https://doi.org/10.1016/j.palaeo.2021.110680","author":[{"dropping-particle":"","family":"Beith","given":"S. J.","non-dropping-particle":"","parse-names":false,"suffix":""},{"dropping-particle":"","family":"Fox","given":"Calum P","non-dropping-particle":"","parse-names":false,"suffix":""},{"dropping-particle":"","family":"Marshall","given":"John E. A.","non-dropping-particle":"","parse-names":false,"suffix":""},{"dropping-particle":"","family":"Whiteside","given":"Jessica H.","non-dropping-particle":"","parse-names":false,"suffix":""}],"container-title":"Palaeogeography, Palaeoclimatology, Palaeoecology (in press)","id":"ITEM-2","issued":{"date-parts":[["2021"]]},"page":"110680","title":"Recurring photic zone euxinia in the nrthwest Tethys impinged end-Triassic recovery","type":"article-journal","volume":"584"},"uris":["http://www.mendeley.com/documents/?uuid=565f65c8-b0ec-4b26-97d0-76904e1fe01f"]}],"mendeley":{"formattedCitation":"(Beith et al., 2021; Fox et al., 2020)","plainTextFormattedCitation":"(Beith et al., 2021; Fox et al., 2020)","previouslyFormattedCitation":"(Beith et al., 2021; Fox et al., 2020)"},"properties":{"noteIndex":0},"schema":"https://github.com/citation-style-language/schema/raw/master/csl-citation.json"}</w:instrText>
      </w:r>
      <w:r w:rsidR="008E3750" w:rsidRPr="0070044E">
        <w:rPr>
          <w:rFonts w:asciiTheme="majorBidi" w:hAnsiTheme="majorBidi" w:cstheme="majorBidi"/>
          <w:sz w:val="24"/>
          <w:szCs w:val="24"/>
        </w:rPr>
        <w:fldChar w:fldCharType="separate"/>
      </w:r>
      <w:r w:rsidR="008E3750" w:rsidRPr="0070044E">
        <w:rPr>
          <w:rFonts w:asciiTheme="majorBidi" w:hAnsiTheme="majorBidi" w:cstheme="majorBidi"/>
          <w:noProof/>
          <w:sz w:val="24"/>
          <w:szCs w:val="24"/>
        </w:rPr>
        <w:t>(Beith et al., 2021; Fox et al., 2020)</w:t>
      </w:r>
      <w:r w:rsidR="008E3750" w:rsidRPr="0070044E">
        <w:rPr>
          <w:rFonts w:asciiTheme="majorBidi" w:hAnsiTheme="majorBidi" w:cstheme="majorBidi"/>
          <w:sz w:val="24"/>
          <w:szCs w:val="24"/>
        </w:rPr>
        <w:fldChar w:fldCharType="end"/>
      </w:r>
      <w:r w:rsidR="003B4F90" w:rsidRPr="0070044E">
        <w:rPr>
          <w:rFonts w:asciiTheme="majorBidi" w:hAnsiTheme="majorBidi" w:cstheme="majorBidi"/>
          <w:sz w:val="24"/>
          <w:szCs w:val="24"/>
        </w:rPr>
        <w:t>.</w:t>
      </w:r>
      <w:bookmarkEnd w:id="37"/>
      <w:r w:rsidR="003B4F90" w:rsidRPr="0070044E">
        <w:rPr>
          <w:rFonts w:asciiTheme="majorBidi" w:hAnsiTheme="majorBidi" w:cstheme="majorBidi"/>
          <w:sz w:val="24"/>
          <w:szCs w:val="24"/>
        </w:rPr>
        <w:t xml:space="preserve"> </w:t>
      </w:r>
      <w:bookmarkEnd w:id="38"/>
      <w:r w:rsidR="00611188">
        <w:rPr>
          <w:rFonts w:asciiTheme="majorBidi" w:hAnsiTheme="majorBidi" w:cstheme="majorBidi"/>
          <w:sz w:val="24"/>
          <w:szCs w:val="24"/>
        </w:rPr>
        <w:t>Because</w:t>
      </w:r>
      <w:r w:rsidR="008A1BF3" w:rsidRPr="0070044E">
        <w:rPr>
          <w:rFonts w:asciiTheme="majorBidi" w:hAnsiTheme="majorBidi" w:cstheme="majorBidi"/>
          <w:sz w:val="24"/>
          <w:szCs w:val="24"/>
        </w:rPr>
        <w:t xml:space="preserve"> HMW</w:t>
      </w:r>
      <w:r w:rsidR="007A4970" w:rsidRPr="0070044E">
        <w:rPr>
          <w:rFonts w:asciiTheme="majorBidi" w:hAnsiTheme="majorBidi" w:cstheme="majorBidi"/>
          <w:sz w:val="24"/>
          <w:szCs w:val="24"/>
        </w:rPr>
        <w:t xml:space="preserve"> </w:t>
      </w:r>
      <w:proofErr w:type="spellStart"/>
      <w:r w:rsidR="00611188">
        <w:rPr>
          <w:rFonts w:asciiTheme="majorBidi" w:hAnsiTheme="majorBidi" w:cstheme="majorBidi"/>
          <w:sz w:val="24"/>
          <w:szCs w:val="24"/>
        </w:rPr>
        <w:t>py</w:t>
      </w:r>
      <w:r w:rsidR="007A4970" w:rsidRPr="0070044E">
        <w:rPr>
          <w:rFonts w:asciiTheme="majorBidi" w:hAnsiTheme="majorBidi" w:cstheme="majorBidi"/>
          <w:sz w:val="24"/>
          <w:szCs w:val="24"/>
        </w:rPr>
        <w:t>PAHs</w:t>
      </w:r>
      <w:proofErr w:type="spellEnd"/>
      <w:r w:rsidR="007A4970" w:rsidRPr="0070044E">
        <w:rPr>
          <w:rFonts w:asciiTheme="majorBidi" w:hAnsiTheme="majorBidi" w:cstheme="majorBidi"/>
          <w:sz w:val="24"/>
          <w:szCs w:val="24"/>
        </w:rPr>
        <w:t xml:space="preserve"> are </w:t>
      </w:r>
      <w:r w:rsidR="00D96C83" w:rsidRPr="0070044E">
        <w:rPr>
          <w:rFonts w:asciiTheme="majorBidi" w:hAnsiTheme="majorBidi" w:cstheme="majorBidi"/>
          <w:sz w:val="24"/>
          <w:szCs w:val="24"/>
        </w:rPr>
        <w:t xml:space="preserve">more </w:t>
      </w:r>
      <w:r w:rsidR="007A4970" w:rsidRPr="0070044E">
        <w:rPr>
          <w:rFonts w:asciiTheme="majorBidi" w:hAnsiTheme="majorBidi" w:cstheme="majorBidi"/>
          <w:sz w:val="24"/>
          <w:szCs w:val="24"/>
        </w:rPr>
        <w:t xml:space="preserve">locally deposited from the source </w:t>
      </w:r>
      <w:r w:rsidR="00F10288" w:rsidRPr="0070044E">
        <w:rPr>
          <w:rFonts w:asciiTheme="majorBidi" w:hAnsiTheme="majorBidi" w:cstheme="majorBidi"/>
          <w:sz w:val="24"/>
          <w:szCs w:val="24"/>
        </w:rPr>
        <w:t>compared to</w:t>
      </w:r>
      <w:r w:rsidR="007A4970" w:rsidRPr="0070044E">
        <w:rPr>
          <w:rFonts w:asciiTheme="majorBidi" w:hAnsiTheme="majorBidi" w:cstheme="majorBidi"/>
          <w:sz w:val="24"/>
          <w:szCs w:val="24"/>
        </w:rPr>
        <w:t xml:space="preserve"> </w:t>
      </w:r>
      <w:r w:rsidR="008A1BF3" w:rsidRPr="0070044E">
        <w:rPr>
          <w:rFonts w:asciiTheme="majorBidi" w:hAnsiTheme="majorBidi" w:cstheme="majorBidi"/>
          <w:sz w:val="24"/>
          <w:szCs w:val="24"/>
        </w:rPr>
        <w:t>LMW</w:t>
      </w:r>
      <w:r w:rsidR="007A4970" w:rsidRPr="0070044E">
        <w:rPr>
          <w:rFonts w:asciiTheme="majorBidi" w:hAnsiTheme="majorBidi" w:cstheme="majorBidi"/>
          <w:sz w:val="24"/>
          <w:szCs w:val="24"/>
        </w:rPr>
        <w:t xml:space="preserve"> </w:t>
      </w:r>
      <w:proofErr w:type="spellStart"/>
      <w:r w:rsidR="00611188">
        <w:rPr>
          <w:rFonts w:asciiTheme="majorBidi" w:hAnsiTheme="majorBidi" w:cstheme="majorBidi"/>
          <w:sz w:val="24"/>
          <w:szCs w:val="24"/>
        </w:rPr>
        <w:t>py</w:t>
      </w:r>
      <w:r w:rsidR="007A4970" w:rsidRPr="0070044E">
        <w:rPr>
          <w:rFonts w:asciiTheme="majorBidi" w:hAnsiTheme="majorBidi" w:cstheme="majorBidi"/>
          <w:sz w:val="24"/>
          <w:szCs w:val="24"/>
        </w:rPr>
        <w:t>PAHs</w:t>
      </w:r>
      <w:proofErr w:type="spellEnd"/>
      <w:r w:rsidR="007C14B9" w:rsidRPr="0070044E">
        <w:rPr>
          <w:rFonts w:asciiTheme="majorBidi" w:hAnsiTheme="majorBidi" w:cstheme="majorBidi"/>
          <w:sz w:val="24"/>
          <w:szCs w:val="24"/>
        </w:rPr>
        <w:t xml:space="preserve"> </w:t>
      </w:r>
      <w:r w:rsidR="007C14B9" w:rsidRPr="0070044E">
        <w:rPr>
          <w:rFonts w:asciiTheme="majorBidi" w:hAnsiTheme="majorBidi" w:cstheme="majorBidi"/>
          <w:sz w:val="24"/>
          <w:szCs w:val="24"/>
        </w:rPr>
        <w:fldChar w:fldCharType="begin" w:fldLock="1"/>
      </w:r>
      <w:r w:rsidR="00A249D1" w:rsidRPr="0070044E">
        <w:rPr>
          <w:rFonts w:asciiTheme="majorBidi" w:hAnsiTheme="majorBidi" w:cstheme="majorBidi"/>
          <w:sz w:val="24"/>
          <w:szCs w:val="24"/>
        </w:rPr>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sidR="00A249D1" w:rsidRPr="0070044E">
        <w:rPr>
          <w:rFonts w:ascii="Cambria Math" w:hAnsi="Cambria Math" w:cs="Cambria Math"/>
          <w:sz w:val="24"/>
          <w:szCs w:val="24"/>
        </w:rPr>
        <w:instrText>∼</w:instrText>
      </w:r>
      <w:r w:rsidR="00A249D1" w:rsidRPr="0070044E">
        <w:rPr>
          <w:rFonts w:asciiTheme="majorBidi" w:hAnsiTheme="majorBidi" w:cstheme="majorBidi"/>
          <w:sz w:val="24"/>
          <w:szCs w:val="24"/>
        </w:rPr>
        <w:instrText>12‰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paleo-applications","type":"article-journal","volume":"289"},"uris":["http://www.mendeley.com/documents/?uuid=a4f6bf2d-6c02-41f3-8889-b9f9a26ebff2"]}],"mendeley":{"formattedCitation":"(Karp et al., 2020)","manualFormatting":"(Karp et al., 2020 and refs therein)","plainTextFormattedCitation":"(Karp et al., 2020)","previouslyFormattedCitation":"(Karp et al., 2020)"},"properties":{"noteIndex":0},"schema":"https://github.com/citation-style-language/schema/raw/master/csl-citation.json"}</w:instrText>
      </w:r>
      <w:r w:rsidR="007C14B9" w:rsidRPr="0070044E">
        <w:rPr>
          <w:rFonts w:asciiTheme="majorBidi" w:hAnsiTheme="majorBidi" w:cstheme="majorBidi"/>
          <w:sz w:val="24"/>
          <w:szCs w:val="24"/>
        </w:rPr>
        <w:fldChar w:fldCharType="separate"/>
      </w:r>
      <w:r w:rsidR="007C14B9" w:rsidRPr="0070044E">
        <w:rPr>
          <w:rFonts w:asciiTheme="majorBidi" w:hAnsiTheme="majorBidi" w:cstheme="majorBidi"/>
          <w:noProof/>
          <w:sz w:val="24"/>
          <w:szCs w:val="24"/>
        </w:rPr>
        <w:t>(Karp et al., 2020 and refs therein)</w:t>
      </w:r>
      <w:r w:rsidR="007C14B9" w:rsidRPr="0070044E">
        <w:rPr>
          <w:rFonts w:asciiTheme="majorBidi" w:hAnsiTheme="majorBidi" w:cstheme="majorBidi"/>
          <w:sz w:val="24"/>
          <w:szCs w:val="24"/>
        </w:rPr>
        <w:fldChar w:fldCharType="end"/>
      </w:r>
      <w:r w:rsidR="007C14B9" w:rsidRPr="0070044E">
        <w:rPr>
          <w:rFonts w:asciiTheme="majorBidi" w:hAnsiTheme="majorBidi" w:cstheme="majorBidi"/>
          <w:sz w:val="24"/>
          <w:szCs w:val="24"/>
        </w:rPr>
        <w:t>,</w:t>
      </w:r>
      <w:r w:rsidR="007A4970" w:rsidRPr="0070044E">
        <w:rPr>
          <w:rFonts w:asciiTheme="majorBidi" w:hAnsiTheme="majorBidi" w:cstheme="majorBidi"/>
          <w:sz w:val="24"/>
          <w:szCs w:val="24"/>
        </w:rPr>
        <w:t xml:space="preserve"> </w:t>
      </w:r>
      <w:r w:rsidR="00BD6DC1" w:rsidRPr="0070044E">
        <w:rPr>
          <w:rFonts w:asciiTheme="majorBidi" w:hAnsiTheme="majorBidi" w:cstheme="majorBidi"/>
          <w:sz w:val="24"/>
          <w:szCs w:val="24"/>
        </w:rPr>
        <w:t>increases in</w:t>
      </w:r>
      <w:r w:rsidR="00F10288" w:rsidRPr="0070044E">
        <w:rPr>
          <w:rFonts w:asciiTheme="majorBidi" w:hAnsiTheme="majorBidi" w:cstheme="majorBidi"/>
          <w:sz w:val="24"/>
          <w:szCs w:val="24"/>
        </w:rPr>
        <w:t xml:space="preserve"> HMW</w:t>
      </w:r>
      <w:r w:rsidR="00BD6DC1" w:rsidRPr="0070044E">
        <w:rPr>
          <w:rFonts w:asciiTheme="majorBidi" w:hAnsiTheme="majorBidi" w:cstheme="majorBidi"/>
          <w:sz w:val="24"/>
          <w:szCs w:val="24"/>
        </w:rPr>
        <w:t xml:space="preserve"> </w:t>
      </w:r>
      <w:proofErr w:type="spellStart"/>
      <w:r w:rsidR="00BD6DC1" w:rsidRPr="0070044E">
        <w:rPr>
          <w:rFonts w:asciiTheme="majorBidi" w:hAnsiTheme="majorBidi" w:cstheme="majorBidi"/>
          <w:sz w:val="24"/>
          <w:szCs w:val="24"/>
        </w:rPr>
        <w:t>pyPAHs</w:t>
      </w:r>
      <w:proofErr w:type="spellEnd"/>
      <w:r w:rsidR="00BD6DC1" w:rsidRPr="0070044E">
        <w:rPr>
          <w:rFonts w:asciiTheme="majorBidi" w:hAnsiTheme="majorBidi" w:cstheme="majorBidi"/>
          <w:sz w:val="24"/>
          <w:szCs w:val="24"/>
        </w:rPr>
        <w:t xml:space="preserve"> in Eu</w:t>
      </w:r>
      <w:r w:rsidR="007D702C" w:rsidRPr="0070044E">
        <w:rPr>
          <w:rFonts w:asciiTheme="majorBidi" w:hAnsiTheme="majorBidi" w:cstheme="majorBidi"/>
          <w:sz w:val="24"/>
          <w:szCs w:val="24"/>
        </w:rPr>
        <w:t>r</w:t>
      </w:r>
      <w:r w:rsidR="00BD6DC1" w:rsidRPr="0070044E">
        <w:rPr>
          <w:rFonts w:asciiTheme="majorBidi" w:hAnsiTheme="majorBidi" w:cstheme="majorBidi"/>
          <w:sz w:val="24"/>
          <w:szCs w:val="24"/>
        </w:rPr>
        <w:t xml:space="preserve">opean and </w:t>
      </w:r>
      <w:r w:rsidR="00833BA9">
        <w:rPr>
          <w:rFonts w:asciiTheme="majorBidi" w:hAnsiTheme="majorBidi" w:cstheme="majorBidi"/>
          <w:sz w:val="24"/>
          <w:szCs w:val="24"/>
        </w:rPr>
        <w:t xml:space="preserve">East </w:t>
      </w:r>
      <w:r w:rsidR="00BD6DC1" w:rsidRPr="0070044E">
        <w:rPr>
          <w:rFonts w:asciiTheme="majorBidi" w:hAnsiTheme="majorBidi" w:cstheme="majorBidi"/>
          <w:sz w:val="24"/>
          <w:szCs w:val="24"/>
        </w:rPr>
        <w:t>Greenland</w:t>
      </w:r>
      <w:r w:rsidR="007D702C" w:rsidRPr="0070044E">
        <w:rPr>
          <w:rFonts w:asciiTheme="majorBidi" w:hAnsiTheme="majorBidi" w:cstheme="majorBidi"/>
          <w:sz w:val="24"/>
          <w:szCs w:val="24"/>
        </w:rPr>
        <w:t xml:space="preserve"> ETE</w:t>
      </w:r>
      <w:r w:rsidR="00BD6DC1" w:rsidRPr="0070044E">
        <w:rPr>
          <w:rFonts w:asciiTheme="majorBidi" w:hAnsiTheme="majorBidi" w:cstheme="majorBidi"/>
          <w:sz w:val="24"/>
          <w:szCs w:val="24"/>
        </w:rPr>
        <w:t xml:space="preserve"> section</w:t>
      </w:r>
      <w:r w:rsidR="007D702C" w:rsidRPr="0070044E">
        <w:rPr>
          <w:rFonts w:asciiTheme="majorBidi" w:hAnsiTheme="majorBidi" w:cstheme="majorBidi"/>
          <w:sz w:val="24"/>
          <w:szCs w:val="24"/>
        </w:rPr>
        <w:t>s</w:t>
      </w:r>
      <w:r w:rsidR="003A1F64">
        <w:rPr>
          <w:rFonts w:asciiTheme="majorBidi" w:hAnsiTheme="majorBidi" w:cstheme="majorBidi"/>
          <w:sz w:val="24"/>
          <w:szCs w:val="24"/>
        </w:rPr>
        <w:t xml:space="preserve"> during the initial CIE</w:t>
      </w:r>
      <w:r w:rsidR="00BD6DC1" w:rsidRPr="0070044E">
        <w:rPr>
          <w:rFonts w:asciiTheme="majorBidi" w:hAnsiTheme="majorBidi" w:cstheme="majorBidi"/>
          <w:sz w:val="24"/>
          <w:szCs w:val="24"/>
        </w:rPr>
        <w:t xml:space="preserve"> </w:t>
      </w:r>
      <w:r w:rsidRPr="0070044E">
        <w:rPr>
          <w:rFonts w:asciiTheme="majorBidi" w:hAnsiTheme="majorBidi" w:cstheme="majorBidi"/>
          <w:sz w:val="24"/>
          <w:szCs w:val="24"/>
        </w:rPr>
        <w:t xml:space="preserve">could </w:t>
      </w:r>
      <w:r w:rsidR="00BD6DC1" w:rsidRPr="0070044E">
        <w:rPr>
          <w:rFonts w:asciiTheme="majorBidi" w:hAnsiTheme="majorBidi" w:cstheme="majorBidi"/>
          <w:sz w:val="24"/>
          <w:szCs w:val="24"/>
        </w:rPr>
        <w:t xml:space="preserve">represent more </w:t>
      </w:r>
      <w:r w:rsidR="00187BE4">
        <w:rPr>
          <w:rFonts w:asciiTheme="majorBidi" w:hAnsiTheme="majorBidi" w:cstheme="majorBidi"/>
          <w:sz w:val="24"/>
          <w:szCs w:val="24"/>
        </w:rPr>
        <w:t xml:space="preserve">intense but </w:t>
      </w:r>
      <w:r w:rsidR="00BD6DC1" w:rsidRPr="0070044E">
        <w:rPr>
          <w:rFonts w:asciiTheme="majorBidi" w:hAnsiTheme="majorBidi" w:cstheme="majorBidi"/>
          <w:sz w:val="24"/>
          <w:szCs w:val="24"/>
        </w:rPr>
        <w:t xml:space="preserve">localized burning events, </w:t>
      </w:r>
      <w:r w:rsidR="00F10288" w:rsidRPr="0070044E">
        <w:rPr>
          <w:rFonts w:asciiTheme="majorBidi" w:hAnsiTheme="majorBidi" w:cstheme="majorBidi"/>
          <w:sz w:val="24"/>
          <w:szCs w:val="24"/>
        </w:rPr>
        <w:t>rather than widespread burning</w:t>
      </w:r>
      <w:r w:rsidR="007D702C" w:rsidRPr="0070044E">
        <w:rPr>
          <w:rFonts w:asciiTheme="majorBidi" w:hAnsiTheme="majorBidi" w:cstheme="majorBidi"/>
          <w:sz w:val="24"/>
          <w:szCs w:val="24"/>
        </w:rPr>
        <w:t>.</w:t>
      </w:r>
    </w:p>
    <w:p w14:paraId="56E6178A" w14:textId="77777777" w:rsidR="0014005C" w:rsidRPr="00955726" w:rsidRDefault="0014005C" w:rsidP="00BC4B2D">
      <w:pPr>
        <w:pStyle w:val="AbstractSummary"/>
        <w:spacing w:line="480" w:lineRule="auto"/>
        <w:jc w:val="both"/>
        <w:rPr>
          <w:lang w:val="en-GB"/>
        </w:rPr>
      </w:pPr>
    </w:p>
    <w:p w14:paraId="5AB49D90" w14:textId="4910A088" w:rsidR="00DF052C" w:rsidRPr="00DF052C" w:rsidRDefault="00C97B1E" w:rsidP="0014005C">
      <w:pPr>
        <w:pStyle w:val="AbstractSummary"/>
        <w:numPr>
          <w:ilvl w:val="1"/>
          <w:numId w:val="11"/>
        </w:numPr>
        <w:spacing w:line="480" w:lineRule="auto"/>
        <w:jc w:val="both"/>
        <w:rPr>
          <w:i/>
        </w:rPr>
      </w:pPr>
      <w:r>
        <w:rPr>
          <w:i/>
        </w:rPr>
        <w:t>A</w:t>
      </w:r>
      <w:r w:rsidR="00FA4CBE">
        <w:rPr>
          <w:i/>
        </w:rPr>
        <w:t xml:space="preserve"> </w:t>
      </w:r>
      <w:r w:rsidR="00480ACF">
        <w:rPr>
          <w:i/>
        </w:rPr>
        <w:t>Terrestrial input</w:t>
      </w:r>
      <w:r>
        <w:rPr>
          <w:i/>
        </w:rPr>
        <w:t xml:space="preserve"> </w:t>
      </w:r>
      <w:r w:rsidR="00191467">
        <w:rPr>
          <w:i/>
        </w:rPr>
        <w:t>o</w:t>
      </w:r>
      <w:r w:rsidR="000117A1">
        <w:rPr>
          <w:i/>
        </w:rPr>
        <w:t>rigin</w:t>
      </w:r>
      <w:r>
        <w:rPr>
          <w:i/>
        </w:rPr>
        <w:t xml:space="preserve"> for the “precursor” CIE </w:t>
      </w:r>
    </w:p>
    <w:p w14:paraId="7E504177" w14:textId="24C665D1" w:rsidR="00984A4D" w:rsidRDefault="00507E2E" w:rsidP="005045DC">
      <w:pPr>
        <w:pStyle w:val="Head2"/>
        <w:spacing w:line="480" w:lineRule="auto"/>
        <w:ind w:firstLine="360"/>
        <w:jc w:val="both"/>
        <w:rPr>
          <w:rFonts w:asciiTheme="majorBidi" w:hAnsiTheme="majorBidi" w:cstheme="majorBidi"/>
          <w:b w:val="0"/>
        </w:rPr>
      </w:pPr>
      <w:r>
        <w:rPr>
          <w:b w:val="0"/>
        </w:rPr>
        <w:t>Like</w:t>
      </w:r>
      <w:r w:rsidR="00C7310B">
        <w:rPr>
          <w:b w:val="0"/>
        </w:rPr>
        <w:t xml:space="preserve"> the initial CIE, the precursor CIE is routinely used in chemostratigraphic correlations. </w:t>
      </w:r>
      <w:r w:rsidR="0055729A" w:rsidRPr="00C67772">
        <w:rPr>
          <w:b w:val="0"/>
        </w:rPr>
        <w:t xml:space="preserve">To </w:t>
      </w:r>
      <w:r w:rsidR="00611188">
        <w:rPr>
          <w:b w:val="0"/>
        </w:rPr>
        <w:t xml:space="preserve">better </w:t>
      </w:r>
      <w:r w:rsidR="0055729A" w:rsidRPr="00C67772">
        <w:rPr>
          <w:b w:val="0"/>
        </w:rPr>
        <w:t>establish the</w:t>
      </w:r>
      <w:r w:rsidR="00C7310B">
        <w:rPr>
          <w:b w:val="0"/>
        </w:rPr>
        <w:t xml:space="preserve"> precursor CIE</w:t>
      </w:r>
      <w:r w:rsidR="0055729A" w:rsidRPr="00C67772">
        <w:rPr>
          <w:b w:val="0"/>
        </w:rPr>
        <w:t xml:space="preserve"> origin</w:t>
      </w:r>
      <w:r w:rsidR="00CE4F0B">
        <w:rPr>
          <w:b w:val="0"/>
        </w:rPr>
        <w:t>(s)</w:t>
      </w:r>
      <w:r>
        <w:rPr>
          <w:b w:val="0"/>
        </w:rPr>
        <w:t xml:space="preserve"> in the SW UK,</w:t>
      </w:r>
      <w:r w:rsidR="00C7310B">
        <w:rPr>
          <w:b w:val="0"/>
        </w:rPr>
        <w:t xml:space="preserve"> we investigated</w:t>
      </w:r>
      <w:r w:rsidR="0055729A" w:rsidRPr="00C67772">
        <w:rPr>
          <w:b w:val="0"/>
        </w:rPr>
        <w:t xml:space="preserve"> </w:t>
      </w:r>
      <w:r w:rsidR="0055729A" w:rsidRPr="00C67772">
        <w:rPr>
          <w:rFonts w:ascii="Symbol" w:hAnsi="Symbol"/>
          <w:b w:val="0"/>
        </w:rPr>
        <w:t></w:t>
      </w:r>
      <w:r w:rsidR="0055729A" w:rsidRPr="00C67772">
        <w:rPr>
          <w:b w:val="0"/>
          <w:vertAlign w:val="superscript"/>
        </w:rPr>
        <w:t>13</w:t>
      </w:r>
      <w:r w:rsidR="0055729A" w:rsidRPr="00C67772">
        <w:rPr>
          <w:b w:val="0"/>
        </w:rPr>
        <w:t xml:space="preserve">C values of </w:t>
      </w:r>
      <w:r w:rsidR="0055729A" w:rsidRPr="0055729A">
        <w:rPr>
          <w:b w:val="0"/>
          <w:i/>
        </w:rPr>
        <w:t>n</w:t>
      </w:r>
      <w:r w:rsidR="0055729A">
        <w:rPr>
          <w:b w:val="0"/>
        </w:rPr>
        <w:t>-alkane</w:t>
      </w:r>
      <w:r w:rsidR="00611188">
        <w:rPr>
          <w:b w:val="0"/>
        </w:rPr>
        <w:t>s</w:t>
      </w:r>
      <w:r w:rsidR="00DF4DD8">
        <w:rPr>
          <w:b w:val="0"/>
        </w:rPr>
        <w:t xml:space="preserve"> (</w:t>
      </w:r>
      <w:r w:rsidR="00DF4DD8" w:rsidRPr="00C67772">
        <w:rPr>
          <w:rFonts w:ascii="Symbol" w:hAnsi="Symbol"/>
          <w:b w:val="0"/>
        </w:rPr>
        <w:t></w:t>
      </w:r>
      <w:r w:rsidR="00DF4DD8" w:rsidRPr="00C67772">
        <w:rPr>
          <w:b w:val="0"/>
          <w:vertAlign w:val="superscript"/>
        </w:rPr>
        <w:t>13</w:t>
      </w:r>
      <w:r w:rsidR="00DF4DD8" w:rsidRPr="008E3750">
        <w:rPr>
          <w:b w:val="0"/>
          <w:i/>
          <w:iCs/>
        </w:rPr>
        <w:t>n</w:t>
      </w:r>
      <w:r w:rsidR="00DF4DD8">
        <w:rPr>
          <w:b w:val="0"/>
        </w:rPr>
        <w:t>-C)</w:t>
      </w:r>
      <w:r w:rsidR="00C76E49">
        <w:rPr>
          <w:b w:val="0"/>
        </w:rPr>
        <w:t xml:space="preserve"> and</w:t>
      </w:r>
      <w:r w:rsidR="00920359">
        <w:rPr>
          <w:b w:val="0"/>
        </w:rPr>
        <w:t xml:space="preserve"> the</w:t>
      </w:r>
      <w:r w:rsidR="00C76E49">
        <w:rPr>
          <w:b w:val="0"/>
        </w:rPr>
        <w:t xml:space="preserve"> regular isoprenoid</w:t>
      </w:r>
      <w:r w:rsidR="00920359">
        <w:rPr>
          <w:b w:val="0"/>
        </w:rPr>
        <w:t>s pristane and phytane (</w:t>
      </w:r>
      <w:r w:rsidR="00920359" w:rsidRPr="00C67772">
        <w:rPr>
          <w:rFonts w:ascii="Symbol" w:hAnsi="Symbol"/>
          <w:b w:val="0"/>
        </w:rPr>
        <w:t></w:t>
      </w:r>
      <w:r w:rsidR="00920359" w:rsidRPr="00C67772">
        <w:rPr>
          <w:b w:val="0"/>
          <w:vertAlign w:val="superscript"/>
        </w:rPr>
        <w:t>13</w:t>
      </w:r>
      <w:r w:rsidR="00920359" w:rsidRPr="00C67772">
        <w:rPr>
          <w:b w:val="0"/>
        </w:rPr>
        <w:t>C</w:t>
      </w:r>
      <w:r w:rsidR="00920359">
        <w:rPr>
          <w:b w:val="0"/>
          <w:vertAlign w:val="subscript"/>
        </w:rPr>
        <w:t>Pr</w:t>
      </w:r>
      <w:r w:rsidR="00920359" w:rsidRPr="00C67772">
        <w:rPr>
          <w:b w:val="0"/>
        </w:rPr>
        <w:t xml:space="preserve"> </w:t>
      </w:r>
      <w:r w:rsidR="00920359">
        <w:rPr>
          <w:b w:val="0"/>
        </w:rPr>
        <w:t xml:space="preserve">and </w:t>
      </w:r>
      <w:r w:rsidR="00920359" w:rsidRPr="00C67772">
        <w:rPr>
          <w:rFonts w:ascii="Symbol" w:hAnsi="Symbol"/>
          <w:b w:val="0"/>
        </w:rPr>
        <w:t></w:t>
      </w:r>
      <w:r w:rsidR="00920359" w:rsidRPr="00C67772">
        <w:rPr>
          <w:b w:val="0"/>
          <w:vertAlign w:val="superscript"/>
        </w:rPr>
        <w:t>13</w:t>
      </w:r>
      <w:r w:rsidR="00920359" w:rsidRPr="00C67772">
        <w:rPr>
          <w:b w:val="0"/>
        </w:rPr>
        <w:t>C</w:t>
      </w:r>
      <w:r w:rsidR="00920359">
        <w:rPr>
          <w:b w:val="0"/>
          <w:vertAlign w:val="subscript"/>
        </w:rPr>
        <w:t>Ph</w:t>
      </w:r>
      <w:r w:rsidR="00920359">
        <w:rPr>
          <w:b w:val="0"/>
        </w:rPr>
        <w:t>, respectively)</w:t>
      </w:r>
      <w:r w:rsidR="0055729A">
        <w:rPr>
          <w:b w:val="0"/>
        </w:rPr>
        <w:t xml:space="preserve"> </w:t>
      </w:r>
      <w:r w:rsidR="00DC19A6">
        <w:rPr>
          <w:b w:val="0"/>
        </w:rPr>
        <w:t>alongside</w:t>
      </w:r>
      <w:r w:rsidR="0055729A">
        <w:rPr>
          <w:b w:val="0"/>
        </w:rPr>
        <w:t xml:space="preserve"> PAH</w:t>
      </w:r>
      <w:r w:rsidR="00F10288">
        <w:rPr>
          <w:b w:val="0"/>
        </w:rPr>
        <w:t xml:space="preserve"> abundances</w:t>
      </w:r>
      <w:r w:rsidR="00DC19A6">
        <w:rPr>
          <w:b w:val="0"/>
        </w:rPr>
        <w:t xml:space="preserve"> </w:t>
      </w:r>
      <w:r w:rsidR="006E5D21">
        <w:rPr>
          <w:b w:val="0"/>
        </w:rPr>
        <w:t>through the Westbury Formation</w:t>
      </w:r>
      <w:r w:rsidR="00F27D95">
        <w:rPr>
          <w:b w:val="0"/>
        </w:rPr>
        <w:t xml:space="preserve"> </w:t>
      </w:r>
      <w:r w:rsidR="0055729A">
        <w:rPr>
          <w:b w:val="0"/>
        </w:rPr>
        <w:t xml:space="preserve">(Fig. </w:t>
      </w:r>
      <w:r w:rsidR="00191467">
        <w:rPr>
          <w:b w:val="0"/>
        </w:rPr>
        <w:t>3</w:t>
      </w:r>
      <w:r w:rsidR="00C7310B">
        <w:rPr>
          <w:b w:val="0"/>
        </w:rPr>
        <w:t xml:space="preserve">; </w:t>
      </w:r>
      <w:r w:rsidR="00191467">
        <w:rPr>
          <w:b w:val="0"/>
        </w:rPr>
        <w:t>4</w:t>
      </w:r>
      <w:r w:rsidR="0055729A" w:rsidRPr="00C67772">
        <w:rPr>
          <w:b w:val="0"/>
        </w:rPr>
        <w:t>).</w:t>
      </w:r>
      <w:r w:rsidR="00F10288">
        <w:rPr>
          <w:b w:val="0"/>
        </w:rPr>
        <w:t xml:space="preserve"> </w:t>
      </w:r>
      <w:proofErr w:type="spellStart"/>
      <w:r w:rsidR="00F10288">
        <w:rPr>
          <w:b w:val="0"/>
        </w:rPr>
        <w:t>Hopane</w:t>
      </w:r>
      <w:proofErr w:type="spellEnd"/>
      <w:r w:rsidR="00F10288">
        <w:rPr>
          <w:b w:val="0"/>
        </w:rPr>
        <w:t xml:space="preserve"> and sterane biomarker abundances during this interval are reported in Fox et al., </w:t>
      </w:r>
      <w:r w:rsidR="00C536C6">
        <w:rPr>
          <w:b w:val="0"/>
        </w:rPr>
        <w:t>(</w:t>
      </w:r>
      <w:r w:rsidR="00F10288">
        <w:rPr>
          <w:b w:val="0"/>
        </w:rPr>
        <w:t>2021</w:t>
      </w:r>
      <w:r w:rsidR="00C536C6">
        <w:rPr>
          <w:b w:val="0"/>
        </w:rPr>
        <w:t>)</w:t>
      </w:r>
      <w:r w:rsidR="00F10288">
        <w:rPr>
          <w:b w:val="0"/>
        </w:rPr>
        <w:t xml:space="preserve">. </w:t>
      </w:r>
      <w:r w:rsidR="00F27D95">
        <w:rPr>
          <w:b w:val="0"/>
        </w:rPr>
        <w:t xml:space="preserve">Of all </w:t>
      </w:r>
      <w:r w:rsidR="000C2886">
        <w:rPr>
          <w:b w:val="0"/>
        </w:rPr>
        <w:t>measured compound-specific isotopes</w:t>
      </w:r>
      <w:r w:rsidR="00C76E49">
        <w:rPr>
          <w:b w:val="0"/>
        </w:rPr>
        <w:t xml:space="preserve"> the </w:t>
      </w:r>
      <w:r w:rsidR="007526CD">
        <w:rPr>
          <w:b w:val="0"/>
          <w:i/>
          <w:iCs/>
        </w:rPr>
        <w:t>n-</w:t>
      </w:r>
      <w:r w:rsidR="00C76E49">
        <w:rPr>
          <w:b w:val="0"/>
        </w:rPr>
        <w:t>C</w:t>
      </w:r>
      <w:r w:rsidR="00F27D95" w:rsidRPr="00C67772">
        <w:rPr>
          <w:b w:val="0"/>
          <w:vertAlign w:val="subscript"/>
        </w:rPr>
        <w:t>2</w:t>
      </w:r>
      <w:r w:rsidR="00611188">
        <w:rPr>
          <w:b w:val="0"/>
          <w:vertAlign w:val="subscript"/>
        </w:rPr>
        <w:t>7, 2</w:t>
      </w:r>
      <w:r w:rsidR="00F27D95" w:rsidRPr="00C67772">
        <w:rPr>
          <w:b w:val="0"/>
          <w:vertAlign w:val="subscript"/>
        </w:rPr>
        <w:t>9</w:t>
      </w:r>
      <w:r w:rsidR="00611188">
        <w:rPr>
          <w:b w:val="0"/>
          <w:vertAlign w:val="subscript"/>
        </w:rPr>
        <w:t>, 31</w:t>
      </w:r>
      <w:r w:rsidR="00C76E49">
        <w:rPr>
          <w:b w:val="0"/>
        </w:rPr>
        <w:t xml:space="preserve">, </w:t>
      </w:r>
      <w:r w:rsidR="00C76E49" w:rsidRPr="00C67772">
        <w:rPr>
          <w:b w:val="0"/>
        </w:rPr>
        <w:t>sourced from land plant waxes</w:t>
      </w:r>
      <w:r w:rsidR="007C14B9">
        <w:rPr>
          <w:b w:val="0"/>
        </w:rPr>
        <w:t xml:space="preserve"> </w:t>
      </w:r>
      <w:r w:rsidR="007C14B9">
        <w:rPr>
          <w:b w:val="0"/>
        </w:rPr>
        <w:fldChar w:fldCharType="begin" w:fldLock="1"/>
      </w:r>
      <w:r w:rsidR="00A249D1">
        <w:rPr>
          <w:b w:val="0"/>
        </w:rPr>
        <w:instrText>ADDIN CSL_CITATION {"citationItems":[{"id":"ITEM-1","itemData":{"DOI":"https://doi.org/10.1016/S0031-9422(00)88006-1","ISSN":"0031-9422","abstract":"A gas-chromatographic study has been made of the hydrocarbon content of the leaf waxes of the sub-family Sempervivoideae (Crassulaceae), through the study of a compact grouping of closely related genera endemic to the Canary Islands. Within the limits of the investigation, it has been shown that a single species possesses a fairly constant hydrocarbon distribution pattern, thereby justifying the use of this criterion for taxonomic purposes. The variations from one species to another reveal a rough parallelism with the botanical classification of the sections within a genus. Isoalkanes are sometimes present to the extent of more than 50 per cent of the total alkane content.","author":[{"dropping-particle":"","family":"Eglinton","given":"G","non-dropping-particle":"","parse-names":false,"suffix":""},{"dropping-particle":"","family":"Gonzalez","given":"A G","non-dropping-particle":"","parse-names":false,"suffix":""},{"dropping-particle":"","family":"Hamilton","given":"R J","non-dropping-particle":"","parse-names":false,"suffix":""},{"dropping-particle":"","family":"Raphael","given":"R A","non-dropping-particle":"","parse-names":false,"suffix":""}],"container-title":"Phytochemistry","id":"ITEM-1","issue":"2","issued":{"date-parts":[["1962"]]},"page":"89-102","title":"Hydrocarbon constituents of the wax coatings of plant leaves: A taxonomic survey","type":"article-journal","volume":"1"},"uris":["http://www.mendeley.com/documents/?uuid=ef209da7-1b88-43e8-980d-e1935824c37e"]}],"mendeley":{"formattedCitation":"(Eglinton et al., 1962)","plainTextFormattedCitation":"(Eglinton et al., 1962)","previouslyFormattedCitation":"(Eglinton et al., 1962)"},"properties":{"noteIndex":0},"schema":"https://github.com/citation-style-language/schema/raw/master/csl-citation.json"}</w:instrText>
      </w:r>
      <w:r w:rsidR="007C14B9">
        <w:rPr>
          <w:b w:val="0"/>
        </w:rPr>
        <w:fldChar w:fldCharType="separate"/>
      </w:r>
      <w:r w:rsidR="00A249D1" w:rsidRPr="00A249D1">
        <w:rPr>
          <w:b w:val="0"/>
          <w:noProof/>
        </w:rPr>
        <w:t>(Eglinton et al., 1962)</w:t>
      </w:r>
      <w:r w:rsidR="007C14B9">
        <w:rPr>
          <w:b w:val="0"/>
        </w:rPr>
        <w:fldChar w:fldCharType="end"/>
      </w:r>
      <w:r w:rsidR="00C76E49">
        <w:rPr>
          <w:b w:val="0"/>
        </w:rPr>
        <w:t>,</w:t>
      </w:r>
      <w:r w:rsidR="00F27D95">
        <w:rPr>
          <w:b w:val="0"/>
        </w:rPr>
        <w:t xml:space="preserve"> most </w:t>
      </w:r>
      <w:r w:rsidR="00F27D95" w:rsidRPr="00C67772">
        <w:rPr>
          <w:b w:val="0"/>
        </w:rPr>
        <w:t xml:space="preserve">closely follow the </w:t>
      </w:r>
      <w:r w:rsidR="000C2886">
        <w:rPr>
          <w:b w:val="0"/>
        </w:rPr>
        <w:t xml:space="preserve">trends observed in the </w:t>
      </w:r>
      <w:r w:rsidR="00F27D95" w:rsidRPr="00C67772">
        <w:rPr>
          <w:rFonts w:ascii="Symbol" w:hAnsi="Symbol"/>
          <w:b w:val="0"/>
        </w:rPr>
        <w:t></w:t>
      </w:r>
      <w:r w:rsidR="00F27D95" w:rsidRPr="00C67772">
        <w:rPr>
          <w:b w:val="0"/>
          <w:vertAlign w:val="superscript"/>
        </w:rPr>
        <w:t>13</w:t>
      </w:r>
      <w:r w:rsidR="00F27D95" w:rsidRPr="00C67772">
        <w:rPr>
          <w:b w:val="0"/>
        </w:rPr>
        <w:t>C</w:t>
      </w:r>
      <w:r w:rsidR="00F27D95" w:rsidRPr="00C67772">
        <w:rPr>
          <w:b w:val="0"/>
          <w:vertAlign w:val="subscript"/>
        </w:rPr>
        <w:t>org</w:t>
      </w:r>
      <w:r w:rsidR="00F27D95" w:rsidRPr="00C67772">
        <w:rPr>
          <w:b w:val="0"/>
        </w:rPr>
        <w:t xml:space="preserve"> </w:t>
      </w:r>
      <w:r w:rsidR="00C7310B">
        <w:rPr>
          <w:b w:val="0"/>
        </w:rPr>
        <w:t>recor</w:t>
      </w:r>
      <w:r w:rsidR="00DA7BA3">
        <w:rPr>
          <w:b w:val="0"/>
        </w:rPr>
        <w:t>d</w:t>
      </w:r>
      <w:r w:rsidR="00EE346A">
        <w:rPr>
          <w:b w:val="0"/>
        </w:rPr>
        <w:t>;</w:t>
      </w:r>
      <w:r w:rsidR="00090043">
        <w:rPr>
          <w:b w:val="0"/>
        </w:rPr>
        <w:t xml:space="preserve"> </w:t>
      </w:r>
      <w:r w:rsidR="000117A1" w:rsidRPr="00C67772">
        <w:rPr>
          <w:rFonts w:ascii="Symbol" w:hAnsi="Symbol"/>
          <w:b w:val="0"/>
        </w:rPr>
        <w:t></w:t>
      </w:r>
      <w:r w:rsidR="000117A1" w:rsidRPr="00C67772">
        <w:rPr>
          <w:b w:val="0"/>
          <w:vertAlign w:val="superscript"/>
        </w:rPr>
        <w:t>13</w:t>
      </w:r>
      <w:r w:rsidR="00920359" w:rsidRPr="008E3750">
        <w:rPr>
          <w:b w:val="0"/>
          <w:i/>
          <w:iCs/>
        </w:rPr>
        <w:t>n</w:t>
      </w:r>
      <w:r w:rsidR="00920359">
        <w:rPr>
          <w:b w:val="0"/>
        </w:rPr>
        <w:t>-</w:t>
      </w:r>
      <w:r w:rsidR="000117A1" w:rsidRPr="00C67772">
        <w:rPr>
          <w:b w:val="0"/>
        </w:rPr>
        <w:t>C</w:t>
      </w:r>
      <w:r w:rsidR="00DC19A6" w:rsidRPr="00C67772">
        <w:rPr>
          <w:b w:val="0"/>
          <w:vertAlign w:val="subscript"/>
        </w:rPr>
        <w:t>2</w:t>
      </w:r>
      <w:r w:rsidR="00A73E7C">
        <w:rPr>
          <w:b w:val="0"/>
          <w:vertAlign w:val="subscript"/>
        </w:rPr>
        <w:t>7, 2</w:t>
      </w:r>
      <w:r w:rsidR="00DC19A6" w:rsidRPr="00C67772">
        <w:rPr>
          <w:b w:val="0"/>
          <w:vertAlign w:val="subscript"/>
        </w:rPr>
        <w:t>9</w:t>
      </w:r>
      <w:r w:rsidR="00A73E7C">
        <w:rPr>
          <w:b w:val="0"/>
          <w:vertAlign w:val="subscript"/>
        </w:rPr>
        <w:t>, 31</w:t>
      </w:r>
      <w:r w:rsidR="00DC19A6" w:rsidRPr="00C67772">
        <w:rPr>
          <w:b w:val="0"/>
          <w:vertAlign w:val="subscript"/>
        </w:rPr>
        <w:t xml:space="preserve"> </w:t>
      </w:r>
      <w:r w:rsidR="00C76E49">
        <w:rPr>
          <w:b w:val="0"/>
        </w:rPr>
        <w:t>values</w:t>
      </w:r>
      <w:r w:rsidR="000C2886">
        <w:rPr>
          <w:b w:val="0"/>
        </w:rPr>
        <w:t xml:space="preserve"> </w:t>
      </w:r>
      <w:r w:rsidR="00E92ECD">
        <w:rPr>
          <w:b w:val="0"/>
        </w:rPr>
        <w:t>are</w:t>
      </w:r>
      <w:r w:rsidR="000C2886">
        <w:rPr>
          <w:b w:val="0"/>
        </w:rPr>
        <w:t xml:space="preserve"> the</w:t>
      </w:r>
      <w:r w:rsidR="00F27D95">
        <w:rPr>
          <w:b w:val="0"/>
        </w:rPr>
        <w:t xml:space="preserve"> most negative</w:t>
      </w:r>
      <w:r w:rsidR="000C2886">
        <w:rPr>
          <w:b w:val="0"/>
        </w:rPr>
        <w:t xml:space="preserve"> </w:t>
      </w:r>
      <w:r w:rsidR="008F04BD">
        <w:rPr>
          <w:b w:val="0"/>
        </w:rPr>
        <w:t>(ranging between</w:t>
      </w:r>
      <w:r w:rsidR="00920359">
        <w:rPr>
          <w:b w:val="0"/>
        </w:rPr>
        <w:t xml:space="preserve"> ~</w:t>
      </w:r>
      <w:r w:rsidR="008F04BD">
        <w:rPr>
          <w:b w:val="0"/>
        </w:rPr>
        <w:t xml:space="preserve"> -3</w:t>
      </w:r>
      <w:r w:rsidR="00920359">
        <w:rPr>
          <w:b w:val="0"/>
        </w:rPr>
        <w:t>4</w:t>
      </w:r>
      <w:r w:rsidR="008F04BD" w:rsidRPr="00321A1E">
        <w:rPr>
          <w:b w:val="0"/>
        </w:rPr>
        <w:t>‰</w:t>
      </w:r>
      <w:r w:rsidR="008F04BD">
        <w:rPr>
          <w:b w:val="0"/>
        </w:rPr>
        <w:t xml:space="preserve"> and -</w:t>
      </w:r>
      <w:r w:rsidR="00920359">
        <w:rPr>
          <w:b w:val="0"/>
        </w:rPr>
        <w:t>39</w:t>
      </w:r>
      <w:r w:rsidR="008F04BD" w:rsidRPr="00321A1E">
        <w:rPr>
          <w:b w:val="0"/>
        </w:rPr>
        <w:t>‰</w:t>
      </w:r>
      <w:r w:rsidR="008F04BD">
        <w:rPr>
          <w:b w:val="0"/>
        </w:rPr>
        <w:t>)</w:t>
      </w:r>
      <w:r w:rsidR="00F27D95">
        <w:rPr>
          <w:b w:val="0"/>
        </w:rPr>
        <w:t xml:space="preserve"> </w:t>
      </w:r>
      <w:r w:rsidR="00DA7BA3">
        <w:rPr>
          <w:b w:val="0"/>
        </w:rPr>
        <w:t>during the precursor CIE</w:t>
      </w:r>
      <w:r w:rsidR="00DA7BA3" w:rsidDel="00920359">
        <w:rPr>
          <w:b w:val="0"/>
        </w:rPr>
        <w:t xml:space="preserve"> </w:t>
      </w:r>
      <w:r w:rsidR="00DA7BA3">
        <w:rPr>
          <w:b w:val="0"/>
        </w:rPr>
        <w:t>and a</w:t>
      </w:r>
      <w:r w:rsidR="00C7310B">
        <w:rPr>
          <w:b w:val="0"/>
        </w:rPr>
        <w:t xml:space="preserve">t </w:t>
      </w:r>
      <w:r w:rsidR="00C76E49">
        <w:rPr>
          <w:b w:val="0"/>
        </w:rPr>
        <w:t>its termination</w:t>
      </w:r>
      <w:r w:rsidR="00EE346A" w:rsidRPr="00C67772">
        <w:rPr>
          <w:b w:val="0"/>
          <w:vertAlign w:val="subscript"/>
        </w:rPr>
        <w:t xml:space="preserve"> </w:t>
      </w:r>
      <w:r w:rsidR="008F04BD" w:rsidRPr="008F04BD">
        <w:rPr>
          <w:b w:val="0"/>
        </w:rPr>
        <w:t xml:space="preserve">exhibit </w:t>
      </w:r>
      <w:r w:rsidR="00DC19A6">
        <w:rPr>
          <w:b w:val="0"/>
        </w:rPr>
        <w:t>an</w:t>
      </w:r>
      <w:r w:rsidR="008F04BD" w:rsidRPr="008F04BD">
        <w:rPr>
          <w:b w:val="0"/>
        </w:rPr>
        <w:t xml:space="preserve"> </w:t>
      </w:r>
      <w:r w:rsidR="008F04BD" w:rsidRPr="008F04BD">
        <w:rPr>
          <w:color w:val="333333"/>
          <w:shd w:val="clear" w:color="auto" w:fill="FFFFFF"/>
        </w:rPr>
        <w:t>~</w:t>
      </w:r>
      <w:r w:rsidR="000C2886" w:rsidRPr="008F04BD">
        <w:rPr>
          <w:b w:val="0"/>
        </w:rPr>
        <w:t>8</w:t>
      </w:r>
      <w:r w:rsidR="008F04BD" w:rsidRPr="008F04BD">
        <w:rPr>
          <w:b w:val="0"/>
        </w:rPr>
        <w:t>‰</w:t>
      </w:r>
      <w:r w:rsidR="000C2886" w:rsidRPr="008F04BD">
        <w:rPr>
          <w:b w:val="0"/>
        </w:rPr>
        <w:t xml:space="preserve"> positive</w:t>
      </w:r>
      <w:r w:rsidR="000C2886">
        <w:rPr>
          <w:b w:val="0"/>
        </w:rPr>
        <w:t xml:space="preserve"> shift</w:t>
      </w:r>
      <w:r w:rsidR="001D46D1">
        <w:rPr>
          <w:b w:val="0"/>
        </w:rPr>
        <w:t xml:space="preserve"> synchronous to positive shifts in the </w:t>
      </w:r>
      <w:r w:rsidR="001D46D1" w:rsidRPr="00C67772">
        <w:rPr>
          <w:rFonts w:ascii="Symbol" w:hAnsi="Symbol"/>
          <w:b w:val="0"/>
        </w:rPr>
        <w:t></w:t>
      </w:r>
      <w:r w:rsidR="001D46D1" w:rsidRPr="00C67772">
        <w:rPr>
          <w:b w:val="0"/>
          <w:vertAlign w:val="superscript"/>
        </w:rPr>
        <w:t>13</w:t>
      </w:r>
      <w:r w:rsidR="001D46D1" w:rsidRPr="00C67772">
        <w:rPr>
          <w:b w:val="0"/>
        </w:rPr>
        <w:t>C</w:t>
      </w:r>
      <w:r w:rsidR="001D46D1" w:rsidRPr="00C67772">
        <w:rPr>
          <w:b w:val="0"/>
          <w:vertAlign w:val="subscript"/>
        </w:rPr>
        <w:t>org</w:t>
      </w:r>
      <w:r w:rsidR="001D46D1" w:rsidRPr="00C67772">
        <w:rPr>
          <w:b w:val="0"/>
        </w:rPr>
        <w:t xml:space="preserve"> </w:t>
      </w:r>
      <w:r w:rsidR="001D46D1">
        <w:rPr>
          <w:b w:val="0"/>
        </w:rPr>
        <w:t>record</w:t>
      </w:r>
      <w:r w:rsidR="002A234F">
        <w:rPr>
          <w:b w:val="0"/>
        </w:rPr>
        <w:t xml:space="preserve"> (Fig. </w:t>
      </w:r>
      <w:r w:rsidR="00191467">
        <w:rPr>
          <w:b w:val="0"/>
        </w:rPr>
        <w:t>4</w:t>
      </w:r>
      <w:r w:rsidR="002A234F">
        <w:rPr>
          <w:b w:val="0"/>
        </w:rPr>
        <w:t>)</w:t>
      </w:r>
      <w:r w:rsidR="001D46D1">
        <w:rPr>
          <w:b w:val="0"/>
        </w:rPr>
        <w:t>.</w:t>
      </w:r>
      <w:r w:rsidR="007526CD">
        <w:rPr>
          <w:b w:val="0"/>
        </w:rPr>
        <w:t xml:space="preserve"> Values of</w:t>
      </w:r>
      <w:r w:rsidR="000C2886">
        <w:rPr>
          <w:b w:val="0"/>
        </w:rPr>
        <w:t xml:space="preserve"> </w:t>
      </w:r>
      <w:r w:rsidR="007526CD" w:rsidRPr="00C67772">
        <w:rPr>
          <w:rFonts w:ascii="Symbol" w:hAnsi="Symbol"/>
          <w:b w:val="0"/>
        </w:rPr>
        <w:t></w:t>
      </w:r>
      <w:r w:rsidR="007526CD" w:rsidRPr="00C67772">
        <w:rPr>
          <w:b w:val="0"/>
          <w:vertAlign w:val="superscript"/>
        </w:rPr>
        <w:t>13</w:t>
      </w:r>
      <w:r w:rsidR="007526CD" w:rsidRPr="00C67772">
        <w:rPr>
          <w:b w:val="0"/>
        </w:rPr>
        <w:t>C</w:t>
      </w:r>
      <w:r w:rsidR="007526CD">
        <w:rPr>
          <w:b w:val="0"/>
          <w:vertAlign w:val="subscript"/>
        </w:rPr>
        <w:t>Pr</w:t>
      </w:r>
      <w:r w:rsidR="007526CD" w:rsidRPr="00C67772">
        <w:rPr>
          <w:b w:val="0"/>
        </w:rPr>
        <w:t xml:space="preserve"> </w:t>
      </w:r>
      <w:r w:rsidR="007526CD">
        <w:rPr>
          <w:b w:val="0"/>
        </w:rPr>
        <w:t xml:space="preserve">and </w:t>
      </w:r>
      <w:r w:rsidR="007526CD" w:rsidRPr="00C67772">
        <w:rPr>
          <w:rFonts w:ascii="Symbol" w:hAnsi="Symbol"/>
          <w:b w:val="0"/>
        </w:rPr>
        <w:t></w:t>
      </w:r>
      <w:r w:rsidR="007526CD" w:rsidRPr="00C67772">
        <w:rPr>
          <w:b w:val="0"/>
          <w:vertAlign w:val="superscript"/>
        </w:rPr>
        <w:t>13</w:t>
      </w:r>
      <w:r w:rsidR="007526CD" w:rsidRPr="00C67772">
        <w:rPr>
          <w:b w:val="0"/>
        </w:rPr>
        <w:t>C</w:t>
      </w:r>
      <w:r w:rsidR="007526CD">
        <w:rPr>
          <w:b w:val="0"/>
          <w:vertAlign w:val="subscript"/>
        </w:rPr>
        <w:t>Ph</w:t>
      </w:r>
      <w:r w:rsidR="007526CD">
        <w:rPr>
          <w:b w:val="0"/>
        </w:rPr>
        <w:t xml:space="preserve">, </w:t>
      </w:r>
      <w:r w:rsidR="00CE4F0B" w:rsidRPr="00C67772">
        <w:rPr>
          <w:b w:val="0"/>
        </w:rPr>
        <w:t xml:space="preserve">largely derived from chlorophyll </w:t>
      </w:r>
      <w:r w:rsidR="00CE4F0B" w:rsidRPr="00C67772">
        <w:rPr>
          <w:b w:val="0"/>
          <w:i/>
        </w:rPr>
        <w:t xml:space="preserve">a </w:t>
      </w:r>
      <w:r w:rsidR="00CE4F0B" w:rsidRPr="00C67772">
        <w:rPr>
          <w:b w:val="0"/>
        </w:rPr>
        <w:t>and</w:t>
      </w:r>
      <w:r w:rsidR="00CE4F0B" w:rsidRPr="00C67772">
        <w:rPr>
          <w:b w:val="0"/>
          <w:i/>
        </w:rPr>
        <w:t xml:space="preserve"> b</w:t>
      </w:r>
      <w:r w:rsidR="00285947">
        <w:rPr>
          <w:b w:val="0"/>
        </w:rPr>
        <w:t xml:space="preserve"> </w:t>
      </w:r>
      <w:r w:rsidR="007C14B9">
        <w:rPr>
          <w:b w:val="0"/>
        </w:rPr>
        <w:fldChar w:fldCharType="begin" w:fldLock="1"/>
      </w:r>
      <w:r w:rsidR="00A249D1">
        <w:rPr>
          <w:b w:val="0"/>
        </w:rPr>
        <w:instrText>ADDIN CSL_CITATION {"citationItems":[{"id":"ITEM-1","itemData":{"DOI":"10.1038/physci243037a0","ISSN":"2058-1106","abstract":"ACYCLIC isoprenoid hydrocarbons have been identified in sediments1–4, coal5, and petroleum6–11. Although isoprenoid hydrocarbons up to C25 have been recognized11, pristane (C19) and phytane (C20) are usually the most important in terms of concentration. Both are considered to be products of the diagenesis of the phytyl side chain of chlorophyll5, although other sources are possible12–14. In coals5, pristane is formed by decarboxylation of phytanic acid, and phytane by dehydration and hydrogenation of phytol. Differences in the ratio of pristane to phytane may reflect variations in the degree of oxidation during the early stages of chlorophyll degradation5. Thus the formation of phytanic acid, the precursor of pristane, should occur to a greater extent on land during the initial, aerobic stages of plant decay than in an aquatic environment where totally anaerobic decomposition is more likely. High ratios of pristane to phytane, which are found in bituminous coals5 and certain Australian oils5, may reflect source material of terrestrial origin. The ratios of phytanic acid to phytol (plus dihydrophytol) in Dead Sea sediments were 4.7 and 5.5 in two oxidizing environments and 1.1 and 3.4 in two reducing environments14. Clearly the formation of phytanic acid is favoured in an oxidizing environment. But the precise mode of formation of phytanic acid in the natural environment is not fully understood because reduotion of the double bond as well as oxidation of the alcohol part of the molecule is necessary to form phytanic acid from phytol.","author":[{"dropping-particle":"","family":"Powell","given":"T G","non-dropping-particle":"","parse-names":false,"suffix":""},{"dropping-particle":"","family":"McKirdy","given":"D M","non-dropping-particle":"","parse-names":false,"suffix":""}],"container-title":"Nature Physical Science","id":"ITEM-1","issue":"124","issued":{"date-parts":[["1973"]]},"page":"37-39","title":"Relationship between Ratio of Pristane to Phytane, Crude Oil Composition and Geological Environment in Australia","type":"article-journal","volume":"243"},"uris":["http://www.mendeley.com/documents/?uuid=6177d8ac-c3da-4fb5-a4f8-8ec76e849acc"]}],"mendeley":{"formattedCitation":"(Powell and McKirdy, 1973)","plainTextFormattedCitation":"(Powell and McKirdy, 1973)","previouslyFormattedCitation":"(Powell and McKirdy, 1973)"},"properties":{"noteIndex":0},"schema":"https://github.com/citation-style-language/schema/raw/master/csl-citation.json"}</w:instrText>
      </w:r>
      <w:r w:rsidR="007C14B9">
        <w:rPr>
          <w:b w:val="0"/>
        </w:rPr>
        <w:fldChar w:fldCharType="separate"/>
      </w:r>
      <w:r w:rsidR="00A249D1" w:rsidRPr="00A249D1">
        <w:rPr>
          <w:b w:val="0"/>
          <w:noProof/>
        </w:rPr>
        <w:t>(Powell and McKirdy, 1973)</w:t>
      </w:r>
      <w:r w:rsidR="007C14B9">
        <w:rPr>
          <w:b w:val="0"/>
        </w:rPr>
        <w:fldChar w:fldCharType="end"/>
      </w:r>
      <w:r w:rsidR="00CE4F0B" w:rsidRPr="00C67772">
        <w:rPr>
          <w:b w:val="0"/>
        </w:rPr>
        <w:t xml:space="preserve">, are more </w:t>
      </w:r>
      <w:r w:rsidR="002A234F" w:rsidRPr="00863CEA">
        <w:rPr>
          <w:b w:val="0"/>
          <w:vertAlign w:val="superscript"/>
        </w:rPr>
        <w:t>13</w:t>
      </w:r>
      <w:r w:rsidR="002A234F">
        <w:rPr>
          <w:b w:val="0"/>
        </w:rPr>
        <w:t>C-</w:t>
      </w:r>
      <w:r w:rsidR="006A6CCF">
        <w:rPr>
          <w:b w:val="0"/>
        </w:rPr>
        <w:t xml:space="preserve">enriched </w:t>
      </w:r>
      <w:r w:rsidR="00CE4F0B" w:rsidRPr="00C67772">
        <w:rPr>
          <w:b w:val="0"/>
        </w:rPr>
        <w:t xml:space="preserve">compared to </w:t>
      </w:r>
      <w:r w:rsidR="002A234F" w:rsidRPr="00C67772">
        <w:rPr>
          <w:rFonts w:ascii="Symbol" w:hAnsi="Symbol"/>
          <w:b w:val="0"/>
        </w:rPr>
        <w:t></w:t>
      </w:r>
      <w:r w:rsidR="002A234F" w:rsidRPr="00C67772">
        <w:rPr>
          <w:b w:val="0"/>
          <w:vertAlign w:val="superscript"/>
        </w:rPr>
        <w:t>13</w:t>
      </w:r>
      <w:r w:rsidR="002A234F" w:rsidRPr="008E3750">
        <w:rPr>
          <w:b w:val="0"/>
          <w:i/>
          <w:iCs/>
        </w:rPr>
        <w:t>n</w:t>
      </w:r>
      <w:r w:rsidR="002A234F">
        <w:rPr>
          <w:b w:val="0"/>
        </w:rPr>
        <w:t>-</w:t>
      </w:r>
      <w:r w:rsidR="002A234F" w:rsidRPr="00C67772">
        <w:rPr>
          <w:b w:val="0"/>
        </w:rPr>
        <w:t>C</w:t>
      </w:r>
      <w:r w:rsidR="002A234F" w:rsidRPr="00C67772">
        <w:rPr>
          <w:b w:val="0"/>
          <w:vertAlign w:val="subscript"/>
        </w:rPr>
        <w:t>2</w:t>
      </w:r>
      <w:r w:rsidR="002A234F">
        <w:rPr>
          <w:b w:val="0"/>
          <w:vertAlign w:val="subscript"/>
        </w:rPr>
        <w:t>7, 2</w:t>
      </w:r>
      <w:r w:rsidR="002A234F" w:rsidRPr="00C67772">
        <w:rPr>
          <w:b w:val="0"/>
          <w:vertAlign w:val="subscript"/>
        </w:rPr>
        <w:t>9</w:t>
      </w:r>
      <w:r w:rsidR="002A234F">
        <w:rPr>
          <w:b w:val="0"/>
          <w:vertAlign w:val="subscript"/>
        </w:rPr>
        <w:t>, 31</w:t>
      </w:r>
      <w:r w:rsidR="002A234F" w:rsidRPr="00C67772">
        <w:rPr>
          <w:b w:val="0"/>
          <w:vertAlign w:val="subscript"/>
        </w:rPr>
        <w:t xml:space="preserve"> </w:t>
      </w:r>
      <w:r w:rsidR="002A234F">
        <w:rPr>
          <w:b w:val="0"/>
        </w:rPr>
        <w:t xml:space="preserve">values </w:t>
      </w:r>
      <w:r w:rsidR="00CE4F0B" w:rsidRPr="00C67772">
        <w:rPr>
          <w:b w:val="0"/>
        </w:rPr>
        <w:t>throughout the precursor</w:t>
      </w:r>
      <w:r w:rsidR="00CE4F0B">
        <w:rPr>
          <w:b w:val="0"/>
        </w:rPr>
        <w:t xml:space="preserve"> CIE and shift negatively at the</w:t>
      </w:r>
      <w:r w:rsidR="00DC19A6">
        <w:rPr>
          <w:b w:val="0"/>
        </w:rPr>
        <w:t xml:space="preserve"> precursor CIE termination</w:t>
      </w:r>
      <w:r w:rsidR="00CE4F0B">
        <w:rPr>
          <w:b w:val="0"/>
        </w:rPr>
        <w:t xml:space="preserve"> whereas</w:t>
      </w:r>
      <w:r w:rsidR="007526CD">
        <w:rPr>
          <w:b w:val="0"/>
        </w:rPr>
        <w:t xml:space="preserve"> values of</w:t>
      </w:r>
      <w:r w:rsidR="00CE4F0B">
        <w:rPr>
          <w:b w:val="0"/>
        </w:rPr>
        <w:t xml:space="preserve"> </w:t>
      </w:r>
      <w:r w:rsidR="007526CD" w:rsidRPr="00C67772">
        <w:rPr>
          <w:rFonts w:ascii="Symbol" w:hAnsi="Symbol"/>
          <w:b w:val="0"/>
        </w:rPr>
        <w:t></w:t>
      </w:r>
      <w:r w:rsidR="007526CD" w:rsidRPr="00C67772">
        <w:rPr>
          <w:b w:val="0"/>
          <w:vertAlign w:val="superscript"/>
        </w:rPr>
        <w:t>13</w:t>
      </w:r>
      <w:r w:rsidR="007526CD" w:rsidRPr="008E3750">
        <w:rPr>
          <w:b w:val="0"/>
          <w:i/>
          <w:iCs/>
        </w:rPr>
        <w:t>n</w:t>
      </w:r>
      <w:r w:rsidR="007526CD">
        <w:rPr>
          <w:b w:val="0"/>
        </w:rPr>
        <w:t>-</w:t>
      </w:r>
      <w:r w:rsidR="007526CD" w:rsidRPr="00C67772">
        <w:rPr>
          <w:b w:val="0"/>
        </w:rPr>
        <w:t>C</w:t>
      </w:r>
      <w:r w:rsidR="007526CD">
        <w:rPr>
          <w:b w:val="0"/>
          <w:vertAlign w:val="subscript"/>
        </w:rPr>
        <w:t>17-19</w:t>
      </w:r>
      <w:r w:rsidR="00CE4F0B">
        <w:rPr>
          <w:b w:val="0"/>
        </w:rPr>
        <w:t xml:space="preserve">, </w:t>
      </w:r>
      <w:r w:rsidR="00CE4F0B" w:rsidRPr="00D70923">
        <w:rPr>
          <w:b w:val="0"/>
        </w:rPr>
        <w:t>indicative of algae and (photosynthetic)</w:t>
      </w:r>
      <w:r w:rsidR="00CE4F0B">
        <w:rPr>
          <w:b w:val="0"/>
        </w:rPr>
        <w:t xml:space="preserve"> </w:t>
      </w:r>
      <w:r w:rsidR="00CE4F0B" w:rsidRPr="00D70923">
        <w:rPr>
          <w:b w:val="0"/>
        </w:rPr>
        <w:t>bacteria</w:t>
      </w:r>
      <w:r w:rsidR="002154DF">
        <w:rPr>
          <w:b w:val="0"/>
        </w:rPr>
        <w:t xml:space="preserve"> </w:t>
      </w:r>
      <w:r w:rsidR="002154DF">
        <w:rPr>
          <w:b w:val="0"/>
        </w:rPr>
        <w:fldChar w:fldCharType="begin" w:fldLock="1"/>
      </w:r>
      <w:r w:rsidR="002154DF">
        <w:rPr>
          <w:b w:val="0"/>
        </w:rPr>
        <w:instrText>ADDIN CSL_CITATION {"citationItems":[{"id":"ITEM-1","itemData":{"DOI":"https://doi.org/10.1016/0146-6380(87)90007-6","ISSN":"0146-6380","abstract":"The relationship between the lipid composition of organisms in the water column of an eutrophic lake and the lipid composition of underlying sediments, previously examined for n-alkanols and steroids, is now reported for hydrocarbons, ketones and carboxylic acids. The n-C7 alkane and alkenoic acids from two primary sources are rapidly metabolized in the water column and surficial sediment. Bacterial biomarkers, including hopenes and iai-branched fatty acids, were detected in the photosynthetic bacterial layer occurring just above the sediment-water interface. Within the sediment the apparent conversion of free n-alkanes, alkan-2-ones and ω-hydroxy acids to the corresponding bound form is noted; microbiological oxidation of n-alkanes to alkan-2-ones is supported by the detection of the intermediate alkan-2-ols with a distribution similar to that of the ketones. The geochemistry of sediment deposited c. 1900, prior to biological study of the site, was interpreted from stable biomarkers and the diagenetic changes recognised in the study of contemporary deposition. A qualitative difference in algal input to the older sediment is inferred from the low Δ7-sterol content and presence of 2,6,10-trimethyl-7-(3-methylbutyl)-dodecane. However, there was still significant dinoflagellate input, as indicated by the presence of 4α-methylsterols. A difference in higher-plant input to the older sediment, indicated from the n-alkane, alkene and triterpenoid ketone distributions, is consistent with the recent development of tree cover.","author":[{"dropping-particle":"","family":"Cranwell","given":"P A","non-dropping-particle":"","parse-names":false,"suffix":""},{"dropping-particle":"","family":"Eglinton","given":"G","non-dropping-particle":"","parse-names":false,"suffix":""},{"dropping-particle":"","family":"Robinson","given":"N","non-dropping-particle":"","parse-names":false,"suffix":""}],"container-title":"Organic Geochemistry","id":"ITEM-1","issue":"6","issued":{"date-parts":[["1987"]]},"page":"513-527","title":"Lipids of aquatic organisms as potential contributors to lacustrine sediments—II","type":"article-journal","volume":"11"},"uris":["http://www.mendeley.com/documents/?uuid=d0a04b50-55a6-444c-98bc-3d7fa6b43092"]},{"id":"ITEM-2","itemData":{"DOI":"10.1126/science.1104323","abstract":"Carbon and sulfur isotopic data, together with biomarker and iron speciation analyses of the Hovea-3 core that was drilled in the Perth Basin, Western Australia, indicate that euxinic conditions prevailed in the paleowater column during the Permian-Triassic superanoxic event. Biomarkers diagnostic for anoxygenic photosynthesis by Chlorobiaceae are particularly abundant at the boundary and into the Early Triassic. Similar conditions prevailed in the contemporaneous seas off South China. Our evidence for widespread photiczone euxinic conditions suggests that sulfide toxicity was a driver of the extinction and a factor in the protracted recovery.","author":[{"dropping-particle":"","family":"Grice","given":"Kliti","non-dropping-particle":"","parse-names":false,"suffix":""},{"dropping-particle":"","family":"Cao","given":"Changqun","non-dropping-particle":"","parse-names":false,"suffix":""},{"dropping-particle":"","family":"Love","given":"Gordon D","non-dropping-particle":"","parse-names":false,"suffix":""},{"dropping-particle":"","family":"Böttcher","given":"Michael E","non-dropping-particle":"","parse-names":false,"suffix":""},{"dropping-particle":"","family":"Twitchett","given":"Richard J","non-dropping-particle":"","parse-names":false,"suffix":""},{"dropping-particle":"","family":"Grosjean","given":"Emmanuelle","non-dropping-particle":"","parse-names":false,"suffix":""},{"dropping-particle":"","family":"Summons","given":"Roger E","non-dropping-particle":"","parse-names":false,"suffix":""},{"dropping-particle":"","family":"Turgeon","given":"Steven C","non-dropping-particle":"","parse-names":false,"suffix":""},{"dropping-particle":"","family":"Dunning","given":"William","non-dropping-particle":"","parse-names":false,"suffix":""},{"dropping-particle":"","family":"Jin","given":"Yugan","non-dropping-particle":"","parse-names":false,"suffix":""}],"container-title":"Science","id":"ITEM-2","issue":"5710","issued":{"date-parts":[["2005","2","4"]]},"page":"706 LP - 709","title":"Photic Zone Euxinia During the Permian-Triassic Superanoxic Event","type":"article-journal","volume":"307"},"uris":["http://www.mendeley.com/documents/?uuid=4ebd9a83-bb49-4e2f-9b3c-e0330ec552c9"]}],"mendeley":{"formattedCitation":"(Cranwell et al., 1987; Grice et al., 2005)","plainTextFormattedCitation":"(Cranwell et al., 1987; Grice et al., 2005)"},"properties":{"noteIndex":0},"schema":"https://github.com/citation-style-language/schema/raw/master/csl-citation.json"}</w:instrText>
      </w:r>
      <w:r w:rsidR="002154DF">
        <w:rPr>
          <w:b w:val="0"/>
        </w:rPr>
        <w:fldChar w:fldCharType="separate"/>
      </w:r>
      <w:r w:rsidR="002154DF" w:rsidRPr="002154DF">
        <w:rPr>
          <w:b w:val="0"/>
          <w:noProof/>
        </w:rPr>
        <w:t>(Cranwell et al., 1987; Grice et al., 2005)</w:t>
      </w:r>
      <w:r w:rsidR="002154DF">
        <w:rPr>
          <w:b w:val="0"/>
        </w:rPr>
        <w:fldChar w:fldCharType="end"/>
      </w:r>
      <w:r w:rsidR="00CE4F0B">
        <w:rPr>
          <w:b w:val="0"/>
        </w:rPr>
        <w:t>, show negligible change</w:t>
      </w:r>
      <w:r w:rsidR="002A234F">
        <w:rPr>
          <w:b w:val="0"/>
        </w:rPr>
        <w:t xml:space="preserve"> (Fig. </w:t>
      </w:r>
      <w:r w:rsidR="00191467">
        <w:rPr>
          <w:b w:val="0"/>
        </w:rPr>
        <w:lastRenderedPageBreak/>
        <w:t>4</w:t>
      </w:r>
      <w:r w:rsidR="002A234F">
        <w:rPr>
          <w:b w:val="0"/>
        </w:rPr>
        <w:t>)</w:t>
      </w:r>
      <w:r w:rsidR="005050F1">
        <w:rPr>
          <w:b w:val="0"/>
        </w:rPr>
        <w:t>.</w:t>
      </w:r>
      <w:r w:rsidR="00CE4F0B">
        <w:rPr>
          <w:b w:val="0"/>
        </w:rPr>
        <w:t xml:space="preserve"> The absence of synchronous negative </w:t>
      </w:r>
      <w:r w:rsidR="00CE4F0B">
        <w:rPr>
          <w:rFonts w:ascii="Symbol" w:hAnsi="Symbol"/>
          <w:b w:val="0"/>
        </w:rPr>
        <w:t></w:t>
      </w:r>
      <w:r w:rsidR="00CE4F0B">
        <w:rPr>
          <w:b w:val="0"/>
          <w:vertAlign w:val="superscript"/>
        </w:rPr>
        <w:t>13</w:t>
      </w:r>
      <w:r w:rsidR="00CE4F0B">
        <w:rPr>
          <w:b w:val="0"/>
        </w:rPr>
        <w:t>C shifts at the precursor CIE in all biomarkers suggests the precursor CIE is not of an exogenous (i.e.</w:t>
      </w:r>
      <w:r w:rsidR="00A73E7C">
        <w:rPr>
          <w:b w:val="0"/>
        </w:rPr>
        <w:t>,</w:t>
      </w:r>
      <w:r w:rsidR="00CE4F0B">
        <w:rPr>
          <w:b w:val="0"/>
        </w:rPr>
        <w:t xml:space="preserve"> CAMP) origin. Instead, based on isotopic compositions</w:t>
      </w:r>
      <w:r w:rsidR="0038284D">
        <w:rPr>
          <w:b w:val="0"/>
        </w:rPr>
        <w:t xml:space="preserve"> and PAH abundances</w:t>
      </w:r>
      <w:r w:rsidR="00CE4F0B">
        <w:rPr>
          <w:b w:val="0"/>
        </w:rPr>
        <w:t xml:space="preserve"> the precursor CIE is </w:t>
      </w:r>
      <w:r w:rsidR="0038284D">
        <w:rPr>
          <w:b w:val="0"/>
        </w:rPr>
        <w:t xml:space="preserve">best </w:t>
      </w:r>
      <w:r w:rsidR="00CE4F0B">
        <w:rPr>
          <w:b w:val="0"/>
        </w:rPr>
        <w:t xml:space="preserve">attributed to </w:t>
      </w:r>
      <w:r w:rsidR="00F31029">
        <w:rPr>
          <w:b w:val="0"/>
        </w:rPr>
        <w:t xml:space="preserve">the input of </w:t>
      </w:r>
      <w:r w:rsidR="00CE4F0B">
        <w:rPr>
          <w:b w:val="0"/>
        </w:rPr>
        <w:t>land plant</w:t>
      </w:r>
      <w:r w:rsidR="00F31029">
        <w:rPr>
          <w:b w:val="0"/>
        </w:rPr>
        <w:t xml:space="preserve">s </w:t>
      </w:r>
      <w:r w:rsidR="00CE4F0B">
        <w:rPr>
          <w:b w:val="0"/>
        </w:rPr>
        <w:t xml:space="preserve">depleted in </w:t>
      </w:r>
      <w:r w:rsidR="00CE4F0B">
        <w:rPr>
          <w:b w:val="0"/>
          <w:vertAlign w:val="superscript"/>
        </w:rPr>
        <w:t>13</w:t>
      </w:r>
      <w:r w:rsidR="00CE4F0B">
        <w:rPr>
          <w:b w:val="0"/>
        </w:rPr>
        <w:t>C.</w:t>
      </w:r>
    </w:p>
    <w:p w14:paraId="120E96BD" w14:textId="0F99E033" w:rsidR="004215C4" w:rsidRPr="00833BA9" w:rsidRDefault="002A234F" w:rsidP="005045DC">
      <w:pPr>
        <w:pStyle w:val="Head2"/>
        <w:spacing w:line="480" w:lineRule="auto"/>
        <w:ind w:firstLine="720"/>
        <w:jc w:val="both"/>
        <w:rPr>
          <w:b w:val="0"/>
        </w:rPr>
      </w:pPr>
      <w:r w:rsidRPr="00984A4D">
        <w:rPr>
          <w:rFonts w:asciiTheme="majorBidi" w:hAnsiTheme="majorBidi" w:cstheme="majorBidi"/>
          <w:b w:val="0"/>
        </w:rPr>
        <w:t xml:space="preserve">The relative abundance of long chain </w:t>
      </w:r>
      <w:r w:rsidRPr="00984A4D">
        <w:rPr>
          <w:rFonts w:asciiTheme="majorBidi" w:hAnsiTheme="majorBidi" w:cstheme="majorBidi"/>
          <w:b w:val="0"/>
          <w:i/>
        </w:rPr>
        <w:t>n-</w:t>
      </w:r>
      <w:r w:rsidRPr="00984A4D">
        <w:rPr>
          <w:rFonts w:asciiTheme="majorBidi" w:hAnsiTheme="majorBidi" w:cstheme="majorBidi"/>
          <w:b w:val="0"/>
        </w:rPr>
        <w:t xml:space="preserve">alkanes from land plant leaf waxes and concentrations of the PAH retene that can derive from conifer resins </w:t>
      </w:r>
      <w:r w:rsidRPr="00984A4D">
        <w:rPr>
          <w:rFonts w:asciiTheme="majorBidi" w:hAnsiTheme="majorBidi" w:cstheme="majorBidi"/>
          <w:b w:val="0"/>
        </w:rPr>
        <w:fldChar w:fldCharType="begin" w:fldLock="1"/>
      </w:r>
      <w:r w:rsidRPr="00984A4D">
        <w:rPr>
          <w:rFonts w:asciiTheme="majorBidi" w:hAnsiTheme="majorBidi" w:cstheme="majorBidi"/>
          <w:b w:val="0"/>
        </w:rPr>
        <w:instrText>ADDIN CSL_CITATION {"citationItems":[{"id":"ITEM-1","itemData":{"DOI":"https://doi.org/10.1016/0146-6380(88)90283-5","ISSN":"0146-6380","abstract":"A series of eight Tertiary coal and carbonaceous shale samples with vitrinite reflectance values between 0.50 and 0.58% were extracted, fractionated and the saturated and aromatic hydrocarbons analysed for characteristic components by GC and GC-MS. Additionally, a microscopical study was undertaken in order to obtain a more precise picture of the samples under investigation. The saturated hydrocarbon fractions displayed the typical n-alkane distribution for coals of this rank, with CPI values between 2.0 and 3.1. Among the branched/cyclic compounds, pristane and α, β-homohopane were recognised as relevant components pointing to an oxic depositional environment. Detection of benzohopanes (C32–C35) in the aromatic hydrocarbon fractions suggests that bacteriohopanetetrol was a significant constituent of the coal biomass. Taking into consideration the Pr/Ph ratios, ash contents and microscopical characteristics of the samples, aspects of the possible degradation of hopanetetrol to homohopane are discussed. Resin-derived diterpenoids with the phyllocladane and kaurane skeleton were tentatively identified and, although minor compounds, they are interpreted to be a sign of the contribution of Podocarpaceae and Araucareaceae to the coal swamp. Aromatic compounds were dominated by alkylnaphthalene derivatives, presumably formed by C-ring cleavage and aromatisation of higher plant-derived pentacyclic triterpenois, which were main components in the high-boiling range of the fractions investigated. Angiosperms (especially Fagaceae) are postulated as source for these polycyclic compounds and, hence, for some of the polyalkylated aromatic bicyclics detected.","author":[{"dropping-particle":"","family":"Villar","given":"Héctor J","non-dropping-particle":"","parse-names":false,"suffix":""},{"dropping-particle":"","family":"Püttmann","given":"Wilhelm","non-dropping-particle":"","parse-names":false,"suffix":""},{"dropping-particle":"","family":"Wolf","given":"Monika","non-dropping-particle":"","parse-names":false,"suffix":""}],"container-title":"Organic Geochemistry","id":"ITEM-1","issue":"4","issued":{"date-parts":[["1988"]]},"page":"1011-1021","title":"Organic geochemistry and petrography of Tertiary coals and carbonaceous shales from Argentina","type":"article-journal","volume":"13"},"uris":["http://www.mendeley.com/documents/?uuid=0541e6a6-6d9d-4738-bd0f-595051e6e1f7"]}],"mendeley":{"formattedCitation":"(Villar et al., 1988)","plainTextFormattedCitation":"(Villar et al., 1988)","previouslyFormattedCitation":"(Villar et al., 1988)"},"properties":{"noteIndex":0},"schema":"https://github.com/citation-style-language/schema/raw/master/csl-citation.json"}</w:instrText>
      </w:r>
      <w:r w:rsidRPr="00984A4D">
        <w:rPr>
          <w:rFonts w:asciiTheme="majorBidi" w:hAnsiTheme="majorBidi" w:cstheme="majorBidi"/>
          <w:b w:val="0"/>
        </w:rPr>
        <w:fldChar w:fldCharType="separate"/>
      </w:r>
      <w:r w:rsidRPr="00984A4D">
        <w:rPr>
          <w:rFonts w:asciiTheme="majorBidi" w:hAnsiTheme="majorBidi" w:cstheme="majorBidi"/>
          <w:b w:val="0"/>
          <w:noProof/>
        </w:rPr>
        <w:t>(Villar et al., 1988)</w:t>
      </w:r>
      <w:r w:rsidRPr="00984A4D">
        <w:rPr>
          <w:rFonts w:asciiTheme="majorBidi" w:hAnsiTheme="majorBidi" w:cstheme="majorBidi"/>
          <w:b w:val="0"/>
        </w:rPr>
        <w:fldChar w:fldCharType="end"/>
      </w:r>
      <w:r w:rsidRPr="00984A4D">
        <w:rPr>
          <w:rFonts w:asciiTheme="majorBidi" w:hAnsiTheme="majorBidi" w:cstheme="majorBidi"/>
          <w:b w:val="0"/>
        </w:rPr>
        <w:t xml:space="preserve"> serve as proxies for </w:t>
      </w:r>
      <w:r w:rsidR="00CE4F0B" w:rsidRPr="00984A4D">
        <w:rPr>
          <w:rFonts w:asciiTheme="majorBidi" w:hAnsiTheme="majorBidi" w:cstheme="majorBidi"/>
          <w:b w:val="0"/>
        </w:rPr>
        <w:t>input of land plant material to the sedimentary record</w:t>
      </w:r>
      <w:r w:rsidRPr="00984A4D">
        <w:rPr>
          <w:rFonts w:asciiTheme="majorBidi" w:hAnsiTheme="majorBidi" w:cstheme="majorBidi"/>
          <w:b w:val="0"/>
        </w:rPr>
        <w:t>.</w:t>
      </w:r>
      <w:r w:rsidR="00CE4F0B" w:rsidRPr="00984A4D">
        <w:rPr>
          <w:rFonts w:asciiTheme="majorBidi" w:hAnsiTheme="majorBidi" w:cstheme="majorBidi"/>
          <w:b w:val="0"/>
        </w:rPr>
        <w:t xml:space="preserve"> </w:t>
      </w:r>
      <w:r w:rsidR="00204C76" w:rsidRPr="00984A4D">
        <w:rPr>
          <w:rFonts w:asciiTheme="majorBidi" w:hAnsiTheme="majorBidi" w:cstheme="majorBidi"/>
          <w:b w:val="0"/>
        </w:rPr>
        <w:t>We find i</w:t>
      </w:r>
      <w:r w:rsidR="00C7310B" w:rsidRPr="00984A4D">
        <w:rPr>
          <w:rFonts w:asciiTheme="majorBidi" w:hAnsiTheme="majorBidi" w:cstheme="majorBidi"/>
          <w:b w:val="0"/>
        </w:rPr>
        <w:t>ncreases in</w:t>
      </w:r>
      <w:r w:rsidR="00916F27" w:rsidRPr="00984A4D">
        <w:rPr>
          <w:rFonts w:asciiTheme="majorBidi" w:hAnsiTheme="majorBidi" w:cstheme="majorBidi"/>
          <w:b w:val="0"/>
        </w:rPr>
        <w:t xml:space="preserve"> </w:t>
      </w:r>
      <w:r w:rsidR="00322B1C" w:rsidRPr="00984A4D">
        <w:rPr>
          <w:rFonts w:asciiTheme="majorBidi" w:hAnsiTheme="majorBidi" w:cstheme="majorBidi"/>
          <w:b w:val="0"/>
        </w:rPr>
        <w:t xml:space="preserve">long-chain </w:t>
      </w:r>
      <w:r w:rsidR="00322B1C" w:rsidRPr="00984A4D">
        <w:rPr>
          <w:rFonts w:asciiTheme="majorBidi" w:hAnsiTheme="majorBidi" w:cstheme="majorBidi"/>
          <w:b w:val="0"/>
          <w:i/>
        </w:rPr>
        <w:t>n-</w:t>
      </w:r>
      <w:r w:rsidR="00322B1C" w:rsidRPr="00984A4D">
        <w:rPr>
          <w:rFonts w:asciiTheme="majorBidi" w:hAnsiTheme="majorBidi" w:cstheme="majorBidi"/>
          <w:b w:val="0"/>
        </w:rPr>
        <w:t>alkanes</w:t>
      </w:r>
      <w:r w:rsidR="00204C76" w:rsidRPr="00984A4D">
        <w:rPr>
          <w:rFonts w:asciiTheme="majorBidi" w:hAnsiTheme="majorBidi" w:cstheme="majorBidi"/>
          <w:b w:val="0"/>
        </w:rPr>
        <w:t xml:space="preserve"> compared to short-chain </w:t>
      </w:r>
      <w:r w:rsidR="00204C76" w:rsidRPr="00984A4D">
        <w:rPr>
          <w:rFonts w:asciiTheme="majorBidi" w:hAnsiTheme="majorBidi" w:cstheme="majorBidi"/>
          <w:b w:val="0"/>
          <w:i/>
          <w:iCs/>
        </w:rPr>
        <w:t>n</w:t>
      </w:r>
      <w:r w:rsidR="00204C76" w:rsidRPr="00984A4D">
        <w:rPr>
          <w:rFonts w:asciiTheme="majorBidi" w:hAnsiTheme="majorBidi" w:cstheme="majorBidi"/>
          <w:b w:val="0"/>
        </w:rPr>
        <w:t>-alkanes (terrigenous vs</w:t>
      </w:r>
      <w:r w:rsidR="00984A4D" w:rsidRPr="00984A4D">
        <w:rPr>
          <w:rFonts w:asciiTheme="majorBidi" w:hAnsiTheme="majorBidi" w:cstheme="majorBidi"/>
          <w:b w:val="0"/>
        </w:rPr>
        <w:t>.</w:t>
      </w:r>
      <w:r w:rsidR="00204C76" w:rsidRPr="00984A4D">
        <w:rPr>
          <w:rFonts w:asciiTheme="majorBidi" w:hAnsiTheme="majorBidi" w:cstheme="majorBidi"/>
          <w:b w:val="0"/>
        </w:rPr>
        <w:t xml:space="preserve"> aquatic ratio</w:t>
      </w:r>
      <w:r w:rsidR="00191467" w:rsidRPr="00984A4D">
        <w:rPr>
          <w:rFonts w:asciiTheme="majorBidi" w:hAnsiTheme="majorBidi" w:cstheme="majorBidi"/>
          <w:b w:val="0"/>
        </w:rPr>
        <w:t>; Fig. 4</w:t>
      </w:r>
      <w:r w:rsidR="00204C76" w:rsidRPr="00984A4D">
        <w:rPr>
          <w:rFonts w:asciiTheme="majorBidi" w:hAnsiTheme="majorBidi" w:cstheme="majorBidi"/>
          <w:b w:val="0"/>
        </w:rPr>
        <w:t>)</w:t>
      </w:r>
      <w:r w:rsidR="00322B1C" w:rsidRPr="00984A4D">
        <w:rPr>
          <w:rFonts w:asciiTheme="majorBidi" w:hAnsiTheme="majorBidi" w:cstheme="majorBidi"/>
          <w:b w:val="0"/>
        </w:rPr>
        <w:t xml:space="preserve"> and e</w:t>
      </w:r>
      <w:r w:rsidR="00CE4F0B" w:rsidRPr="00984A4D">
        <w:rPr>
          <w:rFonts w:asciiTheme="majorBidi" w:hAnsiTheme="majorBidi" w:cstheme="majorBidi"/>
          <w:b w:val="0"/>
        </w:rPr>
        <w:t>levated retene concentrations in the precursor CIE</w:t>
      </w:r>
      <w:r w:rsidR="00191467" w:rsidRPr="00984A4D">
        <w:rPr>
          <w:rFonts w:asciiTheme="majorBidi" w:hAnsiTheme="majorBidi" w:cstheme="majorBidi"/>
          <w:b w:val="0"/>
        </w:rPr>
        <w:t xml:space="preserve"> (Fig. </w:t>
      </w:r>
      <w:r w:rsidR="005138A6" w:rsidRPr="00984A4D">
        <w:rPr>
          <w:rFonts w:asciiTheme="majorBidi" w:hAnsiTheme="majorBidi" w:cstheme="majorBidi"/>
          <w:b w:val="0"/>
        </w:rPr>
        <w:t>3</w:t>
      </w:r>
      <w:r w:rsidR="00191467" w:rsidRPr="00984A4D">
        <w:rPr>
          <w:rFonts w:asciiTheme="majorBidi" w:hAnsiTheme="majorBidi" w:cstheme="majorBidi"/>
          <w:b w:val="0"/>
        </w:rPr>
        <w:t>)</w:t>
      </w:r>
      <w:r w:rsidR="00CE4F0B" w:rsidRPr="00984A4D">
        <w:rPr>
          <w:rFonts w:asciiTheme="majorBidi" w:hAnsiTheme="majorBidi" w:cstheme="majorBidi"/>
          <w:b w:val="0"/>
        </w:rPr>
        <w:t xml:space="preserve"> coeval with </w:t>
      </w:r>
      <w:r w:rsidR="00CA2D69" w:rsidRPr="00984A4D">
        <w:rPr>
          <w:rFonts w:asciiTheme="majorBidi" w:hAnsiTheme="majorBidi" w:cstheme="majorBidi"/>
          <w:b w:val="0"/>
        </w:rPr>
        <w:t xml:space="preserve">the </w:t>
      </w:r>
      <w:r w:rsidR="00CE4F0B" w:rsidRPr="00984A4D">
        <w:rPr>
          <w:rFonts w:asciiTheme="majorBidi" w:hAnsiTheme="majorBidi" w:cstheme="majorBidi"/>
          <w:b w:val="0"/>
        </w:rPr>
        <w:t xml:space="preserve">most negative </w:t>
      </w:r>
      <w:r w:rsidR="00090043" w:rsidRPr="005045DC">
        <w:rPr>
          <w:rFonts w:ascii="Symbol" w:hAnsi="Symbol" w:cstheme="majorBidi"/>
          <w:b w:val="0"/>
        </w:rPr>
        <w:t></w:t>
      </w:r>
      <w:r w:rsidR="00090043" w:rsidRPr="00984A4D">
        <w:rPr>
          <w:rFonts w:asciiTheme="majorBidi" w:hAnsiTheme="majorBidi" w:cstheme="majorBidi"/>
          <w:b w:val="0"/>
          <w:vertAlign w:val="superscript"/>
        </w:rPr>
        <w:t>13</w:t>
      </w:r>
      <w:r w:rsidR="00DF4DD8" w:rsidRPr="005045DC">
        <w:rPr>
          <w:rFonts w:asciiTheme="majorBidi" w:hAnsiTheme="majorBidi" w:cstheme="majorBidi"/>
          <w:b w:val="0"/>
          <w:i/>
          <w:iCs/>
        </w:rPr>
        <w:t>n</w:t>
      </w:r>
      <w:r w:rsidR="00DF4DD8" w:rsidRPr="005045DC">
        <w:rPr>
          <w:rFonts w:asciiTheme="majorBidi" w:hAnsiTheme="majorBidi" w:cstheme="majorBidi"/>
          <w:b w:val="0"/>
        </w:rPr>
        <w:t>-C</w:t>
      </w:r>
      <w:r w:rsidR="00090043" w:rsidRPr="005045DC">
        <w:rPr>
          <w:rFonts w:asciiTheme="majorBidi" w:hAnsiTheme="majorBidi" w:cstheme="majorBidi"/>
          <w:b w:val="0"/>
          <w:vertAlign w:val="subscript"/>
        </w:rPr>
        <w:t>2</w:t>
      </w:r>
      <w:r w:rsidR="00DF4DD8" w:rsidRPr="005045DC">
        <w:rPr>
          <w:rFonts w:asciiTheme="majorBidi" w:hAnsiTheme="majorBidi" w:cstheme="majorBidi"/>
          <w:b w:val="0"/>
          <w:vertAlign w:val="subscript"/>
        </w:rPr>
        <w:t>7, 2</w:t>
      </w:r>
      <w:r w:rsidR="00090043" w:rsidRPr="005045DC">
        <w:rPr>
          <w:rFonts w:asciiTheme="majorBidi" w:hAnsiTheme="majorBidi" w:cstheme="majorBidi"/>
          <w:b w:val="0"/>
          <w:vertAlign w:val="subscript"/>
        </w:rPr>
        <w:t>9</w:t>
      </w:r>
      <w:r w:rsidR="00DF4DD8" w:rsidRPr="005045DC">
        <w:rPr>
          <w:rFonts w:asciiTheme="majorBidi" w:hAnsiTheme="majorBidi" w:cstheme="majorBidi"/>
          <w:b w:val="0"/>
          <w:vertAlign w:val="subscript"/>
        </w:rPr>
        <w:t>, 31</w:t>
      </w:r>
      <w:r w:rsidR="00090043" w:rsidRPr="005045DC">
        <w:rPr>
          <w:rFonts w:asciiTheme="majorBidi" w:hAnsiTheme="majorBidi" w:cstheme="majorBidi"/>
          <w:b w:val="0"/>
          <w:vertAlign w:val="subscript"/>
        </w:rPr>
        <w:t xml:space="preserve"> </w:t>
      </w:r>
      <w:r w:rsidR="00CE4F0B" w:rsidRPr="005045DC">
        <w:rPr>
          <w:rFonts w:asciiTheme="majorBidi" w:hAnsiTheme="majorBidi" w:cstheme="majorBidi"/>
          <w:b w:val="0"/>
        </w:rPr>
        <w:t>values</w:t>
      </w:r>
      <w:r w:rsidR="00DA7BA3">
        <w:rPr>
          <w:rFonts w:asciiTheme="majorBidi" w:hAnsiTheme="majorBidi" w:cstheme="majorBidi"/>
          <w:b w:val="0"/>
        </w:rPr>
        <w:t xml:space="preserve"> (Fig. 2)</w:t>
      </w:r>
      <w:r w:rsidR="00B92ED2" w:rsidRPr="005045DC">
        <w:rPr>
          <w:rFonts w:asciiTheme="majorBidi" w:hAnsiTheme="majorBidi" w:cstheme="majorBidi"/>
          <w:b w:val="0"/>
        </w:rPr>
        <w:t xml:space="preserve">. </w:t>
      </w:r>
      <w:bookmarkStart w:id="39" w:name="_Hlk92745330"/>
      <w:r w:rsidR="00B92ED2" w:rsidRPr="005045DC">
        <w:rPr>
          <w:rFonts w:asciiTheme="majorBidi" w:hAnsiTheme="majorBidi" w:cstheme="majorBidi"/>
          <w:b w:val="0"/>
        </w:rPr>
        <w:t>Additionally, a mass balance equation</w:t>
      </w:r>
      <w:r w:rsidR="00B61494" w:rsidRPr="005045DC">
        <w:rPr>
          <w:rFonts w:asciiTheme="majorBidi" w:hAnsiTheme="majorBidi" w:cstheme="majorBidi"/>
          <w:b w:val="0"/>
        </w:rPr>
        <w:t xml:space="preserve"> (</w:t>
      </w:r>
      <w:r w:rsidR="00DA7BA3">
        <w:rPr>
          <w:rFonts w:asciiTheme="majorBidi" w:hAnsiTheme="majorBidi" w:cstheme="majorBidi"/>
          <w:b w:val="0"/>
        </w:rPr>
        <w:t>s</w:t>
      </w:r>
      <w:r w:rsidR="00B61494" w:rsidRPr="005045DC">
        <w:rPr>
          <w:rFonts w:asciiTheme="majorBidi" w:hAnsiTheme="majorBidi" w:cstheme="majorBidi"/>
          <w:b w:val="0"/>
        </w:rPr>
        <w:t>upplementary information)</w:t>
      </w:r>
      <w:r w:rsidR="00B92ED2" w:rsidRPr="005045DC">
        <w:rPr>
          <w:rFonts w:asciiTheme="majorBidi" w:hAnsiTheme="majorBidi" w:cstheme="majorBidi"/>
          <w:b w:val="0"/>
        </w:rPr>
        <w:t xml:space="preserve"> using the relative abundance and isotopic composition</w:t>
      </w:r>
      <w:r w:rsidR="00B61494" w:rsidRPr="005045DC">
        <w:rPr>
          <w:rFonts w:asciiTheme="majorBidi" w:hAnsiTheme="majorBidi" w:cstheme="majorBidi"/>
          <w:b w:val="0"/>
        </w:rPr>
        <w:t>s</w:t>
      </w:r>
      <w:r w:rsidR="00B92ED2" w:rsidRPr="005045DC">
        <w:rPr>
          <w:rFonts w:asciiTheme="majorBidi" w:hAnsiTheme="majorBidi" w:cstheme="majorBidi"/>
          <w:b w:val="0"/>
        </w:rPr>
        <w:t xml:space="preserve"> of </w:t>
      </w:r>
      <w:r w:rsidR="00B61494" w:rsidRPr="005045DC">
        <w:rPr>
          <w:rFonts w:asciiTheme="majorBidi" w:hAnsiTheme="majorBidi" w:cstheme="majorBidi"/>
          <w:b w:val="0"/>
        </w:rPr>
        <w:t xml:space="preserve">pristane, phytane and </w:t>
      </w:r>
      <w:r w:rsidR="00B61494" w:rsidRPr="005045DC">
        <w:rPr>
          <w:rFonts w:asciiTheme="majorBidi" w:hAnsiTheme="majorBidi" w:cstheme="majorBidi"/>
          <w:b w:val="0"/>
          <w:i/>
          <w:iCs/>
        </w:rPr>
        <w:t>n</w:t>
      </w:r>
      <w:r w:rsidR="00B61494" w:rsidRPr="005045DC">
        <w:rPr>
          <w:rFonts w:asciiTheme="majorBidi" w:hAnsiTheme="majorBidi" w:cstheme="majorBidi"/>
          <w:b w:val="0"/>
        </w:rPr>
        <w:t>-C</w:t>
      </w:r>
      <w:r w:rsidR="00B61494" w:rsidRPr="005045DC">
        <w:rPr>
          <w:rFonts w:asciiTheme="majorBidi" w:hAnsiTheme="majorBidi" w:cstheme="majorBidi"/>
          <w:b w:val="0"/>
          <w:vertAlign w:val="subscript"/>
        </w:rPr>
        <w:t>17, 18, 19, 27, 2</w:t>
      </w:r>
      <w:r w:rsidR="00191467" w:rsidRPr="005045DC">
        <w:rPr>
          <w:rFonts w:asciiTheme="majorBidi" w:hAnsiTheme="majorBidi" w:cstheme="majorBidi"/>
          <w:b w:val="0"/>
          <w:vertAlign w:val="subscript"/>
        </w:rPr>
        <w:t>9</w:t>
      </w:r>
      <w:r w:rsidR="00B61494" w:rsidRPr="005045DC">
        <w:rPr>
          <w:rFonts w:asciiTheme="majorBidi" w:hAnsiTheme="majorBidi" w:cstheme="majorBidi"/>
          <w:b w:val="0"/>
          <w:vertAlign w:val="subscript"/>
        </w:rPr>
        <w:t xml:space="preserve">, </w:t>
      </w:r>
      <w:r w:rsidR="00191467" w:rsidRPr="005045DC">
        <w:rPr>
          <w:rFonts w:asciiTheme="majorBidi" w:hAnsiTheme="majorBidi" w:cstheme="majorBidi"/>
          <w:b w:val="0"/>
          <w:vertAlign w:val="subscript"/>
        </w:rPr>
        <w:t>31</w:t>
      </w:r>
      <w:r w:rsidR="00B61494" w:rsidRPr="005045DC">
        <w:rPr>
          <w:rFonts w:asciiTheme="majorBidi" w:hAnsiTheme="majorBidi" w:cstheme="majorBidi"/>
          <w:b w:val="0"/>
        </w:rPr>
        <w:t xml:space="preserve"> generally show more depleted</w:t>
      </w:r>
      <w:r w:rsidR="00191467" w:rsidRPr="005045DC">
        <w:rPr>
          <w:rFonts w:asciiTheme="majorBidi" w:hAnsiTheme="majorBidi" w:cstheme="majorBidi"/>
          <w:b w:val="0"/>
        </w:rPr>
        <w:t xml:space="preserve"> </w:t>
      </w:r>
      <w:r w:rsidR="00191467" w:rsidRPr="005045DC">
        <w:rPr>
          <w:rFonts w:ascii="Symbol" w:hAnsi="Symbol" w:cstheme="majorBidi"/>
          <w:b w:val="0"/>
        </w:rPr>
        <w:t></w:t>
      </w:r>
      <w:r w:rsidR="00191467" w:rsidRPr="005045DC">
        <w:rPr>
          <w:rFonts w:asciiTheme="majorBidi" w:hAnsiTheme="majorBidi" w:cstheme="majorBidi"/>
          <w:b w:val="0"/>
          <w:vertAlign w:val="superscript"/>
        </w:rPr>
        <w:t>13</w:t>
      </w:r>
      <w:r w:rsidR="00191467" w:rsidRPr="005045DC">
        <w:rPr>
          <w:rFonts w:asciiTheme="majorBidi" w:hAnsiTheme="majorBidi" w:cstheme="majorBidi"/>
          <w:b w:val="0"/>
        </w:rPr>
        <w:t>C</w:t>
      </w:r>
      <w:r w:rsidR="00B61494" w:rsidRPr="005045DC">
        <w:rPr>
          <w:rFonts w:asciiTheme="majorBidi" w:hAnsiTheme="majorBidi" w:cstheme="majorBidi"/>
          <w:b w:val="0"/>
        </w:rPr>
        <w:t xml:space="preserve"> </w:t>
      </w:r>
      <w:r w:rsidR="00191467" w:rsidRPr="005045DC">
        <w:rPr>
          <w:rFonts w:asciiTheme="majorBidi" w:hAnsiTheme="majorBidi" w:cstheme="majorBidi"/>
          <w:b w:val="0"/>
        </w:rPr>
        <w:t xml:space="preserve">values </w:t>
      </w:r>
      <w:r w:rsidR="00B61494" w:rsidRPr="005045DC">
        <w:rPr>
          <w:rFonts w:asciiTheme="majorBidi" w:hAnsiTheme="majorBidi" w:cstheme="majorBidi"/>
          <w:b w:val="0"/>
        </w:rPr>
        <w:t xml:space="preserve">in the precursor CIE (Fig. </w:t>
      </w:r>
      <w:r w:rsidR="00191467" w:rsidRPr="005045DC">
        <w:rPr>
          <w:rFonts w:asciiTheme="majorBidi" w:hAnsiTheme="majorBidi" w:cstheme="majorBidi"/>
          <w:b w:val="0"/>
        </w:rPr>
        <w:t>4</w:t>
      </w:r>
      <w:r w:rsidR="00B61494" w:rsidRPr="005045DC">
        <w:rPr>
          <w:rFonts w:asciiTheme="majorBidi" w:hAnsiTheme="majorBidi" w:cstheme="majorBidi"/>
          <w:b w:val="0"/>
        </w:rPr>
        <w:t>)</w:t>
      </w:r>
      <w:r w:rsidR="00B92ED2" w:rsidRPr="005045DC">
        <w:rPr>
          <w:rFonts w:asciiTheme="majorBidi" w:hAnsiTheme="majorBidi" w:cstheme="majorBidi"/>
          <w:b w:val="0"/>
        </w:rPr>
        <w:t>.</w:t>
      </w:r>
      <w:bookmarkEnd w:id="39"/>
      <w:r w:rsidR="00B92ED2" w:rsidRPr="005045DC">
        <w:rPr>
          <w:rFonts w:asciiTheme="majorBidi" w:hAnsiTheme="majorBidi" w:cstheme="majorBidi"/>
          <w:b w:val="0"/>
        </w:rPr>
        <w:t xml:space="preserve"> These data</w:t>
      </w:r>
      <w:r w:rsidR="00CE4F0B" w:rsidRPr="005045DC">
        <w:rPr>
          <w:rFonts w:asciiTheme="majorBidi" w:hAnsiTheme="majorBidi" w:cstheme="majorBidi"/>
          <w:b w:val="0"/>
        </w:rPr>
        <w:t xml:space="preserve"> support greater input of isotopically light</w:t>
      </w:r>
      <w:r w:rsidR="00B92ED2" w:rsidRPr="005045DC">
        <w:rPr>
          <w:rFonts w:asciiTheme="majorBidi" w:hAnsiTheme="majorBidi" w:cstheme="majorBidi"/>
          <w:b w:val="0"/>
        </w:rPr>
        <w:t xml:space="preserve"> land</w:t>
      </w:r>
      <w:r w:rsidR="00CE4F0B" w:rsidRPr="005045DC">
        <w:rPr>
          <w:rFonts w:asciiTheme="majorBidi" w:hAnsiTheme="majorBidi" w:cstheme="majorBidi"/>
          <w:b w:val="0"/>
        </w:rPr>
        <w:t xml:space="preserve"> </w:t>
      </w:r>
      <w:r w:rsidR="00CE4F0B" w:rsidRPr="00984A4D">
        <w:rPr>
          <w:rFonts w:asciiTheme="majorBidi" w:hAnsiTheme="majorBidi" w:cstheme="majorBidi"/>
          <w:b w:val="0"/>
        </w:rPr>
        <w:t>plant material to the sedimentary record</w:t>
      </w:r>
      <w:r w:rsidR="00B92ED2" w:rsidRPr="00984A4D">
        <w:rPr>
          <w:rFonts w:asciiTheme="majorBidi" w:hAnsiTheme="majorBidi" w:cstheme="majorBidi"/>
          <w:b w:val="0"/>
        </w:rPr>
        <w:t xml:space="preserve"> driving the precursor CIE</w:t>
      </w:r>
      <w:r w:rsidR="00B61494" w:rsidRPr="00984A4D">
        <w:rPr>
          <w:rFonts w:asciiTheme="majorBidi" w:hAnsiTheme="majorBidi" w:cstheme="majorBidi"/>
          <w:b w:val="0"/>
        </w:rPr>
        <w:t>.</w:t>
      </w:r>
    </w:p>
    <w:p w14:paraId="148A9528" w14:textId="596B99C5" w:rsidR="004E3836" w:rsidRDefault="00CB5BDA" w:rsidP="003771E3">
      <w:pPr>
        <w:pStyle w:val="Head2"/>
        <w:spacing w:line="480" w:lineRule="auto"/>
        <w:ind w:firstLine="720"/>
        <w:jc w:val="both"/>
        <w:rPr>
          <w:b w:val="0"/>
        </w:rPr>
      </w:pPr>
      <w:r>
        <w:rPr>
          <w:b w:val="0"/>
        </w:rPr>
        <w:t>The</w:t>
      </w:r>
      <w:r w:rsidR="004E1A53">
        <w:rPr>
          <w:b w:val="0"/>
        </w:rPr>
        <w:t xml:space="preserve"> increased</w:t>
      </w:r>
      <w:r w:rsidR="00191467">
        <w:rPr>
          <w:b w:val="0"/>
        </w:rPr>
        <w:t xml:space="preserve"> retene concentrations in the</w:t>
      </w:r>
      <w:r w:rsidR="00916F27">
        <w:rPr>
          <w:b w:val="0"/>
        </w:rPr>
        <w:t xml:space="preserve"> </w:t>
      </w:r>
      <w:r w:rsidR="008D37FD">
        <w:rPr>
          <w:b w:val="0"/>
        </w:rPr>
        <w:t>precursor CIE</w:t>
      </w:r>
      <w:r>
        <w:rPr>
          <w:b w:val="0"/>
        </w:rPr>
        <w:t xml:space="preserve"> </w:t>
      </w:r>
      <w:r w:rsidR="008A298A">
        <w:rPr>
          <w:b w:val="0"/>
        </w:rPr>
        <w:t>and</w:t>
      </w:r>
      <w:r w:rsidR="00916F27">
        <w:rPr>
          <w:b w:val="0"/>
        </w:rPr>
        <w:t xml:space="preserve"> the</w:t>
      </w:r>
      <w:r w:rsidR="00962ECC">
        <w:rPr>
          <w:b w:val="0"/>
        </w:rPr>
        <w:t xml:space="preserve"> </w:t>
      </w:r>
      <w:r w:rsidR="004E1A53">
        <w:rPr>
          <w:b w:val="0"/>
        </w:rPr>
        <w:t>cyclical fluctuations</w:t>
      </w:r>
      <w:r w:rsidR="00962ECC">
        <w:rPr>
          <w:b w:val="0"/>
        </w:rPr>
        <w:t xml:space="preserve"> </w:t>
      </w:r>
      <w:r w:rsidR="008A298A">
        <w:rPr>
          <w:b w:val="0"/>
        </w:rPr>
        <w:t xml:space="preserve">throughout </w:t>
      </w:r>
      <w:r w:rsidR="008D37FD">
        <w:rPr>
          <w:b w:val="0"/>
        </w:rPr>
        <w:t xml:space="preserve">the </w:t>
      </w:r>
      <w:r w:rsidR="00B906AA">
        <w:rPr>
          <w:b w:val="0"/>
        </w:rPr>
        <w:t>remaining</w:t>
      </w:r>
      <w:r w:rsidR="008D37FD">
        <w:rPr>
          <w:b w:val="0"/>
        </w:rPr>
        <w:t xml:space="preserve"> </w:t>
      </w:r>
      <w:r w:rsidR="008A298A">
        <w:rPr>
          <w:b w:val="0"/>
        </w:rPr>
        <w:t>Westbury Formation</w:t>
      </w:r>
      <w:r w:rsidR="00C76E49">
        <w:rPr>
          <w:b w:val="0"/>
        </w:rPr>
        <w:t xml:space="preserve"> </w:t>
      </w:r>
      <w:r w:rsidR="0051777A">
        <w:rPr>
          <w:b w:val="0"/>
        </w:rPr>
        <w:t xml:space="preserve">are also observed in </w:t>
      </w:r>
      <w:r w:rsidR="005050F1">
        <w:rPr>
          <w:b w:val="0"/>
        </w:rPr>
        <w:t>the</w:t>
      </w:r>
      <w:r w:rsidR="00F34A1F">
        <w:rPr>
          <w:b w:val="0"/>
        </w:rPr>
        <w:t xml:space="preserve"> </w:t>
      </w:r>
      <w:r w:rsidR="00F34A1F" w:rsidRPr="0070044E">
        <w:rPr>
          <w:b w:val="0"/>
          <w:bCs/>
        </w:rPr>
        <w:t>∑</w:t>
      </w:r>
      <w:proofErr w:type="spellStart"/>
      <w:r w:rsidR="00F34A1F" w:rsidRPr="0070044E">
        <w:rPr>
          <w:b w:val="0"/>
          <w:bCs/>
        </w:rPr>
        <w:t>pyPAH</w:t>
      </w:r>
      <w:proofErr w:type="spellEnd"/>
      <w:r w:rsidR="005050F1" w:rsidRPr="00F34A1F">
        <w:rPr>
          <w:b w:val="0"/>
        </w:rPr>
        <w:t xml:space="preserve"> </w:t>
      </w:r>
      <w:r w:rsidR="00F34A1F">
        <w:rPr>
          <w:b w:val="0"/>
        </w:rPr>
        <w:t xml:space="preserve">profiles </w:t>
      </w:r>
      <w:r w:rsidR="005050F1" w:rsidRPr="008A298A">
        <w:rPr>
          <w:b w:val="0"/>
        </w:rPr>
        <w:t xml:space="preserve">and the </w:t>
      </w:r>
      <w:r w:rsidR="000F46D3">
        <w:rPr>
          <w:b w:val="0"/>
        </w:rPr>
        <w:t>LMW</w:t>
      </w:r>
      <w:r w:rsidR="005050F1" w:rsidRPr="008A298A">
        <w:rPr>
          <w:b w:val="0"/>
        </w:rPr>
        <w:t xml:space="preserve"> PAHs </w:t>
      </w:r>
      <w:r w:rsidR="00916F27">
        <w:rPr>
          <w:b w:val="0"/>
        </w:rPr>
        <w:t>dibenzothiophene (DBT</w:t>
      </w:r>
      <w:r w:rsidR="008A298A" w:rsidRPr="008A298A">
        <w:rPr>
          <w:b w:val="0"/>
        </w:rPr>
        <w:t>) and dibenzofuran (DBF)</w:t>
      </w:r>
      <w:r w:rsidR="005138A6">
        <w:rPr>
          <w:b w:val="0"/>
        </w:rPr>
        <w:t xml:space="preserve"> (Fig. 3)</w:t>
      </w:r>
      <w:r w:rsidR="008A298A">
        <w:rPr>
          <w:b w:val="0"/>
        </w:rPr>
        <w:t xml:space="preserve">. The good correlation </w:t>
      </w:r>
      <w:r w:rsidR="00CA2D69" w:rsidRPr="004E1A53">
        <w:rPr>
          <w:b w:val="0"/>
        </w:rPr>
        <w:t>(r</w:t>
      </w:r>
      <w:r w:rsidR="00CA2D69" w:rsidRPr="004E1A53">
        <w:rPr>
          <w:b w:val="0"/>
          <w:vertAlign w:val="superscript"/>
        </w:rPr>
        <w:t>2</w:t>
      </w:r>
      <w:r w:rsidR="00CA2D69" w:rsidRPr="004E1A53">
        <w:rPr>
          <w:b w:val="0"/>
        </w:rPr>
        <w:t xml:space="preserve"> = 0.</w:t>
      </w:r>
      <w:r w:rsidR="00966969">
        <w:rPr>
          <w:b w:val="0"/>
        </w:rPr>
        <w:t>77</w:t>
      </w:r>
      <w:r w:rsidR="00CA2D69" w:rsidRPr="004E1A53">
        <w:rPr>
          <w:b w:val="0"/>
        </w:rPr>
        <w:t>)</w:t>
      </w:r>
      <w:r w:rsidR="00CA2D69">
        <w:rPr>
          <w:b w:val="0"/>
        </w:rPr>
        <w:t xml:space="preserve"> </w:t>
      </w:r>
      <w:r w:rsidR="004E1A53" w:rsidRPr="004E1A53">
        <w:rPr>
          <w:b w:val="0"/>
        </w:rPr>
        <w:t xml:space="preserve">between </w:t>
      </w:r>
      <w:r w:rsidR="00F34A1F" w:rsidRPr="0070044E">
        <w:rPr>
          <w:b w:val="0"/>
          <w:bCs/>
        </w:rPr>
        <w:t>∑</w:t>
      </w:r>
      <w:proofErr w:type="spellStart"/>
      <w:r w:rsidR="00F34A1F" w:rsidRPr="0070044E">
        <w:rPr>
          <w:b w:val="0"/>
          <w:bCs/>
        </w:rPr>
        <w:t>pyPAH</w:t>
      </w:r>
      <w:proofErr w:type="spellEnd"/>
      <w:r w:rsidR="004E1A53" w:rsidRPr="002B6C9A">
        <w:rPr>
          <w:b w:val="0"/>
          <w:bCs/>
        </w:rPr>
        <w:t xml:space="preserve"> </w:t>
      </w:r>
      <w:r w:rsidR="004E1A53">
        <w:rPr>
          <w:b w:val="0"/>
        </w:rPr>
        <w:t>and</w:t>
      </w:r>
      <w:r w:rsidR="00916F27">
        <w:rPr>
          <w:b w:val="0"/>
        </w:rPr>
        <w:t xml:space="preserve"> total</w:t>
      </w:r>
      <w:r w:rsidR="000D0862">
        <w:rPr>
          <w:b w:val="0"/>
        </w:rPr>
        <w:t xml:space="preserve"> concentrations of</w:t>
      </w:r>
      <w:r w:rsidR="004E1A53" w:rsidRPr="004E1A53">
        <w:rPr>
          <w:b w:val="0"/>
        </w:rPr>
        <w:t xml:space="preserve"> DBT</w:t>
      </w:r>
      <w:r w:rsidR="000D0862">
        <w:rPr>
          <w:b w:val="0"/>
        </w:rPr>
        <w:t>,</w:t>
      </w:r>
      <w:r w:rsidR="004E1A53" w:rsidRPr="004E1A53">
        <w:rPr>
          <w:b w:val="0"/>
        </w:rPr>
        <w:t xml:space="preserve"> DBF</w:t>
      </w:r>
      <w:r w:rsidR="000D0862">
        <w:rPr>
          <w:b w:val="0"/>
        </w:rPr>
        <w:t xml:space="preserve"> and their methylated homologues</w:t>
      </w:r>
      <w:r w:rsidR="004E1A53">
        <w:rPr>
          <w:b w:val="0"/>
        </w:rPr>
        <w:t xml:space="preserve"> </w:t>
      </w:r>
      <w:r w:rsidR="004E1A53" w:rsidRPr="004E1A53">
        <w:rPr>
          <w:b w:val="0"/>
        </w:rPr>
        <w:t xml:space="preserve">throughout the Westbury </w:t>
      </w:r>
      <w:r w:rsidR="000E2F22">
        <w:rPr>
          <w:b w:val="0"/>
        </w:rPr>
        <w:t xml:space="preserve">Formation </w:t>
      </w:r>
      <w:r w:rsidR="004E1A53" w:rsidRPr="004E1A53">
        <w:rPr>
          <w:b w:val="0"/>
        </w:rPr>
        <w:t>supp</w:t>
      </w:r>
      <w:r w:rsidR="008D37FD">
        <w:rPr>
          <w:b w:val="0"/>
        </w:rPr>
        <w:t>orts a common source o</w:t>
      </w:r>
      <w:r w:rsidR="00C76E49">
        <w:rPr>
          <w:b w:val="0"/>
        </w:rPr>
        <w:t>r process</w:t>
      </w:r>
      <w:r w:rsidR="00916F27">
        <w:rPr>
          <w:b w:val="0"/>
        </w:rPr>
        <w:t xml:space="preserve"> (Fig. </w:t>
      </w:r>
      <w:r w:rsidR="00F34A1F">
        <w:rPr>
          <w:b w:val="0"/>
        </w:rPr>
        <w:t>5A</w:t>
      </w:r>
      <w:r w:rsidR="00916F27">
        <w:rPr>
          <w:b w:val="0"/>
        </w:rPr>
        <w:t>)</w:t>
      </w:r>
      <w:r w:rsidR="008D37FD" w:rsidRPr="008D37FD">
        <w:rPr>
          <w:b w:val="0"/>
        </w:rPr>
        <w:t>.</w:t>
      </w:r>
      <w:r w:rsidR="009D26BB">
        <w:rPr>
          <w:b w:val="0"/>
        </w:rPr>
        <w:t xml:space="preserve"> Here we consider the meaning of such fluctuations.</w:t>
      </w:r>
    </w:p>
    <w:p w14:paraId="224E12A2" w14:textId="10337862" w:rsidR="007771C4" w:rsidRDefault="009D26BB" w:rsidP="007771C4">
      <w:pPr>
        <w:pStyle w:val="Head2"/>
        <w:spacing w:line="480" w:lineRule="auto"/>
        <w:ind w:firstLine="720"/>
        <w:jc w:val="both"/>
        <w:rPr>
          <w:b w:val="0"/>
        </w:rPr>
      </w:pPr>
      <w:r>
        <w:rPr>
          <w:b w:val="0"/>
        </w:rPr>
        <w:t>DBT and DBF</w:t>
      </w:r>
      <w:r w:rsidR="001E0412">
        <w:rPr>
          <w:b w:val="0"/>
        </w:rPr>
        <w:t xml:space="preserve"> </w:t>
      </w:r>
      <w:r w:rsidR="001E0412" w:rsidRPr="008D37FD">
        <w:rPr>
          <w:b w:val="0"/>
        </w:rPr>
        <w:t>are argued to track enhanced input of terrestrial material by soil erosion</w:t>
      </w:r>
      <w:r w:rsidR="00432044">
        <w:rPr>
          <w:b w:val="0"/>
        </w:rPr>
        <w:t xml:space="preserve"> </w:t>
      </w:r>
      <w:r w:rsidR="00432044">
        <w:rPr>
          <w:b w:val="0"/>
        </w:rPr>
        <w:fldChar w:fldCharType="begin" w:fldLock="1"/>
      </w:r>
      <w:r w:rsidR="00E66030">
        <w:rPr>
          <w:b w:val="0"/>
        </w:rPr>
        <w:instrText>ADDIN CSL_CITATION {"citationItems":[{"id":"ITEM-1","itemData":{"DOI":"https://doi.org/10.1016/j.heliyon.2016.e00137","ISSN":"2405-8440","abstract":"The largest mass extinction of biota in the Earth’s history occurred during the Permian–Triassic transition and included two extinctions, one each at the latest Permian (first phase) and earliest Triassic (second phase). High seawater temperature in the surface water accompanied by euxinic deep-intermediate water, intrusion of the euxinic water to the surface water, a decrease in pH, and hypercapnia have been proposed as direct causes of the marine crisis. For the first-phase extinction, we here add a causal mechanism beginning from massive soil and rock erosion and leading to algal blooms, release of toxic components, asphyxiation, and oxygen-depleted nearshore bottom water that created environmental stress for nearshore marine animals. For the second-phase extinction, we show that a soil and rock erosion/algal bloom event did not occur, but culmination of anoxia–euxinia in intermediate waters did occur, spanning the second-phase extinction. We investigated sedimentary organic molecules, and the results indicated a peak of a massive soil erosion proxy followed by peaks of marine productivity proxy. Anoxic proxies of surface sediments and water occurred in the shallow nearshore sea at the eastern and western margins of the Paleotethys at the first-phase extinction horizon, but not at the second-phase extinction horizon. Our reconstruction of ocean redox structure at low latitudes indicates that a gradual increase in temperature spanning the two extinctions could have induced a gradual change from a well-mixed oxic to a stratified euxinic ocean beginning immediately prior to the first-phase extinction, followed by culmination of anoxia in nearshore surface waters and of anoxia and euxinia in the shallow-intermediate waters at the second-phase extinction over a period of approximately one million years or more. Enhanced global warming, ocean acidification, and hypercapnia could have caused the second-phase extinction approximately 60 kyr after the first-phase extinction. The causes of the first-phase extinction were not only those environmental stresses but also environmental stresses caused by the soil and rock erosion/algal bloom event.","author":[{"dropping-particle":"","family":"Kaiho","given":"Kunio","non-dropping-particle":"","parse-names":false,"suffix":""},{"dropping-particle":"","family":"Saito","given":"Ryosuke","non-dropping-particle":"","parse-names":false,"suffix":""},{"dropping-particle":"","family":"Ito","given":"Kosuke","non-dropping-particle":"","parse-names":false,"suffix":""},{"dropping-particle":"","family":"Miyaji","given":"Takashi","non-dropping-particle":"","parse-names":false,"suffix":""},{"dropping-particle":"","family":"Biswas","given":"Raman","non-dropping-particle":"","parse-names":false,"suffix":""},{"dropping-particle":"","family":"Tian","given":"Li","non-dropping-particle":"","parse-names":false,"suffix":""},{"dropping-particle":"","family":"Sano","given":"Hiroyoshi","non-dropping-particle":"","parse-names":false,"suffix":""},{"dropping-particle":"","family":"Shi","given":"Zhiqiang","non-dropping-particle":"","parse-names":false,"suffix":""},{"dropping-particle":"","family":"Takahashi","given":"Satoshi","non-dropping-particle":"","parse-names":false,"suffix":""},{"dropping-particle":"","family":"Tong","given":"Jinnan","non-dropping-particle":"","parse-names":false,"suffix":""},{"dropping-particle":"","family":"Liang","given":"Lei","non-dropping-particle":"","parse-names":false,"suffix":""},{"dropping-particle":"","family":"Oba","given":"Masahiro","non-dropping-particle":"","parse-names":false,"suffix":""},{"dropping-particle":"","family":"Nara","given":"Fumiko W","non-dropping-particle":"","parse-names":false,"suffix":""},{"dropping-particle":"","family":"Tsuchiya","given":"Noriyoshi","non-dropping-particle":"","parse-names":false,"suffix":""},{"dropping-particle":"","family":"Chen","given":"Zhong-Qiang","non-dropping-particle":"","parse-names":false,"suffix":""}],"container-title":"Heliyon","id":"ITEM-1","issue":"8","issued":{"date-parts":[["2016"]]},"page":"e00137","title":"Effects of soil erosion and anoxic–euxinic ocean in the Permian–Triassic marine crisis","type":"article-journal","volume":"2"},"uris":["http://www.mendeley.com/documents/?uuid=d87ee13b-7824-4671-bbb2-eba13c5a999f"]},{"id":"ITEM-2","itemData":{"DOI":"10.1130/G21784.1","ISSN":"0091-7613","abstract":"Organic geochemical analyses of sedimentary organic matter from a marine Permian-Triassic transition sequence in northeastern Italy reveal a significant influx of land-derived diagenetic products of polysaccharides. This unique event reflects massive soil erosion resulting from destruction of land vegetation due to volcanogenic disturbance of atmospheric chemistry. The excessive supply of soil materials to the oceans provides a direct link between terrestrial and marine ecological crises, suggesting that ecosystem collapse on land could have contributed to the end-Permian marine extinctions.","author":[{"dropping-particle":"","family":"Sephton","given":"Mark A","non-dropping-particle":"","parse-names":false,"suffix":""},{"dropping-particle":"V","family":"Looy","given":"Cindy","non-dropping-particle":"","parse-names":false,"suffix":""},{"dropping-particle":"","family":"Brinkhuis","given":"Henk","non-dropping-particle":"","parse-names":false,"suffix":""},{"dropping-particle":"","family":"Wignall","given":"Paul B","non-dropping-particle":"","parse-names":false,"suffix":""},{"dropping-particle":"","family":"Leeuw","given":"Jan W","non-dropping-particle":"de","parse-names":false,"suffix":""},{"dropping-particle":"","family":"Visscher","given":"Henk","non-dropping-particle":"","parse-names":false,"suffix":""}],"container-title":"Geology","id":"ITEM-2","issue":"12","issued":{"date-parts":[["2005","12","1"]]},"page":"941-944","title":"Catastrophic soil erosion during the end-Permian biotic crisis","type":"article-journal","volume":"33"},"uris":["http://www.mendeley.com/documents/?uuid=8f3cdae2-c962-4cea-a752-179301c24b82"]},{"id":"ITEM-3","itemData":{"DOI":"https://doi.org/10.1016/j.epsl.2007.07.033","ISSN":"0012-821X","abstract":"In this study, we report on biomarker abundances through parts of the Permian/Triassic boundary (PTB) of Schuchert Dal (East Greenland) that contains rich marine faunal records and excellent terrestrial palynological records. Biomarker abundances and sulfur isotopes are used to correlate the series of events (including changes in element cycling and associated redox conditions of the ocean) surrounding the collapse of the marine and terrestrial ecosystems through this record of a major crisis of life on Earth during a mass extinction episode. The Upper Schuchert Dal Formation contains a low diversity palynological assemblage, ascribed to arborescent cordiaite–conifer–pteridosperm vegetation. Samples from this pre-collapse interval are characterised by high abundances of dibenzofuran (DBF), dibenzothiophene (DBT) and biphenyl. Since these compounds have similar base structures, and show comparable abundance curves, it is plausible that they probably derive from a common source. We propose that phenolic compounds of lignin of the woody plants present during this period could be the source for DBF, DBT and biphenyl. The redox conditions during this period of time also support the formation of DBF and DBT. Just above the extinction interval, there is a dramatic decrease in the abundances of DBF and DBT which occurs at the same time as a sudden change in the stable sulfur isotopic composition (δ34S) of pyrite, indicating a change in redox conditions from oxic to anoxic/euxinic conditions. δ34S values leading up to the extinction are highly depleted in the heavy sulfur isotope (about −40‰ vs. VCDT), whilst shortly after the extinction interval much more positive isotope values are observed (about −25‰). An inferred change in the biogeochemical sulfur cycle is supported by facies evidence from similar neighbouring sections. It is suggested that two processes are operating closely here; 1) Changes in redox conditions and 2) extinction and/or transgression accounting for the absence of woody material.","author":[{"dropping-particle":"","family":"Fenton","given":"Stephen","non-dropping-particle":"","parse-names":false,"suffix":""},{"dropping-particle":"","family":"Grice","given":"Kliti","non-dropping-particle":"","parse-names":false,"suffix":""},{"dropping-particle":"","family":"Twitchett","given":"Richard J","non-dropping-particle":"","parse-names":false,"suffix":""},{"dropping-particle":"","family":"Böttcher","given":"Michael E","non-dropping-particle":"","parse-names":false,"suffix":""},{"dropping-particle":"V","family":"Looy","given":"Cindy","non-dropping-particle":"","parse-names":false,"suffix":""},{"dropping-particle":"","family":"Nabbefeld","given":"Birgit","non-dropping-particle":"","parse-names":false,"suffix":""}],"container-title":"Earth and Planetary Science Letters","id":"ITEM-3","issue":"1","issued":{"date-parts":[["2007"]]},"page":"230-239","title":"Changes in biomarker abundances and sulfur isotopes of pyrite across the Permian–Triassic (P/Tr) Schuchert Dal section (East Greenland)","type":"article-journal","volume":"262"},"uris":["http://www.mendeley.com/documents/?uuid=3c2b2b8c-2f84-4d7d-977d-8eae873ec626"]}],"mendeley":{"formattedCitation":"(Fenton et al., 2007; Kaiho et al., 2016; Sephton et al., 2005)","plainTextFormattedCitation":"(Fenton et al., 2007; Kaiho et al., 2016; Sephton et al., 2005)","previouslyFormattedCitation":"(Fenton et al., 2007; Kaiho et al., 2016; Sephton et al., 2005)"},"properties":{"noteIndex":0},"schema":"https://github.com/citation-style-language/schema/raw/master/csl-citation.json"}</w:instrText>
      </w:r>
      <w:r w:rsidR="00432044">
        <w:rPr>
          <w:b w:val="0"/>
        </w:rPr>
        <w:fldChar w:fldCharType="separate"/>
      </w:r>
      <w:r w:rsidR="00E66030" w:rsidRPr="00E66030">
        <w:rPr>
          <w:b w:val="0"/>
          <w:noProof/>
        </w:rPr>
        <w:t>(Fenton et al., 2007; Kaiho et al., 2016; Sephton et al., 2005)</w:t>
      </w:r>
      <w:r w:rsidR="00432044">
        <w:rPr>
          <w:b w:val="0"/>
        </w:rPr>
        <w:fldChar w:fldCharType="end"/>
      </w:r>
      <w:r w:rsidR="007C14B9">
        <w:rPr>
          <w:b w:val="0"/>
        </w:rPr>
        <w:t>.</w:t>
      </w:r>
      <w:r w:rsidR="001E0412" w:rsidRPr="008D37FD">
        <w:rPr>
          <w:b w:val="0"/>
        </w:rPr>
        <w:t xml:space="preserve"> </w:t>
      </w:r>
      <w:r>
        <w:rPr>
          <w:b w:val="0"/>
        </w:rPr>
        <w:t xml:space="preserve">Additionally, </w:t>
      </w:r>
      <w:r w:rsidR="0074796C">
        <w:rPr>
          <w:b w:val="0"/>
        </w:rPr>
        <w:t>DBF</w:t>
      </w:r>
      <w:r w:rsidR="00916F27">
        <w:rPr>
          <w:b w:val="0"/>
        </w:rPr>
        <w:t xml:space="preserve"> </w:t>
      </w:r>
      <w:r w:rsidR="0074796C">
        <w:rPr>
          <w:b w:val="0"/>
        </w:rPr>
        <w:t>show</w:t>
      </w:r>
      <w:r w:rsidR="007C14B9">
        <w:rPr>
          <w:b w:val="0"/>
        </w:rPr>
        <w:t>s</w:t>
      </w:r>
      <w:r w:rsidR="0074796C">
        <w:rPr>
          <w:b w:val="0"/>
        </w:rPr>
        <w:t xml:space="preserve"> ev</w:t>
      </w:r>
      <w:r w:rsidR="0049798A">
        <w:rPr>
          <w:b w:val="0"/>
        </w:rPr>
        <w:t>idence for a terrestrial origin</w:t>
      </w:r>
      <w:r w:rsidR="0074796C">
        <w:rPr>
          <w:b w:val="0"/>
        </w:rPr>
        <w:t xml:space="preserve"> </w:t>
      </w:r>
      <w:r w:rsidR="0074796C" w:rsidRPr="008D37FD">
        <w:rPr>
          <w:b w:val="0"/>
        </w:rPr>
        <w:t>form</w:t>
      </w:r>
      <w:r w:rsidR="0074796C">
        <w:rPr>
          <w:b w:val="0"/>
        </w:rPr>
        <w:t>ing</w:t>
      </w:r>
      <w:r w:rsidR="0074796C" w:rsidRPr="008D37FD">
        <w:rPr>
          <w:b w:val="0"/>
        </w:rPr>
        <w:t xml:space="preserve"> by dehydration (biodegradation) of cellulose indicating the presence of polysaccharides in organic matter</w:t>
      </w:r>
      <w:r w:rsidR="00EE6CF6">
        <w:rPr>
          <w:b w:val="0"/>
        </w:rPr>
        <w:t xml:space="preserve"> </w:t>
      </w:r>
      <w:r w:rsidR="00F51267">
        <w:rPr>
          <w:b w:val="0"/>
        </w:rPr>
        <w:fldChar w:fldCharType="begin" w:fldLock="1"/>
      </w:r>
      <w:r w:rsidR="00281B7B">
        <w:rPr>
          <w:b w:val="0"/>
        </w:rPr>
        <w:instrText>ADDIN CSL_CITATION {"citationItems":[{"id":"ITEM-1","itemData":{"DOI":"10.1130/G21784.1","ISSN":"0091-7613","abstract":"Organic geochemical analyses of sedimentary organic matter from a marine Permian-Triassic transition sequence in northeastern Italy reveal a significant influx of land-derived diagenetic products of polysaccharides. This unique event reflects massive soil erosion resulting from destruction of land vegetation due to volcanogenic disturbance of atmospheric chemistry. The excessive supply of soil materials to the oceans provides a direct link between terrestrial and marine ecological crises, suggesting that ecosystem collapse on land could have contributed to the end-Permian marine extinctions.","author":[{"dropping-particle":"","family":"Sephton","given":"Mark A","non-dropping-particle":"","parse-names":false,"suffix":""},{"dropping-particle":"V","family":"Looy","given":"Cindy","non-dropping-particle":"","parse-names":false,"suffix":""},{"dropping-particle":"","family":"Brinkhuis","given":"Henk","non-dropping-particle":"","parse-names":false,"suffix":""},{"dropping-particle":"","family":"Wignall","given":"Paul B","non-dropping-particle":"","parse-names":false,"suffix":""},{"dropping-particle":"","family":"Leeuw","given":"Jan W","non-dropping-particle":"de","parse-names":false,"suffix":""},{"dropping-particle":"","family":"Visscher","given":"Henk","non-dropping-particle":"","parse-names":false,"suffix":""}],"container-title":"Geology","id":"ITEM-1","issue":"12","issued":{"date-parts":[["2005","12","1"]]},"page":"941-944","title":"Catastrophic soil erosion during the end-Permian biotic crisis","type":"article-journal","volume":"33"},"uris":["http://www.mendeley.com/documents/?uuid=8f3cdae2-c962-4cea-a752-179301c24b82"]}],"mendeley":{"formattedCitation":"(Sephton et al., 2005)","manualFormatting":"(Sephton et al., 2005 and refs therein)","plainTextFormattedCitation":"(Sephton et al., 2005)","previouslyFormattedCitation":"(Sephton et al., 2005)"},"properties":{"noteIndex":0},"schema":"https://github.com/citation-style-language/schema/raw/master/csl-citation.json"}</w:instrText>
      </w:r>
      <w:r w:rsidR="00F51267">
        <w:rPr>
          <w:b w:val="0"/>
        </w:rPr>
        <w:fldChar w:fldCharType="separate"/>
      </w:r>
      <w:r w:rsidR="00F51267" w:rsidRPr="00F51267">
        <w:rPr>
          <w:b w:val="0"/>
          <w:noProof/>
        </w:rPr>
        <w:t>(Sephton et al., 2005</w:t>
      </w:r>
      <w:r w:rsidR="00F51267">
        <w:rPr>
          <w:b w:val="0"/>
          <w:noProof/>
        </w:rPr>
        <w:t xml:space="preserve"> and </w:t>
      </w:r>
      <w:r w:rsidR="00A94770">
        <w:rPr>
          <w:b w:val="0"/>
          <w:noProof/>
        </w:rPr>
        <w:t xml:space="preserve">refs </w:t>
      </w:r>
      <w:r w:rsidR="00F51267">
        <w:rPr>
          <w:b w:val="0"/>
          <w:noProof/>
        </w:rPr>
        <w:t>therein</w:t>
      </w:r>
      <w:r w:rsidR="00F51267" w:rsidRPr="00F51267">
        <w:rPr>
          <w:b w:val="0"/>
          <w:noProof/>
        </w:rPr>
        <w:t>)</w:t>
      </w:r>
      <w:r w:rsidR="00F51267">
        <w:rPr>
          <w:b w:val="0"/>
        </w:rPr>
        <w:fldChar w:fldCharType="end"/>
      </w:r>
      <w:r w:rsidR="00D711A7">
        <w:rPr>
          <w:b w:val="0"/>
        </w:rPr>
        <w:t xml:space="preserve"> and DBT and DBF are </w:t>
      </w:r>
      <w:r w:rsidR="00D711A7">
        <w:rPr>
          <w:b w:val="0"/>
        </w:rPr>
        <w:lastRenderedPageBreak/>
        <w:t xml:space="preserve">proposed to have a common lignin source </w:t>
      </w:r>
      <w:r w:rsidR="00D711A7">
        <w:rPr>
          <w:b w:val="0"/>
        </w:rPr>
        <w:fldChar w:fldCharType="begin" w:fldLock="1"/>
      </w:r>
      <w:r w:rsidR="00281B7B">
        <w:rPr>
          <w:b w:val="0"/>
        </w:rPr>
        <w:instrText>ADDIN CSL_CITATION {"citationItems":[{"id":"ITEM-1","itemData":{"DOI":"https://doi.org/10.1016/j.epsl.2007.07.033","ISSN":"0012-821X","abstract":"In this study, we report on biomarker abundances through parts of the Permian/Triassic boundary (PTB) of Schuchert Dal (East Greenland) that contains rich marine faunal records and excellent terrestrial palynological records. Biomarker abundances and sulfur isotopes are used to correlate the series of events (including changes in element cycling and associated redox conditions of the ocean) surrounding the collapse of the marine and terrestrial ecosystems through this record of a major crisis of life on Earth during a mass extinction episode. The Upper Schuchert Dal Formation contains a low diversity palynological assemblage, ascribed to arborescent cordiaite–conifer–pteridosperm vegetation. Samples from this pre-collapse interval are characterised by high abundances of dibenzofuran (DBF), dibenzothiophene (DBT) and biphenyl. Since these compounds have similar base structures, and show comparable abundance curves, it is plausible that they probably derive from a common source. We propose that phenolic compounds of lignin of the woody plants present during this period could be the source for DBF, DBT and biphenyl. The redox conditions during this period of time also support the formation of DBF and DBT. Just above the extinction interval, there is a dramatic decrease in the abundances of DBF and DBT which occurs at the same time as a sudden change in the stable sulfur isotopic composition (δ34S) of pyrite, indicating a change in redox conditions from oxic to anoxic/euxinic conditions. δ34S values leading up to the extinction are highly depleted in the heavy sulfur isotope (about −40‰ vs. VCDT), whilst shortly after the extinction interval much more positive isotope values are observed (about −25‰). An inferred change in the biogeochemical sulfur cycle is supported by facies evidence from similar neighbouring sections. It is suggested that two processes are operating closely here; 1) Changes in redox conditions and 2) extinction and/or transgression accounting for the absence of woody material.","author":[{"dropping-particle":"","family":"Fenton","given":"Stephen","non-dropping-particle":"","parse-names":false,"suffix":""},{"dropping-particle":"","family":"Grice","given":"Kliti","non-dropping-particle":"","parse-names":false,"suffix":""},{"dropping-particle":"","family":"Twitchett","given":"Richard J","non-dropping-particle":"","parse-names":false,"suffix":""},{"dropping-particle":"","family":"Böttcher","given":"Michael E","non-dropping-particle":"","parse-names":false,"suffix":""},{"dropping-particle":"V","family":"Looy","given":"Cindy","non-dropping-particle":"","parse-names":false,"suffix":""},{"dropping-particle":"","family":"Nabbefeld","given":"Birgit","non-dropping-particle":"","parse-names":false,"suffix":""}],"container-title":"Earth and Planetary Science Letters","id":"ITEM-1","issue":"1","issued":{"date-parts":[["2007"]]},"page":"230-239","title":"Changes in biomarker abundances and sulfur isotopes of pyrite across the Permian–Triassic (P/Tr) Schuchert Dal section (East Greenland)","type":"article-journal","volume":"262"},"uris":["http://www.mendeley.com/documents/?uuid=3c2b2b8c-2f84-4d7d-977d-8eae873ec626"]}],"mendeley":{"formattedCitation":"(Fenton et al., 2007)","manualFormatting":"(Fenton et al., 2007 and refs therein)","plainTextFormattedCitation":"(Fenton et al., 2007)","previouslyFormattedCitation":"(Fenton et al., 2007)"},"properties":{"noteIndex":0},"schema":"https://github.com/citation-style-language/schema/raw/master/csl-citation.json"}</w:instrText>
      </w:r>
      <w:r w:rsidR="00D711A7">
        <w:rPr>
          <w:b w:val="0"/>
        </w:rPr>
        <w:fldChar w:fldCharType="separate"/>
      </w:r>
      <w:r w:rsidR="00D711A7" w:rsidRPr="00D711A7">
        <w:rPr>
          <w:b w:val="0"/>
          <w:noProof/>
        </w:rPr>
        <w:t>(Fenton et al., 2007</w:t>
      </w:r>
      <w:r w:rsidR="00AE1C2F">
        <w:rPr>
          <w:b w:val="0"/>
          <w:noProof/>
        </w:rPr>
        <w:t xml:space="preserve"> and refs therein</w:t>
      </w:r>
      <w:r w:rsidR="00D711A7" w:rsidRPr="00D711A7">
        <w:rPr>
          <w:b w:val="0"/>
          <w:noProof/>
        </w:rPr>
        <w:t>)</w:t>
      </w:r>
      <w:r w:rsidR="00D711A7">
        <w:rPr>
          <w:b w:val="0"/>
        </w:rPr>
        <w:fldChar w:fldCharType="end"/>
      </w:r>
      <w:r w:rsidR="00A76A8B">
        <w:rPr>
          <w:b w:val="0"/>
        </w:rPr>
        <w:t>. These data</w:t>
      </w:r>
      <w:r w:rsidR="0049798A">
        <w:rPr>
          <w:b w:val="0"/>
        </w:rPr>
        <w:t xml:space="preserve"> suggest cyclical inputs of terrestrial material to the marine</w:t>
      </w:r>
      <w:r w:rsidR="00916F27">
        <w:rPr>
          <w:b w:val="0"/>
        </w:rPr>
        <w:t xml:space="preserve"> realm</w:t>
      </w:r>
      <w:r w:rsidR="00A76A8B">
        <w:rPr>
          <w:b w:val="0"/>
        </w:rPr>
        <w:t xml:space="preserve"> are responsible for</w:t>
      </w:r>
      <w:r w:rsidR="00DE18E1">
        <w:rPr>
          <w:b w:val="0"/>
        </w:rPr>
        <w:t xml:space="preserve"> the </w:t>
      </w:r>
      <w:r w:rsidR="00A76A8B">
        <w:rPr>
          <w:b w:val="0"/>
        </w:rPr>
        <w:t>DBT and DBF fluctuations</w:t>
      </w:r>
      <w:r w:rsidR="00917311">
        <w:rPr>
          <w:b w:val="0"/>
        </w:rPr>
        <w:t xml:space="preserve"> in the Westbury Formation</w:t>
      </w:r>
      <w:r w:rsidR="00916F27">
        <w:rPr>
          <w:b w:val="0"/>
        </w:rPr>
        <w:t>. M</w:t>
      </w:r>
      <w:r w:rsidR="0049798A">
        <w:rPr>
          <w:b w:val="0"/>
        </w:rPr>
        <w:t>odern studies and those</w:t>
      </w:r>
      <w:r w:rsidR="00916F27">
        <w:rPr>
          <w:b w:val="0"/>
        </w:rPr>
        <w:t xml:space="preserve"> on</w:t>
      </w:r>
      <w:r w:rsidR="0049798A">
        <w:rPr>
          <w:b w:val="0"/>
        </w:rPr>
        <w:t xml:space="preserve"> ocean anoxic events have found</w:t>
      </w:r>
      <w:r w:rsidR="00DE18E1">
        <w:rPr>
          <w:b w:val="0"/>
        </w:rPr>
        <w:t xml:space="preserve"> that</w:t>
      </w:r>
      <w:r w:rsidR="0049798A">
        <w:rPr>
          <w:b w:val="0"/>
        </w:rPr>
        <w:t xml:space="preserve"> biomass burning events are </w:t>
      </w:r>
      <w:r w:rsidR="0049798A" w:rsidRPr="0074796C">
        <w:rPr>
          <w:b w:val="0"/>
        </w:rPr>
        <w:t xml:space="preserve">associated with increased terrestrial material to the marine realm </w:t>
      </w:r>
      <w:r w:rsidR="0049798A" w:rsidRPr="005045DC">
        <w:rPr>
          <w:b w:val="0"/>
          <w:iCs/>
        </w:rPr>
        <w:t>via</w:t>
      </w:r>
      <w:r w:rsidR="0049798A" w:rsidRPr="0074796C">
        <w:rPr>
          <w:b w:val="0"/>
        </w:rPr>
        <w:t xml:space="preserve"> riverine and aerosol transport</w:t>
      </w:r>
      <w:r w:rsidR="007C14B9">
        <w:rPr>
          <w:b w:val="0"/>
        </w:rPr>
        <w:t xml:space="preserve"> </w:t>
      </w:r>
      <w:r w:rsidR="007C14B9">
        <w:rPr>
          <w:b w:val="0"/>
        </w:rPr>
        <w:fldChar w:fldCharType="begin" w:fldLock="1"/>
      </w:r>
      <w:r w:rsidR="00755B8D">
        <w:rPr>
          <w:b w:val="0"/>
        </w:rPr>
        <w:instrText>ADDIN CSL_CITATION {"citationItems":[{"id":"ITEM-1","itemData":{"DOI":"10.1038/s41561-020-0633-y","ISSN":"1752-0908","abstract":"Volcanic-driven nutrient flux to the oceans stimulated marine productivity and organic matter burial during Oceanic Anoxic Event 2 (OAE2; ~94 million years ago). While the preferential burial of 13C-depleted organic matter led to a general 13C enrichment of sediments during the event, a 2‰ 13C depletion punctuated the first half of the event (known as the Plenus), raising questions about carbon cycle feedbacks during OAE2. Here we present organic geochemical evidence (for example, pyrogenic polycyclic aromatic hydrocarbons) from the Western Interior Seaway that indicates increased forest fire frequency in the western United States during the Plenus. Carbon mass balance equations, which account for the amount and carbon isotopic composition of atmospheric CO2 and forest biomass during OAE2, potentiate fires in the western United States as part of a widespread increase in forest fires that could have alone caused the global 2‰ 13C depletion during the Plenus. Plant biomarkers suggest that local precipitation and plant type did not change significantly, indicating that elevated atmospheric oxygen levels from widespread organic carbon burial increased the frequency of fires in wet forest ecosystems that were extensive during OAE2. Plant biomarkers also indicate that forest fires amplified the flux of terrestrial organic matter and nutrients to the oceans, which may have enhanced marine productivity, organic carbon burial and the return to 13C-enriched sediments at the end of the Plenus. The extent that this feedback impacted global biogeochemistry during the Plenus and the rest of OAE2, as well as other events in Earth history, warrants further investigation.","author":[{"dropping-particle":"","family":"Boudinot","given":"F Garrett","non-dropping-particle":"","parse-names":false,"suffix":""},{"dropping-particle":"","family":"Sepúlveda","given":"Julio","non-dropping-particle":"","parse-names":false,"suffix":""}],"container-title":"Nature Geoscience","id":"ITEM-1","issue":"10","issued":{"date-parts":[["2020"]]},"page":"693-698","title":"Marine organic carbon burial increased forest fire frequency during Oceanic Anoxic Event 2","type":"article-journal","volume":"13"},"uris":["http://www.mendeley.com/documents/?uuid=9817735e-e5ce-46c9-8103-8d9a9e58677f"]}],"mendeley":{"formattedCitation":"(Boudinot and Sepúlveda, 2020)","manualFormatting":"(Boudinot and Sepúlveda, 2020 and references therein)","plainTextFormattedCitation":"(Boudinot and Sepúlveda, 2020)","previouslyFormattedCitation":"(Boudinot and Sepúlveda, 2020)"},"properties":{"noteIndex":0},"schema":"https://github.com/citation-style-language/schema/raw/master/csl-citation.json"}</w:instrText>
      </w:r>
      <w:r w:rsidR="007C14B9">
        <w:rPr>
          <w:b w:val="0"/>
        </w:rPr>
        <w:fldChar w:fldCharType="separate"/>
      </w:r>
      <w:r w:rsidR="007C14B9" w:rsidRPr="007C14B9">
        <w:rPr>
          <w:b w:val="0"/>
          <w:noProof/>
        </w:rPr>
        <w:t>(Boudinot and Sepúlveda, 2020</w:t>
      </w:r>
      <w:r w:rsidR="007C14B9">
        <w:rPr>
          <w:b w:val="0"/>
          <w:noProof/>
        </w:rPr>
        <w:t xml:space="preserve"> and </w:t>
      </w:r>
      <w:r w:rsidR="00A94770">
        <w:rPr>
          <w:b w:val="0"/>
          <w:noProof/>
        </w:rPr>
        <w:t xml:space="preserve">references </w:t>
      </w:r>
      <w:r w:rsidR="007C14B9">
        <w:rPr>
          <w:b w:val="0"/>
          <w:noProof/>
        </w:rPr>
        <w:t>therein</w:t>
      </w:r>
      <w:r w:rsidR="007C14B9" w:rsidRPr="007C14B9">
        <w:rPr>
          <w:b w:val="0"/>
          <w:noProof/>
        </w:rPr>
        <w:t>)</w:t>
      </w:r>
      <w:r w:rsidR="007C14B9">
        <w:rPr>
          <w:b w:val="0"/>
        </w:rPr>
        <w:fldChar w:fldCharType="end"/>
      </w:r>
      <w:r w:rsidR="00D853FE">
        <w:rPr>
          <w:b w:val="0"/>
        </w:rPr>
        <w:t>.</w:t>
      </w:r>
      <w:r w:rsidR="007C14B9">
        <w:rPr>
          <w:b w:val="0"/>
        </w:rPr>
        <w:t xml:space="preserve"> </w:t>
      </w:r>
      <w:r w:rsidR="00D853FE">
        <w:rPr>
          <w:b w:val="0"/>
        </w:rPr>
        <w:t xml:space="preserve">Therefore, </w:t>
      </w:r>
      <w:r w:rsidR="00A76A8B">
        <w:rPr>
          <w:b w:val="0"/>
        </w:rPr>
        <w:t xml:space="preserve">cyclical </w:t>
      </w:r>
      <w:r w:rsidR="00D853FE">
        <w:rPr>
          <w:b w:val="0"/>
        </w:rPr>
        <w:t>i</w:t>
      </w:r>
      <w:r w:rsidR="00024BDD">
        <w:rPr>
          <w:b w:val="0"/>
        </w:rPr>
        <w:t>ncreases in PAHs</w:t>
      </w:r>
      <w:r w:rsidR="00D853FE">
        <w:rPr>
          <w:b w:val="0"/>
        </w:rPr>
        <w:t xml:space="preserve"> in the Westbury </w:t>
      </w:r>
      <w:r w:rsidR="007771C4">
        <w:rPr>
          <w:b w:val="0"/>
        </w:rPr>
        <w:t>F</w:t>
      </w:r>
      <w:r w:rsidR="00D853FE">
        <w:rPr>
          <w:b w:val="0"/>
        </w:rPr>
        <w:t xml:space="preserve">ormation at St. Audrie’s Bay </w:t>
      </w:r>
      <w:r w:rsidR="00024BDD">
        <w:rPr>
          <w:b w:val="0"/>
        </w:rPr>
        <w:t>could represent fire events driving input of terrestrial material</w:t>
      </w:r>
      <w:r w:rsidR="000E678A">
        <w:rPr>
          <w:b w:val="0"/>
        </w:rPr>
        <w:t>.</w:t>
      </w:r>
      <w:r w:rsidR="007771C4">
        <w:rPr>
          <w:b w:val="0"/>
        </w:rPr>
        <w:t xml:space="preserve"> However, origins of </w:t>
      </w:r>
      <w:proofErr w:type="spellStart"/>
      <w:r w:rsidR="007771C4">
        <w:rPr>
          <w:b w:val="0"/>
        </w:rPr>
        <w:t>pyPAHs</w:t>
      </w:r>
      <w:proofErr w:type="spellEnd"/>
      <w:r w:rsidR="007771C4">
        <w:rPr>
          <w:b w:val="0"/>
        </w:rPr>
        <w:t xml:space="preserve"> must be considered.</w:t>
      </w:r>
    </w:p>
    <w:p w14:paraId="4C05F261" w14:textId="05EC064F" w:rsidR="002A63D0" w:rsidRDefault="00024BDD" w:rsidP="002977AB">
      <w:pPr>
        <w:pStyle w:val="Head2"/>
        <w:spacing w:line="480" w:lineRule="auto"/>
        <w:ind w:firstLine="720"/>
        <w:jc w:val="both"/>
        <w:rPr>
          <w:b w:val="0"/>
        </w:rPr>
      </w:pPr>
      <w:r>
        <w:rPr>
          <w:b w:val="0"/>
        </w:rPr>
        <w:t xml:space="preserve"> </w:t>
      </w:r>
      <w:r w:rsidR="000E484E">
        <w:rPr>
          <w:b w:val="0"/>
        </w:rPr>
        <w:t>PAH r</w:t>
      </w:r>
      <w:r w:rsidR="0035382B">
        <w:rPr>
          <w:b w:val="0"/>
        </w:rPr>
        <w:t>atios used in modern analogues to determine petrogenic</w:t>
      </w:r>
      <w:r w:rsidR="00380138">
        <w:rPr>
          <w:b w:val="0"/>
        </w:rPr>
        <w:t xml:space="preserve"> (i.e., </w:t>
      </w:r>
      <w:r w:rsidR="00C41DCC">
        <w:rPr>
          <w:b w:val="0"/>
        </w:rPr>
        <w:t>oil</w:t>
      </w:r>
      <w:r w:rsidR="002A63D0">
        <w:rPr>
          <w:b w:val="0"/>
        </w:rPr>
        <w:t>/coal</w:t>
      </w:r>
      <w:r w:rsidR="00C41DCC">
        <w:rPr>
          <w:b w:val="0"/>
        </w:rPr>
        <w:t>-related</w:t>
      </w:r>
      <w:r w:rsidR="00380138">
        <w:rPr>
          <w:b w:val="0"/>
        </w:rPr>
        <w:t>)</w:t>
      </w:r>
      <w:r w:rsidR="0035382B">
        <w:rPr>
          <w:b w:val="0"/>
        </w:rPr>
        <w:t xml:space="preserve"> </w:t>
      </w:r>
      <w:r w:rsidR="0035382B" w:rsidRPr="005045DC">
        <w:rPr>
          <w:b w:val="0"/>
          <w:iCs/>
        </w:rPr>
        <w:t>vs</w:t>
      </w:r>
      <w:r w:rsidR="0035382B" w:rsidRPr="005045DC">
        <w:rPr>
          <w:b w:val="0"/>
          <w:i/>
        </w:rPr>
        <w:t>.</w:t>
      </w:r>
      <w:r w:rsidR="0035382B">
        <w:rPr>
          <w:b w:val="0"/>
        </w:rPr>
        <w:t xml:space="preserve"> pyrogenic</w:t>
      </w:r>
      <w:r w:rsidR="00380138">
        <w:rPr>
          <w:b w:val="0"/>
        </w:rPr>
        <w:t xml:space="preserve"> (fire)</w:t>
      </w:r>
      <w:r w:rsidR="0035382B">
        <w:rPr>
          <w:b w:val="0"/>
        </w:rPr>
        <w:t xml:space="preserve"> origins for </w:t>
      </w:r>
      <w:proofErr w:type="spellStart"/>
      <w:r w:rsidR="009532DB">
        <w:rPr>
          <w:b w:val="0"/>
        </w:rPr>
        <w:t>py</w:t>
      </w:r>
      <w:r w:rsidR="0035382B">
        <w:rPr>
          <w:b w:val="0"/>
        </w:rPr>
        <w:t>PAHs</w:t>
      </w:r>
      <w:proofErr w:type="spellEnd"/>
      <w:r w:rsidR="0035382B">
        <w:rPr>
          <w:b w:val="0"/>
        </w:rPr>
        <w:t xml:space="preserve"> </w:t>
      </w:r>
      <w:r w:rsidR="009532DB">
        <w:rPr>
          <w:b w:val="0"/>
        </w:rPr>
        <w:t xml:space="preserve">were successfully </w:t>
      </w:r>
      <w:r w:rsidR="00C41DCC">
        <w:rPr>
          <w:b w:val="0"/>
        </w:rPr>
        <w:t xml:space="preserve">applied </w:t>
      </w:r>
      <w:r w:rsidR="00AD6AE9">
        <w:rPr>
          <w:b w:val="0"/>
        </w:rPr>
        <w:t xml:space="preserve">in </w:t>
      </w:r>
      <w:r w:rsidR="00C41DCC">
        <w:rPr>
          <w:b w:val="0"/>
        </w:rPr>
        <w:t>ancient PAH</w:t>
      </w:r>
      <w:r w:rsidR="00AD6AE9">
        <w:rPr>
          <w:b w:val="0"/>
        </w:rPr>
        <w:t xml:space="preserve"> </w:t>
      </w:r>
      <w:r w:rsidR="00C41DCC">
        <w:rPr>
          <w:b w:val="0"/>
        </w:rPr>
        <w:t>s</w:t>
      </w:r>
      <w:r w:rsidR="00AD6AE9">
        <w:rPr>
          <w:b w:val="0"/>
        </w:rPr>
        <w:t>tudies</w:t>
      </w:r>
      <w:r w:rsidR="00C41DCC">
        <w:rPr>
          <w:b w:val="0"/>
        </w:rPr>
        <w:t xml:space="preserve"> </w:t>
      </w:r>
      <w:r w:rsidR="009532DB">
        <w:rPr>
          <w:b w:val="0"/>
        </w:rPr>
        <w:t>to</w:t>
      </w:r>
      <w:r w:rsidR="00C41DCC">
        <w:rPr>
          <w:b w:val="0"/>
        </w:rPr>
        <w:t xml:space="preserve"> show </w:t>
      </w:r>
      <w:r w:rsidR="00D853FE">
        <w:rPr>
          <w:b w:val="0"/>
        </w:rPr>
        <w:t>pyrogenic</w:t>
      </w:r>
      <w:r w:rsidR="00C41DCC">
        <w:rPr>
          <w:b w:val="0"/>
        </w:rPr>
        <w:t xml:space="preserve"> </w:t>
      </w:r>
      <w:r w:rsidR="009532DB">
        <w:rPr>
          <w:b w:val="0"/>
        </w:rPr>
        <w:t>origins</w:t>
      </w:r>
      <w:r w:rsidR="00AD6AE9">
        <w:rPr>
          <w:b w:val="0"/>
        </w:rPr>
        <w:t xml:space="preserve"> for </w:t>
      </w:r>
      <w:proofErr w:type="spellStart"/>
      <w:r w:rsidR="00AD6AE9">
        <w:rPr>
          <w:b w:val="0"/>
        </w:rPr>
        <w:t>pyPAHs</w:t>
      </w:r>
      <w:proofErr w:type="spellEnd"/>
      <w:r w:rsidR="009532DB">
        <w:rPr>
          <w:b w:val="0"/>
        </w:rPr>
        <w:t xml:space="preserve"> </w:t>
      </w:r>
      <w:r w:rsidR="00C41DCC">
        <w:rPr>
          <w:b w:val="0"/>
        </w:rPr>
        <w:t>(e.g., Karp et al., 2018; Song et al., 2020).</w:t>
      </w:r>
      <w:r w:rsidR="009532DB">
        <w:rPr>
          <w:b w:val="0"/>
        </w:rPr>
        <w:t xml:space="preserve"> </w:t>
      </w:r>
      <w:r w:rsidR="000E484E">
        <w:rPr>
          <w:b w:val="0"/>
        </w:rPr>
        <w:t>These</w:t>
      </w:r>
      <w:r w:rsidR="00AD6AE9">
        <w:rPr>
          <w:b w:val="0"/>
        </w:rPr>
        <w:t xml:space="preserve"> ratios</w:t>
      </w:r>
      <w:r w:rsidR="000E484E">
        <w:rPr>
          <w:b w:val="0"/>
        </w:rPr>
        <w:t xml:space="preserve"> include phenanthrene</w:t>
      </w:r>
      <w:r w:rsidR="000E484E" w:rsidRPr="0074796C">
        <w:rPr>
          <w:b w:val="0"/>
        </w:rPr>
        <w:t xml:space="preserve"> to methylated phenanthrene isom</w:t>
      </w:r>
      <w:r w:rsidR="000E484E">
        <w:rPr>
          <w:b w:val="0"/>
        </w:rPr>
        <w:t xml:space="preserve">ers, fluoranthene/pyrene + fluoranthene, and </w:t>
      </w:r>
      <w:proofErr w:type="spellStart"/>
      <w:r w:rsidR="000E484E">
        <w:rPr>
          <w:b w:val="0"/>
        </w:rPr>
        <w:t>Indeno</w:t>
      </w:r>
      <w:proofErr w:type="spellEnd"/>
      <w:r w:rsidR="000E484E">
        <w:rPr>
          <w:b w:val="0"/>
        </w:rPr>
        <w:t>[1,2,3-cd]pyrene/benzo</w:t>
      </w:r>
      <w:r w:rsidR="00AD6AE9">
        <w:rPr>
          <w:b w:val="0"/>
        </w:rPr>
        <w:t>(</w:t>
      </w:r>
      <w:proofErr w:type="spellStart"/>
      <w:r w:rsidR="000E484E" w:rsidRPr="005045DC">
        <w:rPr>
          <w:b w:val="0"/>
          <w:i/>
          <w:iCs/>
        </w:rPr>
        <w:t>ghi</w:t>
      </w:r>
      <w:proofErr w:type="spellEnd"/>
      <w:r w:rsidR="00AD6AE9">
        <w:rPr>
          <w:b w:val="0"/>
        </w:rPr>
        <w:t>)</w:t>
      </w:r>
      <w:r w:rsidR="000E484E" w:rsidRPr="00AD6AE9">
        <w:rPr>
          <w:b w:val="0"/>
        </w:rPr>
        <w:t>perylene</w:t>
      </w:r>
      <w:r w:rsidR="000E484E">
        <w:rPr>
          <w:b w:val="0"/>
        </w:rPr>
        <w:t xml:space="preserve"> + </w:t>
      </w:r>
      <w:proofErr w:type="spellStart"/>
      <w:r w:rsidR="000E484E">
        <w:rPr>
          <w:b w:val="0"/>
        </w:rPr>
        <w:t>Indeno</w:t>
      </w:r>
      <w:proofErr w:type="spellEnd"/>
      <w:r w:rsidR="000E484E">
        <w:rPr>
          <w:b w:val="0"/>
        </w:rPr>
        <w:t>[1,2,3-cd]pyrene</w:t>
      </w:r>
      <w:r w:rsidR="00947CBE">
        <w:rPr>
          <w:b w:val="0"/>
        </w:rPr>
        <w:t xml:space="preserve"> </w:t>
      </w:r>
      <w:r w:rsidR="00947CBE">
        <w:rPr>
          <w:b w:val="0"/>
        </w:rPr>
        <w:fldChar w:fldCharType="begin" w:fldLock="1"/>
      </w:r>
      <w:r w:rsidR="00947CBE">
        <w:rPr>
          <w:b w:val="0"/>
        </w:rPr>
        <w:instrText>ADDIN CSL_CITATION {"citationItems":[{"id":"ITEM-1","itemData":{"DOI":"10.1007/978-3-319-10638-0","author":[{"dropping-particle":"","family":"Stogiannidis","given":"Efstathios","non-dropping-particle":"","parse-names":false,"suffix":""},{"dropping-particle":"","family":"Laane","given":"Remi","non-dropping-particle":"","parse-names":false,"suffix":""}],"container-title":"Reviews of Environmental Contamination and Toxicology (Vol 234)","editor":[{"dropping-particle":"","family":"Whitacre","given":"David M.","non-dropping-particle":"","parse-names":false,"suffix":""}],"id":"ITEM-1","issued":{"date-parts":[["2015"]]},"page":"49 - 133","publisher":"Springer","title":"Source Characterization of Polycyclic Aromatic Hydrocarbons by Using Their Molecular Indices: An Overview of Possibilities","type":"chapter"},"uris":["http://www.mendeley.com/documents/?uuid=6e07e20d-de2f-4089-a8b0-18bcf9770b94"]}],"mendeley":{"formattedCitation":"(Stogiannidis and Laane, 2015)","manualFormatting":"(see Stogiannidis and Laane, 2015)","plainTextFormattedCitation":"(Stogiannidis and Laane, 2015)","previouslyFormattedCitation":"(Stogiannidis and Laane, 2015)"},"properties":{"noteIndex":0},"schema":"https://github.com/citation-style-language/schema/raw/master/csl-citation.json"}</w:instrText>
      </w:r>
      <w:r w:rsidR="00947CBE">
        <w:rPr>
          <w:b w:val="0"/>
        </w:rPr>
        <w:fldChar w:fldCharType="separate"/>
      </w:r>
      <w:r w:rsidR="00947CBE" w:rsidRPr="00947CBE">
        <w:rPr>
          <w:b w:val="0"/>
          <w:noProof/>
        </w:rPr>
        <w:t>(</w:t>
      </w:r>
      <w:r w:rsidR="00947CBE">
        <w:rPr>
          <w:b w:val="0"/>
          <w:noProof/>
        </w:rPr>
        <w:t xml:space="preserve">see </w:t>
      </w:r>
      <w:r w:rsidR="00947CBE" w:rsidRPr="00947CBE">
        <w:rPr>
          <w:b w:val="0"/>
          <w:noProof/>
        </w:rPr>
        <w:t>Stogiannidis and Laane, 2015)</w:t>
      </w:r>
      <w:r w:rsidR="00947CBE">
        <w:rPr>
          <w:b w:val="0"/>
        </w:rPr>
        <w:fldChar w:fldCharType="end"/>
      </w:r>
      <w:r w:rsidR="00AD6AE9">
        <w:rPr>
          <w:b w:val="0"/>
        </w:rPr>
        <w:t>.</w:t>
      </w:r>
      <w:r w:rsidR="00C41DCC">
        <w:rPr>
          <w:b w:val="0"/>
        </w:rPr>
        <w:t xml:space="preserve"> </w:t>
      </w:r>
      <w:proofErr w:type="spellStart"/>
      <w:r w:rsidR="005138A6">
        <w:rPr>
          <w:b w:val="0"/>
        </w:rPr>
        <w:t>py</w:t>
      </w:r>
      <w:r w:rsidR="00D877F7">
        <w:rPr>
          <w:b w:val="0"/>
        </w:rPr>
        <w:t>PAHs</w:t>
      </w:r>
      <w:proofErr w:type="spellEnd"/>
      <w:r w:rsidR="00D877F7">
        <w:rPr>
          <w:b w:val="0"/>
        </w:rPr>
        <w:t xml:space="preserve"> in the </w:t>
      </w:r>
      <w:r w:rsidR="007E647E">
        <w:rPr>
          <w:b w:val="0"/>
        </w:rPr>
        <w:t xml:space="preserve">Westbury </w:t>
      </w:r>
      <w:r w:rsidR="009532DB">
        <w:rPr>
          <w:b w:val="0"/>
        </w:rPr>
        <w:t xml:space="preserve">Formation </w:t>
      </w:r>
      <w:r w:rsidR="00D877F7">
        <w:rPr>
          <w:b w:val="0"/>
        </w:rPr>
        <w:t xml:space="preserve">at St. Audrie’s Bay </w:t>
      </w:r>
      <w:r w:rsidR="00E21398">
        <w:rPr>
          <w:b w:val="0"/>
        </w:rPr>
        <w:t>mostly</w:t>
      </w:r>
      <w:r w:rsidR="00D877F7">
        <w:rPr>
          <w:b w:val="0"/>
        </w:rPr>
        <w:t xml:space="preserve"> </w:t>
      </w:r>
      <w:r w:rsidR="00C41DCC">
        <w:rPr>
          <w:b w:val="0"/>
        </w:rPr>
        <w:t>fall in</w:t>
      </w:r>
      <w:r w:rsidR="00D877F7">
        <w:rPr>
          <w:b w:val="0"/>
        </w:rPr>
        <w:t xml:space="preserve"> </w:t>
      </w:r>
      <w:r w:rsidR="00C41DCC">
        <w:rPr>
          <w:b w:val="0"/>
        </w:rPr>
        <w:t>the</w:t>
      </w:r>
      <w:r w:rsidR="00D877F7">
        <w:rPr>
          <w:b w:val="0"/>
        </w:rPr>
        <w:t xml:space="preserve"> petrogenic </w:t>
      </w:r>
      <w:r w:rsidR="00C41DCC">
        <w:rPr>
          <w:b w:val="0"/>
        </w:rPr>
        <w:t>range</w:t>
      </w:r>
      <w:r w:rsidR="00D877F7">
        <w:rPr>
          <w:b w:val="0"/>
        </w:rPr>
        <w:t xml:space="preserve"> (Fig</w:t>
      </w:r>
      <w:r w:rsidR="00A94770">
        <w:rPr>
          <w:b w:val="0"/>
        </w:rPr>
        <w:t xml:space="preserve">s. </w:t>
      </w:r>
      <w:r w:rsidR="00936169">
        <w:rPr>
          <w:b w:val="0"/>
        </w:rPr>
        <w:t>5</w:t>
      </w:r>
      <w:r w:rsidR="00165B8D">
        <w:rPr>
          <w:b w:val="0"/>
        </w:rPr>
        <w:t>; Supplemental information</w:t>
      </w:r>
      <w:r w:rsidR="009926CA">
        <w:rPr>
          <w:b w:val="0"/>
        </w:rPr>
        <w:t>)</w:t>
      </w:r>
      <w:r w:rsidR="00E77508">
        <w:rPr>
          <w:b w:val="0"/>
        </w:rPr>
        <w:t xml:space="preserve"> suggesting these </w:t>
      </w:r>
      <w:proofErr w:type="spellStart"/>
      <w:r w:rsidR="00E77508">
        <w:rPr>
          <w:b w:val="0"/>
        </w:rPr>
        <w:t>pyPAHs</w:t>
      </w:r>
      <w:proofErr w:type="spellEnd"/>
      <w:r w:rsidR="00E77508">
        <w:rPr>
          <w:b w:val="0"/>
        </w:rPr>
        <w:t xml:space="preserve"> increases are not related to combustion</w:t>
      </w:r>
      <w:r w:rsidR="007C50F3">
        <w:rPr>
          <w:b w:val="0"/>
        </w:rPr>
        <w:t xml:space="preserve"> at the time of deposition</w:t>
      </w:r>
      <w:r w:rsidR="00D877F7">
        <w:rPr>
          <w:b w:val="0"/>
        </w:rPr>
        <w:t>.</w:t>
      </w:r>
      <w:r w:rsidR="00B113F3">
        <w:rPr>
          <w:b w:val="0"/>
        </w:rPr>
        <w:t xml:space="preserve"> </w:t>
      </w:r>
      <w:r w:rsidR="009A7745">
        <w:rPr>
          <w:b w:val="0"/>
        </w:rPr>
        <w:t xml:space="preserve">Since </w:t>
      </w:r>
      <w:r w:rsidR="00E01DC7">
        <w:rPr>
          <w:b w:val="0"/>
        </w:rPr>
        <w:t>PAH</w:t>
      </w:r>
      <w:r w:rsidR="00E21398">
        <w:rPr>
          <w:b w:val="0"/>
        </w:rPr>
        <w:t>s</w:t>
      </w:r>
      <w:r w:rsidR="00E01DC7">
        <w:rPr>
          <w:b w:val="0"/>
        </w:rPr>
        <w:t xml:space="preserve"> readily adsorb </w:t>
      </w:r>
      <w:r w:rsidR="00711B9B">
        <w:rPr>
          <w:b w:val="0"/>
        </w:rPr>
        <w:t>onto atmospheric and soil particles</w:t>
      </w:r>
      <w:r w:rsidR="00E21398">
        <w:rPr>
          <w:b w:val="0"/>
        </w:rPr>
        <w:t xml:space="preserve">, </w:t>
      </w:r>
      <w:r w:rsidR="00AD6AE9">
        <w:rPr>
          <w:b w:val="0"/>
        </w:rPr>
        <w:t xml:space="preserve">Westbury Formation </w:t>
      </w:r>
      <w:proofErr w:type="spellStart"/>
      <w:r w:rsidR="00AD6AE9">
        <w:rPr>
          <w:b w:val="0"/>
        </w:rPr>
        <w:t>pyPAH</w:t>
      </w:r>
      <w:proofErr w:type="spellEnd"/>
      <w:r w:rsidR="00AD6AE9">
        <w:rPr>
          <w:b w:val="0"/>
        </w:rPr>
        <w:t xml:space="preserve"> </w:t>
      </w:r>
      <w:r w:rsidR="00E21398">
        <w:rPr>
          <w:b w:val="0"/>
        </w:rPr>
        <w:t xml:space="preserve">increases could be associated with terrestrial input of older soil-stored </w:t>
      </w:r>
      <w:proofErr w:type="spellStart"/>
      <w:r w:rsidR="00AD6AE9">
        <w:rPr>
          <w:b w:val="0"/>
        </w:rPr>
        <w:t>pyPAHs</w:t>
      </w:r>
      <w:proofErr w:type="spellEnd"/>
      <w:r w:rsidR="00E21398">
        <w:rPr>
          <w:b w:val="0"/>
        </w:rPr>
        <w:t xml:space="preserve"> rather than fire at the time of deposition</w:t>
      </w:r>
      <w:r w:rsidR="00A76A8B">
        <w:rPr>
          <w:b w:val="0"/>
        </w:rPr>
        <w:t>, supported by co-occurring increases in DBT and DBF</w:t>
      </w:r>
      <w:r w:rsidR="00E21398">
        <w:rPr>
          <w:b w:val="0"/>
        </w:rPr>
        <w:t>.</w:t>
      </w:r>
      <w:r w:rsidR="00A76A8B">
        <w:rPr>
          <w:b w:val="0"/>
        </w:rPr>
        <w:t xml:space="preserve"> </w:t>
      </w:r>
      <w:r w:rsidR="00E0039D">
        <w:rPr>
          <w:b w:val="0"/>
        </w:rPr>
        <w:t>Furthermore,</w:t>
      </w:r>
      <w:r w:rsidR="00AD6AE9">
        <w:rPr>
          <w:b w:val="0"/>
        </w:rPr>
        <w:t xml:space="preserve"> when considering the</w:t>
      </w:r>
      <w:r w:rsidR="002977AB">
        <w:rPr>
          <w:b w:val="0"/>
        </w:rPr>
        <w:t xml:space="preserve"> </w:t>
      </w:r>
      <w:r w:rsidR="00AD6AE9">
        <w:rPr>
          <w:b w:val="0"/>
        </w:rPr>
        <w:t xml:space="preserve">smoke </w:t>
      </w:r>
      <w:r w:rsidR="00AD6AE9" w:rsidRPr="009615BA">
        <w:rPr>
          <w:b w:val="0"/>
          <w:i/>
        </w:rPr>
        <w:t>vs.</w:t>
      </w:r>
      <w:r w:rsidR="00AD6AE9">
        <w:rPr>
          <w:b w:val="0"/>
        </w:rPr>
        <w:t xml:space="preserve"> residue signal</w:t>
      </w:r>
      <w:r w:rsidR="002977AB">
        <w:rPr>
          <w:b w:val="0"/>
        </w:rPr>
        <w:t>,</w:t>
      </w:r>
      <w:r w:rsidR="00AD6AE9">
        <w:rPr>
          <w:b w:val="0"/>
        </w:rPr>
        <w:t xml:space="preserve"> i.e., </w:t>
      </w:r>
      <w:r w:rsidR="002977AB">
        <w:rPr>
          <w:b w:val="0"/>
        </w:rPr>
        <w:t xml:space="preserve">the </w:t>
      </w:r>
      <w:r w:rsidR="00E0039D">
        <w:rPr>
          <w:b w:val="0"/>
        </w:rPr>
        <w:t>r</w:t>
      </w:r>
      <w:r w:rsidR="00E0039D" w:rsidRPr="000F46D3">
        <w:rPr>
          <w:b w:val="0"/>
        </w:rPr>
        <w:t xml:space="preserve">atio of LMW </w:t>
      </w:r>
      <w:proofErr w:type="spellStart"/>
      <w:r w:rsidR="00E0039D">
        <w:rPr>
          <w:b w:val="0"/>
        </w:rPr>
        <w:t>py</w:t>
      </w:r>
      <w:r w:rsidR="00E0039D" w:rsidRPr="000F46D3">
        <w:rPr>
          <w:b w:val="0"/>
        </w:rPr>
        <w:t>PAHs</w:t>
      </w:r>
      <w:proofErr w:type="spellEnd"/>
      <w:r w:rsidR="00E0039D" w:rsidRPr="000F46D3">
        <w:rPr>
          <w:b w:val="0"/>
        </w:rPr>
        <w:t xml:space="preserve"> to</w:t>
      </w:r>
      <w:r w:rsidR="00E0039D">
        <w:rPr>
          <w:b w:val="0"/>
        </w:rPr>
        <w:t xml:space="preserve"> </w:t>
      </w:r>
      <w:r w:rsidR="00E0039D" w:rsidRPr="000F46D3">
        <w:rPr>
          <w:b w:val="0"/>
        </w:rPr>
        <w:t xml:space="preserve">LMW and HMW </w:t>
      </w:r>
      <w:proofErr w:type="spellStart"/>
      <w:r w:rsidR="00E0039D">
        <w:rPr>
          <w:b w:val="0"/>
        </w:rPr>
        <w:t>py</w:t>
      </w:r>
      <w:r w:rsidR="00E0039D" w:rsidRPr="000F46D3">
        <w:rPr>
          <w:b w:val="0"/>
        </w:rPr>
        <w:t>PAHs</w:t>
      </w:r>
      <w:proofErr w:type="spellEnd"/>
      <w:r w:rsidR="002977AB">
        <w:rPr>
          <w:b w:val="0"/>
        </w:rPr>
        <w:t>,</w:t>
      </w:r>
      <w:r w:rsidR="00E0039D" w:rsidRPr="000F46D3">
        <w:rPr>
          <w:b w:val="0"/>
        </w:rPr>
        <w:t xml:space="preserve"> </w:t>
      </w:r>
      <w:r w:rsidR="00E0039D">
        <w:rPr>
          <w:b w:val="0"/>
        </w:rPr>
        <w:fldChar w:fldCharType="begin" w:fldLock="1"/>
      </w:r>
      <w:r w:rsidR="00E0039D">
        <w:rPr>
          <w:b w:val="0"/>
        </w:rPr>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sidR="00E0039D">
        <w:rPr>
          <w:rFonts w:ascii="Cambria Math" w:hAnsi="Cambria Math" w:cs="Cambria Math"/>
          <w:b w:val="0"/>
        </w:rPr>
        <w:instrText>∼</w:instrText>
      </w:r>
      <w:r w:rsidR="00E0039D">
        <w:rPr>
          <w:b w:val="0"/>
        </w:rPr>
        <w:instrText>12‰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paleo-applications","type":"article-journal","volume":"289"},"uris":["http://www.mendeley.com/documents/?uuid=a4f6bf2d-6c02-41f3-8889-b9f9a26ebff2"]}],"mendeley":{"formattedCitation":"(Karp et al., 2020)","plainTextFormattedCitation":"(Karp et al., 2020)","previouslyFormattedCitation":"(Karp et al., 2020)"},"properties":{"noteIndex":0},"schema":"https://github.com/citation-style-language/schema/raw/master/csl-citation.json"}</w:instrText>
      </w:r>
      <w:r w:rsidR="00E0039D">
        <w:rPr>
          <w:b w:val="0"/>
        </w:rPr>
        <w:fldChar w:fldCharType="separate"/>
      </w:r>
      <w:r w:rsidR="00E0039D" w:rsidRPr="00A249D1">
        <w:rPr>
          <w:b w:val="0"/>
          <w:noProof/>
        </w:rPr>
        <w:t>(Karp et al., 2020)</w:t>
      </w:r>
      <w:r w:rsidR="00E0039D">
        <w:rPr>
          <w:b w:val="0"/>
        </w:rPr>
        <w:fldChar w:fldCharType="end"/>
      </w:r>
      <w:r w:rsidR="002977AB">
        <w:rPr>
          <w:b w:val="0"/>
        </w:rPr>
        <w:t xml:space="preserve"> values in the Westbury Formation</w:t>
      </w:r>
      <w:r w:rsidR="00E0039D">
        <w:rPr>
          <w:b w:val="0"/>
        </w:rPr>
        <w:t xml:space="preserve"> </w:t>
      </w:r>
      <w:r w:rsidR="00E0039D" w:rsidRPr="000F46D3">
        <w:rPr>
          <w:b w:val="0"/>
        </w:rPr>
        <w:t xml:space="preserve">are below 0.8 (Fig. </w:t>
      </w:r>
      <w:r w:rsidR="00E0039D">
        <w:rPr>
          <w:b w:val="0"/>
        </w:rPr>
        <w:t>3</w:t>
      </w:r>
      <w:r w:rsidR="00E0039D" w:rsidRPr="000F46D3">
        <w:rPr>
          <w:b w:val="0"/>
        </w:rPr>
        <w:t>)</w:t>
      </w:r>
      <w:r w:rsidR="00E0039D">
        <w:rPr>
          <w:b w:val="0"/>
        </w:rPr>
        <w:t xml:space="preserve">, </w:t>
      </w:r>
      <w:r w:rsidR="00E0039D" w:rsidRPr="000F46D3">
        <w:rPr>
          <w:b w:val="0"/>
        </w:rPr>
        <w:t>suggest</w:t>
      </w:r>
      <w:r w:rsidR="00E0039D">
        <w:rPr>
          <w:b w:val="0"/>
        </w:rPr>
        <w:t>ing</w:t>
      </w:r>
      <w:r w:rsidR="00E0039D" w:rsidRPr="000F46D3">
        <w:rPr>
          <w:b w:val="0"/>
        </w:rPr>
        <w:t xml:space="preserve"> a residue source</w:t>
      </w:r>
      <w:r w:rsidR="00E0039D">
        <w:rPr>
          <w:b w:val="0"/>
        </w:rPr>
        <w:t xml:space="preserve"> and an abundance of </w:t>
      </w:r>
      <w:proofErr w:type="spellStart"/>
      <w:r w:rsidR="009A7745">
        <w:rPr>
          <w:b w:val="0"/>
        </w:rPr>
        <w:t>py</w:t>
      </w:r>
      <w:r w:rsidR="00E0039D">
        <w:rPr>
          <w:b w:val="0"/>
        </w:rPr>
        <w:t>PAHs</w:t>
      </w:r>
      <w:proofErr w:type="spellEnd"/>
      <w:r w:rsidR="00E0039D">
        <w:rPr>
          <w:b w:val="0"/>
        </w:rPr>
        <w:t xml:space="preserve"> that do not travel far. </w:t>
      </w:r>
      <w:r w:rsidR="00A76A8B">
        <w:rPr>
          <w:b w:val="0"/>
        </w:rPr>
        <w:t>However,</w:t>
      </w:r>
      <w:r w:rsidR="00E21398">
        <w:rPr>
          <w:b w:val="0"/>
        </w:rPr>
        <w:t xml:space="preserve"> </w:t>
      </w:r>
      <w:r w:rsidR="00A76A8B">
        <w:rPr>
          <w:b w:val="0"/>
        </w:rPr>
        <w:t>a</w:t>
      </w:r>
      <w:r w:rsidR="00E21398">
        <w:rPr>
          <w:b w:val="0"/>
        </w:rPr>
        <w:t xml:space="preserve"> mixed pyrogenic and petrogenic origin for</w:t>
      </w:r>
      <w:r w:rsidR="00233B5B">
        <w:rPr>
          <w:b w:val="0"/>
        </w:rPr>
        <w:t xml:space="preserve"> Westbury Formation</w:t>
      </w:r>
      <w:r w:rsidR="00E21398">
        <w:rPr>
          <w:b w:val="0"/>
        </w:rPr>
        <w:t xml:space="preserve"> </w:t>
      </w:r>
      <w:proofErr w:type="spellStart"/>
      <w:r w:rsidR="00E21398">
        <w:rPr>
          <w:b w:val="0"/>
        </w:rPr>
        <w:t>pyPAHs</w:t>
      </w:r>
      <w:proofErr w:type="spellEnd"/>
      <w:r w:rsidR="00E21398">
        <w:rPr>
          <w:b w:val="0"/>
        </w:rPr>
        <w:t xml:space="preserve"> cannot be entirely ruled out; </w:t>
      </w:r>
      <w:r w:rsidR="00233B5B">
        <w:rPr>
          <w:b w:val="0"/>
        </w:rPr>
        <w:t>r</w:t>
      </w:r>
      <w:r w:rsidR="00E21398">
        <w:rPr>
          <w:b w:val="0"/>
        </w:rPr>
        <w:t xml:space="preserve">atios of 1,7/2,6 + </w:t>
      </w:r>
      <w:proofErr w:type="spellStart"/>
      <w:r w:rsidR="00E21398">
        <w:rPr>
          <w:b w:val="0"/>
        </w:rPr>
        <w:t>dimethylphenanthrene</w:t>
      </w:r>
      <w:proofErr w:type="spellEnd"/>
      <w:r w:rsidR="00E21398">
        <w:rPr>
          <w:b w:val="0"/>
        </w:rPr>
        <w:t xml:space="preserve"> plot most</w:t>
      </w:r>
      <w:r w:rsidR="00233B5B">
        <w:rPr>
          <w:b w:val="0"/>
        </w:rPr>
        <w:t xml:space="preserve">ly </w:t>
      </w:r>
      <w:r w:rsidR="00A76A8B">
        <w:rPr>
          <w:b w:val="0"/>
        </w:rPr>
        <w:t xml:space="preserve">as </w:t>
      </w:r>
      <w:r w:rsidR="00233B5B">
        <w:rPr>
          <w:b w:val="0"/>
        </w:rPr>
        <w:t xml:space="preserve">mixed source </w:t>
      </w:r>
      <w:r w:rsidR="00B237DC">
        <w:rPr>
          <w:b w:val="0"/>
        </w:rPr>
        <w:t>and</w:t>
      </w:r>
      <w:r w:rsidR="00A76A8B">
        <w:rPr>
          <w:b w:val="0"/>
        </w:rPr>
        <w:t xml:space="preserve"> </w:t>
      </w:r>
      <w:r w:rsidR="00A76A8B">
        <w:rPr>
          <w:b w:val="0"/>
        </w:rPr>
        <w:lastRenderedPageBreak/>
        <w:t>close</w:t>
      </w:r>
      <w:r w:rsidR="00B237DC">
        <w:rPr>
          <w:b w:val="0"/>
        </w:rPr>
        <w:t xml:space="preserve"> to</w:t>
      </w:r>
      <w:r w:rsidR="002977AB">
        <w:rPr>
          <w:b w:val="0"/>
        </w:rPr>
        <w:t xml:space="preserve"> a</w:t>
      </w:r>
      <w:r w:rsidR="00233B5B">
        <w:rPr>
          <w:b w:val="0"/>
        </w:rPr>
        <w:t xml:space="preserve"> wood combustion</w:t>
      </w:r>
      <w:r w:rsidR="00A76A8B">
        <w:rPr>
          <w:b w:val="0"/>
        </w:rPr>
        <w:t xml:space="preserve"> </w:t>
      </w:r>
      <w:r w:rsidR="002977AB">
        <w:rPr>
          <w:b w:val="0"/>
        </w:rPr>
        <w:t>source</w:t>
      </w:r>
      <w:r w:rsidR="00233B5B">
        <w:rPr>
          <w:b w:val="0"/>
        </w:rPr>
        <w:t xml:space="preserve"> and ratios of </w:t>
      </w:r>
      <w:r w:rsidR="00D73CE2">
        <w:rPr>
          <w:b w:val="0"/>
        </w:rPr>
        <w:t>b</w:t>
      </w:r>
      <w:r w:rsidR="00233B5B">
        <w:rPr>
          <w:b w:val="0"/>
        </w:rPr>
        <w:t>enzo(</w:t>
      </w:r>
      <w:r w:rsidR="00233B5B" w:rsidRPr="005045DC">
        <w:rPr>
          <w:b w:val="0"/>
          <w:i/>
          <w:iCs/>
        </w:rPr>
        <w:t>a</w:t>
      </w:r>
      <w:r w:rsidR="00233B5B">
        <w:rPr>
          <w:b w:val="0"/>
        </w:rPr>
        <w:t>)</w:t>
      </w:r>
      <w:r w:rsidR="004C48FD">
        <w:rPr>
          <w:b w:val="0"/>
        </w:rPr>
        <w:t>anthracene</w:t>
      </w:r>
      <w:r w:rsidR="00233B5B">
        <w:rPr>
          <w:b w:val="0"/>
        </w:rPr>
        <w:t>/</w:t>
      </w:r>
      <w:r w:rsidR="004C48FD">
        <w:rPr>
          <w:b w:val="0"/>
        </w:rPr>
        <w:t>chrysene + triphenylene + benzo(</w:t>
      </w:r>
      <w:r w:rsidR="004C48FD">
        <w:rPr>
          <w:b w:val="0"/>
          <w:i/>
          <w:iCs/>
        </w:rPr>
        <w:t>a</w:t>
      </w:r>
      <w:r w:rsidR="004C48FD">
        <w:rPr>
          <w:b w:val="0"/>
        </w:rPr>
        <w:t>)anthracene</w:t>
      </w:r>
      <w:r w:rsidR="00A76A8B">
        <w:rPr>
          <w:b w:val="0"/>
        </w:rPr>
        <w:t xml:space="preserve"> also show mixed source</w:t>
      </w:r>
      <w:r w:rsidR="00233B5B">
        <w:rPr>
          <w:b w:val="0"/>
        </w:rPr>
        <w:t xml:space="preserve"> </w:t>
      </w:r>
      <w:r w:rsidR="00A20866">
        <w:rPr>
          <w:b w:val="0"/>
        </w:rPr>
        <w:t xml:space="preserve">origins </w:t>
      </w:r>
      <w:r w:rsidR="00233B5B">
        <w:rPr>
          <w:b w:val="0"/>
        </w:rPr>
        <w:t xml:space="preserve">(Fig. </w:t>
      </w:r>
      <w:r w:rsidR="00B237DC">
        <w:rPr>
          <w:b w:val="0"/>
        </w:rPr>
        <w:t>5</w:t>
      </w:r>
      <w:r w:rsidR="00233B5B">
        <w:rPr>
          <w:b w:val="0"/>
        </w:rPr>
        <w:t xml:space="preserve">). Additionally, relative abundance of PAHs and their methylated isomers (Fig. 6) </w:t>
      </w:r>
      <w:r w:rsidR="003B2B31">
        <w:rPr>
          <w:b w:val="0"/>
        </w:rPr>
        <w:t>are similar to those of mixed petrographic and pyrogenic sources from modern analogues</w:t>
      </w:r>
      <w:r w:rsidR="00947CBE">
        <w:rPr>
          <w:b w:val="0"/>
        </w:rPr>
        <w:t xml:space="preserve"> </w:t>
      </w:r>
      <w:r w:rsidR="00947CBE">
        <w:rPr>
          <w:b w:val="0"/>
        </w:rPr>
        <w:fldChar w:fldCharType="begin" w:fldLock="1"/>
      </w:r>
      <w:r w:rsidR="00947CBE">
        <w:rPr>
          <w:b w:val="0"/>
        </w:rPr>
        <w:instrText>ADDIN CSL_CITATION {"citationItems":[{"id":"ITEM-1","itemData":{"DOI":"10.1007/978-3-319-10638-0","author":[{"dropping-particle":"","family":"Stogiannidis","given":"Efstathios","non-dropping-particle":"","parse-names":false,"suffix":""},{"dropping-particle":"","family":"Laane","given":"Remi","non-dropping-particle":"","parse-names":false,"suffix":""}],"container-title":"Reviews of Environmental Contamination and Toxicology (Vol 234)","editor":[{"dropping-particle":"","family":"Whitacre","given":"David M.","non-dropping-particle":"","parse-names":false,"suffix":""}],"id":"ITEM-1","issued":{"date-parts":[["2015"]]},"page":"49 - 133","publisher":"Springer","title":"Source Characterization of Polycyclic Aromatic Hydrocarbons by Using Their Molecular Indices: An Overview of Possibilities","type":"chapter"},"uris":["http://www.mendeley.com/documents/?uuid=6e07e20d-de2f-4089-a8b0-18bcf9770b94"]}],"mendeley":{"formattedCitation":"(Stogiannidis and Laane, 2015)","plainTextFormattedCitation":"(Stogiannidis and Laane, 2015)","previouslyFormattedCitation":"(Stogiannidis and Laane, 2015)"},"properties":{"noteIndex":0},"schema":"https://github.com/citation-style-language/schema/raw/master/csl-citation.json"}</w:instrText>
      </w:r>
      <w:r w:rsidR="00947CBE">
        <w:rPr>
          <w:b w:val="0"/>
        </w:rPr>
        <w:fldChar w:fldCharType="separate"/>
      </w:r>
      <w:r w:rsidR="00947CBE" w:rsidRPr="00947CBE">
        <w:rPr>
          <w:b w:val="0"/>
          <w:noProof/>
        </w:rPr>
        <w:t>(Stogiannidis and Laane, 2015)</w:t>
      </w:r>
      <w:r w:rsidR="00947CBE">
        <w:rPr>
          <w:b w:val="0"/>
        </w:rPr>
        <w:fldChar w:fldCharType="end"/>
      </w:r>
      <w:r w:rsidR="002977AB">
        <w:rPr>
          <w:b w:val="0"/>
        </w:rPr>
        <w:t>,</w:t>
      </w:r>
      <w:r w:rsidR="003B2B31">
        <w:rPr>
          <w:b w:val="0"/>
        </w:rPr>
        <w:t xml:space="preserve"> i.e.,</w:t>
      </w:r>
      <w:r w:rsidR="002977AB">
        <w:rPr>
          <w:b w:val="0"/>
        </w:rPr>
        <w:t xml:space="preserve"> similar concentrations between</w:t>
      </w:r>
      <w:r w:rsidR="003B2B31">
        <w:rPr>
          <w:b w:val="0"/>
        </w:rPr>
        <w:t xml:space="preserve"> phenanthrene, pyrene, and fluoranthene </w:t>
      </w:r>
      <w:r w:rsidR="002977AB">
        <w:rPr>
          <w:b w:val="0"/>
        </w:rPr>
        <w:t>and</w:t>
      </w:r>
      <w:r w:rsidR="00574A28">
        <w:rPr>
          <w:b w:val="0"/>
        </w:rPr>
        <w:t xml:space="preserve"> their methylated homologues </w:t>
      </w:r>
      <w:r w:rsidR="00A20866">
        <w:rPr>
          <w:b w:val="0"/>
        </w:rPr>
        <w:t>alongside</w:t>
      </w:r>
      <w:r w:rsidR="003B2B31">
        <w:rPr>
          <w:b w:val="0"/>
        </w:rPr>
        <w:t xml:space="preserve"> </w:t>
      </w:r>
      <w:r w:rsidR="00A20866">
        <w:rPr>
          <w:b w:val="0"/>
        </w:rPr>
        <w:t>abundant</w:t>
      </w:r>
      <w:r w:rsidR="003B2B31">
        <w:rPr>
          <w:b w:val="0"/>
        </w:rPr>
        <w:t xml:space="preserve"> of </w:t>
      </w:r>
      <w:r w:rsidR="00921F7A">
        <w:rPr>
          <w:b w:val="0"/>
        </w:rPr>
        <w:t>five</w:t>
      </w:r>
      <w:r w:rsidR="003B2B31">
        <w:rPr>
          <w:b w:val="0"/>
        </w:rPr>
        <w:t xml:space="preserve">- and </w:t>
      </w:r>
      <w:r w:rsidR="00921F7A">
        <w:rPr>
          <w:b w:val="0"/>
        </w:rPr>
        <w:t>six</w:t>
      </w:r>
      <w:r w:rsidR="003B2B31">
        <w:rPr>
          <w:b w:val="0"/>
        </w:rPr>
        <w:t xml:space="preserve">-ringed </w:t>
      </w:r>
      <w:proofErr w:type="spellStart"/>
      <w:r w:rsidR="003B2B31">
        <w:rPr>
          <w:b w:val="0"/>
        </w:rPr>
        <w:t>pyPAHs</w:t>
      </w:r>
      <w:proofErr w:type="spellEnd"/>
      <w:r w:rsidR="003B2B31">
        <w:rPr>
          <w:b w:val="0"/>
        </w:rPr>
        <w:t>.</w:t>
      </w:r>
      <w:r w:rsidR="00E21398">
        <w:rPr>
          <w:b w:val="0"/>
        </w:rPr>
        <w:t xml:space="preserve"> </w:t>
      </w:r>
      <w:r w:rsidR="00635F8D">
        <w:rPr>
          <w:b w:val="0"/>
        </w:rPr>
        <w:t>T</w:t>
      </w:r>
      <w:r w:rsidR="00E21398">
        <w:rPr>
          <w:b w:val="0"/>
        </w:rPr>
        <w:t>he ratio of fluoranthene/pyrene + fluoranthene doubles as a proxy for primary vs. degraded PAHs (Karp et al., 2018), for which all</w:t>
      </w:r>
      <w:r w:rsidR="00B237DC">
        <w:rPr>
          <w:b w:val="0"/>
        </w:rPr>
        <w:t xml:space="preserve"> St. Audrie’s Bay</w:t>
      </w:r>
      <w:r w:rsidR="00E21398">
        <w:rPr>
          <w:b w:val="0"/>
        </w:rPr>
        <w:t xml:space="preserve"> </w:t>
      </w:r>
      <w:r w:rsidR="00B237DC">
        <w:rPr>
          <w:b w:val="0"/>
        </w:rPr>
        <w:t>samples</w:t>
      </w:r>
      <w:r w:rsidR="00E21398">
        <w:rPr>
          <w:b w:val="0"/>
        </w:rPr>
        <w:t xml:space="preserve"> show a degraded/petrogenic source. As soil and marine bacteria preferentially degrade fluoranthene over pyrene </w:t>
      </w:r>
      <w:r w:rsidR="00E21398">
        <w:rPr>
          <w:b w:val="0"/>
        </w:rPr>
        <w:fldChar w:fldCharType="begin" w:fldLock="1"/>
      </w:r>
      <w:r w:rsidR="00E21398">
        <w:rPr>
          <w:b w:val="0"/>
        </w:rPr>
        <w:instrText>ADDIN CSL_CITATION {"citationItems":[{"id":"ITEM-1","itemData":{"DOI":"10.1007/s00128-016-1967-4","ISSN":"1432-0800","abstract":"This study is focused on the removal, accumulation and degradation of three environmental ubiquitous polycyclic aromatic hydrocarbons (PAHs), phenanthrene (PHE), fluoranthene (FLA) and pyrene (PYR), by the marine alga Rhodomonas baltica enriched from the English Channel. After separation, purification and culture in several phases, R. baltica was exposed to PAH concentrations that are frequently encountered in the field in several anthropized environments. The results showed that R. baltica can grow under PAH stress, efficiently remove up to 70% of these compounds from the medium by 216 h of culture and selectively bioaccumulate PAHs by their hydrophobicity. Between PHE, FLA and PYR, phenanthrene was the compound with higher degradation rates throughout incubation. The equilibrium partitioning theoretical approach showed that physico-chemical partitioning, rather than active bioconcentration, was the major factor governing the bioaccumulation, outlying a potential application in decontamination processes for this species.","author":[{"dropping-particle":"","family":"Arias","given":"Andrés H","non-dropping-particle":"","parse-names":false,"suffix":""},{"dropping-particle":"","family":"Souissi","given":"Anissa","non-dropping-particle":"","parse-names":false,"suffix":""},{"dropping-particle":"","family":"Glippa","given":"Olivier","non-dropping-particle":"","parse-names":false,"suffix":""},{"dropping-particle":"","family":"Roussin","given":"Marion","non-dropping-particle":"","parse-names":false,"suffix":""},{"dropping-particle":"","family":"Dumoulin","given":"David","non-dropping-particle":"","parse-names":false,"suffix":""},{"dropping-particle":"","family":"Net","given":"Sopheak","non-dropping-particle":"","parse-names":false,"suffix":""},{"dropping-particle":"","family":"Ouddane","given":"Baghdad","non-dropping-particle":"","parse-names":false,"suffix":""},{"dropping-particle":"","family":"Souissi","given":"Sami","non-dropping-particle":"","parse-names":false,"suffix":""}],"container-title":"Bulletin of Environmental Contamination and Toxicology","id":"ITEM-1","issue":"3","issued":{"date-parts":[["2017"]]},"page":"392-399","title":"Removal and Biodegradation of Phenanthrene, Fluoranthene and Pyrene by the Marine Algae Rhodomonas baltica Enriched from North Atlantic Coasts","type":"article-journal","volume":"98"},"uris":["http://www.mendeley.com/documents/?uuid=0e94afc8-da0d-4724-b73b-b6a098de4539"]},{"id":"ITEM-2","itemData":{"DOI":"10.1073/pnas.1809758115","abstract":"Fire is crucial to maintaining modern subtropical grasslands, yet the geologic and ecological history of this association is not well constrained. Here, we test the role of fire during the expansion of C4 grassland ecosystems in the Mio-Pliocene through innovative molecular proxies from ancient soils in Pakistan. We produce a synoptic terrestrial record of fire and vegetation change in this region, which indicates that increased fire occurrence accompanied two stages of landscape opening. Proxy data confirm that a pronounced fire–grassland feedback was a critical component of grassland ecosystems since their origination and fostered the rise of C4-dominated grasslands. The approach presented here can be used to examine landscape-scale interactions between paleofire and vegetation for other geographic regions and climatic transitions.That fire facilitated the late Miocene C4 grassland expansion is widely suspected but poorly documented. Fire potentially tied global climate to this profound biosphere transition by serving as a regional-to-local driver of vegetation change. In modern environments, seasonal extremes in moisture amplify the occurrence of fire, disturbing forest ecosystems to create niche space for flammable grasses, which in turn provide fuel for frequent fires. On the Indian subcontinent, C4 expansion was accompanied by increased seasonal extremes in rainfall (evidenced by δ18Ocarbonate), which set the stage for fuel accumulation and fire-linked clearance during wet-to-dry seasonal transitions. Here, we test the role of fire directly by examining the abundance and distribution patterns of fire-derived polycyclic aromatic hydrocarbons (PAHs) and terrestrial vegetation signatures in n-alkane carbon isotopes from paleosol samples of the Siwalik Group (Pakistan). Two million years before the C4 grassland transition, fire-derived PAH concentrations increased as conifer vegetation declined, as indicated by a decrease in retene. This early increase in molecular fire signatures suggests a transition to more fire-prone vegetation such as a C3 grassland and/or dry deciduous woodland. Between 8.0 and 6.0 million years ago, fire, precipitation seasonality, and C4-grass dominance increased simultaneously (within resolution) as marked by sharp increases in fire-derived PAHs, δ18Ocarbonate, and 13C enrichment in n-alkanes diagnostic of C4 grasses. The strong association of evidence for fire occurrence, vegetation change, and landscape opening indicates th…","author":[{"dropping-particle":"","family":"Karp","given":"Allison T","non-dropping-particle":"","parse-names":false,"suffix":""},{"dropping-particle":"","family":"Behrensmeyer","given":"Anna K","non-dropping-particle":"","parse-names":false,"suffix":""},{"dropping-particle":"","family":"Freeman","given":"Katherine H","non-dropping-particle":"","parse-names":false,"suffix":""}],"container-title":"Proceedings of the National Academy of Sciences","id":"ITEM-2","issue":"48","issued":{"date-parts":[["2018","11","27"]]},"page":"12130 LP - 12135","title":"Grassland fire ecology has roots in the late Miocene","type":"article-journal","volume":"115"},"uris":["http://www.mendeley.com/documents/?uuid=476f009e-98f1-408e-8541-78f5e82e310b"]}],"mendeley":{"formattedCitation":"(Arias et al., 2017; Karp et al., 2018)","manualFormatting":"(Arias et al., 2017; Karp et al., 2018 and references therein)","plainTextFormattedCitation":"(Arias et al., 2017; Karp et al., 2018)","previouslyFormattedCitation":"(Arias et al., 2017; Karp et al., 2018)"},"properties":{"noteIndex":0},"schema":"https://github.com/citation-style-language/schema/raw/master/csl-citation.json"}</w:instrText>
      </w:r>
      <w:r w:rsidR="00E21398">
        <w:rPr>
          <w:b w:val="0"/>
        </w:rPr>
        <w:fldChar w:fldCharType="separate"/>
      </w:r>
      <w:r w:rsidR="00E21398" w:rsidRPr="00F21874">
        <w:rPr>
          <w:b w:val="0"/>
          <w:noProof/>
        </w:rPr>
        <w:t>(Arias et al., 2017; Karp et al., 2018</w:t>
      </w:r>
      <w:r w:rsidR="00E21398">
        <w:rPr>
          <w:b w:val="0"/>
          <w:noProof/>
        </w:rPr>
        <w:t xml:space="preserve"> and references therein</w:t>
      </w:r>
      <w:r w:rsidR="00E21398" w:rsidRPr="00F21874">
        <w:rPr>
          <w:b w:val="0"/>
          <w:noProof/>
        </w:rPr>
        <w:t>)</w:t>
      </w:r>
      <w:r w:rsidR="00E21398">
        <w:rPr>
          <w:b w:val="0"/>
        </w:rPr>
        <w:fldChar w:fldCharType="end"/>
      </w:r>
      <w:r w:rsidR="00E21398">
        <w:rPr>
          <w:b w:val="0"/>
        </w:rPr>
        <w:t xml:space="preserve">, it is difficult to discern whether </w:t>
      </w:r>
      <w:proofErr w:type="spellStart"/>
      <w:r w:rsidR="00E21398">
        <w:rPr>
          <w:b w:val="0"/>
        </w:rPr>
        <w:t>pyPAHs</w:t>
      </w:r>
      <w:proofErr w:type="spellEnd"/>
      <w:r w:rsidR="00E21398">
        <w:rPr>
          <w:b w:val="0"/>
        </w:rPr>
        <w:t xml:space="preserve"> are sourced from fire at the time of deposition and subsequently degraded in the marine realm, or the remnants of older fire events that were degraded in soils</w:t>
      </w:r>
      <w:r w:rsidR="00D73CE2">
        <w:rPr>
          <w:b w:val="0"/>
        </w:rPr>
        <w:t>, or a combination of both</w:t>
      </w:r>
      <w:r w:rsidR="00E21398">
        <w:rPr>
          <w:b w:val="0"/>
        </w:rPr>
        <w:t>.</w:t>
      </w:r>
      <w:r w:rsidR="00635F8D">
        <w:rPr>
          <w:b w:val="0"/>
        </w:rPr>
        <w:t xml:space="preserve"> </w:t>
      </w:r>
      <w:bookmarkStart w:id="40" w:name="_Hlk93658573"/>
      <w:r w:rsidR="00635F8D">
        <w:rPr>
          <w:b w:val="0"/>
        </w:rPr>
        <w:t xml:space="preserve">Additionally, </w:t>
      </w:r>
      <w:r w:rsidR="00E0039D">
        <w:rPr>
          <w:b w:val="0"/>
        </w:rPr>
        <w:t xml:space="preserve">the  smoke </w:t>
      </w:r>
      <w:r w:rsidR="00E0039D" w:rsidRPr="005045DC">
        <w:rPr>
          <w:b w:val="0"/>
          <w:i/>
        </w:rPr>
        <w:t>vs.</w:t>
      </w:r>
      <w:r w:rsidR="00E0039D">
        <w:rPr>
          <w:b w:val="0"/>
        </w:rPr>
        <w:t xml:space="preserve"> residue</w:t>
      </w:r>
      <w:r w:rsidR="002977AB">
        <w:rPr>
          <w:b w:val="0"/>
        </w:rPr>
        <w:t xml:space="preserve"> proxy</w:t>
      </w:r>
      <w:r w:rsidR="00F36EB3">
        <w:rPr>
          <w:b w:val="0"/>
        </w:rPr>
        <w:t xml:space="preserve"> may also be skewed towards </w:t>
      </w:r>
      <w:r w:rsidR="00635F8D">
        <w:rPr>
          <w:b w:val="0"/>
        </w:rPr>
        <w:t xml:space="preserve">lower values </w:t>
      </w:r>
      <w:r w:rsidR="00B237DC">
        <w:rPr>
          <w:b w:val="0"/>
        </w:rPr>
        <w:t xml:space="preserve">due </w:t>
      </w:r>
      <w:r w:rsidR="00635F8D">
        <w:rPr>
          <w:b w:val="0"/>
        </w:rPr>
        <w:t xml:space="preserve">to degradation of LMW </w:t>
      </w:r>
      <w:proofErr w:type="spellStart"/>
      <w:r w:rsidR="00635F8D">
        <w:rPr>
          <w:b w:val="0"/>
        </w:rPr>
        <w:t>pyPAHs</w:t>
      </w:r>
      <w:proofErr w:type="spellEnd"/>
      <w:r w:rsidR="00B237DC">
        <w:rPr>
          <w:b w:val="0"/>
        </w:rPr>
        <w:t xml:space="preserve"> such as phenanthrene and fluoranthene</w:t>
      </w:r>
      <w:r w:rsidR="00635F8D">
        <w:rPr>
          <w:b w:val="0"/>
        </w:rPr>
        <w:t xml:space="preserve"> </w:t>
      </w:r>
      <w:r w:rsidR="00635F8D">
        <w:rPr>
          <w:b w:val="0"/>
        </w:rPr>
        <w:fldChar w:fldCharType="begin" w:fldLock="1"/>
      </w:r>
      <w:r w:rsidR="009A7745">
        <w:rPr>
          <w:b w:val="0"/>
        </w:rPr>
        <w:instrText>ADDIN CSL_CITATION {"citationItems":[{"id":"ITEM-1","itemData":{"DOI":"https://doi.org/10.1016/j.epsl.2021.116970","ISSN":"0012-821X","abstract":"Global warming will likely perturb carbon storage and cycling throughout many components of the exogenic carbon cycle, but its net impact on the long-term fate of organic carbon stabilized in soils is unclear. Abrupt warming during the Paleocene-Eocene Thermal Maximum (PETM) profoundly altered vegetation and hydrologic patterns globally. To assess the consequences for soil carbon in a mid-latitude region we measured total organic carbon (%TOC), polycyclic aromatic hydrocarbons (PAHs), charcoal, and sporomorphs (pollen and spores) at two paleo-floodplain depositional sites in the Bighorn Basin, Wyoming, USA. At both sites %TOC, PAHs, charcoal, and sporomorphs declined during the PETM. The decline in pyrogenic carbon, which is more severe than the decline in %TOC, is consistent with isotopic and fossil evidence for degradation of labile organic compounds and preservation of highly refractory allochthonous organic carbon. The severe loss of less-labile contemporaneous PETM (autochthonous) soil carbon, illustrated by the fate of pyrogenic carbon, indicates intensified rates of organic matter decay during the PETM. Because of the highly degraded signature of organic matter in these PETM sections, it is difficult to discern if less pyrogenic carbon is in part a consequence of less fire occurrence during the PETM. We propose that in this mid-latitude region of the western USA increased soil carbon oxidation hindered soil carbon sequestration during this period of hotter climate with more seasonal precipitation.","author":[{"dropping-particle":"","family":"Denis","given":"Elizabeth H","non-dropping-particle":"","parse-names":false,"suffix":""},{"dropping-particle":"","family":"Maibauer","given":"Bianca J","non-dropping-particle":"","parse-names":false,"suffix":""},{"dropping-particle":"","family":"Bowen","given":"Gabriel J","non-dropping-particle":"","parse-names":false,"suffix":""},{"dropping-particle":"","family":"Jardine","given":"Phillip E","non-dropping-particle":"","parse-names":false,"suffix":""},{"dropping-particle":"","family":"Harrington","given":"Guy J","non-dropping-particle":"","parse-names":false,"suffix":""},{"dropping-particle":"","family":"Baczynski","given":"Allison A","non-dropping-particle":"","parse-names":false,"suffix":""},{"dropping-particle":"","family":"McInerney","given":"Francesca A","non-dropping-particle":"","parse-names":false,"suffix":""},{"dropping-particle":"","family":"Collinson","given":"Margaret E","non-dropping-particle":"","parse-names":false,"suffix":""},{"dropping-particle":"","family":"Belcher","given":"Claire M","non-dropping-particle":"","parse-names":false,"suffix":""},{"dropping-particle":"","family":"Wing","given":"Scott L","non-dropping-particle":"","parse-names":false,"suffix":""},{"dropping-particle":"","family":"Freeman","given":"Katherine H","non-dropping-particle":"","parse-names":false,"suffix":""}],"container-title":"Earth and Planetary Science Letters","id":"ITEM-1","issued":{"date-parts":[["2021"]]},"page":"116970","title":"Decreased soil carbon in a warming world: Degraded pyrogenic carbon during the Paleocene-Eocene Thermal Maximum, Bighorn Basin, Wyoming","type":"article-journal","volume":"566"},"uris":["http://www.mendeley.com/documents/?uuid=3955bcbb-aa0e-43cb-adc2-4197a6941e06"]}],"mendeley":{"formattedCitation":"(Denis et al., 2021)","manualFormatting":"(e.g., Denis et al., 2021)","plainTextFormattedCitation":"(Denis et al., 2021)","previouslyFormattedCitation":"(Denis et al., 2021)"},"properties":{"noteIndex":0},"schema":"https://github.com/citation-style-language/schema/raw/master/csl-citation.json"}</w:instrText>
      </w:r>
      <w:r w:rsidR="00635F8D">
        <w:rPr>
          <w:b w:val="0"/>
        </w:rPr>
        <w:fldChar w:fldCharType="separate"/>
      </w:r>
      <w:r w:rsidR="00635F8D" w:rsidRPr="00635F8D">
        <w:rPr>
          <w:b w:val="0"/>
          <w:noProof/>
        </w:rPr>
        <w:t>(</w:t>
      </w:r>
      <w:r w:rsidR="009A7745">
        <w:rPr>
          <w:b w:val="0"/>
          <w:noProof/>
        </w:rPr>
        <w:t xml:space="preserve">e.g., </w:t>
      </w:r>
      <w:r w:rsidR="00635F8D" w:rsidRPr="00635F8D">
        <w:rPr>
          <w:b w:val="0"/>
          <w:noProof/>
        </w:rPr>
        <w:t>Denis et al., 2021)</w:t>
      </w:r>
      <w:r w:rsidR="00635F8D">
        <w:rPr>
          <w:b w:val="0"/>
        </w:rPr>
        <w:fldChar w:fldCharType="end"/>
      </w:r>
      <w:r w:rsidR="00635F8D">
        <w:rPr>
          <w:b w:val="0"/>
        </w:rPr>
        <w:t>.</w:t>
      </w:r>
    </w:p>
    <w:bookmarkEnd w:id="40"/>
    <w:p w14:paraId="1B00E4DC" w14:textId="5B935F5B" w:rsidR="00187F5D" w:rsidRDefault="00F36EB3" w:rsidP="00F32790">
      <w:pPr>
        <w:pStyle w:val="Head2"/>
        <w:spacing w:line="480" w:lineRule="auto"/>
        <w:ind w:firstLine="720"/>
        <w:jc w:val="both"/>
      </w:pPr>
      <w:r>
        <w:rPr>
          <w:b w:val="0"/>
        </w:rPr>
        <w:t>Since</w:t>
      </w:r>
      <w:r w:rsidR="00B237DC">
        <w:rPr>
          <w:b w:val="0"/>
        </w:rPr>
        <w:t xml:space="preserve"> only</w:t>
      </w:r>
      <w:r w:rsidR="00635F8D">
        <w:rPr>
          <w:b w:val="0"/>
        </w:rPr>
        <w:t xml:space="preserve"> </w:t>
      </w:r>
      <w:r w:rsidR="00833BA9">
        <w:rPr>
          <w:b w:val="0"/>
        </w:rPr>
        <w:t>two</w:t>
      </w:r>
      <w:r>
        <w:rPr>
          <w:b w:val="0"/>
        </w:rPr>
        <w:t xml:space="preserve"> of </w:t>
      </w:r>
      <w:r w:rsidR="00B237DC">
        <w:rPr>
          <w:b w:val="0"/>
        </w:rPr>
        <w:t xml:space="preserve">the </w:t>
      </w:r>
      <w:r w:rsidR="00833BA9">
        <w:rPr>
          <w:b w:val="0"/>
        </w:rPr>
        <w:t>six</w:t>
      </w:r>
      <w:r>
        <w:rPr>
          <w:b w:val="0"/>
        </w:rPr>
        <w:t xml:space="preserve"> </w:t>
      </w:r>
      <w:r w:rsidR="00635F8D">
        <w:rPr>
          <w:b w:val="0"/>
        </w:rPr>
        <w:t>PAH ratios</w:t>
      </w:r>
      <w:r w:rsidR="008566C1">
        <w:rPr>
          <w:b w:val="0"/>
        </w:rPr>
        <w:t xml:space="preserve"> used</w:t>
      </w:r>
      <w:r w:rsidR="00635F8D">
        <w:rPr>
          <w:b w:val="0"/>
        </w:rPr>
        <w:t xml:space="preserve"> to determine </w:t>
      </w:r>
      <w:r w:rsidR="00B237DC">
        <w:rPr>
          <w:b w:val="0"/>
        </w:rPr>
        <w:t>petrogenic vs pyrogenic</w:t>
      </w:r>
      <w:r w:rsidR="008566C1">
        <w:rPr>
          <w:b w:val="0"/>
        </w:rPr>
        <w:t xml:space="preserve"> sources</w:t>
      </w:r>
      <w:r w:rsidR="00E308B3">
        <w:rPr>
          <w:b w:val="0"/>
        </w:rPr>
        <w:t xml:space="preserve"> in the Westbury Formation</w:t>
      </w:r>
      <w:r w:rsidR="00B237DC">
        <w:rPr>
          <w:b w:val="0"/>
        </w:rPr>
        <w:t xml:space="preserve"> support mixed sources and none show a combustion origin</w:t>
      </w:r>
      <w:r w:rsidR="00CF1ECE">
        <w:rPr>
          <w:b w:val="0"/>
        </w:rPr>
        <w:t xml:space="preserve"> (Fig. 5; Supplementary information)</w:t>
      </w:r>
      <w:r w:rsidR="00B237DC">
        <w:rPr>
          <w:b w:val="0"/>
        </w:rPr>
        <w:t xml:space="preserve"> </w:t>
      </w:r>
      <w:r w:rsidR="00635F8D">
        <w:rPr>
          <w:b w:val="0"/>
        </w:rPr>
        <w:t xml:space="preserve">we consider </w:t>
      </w:r>
      <w:proofErr w:type="spellStart"/>
      <w:r w:rsidR="00B237DC">
        <w:rPr>
          <w:b w:val="0"/>
        </w:rPr>
        <w:t>py</w:t>
      </w:r>
      <w:r w:rsidR="00635F8D">
        <w:rPr>
          <w:b w:val="0"/>
        </w:rPr>
        <w:t>PAH</w:t>
      </w:r>
      <w:proofErr w:type="spellEnd"/>
      <w:r w:rsidR="00635F8D">
        <w:rPr>
          <w:b w:val="0"/>
        </w:rPr>
        <w:t xml:space="preserve"> profiles evidence of erosional release of older</w:t>
      </w:r>
      <w:r w:rsidR="00CF1ECE">
        <w:rPr>
          <w:b w:val="0"/>
        </w:rPr>
        <w:t xml:space="preserve"> soil-stored</w:t>
      </w:r>
      <w:r w:rsidR="00635F8D">
        <w:rPr>
          <w:b w:val="0"/>
        </w:rPr>
        <w:t xml:space="preserve"> </w:t>
      </w:r>
      <w:r w:rsidR="00CF1ECE">
        <w:rPr>
          <w:b w:val="0"/>
        </w:rPr>
        <w:t xml:space="preserve">PAHs and </w:t>
      </w:r>
      <w:r w:rsidR="00635F8D">
        <w:rPr>
          <w:b w:val="0"/>
        </w:rPr>
        <w:t>terrestrial material</w:t>
      </w:r>
      <w:r w:rsidR="00B237DC">
        <w:rPr>
          <w:b w:val="0"/>
        </w:rPr>
        <w:t xml:space="preserve"> at this interval</w:t>
      </w:r>
      <w:r w:rsidR="00635F8D">
        <w:rPr>
          <w:b w:val="0"/>
        </w:rPr>
        <w:t xml:space="preserve">. </w:t>
      </w:r>
      <w:proofErr w:type="spellStart"/>
      <w:r w:rsidR="00CF1ECE">
        <w:rPr>
          <w:b w:val="0"/>
        </w:rPr>
        <w:t>py</w:t>
      </w:r>
      <w:r w:rsidR="00465C2E">
        <w:rPr>
          <w:b w:val="0"/>
        </w:rPr>
        <w:t>PAHs</w:t>
      </w:r>
      <w:proofErr w:type="spellEnd"/>
      <w:r w:rsidR="00CF1ECE">
        <w:rPr>
          <w:b w:val="0"/>
        </w:rPr>
        <w:t xml:space="preserve"> increases</w:t>
      </w:r>
      <w:r w:rsidR="00465C2E">
        <w:rPr>
          <w:b w:val="0"/>
        </w:rPr>
        <w:t xml:space="preserve"> during the Westbury Formation</w:t>
      </w:r>
      <w:r w:rsidR="00962ECC">
        <w:rPr>
          <w:b w:val="0"/>
        </w:rPr>
        <w:t xml:space="preserve"> related to</w:t>
      </w:r>
      <w:r w:rsidR="00F4391F">
        <w:rPr>
          <w:b w:val="0"/>
        </w:rPr>
        <w:t xml:space="preserve"> enhanced </w:t>
      </w:r>
      <w:r w:rsidR="00962ECC">
        <w:rPr>
          <w:b w:val="0"/>
        </w:rPr>
        <w:t xml:space="preserve">input </w:t>
      </w:r>
      <w:r w:rsidR="00F4391F">
        <w:rPr>
          <w:b w:val="0"/>
        </w:rPr>
        <w:t>of terrestrial material</w:t>
      </w:r>
      <w:r w:rsidR="002947E8">
        <w:rPr>
          <w:b w:val="0"/>
        </w:rPr>
        <w:t xml:space="preserve"> are</w:t>
      </w:r>
      <w:r w:rsidR="00962ECC">
        <w:rPr>
          <w:b w:val="0"/>
        </w:rPr>
        <w:t xml:space="preserve"> </w:t>
      </w:r>
      <w:r w:rsidR="00E71752">
        <w:rPr>
          <w:b w:val="0"/>
        </w:rPr>
        <w:t>supported by</w:t>
      </w:r>
      <w:r w:rsidR="00962ECC">
        <w:rPr>
          <w:b w:val="0"/>
        </w:rPr>
        <w:t xml:space="preserve"> other geochemical </w:t>
      </w:r>
      <w:r w:rsidR="00E71752">
        <w:rPr>
          <w:b w:val="0"/>
        </w:rPr>
        <w:t xml:space="preserve">observations such as </w:t>
      </w:r>
      <w:r w:rsidR="00B416FA">
        <w:rPr>
          <w:b w:val="0"/>
        </w:rPr>
        <w:t xml:space="preserve">elevated </w:t>
      </w:r>
      <w:r w:rsidR="00870EDA">
        <w:rPr>
          <w:b w:val="0"/>
          <w:vertAlign w:val="superscript"/>
        </w:rPr>
        <w:t>182</w:t>
      </w:r>
      <w:r w:rsidR="00E71752">
        <w:rPr>
          <w:b w:val="0"/>
        </w:rPr>
        <w:t>Os</w:t>
      </w:r>
      <w:r w:rsidR="00870EDA">
        <w:rPr>
          <w:b w:val="0"/>
        </w:rPr>
        <w:t>/</w:t>
      </w:r>
      <w:r w:rsidR="00870EDA">
        <w:rPr>
          <w:b w:val="0"/>
          <w:vertAlign w:val="superscript"/>
        </w:rPr>
        <w:t>188</w:t>
      </w:r>
      <w:r w:rsidR="00870EDA">
        <w:rPr>
          <w:b w:val="0"/>
        </w:rPr>
        <w:t>Os</w:t>
      </w:r>
      <w:r w:rsidR="00870EDA">
        <w:rPr>
          <w:b w:val="0"/>
          <w:vertAlign w:val="subscript"/>
        </w:rPr>
        <w:t>(</w:t>
      </w:r>
      <w:proofErr w:type="spellStart"/>
      <w:r w:rsidR="00870EDA">
        <w:rPr>
          <w:b w:val="0"/>
          <w:vertAlign w:val="subscript"/>
        </w:rPr>
        <w:t>i</w:t>
      </w:r>
      <w:proofErr w:type="spellEnd"/>
      <w:r w:rsidR="00870EDA">
        <w:rPr>
          <w:b w:val="0"/>
          <w:vertAlign w:val="subscript"/>
        </w:rPr>
        <w:t>)</w:t>
      </w:r>
      <w:r w:rsidR="00E71752">
        <w:rPr>
          <w:b w:val="0"/>
        </w:rPr>
        <w:t xml:space="preserve"> isotope values</w:t>
      </w:r>
      <w:r w:rsidR="00916F27">
        <w:rPr>
          <w:b w:val="0"/>
        </w:rPr>
        <w:t xml:space="preserve"> in the Westbury Formation</w:t>
      </w:r>
      <w:r w:rsidR="00F51267">
        <w:rPr>
          <w:b w:val="0"/>
        </w:rPr>
        <w:t xml:space="preserve"> </w:t>
      </w:r>
      <w:r w:rsidR="00F51267">
        <w:rPr>
          <w:b w:val="0"/>
        </w:rPr>
        <w:fldChar w:fldCharType="begin" w:fldLock="1"/>
      </w:r>
      <w:r w:rsidR="00A249D1">
        <w:rPr>
          <w:b w:val="0"/>
        </w:rPr>
        <w:instrText>ADDIN CSL_CITATION {"citationItems":[{"id":"ITEM-1","itemData":{"DOI":"10.1130/0091-7613(2002)030&lt;0267:NGEFTO&gt;2.0.CO;2","ISSN":"0091-7613","abstract":"The Late Triassic–Early Jurassic was a time of major global change; however, the fundamental processes driving these changes are less than clear. We have determined the Re and Os abundances, and Os isotope compositions, of marine mudrock samples that span the Triassic-Jurassic boundary in the UK and have established that major isotopic and geochemical shifts in the composition of seawater took place in the latest Triassic. We argue that these shifts were caused by the sudden initiation of widespread igneous activity within the Central Atlantic magmatic province, associated with rifting of the supercontinent Pangea. The Os isotope composition of seawater responded rapidly to these events, demonstrating that the seawater Os isotope system has great potential in identifying the nature and precise timing of major environmental change.","author":[{"dropping-particle":"","family":"Cohen","given":"Anthony S","non-dropping-particle":"","parse-names":false,"suffix":""},{"dropping-particle":"","family":"Coe","given":"Angela L","non-dropping-particle":"","parse-names":false,"suffix":""}],"container-title":"Geology","id":"ITEM-1","issue":"3","issued":{"date-parts":[["2002","3","1"]]},"page":"267-270","title":"New geochemical evidence for the onset of volcanism in the Central Atlantic magmatic province and environmental change at the Triassic-Jurassic boundary","type":"article-journal","volume":"30"},"uris":["http://www.mendeley.com/documents/?uuid=5924f62b-d140-4429-b0fc-c3681a6aab80"]}],"mendeley":{"formattedCitation":"(Cohen and Coe, 2002)","plainTextFormattedCitation":"(Cohen and Coe, 2002)","previouslyFormattedCitation":"(Cohen and Coe, 2002)"},"properties":{"noteIndex":0},"schema":"https://github.com/citation-style-language/schema/raw/master/csl-citation.json"}</w:instrText>
      </w:r>
      <w:r w:rsidR="00F51267">
        <w:rPr>
          <w:b w:val="0"/>
        </w:rPr>
        <w:fldChar w:fldCharType="separate"/>
      </w:r>
      <w:r w:rsidR="00A249D1" w:rsidRPr="00A249D1">
        <w:rPr>
          <w:b w:val="0"/>
          <w:noProof/>
        </w:rPr>
        <w:t>(Cohen and Coe, 2002)</w:t>
      </w:r>
      <w:r w:rsidR="00F51267">
        <w:rPr>
          <w:b w:val="0"/>
        </w:rPr>
        <w:fldChar w:fldCharType="end"/>
      </w:r>
      <w:r w:rsidR="00425496">
        <w:rPr>
          <w:b w:val="0"/>
        </w:rPr>
        <w:t>.</w:t>
      </w:r>
      <w:r w:rsidR="00870EDA">
        <w:rPr>
          <w:b w:val="0"/>
        </w:rPr>
        <w:t xml:space="preserve"> </w:t>
      </w:r>
      <w:r w:rsidR="00750C99">
        <w:rPr>
          <w:b w:val="0"/>
        </w:rPr>
        <w:t>R</w:t>
      </w:r>
      <w:r w:rsidR="00332ABB">
        <w:rPr>
          <w:b w:val="0"/>
        </w:rPr>
        <w:t>egardless of the exact mechanism</w:t>
      </w:r>
      <w:r w:rsidR="00E308B3">
        <w:rPr>
          <w:b w:val="0"/>
        </w:rPr>
        <w:t>,</w:t>
      </w:r>
      <w:r w:rsidR="00332ABB">
        <w:rPr>
          <w:b w:val="0"/>
        </w:rPr>
        <w:t xml:space="preserve"> the PAH-evidenced increase</w:t>
      </w:r>
      <w:r w:rsidR="008566C1">
        <w:rPr>
          <w:b w:val="0"/>
        </w:rPr>
        <w:t xml:space="preserve">s </w:t>
      </w:r>
      <w:r w:rsidR="008A7F22">
        <w:rPr>
          <w:b w:val="0"/>
        </w:rPr>
        <w:t>in</w:t>
      </w:r>
      <w:r w:rsidR="00332ABB">
        <w:rPr>
          <w:b w:val="0"/>
        </w:rPr>
        <w:t xml:space="preserve"> terrestrial material</w:t>
      </w:r>
      <w:r w:rsidR="00827574">
        <w:rPr>
          <w:b w:val="0"/>
        </w:rPr>
        <w:t xml:space="preserve"> </w:t>
      </w:r>
      <w:r w:rsidR="0038284D">
        <w:rPr>
          <w:b w:val="0"/>
        </w:rPr>
        <w:t>in addition to compound-specific isotope data</w:t>
      </w:r>
      <w:r w:rsidR="00332ABB">
        <w:rPr>
          <w:b w:val="0"/>
        </w:rPr>
        <w:t xml:space="preserve"> further </w:t>
      </w:r>
      <w:r w:rsidR="0043652D">
        <w:rPr>
          <w:b w:val="0"/>
        </w:rPr>
        <w:t>s</w:t>
      </w:r>
      <w:r w:rsidR="00870EDA">
        <w:rPr>
          <w:b w:val="0"/>
        </w:rPr>
        <w:t>upport</w:t>
      </w:r>
      <w:r w:rsidR="00CF1ECE">
        <w:rPr>
          <w:b w:val="0"/>
        </w:rPr>
        <w:t>s</w:t>
      </w:r>
      <w:r w:rsidR="00F4391F">
        <w:rPr>
          <w:b w:val="0"/>
        </w:rPr>
        <w:t xml:space="preserve"> </w:t>
      </w:r>
      <w:r w:rsidR="008A298A" w:rsidRPr="00B92ACB">
        <w:rPr>
          <w:b w:val="0"/>
        </w:rPr>
        <w:t xml:space="preserve">increased input of </w:t>
      </w:r>
      <w:r w:rsidR="008A298A" w:rsidRPr="00B92ACB">
        <w:rPr>
          <w:b w:val="0"/>
          <w:vertAlign w:val="superscript"/>
        </w:rPr>
        <w:t>13</w:t>
      </w:r>
      <w:r w:rsidR="008A298A" w:rsidRPr="00B92ACB">
        <w:rPr>
          <w:b w:val="0"/>
        </w:rPr>
        <w:t>C-depleted terrestrial</w:t>
      </w:r>
      <w:r w:rsidR="00F4391F">
        <w:rPr>
          <w:b w:val="0"/>
        </w:rPr>
        <w:t xml:space="preserve"> plant material</w:t>
      </w:r>
      <w:r w:rsidR="008A298A" w:rsidRPr="00B92ACB">
        <w:rPr>
          <w:b w:val="0"/>
        </w:rPr>
        <w:t xml:space="preserve"> driving the precursor CIE</w:t>
      </w:r>
      <w:r w:rsidR="00962ECC">
        <w:rPr>
          <w:b w:val="0"/>
        </w:rPr>
        <w:t>.</w:t>
      </w:r>
      <w:r w:rsidR="00962ECC">
        <w:t xml:space="preserve"> </w:t>
      </w:r>
    </w:p>
    <w:p w14:paraId="1F44D251" w14:textId="4C4D6B87" w:rsidR="00187F5D" w:rsidRDefault="008A298A" w:rsidP="00332ABB">
      <w:pPr>
        <w:pStyle w:val="Head2"/>
        <w:spacing w:line="480" w:lineRule="auto"/>
        <w:ind w:firstLine="720"/>
        <w:jc w:val="both"/>
        <w:rPr>
          <w:b w:val="0"/>
        </w:rPr>
      </w:pPr>
      <w:r w:rsidRPr="00BF1787">
        <w:rPr>
          <w:b w:val="0"/>
        </w:rPr>
        <w:lastRenderedPageBreak/>
        <w:t>For much of t</w:t>
      </w:r>
      <w:r w:rsidR="00B92ACB" w:rsidRPr="00BF1787">
        <w:rPr>
          <w:b w:val="0"/>
        </w:rPr>
        <w:t>he Westbury Formation, perylene</w:t>
      </w:r>
      <w:r w:rsidR="00987BF0" w:rsidRPr="00BF1787">
        <w:rPr>
          <w:b w:val="0"/>
        </w:rPr>
        <w:t xml:space="preserve"> concentrations</w:t>
      </w:r>
      <w:r w:rsidR="00B92ACB" w:rsidRPr="00BF1787">
        <w:rPr>
          <w:b w:val="0"/>
        </w:rPr>
        <w:t xml:space="preserve"> </w:t>
      </w:r>
      <w:r w:rsidR="00735E15">
        <w:rPr>
          <w:b w:val="0"/>
        </w:rPr>
        <w:t xml:space="preserve">also </w:t>
      </w:r>
      <w:r w:rsidR="00B92ACB" w:rsidRPr="00BF1787">
        <w:rPr>
          <w:b w:val="0"/>
        </w:rPr>
        <w:t xml:space="preserve">track the cyclical changes in DBT, DBF and </w:t>
      </w:r>
      <w:r w:rsidR="007C66D9" w:rsidRPr="0070044E">
        <w:rPr>
          <w:b w:val="0"/>
          <w:bCs/>
        </w:rPr>
        <w:t>∑</w:t>
      </w:r>
      <w:proofErr w:type="spellStart"/>
      <w:r w:rsidR="007C66D9" w:rsidRPr="0070044E">
        <w:rPr>
          <w:b w:val="0"/>
          <w:bCs/>
        </w:rPr>
        <w:t>pyPAH</w:t>
      </w:r>
      <w:proofErr w:type="spellEnd"/>
      <w:r w:rsidR="00B92ACB" w:rsidRPr="00BF1787">
        <w:rPr>
          <w:b w:val="0"/>
        </w:rPr>
        <w:t xml:space="preserve">, </w:t>
      </w:r>
      <w:proofErr w:type="gramStart"/>
      <w:r w:rsidRPr="00BF1787">
        <w:rPr>
          <w:b w:val="0"/>
        </w:rPr>
        <w:t>with the exception of</w:t>
      </w:r>
      <w:proofErr w:type="gramEnd"/>
      <w:r w:rsidRPr="00BF1787">
        <w:rPr>
          <w:b w:val="0"/>
        </w:rPr>
        <w:t xml:space="preserve"> one interval where</w:t>
      </w:r>
      <w:r w:rsidR="00987BF0" w:rsidRPr="00BF1787">
        <w:rPr>
          <w:b w:val="0"/>
        </w:rPr>
        <w:t xml:space="preserve"> </w:t>
      </w:r>
      <w:r w:rsidR="0043652D">
        <w:rPr>
          <w:b w:val="0"/>
        </w:rPr>
        <w:t xml:space="preserve">the </w:t>
      </w:r>
      <w:r w:rsidR="00987BF0" w:rsidRPr="00BF1787">
        <w:rPr>
          <w:b w:val="0"/>
        </w:rPr>
        <w:t>largest</w:t>
      </w:r>
      <w:r w:rsidR="00B92ACB" w:rsidRPr="00BF1787">
        <w:rPr>
          <w:b w:val="0"/>
        </w:rPr>
        <w:t xml:space="preserve"> perylene</w:t>
      </w:r>
      <w:r w:rsidRPr="00BF1787">
        <w:rPr>
          <w:b w:val="0"/>
        </w:rPr>
        <w:t xml:space="preserve"> increases</w:t>
      </w:r>
      <w:r w:rsidR="00987BF0" w:rsidRPr="00BF1787">
        <w:rPr>
          <w:b w:val="0"/>
        </w:rPr>
        <w:t xml:space="preserve"> (</w:t>
      </w:r>
      <w:r w:rsidR="00735E15">
        <w:rPr>
          <w:b w:val="0"/>
        </w:rPr>
        <w:t>parallel</w:t>
      </w:r>
      <w:r w:rsidR="00987BF0" w:rsidRPr="00BF1787">
        <w:rPr>
          <w:b w:val="0"/>
        </w:rPr>
        <w:t xml:space="preserve"> with increases in </w:t>
      </w:r>
      <w:proofErr w:type="spellStart"/>
      <w:r w:rsidR="00CF1ECE">
        <w:rPr>
          <w:b w:val="0"/>
        </w:rPr>
        <w:t>py</w:t>
      </w:r>
      <w:r w:rsidR="00987BF0" w:rsidRPr="00BF1787">
        <w:rPr>
          <w:b w:val="0"/>
        </w:rPr>
        <w:t>PAHs</w:t>
      </w:r>
      <w:proofErr w:type="spellEnd"/>
      <w:r w:rsidR="00987BF0" w:rsidRPr="00BF1787">
        <w:rPr>
          <w:b w:val="0"/>
        </w:rPr>
        <w:t>)</w:t>
      </w:r>
      <w:r w:rsidRPr="00BF1787">
        <w:rPr>
          <w:b w:val="0"/>
        </w:rPr>
        <w:t xml:space="preserve"> </w:t>
      </w:r>
      <w:r w:rsidR="00987BF0" w:rsidRPr="00BF1787">
        <w:rPr>
          <w:b w:val="0"/>
        </w:rPr>
        <w:t>coincide with low</w:t>
      </w:r>
      <w:r w:rsidRPr="00BF1787">
        <w:rPr>
          <w:b w:val="0"/>
        </w:rPr>
        <w:t xml:space="preserve"> DBT and DBF concentrations</w:t>
      </w:r>
      <w:r w:rsidR="00987BF0" w:rsidRPr="00BF1787">
        <w:rPr>
          <w:b w:val="0"/>
        </w:rPr>
        <w:t>.</w:t>
      </w:r>
      <w:r w:rsidRPr="00BF1787">
        <w:rPr>
          <w:b w:val="0"/>
        </w:rPr>
        <w:t xml:space="preserve"> </w:t>
      </w:r>
      <w:r w:rsidR="00EB2DB5">
        <w:rPr>
          <w:b w:val="0"/>
        </w:rPr>
        <w:t>I</w:t>
      </w:r>
      <w:r w:rsidR="00BF1787" w:rsidRPr="00BF1787">
        <w:rPr>
          <w:b w:val="0"/>
        </w:rPr>
        <w:t>sotopic anal</w:t>
      </w:r>
      <w:r w:rsidR="003966C6">
        <w:rPr>
          <w:b w:val="0"/>
        </w:rPr>
        <w:t>yses and changes in perylene</w:t>
      </w:r>
      <w:r w:rsidR="00BF1787" w:rsidRPr="00BF1787">
        <w:rPr>
          <w:b w:val="0"/>
        </w:rPr>
        <w:t xml:space="preserve"> concentrations with lignin alcohol ratios show strongest evidence tha</w:t>
      </w:r>
      <w:r w:rsidR="003966C6">
        <w:rPr>
          <w:b w:val="0"/>
        </w:rPr>
        <w:t>t the formation of perylene</w:t>
      </w:r>
      <w:r w:rsidR="00BF1787" w:rsidRPr="00BF1787">
        <w:rPr>
          <w:b w:val="0"/>
        </w:rPr>
        <w:t xml:space="preserve"> is associated with lignin degradation and </w:t>
      </w:r>
      <w:r w:rsidR="00465C2E">
        <w:rPr>
          <w:b w:val="0"/>
        </w:rPr>
        <w:t>originate</w:t>
      </w:r>
      <w:r w:rsidR="00BF1787" w:rsidRPr="00BF1787">
        <w:rPr>
          <w:b w:val="0"/>
        </w:rPr>
        <w:t xml:space="preserve"> from wood-degrading fungi</w:t>
      </w:r>
      <w:r w:rsidR="00F51267">
        <w:rPr>
          <w:b w:val="0"/>
        </w:rPr>
        <w:t xml:space="preserve"> </w:t>
      </w:r>
      <w:r w:rsidR="00F51267">
        <w:rPr>
          <w:b w:val="0"/>
        </w:rPr>
        <w:fldChar w:fldCharType="begin" w:fldLock="1"/>
      </w:r>
      <w:r w:rsidR="00EB2DB5">
        <w:rPr>
          <w:b w:val="0"/>
        </w:rPr>
        <w:instrText>ADDIN CSL_CITATION {"citationItems":[{"id":"ITEM-1","itemData":{"DOI":"https://doi.org/10.1016/S0146-6380(00)00074-7","ISSN":"0146-6380","abstract":"The distributions of polycyclic aromatic hydrocarbons (PAHs) in sediments of three Upper Triassic to Middle Jurassic sedimentary sequences from the Northern Carnarvon Basin, Australia have been investigated. Perylene was found to be a major PAH component in the top Lower to base Middle Jurassic sediments that are immature or at low maturity. Its depth/age profiles are not related to the combustion-derived PAHs that have been believed to be produced during ancient vegetation fires before deposition. This suggests a diagenetic origin for perylene. The concentration of perylene in the sediments is proportional to the amount of terrestrial input, decreasing with distance from the source of land sediments. Its carbon isotope composition is slightly heavier than higher-plant derived PAHs, but still in the range of the terrestrially sourced PAHs including higher-plant PAHs and combustion-derived PAHs as suggested previously. Fungi are proposed to be the major precursor carriers for perylene in sediments based on the facts that (1) perylenequinone structures have been previously suggested to be the natural precursors for perylene; (2) perylenequinone pigments exist in many fungal bodies; (3) fungi have played an important role during geological processes.","author":[{"dropping-particle":"","family":"Jiang","given":"Chunqing","non-dropping-particle":"","parse-names":false,"suffix":""},{"dropping-particle":"","family":"Alexander","given":"Robert","non-dropping-particle":"","parse-names":false,"suffix":""},{"dropping-particle":"","family":"Kagi","given":"Robert I","non-dropping-particle":"","parse-names":false,"suffix":""},{"dropping-particle":"","family":"Murray","given":"Andrew P","non-dropping-particle":"","parse-names":false,"suffix":""}],"container-title":"Organic Geochemistry","id":"ITEM-1","issue":"12","issued":{"date-parts":[["2000"]]},"page":"1545-1559","title":"Origin of perylene in ancient sediments and its geological significance","type":"article-journal","volume":"31"},"uris":["http://www.mendeley.com/documents/?uuid=235ded89-6eb6-4ca4-8e85-8c8f69df98bb"]},{"id":"ITEM-2","itemData":{"DOI":"https://doi.org/10.1016/j.gca.2009.07.029","ISSN":"0016-7037","abstract":"The origin of the polycyclic aromatic hydrocarbon (PAH) perylene in sediments and petroleum has been a matter of continued debate. Reported to occur in Phanerozoic organic matter (OM), fossil crinoids and tropical termite mounds, its mechanism of formation remains unclear. While a combustion source can be excluded, structural similarities to perylene quinone-like components present in e.g. fungi, plants, crinoids and insects, potentially suggest a product–precursor relationship. Here, we report perylene concentrations, 13C/12C, and D/H ratios from a Holocene sediment profile from the Qingpu trench, Yangtze Delta region, China. Perylene concentrations differ from those of pyrogenic PAHs, and rise to prominence in a stratigraphic interval that was dominated by woody vegetation as determined by palynology including fungal spores. In this zone, perylene concentrations exhibit an inverse relationship to the lignin marker guaiacol, D/H ratios between −284‰ and −317‰, similar to the methoxy groups in lignin, as well as co-variation with spores from wood-degrading fungi. 13C/12C of perylene differs from that of land plant wax alkanes and falls in the fractionation range expected for saprophytic fungi that utilise lignin, which is isotopically lighter than cellulose and whole wood. During progressive lignin degradation, the relative carbon isotopic ratio of the perylene decreases. We therefore hypothesise a relationship of perylene to the activity of wood-degrading fungi. To support our hypothesis, we analysed a wide range of Phanerozoic sediments and oils, and found perylene to generally be present in subordinate amounts before the evolutionary rise of vascular plants, and to be generally absent from marine-sourced oils, few exceptions being attributed perhaps to a contribution of marine and/or terrestrial-derived fungi, anoxia (especially under marine conditions) and/or contamination of core material by fungi. A series of low-molecular-weight aromatic quinones bearing the perylene-backbone were detected in Devonian and Cretaceous sediments, potentially representing precursor components to perylene.","author":[{"dropping-particle":"","family":"Grice","given":"Kliti","non-dropping-particle":"","parse-names":false,"suffix":""},{"dropping-particle":"","family":"Lu","given":"Hong","non-dropping-particle":"","parse-names":false,"suffix":""},{"dropping-particle":"","family":"Atahan","given":"Pia","non-dropping-particle":"","parse-names":false,"suffix":""},{"dropping-particle":"","family":"Asif","given":"Muhammad","non-dropping-particle":"","parse-names":false,"suffix":""},{"dropping-particle":"","family":"Hallmann","given":"Christian","non-dropping-particle":"","parse-names":false,"suffix":""},{"dropping-particle":"","family":"Greenwood","given":"Paul","non-dropping-particle":"","parse-names":false,"suffix":""},{"dropping-particle":"","family":"Maslen","given":"Ercin","non-dropping-particle":"","parse-names":false,"suffix":""},{"dropping-particle":"","family":"Tulipani","given":"Svenja","non-dropping-particle":"","parse-names":false,"suffix":""},{"dropping-particle":"","family":"Williford","given":"Kenneth","non-dropping-particle":"","parse-names":false,"suffix":""},{"dropping-particle":"","family":"Dodson","given":"John","non-dropping-particle":"","parse-names":false,"suffix":""}],"container-title":"Geochimica et Cosmochimica Acta","id":"ITEM-2","issue":"21","issued":{"date-parts":[["2009"]]},"page":"6531-6543","title":"New insights into the origin of perylene in geological samples","type":"article-journal","volume":"73"},"uris":["http://www.mendeley.com/documents/?uuid=9f1cc300-f4e1-4350-8608-70aaa9825f68"]}],"mendeley":{"formattedCitation":"(Grice et al., 2009; Jiang et al., 2000)","manualFormatting":"(Grice et al., 2009)","plainTextFormattedCitation":"(Grice et al., 2009; Jiang et al., 2000)","previouslyFormattedCitation":"(Grice et al., 2009; Jiang et al., 2000)"},"properties":{"noteIndex":0},"schema":"https://github.com/citation-style-language/schema/raw/master/csl-citation.json"}</w:instrText>
      </w:r>
      <w:r w:rsidR="00F51267">
        <w:rPr>
          <w:b w:val="0"/>
        </w:rPr>
        <w:fldChar w:fldCharType="separate"/>
      </w:r>
      <w:r w:rsidR="00A249D1" w:rsidRPr="00A249D1">
        <w:rPr>
          <w:b w:val="0"/>
          <w:noProof/>
        </w:rPr>
        <w:t>(Grice et al., 2009)</w:t>
      </w:r>
      <w:r w:rsidR="00F51267">
        <w:rPr>
          <w:b w:val="0"/>
        </w:rPr>
        <w:fldChar w:fldCharType="end"/>
      </w:r>
      <w:r w:rsidR="00BF1787" w:rsidRPr="00BF1787">
        <w:rPr>
          <w:b w:val="0"/>
        </w:rPr>
        <w:t xml:space="preserve">. </w:t>
      </w:r>
      <w:r w:rsidR="00BF087F">
        <w:rPr>
          <w:b w:val="0"/>
        </w:rPr>
        <w:t>I</w:t>
      </w:r>
      <w:r w:rsidRPr="00BF1787">
        <w:rPr>
          <w:b w:val="0"/>
        </w:rPr>
        <w:t>ncreases in perylene coincident with reducti</w:t>
      </w:r>
      <w:r w:rsidR="00BF1787" w:rsidRPr="00BF1787">
        <w:rPr>
          <w:b w:val="0"/>
        </w:rPr>
        <w:t xml:space="preserve">ons in DBT and DBF </w:t>
      </w:r>
      <w:r w:rsidRPr="00BF1787">
        <w:rPr>
          <w:b w:val="0"/>
        </w:rPr>
        <w:t>further supports evidence that perylene is associated</w:t>
      </w:r>
      <w:r w:rsidR="00F93F1B">
        <w:rPr>
          <w:b w:val="0"/>
        </w:rPr>
        <w:t xml:space="preserve"> with the degradation of lignin and that DBT and DBF</w:t>
      </w:r>
      <w:r w:rsidRPr="00BF1787">
        <w:rPr>
          <w:b w:val="0"/>
        </w:rPr>
        <w:t xml:space="preserve"> have a common lignin source</w:t>
      </w:r>
      <w:r w:rsidR="00BF087F">
        <w:rPr>
          <w:b w:val="0"/>
        </w:rPr>
        <w:t xml:space="preserve"> as well </w:t>
      </w:r>
      <w:r w:rsidR="00496D1D">
        <w:rPr>
          <w:b w:val="0"/>
        </w:rPr>
        <w:t>as a</w:t>
      </w:r>
      <w:r w:rsidR="00BF087F">
        <w:rPr>
          <w:b w:val="0"/>
        </w:rPr>
        <w:t xml:space="preserve"> terrestrial control on the</w:t>
      </w:r>
      <w:r w:rsidR="00F93F1B">
        <w:rPr>
          <w:b w:val="0"/>
        </w:rPr>
        <w:t xml:space="preserve"> cyclical increases in </w:t>
      </w:r>
      <w:r w:rsidR="00F87611" w:rsidRPr="0070044E">
        <w:rPr>
          <w:b w:val="0"/>
          <w:bCs/>
        </w:rPr>
        <w:t>∑</w:t>
      </w:r>
      <w:proofErr w:type="spellStart"/>
      <w:r w:rsidR="00F87611" w:rsidRPr="0070044E">
        <w:rPr>
          <w:b w:val="0"/>
          <w:bCs/>
        </w:rPr>
        <w:t>pyPAH</w:t>
      </w:r>
      <w:proofErr w:type="spellEnd"/>
      <w:r w:rsidR="00F87611">
        <w:rPr>
          <w:b w:val="0"/>
          <w:bCs/>
        </w:rPr>
        <w:t xml:space="preserve"> concentrations</w:t>
      </w:r>
      <w:r w:rsidR="00F87611" w:rsidDel="00F87611">
        <w:rPr>
          <w:b w:val="0"/>
        </w:rPr>
        <w:t xml:space="preserve"> </w:t>
      </w:r>
      <w:r w:rsidR="00F93F1B">
        <w:rPr>
          <w:b w:val="0"/>
        </w:rPr>
        <w:t>in the Westbury Formation</w:t>
      </w:r>
      <w:r w:rsidR="00C74050">
        <w:rPr>
          <w:b w:val="0"/>
        </w:rPr>
        <w:t xml:space="preserve"> and thus terrestrial input during the precursor CIE</w:t>
      </w:r>
      <w:r w:rsidR="00BF1787">
        <w:rPr>
          <w:b w:val="0"/>
        </w:rPr>
        <w:t xml:space="preserve">. </w:t>
      </w:r>
      <w:r w:rsidR="00014AA9">
        <w:rPr>
          <w:b w:val="0"/>
        </w:rPr>
        <w:t>Terrestrial control</w:t>
      </w:r>
      <w:r w:rsidR="00C74050">
        <w:rPr>
          <w:b w:val="0"/>
        </w:rPr>
        <w:t>s</w:t>
      </w:r>
      <w:r w:rsidR="00014AA9">
        <w:rPr>
          <w:b w:val="0"/>
        </w:rPr>
        <w:t xml:space="preserve"> on </w:t>
      </w:r>
      <w:proofErr w:type="spellStart"/>
      <w:r w:rsidR="00014AA9">
        <w:rPr>
          <w:b w:val="0"/>
        </w:rPr>
        <w:t>pyPAHs</w:t>
      </w:r>
      <w:proofErr w:type="spellEnd"/>
      <w:r w:rsidR="00BF1787">
        <w:rPr>
          <w:b w:val="0"/>
        </w:rPr>
        <w:t xml:space="preserve"> may also account for the </w:t>
      </w:r>
      <w:r w:rsidR="003966C6">
        <w:rPr>
          <w:b w:val="0"/>
        </w:rPr>
        <w:t>discrepancies</w:t>
      </w:r>
      <w:r w:rsidR="00BF1787">
        <w:rPr>
          <w:b w:val="0"/>
        </w:rPr>
        <w:t xml:space="preserve"> in </w:t>
      </w:r>
      <w:r w:rsidR="00F87611">
        <w:rPr>
          <w:b w:val="0"/>
        </w:rPr>
        <w:t xml:space="preserve">the </w:t>
      </w:r>
      <w:r w:rsidR="00F87611" w:rsidRPr="0070044E">
        <w:rPr>
          <w:b w:val="0"/>
          <w:bCs/>
        </w:rPr>
        <w:t>∑</w:t>
      </w:r>
      <w:proofErr w:type="spellStart"/>
      <w:r w:rsidR="00F87611" w:rsidRPr="0070044E">
        <w:rPr>
          <w:b w:val="0"/>
          <w:bCs/>
        </w:rPr>
        <w:t>pyPAH</w:t>
      </w:r>
      <w:proofErr w:type="spellEnd"/>
      <w:r w:rsidR="00BF1787">
        <w:rPr>
          <w:b w:val="0"/>
        </w:rPr>
        <w:t xml:space="preserve"> </w:t>
      </w:r>
      <w:r w:rsidR="003966C6">
        <w:rPr>
          <w:b w:val="0"/>
        </w:rPr>
        <w:t>concentrations</w:t>
      </w:r>
      <w:r w:rsidR="00BF1787">
        <w:rPr>
          <w:b w:val="0"/>
        </w:rPr>
        <w:t xml:space="preserve"> between Lilstock and St. Audrie’s Bay</w:t>
      </w:r>
      <w:r w:rsidR="00F93F1B">
        <w:rPr>
          <w:b w:val="0"/>
        </w:rPr>
        <w:t xml:space="preserve"> during the initial CIE</w:t>
      </w:r>
      <w:r w:rsidR="00014AA9">
        <w:rPr>
          <w:b w:val="0"/>
        </w:rPr>
        <w:t>.</w:t>
      </w:r>
      <w:r w:rsidR="00BF1787">
        <w:rPr>
          <w:b w:val="0"/>
        </w:rPr>
        <w:t xml:space="preserve"> </w:t>
      </w:r>
      <w:r w:rsidR="00014AA9">
        <w:rPr>
          <w:b w:val="0"/>
        </w:rPr>
        <w:t>L</w:t>
      </w:r>
      <w:r w:rsidR="00BF1787">
        <w:rPr>
          <w:b w:val="0"/>
        </w:rPr>
        <w:t xml:space="preserve">arge and abrupt increases in </w:t>
      </w:r>
      <w:r w:rsidR="00F87611" w:rsidRPr="0070044E">
        <w:rPr>
          <w:b w:val="0"/>
          <w:bCs/>
        </w:rPr>
        <w:t>∑</w:t>
      </w:r>
      <w:proofErr w:type="spellStart"/>
      <w:r w:rsidR="00F87611" w:rsidRPr="0070044E">
        <w:rPr>
          <w:b w:val="0"/>
          <w:bCs/>
        </w:rPr>
        <w:t>pyPAH</w:t>
      </w:r>
      <w:proofErr w:type="spellEnd"/>
      <w:r w:rsidR="00F87611" w:rsidDel="00F87611">
        <w:rPr>
          <w:b w:val="0"/>
        </w:rPr>
        <w:t xml:space="preserve"> </w:t>
      </w:r>
      <w:r w:rsidR="003966C6">
        <w:rPr>
          <w:b w:val="0"/>
        </w:rPr>
        <w:t xml:space="preserve">concentrations </w:t>
      </w:r>
      <w:r w:rsidR="00870EDA">
        <w:rPr>
          <w:b w:val="0"/>
        </w:rPr>
        <w:t>at Lilstock coincide with only minor increases</w:t>
      </w:r>
      <w:r w:rsidR="00F93F1B">
        <w:rPr>
          <w:b w:val="0"/>
        </w:rPr>
        <w:t xml:space="preserve"> in DBT and DBF concentrations</w:t>
      </w:r>
      <w:r w:rsidR="00F87611">
        <w:rPr>
          <w:b w:val="0"/>
        </w:rPr>
        <w:t xml:space="preserve"> but large</w:t>
      </w:r>
      <w:r w:rsidR="003966C6">
        <w:rPr>
          <w:b w:val="0"/>
        </w:rPr>
        <w:t xml:space="preserve"> increases in perylene</w:t>
      </w:r>
      <w:r w:rsidR="00057876">
        <w:rPr>
          <w:b w:val="0"/>
        </w:rPr>
        <w:t xml:space="preserve"> </w:t>
      </w:r>
      <w:r w:rsidR="001C6DE5">
        <w:rPr>
          <w:b w:val="0"/>
        </w:rPr>
        <w:t>concentrations</w:t>
      </w:r>
      <w:r w:rsidR="003966C6">
        <w:rPr>
          <w:b w:val="0"/>
        </w:rPr>
        <w:t xml:space="preserve"> </w:t>
      </w:r>
      <w:r w:rsidR="00F87611">
        <w:rPr>
          <w:b w:val="0"/>
        </w:rPr>
        <w:t xml:space="preserve">supporting </w:t>
      </w:r>
      <w:r w:rsidR="00F93F1B">
        <w:rPr>
          <w:b w:val="0"/>
        </w:rPr>
        <w:t>increased terrestrial material and lignin degradation (thus reduced DBT and DBF concentrations)</w:t>
      </w:r>
      <w:r w:rsidR="00F87611">
        <w:rPr>
          <w:b w:val="0"/>
        </w:rPr>
        <w:t xml:space="preserve"> whereas</w:t>
      </w:r>
      <w:r w:rsidR="00B6286B">
        <w:rPr>
          <w:b w:val="0"/>
        </w:rPr>
        <w:t xml:space="preserve"> </w:t>
      </w:r>
      <w:r w:rsidR="00F87611">
        <w:rPr>
          <w:b w:val="0"/>
        </w:rPr>
        <w:t>little to no</w:t>
      </w:r>
      <w:r w:rsidR="00C80408">
        <w:rPr>
          <w:b w:val="0"/>
        </w:rPr>
        <w:t xml:space="preserve"> </w:t>
      </w:r>
      <w:r w:rsidR="00322B1C">
        <w:rPr>
          <w:b w:val="0"/>
        </w:rPr>
        <w:t>change</w:t>
      </w:r>
      <w:r w:rsidR="00C80408">
        <w:rPr>
          <w:b w:val="0"/>
        </w:rPr>
        <w:t>s are</w:t>
      </w:r>
      <w:r w:rsidR="00322B1C">
        <w:rPr>
          <w:b w:val="0"/>
        </w:rPr>
        <w:t xml:space="preserve"> observed in</w:t>
      </w:r>
      <w:r w:rsidR="00057876">
        <w:rPr>
          <w:b w:val="0"/>
        </w:rPr>
        <w:t xml:space="preserve"> concentrations of</w:t>
      </w:r>
      <w:r w:rsidR="00F87611">
        <w:rPr>
          <w:b w:val="0"/>
        </w:rPr>
        <w:t xml:space="preserve"> </w:t>
      </w:r>
      <w:r w:rsidR="00F87611" w:rsidRPr="0070044E">
        <w:rPr>
          <w:b w:val="0"/>
          <w:bCs/>
        </w:rPr>
        <w:t>∑</w:t>
      </w:r>
      <w:proofErr w:type="spellStart"/>
      <w:r w:rsidR="00F87611" w:rsidRPr="0070044E">
        <w:rPr>
          <w:b w:val="0"/>
          <w:bCs/>
        </w:rPr>
        <w:t>pyPAH</w:t>
      </w:r>
      <w:proofErr w:type="spellEnd"/>
      <w:r w:rsidR="00F87611">
        <w:rPr>
          <w:b w:val="0"/>
          <w:bCs/>
        </w:rPr>
        <w:t>,</w:t>
      </w:r>
      <w:r w:rsidR="00322B1C">
        <w:rPr>
          <w:b w:val="0"/>
        </w:rPr>
        <w:t xml:space="preserve"> perylene, DBT,</w:t>
      </w:r>
      <w:r w:rsidR="00A839EE">
        <w:rPr>
          <w:b w:val="0"/>
        </w:rPr>
        <w:t xml:space="preserve"> or</w:t>
      </w:r>
      <w:r w:rsidR="00322B1C">
        <w:rPr>
          <w:b w:val="0"/>
        </w:rPr>
        <w:t xml:space="preserve"> DBF</w:t>
      </w:r>
      <w:r w:rsidR="00F87611">
        <w:rPr>
          <w:b w:val="0"/>
        </w:rPr>
        <w:t xml:space="preserve"> at St. Audrie’s Bay</w:t>
      </w:r>
      <w:r w:rsidR="00A839EE">
        <w:rPr>
          <w:b w:val="0"/>
        </w:rPr>
        <w:t>.</w:t>
      </w:r>
      <w:r w:rsidR="00C10450">
        <w:rPr>
          <w:b w:val="0"/>
        </w:rPr>
        <w:t xml:space="preserve"> Additionally, petrogenic vs. pyrogenic PAH ratios </w:t>
      </w:r>
      <w:r w:rsidR="00C74050">
        <w:rPr>
          <w:b w:val="0"/>
        </w:rPr>
        <w:t>during the CIE</w:t>
      </w:r>
      <w:r w:rsidR="00332ABB">
        <w:rPr>
          <w:b w:val="0"/>
        </w:rPr>
        <w:t xml:space="preserve"> at Lilstock are </w:t>
      </w:r>
      <w:proofErr w:type="gramStart"/>
      <w:r w:rsidR="00332ABB">
        <w:rPr>
          <w:b w:val="0"/>
        </w:rPr>
        <w:t>similar to</w:t>
      </w:r>
      <w:proofErr w:type="gramEnd"/>
      <w:r w:rsidR="00332ABB">
        <w:rPr>
          <w:b w:val="0"/>
        </w:rPr>
        <w:t xml:space="preserve"> those of the Westbury Formation at St. Audrie’s Bay</w:t>
      </w:r>
      <w:r w:rsidR="00E308B3">
        <w:rPr>
          <w:b w:val="0"/>
        </w:rPr>
        <w:t xml:space="preserve"> (Figs. 5 – 8)</w:t>
      </w:r>
      <w:r w:rsidR="00332ABB">
        <w:rPr>
          <w:b w:val="0"/>
        </w:rPr>
        <w:t xml:space="preserve">. </w:t>
      </w:r>
    </w:p>
    <w:p w14:paraId="22044704" w14:textId="5122E904" w:rsidR="00D6215E" w:rsidRPr="00F51267" w:rsidRDefault="00582C19" w:rsidP="0014005C">
      <w:pPr>
        <w:pStyle w:val="Head2"/>
        <w:spacing w:line="480" w:lineRule="auto"/>
        <w:ind w:firstLine="720"/>
        <w:jc w:val="both"/>
        <w:rPr>
          <w:b w:val="0"/>
        </w:rPr>
      </w:pPr>
      <w:r>
        <w:rPr>
          <w:b w:val="0"/>
        </w:rPr>
        <w:t>The</w:t>
      </w:r>
      <w:r w:rsidR="00CE4F0B" w:rsidRPr="00B94A65">
        <w:rPr>
          <w:b w:val="0"/>
        </w:rPr>
        <w:t xml:space="preserve"> precursor CIE</w:t>
      </w:r>
      <w:r w:rsidR="00BB1A23">
        <w:rPr>
          <w:b w:val="0"/>
        </w:rPr>
        <w:t xml:space="preserve"> is</w:t>
      </w:r>
      <w:r w:rsidR="00BF1787">
        <w:rPr>
          <w:b w:val="0"/>
        </w:rPr>
        <w:t xml:space="preserve"> </w:t>
      </w:r>
      <w:r w:rsidR="00CE4F0B" w:rsidRPr="00B94A65">
        <w:rPr>
          <w:b w:val="0"/>
        </w:rPr>
        <w:t xml:space="preserve">marked by </w:t>
      </w:r>
      <w:r w:rsidR="00CE4F0B">
        <w:rPr>
          <w:b w:val="0"/>
        </w:rPr>
        <w:t>higher total organic carbon</w:t>
      </w:r>
      <w:r w:rsidR="00CE4F0B" w:rsidRPr="00B94A65">
        <w:rPr>
          <w:b w:val="0"/>
        </w:rPr>
        <w:t xml:space="preserve"> </w:t>
      </w:r>
      <w:r w:rsidR="00CE4F0B">
        <w:rPr>
          <w:b w:val="0"/>
        </w:rPr>
        <w:t>(</w:t>
      </w:r>
      <w:r w:rsidR="00CE4F0B" w:rsidRPr="00B94A65">
        <w:rPr>
          <w:b w:val="0"/>
        </w:rPr>
        <w:t>TOC</w:t>
      </w:r>
      <w:r w:rsidR="00CE4F0B">
        <w:rPr>
          <w:b w:val="0"/>
        </w:rPr>
        <w:t>)</w:t>
      </w:r>
      <w:r w:rsidR="00CE4F0B" w:rsidRPr="00B94A65">
        <w:rPr>
          <w:b w:val="0"/>
        </w:rPr>
        <w:t xml:space="preserve"> percentages (</w:t>
      </w:r>
      <w:r w:rsidR="00BB1A23">
        <w:rPr>
          <w:b w:val="0"/>
        </w:rPr>
        <w:t>~1</w:t>
      </w:r>
      <w:r w:rsidR="00CE4F0B">
        <w:rPr>
          <w:b w:val="0"/>
        </w:rPr>
        <w:t>.5%</w:t>
      </w:r>
      <w:r w:rsidR="00BB1A23">
        <w:rPr>
          <w:b w:val="0"/>
        </w:rPr>
        <w:t xml:space="preserve"> difference</w:t>
      </w:r>
      <w:r w:rsidR="00CE4F0B">
        <w:rPr>
          <w:b w:val="0"/>
        </w:rPr>
        <w:t xml:space="preserve">) </w:t>
      </w:r>
      <w:r w:rsidR="00BF1787">
        <w:rPr>
          <w:b w:val="0"/>
        </w:rPr>
        <w:t xml:space="preserve">and changes </w:t>
      </w:r>
      <w:r w:rsidR="002A5674">
        <w:rPr>
          <w:b w:val="0"/>
        </w:rPr>
        <w:t>in o</w:t>
      </w:r>
      <w:r w:rsidR="00CE4F0B">
        <w:rPr>
          <w:b w:val="0"/>
        </w:rPr>
        <w:t xml:space="preserve">rganic </w:t>
      </w:r>
      <w:r>
        <w:rPr>
          <w:b w:val="0"/>
        </w:rPr>
        <w:t>matter type</w:t>
      </w:r>
      <w:r w:rsidR="00BB1A23">
        <w:rPr>
          <w:b w:val="0"/>
        </w:rPr>
        <w:t xml:space="preserve"> (</w:t>
      </w:r>
      <w:r w:rsidR="00046388">
        <w:rPr>
          <w:b w:val="0"/>
        </w:rPr>
        <w:t xml:space="preserve">e.g., a </w:t>
      </w:r>
      <w:r w:rsidR="00BB1A23">
        <w:rPr>
          <w:b w:val="0"/>
        </w:rPr>
        <w:t>shift from</w:t>
      </w:r>
      <w:r w:rsidR="00246094">
        <w:rPr>
          <w:b w:val="0"/>
        </w:rPr>
        <w:t xml:space="preserve"> Rock-Eval</w:t>
      </w:r>
      <w:r w:rsidR="00BB1A23">
        <w:rPr>
          <w:b w:val="0"/>
        </w:rPr>
        <w:t xml:space="preserve"> </w:t>
      </w:r>
      <w:r w:rsidR="00BC0717">
        <w:rPr>
          <w:b w:val="0"/>
        </w:rPr>
        <w:t xml:space="preserve">type </w:t>
      </w:r>
      <w:r w:rsidR="00BB1A23">
        <w:rPr>
          <w:b w:val="0"/>
        </w:rPr>
        <w:t>II-III to III-IV) (Fig</w:t>
      </w:r>
      <w:r w:rsidR="00A94770">
        <w:rPr>
          <w:b w:val="0"/>
        </w:rPr>
        <w:t xml:space="preserve">. </w:t>
      </w:r>
      <w:r w:rsidR="001C6DE5">
        <w:rPr>
          <w:b w:val="0"/>
        </w:rPr>
        <w:t>3</w:t>
      </w:r>
      <w:r w:rsidR="005A46C2">
        <w:rPr>
          <w:b w:val="0"/>
        </w:rPr>
        <w:t>; 4</w:t>
      </w:r>
      <w:r w:rsidR="00BB1A23">
        <w:rPr>
          <w:b w:val="0"/>
        </w:rPr>
        <w:t>)</w:t>
      </w:r>
      <w:r>
        <w:rPr>
          <w:b w:val="0"/>
        </w:rPr>
        <w:t>.</w:t>
      </w:r>
      <w:r w:rsidR="00BF1787">
        <w:rPr>
          <w:b w:val="0"/>
        </w:rPr>
        <w:t xml:space="preserve"> These results</w:t>
      </w:r>
      <w:r w:rsidR="00CA76D3">
        <w:rPr>
          <w:b w:val="0"/>
        </w:rPr>
        <w:t>,</w:t>
      </w:r>
      <w:r w:rsidR="00BF1787">
        <w:rPr>
          <w:b w:val="0"/>
        </w:rPr>
        <w:t xml:space="preserve"> combined</w:t>
      </w:r>
      <w:r w:rsidR="00B6286B">
        <w:rPr>
          <w:b w:val="0"/>
        </w:rPr>
        <w:t xml:space="preserve"> with </w:t>
      </w:r>
      <w:r w:rsidR="00CA76D3">
        <w:rPr>
          <w:b w:val="0"/>
        </w:rPr>
        <w:t>the result of</w:t>
      </w:r>
      <w:r w:rsidR="00CE4F0B">
        <w:rPr>
          <w:b w:val="0"/>
        </w:rPr>
        <w:t xml:space="preserve"> a modification in </w:t>
      </w:r>
      <w:r w:rsidR="00B6286B">
        <w:rPr>
          <w:b w:val="0"/>
        </w:rPr>
        <w:t xml:space="preserve">land plant </w:t>
      </w:r>
      <w:r w:rsidR="00246094">
        <w:rPr>
          <w:b w:val="0"/>
        </w:rPr>
        <w:t>input</w:t>
      </w:r>
      <w:r w:rsidR="00CA76D3">
        <w:rPr>
          <w:b w:val="0"/>
        </w:rPr>
        <w:t>,</w:t>
      </w:r>
      <w:r w:rsidR="003966C6">
        <w:rPr>
          <w:b w:val="0"/>
        </w:rPr>
        <w:t xml:space="preserve"> demonstrate</w:t>
      </w:r>
      <w:r w:rsidR="00CE4F0B">
        <w:rPr>
          <w:b w:val="0"/>
        </w:rPr>
        <w:t xml:space="preserve"> the precursor CIE does not reflect release of isotopically light carbon</w:t>
      </w:r>
      <w:r w:rsidR="00090043">
        <w:rPr>
          <w:b w:val="0"/>
        </w:rPr>
        <w:t xml:space="preserve">. </w:t>
      </w:r>
      <w:r w:rsidR="003966C6">
        <w:rPr>
          <w:b w:val="0"/>
        </w:rPr>
        <w:t>Instead, t</w:t>
      </w:r>
      <w:r w:rsidR="00090043">
        <w:rPr>
          <w:b w:val="0"/>
        </w:rPr>
        <w:t>hese changes suggest</w:t>
      </w:r>
      <w:r w:rsidR="00CE4F0B">
        <w:rPr>
          <w:b w:val="0"/>
        </w:rPr>
        <w:t xml:space="preserve"> </w:t>
      </w:r>
      <w:r w:rsidR="00CE4F0B" w:rsidRPr="000A2821">
        <w:rPr>
          <w:b w:val="0"/>
        </w:rPr>
        <w:t>C</w:t>
      </w:r>
      <w:r w:rsidR="00CE4F0B" w:rsidRPr="000A2821">
        <w:rPr>
          <w:b w:val="0"/>
          <w:vertAlign w:val="subscript"/>
        </w:rPr>
        <w:t>3</w:t>
      </w:r>
      <w:r w:rsidR="00CE4F0B">
        <w:rPr>
          <w:b w:val="0"/>
        </w:rPr>
        <w:t xml:space="preserve"> plant community change involving a greater input of </w:t>
      </w:r>
      <w:r w:rsidR="00CE4F0B">
        <w:rPr>
          <w:b w:val="0"/>
          <w:vertAlign w:val="superscript"/>
        </w:rPr>
        <w:t>13</w:t>
      </w:r>
      <w:r w:rsidR="00CE4F0B">
        <w:rPr>
          <w:b w:val="0"/>
        </w:rPr>
        <w:t>C-depleted terrestrial plant material. Linking CAMP eruptions to the SW UK relies on chemostratigraphic correlations</w:t>
      </w:r>
      <w:r w:rsidR="00F51267">
        <w:rPr>
          <w:b w:val="0"/>
        </w:rPr>
        <w:t xml:space="preserve"> </w:t>
      </w:r>
      <w:r w:rsidR="00F51267">
        <w:rPr>
          <w:b w:val="0"/>
        </w:rPr>
        <w:lastRenderedPageBreak/>
        <w:fldChar w:fldCharType="begin" w:fldLock="1"/>
      </w:r>
      <w:r w:rsidR="00EB2DB5">
        <w:rPr>
          <w:b w:val="0"/>
        </w:rPr>
        <w:instrText>ADDIN CSL_CITATION {"citationItems":[{"id":"ITEM-1","itemData":{"DOI":"https://doi.org/10.1016/j.palaeo.2016.12.025","ISSN":"0031-0182","abstract":"Understanding the end-Triassic mass extinction event (201.36Ma) requires a clear insight into the stratigraphy of boundary sections, which allows for long-distance correlations and correct distinction of the sequence of events. However, even after the ratification of a Global Stratotype Section and Point, global correlations of TJB successions are hampered by the fact that many of the traditionally used fossil groups were severely affected by the crisis. Here, a new correlation of key TJB successions in Europe, U.S.A. and Peru, based on a combination of biotic (palynology and ammonites), geochemical (δ13Corg) and radiometric (U/Pb ages) constraints, is presented. This new correlation has an impact on the causality and temporal development during the end-Triassic event. It challenges the hitherto used standard correlation, which has formed the basis for a hypothesis that the extinction was caused by more or less instantaneous release of large quantities of light carbon (methane) to the atmosphere, with catastrophic global warming as a consequence. The new correlation instead advocates a more prolonged scenario with a series of feedback mechanisms, as it indicates that the bulk of the hitherto dated, high-titanium, quartz normalized volcanism of the Central Atlantic Magmatic Province (CAMP) preceded or was contemporaneous to the onset of the mass extinction. In addition, the maximum phase of the mass extinction, which affected both the terrestrial and marine ecosystems, was associated with a major regression and repeated, enhanced earthquake activity in Europe. A subsequent transgression resulted in the formation of hiati or condensed successions in many areas in Europe. Later phases of volcanic activity of the CAMP, producing low titanium, quartz normalized and high-iron, quartz normalized basaltic rocks, continued close to the first occurrence of Jurassic ammonites and the defined TJB. During this time the terrestrial ecosystem had begun to recover, but the marine ecosystem remained disturbed.","author":[{"dropping-particle":"","family":"Lindström","given":"Sofie","non-dropping-particle":"","parse-names":false,"suffix":""},{"dropping-particle":"","family":"Schootbrugge","given":"Bas","non-dropping-particle":"van de","parse-names":false,"suffix":""},{"dropping-particle":"","family":"Hansen","given":"Katrine H","non-dropping-particle":"","parse-names":false,"suffix":""},{"dropping-particle":"","family":"Pedersen","given":"Gunver K","non-dropping-particle":"","parse-names":false,"suffix":""},{"dropping-particle":"","family":"Alsen","given":"Peter","non-dropping-particle":"","parse-names":false,"suffix":""},{"dropping-particle":"","family":"Thibault","given":"Nicolas","non-dropping-particle":"","parse-names":false,"suffix":""},{"dropping-particle":"","family":"Dybkjær","given":"Karen","non-dropping-particle":"","parse-names":false,"suffix":""},{"dropping-particle":"","family":"Bjerrum","given":"Christian J","non-dropping-particle":"","parse-names":false,"suffix":""},{"dropping-particle":"","family":"Nielsen","given":"Lars Henrik","non-dropping-particle":"","parse-names":false,"suffix":""}],"container-title":"Palaeogeography, Palaeoclimatology, Palaeoecology","id":"ITEM-1","issued":{"date-parts":[["2017"]]},"page":"80-102","title":"A new correlation of Triassic–Jurassic boundary successions in NW Europe, Nevada and Peru, and the Central Atlantic Magmatic Province: A time-line for the end-Triassic mass extinction","type":"article-journal","volume":"478"},"uris":["http://www.mendeley.com/documents/?uuid=bc14de0f-f423-4068-9b4a-2226397d12ba"]},{"id":"ITEM-2","itemData":{"DOI":"https://doi.org/10.1016/j.epsl.2010.01.003","ISSN":"0012-821X","abstract":"The transition from the Triassic to Jurassic Period, initiating the ‘Age of the dinosaurs’, approximately 200Ma, is marked by a profound mass extinction with more than 50% genus loss in both marine and continental realms. This event closely coincides with a period of extensive volcanism in the Central Atlantic Magmatic Province (CAMP) associated with the initial break-up of Pangaea but a causal relationship is still debated. The Triassic–Jurassic (T–J) boundary is recently proposed in the marine record at the first occurrence datum of Jurassic ammonites, post-dating the extinction interval that concurs with two distinct perturbations in the carbon isotope record. The continental record shows a major palynological turnover together with a prominent change in tetrapod taxa, but a direct link to the marine events is still equivocal. Here we develop an accurate chronostratigraphic framework for the T–J boundary interval and establish detailed trans-Atlantic and marine–continental correlations by integrating astrochronology, paleomagnetism, basalt geochemistry and geobiology. We show that the oldest CAMP basalts are diachronous by 20kyr across the Atlantic Ocean, and that these two volcanic pulses coincide with the end-Triassic extinction interval in the marine realm. Our results support the hypotheses of Phanerozoic mass extinctions resulting from emplacement of Large Igneous Provinces (LIPs) and provide crucial time constraints for numerical modelling of Triassic–Jurassic climate change and global carbon-cycle perturbations.","author":[{"dropping-particle":"","family":"Deenen","given":"M H L","non-dropping-particle":"","parse-names":false,"suffix":""},{"dropping-particle":"","family":"Ruhl","given":"M","non-dropping-particle":"","parse-names":false,"suffix":""},{"dropping-particle":"","family":"Bonis","given":"N R","non-dropping-particle":"","parse-names":false,"suffix":""},{"dropping-particle":"","family":"Krijgsman","given":"W","non-dropping-particle":"","parse-names":false,"suffix":""},{"dropping-particle":"","family":"Kuerschner","given":"W M","non-dropping-particle":"","parse-names":false,"suffix":""},{"dropping-particle":"","family":"Reitsma","given":"M","non-dropping-particle":"","parse-names":false,"suffix":""},{"dropping-particle":"","family":"Bergen","given":"M J","non-dropping-particle":"van","parse-names":false,"suffix":""}],"container-title":"Earth and Planetary Science Letters","id":"ITEM-2","issue":"1","issued":{"date-parts":[["2010"]]},"page":"113-125","title":"A new chronology for the end-Triassic mass extinction","type":"article-journal","volume":"291"},"uris":["http://www.mendeley.com/documents/?uuid=a991e40b-ae13-4fd9-bee4-c427d20f38c5"]}],"mendeley":{"formattedCitation":"(Deenen et al., 2010; Lindström et al., 2017)","manualFormatting":"(e.g. Lindström et al., 2017)","plainTextFormattedCitation":"(Deenen et al., 2010; Lindström et al., 2017)","previouslyFormattedCitation":"(Deenen et al., 2010; Lindström et al., 2017)"},"properties":{"noteIndex":0},"schema":"https://github.com/citation-style-language/schema/raw/master/csl-citation.json"}</w:instrText>
      </w:r>
      <w:r w:rsidR="00F51267">
        <w:rPr>
          <w:b w:val="0"/>
        </w:rPr>
        <w:fldChar w:fldCharType="separate"/>
      </w:r>
      <w:r w:rsidR="00F51267" w:rsidRPr="00F51267">
        <w:rPr>
          <w:b w:val="0"/>
          <w:noProof/>
        </w:rPr>
        <w:t>(</w:t>
      </w:r>
      <w:r w:rsidR="00F51267">
        <w:rPr>
          <w:b w:val="0"/>
          <w:noProof/>
        </w:rPr>
        <w:t>e.g.</w:t>
      </w:r>
      <w:r w:rsidR="00EB2DB5">
        <w:rPr>
          <w:b w:val="0"/>
          <w:noProof/>
        </w:rPr>
        <w:t xml:space="preserve"> </w:t>
      </w:r>
      <w:r w:rsidR="00F51267" w:rsidRPr="00F51267">
        <w:rPr>
          <w:b w:val="0"/>
          <w:noProof/>
        </w:rPr>
        <w:t>Lindström et al., 2017)</w:t>
      </w:r>
      <w:r w:rsidR="00F51267">
        <w:rPr>
          <w:b w:val="0"/>
        </w:rPr>
        <w:fldChar w:fldCharType="end"/>
      </w:r>
      <w:r w:rsidR="00CE4F0B">
        <w:rPr>
          <w:b w:val="0"/>
        </w:rPr>
        <w:t xml:space="preserve"> with non-unique solutions. Effects of CAMP-outgassed CO</w:t>
      </w:r>
      <w:r w:rsidR="00CE4F0B">
        <w:rPr>
          <w:b w:val="0"/>
          <w:vertAlign w:val="subscript"/>
        </w:rPr>
        <w:t>2</w:t>
      </w:r>
      <w:r w:rsidR="00CE4F0B">
        <w:rPr>
          <w:b w:val="0"/>
        </w:rPr>
        <w:t xml:space="preserve"> and global warming, such as water column stratification, and other ecological stresses are not observed during the precursor CIE</w:t>
      </w:r>
      <w:r w:rsidR="00F51267">
        <w:rPr>
          <w:b w:val="0"/>
        </w:rPr>
        <w:t xml:space="preserve"> </w:t>
      </w:r>
      <w:r w:rsidR="00F51267">
        <w:rPr>
          <w:b w:val="0"/>
        </w:rPr>
        <w:fldChar w:fldCharType="begin" w:fldLock="1"/>
      </w:r>
      <w:r w:rsidR="006709EF">
        <w:rPr>
          <w:b w:val="0"/>
        </w:rPr>
        <w:instrText>ADDIN CSL_CITATION {"citationItems":[{"id":"ITEM-1","itemData":{"DOI":"10.1130/G49560.1","abstract":"High-resolution biomarker and compound-specific isotope distributions coupled with the degradation of calcareous fossil remnants reveal that intensive euxinia and decalcification (acidification) driven by Central Atlantic magmatic province (CAMP) activity formed a two-pronged kill mechanism at the end-Triassic mass extinction. In a newly proposed extinction interval for the basal Blue Lias Formation (Bristol Channel Basin, UK), biomarker distributions reveal an episode of persistent photic zone euxinia (PZE) that extended further upward into the surface waters. In the same interval, shelly taxa almost completely disappear. Beginning in the basal paper shales of the Blue Lias Formation, a Lilliput assemblage is preserved consisting of only rare calcitic oysters (Liostrea) and ghost fossils of decalcified aragonitic bivalves. The stressors of PZE and decalcification parsimoniously explain the extinction event and inform possible combined causes of other biotic crises linked to emplacement of large igneous provinces, notably the end-Permian mass extinction, when PZE occurred on a broad and perhaps global scale.","author":[{"dropping-particle":"","family":"Fox","given":"C. P.","non-dropping-particle":"","parse-names":false,"suffix":""},{"dropping-particle":"","family":"Whiteside","given":"Jessica H.","non-dropping-particle":"","parse-names":false,"suffix":""},{"dropping-particle":"","family":"Olsen","given":"Paul E.","non-dropping-particle":"","parse-names":false,"suffix":""},{"dropping-particle":"","family":"Cui","given":"Xingqian","non-dropping-particle":"","parse-names":false,"suffix":""},{"dropping-particle":"","family":"Summons","given":"Roger E.","non-dropping-particle":"","parse-names":false,"suffix":""},{"dropping-particle":"","family":"Idiz","given":"Erdem","non-dropping-particle":"","parse-names":false,"suffix":""},{"dropping-particle":"","family":"Grice","given":"Kliti","non-dropping-particle":"","parse-names":false,"suffix":""}],"container-title":"Geology","id":"ITEM-1","issued":{"date-parts":[["2022"]]},"title":"Two-pronged kill mechanism at the end-Triassic mass extinction","type":"article-journal"},"uris":["http://www.mendeley.com/documents/?uuid=037261d0-5628-4849-be97-7b88b33548f2"]}],"mendeley":{"formattedCitation":"(Fox et al., 2022)","plainTextFormattedCitation":"(Fox et al., 2022)","previouslyFormattedCitation":"(Fox et al., 2022)"},"properties":{"noteIndex":0},"schema":"https://github.com/citation-style-language/schema/raw/master/csl-citation.json"}</w:instrText>
      </w:r>
      <w:r w:rsidR="00F51267">
        <w:rPr>
          <w:b w:val="0"/>
        </w:rPr>
        <w:fldChar w:fldCharType="separate"/>
      </w:r>
      <w:r w:rsidR="00184130" w:rsidRPr="00184130">
        <w:rPr>
          <w:b w:val="0"/>
          <w:noProof/>
        </w:rPr>
        <w:t>(Fox et al., 2022)</w:t>
      </w:r>
      <w:r w:rsidR="00F51267">
        <w:rPr>
          <w:b w:val="0"/>
        </w:rPr>
        <w:fldChar w:fldCharType="end"/>
      </w:r>
      <w:r w:rsidR="00CE4F0B">
        <w:rPr>
          <w:b w:val="0"/>
        </w:rPr>
        <w:t>. Furthermore, p</w:t>
      </w:r>
      <w:r w:rsidR="00CE4F0B" w:rsidRPr="00C043AD">
        <w:rPr>
          <w:b w:val="0"/>
        </w:rPr>
        <w:t>aleomagnetic corr</w:t>
      </w:r>
      <w:r w:rsidR="00CE4F0B">
        <w:rPr>
          <w:b w:val="0"/>
        </w:rPr>
        <w:t>elations of the Westbury Formation</w:t>
      </w:r>
      <w:r w:rsidR="00F51267">
        <w:rPr>
          <w:b w:val="0"/>
        </w:rPr>
        <w:t xml:space="preserve"> </w:t>
      </w:r>
      <w:r w:rsidR="00F51267">
        <w:rPr>
          <w:b w:val="0"/>
        </w:rPr>
        <w:fldChar w:fldCharType="begin" w:fldLock="1"/>
      </w:r>
      <w:r w:rsidR="00A249D1">
        <w:rPr>
          <w:b w:val="0"/>
        </w:rPr>
        <w:instrText>ADDIN CSL_CITATION {"citationItems":[{"id":"ITEM-1","itemData":{"DOI":"https://doi.org/10.1016/j.palaeo.2004.07.018","ISSN":"0031-0182","abstract":"The St. Audrie's Bay section in west Somerset comprises the uppermost Mercia Mudstone Group, the Penarth Group and the basal Lias Group and includes a candidate Global Stratotype Section and Point for the base of the Jurassic. The magnetostratigraphy has been evaluated through 122 m of this section at 147 stratigraphic levels, which range in age from mid-Norian to earliest Hettangian. In red dolomitic mudstones, the remanence is carried predominantly by haematite, whereas in non-red lithologies, it is mostly carried by magnetite. The mean virtual geomagnetic poles fall near the mean Upper Triassic and Lower Jurassic apparent polar wander track and display the start of the northeast-directed track typical of the Jurassic. The magnetostratigraphy comprises nine major magnetozones, five of normal polarity and four reversed, together with several minor magnetozones. In the Mercia Mudstone Group, the 68 m of the Twyning Mudstone Formation examined includes three major normal magnetozones (SA2n, SA3n and SA4n) and the Blue Anchor Formation has predominantly reversed polarity (SA4r) except at its top, in the Williton Member. The Penarth Group and basal Lias Group have predominantly normal polarity (SA5 to SA6n) but short reversals occur within the Westbury Formation and at the base of the Lilstock Formation and the Lias Group (SA5r). This magnetostratigraphy is a good match with that found in the upper part of the Newark Supergroup succession in the eastern USA. The distinctive long reversal (SA4r) in the Blue Anchor Formation is equivalent to Newark Supergroup magnetozone interval E18r to E20r. Magnetozone SA5n, located mainly in the Penarth Group, probably equates with part of E22n and all of E23n in the Newark Supergroup. The reversed magnetozone, SA5r, at the base of the Lias Group, may correspond either with E23r in the Exeter Member (Passaic Formation) in the Newark Supergroup or with an undetected reverse polarity interval within the Newark Basin flood basalts. A change in the composition and diversity of terrestrial microfloras that occurs in the upper part of the Penarth Group at St. Audrie's Bay and elsewhere in the UK, is similar to that interpreted as marking the Triassic–Jurassic boundary in the Newark Supergroup. At St. Audrie's Bay, this change occurs c. 0.6 m below SA5r, within the Rhaetian, whereas in the Newark Supergroup, it occurs c. 20 m above the potentially equivalent E23r. Reconciliation of these disparities requires that either the mic…","author":[{"dropping-particle":"","family":"Hounslow","given":"Mark W","non-dropping-particle":"","parse-names":false,"suffix":""},{"dropping-particle":"","family":"Posen","given":"Paulette E","non-dropping-particle":"","parse-names":false,"suffix":""},{"dropping-particle":"","family":"Warrington","given":"Geoffrey","non-dropping-particle":"","parse-names":false,"suffix":""}],"container-title":"Palaeogeography, Palaeoclimatology, Palaeoecology","id":"ITEM-1","issue":"3","issued":{"date-parts":[["2004"]]},"page":"331-358","title":"Magnetostratigraphy and biostratigraphy of the Upper Triassic and lowermost Jurassic succession, St. Audrie's Bay, UK","type":"article-journal","volume":"213"},"uris":["http://www.mendeley.com/documents/?uuid=c6203b34-5a01-4b8b-9c71-dd405bb918ec"]},{"id":"ITEM-2","itemData":{"DOI":"https://doi.org/10.1016/j.earscirev.2016.12.014","ISSN":"0012-8252","abstract":"Paleomagnetic and cycle stratigraphic analyses of nearly 7000m of section from continuous cores in the Newark basin and an overlapping 2500meter-thick composite outcrop and core section in the nearby Hartford basin provide an astrochronostratigraphic polarity time-scale (APTS) for practically the entire Late Triassic (Carnian, Norian and Rhaetian) and the Hettangian and early Sinemurian stages of the Early Jurassic (233 to 199Ma in toto). Aperiodic magnetic polarity reversals make a distinctive pattern of normal and reverse chrons for correlation, ideally paced by the periodic timing of orbital climate cycles, and anchored to million years ago (Ma) by high-precision U-Pb zircon dates from stratigraphically-constrained basalts of the Central Atlantic Magmatic Province (CAMP). Pinned by the CAMP dates, the Newark-Hartford APTS is calibrated by sixty-six McLaughlin cycles, each a reflection of climate forcing by the long astronomical eccentricity variation with the stable 405kyr period, from 199.5 to 225.8Ma and encompassing fifty-one magnetic polarity intervals, making it one of the longest continuous astrochronostratigraphic polarity time-scales available in the Mesozoic and Cenozoic. Extrapolation of sediment accumulation rates in fluvial sediments in the basal Newark section extends the sequence an additional fifteen polarity intervals to 232.7Ma. The lengths of the 66 polarity chrons vary from 0.011Myr (Chron E23r) to 1.63Myr (Chron H24n) with an overall mean duration of 0.53Myr. The oldest CAMP basalts provide a zircon U-Pb-based estimated age of 201.5Ma for the base of the stratigraphically superjacent McLaughlin cycle 61 and 201.6Ma using cycle stratigraphy for the onset of the immediately subjacent Chron E23r. The calibration age of 201.5Ma for the base of McLaughlin cycle 61 is remarkably consistent with the calculated phase of the 498th long eccentricity cycle counting back using a period of 405kyr from the most recent peak at 0.216Ma. Accordingly, we suggest a nomenclature (Ecc405:k, where k is the cycle number or fraction thereof) to unambiguously assign ages from the astrochronostratigraphy. Magnetostratigraphic correlation of key Tethyan sections with diagnostic marine biostratigraphic elements to the Newark-Hartford APTS allows determination of numerical ages of standard marine stages, as follows: 227Ma for the Carnian/Norian boundary, 205.5Ma for the Norian/Rhaetian boundary (using a chemostratigraphic criterion, or about 4Myr older for al…","author":[{"dropping-particle":"V","family":"Kent","given":"Dennis","non-dropping-particle":"","parse-names":false,"suffix":""},{"dropping-particle":"","family":"Olsen","given":"Paul E","non-dropping-particle":"","parse-names":false,"suffix":""},{"dropping-particle":"","family":"Muttoni","given":"Giovanni","non-dropping-particle":"","parse-names":false,"suffix":""}],"container-title":"Earth-Science Reviews","id":"ITEM-2","issued":{"date-parts":[["2017"]]},"page":"153-180","title":"Astrochronostratigraphic polarity time scale (APTS) for the Late Triassic and Early Jurassic from continental sediments and correlation with standard marine stages","type":"article-journal","volume":"166"},"uris":["http://www.mendeley.com/documents/?uuid=b9fcaad9-d02c-4684-a56f-38e0ed1f1484"]}],"mendeley":{"formattedCitation":"(Hounslow et al., 2004; Kent et al., 2017)","plainTextFormattedCitation":"(Hounslow et al., 2004; Kent et al., 2017)","previouslyFormattedCitation":"(Hounslow et al., 2004; Kent et al., 2017)"},"properties":{"noteIndex":0},"schema":"https://github.com/citation-style-language/schema/raw/master/csl-citation.json"}</w:instrText>
      </w:r>
      <w:r w:rsidR="00F51267">
        <w:rPr>
          <w:b w:val="0"/>
        </w:rPr>
        <w:fldChar w:fldCharType="separate"/>
      </w:r>
      <w:r w:rsidR="00A249D1" w:rsidRPr="00A249D1">
        <w:rPr>
          <w:b w:val="0"/>
          <w:noProof/>
        </w:rPr>
        <w:t>(Hounslow et al., 2004; Kent et al., 2017)</w:t>
      </w:r>
      <w:r w:rsidR="00F51267">
        <w:rPr>
          <w:b w:val="0"/>
        </w:rPr>
        <w:fldChar w:fldCharType="end"/>
      </w:r>
      <w:r w:rsidR="00452ACD">
        <w:rPr>
          <w:b w:val="0"/>
        </w:rPr>
        <w:t xml:space="preserve"> </w:t>
      </w:r>
      <w:r w:rsidR="00CE4F0B">
        <w:rPr>
          <w:b w:val="0"/>
        </w:rPr>
        <w:t>suggest the precursor CIE</w:t>
      </w:r>
      <w:r w:rsidR="00CE4F0B" w:rsidRPr="00C043AD">
        <w:rPr>
          <w:b w:val="0"/>
        </w:rPr>
        <w:t xml:space="preserve"> falls within </w:t>
      </w:r>
      <w:proofErr w:type="spellStart"/>
      <w:r w:rsidR="00CE4F0B" w:rsidRPr="00C043AD">
        <w:rPr>
          <w:b w:val="0"/>
        </w:rPr>
        <w:t>magnetochron</w:t>
      </w:r>
      <w:proofErr w:type="spellEnd"/>
      <w:r w:rsidR="00CE4F0B" w:rsidRPr="00C043AD">
        <w:rPr>
          <w:b w:val="0"/>
        </w:rPr>
        <w:t xml:space="preserve"> E22n and would </w:t>
      </w:r>
      <w:r w:rsidR="00CE4F0B">
        <w:rPr>
          <w:b w:val="0"/>
        </w:rPr>
        <w:t>have an age of 203-</w:t>
      </w:r>
      <w:r w:rsidR="00CE4F0B" w:rsidRPr="00C043AD">
        <w:rPr>
          <w:b w:val="0"/>
        </w:rPr>
        <w:t xml:space="preserve">203.5 Ma, more than a million years older than </w:t>
      </w:r>
      <w:r w:rsidR="004529EE">
        <w:rPr>
          <w:b w:val="0"/>
        </w:rPr>
        <w:t xml:space="preserve">the </w:t>
      </w:r>
      <w:r w:rsidR="00CE4F0B" w:rsidRPr="00C043AD">
        <w:rPr>
          <w:b w:val="0"/>
        </w:rPr>
        <w:t xml:space="preserve">oldest known CAMP </w:t>
      </w:r>
      <w:r w:rsidR="00CE4F0B">
        <w:rPr>
          <w:b w:val="0"/>
        </w:rPr>
        <w:t>eruptions (</w:t>
      </w:r>
      <w:r w:rsidR="00CE4F0B" w:rsidRPr="00C043AD">
        <w:rPr>
          <w:b w:val="0"/>
        </w:rPr>
        <w:t xml:space="preserve">201.635±0.029 </w:t>
      </w:r>
      <w:r w:rsidR="00CE4F0B">
        <w:rPr>
          <w:b w:val="0"/>
        </w:rPr>
        <w:t>Ma)</w:t>
      </w:r>
      <w:r w:rsidR="00F51267">
        <w:rPr>
          <w:b w:val="0"/>
        </w:rPr>
        <w:t xml:space="preserve"> </w:t>
      </w:r>
      <w:r w:rsidR="00F51267">
        <w:rPr>
          <w:b w:val="0"/>
        </w:rPr>
        <w:fldChar w:fldCharType="begin" w:fldLock="1"/>
      </w:r>
      <w:r w:rsidR="00EB2DB5">
        <w:rPr>
          <w:b w:val="0"/>
        </w:rPr>
        <w:instrText xml:space="preserve">ADDIN CSL_CITATION {"citationItems":[{"id":"ITEM-1","itemData":{"DOI":"10.1038/ncomms15596","ISSN":"2041-1723","abstract":"The end-Triassic extinction is one of the Phanerozoic’s largest mass extinctions. This extinction is typically attributed to climate change associated with degassing of basalt flows from the central Atlantic magmatic province (CAMP). However, recent work suggests that the earliest known CAMP basalts occur above the extinction horizon and that climatic and biotic changes began before the earliest known CAMP eruptions. Here we present new high-precision U-Pb ages from CAMP mafic intrusive units, showing that magmatic activity was occurring </w:instrText>
      </w:r>
      <w:r w:rsidR="00EB2DB5">
        <w:rPr>
          <w:rFonts w:ascii="Cambria Math" w:hAnsi="Cambria Math" w:cs="Cambria Math"/>
          <w:b w:val="0"/>
        </w:rPr>
        <w:instrText>∼</w:instrText>
      </w:r>
      <w:r w:rsidR="00EB2DB5">
        <w:rPr>
          <w:b w:val="0"/>
        </w:rPr>
        <w:instrText>100 Kyr ago before the earliest known eruptions. We correlate the early magmatic activity with the onset of changes to the climatic and biotic records. We also report ages from sills in an organic rich sedimentary basin in Brazil that intrude synchronously with the extinction suggesting that degassing of these organics contributed to the climate change which drove the extinction. Our results indicate that the intrusive record from large igneous provinces may be more important for linking to mass extinctions than the eruptive record.","author":[{"dropping-particle":"","family":"Davies","given":"J.H.F.L.","non-dropping-particle":"","parse-names":false,"suffix":""},{"dropping-particle":"","family":"Marzoli","given":"A","non-dropping-particle":"","parse-names":false,"suffix":""},{"dropping-particle":"","family":"Bertrand","given":"H","non-dropping-particle":"","parse-names":false,"suffix":""},{"dropping-particle":"","family":"Youbi","given":"N","non-dropping-particle":"","parse-names":false,"suffix":""},{"dropping-particle":"","family":"Ernesto","given":"M","non-dropping-particle":"","parse-names":false,"suffix":""},{"dropping-particle":"","family":"Schaltegger","given":"U","non-dropping-particle":"","parse-names":false,"suffix":""}],"container-title":"Nature Communications","id":"ITEM-1","issue":"1","issued":{"date-parts":[["2017"]]},"page":"15596","title":"End-Triassic mass extinction started by intrusive CAMP activity","type":"article-journal","volume":"8"},"uris":["http://www.mendeley.com/documents/?uuid=0f1f9f1a-5554-49d4-a429-9e2fa9d546e3"]}],"mendeley":{"formattedCitation":"(Davies et al., 2017)","manualFormatting":"(Davies et al., 2017","plainTextFormattedCitation":"(Davies et al., 2017)","previouslyFormattedCitation":"(Davies et al., 2017)"},"properties":{"noteIndex":0},"schema":"https://github.com/citation-style-language/schema/raw/master/csl-citation.json"}</w:instrText>
      </w:r>
      <w:r w:rsidR="00F51267">
        <w:rPr>
          <w:b w:val="0"/>
        </w:rPr>
        <w:fldChar w:fldCharType="separate"/>
      </w:r>
      <w:r w:rsidR="00A249D1" w:rsidRPr="00A249D1">
        <w:rPr>
          <w:b w:val="0"/>
          <w:noProof/>
        </w:rPr>
        <w:t>(Davies et al., 2017</w:t>
      </w:r>
      <w:r w:rsidR="00F51267">
        <w:rPr>
          <w:b w:val="0"/>
        </w:rPr>
        <w:fldChar w:fldCharType="end"/>
      </w:r>
      <w:r w:rsidR="00CE4F0B" w:rsidRPr="00C043AD">
        <w:rPr>
          <w:b w:val="0"/>
        </w:rPr>
        <w:t>.</w:t>
      </w:r>
      <w:r w:rsidR="00CE4F0B">
        <w:rPr>
          <w:b w:val="0"/>
        </w:rPr>
        <w:t xml:space="preserve"> </w:t>
      </w:r>
      <w:r w:rsidR="004529EE">
        <w:rPr>
          <w:b w:val="0"/>
        </w:rPr>
        <w:t>Thus, i</w:t>
      </w:r>
      <w:r w:rsidR="00CE4F0B">
        <w:rPr>
          <w:b w:val="0"/>
        </w:rPr>
        <w:t xml:space="preserve">ntroduction of </w:t>
      </w:r>
      <w:r w:rsidR="00CE4F0B">
        <w:rPr>
          <w:b w:val="0"/>
          <w:vertAlign w:val="superscript"/>
        </w:rPr>
        <w:t>13</w:t>
      </w:r>
      <w:r w:rsidR="00CE4F0B">
        <w:rPr>
          <w:b w:val="0"/>
        </w:rPr>
        <w:t>C-depleted CO</w:t>
      </w:r>
      <w:r w:rsidR="00CE4F0B">
        <w:rPr>
          <w:b w:val="0"/>
          <w:vertAlign w:val="subscript"/>
        </w:rPr>
        <w:t>2</w:t>
      </w:r>
      <w:r w:rsidR="00CE4F0B">
        <w:rPr>
          <w:b w:val="0"/>
        </w:rPr>
        <w:t xml:space="preserve"> by CAMP processes </w:t>
      </w:r>
      <w:r w:rsidR="00CE4F0B" w:rsidRPr="00273132">
        <w:rPr>
          <w:b w:val="0"/>
        </w:rPr>
        <w:t xml:space="preserve">can be </w:t>
      </w:r>
      <w:r w:rsidR="00CE4F0B">
        <w:rPr>
          <w:b w:val="0"/>
        </w:rPr>
        <w:t>excluded</w:t>
      </w:r>
      <w:r w:rsidR="00CE4F0B" w:rsidRPr="00273132">
        <w:rPr>
          <w:b w:val="0"/>
        </w:rPr>
        <w:t xml:space="preserve"> as</w:t>
      </w:r>
      <w:r w:rsidR="004529EE">
        <w:rPr>
          <w:b w:val="0"/>
        </w:rPr>
        <w:t xml:space="preserve"> a</w:t>
      </w:r>
      <w:r w:rsidR="00CE4F0B">
        <w:rPr>
          <w:b w:val="0"/>
        </w:rPr>
        <w:t xml:space="preserve"> cause for the precursor CIE. </w:t>
      </w:r>
      <w:r w:rsidR="00C80408">
        <w:rPr>
          <w:b w:val="0"/>
          <w:lang w:val="en-GB"/>
        </w:rPr>
        <w:t>This finding, in</w:t>
      </w:r>
      <w:r w:rsidR="00C80408">
        <w:rPr>
          <w:b w:val="0"/>
        </w:rPr>
        <w:t xml:space="preserve"> addition to the recent data supporting</w:t>
      </w:r>
      <w:r w:rsidR="00CE121E">
        <w:rPr>
          <w:b w:val="0"/>
        </w:rPr>
        <w:t xml:space="preserve"> that the</w:t>
      </w:r>
      <w:r w:rsidR="00CE4F0B">
        <w:rPr>
          <w:b w:val="0"/>
        </w:rPr>
        <w:t xml:space="preserve"> initial</w:t>
      </w:r>
      <w:r w:rsidR="00BB1A23">
        <w:rPr>
          <w:b w:val="0"/>
        </w:rPr>
        <w:t xml:space="preserve"> and main</w:t>
      </w:r>
      <w:r w:rsidR="00CE4F0B">
        <w:rPr>
          <w:b w:val="0"/>
        </w:rPr>
        <w:t xml:space="preserve"> CIE</w:t>
      </w:r>
      <w:r w:rsidR="00BB1A23">
        <w:rPr>
          <w:b w:val="0"/>
        </w:rPr>
        <w:t>s in the SW UK are</w:t>
      </w:r>
      <w:r w:rsidR="00CE4F0B">
        <w:rPr>
          <w:b w:val="0"/>
        </w:rPr>
        <w:t xml:space="preserve"> also unrelated to CAMP activity</w:t>
      </w:r>
      <w:r w:rsidR="00F51267">
        <w:rPr>
          <w:b w:val="0"/>
        </w:rPr>
        <w:t xml:space="preserve"> </w:t>
      </w:r>
      <w:r w:rsidR="00F51267">
        <w:rPr>
          <w:b w:val="0"/>
        </w:rPr>
        <w:fldChar w:fldCharType="begin" w:fldLock="1"/>
      </w:r>
      <w:r w:rsidR="00A249D1">
        <w:rPr>
          <w:b w:val="0"/>
        </w:rPr>
        <w:instrText xml:space="preserve">ADDIN CSL_CITATION {"citationItems":[{"id":"ITEM-1","itemData":{"DOI":"10.1073/pnas.1917661117","abstract":"The end-Triassic mass extinction that occurred </w:instrText>
      </w:r>
      <w:r w:rsidR="00A249D1">
        <w:rPr>
          <w:rFonts w:ascii="Cambria Math" w:hAnsi="Cambria Math" w:cs="Cambria Math"/>
          <w:b w:val="0"/>
        </w:rPr>
        <w:instrText>∼</w:instrText>
      </w:r>
      <w:r w:rsidR="00A249D1">
        <w:rPr>
          <w:b w:val="0"/>
        </w:rPr>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carbon","type":"article-journal","volume":"117"},"uris":["http://www.mendeley.com/documents/?uuid=42d5ad45-4ba0-4b12-940f-377c7823c015"]}],"mendeley":{"formattedCitation":"(Fox et al., 2020)","plainTextFormattedCitation":"(Fox et al., 2020)","previouslyFormattedCitation":"(Fox et al., 2020)"},"properties":{"noteIndex":0},"schema":"https://github.com/citation-style-language/schema/raw/master/csl-citation.json"}</w:instrText>
      </w:r>
      <w:r w:rsidR="00F51267">
        <w:rPr>
          <w:b w:val="0"/>
        </w:rPr>
        <w:fldChar w:fldCharType="separate"/>
      </w:r>
      <w:r w:rsidR="00A249D1" w:rsidRPr="00A249D1">
        <w:rPr>
          <w:b w:val="0"/>
          <w:noProof/>
        </w:rPr>
        <w:t>(Fox et al., 2020)</w:t>
      </w:r>
      <w:r w:rsidR="00F51267">
        <w:rPr>
          <w:b w:val="0"/>
        </w:rPr>
        <w:fldChar w:fldCharType="end"/>
      </w:r>
      <w:r w:rsidR="00C80408">
        <w:rPr>
          <w:b w:val="0"/>
        </w:rPr>
        <w:t>,</w:t>
      </w:r>
      <w:r w:rsidR="00CE4F0B">
        <w:rPr>
          <w:b w:val="0"/>
        </w:rPr>
        <w:t xml:space="preserve"> </w:t>
      </w:r>
      <w:r w:rsidR="00CE121E">
        <w:rPr>
          <w:b w:val="0"/>
        </w:rPr>
        <w:t xml:space="preserve">point to the </w:t>
      </w:r>
      <w:r w:rsidR="00D5224F">
        <w:rPr>
          <w:b w:val="0"/>
        </w:rPr>
        <w:t xml:space="preserve">significant </w:t>
      </w:r>
      <w:r w:rsidR="00CE121E">
        <w:rPr>
          <w:b w:val="0"/>
        </w:rPr>
        <w:t>impacts of</w:t>
      </w:r>
      <w:r w:rsidR="00CE4F0B">
        <w:rPr>
          <w:b w:val="0"/>
        </w:rPr>
        <w:t xml:space="preserve"> </w:t>
      </w:r>
      <w:r w:rsidR="004529EE">
        <w:rPr>
          <w:b w:val="0"/>
        </w:rPr>
        <w:t>local factors</w:t>
      </w:r>
      <w:r w:rsidR="00CE4F0B">
        <w:rPr>
          <w:b w:val="0"/>
        </w:rPr>
        <w:t xml:space="preserve"> </w:t>
      </w:r>
      <w:r w:rsidR="00CE121E">
        <w:rPr>
          <w:b w:val="0"/>
        </w:rPr>
        <w:t>on the</w:t>
      </w:r>
      <w:r w:rsidR="00CE4F0B">
        <w:rPr>
          <w:b w:val="0"/>
        </w:rPr>
        <w:t xml:space="preserve"> </w:t>
      </w:r>
      <w:r w:rsidR="00CE4F0B">
        <w:rPr>
          <w:rFonts w:ascii="Symbol" w:hAnsi="Symbol"/>
          <w:b w:val="0"/>
        </w:rPr>
        <w:t></w:t>
      </w:r>
      <w:r w:rsidR="00CE4F0B">
        <w:rPr>
          <w:b w:val="0"/>
          <w:vertAlign w:val="superscript"/>
        </w:rPr>
        <w:t>13</w:t>
      </w:r>
      <w:r w:rsidR="00CE4F0B">
        <w:rPr>
          <w:b w:val="0"/>
        </w:rPr>
        <w:t>C</w:t>
      </w:r>
      <w:r w:rsidR="00CE4F0B">
        <w:rPr>
          <w:b w:val="0"/>
          <w:vertAlign w:val="subscript"/>
        </w:rPr>
        <w:t>org</w:t>
      </w:r>
      <w:r w:rsidR="00CE4F0B">
        <w:rPr>
          <w:b w:val="0"/>
        </w:rPr>
        <w:t xml:space="preserve"> record. </w:t>
      </w:r>
      <w:r w:rsidR="004529EE">
        <w:rPr>
          <w:b w:val="0"/>
        </w:rPr>
        <w:t>C</w:t>
      </w:r>
      <w:r w:rsidR="00CE4F0B">
        <w:rPr>
          <w:b w:val="0"/>
        </w:rPr>
        <w:t xml:space="preserve">orrelations by chemostratigraphic means alone are problematic for the ETE, particularly those </w:t>
      </w:r>
      <w:r w:rsidR="004529EE">
        <w:rPr>
          <w:b w:val="0"/>
        </w:rPr>
        <w:t xml:space="preserve">that </w:t>
      </w:r>
      <w:r w:rsidR="00CE4F0B">
        <w:rPr>
          <w:b w:val="0"/>
        </w:rPr>
        <w:t xml:space="preserve">correlate to the SW UK, and possibly other mass extinction and biotic turnover events where </w:t>
      </w:r>
      <w:r w:rsidR="00CE4F0B">
        <w:rPr>
          <w:rFonts w:ascii="Symbol" w:hAnsi="Symbol"/>
          <w:b w:val="0"/>
        </w:rPr>
        <w:t></w:t>
      </w:r>
      <w:r w:rsidR="00CE4F0B">
        <w:rPr>
          <w:b w:val="0"/>
          <w:vertAlign w:val="superscript"/>
        </w:rPr>
        <w:t>13</w:t>
      </w:r>
      <w:r w:rsidR="00CE4F0B">
        <w:rPr>
          <w:b w:val="0"/>
        </w:rPr>
        <w:t>C</w:t>
      </w:r>
      <w:r w:rsidR="00CE4F0B">
        <w:rPr>
          <w:b w:val="0"/>
          <w:vertAlign w:val="subscript"/>
        </w:rPr>
        <w:t>org</w:t>
      </w:r>
      <w:r w:rsidR="00CE4F0B">
        <w:rPr>
          <w:b w:val="0"/>
        </w:rPr>
        <w:t xml:space="preserve"> anomalies are directly associated with large igneous provinces.</w:t>
      </w:r>
    </w:p>
    <w:p w14:paraId="7009F3EB" w14:textId="01BC460E" w:rsidR="00D35071" w:rsidRPr="00AE7F86" w:rsidRDefault="00D35071" w:rsidP="00AE7F86">
      <w:pPr>
        <w:spacing w:before="120" w:after="0" w:line="480" w:lineRule="auto"/>
        <w:jc w:val="both"/>
        <w:rPr>
          <w:rFonts w:ascii="Times New Roman" w:eastAsia="Times New Roman" w:hAnsi="Times New Roman" w:cs="Times New Roman"/>
          <w:i/>
          <w:vanish/>
          <w:sz w:val="24"/>
          <w:szCs w:val="24"/>
          <w:lang w:val="en-US" w:eastAsia="en-US"/>
        </w:rPr>
      </w:pPr>
    </w:p>
    <w:p w14:paraId="48DF76C8" w14:textId="606D072F" w:rsidR="00D35071" w:rsidRPr="00DF052C" w:rsidRDefault="0014005C" w:rsidP="0014005C">
      <w:pPr>
        <w:pStyle w:val="AbstractSummary"/>
        <w:numPr>
          <w:ilvl w:val="1"/>
          <w:numId w:val="11"/>
        </w:numPr>
        <w:spacing w:line="480" w:lineRule="auto"/>
        <w:jc w:val="both"/>
        <w:rPr>
          <w:i/>
        </w:rPr>
      </w:pPr>
      <w:r>
        <w:rPr>
          <w:i/>
        </w:rPr>
        <w:t xml:space="preserve">PAHs </w:t>
      </w:r>
      <w:r w:rsidR="00D35071">
        <w:rPr>
          <w:i/>
        </w:rPr>
        <w:t xml:space="preserve">and </w:t>
      </w:r>
      <w:r w:rsidR="0096485A">
        <w:rPr>
          <w:i/>
        </w:rPr>
        <w:t>soil erosion evidence</w:t>
      </w:r>
      <w:r w:rsidR="00582C19">
        <w:rPr>
          <w:i/>
        </w:rPr>
        <w:t xml:space="preserve"> in the</w:t>
      </w:r>
      <w:r w:rsidR="00D35071">
        <w:rPr>
          <w:i/>
        </w:rPr>
        <w:t xml:space="preserve"> extinction horizon</w:t>
      </w:r>
    </w:p>
    <w:p w14:paraId="2EEA2B8A" w14:textId="134C02FF" w:rsidR="001347E1" w:rsidRDefault="008E4190" w:rsidP="00521DB7">
      <w:pPr>
        <w:pStyle w:val="AbstractSummary"/>
        <w:spacing w:line="480" w:lineRule="auto"/>
        <w:ind w:firstLine="360"/>
        <w:jc w:val="both"/>
      </w:pPr>
      <w:r>
        <w:t>The</w:t>
      </w:r>
      <w:r w:rsidR="00EF1B13">
        <w:t xml:space="preserve"> </w:t>
      </w:r>
      <w:r w:rsidR="00C3477E">
        <w:t>ETE</w:t>
      </w:r>
      <w:r w:rsidR="00582C19">
        <w:t xml:space="preserve"> horizon </w:t>
      </w:r>
      <w:r w:rsidR="00D5224F">
        <w:t xml:space="preserve">we favor </w:t>
      </w:r>
      <w:r w:rsidR="00EF1B13">
        <w:t>in the Bristol Channel Basin is in the lowermost Blue Lias Formation</w:t>
      </w:r>
      <w:r w:rsidR="002F7E30">
        <w:t xml:space="preserve"> (</w:t>
      </w:r>
      <w:r w:rsidR="00D93689">
        <w:t xml:space="preserve">paper shales; </w:t>
      </w:r>
      <w:r w:rsidR="002F7E30">
        <w:t>see section 2)</w:t>
      </w:r>
      <w:r w:rsidR="00EF1B13">
        <w:t>.</w:t>
      </w:r>
      <w:r w:rsidR="00AE7F86">
        <w:t xml:space="preserve"> Here, </w:t>
      </w:r>
      <w:r w:rsidR="002F7E30">
        <w:t>t</w:t>
      </w:r>
      <w:r w:rsidR="00EF1B13">
        <w:t xml:space="preserve">wo </w:t>
      </w:r>
      <w:proofErr w:type="spellStart"/>
      <w:r w:rsidR="00246094">
        <w:t>paleo</w:t>
      </w:r>
      <w:r w:rsidR="00EF1B13">
        <w:t>deposi</w:t>
      </w:r>
      <w:r w:rsidR="007F75C3">
        <w:t>tional</w:t>
      </w:r>
      <w:proofErr w:type="spellEnd"/>
      <w:r w:rsidR="007F75C3">
        <w:t xml:space="preserve"> environments</w:t>
      </w:r>
      <w:r w:rsidR="00246094">
        <w:t xml:space="preserve"> related to changes in redox</w:t>
      </w:r>
      <w:r w:rsidR="007F75C3">
        <w:t xml:space="preserve"> are evident</w:t>
      </w:r>
      <w:r w:rsidR="002F7E30">
        <w:t>;</w:t>
      </w:r>
      <w:r w:rsidR="00EF1B13">
        <w:t xml:space="preserve"> one at the extinction horizon where</w:t>
      </w:r>
      <w:r w:rsidR="002F177F">
        <w:t xml:space="preserve"> photic zone euxinia</w:t>
      </w:r>
      <w:r w:rsidR="00EF1B13">
        <w:t xml:space="preserve"> </w:t>
      </w:r>
      <w:r w:rsidR="002F177F">
        <w:t>(</w:t>
      </w:r>
      <w:r w:rsidR="00EF1B13">
        <w:t>PZE</w:t>
      </w:r>
      <w:r w:rsidR="002F177F">
        <w:t>)</w:t>
      </w:r>
      <w:r w:rsidR="00EF1B13">
        <w:t xml:space="preserve"> was most </w:t>
      </w:r>
      <w:r w:rsidR="00C3477E">
        <w:t xml:space="preserve">vertically </w:t>
      </w:r>
      <w:r w:rsidR="00EF1B13">
        <w:t xml:space="preserve">intensified, and another </w:t>
      </w:r>
      <w:r w:rsidR="00A86CCA">
        <w:t>directly following,</w:t>
      </w:r>
      <w:r w:rsidR="00EF1B13">
        <w:t xml:space="preserve"> where PZE is </w:t>
      </w:r>
      <w:r w:rsidR="00A86CCA">
        <w:t xml:space="preserve">restricted </w:t>
      </w:r>
      <w:r w:rsidR="00EF1B13">
        <w:t xml:space="preserve">to lower regions of </w:t>
      </w:r>
      <w:r w:rsidR="0014256E">
        <w:t>the water column</w:t>
      </w:r>
      <w:r w:rsidR="00F249BB">
        <w:t xml:space="preserve"> </w:t>
      </w:r>
      <w:r w:rsidR="00F249BB">
        <w:fldChar w:fldCharType="begin" w:fldLock="1"/>
      </w:r>
      <w:r w:rsidR="006709EF">
        <w:instrText>ADDIN CSL_CITATION {"citationItems":[{"id":"ITEM-1","itemData":{"DOI":"10.1130/G49560.1","abstract":"High-resolution biomarker and compound-specific isotope distributions coupled with the degradation of calcareous fossil remnants reveal that intensive euxinia and decalcification (acidification) driven by Central Atlantic magmatic province (CAMP) activity formed a two-pronged kill mechanism at the end-Triassic mass extinction. In a newly proposed extinction interval for the basal Blue Lias Formation (Bristol Channel Basin, UK), biomarker distributions reveal an episode of persistent photic zone euxinia (PZE) that extended further upward into the surface waters. In the same interval, shelly taxa almost completely disappear. Beginning in the basal paper shales of the Blue Lias Formation, a Lilliput assemblage is preserved consisting of only rare calcitic oysters (Liostrea) and ghost fossils of decalcified aragonitic bivalves. The stressors of PZE and decalcification parsimoniously explain the extinction event and inform possible combined causes of other biotic crises linked to emplacement of large igneous provinces, notably the end-Permian mass extinction, when PZE occurred on a broad and perhaps global scale.","author":[{"dropping-particle":"","family":"Fox","given":"C. P.","non-dropping-particle":"","parse-names":false,"suffix":""},{"dropping-particle":"","family":"Whiteside","given":"Jessica H.","non-dropping-particle":"","parse-names":false,"suffix":""},{"dropping-particle":"","family":"Olsen","given":"Paul E.","non-dropping-particle":"","parse-names":false,"suffix":""},{"dropping-particle":"","family":"Cui","given":"Xingqian","non-dropping-particle":"","parse-names":false,"suffix":""},{"dropping-particle":"","family":"Summons","given":"Roger E.","non-dropping-particle":"","parse-names":false,"suffix":""},{"dropping-particle":"","family":"Idiz","given":"Erdem","non-dropping-particle":"","parse-names":false,"suffix":""},{"dropping-particle":"","family":"Grice","given":"Kliti","non-dropping-particle":"","parse-names":false,"suffix":""}],"container-title":"Geology","id":"ITEM-1","issued":{"date-parts":[["2022"]]},"title":"Two-pronged kill mechanism at the end-Triassic mass extinction","type":"article-journal"},"uris":["http://www.mendeley.com/documents/?uuid=037261d0-5628-4849-be97-7b88b33548f2"]}],"mendeley":{"formattedCitation":"(Fox et al., 2022)","plainTextFormattedCitation":"(Fox et al., 2022)","previouslyFormattedCitation":"(Fox et al., 2022)"},"properties":{"noteIndex":0},"schema":"https://github.com/citation-style-language/schema/raw/master/csl-citation.json"}</w:instrText>
      </w:r>
      <w:r w:rsidR="00F249BB">
        <w:fldChar w:fldCharType="separate"/>
      </w:r>
      <w:r w:rsidR="00184130" w:rsidRPr="00184130">
        <w:rPr>
          <w:noProof/>
        </w:rPr>
        <w:t>(Fox et al., 2022)</w:t>
      </w:r>
      <w:r w:rsidR="00F249BB">
        <w:fldChar w:fldCharType="end"/>
      </w:r>
      <w:r w:rsidR="0014256E">
        <w:t>. T</w:t>
      </w:r>
      <w:r w:rsidR="00EF1B13">
        <w:t>wo</w:t>
      </w:r>
      <w:r w:rsidR="0014256E">
        <w:t xml:space="preserve"> notable</w:t>
      </w:r>
      <w:r w:rsidR="00EF1B13">
        <w:t xml:space="preserve"> </w:t>
      </w:r>
      <w:r w:rsidR="000D1F44">
        <w:t>changes in PAH profiles are apparent at this interval. The first is a large short-lived increase in the</w:t>
      </w:r>
      <w:r w:rsidR="000F46D3">
        <w:t xml:space="preserve"> LMW</w:t>
      </w:r>
      <w:r w:rsidR="000D1F44">
        <w:t xml:space="preserve"> PAHs DBT and DBF within the </w:t>
      </w:r>
      <w:proofErr w:type="spellStart"/>
      <w:r w:rsidR="000D1F44">
        <w:t>paleodepositional</w:t>
      </w:r>
      <w:proofErr w:type="spellEnd"/>
      <w:r w:rsidR="000D1F44">
        <w:t xml:space="preserve"> en</w:t>
      </w:r>
      <w:r w:rsidR="00582C19">
        <w:t>vironment exhibiting shoaled</w:t>
      </w:r>
      <w:r w:rsidR="000D1F44">
        <w:t xml:space="preserve"> PZE</w:t>
      </w:r>
      <w:r w:rsidR="007F75C3">
        <w:t>, t</w:t>
      </w:r>
      <w:r w:rsidR="000D1F44">
        <w:t xml:space="preserve">he second is </w:t>
      </w:r>
      <w:r w:rsidR="00582C19">
        <w:t>a</w:t>
      </w:r>
      <w:r w:rsidR="000D1F44">
        <w:t xml:space="preserve"> shift in</w:t>
      </w:r>
      <w:r w:rsidR="00582C19">
        <w:t xml:space="preserve"> the</w:t>
      </w:r>
      <w:r w:rsidR="000D1F44">
        <w:t xml:space="preserve"> relative abundance of </w:t>
      </w:r>
      <w:proofErr w:type="spellStart"/>
      <w:r w:rsidR="0021274B">
        <w:t>py</w:t>
      </w:r>
      <w:r w:rsidR="00A860EC">
        <w:t>PAHs</w:t>
      </w:r>
      <w:proofErr w:type="spellEnd"/>
      <w:r w:rsidR="00A860EC">
        <w:t xml:space="preserve"> to those containing </w:t>
      </w:r>
      <w:r w:rsidR="00921F7A">
        <w:t xml:space="preserve">three </w:t>
      </w:r>
      <w:r w:rsidR="000D1F44">
        <w:t>rings</w:t>
      </w:r>
      <w:r w:rsidR="007F75C3">
        <w:t xml:space="preserve"> </w:t>
      </w:r>
      <w:r w:rsidR="00582C19">
        <w:t>(phenanthrene and fluoranth</w:t>
      </w:r>
      <w:r w:rsidR="007F75C3">
        <w:t>ene)</w:t>
      </w:r>
      <w:r w:rsidR="001A1FE9">
        <w:t xml:space="preserve"> throughout </w:t>
      </w:r>
      <w:r w:rsidR="001A1FE9">
        <w:lastRenderedPageBreak/>
        <w:t>both</w:t>
      </w:r>
      <w:r w:rsidR="0021274B">
        <w:t xml:space="preserve"> redox</w:t>
      </w:r>
      <w:r w:rsidR="001A1FE9">
        <w:t xml:space="preserve"> intervals</w:t>
      </w:r>
      <w:r w:rsidR="007F75C3">
        <w:t>.</w:t>
      </w:r>
      <w:r w:rsidR="001347E1">
        <w:t xml:space="preserve"> We ascribe these increases to soil erosion and smoke</w:t>
      </w:r>
      <w:r w:rsidR="0021274B">
        <w:t xml:space="preserve"> signals</w:t>
      </w:r>
      <w:r w:rsidR="001347E1">
        <w:t>, respectively (described below).</w:t>
      </w:r>
    </w:p>
    <w:p w14:paraId="1D90DA1B" w14:textId="5261926E" w:rsidR="00D6215E" w:rsidRDefault="007F75C3" w:rsidP="005045DC">
      <w:pPr>
        <w:pStyle w:val="AbstractSummary"/>
        <w:spacing w:line="480" w:lineRule="auto"/>
        <w:ind w:firstLine="360"/>
        <w:jc w:val="both"/>
      </w:pPr>
      <w:r>
        <w:t xml:space="preserve">During the end-Permian extinction, </w:t>
      </w:r>
      <w:proofErr w:type="spellStart"/>
      <w:r>
        <w:t>dysoxic</w:t>
      </w:r>
      <w:proofErr w:type="spellEnd"/>
      <w:r>
        <w:t xml:space="preserve"> and sulfidic bottom water redox conditions that formed prior to marine ecosystem collapse allowed fo</w:t>
      </w:r>
      <w:r w:rsidR="00046CEF">
        <w:t>r DBT and DBF formation</w:t>
      </w:r>
      <w:r w:rsidR="00AE7F86">
        <w:t>,</w:t>
      </w:r>
      <w:r w:rsidR="00046CEF">
        <w:t xml:space="preserve"> and subsequent shifts </w:t>
      </w:r>
      <w:r>
        <w:t xml:space="preserve">to anoxic (possibly </w:t>
      </w:r>
      <w:r w:rsidR="00046CEF">
        <w:t>euxinic</w:t>
      </w:r>
      <w:r>
        <w:t xml:space="preserve">) conditions hindered </w:t>
      </w:r>
      <w:r w:rsidR="00046CEF">
        <w:t>the</w:t>
      </w:r>
      <w:r>
        <w:t xml:space="preserve"> formation</w:t>
      </w:r>
      <w:r w:rsidR="00046CEF">
        <w:t xml:space="preserve"> of these compounds</w:t>
      </w:r>
      <w:r w:rsidR="00F249BB">
        <w:t xml:space="preserve"> </w:t>
      </w:r>
      <w:r w:rsidR="00F249BB">
        <w:fldChar w:fldCharType="begin" w:fldLock="1"/>
      </w:r>
      <w:r w:rsidR="00A249D1">
        <w:instrText>ADDIN CSL_CITATION {"citationItems":[{"id":"ITEM-1","itemData":{"DOI":"https://doi.org/10.1016/j.epsl.2007.07.033","ISSN":"0012-821X","abstract":"In this study, we report on biomarker abundances through parts of the Permian/Triassic boundary (PTB) of Schuchert Dal (East Greenland) that contains rich marine faunal records and excellent terrestrial palynological records. Biomarker abundances and sulfur isotopes are used to correlate the series of events (including changes in element cycling and associated redox conditions of the ocean) surrounding the collapse of the marine and terrestrial ecosystems through this record of a major crisis of life on Earth during a mass extinction episode. The Upper Schuchert Dal Formation contains a low diversity palynological assemblage, ascribed to arborescent cordiaite–conifer–pteridosperm vegetation. Samples from this pre-collapse interval are characterised by high abundances of dibenzofuran (DBF), dibenzothiophene (DBT) and biphenyl. Since these compounds have similar base structures, and show comparable abundance curves, it is plausible that they probably derive from a common source. We propose that phenolic compounds of lignin of the woody plants present during this period could be the source for DBF, DBT and biphenyl. The redox conditions during this period of time also support the formation of DBF and DBT. Just above the extinction interval, there is a dramatic decrease in the abundances of DBF and DBT which occurs at the same time as a sudden change in the stable sulfur isotopic composition (δ34S) of pyrite, indicating a change in redox conditions from oxic to anoxic/euxinic conditions. δ34S values leading up to the extinction are highly depleted in the heavy sulfur isotope (about −40‰ vs. VCDT), whilst shortly after the extinction interval much more positive isotope values are observed (about −25‰). An inferred change in the biogeochemical sulfur cycle is supported by facies evidence from similar neighbouring sections. It is suggested that two processes are operating closely here; 1) Changes in redox conditions and 2) extinction and/or transgression accounting for the absence of woody material.","author":[{"dropping-particle":"","family":"Fenton","given":"Stephen","non-dropping-particle":"","parse-names":false,"suffix":""},{"dropping-particle":"","family":"Grice","given":"Kliti","non-dropping-particle":"","parse-names":false,"suffix":""},{"dropping-particle":"","family":"Twitchett","given":"Richard J","non-dropping-particle":"","parse-names":false,"suffix":""},{"dropping-particle":"","family":"Böttcher","given":"Michael E","non-dropping-particle":"","parse-names":false,"suffix":""},{"dropping-particle":"V","family":"Looy","given":"Cindy","non-dropping-particle":"","parse-names":false,"suffix":""},{"dropping-particle":"","family":"Nabbefeld","given":"Birgit","non-dropping-particle":"","parse-names":false,"suffix":""}],"container-title":"Earth and Planetary Science Letters","id":"ITEM-1","issue":"1","issued":{"date-parts":[["2007"]]},"page":"230-239","title":"Changes in biomarker abundances and sulfur isotopes of pyrite across the Permian–Triassic (P/Tr) Schuchert Dal section (East Greenland)","type":"article-journal","volume":"262"},"uris":["http://www.mendeley.com/documents/?uuid=3c2b2b8c-2f84-4d7d-977d-8eae873ec626"]}],"mendeley":{"formattedCitation":"(Fenton et al., 2007)","plainTextFormattedCitation":"(Fenton et al., 2007)","previouslyFormattedCitation":"(Fenton et al., 2007)"},"properties":{"noteIndex":0},"schema":"https://github.com/citation-style-language/schema/raw/master/csl-citation.json"}</w:instrText>
      </w:r>
      <w:r w:rsidR="00F249BB">
        <w:fldChar w:fldCharType="separate"/>
      </w:r>
      <w:r w:rsidR="00A249D1" w:rsidRPr="00A249D1">
        <w:rPr>
          <w:noProof/>
        </w:rPr>
        <w:t>(Fenton et al., 2007)</w:t>
      </w:r>
      <w:r w:rsidR="00F249BB">
        <w:fldChar w:fldCharType="end"/>
      </w:r>
      <w:r>
        <w:t>. Since in</w:t>
      </w:r>
      <w:r w:rsidR="007C1BA1">
        <w:t>creases in DBT and DBF occur</w:t>
      </w:r>
      <w:r>
        <w:t xml:space="preserve"> during most intense PZE conditions and the marine </w:t>
      </w:r>
      <w:r w:rsidR="007C1BA1">
        <w:t>expression of</w:t>
      </w:r>
      <w:r>
        <w:t xml:space="preserve"> the ETE, DBT and DBF concentrations cannot be related to increases prior to marine ecosystem collapse</w:t>
      </w:r>
      <w:r w:rsidR="00F249BB">
        <w:t xml:space="preserve"> </w:t>
      </w:r>
      <w:r w:rsidR="00F249BB">
        <w:fldChar w:fldCharType="begin" w:fldLock="1"/>
      </w:r>
      <w:r w:rsidR="00A249D1">
        <w:instrText>ADDIN CSL_CITATION {"citationItems":[{"id":"ITEM-1","itemData":{"DOI":"10.1130/G21784.1","ISSN":"0091-7613","abstract":"Organic geochemical analyses of sedimentary organic matter from a marine Permian-Triassic transition sequence in northeastern Italy reveal a significant influx of land-derived diagenetic products of polysaccharides. This unique event reflects massive soil erosion resulting from destruction of land vegetation due to volcanogenic disturbance of atmospheric chemistry. The excessive supply of soil materials to the oceans provides a direct link between terrestrial and marine ecological crises, suggesting that ecosystem collapse on land could have contributed to the end-Permian marine extinctions.","author":[{"dropping-particle":"","family":"Sephton","given":"Mark A","non-dropping-particle":"","parse-names":false,"suffix":""},{"dropping-particle":"V","family":"Looy","given":"Cindy","non-dropping-particle":"","parse-names":false,"suffix":""},{"dropping-particle":"","family":"Brinkhuis","given":"Henk","non-dropping-particle":"","parse-names":false,"suffix":""},{"dropping-particle":"","family":"Wignall","given":"Paul B","non-dropping-particle":"","parse-names":false,"suffix":""},{"dropping-particle":"","family":"Leeuw","given":"Jan W","non-dropping-particle":"de","parse-names":false,"suffix":""},{"dropping-particle":"","family":"Visscher","given":"Henk","non-dropping-particle":"","parse-names":false,"suffix":""}],"container-title":"Geology","id":"ITEM-1","issue":"12","issued":{"date-parts":[["2005","12","1"]]},"page":"941-944","title":"Catastrophic soil erosion during the end-Permian biotic crisis","type":"article-journal","volume":"33"},"uris":["http://www.mendeley.com/documents/?uuid=8f3cdae2-c962-4cea-a752-179301c24b82"]},{"id":"ITEM-2","itemData":{"DOI":"https://doi.org/10.1016/j.epsl.2007.07.033","ISSN":"0012-821X","abstract":"In this study, we report on biomarker abundances through parts of the Permian/Triassic boundary (PTB) of Schuchert Dal (East Greenland) that contains rich marine faunal records and excellent terrestrial palynological records. Biomarker abundances and sulfur isotopes are used to correlate the series of events (including changes in element cycling and associated redox conditions of the ocean) surrounding the collapse of the marine and terrestrial ecosystems through this record of a major crisis of life on Earth during a mass extinction episode. The Upper Schuchert Dal Formation contains a low diversity palynological assemblage, ascribed to arborescent cordiaite–conifer–pteridosperm vegetation. Samples from this pre-collapse interval are characterised by high abundances of dibenzofuran (DBF), dibenzothiophene (DBT) and biphenyl. Since these compounds have similar base structures, and show comparable abundance curves, it is plausible that they probably derive from a common source. We propose that phenolic compounds of lignin of the woody plants present during this period could be the source for DBF, DBT and biphenyl. The redox conditions during this period of time also support the formation of DBF and DBT. Just above the extinction interval, there is a dramatic decrease in the abundances of DBF and DBT which occurs at the same time as a sudden change in the stable sulfur isotopic composition (δ34S) of pyrite, indicating a change in redox conditions from oxic to anoxic/euxinic conditions. δ34S values leading up to the extinction are highly depleted in the heavy sulfur isotope (about −40‰ vs. VCDT), whilst shortly after the extinction interval much more positive isotope values are observed (about −25‰). An inferred change in the biogeochemical sulfur cycle is supported by facies evidence from similar neighbouring sections. It is suggested that two processes are operating closely here; 1) Changes in redox conditions and 2) extinction and/or transgression accounting for the absence of woody material.","author":[{"dropping-particle":"","family":"Fenton","given":"Stephen","non-dropping-particle":"","parse-names":false,"suffix":""},{"dropping-particle":"","family":"Grice","given":"Kliti","non-dropping-particle":"","parse-names":false,"suffix":""},{"dropping-particle":"","family":"Twitchett","given":"Richard J","non-dropping-particle":"","parse-names":false,"suffix":""},{"dropping-particle":"","family":"Böttcher","given":"Michael E","non-dropping-particle":"","parse-names":false,"suffix":""},{"dropping-particle":"V","family":"Looy","given":"Cindy","non-dropping-particle":"","parse-names":false,"suffix":""},{"dropping-particle":"","family":"Nabbefeld","given":"Birgit","non-dropping-particle":"","parse-names":false,"suffix":""}],"container-title":"Earth and Planetary Science Letters","id":"ITEM-2","issue":"1","issued":{"date-parts":[["2007"]]},"page":"230-239","title":"Changes in biomarker abundances and sulfur isotopes of pyrite across the Permian–Triassic (P/Tr) Schuchert Dal section (East Greenland)","type":"article-journal","volume":"262"},"uris":["http://www.mendeley.com/documents/?uuid=3c2b2b8c-2f84-4d7d-977d-8eae873ec626"]}],"mendeley":{"formattedCitation":"(Fenton et al., 2007; Sephton et al., 2005)","plainTextFormattedCitation":"(Fenton et al., 2007; Sephton et al., 2005)","previouslyFormattedCitation":"(Fenton et al., 2007; Sephton et al., 2005)"},"properties":{"noteIndex":0},"schema":"https://github.com/citation-style-language/schema/raw/master/csl-citation.json"}</w:instrText>
      </w:r>
      <w:r w:rsidR="00F249BB">
        <w:fldChar w:fldCharType="separate"/>
      </w:r>
      <w:r w:rsidR="00A249D1" w:rsidRPr="00A249D1">
        <w:rPr>
          <w:noProof/>
        </w:rPr>
        <w:t>(Fenton et al., 2007; Sephton et al., 2005)</w:t>
      </w:r>
      <w:r w:rsidR="00F249BB">
        <w:fldChar w:fldCharType="end"/>
      </w:r>
      <w:r w:rsidR="00046CEF">
        <w:t xml:space="preserve">. </w:t>
      </w:r>
      <w:r w:rsidR="00CB428C">
        <w:t>We</w:t>
      </w:r>
      <w:r w:rsidR="00AE7F86">
        <w:t xml:space="preserve"> instead</w:t>
      </w:r>
      <w:r w:rsidR="00CB428C">
        <w:t xml:space="preserve"> suggest a soil erosion event is responsible for increases in DBT and DBF. </w:t>
      </w:r>
      <w:r w:rsidR="001347E1">
        <w:t>Enhance</w:t>
      </w:r>
      <w:r w:rsidR="001347E1" w:rsidRPr="008D37FD">
        <w:t>d input of terrestrial material by soil erosion</w:t>
      </w:r>
      <w:r w:rsidR="001347E1">
        <w:t xml:space="preserve"> during other mass extinction events accounts for increases in </w:t>
      </w:r>
      <w:r w:rsidR="00833BA9">
        <w:t>LMW</w:t>
      </w:r>
      <w:r w:rsidR="001347E1">
        <w:t xml:space="preserve"> PAHs including DBT and DBF </w:t>
      </w:r>
      <w:r w:rsidR="0021274B">
        <w:t>that</w:t>
      </w:r>
      <w:r w:rsidR="001347E1">
        <w:t xml:space="preserve"> helps drive marine anoxia</w:t>
      </w:r>
      <w:r w:rsidR="00E66030">
        <w:t xml:space="preserve"> </w:t>
      </w:r>
      <w:r w:rsidR="00E66030">
        <w:fldChar w:fldCharType="begin" w:fldLock="1"/>
      </w:r>
      <w:r w:rsidR="00E13C5E">
        <w:instrText>ADDIN CSL_CITATION {"citationItems":[{"id":"ITEM-1","itemData":{"DOI":"https://doi.org/10.1016/j.heliyon.2016.e00137","ISSN":"2405-8440","abstract":"The largest mass extinction of biota in the Earth’s history occurred during the Permian–Triassic transition and included two extinctions, one each at the latest Permian (first phase) and earliest Triassic (second phase). High seawater temperature in the surface water accompanied by euxinic deep-intermediate water, intrusion of the euxinic water to the surface water, a decrease in pH, and hypercapnia have been proposed as direct causes of the marine crisis. For the first-phase extinction, we here add a causal mechanism beginning from massive soil and rock erosion and leading to algal blooms, release of toxic components, asphyxiation, and oxygen-depleted nearshore bottom water that created environmental stress for nearshore marine animals. For the second-phase extinction, we show that a soil and rock erosion/algal bloom event did not occur, but culmination of anoxia–euxinia in intermediate waters did occur, spanning the second-phase extinction. We investigated sedimentary organic molecules, and the results indicated a peak of a massive soil erosion proxy followed by peaks of marine productivity proxy. Anoxic proxies of surface sediments and water occurred in the shallow nearshore sea at the eastern and western margins of the Paleotethys at the first-phase extinction horizon, but not at the second-phase extinction horizon. Our reconstruction of ocean redox structure at low latitudes indicates that a gradual increase in temperature spanning the two extinctions could have induced a gradual change from a well-mixed oxic to a stratified euxinic ocean beginning immediately prior to the first-phase extinction, followed by culmination of anoxia in nearshore surface waters and of anoxia and euxinia in the shallow-intermediate waters at the second-phase extinction over a period of approximately one million years or more. Enhanced global warming, ocean acidification, and hypercapnia could have caused the second-phase extinction approximately 60 kyr after the first-phase extinction. The causes of the first-phase extinction were not only those environmental stresses but also environmental stresses caused by the soil and rock erosion/algal bloom event.","author":[{"dropping-particle":"","family":"Kaiho","given":"Kunio","non-dropping-particle":"","parse-names":false,"suffix":""},{"dropping-particle":"","family":"Saito","given":"Ryosuke","non-dropping-particle":"","parse-names":false,"suffix":""},{"dropping-particle":"","family":"Ito","given":"Kosuke","non-dropping-particle":"","parse-names":false,"suffix":""},{"dropping-particle":"","family":"Miyaji","given":"Takashi","non-dropping-particle":"","parse-names":false,"suffix":""},{"dropping-particle":"","family":"Biswas","given":"Raman","non-dropping-particle":"","parse-names":false,"suffix":""},{"dropping-particle":"","family":"Tian","given":"Li","non-dropping-particle":"","parse-names":false,"suffix":""},{"dropping-particle":"","family":"Sano","given":"Hiroyoshi","non-dropping-particle":"","parse-names":false,"suffix":""},{"dropping-particle":"","family":"Shi","given":"Zhiqiang","non-dropping-particle":"","parse-names":false,"suffix":""},{"dropping-particle":"","family":"Takahashi","given":"Satoshi","non-dropping-particle":"","parse-names":false,"suffix":""},{"dropping-particle":"","family":"Tong","given":"Jinnan","non-dropping-particle":"","parse-names":false,"suffix":""},{"dropping-particle":"","family":"Liang","given":"Lei","non-dropping-particle":"","parse-names":false,"suffix":""},{"dropping-particle":"","family":"Oba","given":"Masahiro","non-dropping-particle":"","parse-names":false,"suffix":""},{"dropping-particle":"","family":"Nara","given":"Fumiko W","non-dropping-particle":"","parse-names":false,"suffix":""},{"dropping-particle":"","family":"Tsuchiya","given":"Noriyoshi","non-dropping-particle":"","parse-names":false,"suffix":""},{"dropping-particle":"","family":"Chen","given":"Zhong-Qiang","non-dropping-particle":"","parse-names":false,"suffix":""}],"container-title":"Heliyon","id":"ITEM-1","issue":"8","issued":{"date-parts":[["2016"]]},"page":"e00137","title":"Effects of soil erosion and anoxic–euxinic ocean in the Permian–Triassic marine crisis","type":"article-journal","volume":"2"},"uris":["http://www.mendeley.com/documents/?uuid=d87ee13b-7824-4671-bbb2-eba13c5a999f"]}],"mendeley":{"formattedCitation":"(Kaiho et al., 2016)","manualFormatting":"(e.g., Kaiho et al., 2016)","plainTextFormattedCitation":"(Kaiho et al., 2016)","previouslyFormattedCitation":"(Kaiho et al., 2016)"},"properties":{"noteIndex":0},"schema":"https://github.com/citation-style-language/schema/raw/master/csl-citation.json"}</w:instrText>
      </w:r>
      <w:r w:rsidR="00E66030">
        <w:fldChar w:fldCharType="separate"/>
      </w:r>
      <w:r w:rsidR="00E66030" w:rsidRPr="00E66030">
        <w:rPr>
          <w:noProof/>
        </w:rPr>
        <w:t>(</w:t>
      </w:r>
      <w:r w:rsidR="00E66030">
        <w:rPr>
          <w:noProof/>
        </w:rPr>
        <w:t xml:space="preserve">e.g., </w:t>
      </w:r>
      <w:r w:rsidR="00E66030" w:rsidRPr="00E66030">
        <w:rPr>
          <w:noProof/>
        </w:rPr>
        <w:t>Kaiho et al., 2016)</w:t>
      </w:r>
      <w:r w:rsidR="00E66030">
        <w:fldChar w:fldCharType="end"/>
      </w:r>
      <w:r w:rsidR="001347E1">
        <w:t>. Such PAH increases and redox conditions are readily observed in the SW UK during the marine extinction (Fig. 3) and</w:t>
      </w:r>
      <w:r w:rsidR="00880763">
        <w:t xml:space="preserve"> are</w:t>
      </w:r>
      <w:r w:rsidR="001347E1">
        <w:t xml:space="preserve"> further supported by increases in </w:t>
      </w:r>
      <w:r w:rsidR="001347E1">
        <w:rPr>
          <w:i/>
        </w:rPr>
        <w:t>n-</w:t>
      </w:r>
      <w:r w:rsidR="001347E1">
        <w:t>alkanes indicative of terrestrial material (</w:t>
      </w:r>
      <w:r w:rsidR="00C913AB">
        <w:t>s</w:t>
      </w:r>
      <w:r w:rsidR="001347E1">
        <w:t xml:space="preserve">upplementary information). </w:t>
      </w:r>
      <w:r w:rsidR="00D93689">
        <w:t>Additionally, t</w:t>
      </w:r>
      <w:r w:rsidR="00D93689" w:rsidRPr="009A115D">
        <w:t>rends in biomarker</w:t>
      </w:r>
      <w:r w:rsidR="00D93689">
        <w:t>s</w:t>
      </w:r>
      <w:r w:rsidR="00D93689" w:rsidRPr="009A115D">
        <w:t xml:space="preserve"> and</w:t>
      </w:r>
      <w:r w:rsidR="00D93689">
        <w:t xml:space="preserve"> their inferred</w:t>
      </w:r>
      <w:r w:rsidR="00D93689" w:rsidRPr="009A115D">
        <w:t xml:space="preserve"> </w:t>
      </w:r>
      <w:r w:rsidR="00D93689" w:rsidRPr="00946392">
        <w:t xml:space="preserve">redox </w:t>
      </w:r>
      <w:r w:rsidR="00D93689">
        <w:t>conditions</w:t>
      </w:r>
      <w:r w:rsidR="00D93689" w:rsidRPr="009A115D">
        <w:t xml:space="preserve"> in the </w:t>
      </w:r>
      <w:r w:rsidR="00D93689">
        <w:t>paper shales are</w:t>
      </w:r>
      <w:r w:rsidR="00D93689" w:rsidRPr="009A115D">
        <w:t xml:space="preserve"> similar to those found</w:t>
      </w:r>
      <w:r w:rsidR="00D93689">
        <w:t xml:space="preserve"> during the soil erosion event(s)</w:t>
      </w:r>
      <w:r w:rsidR="00D93689" w:rsidRPr="009A115D">
        <w:t xml:space="preserve"> at the </w:t>
      </w:r>
      <w:r w:rsidR="00D93689">
        <w:t>end-Permian mass extinction</w:t>
      </w:r>
      <w:r w:rsidR="00D93689" w:rsidRPr="009A115D">
        <w:t xml:space="preserve"> in China and Northern Italy</w:t>
      </w:r>
      <w:r w:rsidR="00D93689">
        <w:t xml:space="preserve"> </w:t>
      </w:r>
      <w:r w:rsidR="00D93689">
        <w:fldChar w:fldCharType="begin" w:fldLock="1"/>
      </w:r>
      <w:r w:rsidR="00D93689">
        <w:instrText>ADDIN CSL_CITATION {"citationItems":[{"id":"ITEM-1","itemData":{"DOI":"10.1130/G21784.1","ISSN":"0091-7613","abstract":"Organic geochemical analyses of sedimentary organic matter from a marine Permian-Triassic transition sequence in northeastern Italy reveal a significant influx of land-derived diagenetic products of polysaccharides. This unique event reflects massive soil erosion resulting from destruction of land vegetation due to volcanogenic disturbance of atmospheric chemistry. The excessive supply of soil materials to the oceans provides a direct link between terrestrial and marine ecological crises, suggesting that ecosystem collapse on land could have contributed to the end-Permian marine extinctions.","author":[{"dropping-particle":"","family":"Sephton","given":"Mark A","non-dropping-particle":"","parse-names":false,"suffix":""},{"dropping-particle":"V","family":"Looy","given":"Cindy","non-dropping-particle":"","parse-names":false,"suffix":""},{"dropping-particle":"","family":"Brinkhuis","given":"Henk","non-dropping-particle":"","parse-names":false,"suffix":""},{"dropping-particle":"","family":"Wignall","given":"Paul B","non-dropping-particle":"","parse-names":false,"suffix":""},{"dropping-particle":"","family":"Leeuw","given":"Jan W","non-dropping-particle":"de","parse-names":false,"suffix":""},{"dropping-particle":"","family":"Visscher","given":"Henk","non-dropping-particle":"","parse-names":false,"suffix":""}],"container-title":"Geology","id":"ITEM-1","issue":"12","issued":{"date-parts":[["2005","12","1"]]},"page":"941-944","title":"Catastrophic soil erosion during the end-Permian biotic crisis","type":"article-journal","volume":"33"},"uris":["http://www.mendeley.com/documents/?uuid=8f3cdae2-c962-4cea-a752-179301c24b82"]},{"id":"ITEM-2","itemData":{"DOI":"https://doi.org/10.1016/j.heliyon.2016.e00137","ISSN":"2405-8440","abstract":"The largest mass extinction of biota in the Earth’s history occurred during the Permian–Triassic transition and included two extinctions, one each at the latest Permian (first phase) and earliest Triassic (second phase). High seawater temperature in the surface water accompanied by euxinic deep-intermediate water, intrusion of the euxinic water to the surface water, a decrease in pH, and hypercapnia have been proposed as direct causes of the marine crisis. For the first-phase extinction, we here add a causal mechanism beginning from massive soil and rock erosion and leading to algal blooms, release of toxic components, asphyxiation, and oxygen-depleted nearshore bottom water that created environmental stress for nearshore marine animals. For the second-phase extinction, we show that a soil and rock erosion/algal bloom event did not occur, but culmination of anoxia–euxinia in intermediate waters did occur, spanning the second-phase extinction. We investigated sedimentary organic molecules, and the results indicated a peak of a massive soil erosion proxy followed by peaks of marine productivity proxy. Anoxic proxies of surface sediments and water occurred in the shallow nearshore sea at the eastern and western margins of the Paleotethys at the first-phase extinction horizon, but not at the second-phase extinction horizon. Our reconstruction of ocean redox structure at low latitudes indicates that a gradual increase in temperature spanning the two extinctions could have induced a gradual change from a well-mixed oxic to a stratified euxinic ocean beginning immediately prior to the first-phase extinction, followed by culmination of anoxia in nearshore surface waters and of anoxia and euxinia in the shallow-intermediate waters at the second-phase extinction over a period of approximately one million years or more. Enhanced global warming, ocean acidification, and hypercapnia could have caused the second-phase extinction approximately 60 kyr after the first-phase extinction. The causes of the first-phase extinction were not only those environmental stresses but also environmental stresses caused by the soil and rock erosion/algal bloom event.","author":[{"dropping-particle":"","family":"Kaiho","given":"Kunio","non-dropping-particle":"","parse-names":false,"suffix":""},{"dropping-particle":"","family":"Saito","given":"Ryosuke","non-dropping-particle":"","parse-names":false,"suffix":""},{"dropping-particle":"","family":"Ito","given":"Kosuke","non-dropping-particle":"","parse-names":false,"suffix":""},{"dropping-particle":"","family":"Miyaji","given":"Takashi","non-dropping-particle":"","parse-names":false,"suffix":""},{"dropping-particle":"","family":"Biswas","given":"Raman","non-dropping-particle":"","parse-names":false,"suffix":""},{"dropping-particle":"","family":"Tian","given":"Li","non-dropping-particle":"","parse-names":false,"suffix":""},{"dropping-particle":"","family":"Sano","given":"Hiroyoshi","non-dropping-particle":"","parse-names":false,"suffix":""},{"dropping-particle":"","family":"Shi","given":"Zhiqiang","non-dropping-particle":"","parse-names":false,"suffix":""},{"dropping-particle":"","family":"Takahashi","given":"Satoshi","non-dropping-particle":"","parse-names":false,"suffix":""},{"dropping-particle":"","family":"Tong","given":"Jinnan","non-dropping-particle":"","parse-names":false,"suffix":""},{"dropping-particle":"","family":"Liang","given":"Lei","non-dropping-particle":"","parse-names":false,"suffix":""},{"dropping-particle":"","family":"Oba","given":"Masahiro","non-dropping-particle":"","parse-names":false,"suffix":""},{"dropping-particle":"","family":"Nara","given":"Fumiko W","non-dropping-particle":"","parse-names":false,"suffix":""},{"dropping-particle":"","family":"Tsuchiya","given":"Noriyoshi","non-dropping-particle":"","parse-names":false,"suffix":""},{"dropping-particle":"","family":"Chen","given":"Zhong-Qiang","non-dropping-particle":"","parse-names":false,"suffix":""}],"container-title":"Heliyon","id":"ITEM-2","issue":"8","issued":{"date-parts":[["2016"]]},"page":"e00137","title":"Effects of soil erosion and anoxic–euxinic ocean in the Permian–Triassic marine crisis","type":"article-journal","volume":"2"},"uris":["http://www.mendeley.com/documents/?uuid=d87ee13b-7824-4671-bbb2-eba13c5a999f"]}],"mendeley":{"formattedCitation":"(Kaiho et al., 2016; Sephton et al., 2005)","plainTextFormattedCitation":"(Kaiho et al., 2016; Sephton et al., 2005)","previouslyFormattedCitation":"(Kaiho et al., 2016; Sephton et al., 2005)"},"properties":{"noteIndex":0},"schema":"https://github.com/citation-style-language/schema/raw/master/csl-citation.json"}</w:instrText>
      </w:r>
      <w:r w:rsidR="00D93689">
        <w:fldChar w:fldCharType="separate"/>
      </w:r>
      <w:r w:rsidR="00D93689" w:rsidRPr="00A249D1">
        <w:rPr>
          <w:noProof/>
        </w:rPr>
        <w:t>(Kaiho et al., 2016; Sephton et al., 2005)</w:t>
      </w:r>
      <w:r w:rsidR="00D93689">
        <w:fldChar w:fldCharType="end"/>
      </w:r>
      <w:r w:rsidR="00D93689">
        <w:t>. These include</w:t>
      </w:r>
      <w:r w:rsidR="00D93689" w:rsidRPr="009A115D">
        <w:t xml:space="preserve"> increases in </w:t>
      </w:r>
      <w:r w:rsidR="00D93689">
        <w:t>DBF and its methylated isomers, increases in DBF r</w:t>
      </w:r>
      <w:r w:rsidR="00D93689" w:rsidRPr="009A115D">
        <w:t xml:space="preserve">elative to biomass burning compounds, low </w:t>
      </w:r>
      <w:r w:rsidR="00D93689">
        <w:t>pristane</w:t>
      </w:r>
      <w:r w:rsidR="00D93689" w:rsidRPr="009A115D">
        <w:t xml:space="preserve"> to phytane</w:t>
      </w:r>
      <w:r w:rsidR="00D93689">
        <w:t xml:space="preserve"> r</w:t>
      </w:r>
      <w:r w:rsidR="00D93689" w:rsidRPr="009A115D">
        <w:t>atios</w:t>
      </w:r>
      <w:r w:rsidR="00D93689">
        <w:t xml:space="preserve"> and </w:t>
      </w:r>
      <w:r w:rsidR="00D93689" w:rsidRPr="009A115D">
        <w:t>C</w:t>
      </w:r>
      <w:r w:rsidR="00D93689" w:rsidRPr="009A115D">
        <w:rPr>
          <w:vertAlign w:val="subscript"/>
        </w:rPr>
        <w:t>35</w:t>
      </w:r>
      <w:r w:rsidR="00D93689" w:rsidRPr="009A115D">
        <w:t xml:space="preserve"> </w:t>
      </w:r>
      <w:proofErr w:type="spellStart"/>
      <w:r w:rsidR="00D93689" w:rsidRPr="009A115D">
        <w:t>homo</w:t>
      </w:r>
      <w:r w:rsidR="00D93689">
        <w:t>hopane</w:t>
      </w:r>
      <w:proofErr w:type="spellEnd"/>
      <w:r w:rsidR="00D93689">
        <w:t xml:space="preserve"> index between 5 and 10% </w:t>
      </w:r>
      <w:r w:rsidR="00D93689" w:rsidRPr="009A115D">
        <w:t>(redox parameter</w:t>
      </w:r>
      <w:r w:rsidR="00D93689">
        <w:t>s</w:t>
      </w:r>
      <w:r w:rsidR="00D93689" w:rsidRPr="009A115D">
        <w:t>), high gammacerane index (stratification proxy), and increases in DBT</w:t>
      </w:r>
      <w:r w:rsidR="00D93689">
        <w:t xml:space="preserve">. </w:t>
      </w:r>
      <w:r w:rsidR="00CB428C">
        <w:t xml:space="preserve">Soil erosion, identified through reworking of pollen assemblages across </w:t>
      </w:r>
      <w:r w:rsidR="003D6870">
        <w:t xml:space="preserve">ETE </w:t>
      </w:r>
      <w:r w:rsidR="00CB428C">
        <w:t xml:space="preserve">European sections, has recently proved important as an extinction mechanism for terrestrial </w:t>
      </w:r>
      <w:r w:rsidR="000749FF">
        <w:t>species</w:t>
      </w:r>
      <w:r w:rsidR="006C5D9E">
        <w:t xml:space="preserve"> </w:t>
      </w:r>
      <w:r w:rsidR="003D6870">
        <w:t>and</w:t>
      </w:r>
      <w:r w:rsidR="00CB428C">
        <w:t xml:space="preserve"> connecting ecosystem </w:t>
      </w:r>
      <w:r w:rsidR="000749FF">
        <w:t>perturbations across</w:t>
      </w:r>
      <w:r w:rsidR="00CB428C">
        <w:t xml:space="preserve"> terrestrial and aquatic realms</w:t>
      </w:r>
      <w:r w:rsidR="00F249BB">
        <w:t xml:space="preserve"> </w:t>
      </w:r>
      <w:r w:rsidR="00F249BB">
        <w:fldChar w:fldCharType="begin" w:fldLock="1"/>
      </w:r>
      <w:r w:rsidR="00A249D1">
        <w:instrText>ADDIN CSL_CITATION {"citationItems":[{"id":"ITEM-1","itemData":{"DOI":"10.1016/j.earscirev.2020.103332","ISSN":"00128252","abstract":"Soils are a crucial link between the atmosphere, biosphere, and geosphere. Any disturbance to the health of soils will severely impact plants as well as a multitude of organisms living in or on soils, such as fungi, bacteria, and insects. Catastrophic soil loss is thought to have played a pivotal role during mass-extinction events as a result of major deforestation, but the exact feedbacks remain elusive. Here, we assess the role of soil loss during the end-Triassic mass-extinction event based on proxy data obtained from four sediment sections recovered from France, Germany, and Denmark. Clay mineral and palynological data indicate a strong increase in erosion during the latest Rhaetian with the influx of kaolinite and abundantly reworked Palaeozoic and Neoproterozoic organic matter. Based on a new timeline, these changes were coeval with intense volcanic activity in the Central Atlantic Magmatic Province (CAMP). In addition to vegetation dieback, repeated forest fires, as well as widespread seismic activity related to CAMP emplacement led to landscape destruction triggering removal of soils. The biological degradation of fern spore walls by fungi and bacteria, a process coupled to organic matter decay in soils, strongly decreased across the T/J boundary. We interpret this counter-intuitive result as evidence for rapid and widespread removal of soils. Taken together, CAMP induced environmental changes led to profound changes in erosion and removal of soils, while soil resilience during the Hettangian appears to have proceeded hand in hand with recovery in Jurassic seas.","author":[{"dropping-particle":"","family":"Schootbrugge","given":"B.","non-dropping-particle":"van de","parse-names":false,"suffix":""},{"dropping-particle":"","family":"Weijst","given":"C. M.H.","non-dropping-particle":"van der","parse-names":false,"suffix":""},{"dropping-particle":"","family":"Hollaar","given":"T. P.","non-dropping-particle":"","parse-names":false,"suffix":""},{"dropping-particle":"","family":"Vecoli","given":"M.","non-dropping-particle":"","parse-names":false,"suffix":""},{"dropping-particle":"","family":"Strother","given":"P. K.","non-dropping-particle":"","parse-names":false,"suffix":""},{"dropping-particle":"","family":"Kuhlmann","given":"N.","non-dropping-particle":"","parse-names":false,"suffix":""},{"dropping-particle":"","family":"Thein","given":"J.","non-dropping-particle":"","parse-names":false,"suffix":""},{"dropping-particle":"","family":"Visscher","given":"H.","non-dropping-particle":"","parse-names":false,"suffix":""},{"dropping-particle":"","family":"Konijnenburg-van Cittert","given":"H.","non-dropping-particle":"van","parse-names":false,"suffix":""},{"dropping-particle":"","family":"Schobben","given":"M. A.N.","non-dropping-particle":"","parse-names":false,"suffix":""},{"dropping-particle":"","family":"Sluijs","given":"A.","non-dropping-particle":"","parse-names":false,"suffix":""},{"dropping-particle":"","family":"Lindström","given":"S.","non-dropping-particle":"","parse-names":false,"suffix":""}],"container-title":"Earth-Science Reviews","id":"ITEM-1","issued":{"date-parts":[["2020"]]},"page":"103332","publisher":"Elsevier","title":"Catastrophic soil loss associated with end-Triassic deforestation","type":"article-journal","volume":"210"},"uris":["http://www.mendeley.com/documents/?uuid=655528fe-a703-4d67-9c24-c0adca77ac15"]}],"mendeley":{"formattedCitation":"(van de Schootbrugge et al., 2020)","plainTextFormattedCitation":"(van de Schootbrugge et al., 2020)","previouslyFormattedCitation":"(van de Schootbrugge et al., 2020)"},"properties":{"noteIndex":0},"schema":"https://github.com/citation-style-language/schema/raw/master/csl-citation.json"}</w:instrText>
      </w:r>
      <w:r w:rsidR="00F249BB">
        <w:fldChar w:fldCharType="separate"/>
      </w:r>
      <w:r w:rsidR="00A249D1" w:rsidRPr="00A249D1">
        <w:rPr>
          <w:noProof/>
        </w:rPr>
        <w:t>(van de Schootbrugge et al., 2020)</w:t>
      </w:r>
      <w:r w:rsidR="00F249BB">
        <w:fldChar w:fldCharType="end"/>
      </w:r>
      <w:r w:rsidR="000749FF">
        <w:t xml:space="preserve">. </w:t>
      </w:r>
    </w:p>
    <w:p w14:paraId="08B904D5" w14:textId="58F29CBD" w:rsidR="00AE7F86" w:rsidRDefault="001C5960" w:rsidP="004E61CD">
      <w:pPr>
        <w:pStyle w:val="AbstractSummary"/>
        <w:spacing w:line="480" w:lineRule="auto"/>
        <w:ind w:firstLine="720"/>
        <w:jc w:val="both"/>
      </w:pPr>
      <w:r>
        <w:lastRenderedPageBreak/>
        <w:t>Soil er</w:t>
      </w:r>
      <w:r w:rsidR="00405C65">
        <w:t xml:space="preserve">osion can </w:t>
      </w:r>
      <w:r w:rsidR="005B534F">
        <w:t>be enhanced by</w:t>
      </w:r>
      <w:r w:rsidR="00405C65">
        <w:t xml:space="preserve"> </w:t>
      </w:r>
      <w:r w:rsidR="005B534F">
        <w:t xml:space="preserve">a variety </w:t>
      </w:r>
      <w:r w:rsidR="00405C65">
        <w:t>of different processes</w:t>
      </w:r>
      <w:r w:rsidR="006C5D9E">
        <w:t>,</w:t>
      </w:r>
      <w:r w:rsidR="00405C65">
        <w:t xml:space="preserve"> </w:t>
      </w:r>
      <w:r w:rsidR="006C5D9E">
        <w:t xml:space="preserve">including </w:t>
      </w:r>
      <w:r w:rsidR="00405C65">
        <w:t xml:space="preserve">tectonic events (earthquakes), biomass burning, </w:t>
      </w:r>
      <w:r w:rsidR="005B534F">
        <w:t xml:space="preserve">increased precipitation, </w:t>
      </w:r>
      <w:r w:rsidR="00405C65">
        <w:t xml:space="preserve">and soil acidification </w:t>
      </w:r>
      <w:r w:rsidR="00F249BB">
        <w:fldChar w:fldCharType="begin" w:fldLock="1"/>
      </w:r>
      <w:r w:rsidR="00A249D1">
        <w:instrText>ADDIN CSL_CITATION {"citationItems":[{"id":"ITEM-1","itemData":{"DOI":"10.1016/j.earscirev.2020.103332","ISSN":"00128252","abstract":"Soils are a crucial link between the atmosphere, biosphere, and geosphere. Any disturbance to the health of soils will severely impact plants as well as a multitude of organisms living in or on soils, such as fungi, bacteria, and insects. Catastrophic soil loss is thought to have played a pivotal role during mass-extinction events as a result of major deforestation, but the exact feedbacks remain elusive. Here, we assess the role of soil loss during the end-Triassic mass-extinction event based on proxy data obtained from four sediment sections recovered from France, Germany, and Denmark. Clay mineral and palynological data indicate a strong increase in erosion during the latest Rhaetian with the influx of kaolinite and abundantly reworked Palaeozoic and Neoproterozoic organic matter. Based on a new timeline, these changes were coeval with intense volcanic activity in the Central Atlantic Magmatic Province (CAMP). In addition to vegetation dieback, repeated forest fires, as well as widespread seismic activity related to CAMP emplacement led to landscape destruction triggering removal of soils. The biological degradation of fern spore walls by fungi and bacteria, a process coupled to organic matter decay in soils, strongly decreased across the T/J boundary. We interpret this counter-intuitive result as evidence for rapid and widespread removal of soils. Taken together, CAMP induced environmental changes led to profound changes in erosion and removal of soils, while soil resilience during the Hettangian appears to have proceeded hand in hand with recovery in Jurassic seas.","author":[{"dropping-particle":"","family":"Schootbrugge","given":"B.","non-dropping-particle":"van de","parse-names":false,"suffix":""},{"dropping-particle":"","family":"Weijst","given":"C. M.H.","non-dropping-particle":"van der","parse-names":false,"suffix":""},{"dropping-particle":"","family":"Hollaar","given":"T. P.","non-dropping-particle":"","parse-names":false,"suffix":""},{"dropping-particle":"","family":"Vecoli","given":"M.","non-dropping-particle":"","parse-names":false,"suffix":""},{"dropping-particle":"","family":"Strother","given":"P. K.","non-dropping-particle":"","parse-names":false,"suffix":""},{"dropping-particle":"","family":"Kuhlmann","given":"N.","non-dropping-particle":"","parse-names":false,"suffix":""},{"dropping-particle":"","family":"Thein","given":"J.","non-dropping-particle":"","parse-names":false,"suffix":""},{"dropping-particle":"","family":"Visscher","given":"H.","non-dropping-particle":"","parse-names":false,"suffix":""},{"dropping-particle":"","family":"Konijnenburg-van Cittert","given":"H.","non-dropping-particle":"van","parse-names":false,"suffix":""},{"dropping-particle":"","family":"Schobben","given":"M. A.N.","non-dropping-particle":"","parse-names":false,"suffix":""},{"dropping-particle":"","family":"Sluijs","given":"A.","non-dropping-particle":"","parse-names":false,"suffix":""},{"dropping-particle":"","family":"Lindström","given":"S.","non-dropping-particle":"","parse-names":false,"suffix":""}],"container-title":"Earth-Science Reviews","id":"ITEM-1","issued":{"date-parts":[["2020"]]},"page":"103332","publisher":"Elsevier","title":"Catastrophic soil loss associated with end-Triassic deforestation","type":"article-journal","volume":"210"},"uris":["http://www.mendeley.com/documents/?uuid=655528fe-a703-4d67-9c24-c0adca77ac15"]}],"mendeley":{"formattedCitation":"(van de Schootbrugge et al., 2020)","plainTextFormattedCitation":"(van de Schootbrugge et al., 2020)","previouslyFormattedCitation":"(van de Schootbrugge et al., 2020)"},"properties":{"noteIndex":0},"schema":"https://github.com/citation-style-language/schema/raw/master/csl-citation.json"}</w:instrText>
      </w:r>
      <w:r w:rsidR="00F249BB">
        <w:fldChar w:fldCharType="separate"/>
      </w:r>
      <w:r w:rsidR="00A249D1" w:rsidRPr="00A249D1">
        <w:rPr>
          <w:noProof/>
        </w:rPr>
        <w:t>(van de Schootbrugge et al., 2020)</w:t>
      </w:r>
      <w:r w:rsidR="00F249BB">
        <w:fldChar w:fldCharType="end"/>
      </w:r>
      <w:r w:rsidR="00405C65">
        <w:t xml:space="preserve">. Evidence of earthquakes </w:t>
      </w:r>
      <w:r w:rsidR="00AE7F86">
        <w:t xml:space="preserve">in the SW UK, </w:t>
      </w:r>
      <w:r w:rsidR="00405C65">
        <w:t xml:space="preserve">in </w:t>
      </w:r>
      <w:r w:rsidR="00AE7F86">
        <w:t xml:space="preserve">the </w:t>
      </w:r>
      <w:r w:rsidR="00405C65">
        <w:t xml:space="preserve">form of </w:t>
      </w:r>
      <w:proofErr w:type="spellStart"/>
      <w:r w:rsidR="00405C65">
        <w:t>seismites</w:t>
      </w:r>
      <w:proofErr w:type="spellEnd"/>
      <w:r w:rsidR="00AE7F86">
        <w:t>,</w:t>
      </w:r>
      <w:r w:rsidR="00405C65">
        <w:t xml:space="preserve"> occur much lower in the stratigraphic column </w:t>
      </w:r>
      <w:r w:rsidR="007A7107">
        <w:t xml:space="preserve">alongside </w:t>
      </w:r>
      <w:r w:rsidR="00F834E4">
        <w:t xml:space="preserve">desiccation cracks and </w:t>
      </w:r>
      <w:r w:rsidR="00AE7F86">
        <w:t xml:space="preserve">at the onset of the initial CIE </w:t>
      </w:r>
      <w:r w:rsidR="00405C65">
        <w:t>(Fig. 2)</w:t>
      </w:r>
      <w:r w:rsidR="001E7283">
        <w:t xml:space="preserve">. </w:t>
      </w:r>
      <w:r w:rsidR="00FB215E" w:rsidRPr="0070044E">
        <w:rPr>
          <w:bCs/>
        </w:rPr>
        <w:t>∑</w:t>
      </w:r>
      <w:proofErr w:type="spellStart"/>
      <w:r w:rsidR="00FB215E" w:rsidRPr="0070044E">
        <w:rPr>
          <w:bCs/>
        </w:rPr>
        <w:t>pyPAH</w:t>
      </w:r>
      <w:proofErr w:type="spellEnd"/>
      <w:r w:rsidR="00FB215E" w:rsidDel="00FB215E">
        <w:t xml:space="preserve"> </w:t>
      </w:r>
      <w:r w:rsidR="008357DA">
        <w:t>concentrations show little change</w:t>
      </w:r>
      <w:r w:rsidR="00F439FF">
        <w:t xml:space="preserve"> in the Blue Lias Formation and only m</w:t>
      </w:r>
      <w:r w:rsidR="008357DA">
        <w:t xml:space="preserve">inor increases </w:t>
      </w:r>
      <w:r w:rsidR="001E7283">
        <w:t xml:space="preserve">in the lowermost Blue Lias Formation (where </w:t>
      </w:r>
      <w:r w:rsidR="008357DA">
        <w:t xml:space="preserve">DBT and DBF concentrations </w:t>
      </w:r>
      <w:r w:rsidR="001E7283">
        <w:t xml:space="preserve">are highest) </w:t>
      </w:r>
      <w:r w:rsidR="008357DA">
        <w:t xml:space="preserve">suggest biomass burning is not responsible for driving soil erosion and increased input of terrestrial material. </w:t>
      </w:r>
      <w:r w:rsidR="00410FBE">
        <w:t xml:space="preserve">Furthermore, highest values </w:t>
      </w:r>
      <w:r w:rsidR="00C913AB">
        <w:t xml:space="preserve">of the </w:t>
      </w:r>
      <w:r w:rsidR="00410FBE">
        <w:t xml:space="preserve">smoke vs. residue </w:t>
      </w:r>
      <w:r w:rsidR="00C913AB">
        <w:t>proxy</w:t>
      </w:r>
      <w:r w:rsidR="00C80408">
        <w:t xml:space="preserve"> </w:t>
      </w:r>
      <w:r w:rsidR="00410FBE">
        <w:t xml:space="preserve">in the paper shales </w:t>
      </w:r>
      <w:r w:rsidR="004E61CD">
        <w:t>(Fig. 3)</w:t>
      </w:r>
      <w:r w:rsidR="00410FBE">
        <w:t xml:space="preserve"> </w:t>
      </w:r>
      <w:r w:rsidR="00C913AB">
        <w:t>suggests</w:t>
      </w:r>
      <w:r w:rsidR="00410FBE">
        <w:t xml:space="preserve"> </w:t>
      </w:r>
      <w:r w:rsidR="00E13955">
        <w:t xml:space="preserve">that </w:t>
      </w:r>
      <w:r w:rsidR="00410FBE">
        <w:t xml:space="preserve">fire activity was not </w:t>
      </w:r>
      <w:proofErr w:type="gramStart"/>
      <w:r w:rsidR="00410FBE">
        <w:t>in close proximity to</w:t>
      </w:r>
      <w:proofErr w:type="gramEnd"/>
      <w:r w:rsidR="00410FBE">
        <w:t xml:space="preserve"> the </w:t>
      </w:r>
      <w:r w:rsidR="00974823">
        <w:t xml:space="preserve">depositional </w:t>
      </w:r>
      <w:r w:rsidR="001E7283">
        <w:t>environment</w:t>
      </w:r>
      <w:r w:rsidR="00974823">
        <w:t xml:space="preserve">. </w:t>
      </w:r>
    </w:p>
    <w:p w14:paraId="2D402D44" w14:textId="41328757" w:rsidR="006A303A" w:rsidRDefault="00175BD8" w:rsidP="00A02601">
      <w:pPr>
        <w:pStyle w:val="AbstractSummary"/>
        <w:spacing w:line="480" w:lineRule="auto"/>
        <w:ind w:firstLine="720"/>
        <w:jc w:val="both"/>
      </w:pPr>
      <w:r>
        <w:t>S</w:t>
      </w:r>
      <w:r w:rsidR="0096485A">
        <w:t xml:space="preserve">oil erosion </w:t>
      </w:r>
      <w:r w:rsidR="0096485A" w:rsidRPr="005045DC">
        <w:rPr>
          <w:i/>
        </w:rPr>
        <w:t>via</w:t>
      </w:r>
      <w:r w:rsidR="0096485A">
        <w:t xml:space="preserve"> ac</w:t>
      </w:r>
      <w:r w:rsidR="000E7295">
        <w:t>id rain</w:t>
      </w:r>
      <w:r w:rsidR="0096485A">
        <w:t xml:space="preserve"> </w:t>
      </w:r>
      <w:r>
        <w:t>is</w:t>
      </w:r>
      <w:r w:rsidR="0096485A">
        <w:t xml:space="preserve"> circumstantial during the ETE</w:t>
      </w:r>
      <w:r>
        <w:t xml:space="preserve">. </w:t>
      </w:r>
      <w:r w:rsidR="006E05D5">
        <w:t>E</w:t>
      </w:r>
      <w:r w:rsidR="0096485A">
        <w:t xml:space="preserve">vidence </w:t>
      </w:r>
      <w:r w:rsidR="006E05D5">
        <w:t>consists</w:t>
      </w:r>
      <w:r w:rsidR="0096485A">
        <w:t xml:space="preserve"> </w:t>
      </w:r>
      <w:r w:rsidR="006E05D5">
        <w:t xml:space="preserve">of </w:t>
      </w:r>
      <w:r w:rsidR="0096485A">
        <w:t xml:space="preserve">darkened spores and pollen from </w:t>
      </w:r>
      <w:r w:rsidR="001E7283">
        <w:t>various European sections</w:t>
      </w:r>
      <w:r w:rsidR="00CA3118">
        <w:t xml:space="preserve"> </w:t>
      </w:r>
      <w:r w:rsidR="00CA3118">
        <w:fldChar w:fldCharType="begin" w:fldLock="1"/>
      </w:r>
      <w:r w:rsidR="00CA3118">
        <w:instrText>ADDIN CSL_CITATION {"citationItems":[{"id":"ITEM-1","itemData":{"DOI":"10.1017/S0016756811000914","ISSN":"0016-7568","abstract":"The Kamień Pomorski IG-1 borehole (Pomerania, NW Poland) yields a profile through the Triassic–Jurassic (T–J) transition in continental deposits. An integrated study of the sedimentology, sequence stratigraphy, palynology, biostratigraphy and geochemistry of these deposits has been carried out on the boundary interval, which represents a time of major environmental change. Two lithological units within the transitional section are distinguished: the Lower–Middle Rhaetian Wielichowo Beds of alluvial plain facies, which shows evidence of a semi-arid climate, and the Upper Rhaetian to Lower Hettangian Zagaje Formation, lying above a marked erosional sequence boundary, composed of mudstone-claystone and sandstone deposited in a fluvial-lacustrine environment. Carbon isotope values obtained from palynomaceral separates, and thus reflecting isotopic changes in atmospheric CO2, show significant fluctuations through the Rhaetian; the most conspicuous negative δ13Corg excursion is correlated with the Rhaetian ‘initial’ excursion and shows two sub-peaks, pointing to short-term carbon-cycle disturbances of lesser magnitude. Above the ‘initial’ negative excursion, there is a positive excursion followed again by more negative values, representing subordinate fluctuation within a positive excursion and is correlated with the T–J boundary. Seventy-two miospore taxa have been determined from the studied T–J transitional section. Two major palynological assemblages have been distinguished: the lower one, typically Rhaetian, named the Cingulizonates rhaeticus–Limbosporites lundblandii association, which corresponds to the Rhaetipollis–Ricciisporites (= Rhaetipollis–Limbosporites) Zone; and the upper one, typically Hettangian, named the Conbaculatisporites mesozoicus– Dictyophyllidites mortoni–Cerebropollenites thiergartii association (with the age-diagnostic pollen C. thiergartii), which corresponds to the Pinuspollenites–Trachysporites (= Trachysporites–Heliosporites) Zone. The T–J palynofloral turnover occurred in a humid period and is more conspicuous then palynofloral changes observed in Greenland, the Tethyan domain or other parts of NE Europe. The osmium isotope system is studied herein for the first time from T–J continental deposits and shows marked disturbances similar to those measured in marine deposits and attributed to volcanic fallout. Carbon and osmium isotope correlation and coeval increase in polycyclic aromatic hydrocarbon (PAH) content and darkening of…","author":[{"dropping-particle":"","family":"Pieńkowski","given":"Grzegorz","non-dropping-particle":"","parse-names":false,"suffix":""},{"dropping-particle":"","family":"Niedźwiedzki","given":"Grzegorz","non-dropping-particle":"","parse-names":false,"suffix":""},{"dropping-particle":"","family":"Waksmundzka","given":"Marta","non-dropping-particle":"","parse-names":false,"suffix":""}],"container-title":"Geological Magazine","id":"ITEM-1","issue":"2","issued":{"date-parts":[["2011","9","12"]]},"page":"308-332","title":"Sedimentological, palynological and geochemical studies of the terrestrial Triassic–Jurassic boundary in northwestern Poland","type":"article-journal","volume":"149"},"uris":["http://www.mendeley.com/documents/?uuid=a0ba88ba-d64b-4229-8c6a-22e361f52868"]},{"id":"ITEM-2","itemData":{"DOI":"10.1038/ngeo577","ISSN":"1752-0908","abstract":"One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Geoscience","id":"ITEM-2","issue":"8","issued":{"date-parts":[["2009"]]},"page":"589-594","title":"Floral changes across the Triassic/Jurassic boundary linked to flood basalt volcanism","type":"article-journal","volume":"2"},"uris":["http://www.mendeley.com/documents/?uuid=7a9f3397-a2a7-4fd8-bfbf-4ff746b02c61"]}],"mendeley":{"formattedCitation":"(Pieńkowski et al., 2011; van de Schootbrugge et al., 2009)","plainTextFormattedCitation":"(Pieńkowski et al., 2011; van de Schootbrugge et al., 2009)","previouslyFormattedCitation":"(Pieńkowski et al., 2011; van de Schootbrugge et al., 2009)"},"properties":{"noteIndex":0},"schema":"https://github.com/citation-style-language/schema/raw/master/csl-citation.json"}</w:instrText>
      </w:r>
      <w:r w:rsidR="00CA3118">
        <w:fldChar w:fldCharType="separate"/>
      </w:r>
      <w:r w:rsidR="00CA3118" w:rsidRPr="00CA3118">
        <w:rPr>
          <w:noProof/>
        </w:rPr>
        <w:t>(Pieńkowski et al., 2011; van de Schootbrugge et al., 2009)</w:t>
      </w:r>
      <w:r w:rsidR="00CA3118">
        <w:fldChar w:fldCharType="end"/>
      </w:r>
      <w:r w:rsidR="00452ACD">
        <w:t xml:space="preserve">. </w:t>
      </w:r>
      <w:r w:rsidR="000E7295">
        <w:t>P</w:t>
      </w:r>
      <w:r w:rsidR="000E7295" w:rsidRPr="009A115D">
        <w:t>ollen</w:t>
      </w:r>
      <w:r w:rsidR="000E7295">
        <w:t xml:space="preserve"> and spore coloration</w:t>
      </w:r>
      <w:r w:rsidR="008357DA">
        <w:t xml:space="preserve"> and reworked palynomorph percentages are</w:t>
      </w:r>
      <w:r w:rsidR="000E7295">
        <w:t xml:space="preserve"> yet to be investigated in the SW UK</w:t>
      </w:r>
      <w:r w:rsidR="00F249BB">
        <w:t xml:space="preserve"> </w:t>
      </w:r>
      <w:r w:rsidR="00F249BB">
        <w:fldChar w:fldCharType="begin" w:fldLock="1"/>
      </w:r>
      <w:r w:rsidR="00A249D1">
        <w:instrText>ADDIN CSL_CITATION {"citationItems":[{"id":"ITEM-1","itemData":{"DOI":"10.1144/0016-76492009-141","ISSN":"0016-7649","abstract":"A high-resolution palynological study of the Triassic–Jurassic boundary in the St. Audrie's Bay section revealed a palynofloral transition interval with four pronounced spore peaks in the Lilstock Formation. Regular cyclic increases in palynomorph concentrations can be linked with periods of increased runoff, and correspond to the orbital eccentricity cycle. Spore peaks can be related to precession-induced variations in monsoon strength. An implication is that the initial carbon isotope excursion lasted for at least 20 ka. Emergence during deposition of the Cotham Member had an influence on one of the peaks, which is dominated by spore-producing pioneer plants (e.g. horsetails and liverworts). There is no compelling evidence of a global end-Triassic spore spike that, by analogy with the K–T boundary fern spike, could be related to a catastrophic mass extinction event. Climate change is a more plausible mechanism to explain the increased amount of spores.An alphabetical list of palynomorphs identified in the St. Audrie's Bay section is available at http://www.geolsoc.org.uk/SUP18406.","author":[{"dropping-particle":"","family":"Bonis","given":"Nina R","non-dropping-particle":"","parse-names":false,"suffix":""},{"dropping-particle":"","family":"Ruhl","given":"Micha","non-dropping-particle":"","parse-names":false,"suffix":""},{"dropping-particle":"","family":"Kürschner","given":"Wolfram M","non-dropping-particle":"","parse-names":false,"suffix":""}],"container-title":"Journal of the Geological Society","id":"ITEM-1","issue":"5","issued":{"date-parts":[["2010","9","1"]]},"page":"877-888","title":"Milankovitch-scale palynological turnover across the Triassic–Jurassic transition at St. Audrie's Bay, SW UK","type":"article-journal","volume":"167"},"uris":["http://www.mendeley.com/documents/?uuid=348a49ef-d948-44d8-851e-52a049014759"]}],"mendeley":{"formattedCitation":"(Bonis et al., 2010)","plainTextFormattedCitation":"(Bonis et al., 2010)","previouslyFormattedCitation":"(Bonis et al., 2010)"},"properties":{"noteIndex":0},"schema":"https://github.com/citation-style-language/schema/raw/master/csl-citation.json"}</w:instrText>
      </w:r>
      <w:r w:rsidR="00F249BB">
        <w:fldChar w:fldCharType="separate"/>
      </w:r>
      <w:r w:rsidR="00A249D1" w:rsidRPr="00A249D1">
        <w:rPr>
          <w:noProof/>
        </w:rPr>
        <w:t>(Bonis et al., 2010)</w:t>
      </w:r>
      <w:r w:rsidR="00F249BB">
        <w:fldChar w:fldCharType="end"/>
      </w:r>
      <w:r w:rsidR="00D93689">
        <w:t>.</w:t>
      </w:r>
      <w:r w:rsidR="000E7295">
        <w:t xml:space="preserve"> </w:t>
      </w:r>
      <w:r w:rsidR="00C1117D">
        <w:t xml:space="preserve">Based on </w:t>
      </w:r>
      <w:r w:rsidR="00CA4AA4">
        <w:t>chemostratigraphy</w:t>
      </w:r>
      <w:r w:rsidR="00C1117D">
        <w:t xml:space="preserve"> and biostratigraphy, </w:t>
      </w:r>
      <w:r w:rsidR="006A303A">
        <w:t>CIE correlations between</w:t>
      </w:r>
      <w:r w:rsidR="00C1117D">
        <w:t xml:space="preserve"> the SW UK and Germany typically correlate</w:t>
      </w:r>
      <w:r w:rsidR="006A303A">
        <w:t xml:space="preserve"> the Bristol Channel Basin initial CIE and the CIE </w:t>
      </w:r>
      <w:r w:rsidR="00FE23BD">
        <w:t>above the Trilete beds in</w:t>
      </w:r>
      <w:r w:rsidR="006A303A">
        <w:t xml:space="preserve"> </w:t>
      </w:r>
      <w:r w:rsidR="00C1117D">
        <w:t>Mariental-1</w:t>
      </w:r>
      <w:r w:rsidR="006A303A">
        <w:t xml:space="preserve">. </w:t>
      </w:r>
      <w:r w:rsidR="00FE23BD">
        <w:t>A</w:t>
      </w:r>
      <w:r w:rsidR="006A303A">
        <w:t>r</w:t>
      </w:r>
      <w:r w:rsidR="00FE23BD">
        <w:t xml:space="preserve">guably, based on palynology, </w:t>
      </w:r>
      <w:r w:rsidR="00CA4AA4">
        <w:t>the</w:t>
      </w:r>
      <w:r w:rsidR="006A303A">
        <w:t xml:space="preserve"> CIE in Mariental-1 could be correlated to the minor excursion in paper shales deposited during the extinction event</w:t>
      </w:r>
      <w:r w:rsidR="0003440F">
        <w:t xml:space="preserve">; see </w:t>
      </w:r>
      <w:r w:rsidR="00FE23BD">
        <w:t>Fig. 1</w:t>
      </w:r>
      <w:r w:rsidR="0003440F">
        <w:t xml:space="preserve">3 in </w:t>
      </w:r>
      <w:r w:rsidR="0003440F">
        <w:fldChar w:fldCharType="begin" w:fldLock="1"/>
      </w:r>
      <w:r w:rsidR="00432044">
        <w:instrText>ADDIN CSL_CITATION {"citationItems":[{"id":"ITEM-1","itemData":{"DOI":"https://doi.org/10.1016/j.palaeo.2016.12.025","ISSN":"0031-0182","abstract":"Understanding the end-Triassic mass extinction event (201.36Ma) requires a clear insight into the stratigraphy of boundary sections, which allows for long-distance correlations and correct distinction of the sequence of events. However, even after the ratification of a Global Stratotype Section and Point, global correlations of TJB successions are hampered by the fact that many of the traditionally used fossil groups were severely affected by the crisis. Here, a new correlation of key TJB successions in Europe, U.S.A. and Peru, based on a combination of biotic (palynology and ammonites), geochemical (δ13Corg) and radiometric (U/Pb ages) constraints, is presented. This new correlation has an impact on the causality and temporal development during the end-Triassic event. It challenges the hitherto used standard correlation, which has formed the basis for a hypothesis that the extinction was caused by more or less instantaneous release of large quantities of light carbon (methane) to the atmosphere, with catastrophic global warming as a consequence. The new correlation instead advocates a more prolonged scenario with a series of feedback mechanisms, as it indicates that the bulk of the hitherto dated, high-titanium, quartz normalized volcanism of the Central Atlantic Magmatic Province (CAMP) preceded or was contemporaneous to the onset of the mass extinction. In addition, the maximum phase of the mass extinction, which affected both the terrestrial and marine ecosystems, was associated with a major regression and repeated, enhanced earthquake activity in Europe. A subsequent transgression resulted in the formation of hiati or condensed successions in many areas in Europe. Later phases of volcanic activity of the CAMP, producing low titanium, quartz normalized and high-iron, quartz normalized basaltic rocks, continued close to the first occurrence of Jurassic ammonites and the defined TJB. During this time the terrestrial ecosystem had begun to recover, but the marine ecosystem remained disturbed.","author":[{"dropping-particle":"","family":"Lindström","given":"Sofie","non-dropping-particle":"","parse-names":false,"suffix":""},{"dropping-particle":"","family":"Schootbrugge","given":"Bas","non-dropping-particle":"van de","parse-names":false,"suffix":""},{"dropping-particle":"","family":"Hansen","given":"Katrine H","non-dropping-particle":"","parse-names":false,"suffix":""},{"dropping-particle":"","family":"Pedersen","given":"Gunver K","non-dropping-particle":"","parse-names":false,"suffix":""},{"dropping-particle":"","family":"Alsen","given":"Peter","non-dropping-particle":"","parse-names":false,"suffix":""},{"dropping-particle":"","family":"Thibault","given":"Nicolas","non-dropping-particle":"","parse-names":false,"suffix":""},{"dropping-particle":"","family":"Dybkjær","given":"Karen","non-dropping-particle":"","parse-names":false,"suffix":""},{"dropping-particle":"","family":"Bjerrum","given":"Christian J","non-dropping-particle":"","parse-names":false,"suffix":""},{"dropping-particle":"","family":"Nielsen","given":"Lars Henrik","non-dropping-particle":"","parse-names":false,"suffix":""}],"container-title":"Palaeogeography, Palaeoclimatology, Palaeoecology","id":"ITEM-1","issued":{"date-parts":[["2017"]]},"page":"80-102","title":"A new correlation of Triassic–Jurassic boundary successions in NW Europe, Nevada and Peru, and the Central Atlantic Magmatic Province: A time-line for the end-Triassic mass extinction","type":"article-journal","volume":"478"},"uris":["http://www.mendeley.com/documents/?uuid=bc14de0f-f423-4068-9b4a-2226397d12ba"]}],"mendeley":{"formattedCitation":"(Lindström et al., 2017)","manualFormatting":"Lindström et al., (2017","plainTextFormattedCitation":"(Lindström et al., 2017)","previouslyFormattedCitation":"(Lindström et al., 2017)"},"properties":{"noteIndex":0},"schema":"https://github.com/citation-style-language/schema/raw/master/csl-citation.json"}</w:instrText>
      </w:r>
      <w:r w:rsidR="0003440F">
        <w:fldChar w:fldCharType="separate"/>
      </w:r>
      <w:r w:rsidR="0003440F" w:rsidRPr="0003440F">
        <w:rPr>
          <w:noProof/>
        </w:rPr>
        <w:t xml:space="preserve">Lindström et al., </w:t>
      </w:r>
      <w:r w:rsidR="0003440F">
        <w:rPr>
          <w:noProof/>
        </w:rPr>
        <w:t>(</w:t>
      </w:r>
      <w:r w:rsidR="0003440F" w:rsidRPr="0003440F">
        <w:rPr>
          <w:noProof/>
        </w:rPr>
        <w:t>2017</w:t>
      </w:r>
      <w:r w:rsidR="0003440F">
        <w:fldChar w:fldCharType="end"/>
      </w:r>
      <w:r w:rsidR="00FE23BD">
        <w:t>)</w:t>
      </w:r>
      <w:r w:rsidR="006A303A">
        <w:t>. T</w:t>
      </w:r>
      <w:r w:rsidR="00C1117D">
        <w:t>his would</w:t>
      </w:r>
      <w:r w:rsidR="00FE23BD">
        <w:t xml:space="preserve"> place the soil acidification event and elevated PAH abundances in NW Europe and terrestrial and marine ecosystem perturbations in the SW UK in close</w:t>
      </w:r>
      <w:r w:rsidR="00CA4AA4">
        <w:t>r</w:t>
      </w:r>
      <w:r w:rsidR="00FE23BD">
        <w:t xml:space="preserve"> proximity to one another,</w:t>
      </w:r>
      <w:r w:rsidR="00CA4AA4">
        <w:t xml:space="preserve"> better linking CAMP environmental perturbations</w:t>
      </w:r>
      <w:r w:rsidR="00FE23BD">
        <w:t xml:space="preserve"> and </w:t>
      </w:r>
      <w:r w:rsidR="005F009F">
        <w:t>indicat</w:t>
      </w:r>
      <w:r w:rsidR="00281B7B">
        <w:t>ing</w:t>
      </w:r>
      <w:r w:rsidR="00F834E4">
        <w:t xml:space="preserve"> a </w:t>
      </w:r>
      <w:r w:rsidR="00683019">
        <w:t>plausible</w:t>
      </w:r>
      <w:r w:rsidR="00DD3F30">
        <w:t xml:space="preserve"> </w:t>
      </w:r>
      <w:r w:rsidR="00F834E4">
        <w:t>fire</w:t>
      </w:r>
      <w:r w:rsidR="00FE23BD">
        <w:t xml:space="preserve"> source for the smoke signal</w:t>
      </w:r>
      <w:r w:rsidR="00F834E4">
        <w:t xml:space="preserve"> recorded in the paper shales</w:t>
      </w:r>
      <w:r w:rsidR="00FE23BD">
        <w:t>.</w:t>
      </w:r>
      <w:r w:rsidR="00A02601">
        <w:t xml:space="preserve"> Such a soil acidification event coincident with the tripartite of stressors driving the marine extinction links CAMP-driven terrestrial and marine ecosystem stresses accounting for the ETE. </w:t>
      </w:r>
      <w:r w:rsidR="00FE23BD">
        <w:t>However,</w:t>
      </w:r>
      <w:r w:rsidR="00CA4AA4">
        <w:t xml:space="preserve"> changes in </w:t>
      </w:r>
      <w:r w:rsidR="00BC4B2D" w:rsidRPr="00EA5608">
        <w:rPr>
          <w:shd w:val="clear" w:color="auto" w:fill="FFFFFF"/>
        </w:rPr>
        <w:t>δ</w:t>
      </w:r>
      <w:r w:rsidR="00BC4B2D">
        <w:rPr>
          <w:shd w:val="clear" w:color="auto" w:fill="FFFFFF"/>
          <w:vertAlign w:val="superscript"/>
        </w:rPr>
        <w:t>13</w:t>
      </w:r>
      <w:r w:rsidR="00BC4B2D">
        <w:rPr>
          <w:shd w:val="clear" w:color="auto" w:fill="FFFFFF"/>
        </w:rPr>
        <w:t>C</w:t>
      </w:r>
      <w:r w:rsidR="00BC4B2D">
        <w:rPr>
          <w:shd w:val="clear" w:color="auto" w:fill="FFFFFF"/>
          <w:vertAlign w:val="subscript"/>
        </w:rPr>
        <w:t>org</w:t>
      </w:r>
      <w:r w:rsidR="00FE23BD">
        <w:t xml:space="preserve"> </w:t>
      </w:r>
      <w:r w:rsidR="00CA4AA4">
        <w:t>profiles can have sources other than those from the CAMP</w:t>
      </w:r>
      <w:r w:rsidR="00F249BB">
        <w:t xml:space="preserve"> </w:t>
      </w:r>
      <w:r w:rsidR="00F249BB">
        <w:lastRenderedPageBreak/>
        <w:fldChar w:fldCharType="begin" w:fldLock="1"/>
      </w:r>
      <w:r w:rsidR="00A249D1">
        <w:instrText xml:space="preserve">ADDIN CSL_CITATION {"citationItems":[{"id":"ITEM-1","itemData":{"DOI":"10.1073/pnas.1917661117","abstract":"The end-Triassic mass extinction that occurred </w:instrText>
      </w:r>
      <w:r w:rsidR="00A249D1">
        <w:rPr>
          <w:rFonts w:ascii="Cambria Math" w:hAnsi="Cambria Math" w:cs="Cambria Math"/>
        </w:rPr>
        <w:instrText>∼</w:instrText>
      </w:r>
      <w:r w:rsidR="00A249D1">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carbon","type":"article-journal","volume":"117"},"uris":["http://www.mendeley.com/documents/?uuid=42d5ad45-4ba0-4b12-940f-377c7823c015"]}],"mendeley":{"formattedCitation":"(Fox et al., 2020)","plainTextFormattedCitation":"(Fox et al., 2020)","previouslyFormattedCitation":"(Fox et al., 2020)"},"properties":{"noteIndex":0},"schema":"https://github.com/citation-style-language/schema/raw/master/csl-citation.json"}</w:instrText>
      </w:r>
      <w:r w:rsidR="00F249BB">
        <w:fldChar w:fldCharType="separate"/>
      </w:r>
      <w:r w:rsidR="00A249D1" w:rsidRPr="00A249D1">
        <w:rPr>
          <w:noProof/>
        </w:rPr>
        <w:t>(Fox et al., 2020)</w:t>
      </w:r>
      <w:r w:rsidR="00F249BB">
        <w:fldChar w:fldCharType="end"/>
      </w:r>
      <w:r w:rsidR="00CA4AA4">
        <w:t xml:space="preserve"> so such correlations should be used in caution and changes in palynology across European sections vary in both order of first and last occurrences and relative to the</w:t>
      </w:r>
      <w:r w:rsidR="00BC4B2D">
        <w:t xml:space="preserve"> </w:t>
      </w:r>
      <w:r w:rsidR="00BC4B2D" w:rsidRPr="00EA5608">
        <w:rPr>
          <w:shd w:val="clear" w:color="auto" w:fill="FFFFFF"/>
        </w:rPr>
        <w:t>δ</w:t>
      </w:r>
      <w:r w:rsidR="00BC4B2D">
        <w:rPr>
          <w:shd w:val="clear" w:color="auto" w:fill="FFFFFF"/>
          <w:vertAlign w:val="superscript"/>
        </w:rPr>
        <w:t>13</w:t>
      </w:r>
      <w:r w:rsidR="00BC4B2D">
        <w:rPr>
          <w:shd w:val="clear" w:color="auto" w:fill="FFFFFF"/>
        </w:rPr>
        <w:t>C</w:t>
      </w:r>
      <w:r w:rsidR="00BC4B2D">
        <w:rPr>
          <w:shd w:val="clear" w:color="auto" w:fill="FFFFFF"/>
          <w:vertAlign w:val="subscript"/>
        </w:rPr>
        <w:t>org</w:t>
      </w:r>
      <w:r w:rsidR="00CA4AA4">
        <w:t xml:space="preserve"> record.</w:t>
      </w:r>
    </w:p>
    <w:p w14:paraId="7314C9AE" w14:textId="2C6505C4" w:rsidR="004E61CD" w:rsidRDefault="004E61CD" w:rsidP="003B7AFC">
      <w:pPr>
        <w:pStyle w:val="AbstractSummary"/>
        <w:spacing w:line="480" w:lineRule="auto"/>
        <w:ind w:firstLine="720"/>
        <w:jc w:val="both"/>
      </w:pPr>
      <w:r>
        <w:t xml:space="preserve">In the Blue Lias Formation, the </w:t>
      </w:r>
      <w:r w:rsidR="0067443F">
        <w:t xml:space="preserve">shift to a smoke source in the smoke vs. fire </w:t>
      </w:r>
      <w:r w:rsidR="00A02601">
        <w:t>proxy</w:t>
      </w:r>
      <w:r>
        <w:t xml:space="preserve"> and </w:t>
      </w:r>
      <w:r w:rsidR="0067443F">
        <w:t>min</w:t>
      </w:r>
      <w:r w:rsidR="00880763">
        <w:t>or</w:t>
      </w:r>
      <w:r w:rsidR="0067443F">
        <w:t xml:space="preserve"> increases in </w:t>
      </w:r>
      <w:r w:rsidR="00FB215E" w:rsidRPr="0070044E">
        <w:rPr>
          <w:bCs/>
        </w:rPr>
        <w:t>∑</w:t>
      </w:r>
      <w:proofErr w:type="spellStart"/>
      <w:r w:rsidR="00FB215E" w:rsidRPr="0070044E">
        <w:rPr>
          <w:bCs/>
        </w:rPr>
        <w:t>pyPAH</w:t>
      </w:r>
      <w:proofErr w:type="spellEnd"/>
      <w:r w:rsidR="00FB215E" w:rsidDel="00FB215E">
        <w:t xml:space="preserve"> </w:t>
      </w:r>
      <w:r>
        <w:t xml:space="preserve">are largely driven by changes in phenanthrene (Fig. </w:t>
      </w:r>
      <w:r w:rsidR="00281B7B">
        <w:t xml:space="preserve">3; </w:t>
      </w:r>
      <w:r w:rsidR="00FB215E">
        <w:t>6</w:t>
      </w:r>
      <w:r w:rsidR="00281B7B">
        <w:t>; 8;</w:t>
      </w:r>
      <w:r>
        <w:t xml:space="preserve"> Supplementary Information). </w:t>
      </w:r>
      <w:r w:rsidR="00212FDB">
        <w:t>These increases coincide with the best evidence of biomass burning in PAH ratios across both section and all investigated intervals</w:t>
      </w:r>
      <w:r w:rsidR="0067443F">
        <w:t xml:space="preserve"> in the SW UK</w:t>
      </w:r>
      <w:r w:rsidR="00212FDB">
        <w:t xml:space="preserve"> (Fig.</w:t>
      </w:r>
      <w:r w:rsidR="00281B7B">
        <w:t xml:space="preserve"> 5;</w:t>
      </w:r>
      <w:r w:rsidR="00212FDB">
        <w:t xml:space="preserve"> </w:t>
      </w:r>
      <w:r w:rsidR="00281B7B">
        <w:t>7</w:t>
      </w:r>
      <w:r w:rsidR="00212FDB">
        <w:t xml:space="preserve">). Since the increase in LMW </w:t>
      </w:r>
      <w:proofErr w:type="spellStart"/>
      <w:r w:rsidR="00212FDB">
        <w:t>pyPAHs</w:t>
      </w:r>
      <w:proofErr w:type="spellEnd"/>
      <w:r w:rsidR="00212FDB">
        <w:t xml:space="preserve"> </w:t>
      </w:r>
      <w:r w:rsidR="0067443F">
        <w:t>are interpreted to represent a</w:t>
      </w:r>
      <w:r w:rsidR="00212FDB">
        <w:t xml:space="preserve"> smoke signal with the potential to travel distances of up to 10,000 km</w:t>
      </w:r>
      <w:r w:rsidR="0067443F">
        <w:t xml:space="preserve"> </w:t>
      </w:r>
      <w:r w:rsidR="0067443F">
        <w:fldChar w:fldCharType="begin" w:fldLock="1"/>
      </w:r>
      <w:r w:rsidR="009E1A76">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sidR="009E1A76">
        <w:rPr>
          <w:rFonts w:ascii="Cambria Math" w:hAnsi="Cambria Math" w:cs="Cambria Math"/>
        </w:rPr>
        <w:instrText>∼</w:instrText>
      </w:r>
      <w:r w:rsidR="009E1A76">
        <w:instrText>12‰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paleo-applications","type":"article-journal","volume":"289"},"uris":["http://www.mendeley.com/documents/?uuid=a4f6bf2d-6c02-41f3-8889-b9f9a26ebff2"]}],"mendeley":{"formattedCitation":"(Karp et al., 2020)","plainTextFormattedCitation":"(Karp et al., 2020)","previouslyFormattedCitation":"(Karp et al., 2020)"},"properties":{"noteIndex":0},"schema":"https://github.com/citation-style-language/schema/raw/master/csl-citation.json"}</w:instrText>
      </w:r>
      <w:r w:rsidR="0067443F">
        <w:fldChar w:fldCharType="separate"/>
      </w:r>
      <w:r w:rsidR="0067443F" w:rsidRPr="0067443F">
        <w:rPr>
          <w:noProof/>
        </w:rPr>
        <w:t>(Karp et al., 2020)</w:t>
      </w:r>
      <w:r w:rsidR="0067443F">
        <w:fldChar w:fldCharType="end"/>
      </w:r>
      <w:r w:rsidR="00212FDB">
        <w:t>, these increases best represent CAMP-driven wildfire coincident with other major terrestrial (soil erosion) and marine (intensified PZE and acidification)</w:t>
      </w:r>
      <w:r w:rsidR="00184130">
        <w:t xml:space="preserve"> ecological perturbations</w:t>
      </w:r>
      <w:r w:rsidR="00212FDB">
        <w:t>.</w:t>
      </w:r>
      <w:r w:rsidR="003B7AFC">
        <w:t xml:space="preserve"> Major contribution</w:t>
      </w:r>
      <w:r w:rsidR="00184130">
        <w:t>s</w:t>
      </w:r>
      <w:r w:rsidR="003B7AFC">
        <w:t xml:space="preserve"> of phenanthrene </w:t>
      </w:r>
      <w:r w:rsidR="00184130">
        <w:t>in</w:t>
      </w:r>
      <w:r w:rsidR="003B7AFC">
        <w:t xml:space="preserve"> other ETE PAH profiles may also reflect smoke signals</w:t>
      </w:r>
      <w:r w:rsidR="00281B7B">
        <w:t xml:space="preserve"> </w:t>
      </w:r>
      <w:r w:rsidR="00281B7B">
        <w:fldChar w:fldCharType="begin" w:fldLock="1"/>
      </w:r>
      <w:r w:rsidR="00281B7B">
        <w:instrText>ADDIN CSL_CITATION {"citationItems":[{"id":"ITEM-1","itemData":{"ISSN":"08831351, 19385323","abstract":"[Laboratory tests indicate that 15% O₂, instead of 12%, is required for the propagation of a widespread forest fire, a 3% increase from what was previously assumed. The presence of widespread wildfire records in the Upper Triassic and Lower Jurassic of Central Europe suggests that the lower limit for O₂ during this time was at least 15%. Wildfire records are based on the co-occurrence of charcoal fragments and elevated concentrations of pyrolytic polycyclic aromatic hydrocarbons (PAHs). In all samples charcoal fragments are large to medium-sized and angular, suggesting that they were transported by rivers only short distances after charcoalification. Calculated combustion temperatures vary with stratigraphic position and average 295-377 °C, which is characteristic for ground or near-surface wildfires. The most extensive wildfires occurred in the earliest Jurassic and their intensities successively decreased with time. Average concentrations of the sum of pyrolytic PAHs for the lowermost Jurassic Zagaje Formation reached ~1253 μg/g total organic carbon (TOC), whereas for the Upper Triassic-Lower Jurassic Sktoby Formation they did not exceed ~16 μg/g TOC. Charcoal-bearing sequences were also characterized by the presence of phenyl-PAHs (Ph-PAHs) and oxygen-containing aromatic compounds. The dominance of the more stable Ph-PAH isomers in these immature to low-maturity sedimentary rocks supports their pyrolytic origin. The oxygenated PAHs may also be derived from combustion processes.]","author":[{"dropping-particle":"","family":"Marynowski","given":"Leszek","non-dropping-particle":"","parse-names":false,"suffix":""},{"dropping-particle":"","family":"Simoneit","given":"Bernd R T","non-dropping-particle":"","parse-names":false,"suffix":""}],"container-title":"Palaios","id":"ITEM-1","issue":"11/12","issued":{"date-parts":[["2009","4","9"]]},"page":"785-798","publisher":"SEPM Society for Sedimentary Geology","title":"Widespread upper Triassic to lower Jurassic wildfire records from Poland: Evidence from charcoal and pyrolytic and pyrolytic polycyclic aromatic hydrocarbons","type":"article-journal","volume":"24"},"uris":["http://www.mendeley.com/documents/?uuid=2a6cb468-e7c6-4713-aac1-81b87c770762"]},{"id":"ITEM-2","itemData":{"DOI":"https://doi.org/10.1016/j.earscirev.2019.102970","ISSN":"0012-8252","abstract":"Emplacement of the Central Atlantic Magmatic Province (CAMP) during the Triassic-Jurassic (Tr-J) transition is believed to have indirectly increased wildfire frequency through climatic warming and drying. To date, evidence for wildfires has come mainly from within the CAMP region. Here, we present biomarker evidence for wildfires in the form of polycyclic aromatic hydrocarbons (PAHs) in two terrestrial Triassic-Jurassic boundary sections in the Sichuan Basin, southwestern China. Pyrolytic PAHs of probable wildfire origin identified in these sections include pyrene, benzofluoranthene, benzo[e]pyrene, indeno[1,2,3-cd]pyrene, benzo[ghi]perylene, and coronene. Sharp increases in the abundances of pyrolytic PAHs normalized to total organic carbon were found during the Rhaetian Stage (R1 and R2) and at the Tr-J boundary. The ratios of pyrolytic PAHs (PPAHs) to methylated homologues document the combustion origin of PPAHs from methylated PAHs during these intervals of increased wildfire frequency. The abundances of oxygenated PAHs with furan structure show the same stratigraphic trend, testifying to enhanced soil erosion or weathering that may have resulted from a reduction of vegetative cover. Although CAMP-induced climate changes probably set the stage for more frequent wildfires in South China, the immediate trigger was probably a southward shift of the paleo-Intertropical Convergence Zone (ITCZ). These observations suggest a complex feedback involving climatic warming, precipitation and evapo-transpiration, vegetation density, and wildfire prevalence during the Tr-J transition.","author":[{"dropping-particle":"","family":"Song","given":"Yi","non-dropping-particle":"","parse-names":false,"suffix":""},{"dropping-particle":"","family":"Algeo","given":"Thomas J","non-dropping-particle":"","parse-names":false,"suffix":""},{"dropping-particle":"","family":"Wu","given":"Wenjun","non-dropping-particle":"","parse-names":false,"suffix":""},{"dropping-particle":"","family":"Luo","given":"Genming","non-dropping-particle":"","parse-names":false,"suffix":""},{"dropping-particle":"","family":"Li","given":"Liqin","non-dropping-particle":"","parse-names":false,"suffix":""},{"dropping-particle":"","family":"Wang","given":"Yongdong","non-dropping-particle":"","parse-names":false,"suffix":""},{"dropping-particle":"","family":"Xie","given":"Shucheng","non-dropping-particle":"","parse-names":false,"suffix":""}],"container-title":"Earth-Science Reviews","id":"ITEM-2","issued":{"date-parts":[["2020"]]},"page":"102970","title":"Distribution of pyrolytic PAHs across the Triassic-Jurassic boundary in the Sichuan Basin, southwestern China: Evidence of wildfire outside the Central Atlantic Magmatic Province","type":"article-journal","volume":"201"},"uris":["http://www.mendeley.com/documents/?uuid=177f61fb-4d2a-4442-b15d-f8ffbd214856"]},{"id":"ITEM-3","itemData":{"DOI":"10.14027/j.issn.1000-0550.2020.103","author":[{"dropping-particle":"","family":"Zhang","given":"X.","non-dropping-particle":"","parse-names":false,"suffix":""},{"dropping-particle":"","family":"Lv","given":"P.","non-dropping-particle":"","parse-names":false,"suffix":""},{"dropping-particle":"","family":"Fang","given":"L.","non-dropping-particle":"","parse-names":false,"suffix":""},{"dropping-particle":"","family":"Yang","given":"H.","non-dropping-particle":"","parse-names":false,"suffix":""},{"dropping-particle":"","family":"Deng","given":"S.","non-dropping-particle":"","parse-names":false,"suffix":""},{"dropping-particle":"","family":"Lu","given":"Y.","non-dropping-particle":"","parse-names":false,"suffix":""},{"dropping-particle":"","family":"Fang","given":"Y.","non-dropping-particle":"","parse-names":false,"suffix":""},{"dropping-particle":"","family":"Zhang","given":"X.","non-dropping-particle":"","parse-names":false,"suffix":""},{"dropping-particle":"","family":"Huang","given":"R.","non-dropping-particle":"","parse-names":false,"suffix":""},{"dropping-particle":"","family":"Liang","given":"J.","non-dropping-particle":"","parse-names":false,"suffix":""},{"dropping-particle":"","family":"Shi","given":"S.","non-dropping-particle":"","parse-names":false,"suffix":""}],"container-title":"Acta Sedimentologica Sinica","id":"ITEM-3","issued":{"date-parts":[["2020"]]},"title":"Widefire records across the Triassic-Jurassic boundary in the southern margin of the Junggar Basin and global correlations","type":"article-journal"},"uris":["http://www.mendeley.com/documents/?uuid=2a387782-9b4a-4264-ad7c-7696b8abb3db"]},{"id":"ITEM-4","itemData":{"DOI":"https://doi.org/10.1016/j.palaeo.2021.110559","ISSN":"0031-0182","abstract":"Carbon isotope stratigraphic records across the Triassic-Jurassic (Tr-J) boundary show carbon isotope excursions in both marine and terrestrial sections, indicating frequent perturbations of the global carbon cycles, which are linked to the ~600 kyr pulsed emplacement of the Central Atlantic Magmatic Province (CAMP). However, few detailed carbon isotope stratigraphic reports from high-latitude terrestrial deposition have been documented in contrast to the contemporaneous low- to mid-latitude records. It hampers the understanding of the climatic response in the high-latitude terrestrial areas and the modeling global carbon cycles triggered by CAMP volcanisms. Here, we present high-resolution organic carbon isotope data primarily originated from C3 plants in the Haojiagou section in the paleo-high-latitude Junggar Basin, NW China. Combined with previously published biostratigraphic and geochemical results, carbon isotope stratigraphy with distinct “initial negative carbon isotope excursions” (I-CIE) and “main negative carbon isotope excursions” (M-CIE) is built in the Junggar Basin and allows a global stratigraphic correlation. The end-Triassic mass extinction (ETE) and the Tr-J boundary is then well identified. The excursion magnitude is similar to that in Greenland and Poland where the sections are also terrestrial. Climatic pattern recorded in the Junggar Basin rapidly changed across the Tr-J transition and coincides with a bloom of fern spores, increased wildfire activities, enhanced hydrological cycles and soil loss.","author":[{"dropping-particle":"","family":"Fang","given":"Yanan","non-dropping-particle":"","parse-names":false,"suffix":""},{"dropping-particle":"","family":"Fang","given":"Linhao","non-dropping-particle":"","parse-names":false,"suffix":""},{"dropping-particle":"","family":"Deng","given":"Shenghui","non-dropping-particle":"","parse-names":false,"suffix":""},{"dropping-particle":"","family":"Lu","given":"Yuanzheng","non-dropping-particle":"","parse-names":false,"suffix":""},{"dropping-particle":"","family":"Wang","given":"Bo","non-dropping-particle":"","parse-names":false,"suffix":""},{"dropping-particle":"","family":"Zhao","given":"Xiangdong","non-dropping-particle":"","parse-names":false,"suffix":""},{"dropping-particle":"","family":"Wang","given":"Yizhe","non-dropping-particle":"","parse-names":false,"suffix":""},{"dropping-particle":"","family":"Zhang","given":"Haichun","non-dropping-particle":"","parse-names":false,"suffix":""},{"dropping-particle":"","family":"Zhang","given":"Xinzhi","non-dropping-particle":"","parse-names":false,"suffix":""},{"dropping-particle":"","family":"Sha","given":"Jingeng","non-dropping-particle":"","parse-names":false,"suffix":""}],"container-title":"Palaeogeography, Palaeoclimatology, Palaeoecology","id":"ITEM-4","issued":{"date-parts":[["2021"]]},"page":"110559","title":"Carbon isotope stratigraphy across the Triassic-Jurassic boundary in the high-latitude terrestrial Junggar Basin, NW China","type":"article-journal","volume":"577"},"uris":["http://www.mendeley.com/documents/?uuid=ab66d73b-ed97-439d-b004-4b2d160f2cca"]}],"mendeley":{"formattedCitation":"(Fang et al., 2021; Marynowski and Simoneit, 2009; Song et al., 2020; Zhang et al., 2020)","plainTextFormattedCitation":"(Fang et al., 2021; Marynowski and Simoneit, 2009; Song et al., 2020; Zhang et al., 2020)","previouslyFormattedCitation":"(Fang et al., 2021; Marynowski and Simoneit, 2009; Song et al., 2020; Zhang et al., 2020)"},"properties":{"noteIndex":0},"schema":"https://github.com/citation-style-language/schema/raw/master/csl-citation.json"}</w:instrText>
      </w:r>
      <w:r w:rsidR="00281B7B">
        <w:fldChar w:fldCharType="separate"/>
      </w:r>
      <w:r w:rsidR="00281B7B" w:rsidRPr="00281B7B">
        <w:rPr>
          <w:noProof/>
        </w:rPr>
        <w:t>(Fang et al., 2021; Marynowski and Simoneit, 2009; Song et al., 2020; Zhang et al., 2020)</w:t>
      </w:r>
      <w:r w:rsidR="00281B7B">
        <w:fldChar w:fldCharType="end"/>
      </w:r>
      <w:r w:rsidR="003B7AFC">
        <w:t xml:space="preserve">. </w:t>
      </w:r>
      <w:r w:rsidR="0067443F">
        <w:t>Although PAH ratios suggest a pyrogenic origin,</w:t>
      </w:r>
      <w:r>
        <w:t xml:space="preserve"> increases may also be related to redox conditions and preservation potential</w:t>
      </w:r>
      <w:r w:rsidR="0067443F">
        <w:t>;</w:t>
      </w:r>
      <w:r>
        <w:t xml:space="preserve"> phenanthrene is a readily biodegradable PAH, more so compared to HMW PAHs</w:t>
      </w:r>
      <w:r w:rsidR="00281B7B">
        <w:t xml:space="preserve"> </w:t>
      </w:r>
      <w:r>
        <w:fldChar w:fldCharType="begin" w:fldLock="1"/>
      </w:r>
      <w:r w:rsidR="0067443F">
        <w:instrText>ADDIN CSL_CITATION {"citationItems":[{"id":"ITEM-1","itemData":{"DOI":"10.1128/AEM.64.12.4703-4710.1998","ISSN":"0099-2240","abstract":"Phenanthrene- and naphthalene-degrading bacteria were isolated from four offshore and nearshore locations in the Gulf of Mexico by using a modified most-probable-number technique. The concentrations of these bacteria ranged from 10(2) to 10(6) cells per ml of wet surficial sediment in mildly contaminated and noncontaminated sediments. A total of 23 strains of polycyclic aromatic hydrocarbon (PAH)-degrading bacteria were obtained. Based on partial 16S ribosomal DNA sequences and phenotypic characteristics, these 23 strains are members of the genus Cycloclasticus. Three representatives were chosen for a complete phylogenetic analysis, which confirmed the close relationship of these isolates to type strain Cycloclasticus pugetii PS-1, which was isolated from Puget Sound. PAH substrate utilization tests which included high-molecular-weight PAHs revealed that these isolates had similar, broad substrate ranges which included naphthalene, substituted naphthalenes, phenanthrene, biphenyl, anthracene, acenaphthene, and fluorene. Degradation of pyrene and fluoranthene occurred only when the strains were incubated with phenanthrene. Two distinct partial PAH dioxygenase iron sulfur protein (ISP) gene sequences were PCR amplified from Puget Sound and Gulf of Mexico Cycloclasticus strains. Phylogenetic analyses of these sequences revealed that one ISP type is related to the bph type of ISP sequences, while the other ISP type is related to the nah type of ISP sequences. The predicted ISP amino acid sequences for the Gulf of Mexico and Puget Sound strains are identical, which supports the hypothesis that these geographically separated isolates are closely related phylogentically. Cycloclasticus species appear to be numerically important and widespread PAH-degrading bacteria in both Puget Sound and the Gulf of Mexico.","author":[{"dropping-particle":"","family":"Geiselbrecht","given":"A D","non-dropping-particle":"","parse-names":false,"suffix":""},{"dropping-particle":"","family":"Hedlund","given":"B P","non-dropping-particle":"","parse-names":false,"suffix":""},{"dropping-particle":"","family":"Tichi","given":"M A","non-dropping-particle":"","parse-names":false,"suffix":""},{"dropping-particle":"","family":"Staley","given":"J T","non-dropping-particle":"","parse-names":false,"suffix":""}],"container-title":"Applied and environmental microbiology","id":"ITEM-1","issue":"12","issued":{"date-parts":[["1998","12"]]},"language":"eng","page":"4703-4710","publisher":"American Society for Microbiology","title":"Isolation of marine polycyclic aromatic hydrocarbon (PAH)-degrading Cycloclasticus strains from the Gulf of Mexico and comparison of their PAH degradation ability with that of puget sound Cycloclasticus strains","type":"article-journal","volume":"64"},"uris":["http://www.mendeley.com/documents/?uuid=56344d46-8b36-4baf-bd5f-cbe6fe7b9e1e"]},{"id":"ITEM-2","itemData":{"DOI":"10.1007/s00128-016-1967-4","ISSN":"1432-0800","abstract":"This study is focused on the removal, accumulation and degradation of three environmental ubiquitous polycyclic aromatic hydrocarbons (PAHs), phenanthrene (PHE), fluoranthene (FLA) and pyrene (PYR), by the marine alga Rhodomonas baltica enriched from the English Channel. After separation, purification and culture in several phases, R. baltica was exposed to PAH concentrations that are frequently encountered in the field in several anthropized environments. The results showed that R. baltica can grow under PAH stress, efficiently remove up to 70% of these compounds from the medium by 216 h of culture and selectively bioaccumulate PAHs by their hydrophobicity. Between PHE, FLA and PYR, phenanthrene was the compound with higher degradation rates throughout incubation. The equilibrium partitioning theoretical approach showed that physico-chemical partitioning, rather than active bioconcentration, was the major factor governing the bioaccumulation, outlying a potential application in decontamination processes for this species.","author":[{"dropping-particle":"","family":"Arias","given":"Andrés H","non-dropping-particle":"","parse-names":false,"suffix":""},{"dropping-particle":"","family":"Souissi","given":"Anissa","non-dropping-particle":"","parse-names":false,"suffix":""},{"dropping-particle":"","family":"Glippa","given":"Olivier","non-dropping-particle":"","parse-names":false,"suffix":""},{"dropping-particle":"","family":"Roussin","given":"Marion","non-dropping-particle":"","parse-names":false,"suffix":""},{"dropping-particle":"","family":"Dumoulin","given":"David","non-dropping-particle":"","parse-names":false,"suffix":""},{"dropping-particle":"","family":"Net","given":"Sopheak","non-dropping-particle":"","parse-names":false,"suffix":""},{"dropping-particle":"","family":"Ouddane","given":"Baghdad","non-dropping-particle":"","parse-names":false,"suffix":""},{"dropping-particle":"","family":"Souissi","given":"Sami","non-dropping-particle":"","parse-names":false,"suffix":""}],"container-title":"Bulletin of Environmental Contamination and Toxicology","id":"ITEM-2","issue":"3","issued":{"date-parts":[["2017"]]},"page":"392-399","title":"Removal and Biodegradation of Phenanthrene, Fluoranthene and Pyrene by the Marine Algae Rhodomonas baltica Enriched from North Atlantic Coasts","type":"article-journal","volume":"98"},"uris":["http://www.mendeley.com/documents/?uuid=0e94afc8-da0d-4724-b73b-b6a098de4539"]}],"mendeley":{"formattedCitation":"(Arias et al., 2017; Geiselbrecht et al., 1998)","manualFormatting":"(Arias et al., 2017 and references therein; Denis et al., 2021)","plainTextFormattedCitation":"(Arias et al., 2017; Geiselbrecht et al., 1998)","previouslyFormattedCitation":"(Arias et al., 2017; Geiselbrecht et al., 1998)"},"properties":{"noteIndex":0},"schema":"https://github.com/citation-style-language/schema/raw/master/csl-citation.json"}</w:instrText>
      </w:r>
      <w:r>
        <w:fldChar w:fldCharType="separate"/>
      </w:r>
      <w:r w:rsidRPr="00A249D1">
        <w:rPr>
          <w:noProof/>
        </w:rPr>
        <w:t>(Arias et al., 2017</w:t>
      </w:r>
      <w:r>
        <w:rPr>
          <w:noProof/>
        </w:rPr>
        <w:t xml:space="preserve"> and references therein</w:t>
      </w:r>
      <w:r w:rsidR="00281B7B">
        <w:rPr>
          <w:noProof/>
        </w:rPr>
        <w:t xml:space="preserve">; </w:t>
      </w:r>
      <w:r w:rsidR="00281B7B">
        <w:rPr>
          <w:noProof/>
        </w:rPr>
        <w:fldChar w:fldCharType="begin" w:fldLock="1"/>
      </w:r>
      <w:r w:rsidR="0067443F">
        <w:rPr>
          <w:noProof/>
        </w:rPr>
        <w:instrText>ADDIN CSL_CITATION {"citationItems":[{"id":"ITEM-1","itemData":{"DOI":"https://doi.org/10.1016/j.epsl.2021.116970","ISSN":"0012-821X","abstract":"Global warming will likely perturb carbon storage and cycling throughout many components of the exogenic carbon cycle, but its net impact on the long-term fate of organic carbon stabilized in soils is unclear. Abrupt warming during the Paleocene-Eocene Thermal Maximum (PETM) profoundly altered vegetation and hydrologic patterns globally. To assess the consequences for soil carbon in a mid-latitude region we measured total organic carbon (%TOC), polycyclic aromatic hydrocarbons (PAHs), charcoal, and sporomorphs (pollen and spores) at two paleo-floodplain depositional sites in the Bighorn Basin, Wyoming, USA. At both sites %TOC, PAHs, charcoal, and sporomorphs declined during the PETM. The decline in pyrogenic carbon, which is more severe than the decline in %TOC, is consistent with isotopic and fossil evidence for degradation of labile organic compounds and preservation of highly refractory allochthonous organic carbon. The severe loss of less-labile contemporaneous PETM (autochthonous) soil carbon, illustrated by the fate of pyrogenic carbon, indicates intensified rates of organic matter decay during the PETM. Because of the highly degraded signature of organic matter in these PETM sections, it is difficult to discern if less pyrogenic carbon is in part a consequence of less fire occurrence during the PETM. We propose that in this mid-latitude region of the western USA increased soil carbon oxidation hindered soil carbon sequestration during this period of hotter climate with more seasonal precipitation.","author":[{"dropping-particle":"","family":"Denis","given":"Elizabeth H","non-dropping-particle":"","parse-names":false,"suffix":""},{"dropping-particle":"","family":"Maibauer","given":"Bianca J","non-dropping-particle":"","parse-names":false,"suffix":""},{"dropping-particle":"","family":"Bowen","given":"Gabriel J","non-dropping-particle":"","parse-names":false,"suffix":""},{"dropping-particle":"","family":"Jardine","given":"Phillip E","non-dropping-particle":"","parse-names":false,"suffix":""},{"dropping-particle":"","family":"Harrington","given":"Guy J","non-dropping-particle":"","parse-names":false,"suffix":""},{"dropping-particle":"","family":"Baczynski","given":"Allison A","non-dropping-particle":"","parse-names":false,"suffix":""},{"dropping-particle":"","family":"McInerney","given":"Francesca A","non-dropping-particle":"","parse-names":false,"suffix":""},{"dropping-particle":"","family":"Collinson","given":"Margaret E","non-dropping-particle":"","parse-names":false,"suffix":""},{"dropping-particle":"","family":"Belcher","given":"Claire M","non-dropping-particle":"","parse-names":false,"suffix":""},{"dropping-particle":"","family":"Wing","given":"Scott L","non-dropping-particle":"","parse-names":false,"suffix":""},{"dropping-particle":"","family":"Freeman","given":"Katherine H","non-dropping-particle":"","parse-names":false,"suffix":""}],"container-title":"Earth and Planetary Science Letters","id":"ITEM-1","issued":{"date-parts":[["2021"]]},"page":"116970","title":"Decreased soil carbon in a warming world: Degraded pyrogenic carbon during the Paleocene-Eocene Thermal Maximum, Bighorn Basin, Wyoming","type":"article-journal","volume":"566"},"uris":["http://www.mendeley.com/documents/?uuid=3955bcbb-aa0e-43cb-adc2-4197a6941e06"]}],"mendeley":{"formattedCitation":"(Denis et al., 2021)","manualFormatting":"Denis et al., 2021)","plainTextFormattedCitation":"(Denis et al., 2021)","previouslyFormattedCitation":"(Denis et al., 2021)"},"properties":{"noteIndex":0},"schema":"https://github.com/citation-style-language/schema/raw/master/csl-citation.json"}</w:instrText>
      </w:r>
      <w:r w:rsidR="00281B7B">
        <w:rPr>
          <w:noProof/>
        </w:rPr>
        <w:fldChar w:fldCharType="separate"/>
      </w:r>
      <w:r w:rsidR="00281B7B" w:rsidRPr="00281B7B">
        <w:rPr>
          <w:noProof/>
        </w:rPr>
        <w:t>Denis et al., 2021)</w:t>
      </w:r>
      <w:r w:rsidR="00281B7B">
        <w:rPr>
          <w:noProof/>
        </w:rPr>
        <w:fldChar w:fldCharType="end"/>
      </w:r>
      <w:r>
        <w:fldChar w:fldCharType="end"/>
      </w:r>
      <w:r>
        <w:t xml:space="preserve">, </w:t>
      </w:r>
      <w:r w:rsidR="0067443F">
        <w:t xml:space="preserve">thus </w:t>
      </w:r>
      <w:r>
        <w:t>the combination of ecological stressors in the lower Blue Lias Formation may inhibit phenanthrene degradation</w:t>
      </w:r>
      <w:r w:rsidR="0067443F">
        <w:t xml:space="preserve"> and account </w:t>
      </w:r>
      <w:r w:rsidR="00880763">
        <w:t>for</w:t>
      </w:r>
      <w:r w:rsidR="0067443F">
        <w:t xml:space="preserve"> large increases</w:t>
      </w:r>
      <w:r>
        <w:t>.</w:t>
      </w:r>
    </w:p>
    <w:p w14:paraId="23CC0991" w14:textId="39C2B56B" w:rsidR="00E71752" w:rsidRDefault="00AF65C3" w:rsidP="00347F74">
      <w:pPr>
        <w:pStyle w:val="AbstractSummary"/>
        <w:spacing w:line="480" w:lineRule="auto"/>
        <w:ind w:firstLine="720"/>
        <w:jc w:val="both"/>
      </w:pPr>
      <w:r>
        <w:t>Importantly, all PAH compounds are normalized to TOC</w:t>
      </w:r>
      <w:r w:rsidR="00347F74">
        <w:t xml:space="preserve"> throughout the record. H</w:t>
      </w:r>
      <w:r>
        <w:t xml:space="preserve">igh </w:t>
      </w:r>
      <w:r w:rsidR="00347F74">
        <w:t xml:space="preserve">TOC percentages in the lower Blue Lias Formation are </w:t>
      </w:r>
      <w:r>
        <w:t>due to marine conditions favoring carbon burial</w:t>
      </w:r>
      <w:r w:rsidR="00CD1B19">
        <w:t xml:space="preserve"> and increases in marine organic matter</w:t>
      </w:r>
      <w:r w:rsidR="005F009F">
        <w:t xml:space="preserve"> input</w:t>
      </w:r>
      <w:r>
        <w:t>, thus</w:t>
      </w:r>
      <w:r w:rsidR="00BC4B2D">
        <w:t>,</w:t>
      </w:r>
      <w:r>
        <w:t xml:space="preserve"> </w:t>
      </w:r>
      <w:r w:rsidR="00CA4AA4">
        <w:t>changes</w:t>
      </w:r>
      <w:r>
        <w:t xml:space="preserve"> in terrestrial signals</w:t>
      </w:r>
      <w:r w:rsidR="00347F74">
        <w:t xml:space="preserve"> in this interval</w:t>
      </w:r>
      <w:r>
        <w:t xml:space="preserve"> are likely masked</w:t>
      </w:r>
      <w:r w:rsidR="00347F74">
        <w:t xml:space="preserve"> more so than those stratigraphic intervals</w:t>
      </w:r>
      <w:r w:rsidR="005F009F">
        <w:t xml:space="preserve"> below</w:t>
      </w:r>
      <w:r w:rsidR="00347F74">
        <w:t xml:space="preserve">, somewhat hindering comparisons between formations in the same section due to rapid changes in environment. </w:t>
      </w:r>
      <w:r w:rsidR="00CA4AA4">
        <w:t>Regardless</w:t>
      </w:r>
      <w:r w:rsidR="00347F74">
        <w:t>, DBT and DBF show large</w:t>
      </w:r>
      <w:r w:rsidR="003B7AFC">
        <w:t>st</w:t>
      </w:r>
      <w:r w:rsidR="00347F74">
        <w:t xml:space="preserve"> increases in the lower Blue Lias Formation,</w:t>
      </w:r>
      <w:r w:rsidR="00BC4B2D">
        <w:t xml:space="preserve"> therefore,</w:t>
      </w:r>
      <w:r w:rsidR="00347F74">
        <w:t xml:space="preserve"> </w:t>
      </w:r>
      <w:r w:rsidR="005456C4">
        <w:t>soil acidification</w:t>
      </w:r>
      <w:r w:rsidR="00205A31">
        <w:t xml:space="preserve"> </w:t>
      </w:r>
      <w:r w:rsidR="00205A31">
        <w:lastRenderedPageBreak/>
        <w:t>processes</w:t>
      </w:r>
      <w:r w:rsidR="00347F74">
        <w:t xml:space="preserve"> must</w:t>
      </w:r>
      <w:r w:rsidR="0037282C">
        <w:t xml:space="preserve"> pose a larger terrestrial ecosystem stress</w:t>
      </w:r>
      <w:r w:rsidR="00347F74">
        <w:t xml:space="preserve"> than biomass burning in the SW UK</w:t>
      </w:r>
      <w:r w:rsidR="0067717B">
        <w:t xml:space="preserve"> as </w:t>
      </w:r>
      <w:r w:rsidR="00347F74">
        <w:t>soil acidification</w:t>
      </w:r>
      <w:r w:rsidR="0037282C">
        <w:t xml:space="preserve"> signal</w:t>
      </w:r>
      <w:r w:rsidR="00CA4AA4">
        <w:t>s are</w:t>
      </w:r>
      <w:r w:rsidR="0037282C">
        <w:t xml:space="preserve"> readily observable.</w:t>
      </w:r>
      <w:r w:rsidR="0067717B">
        <w:t xml:space="preserve"> </w:t>
      </w:r>
    </w:p>
    <w:p w14:paraId="1182157A" w14:textId="10F73A9D" w:rsidR="007F75C3" w:rsidRDefault="007F75C3" w:rsidP="0096485A">
      <w:pPr>
        <w:pStyle w:val="AbstractSummary"/>
        <w:spacing w:line="360" w:lineRule="auto"/>
        <w:jc w:val="both"/>
      </w:pPr>
    </w:p>
    <w:p w14:paraId="6D37C031" w14:textId="6502CC69" w:rsidR="00676B75" w:rsidRPr="00DF052C" w:rsidRDefault="00676B75" w:rsidP="00676B75">
      <w:pPr>
        <w:pStyle w:val="AbstractSummary"/>
        <w:numPr>
          <w:ilvl w:val="0"/>
          <w:numId w:val="1"/>
        </w:numPr>
        <w:spacing w:line="480" w:lineRule="auto"/>
        <w:jc w:val="both"/>
        <w:rPr>
          <w:b/>
        </w:rPr>
      </w:pPr>
      <w:r>
        <w:rPr>
          <w:b/>
        </w:rPr>
        <w:t>Conclusion</w:t>
      </w:r>
      <w:r w:rsidR="00E35DEF">
        <w:rPr>
          <w:b/>
        </w:rPr>
        <w:t>s</w:t>
      </w:r>
    </w:p>
    <w:p w14:paraId="7138B015" w14:textId="039AA727" w:rsidR="008345C7" w:rsidRDefault="008345C7" w:rsidP="00521DB7">
      <w:pPr>
        <w:pStyle w:val="AbstractSummary"/>
        <w:spacing w:line="480" w:lineRule="auto"/>
        <w:ind w:firstLine="360"/>
        <w:jc w:val="both"/>
      </w:pPr>
      <w:r>
        <w:t xml:space="preserve">Notwithstanding evidence from European and Greenland ETE sections for wildfire activity through shifts in palynology and extinction, the PAH profiles in the ETE sections from SW UK reveal that biomass burning is not a major source of PAHs. Instead, the extinction horizon in these sections (lower Blue Lias Formation) is associated with a soil </w:t>
      </w:r>
      <w:r w:rsidR="006F219C">
        <w:t>erosion</w:t>
      </w:r>
      <w:r>
        <w:t xml:space="preserve"> event</w:t>
      </w:r>
      <w:r w:rsidR="00AE3B50">
        <w:t xml:space="preserve"> and distant smoke signals of wildfires</w:t>
      </w:r>
      <w:r>
        <w:t xml:space="preserve"> that links </w:t>
      </w:r>
      <w:r w:rsidR="00921F7A">
        <w:t xml:space="preserve">the </w:t>
      </w:r>
      <w:r>
        <w:t xml:space="preserve">CAMP-driven terrestrial and marine ecosystem perturbations, providing the best evidence of catastrophic effects of </w:t>
      </w:r>
      <w:r w:rsidR="00921F7A">
        <w:t xml:space="preserve">the </w:t>
      </w:r>
      <w:r>
        <w:t xml:space="preserve">CAMP volcanism throughout the latest Rhaetian. Increases in the abundance of LMW </w:t>
      </w:r>
      <w:proofErr w:type="spellStart"/>
      <w:r w:rsidR="00AE3B50">
        <w:t>py</w:t>
      </w:r>
      <w:r>
        <w:t>PAHs</w:t>
      </w:r>
      <w:proofErr w:type="spellEnd"/>
      <w:r>
        <w:t xml:space="preserve"> </w:t>
      </w:r>
      <w:r w:rsidR="00AE3B50">
        <w:t xml:space="preserve">at </w:t>
      </w:r>
      <w:r>
        <w:t>this interval point to a distal burn signal, suggesting that if fire events were the source of</w:t>
      </w:r>
      <w:r w:rsidR="00AE3B50">
        <w:t xml:space="preserve"> LMW </w:t>
      </w:r>
      <w:proofErr w:type="spellStart"/>
      <w:r w:rsidR="00AE3B50">
        <w:t>pyPAHs</w:t>
      </w:r>
      <w:proofErr w:type="spellEnd"/>
      <w:r>
        <w:t xml:space="preserve">, they were not </w:t>
      </w:r>
      <w:proofErr w:type="gramStart"/>
      <w:r>
        <w:t>in close proximity to</w:t>
      </w:r>
      <w:proofErr w:type="gramEnd"/>
      <w:r>
        <w:t xml:space="preserve"> the SW UK.</w:t>
      </w:r>
    </w:p>
    <w:p w14:paraId="26C81C21" w14:textId="55D0B783" w:rsidR="008345C7" w:rsidRDefault="008345C7" w:rsidP="005045DC">
      <w:pPr>
        <w:pStyle w:val="AbstractSummary"/>
        <w:spacing w:line="480" w:lineRule="auto"/>
        <w:ind w:firstLine="360"/>
        <w:jc w:val="both"/>
      </w:pPr>
      <w:r>
        <w:t xml:space="preserve">For the so-called precursor CIE that is routinely used in global chemostratigraphic correlations among ETE sections, the PAH distributions combined with compound-specific isotope data show this interval is not a result of </w:t>
      </w:r>
      <w:r w:rsidR="00921F7A">
        <w:t xml:space="preserve">the </w:t>
      </w:r>
      <w:r>
        <w:t>CAMP activity. For the initial CIE interval, discrepancies in the concentration of total combustion-derived PAHs among geographically close</w:t>
      </w:r>
      <w:r w:rsidR="005F4D7E">
        <w:t xml:space="preserve"> (~</w:t>
      </w:r>
      <w:r w:rsidR="00FF5D04">
        <w:t>7</w:t>
      </w:r>
      <w:r w:rsidR="005F4D7E">
        <w:t xml:space="preserve"> km)</w:t>
      </w:r>
      <w:r>
        <w:t xml:space="preserve"> localities suggest the signal there is not associated with regional biomass burning. The observed differences </w:t>
      </w:r>
      <w:r w:rsidR="00EA222E">
        <w:t xml:space="preserve">could </w:t>
      </w:r>
      <w:r>
        <w:t xml:space="preserve">be attributed to erosion and </w:t>
      </w:r>
      <w:r w:rsidR="00AE3B50">
        <w:t>soil-stores PAHs</w:t>
      </w:r>
      <w:r>
        <w:t xml:space="preserve">, the process </w:t>
      </w:r>
      <w:r w:rsidR="00EA222E">
        <w:t xml:space="preserve">likely </w:t>
      </w:r>
      <w:r>
        <w:t xml:space="preserve">responsible for the cyclical increases in LMW PAHs and indicative of contributions from terrestrial material below the initial CIE in the Westbury Formation. Of these cyclical increases, one interval is characterized by terrestrial material depleted in </w:t>
      </w:r>
      <w:r w:rsidRPr="005244BE">
        <w:rPr>
          <w:vertAlign w:val="superscript"/>
        </w:rPr>
        <w:t>13</w:t>
      </w:r>
      <w:r>
        <w:t xml:space="preserve">C relative to marine phytoplankton. These terrestrial contributions, </w:t>
      </w:r>
      <w:r>
        <w:lastRenderedPageBreak/>
        <w:t xml:space="preserve">combined with changes in organic matter type and organic carbon percentages, are likely responsible for the precursor CIE. </w:t>
      </w:r>
    </w:p>
    <w:p w14:paraId="65EBD343" w14:textId="06BD7AE2" w:rsidR="008345C7" w:rsidRDefault="008345C7" w:rsidP="00521DB7">
      <w:pPr>
        <w:pStyle w:val="AbstractSummary"/>
        <w:spacing w:line="480" w:lineRule="auto"/>
        <w:ind w:firstLine="360"/>
        <w:jc w:val="both"/>
      </w:pPr>
      <w:r>
        <w:t xml:space="preserve">The results of this study show that a characterization of a fuller range of PAHs </w:t>
      </w:r>
      <w:r w:rsidR="00AE3B50">
        <w:t xml:space="preserve">and their ratios </w:t>
      </w:r>
      <w:r>
        <w:t>can provide important insights into the many factors that have contributed to the ETE, and potentially to other periods of biotic crises driven by LIPs. Further detailed high-resolution studies utilizing a similar comprehensive sampling of the available PAHs (more than just those mostly associated with biomass burning) will lead to important contributions to both the characterization of paleoenvironments during the ETE and gauging the far-field effects of CAMP volcanism.</w:t>
      </w:r>
    </w:p>
    <w:p w14:paraId="753D6813" w14:textId="28FEE253" w:rsidR="00184130" w:rsidRDefault="00184130">
      <w:pPr>
        <w:rPr>
          <w:rFonts w:ascii="Times New Roman" w:eastAsia="Times New Roman" w:hAnsi="Times New Roman" w:cs="Times New Roman"/>
          <w:sz w:val="24"/>
          <w:szCs w:val="24"/>
          <w:lang w:val="en-US" w:eastAsia="en-US"/>
        </w:rPr>
      </w:pPr>
      <w:r>
        <w:br w:type="page"/>
      </w:r>
    </w:p>
    <w:p w14:paraId="49340FC4" w14:textId="622E4434" w:rsidR="00A5741C" w:rsidRDefault="00A5741C" w:rsidP="00A5741C">
      <w:pPr>
        <w:pStyle w:val="AbstractSummary"/>
        <w:numPr>
          <w:ilvl w:val="0"/>
          <w:numId w:val="1"/>
        </w:numPr>
        <w:spacing w:line="480" w:lineRule="auto"/>
        <w:jc w:val="both"/>
        <w:rPr>
          <w:b/>
        </w:rPr>
      </w:pPr>
      <w:r>
        <w:rPr>
          <w:b/>
        </w:rPr>
        <w:lastRenderedPageBreak/>
        <w:t>References</w:t>
      </w:r>
    </w:p>
    <w:p w14:paraId="03C46941" w14:textId="553F9C6B" w:rsidR="002154DF" w:rsidRPr="002154DF" w:rsidRDefault="00184130" w:rsidP="002154DF">
      <w:pPr>
        <w:widowControl w:val="0"/>
        <w:autoSpaceDE w:val="0"/>
        <w:autoSpaceDN w:val="0"/>
        <w:adjustRightInd w:val="0"/>
        <w:spacing w:line="240" w:lineRule="auto"/>
        <w:ind w:left="480" w:hanging="480"/>
        <w:rPr>
          <w:rFonts w:ascii="Calibri" w:hAnsi="Calibri" w:cs="Calibri"/>
          <w:noProof/>
          <w:szCs w:val="24"/>
        </w:rPr>
      </w:pPr>
      <w:r>
        <w:rPr>
          <w:bCs/>
        </w:rPr>
        <w:fldChar w:fldCharType="begin" w:fldLock="1"/>
      </w:r>
      <w:r>
        <w:rPr>
          <w:bCs/>
        </w:rPr>
        <w:instrText xml:space="preserve">ADDIN Mendeley Bibliography CSL_BIBLIOGRAPHY </w:instrText>
      </w:r>
      <w:r>
        <w:rPr>
          <w:bCs/>
        </w:rPr>
        <w:fldChar w:fldCharType="separate"/>
      </w:r>
      <w:r w:rsidR="002154DF" w:rsidRPr="002154DF">
        <w:rPr>
          <w:rFonts w:ascii="Calibri" w:hAnsi="Calibri" w:cs="Calibri"/>
          <w:noProof/>
          <w:szCs w:val="24"/>
        </w:rPr>
        <w:t>Alipour, M., Alizadeh, B., Jahangard, A., GandomiSani, A., 2021. Wildfire events at the Triassic–Jurassic boundary of the Tabas Basin, Central Iran. Int. J. Coal Sci. Technol. 8, 897–907. https://doi.org/10.1007/s40789-021-00436-2</w:t>
      </w:r>
    </w:p>
    <w:p w14:paraId="210687A1"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Arias, A.H., Souissi, A., Glippa, O., Roussin, M., Dumoulin, D., Net, S., Ouddane, B., Souissi, S., 2017. Removal and Biodegradation of Phenanthrene, Fluoranthene and Pyrene by the Marine Algae Rhodomonas baltica Enriched from North Atlantic Coasts. Bull. Environ. Contam. Toxicol. 98, 392–399. https://doi.org/10.1007/s00128-016-1967-4</w:t>
      </w:r>
    </w:p>
    <w:p w14:paraId="128DFAFE"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Beith, S.J., Fox, C.P., Marshall, J.E.A., Whiteside, J.H., 2021. Recurring photic zone euxinia in the nrthwest Tethys impinged end-Triassic recovery. Palaeogeogr. Palaeoclimatol. Palaeoecol. (in Press. 584, 110680. https://doi.org/https://doi.org/10.1016/j.palaeo.2021.110680</w:t>
      </w:r>
    </w:p>
    <w:p w14:paraId="6BE28B08"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Belcher, C.M., Mander, L., Rein, G., Jervis, F.X., Haworth, M., Hesselbo, S.P., Glasspool, I.J., McElwain, J.C., 2010. Increased fire activity at the Triassic/Jurassic boundary in Greenland due to climate-driven floral change. Nat. Geosci. 3, 426–429. https://doi.org/10.1038/ngeo871</w:t>
      </w:r>
    </w:p>
    <w:p w14:paraId="6CFCAAEA"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Bonis, N.R., Ruhl, M., Kürschner, W.M., 2010. Milankovitch-scale palynological turnover across the Triassic–Jurassic transition at St. Audrie’s Bay, SW UK. J. Geol. Soc. London. 167, 877–888. https://doi.org/10.1144/0016-76492009-141</w:t>
      </w:r>
    </w:p>
    <w:p w14:paraId="3435BA56"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Boudinot, F.G., Sepúlveda, J., 2020. Marine organic carbon burial increased forest fire frequency during Oceanic Anoxic Event 2. Nat. Geosci. 13, 693–698. https://doi.org/10.1038/s41561-020-0633-y</w:t>
      </w:r>
    </w:p>
    <w:p w14:paraId="0C3A3B4E"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Cohen, A.S., Coe, A.L., 2002. New geochemical evidence for the onset of volcanism in the Central Atlantic magmatic province and environmental change at the Triassic-Jurassic boundary. Geology 30, 267–270. https://doi.org/10.1130/0091-7613(2002)030&lt;0267:NGEFTO&gt;2.0.CO;2</w:t>
      </w:r>
    </w:p>
    <w:p w14:paraId="3101CC72"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Cranwell, P.A., Eglinton, G., Robinson, N., 1987. Lipids of aquatic organisms as potential contributors to lacustrine sediments—II. Org. Geochem. 11, 513–527. https://doi.org/https://doi.org/10.1016/0146-6380(87)90007-6</w:t>
      </w:r>
    </w:p>
    <w:p w14:paraId="2D0CF23B"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Davies, J.H.F.L., Marzoli, A., Bertrand, H., Youbi, N., Ernesto, M., Schaltegger, U., 2017. End-Triassic mass extinction started by intrusive CAMP activity. Nat. Commun. 8, 15596. https://doi.org/10.1038/ncomms15596</w:t>
      </w:r>
    </w:p>
    <w:p w14:paraId="64B5797A"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Deenen, M.H.L., Ruhl, M., Bonis, N.R., Krijgsman, W., Kuerschner, W.M., Reitsma, M., van Bergen, M.J., 2010. A new chronology for the end-Triassic mass extinction. Earth Planet. Sci. Lett. 291, 113–125. https://doi.org/https://doi.org/10.1016/j.epsl.2010.01.003</w:t>
      </w:r>
    </w:p>
    <w:p w14:paraId="2102386E"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Denis, E.H., Maibauer, B.J., Bowen, G.J., Jardine, P.E., Harrington, G.J., Baczynski, A.A., McInerney, F.A., Collinson, M.E., Belcher, C.M., Wing, S.L., Freeman, K.H., 2021. Decreased soil carbon in a warming world: Degraded pyrogenic carbon during the Paleocene-Eocene Thermal Maximum, Bighorn Basin, Wyoming. Earth Planet. Sci. Lett. 566, 116970. https://doi.org/https://doi.org/10.1016/j.epsl.2021.116970</w:t>
      </w:r>
    </w:p>
    <w:p w14:paraId="6D3B9825"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Dickman, C., McDonald, T., 2020. Some personal reflections on the present and future of Australia’s fauna in an increasingly fire-prone continent. Ecol. Manag. Restor. 21, 86–96. https://doi.org/https://doi.org/10.1111/emr.12403</w:t>
      </w:r>
    </w:p>
    <w:p w14:paraId="2248A886"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 xml:space="preserve">Eglinton, G., Gonzalez, A.G., Hamilton, R.J., Raphael, R.A., 1962. Hydrocarbon constituents of the wax </w:t>
      </w:r>
      <w:r w:rsidRPr="002154DF">
        <w:rPr>
          <w:rFonts w:ascii="Calibri" w:hAnsi="Calibri" w:cs="Calibri"/>
          <w:noProof/>
          <w:szCs w:val="24"/>
        </w:rPr>
        <w:lastRenderedPageBreak/>
        <w:t>coatings of plant leaves: A taxonomic survey. Phytochemistry 1, 89–102. https://doi.org/https://doi.org/10.1016/S0031-9422(00)88006-1</w:t>
      </w:r>
    </w:p>
    <w:p w14:paraId="5875D181"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Fang, Y., Fang, L., Deng, S., Lu, Y., Wang, B., Zhao, X., Wang, Y., Zhang, H., Zhang, X., Sha, J., 2021. Carbon isotope stratigraphy across the Triassic-Jurassic boundary in the high-latitude terrestrial Junggar Basin, NW China. Palaeogeogr. Palaeoclimatol. Palaeoecol. 577, 110559. https://doi.org/https://doi.org/10.1016/j.palaeo.2021.110559</w:t>
      </w:r>
    </w:p>
    <w:p w14:paraId="3AF31DE0"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Fenton, S., Grice, K., Twitchett, R.J., Böttcher, M.E., Looy, C. V, Nabbefeld, B., 2007. Changes in biomarker abundances and sulfur isotopes of pyrite across the Permian–Triassic (P/Tr) Schuchert Dal section (East Greenland). Earth Planet. Sci. Lett. 262, 230–239. https://doi.org/https://doi.org/10.1016/j.epsl.2007.07.033</w:t>
      </w:r>
    </w:p>
    <w:p w14:paraId="1BCDF651"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Finkelstein, D.B., Pratt, L.M., Curtin, T.M., Brassell, S.C., 2005. Wildfires and seasonal aridity recorded in Late Cretaceous strata from south-eastern Arizona, USA. Sedimentology 52, 587–599. https://doi.org/https://doi.org/10.1111/j.1365-3091.2005.00712.x</w:t>
      </w:r>
    </w:p>
    <w:p w14:paraId="476F3008"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Fox, C.P., Cui, X., Whiteside, J.H., Olsen, P.E., Summons, R.E., Grice, K., 2020. Molecular and isotopic evidence reveals the end-Triassic carbon isotope excursion is not from massive exogenous light carbon. Proc. Natl. Acad. Sci. 117, 30171 LP – 30178. https://doi.org/10.1073/pnas.1917661117</w:t>
      </w:r>
    </w:p>
    <w:p w14:paraId="0F927C00"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Fox, C.P., Whiteside, J.H., Olsen, P.E., Cui, X., Summons, R.E., Idiz, E., Grice, K., 2022. Two-pronged kill mechanism at the end-Triassic mass extinction. Geology. https://doi.org/10.1130/G49560.1</w:t>
      </w:r>
    </w:p>
    <w:p w14:paraId="01ABBE5B"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Freeman, D.J., Cattell, F.C.R., 1990. Woodburning as a source of atmospheric polycyclic aromatic hydrocarbons. Environ. Sci. Technol. 24, 1581–1585. https://doi.org/10.1021/es00080a019</w:t>
      </w:r>
    </w:p>
    <w:p w14:paraId="34B25EEF"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Geiselbrecht, A.D., Hedlund, B.P., Tichi, M.A., Staley, J.T., 1998. Isolation of marine polycyclic aromatic hydrocarbon (PAH)-degrading Cycloclasticus strains from the Gulf of Mexico and comparison of their PAH degradation ability with that of puget sound Cycloclasticus strains. Appl. Environ. Microbiol. 64, 4703–4710. https://doi.org/10.1128/AEM.64.12.4703-4710.1998</w:t>
      </w:r>
    </w:p>
    <w:p w14:paraId="39F0C14E"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Grice, K., Cao, C., Love, G.D., Böttcher, M.E., Twitchett, R.J., Grosjean, E., Summons, R.E., Turgeon, S.C., Dunning, W., Jin, Y., 2005. Photic Zone Euxinia During the Permian-Triassic Superanoxic Event. Science (80-. ). 307, 706 LP – 709. https://doi.org/10.1126/science.1104323</w:t>
      </w:r>
    </w:p>
    <w:p w14:paraId="6434ACF1"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Grice, K., Lu, H., Atahan, P., Asif, M., Hallmann, C., Greenwood, P., Maslen, E., Tulipani, S., Williford, K., Dodson, J., 2009. New insights into the origin of perylene in geological samples. Geochim. Cosmochim. Acta 73, 6531–6543. https://doi.org/https://doi.org/10.1016/j.gca.2009.07.029</w:t>
      </w:r>
    </w:p>
    <w:p w14:paraId="53DB910F"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Grimalt, J., Albaigés, J., 1987. Sources and occurrence of C</w:t>
      </w:r>
      <w:r w:rsidRPr="002154DF">
        <w:rPr>
          <w:rFonts w:ascii="Calibri" w:hAnsi="Calibri" w:cs="Calibri"/>
          <w:noProof/>
          <w:szCs w:val="24"/>
          <w:vertAlign w:val="subscript"/>
        </w:rPr>
        <w:t>12</w:t>
      </w:r>
      <w:r w:rsidRPr="002154DF">
        <w:rPr>
          <w:rFonts w:ascii="Calibri" w:hAnsi="Calibri" w:cs="Calibri"/>
          <w:noProof/>
          <w:szCs w:val="24"/>
        </w:rPr>
        <w:t>-C</w:t>
      </w:r>
      <w:r w:rsidRPr="002154DF">
        <w:rPr>
          <w:rFonts w:ascii="Calibri" w:hAnsi="Calibri" w:cs="Calibri"/>
          <w:noProof/>
          <w:szCs w:val="24"/>
          <w:vertAlign w:val="subscript"/>
        </w:rPr>
        <w:t>22</w:t>
      </w:r>
      <w:r w:rsidRPr="002154DF">
        <w:rPr>
          <w:rFonts w:ascii="Calibri" w:hAnsi="Calibri" w:cs="Calibri"/>
          <w:noProof/>
          <w:szCs w:val="24"/>
        </w:rPr>
        <w:t xml:space="preserve"> n-alkane distributions with even carbon-number preference in sedimentary environments. Geochim. Cosmochim. Acta 51, 1379–1384. https://doi.org/https://doi.org/10.1016/0016-7037(87)90322-X</w:t>
      </w:r>
    </w:p>
    <w:p w14:paraId="2958E1CA"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Harris, T.M., 1958. Forest Fire in the Mesozoic. J. Ecol. 46, 447–453. https://doi.org/10.2307/2257405</w:t>
      </w:r>
    </w:p>
    <w:p w14:paraId="51DAC717"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Hesselbo, S.P., Robinson, S.A., Surlyk, F., 2004. Sea-level change and facies development across potential Triassic–Jurassic boundary horizons, SW Britain. J. Geol. Soc. London. 161, 365–379. https://doi.org/10.1144/0016-764903-033</w:t>
      </w:r>
    </w:p>
    <w:p w14:paraId="5114ACD9"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Hesselbo, S.P., Robinson, S.A., Surlyk, F., Piasecki, S., 2002. Terrestrial and marine extinction at the Triassic-Jurassic boundary synchronized with major carbon-cycle perturbation: A link to initiation of massive volcanism? Geology 30, 251–254.</w:t>
      </w:r>
    </w:p>
    <w:p w14:paraId="2137E577"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lastRenderedPageBreak/>
        <w:t>Heunisch, C., Luppold, F.W., Reinhardt, L., Röhling, H.-G., 2010. Palynofazies, Bio- und Lithostratigrafie im Grenzbereich Trias/Jura in der Bohrung Mariental 1 (Lappwaldmulde, Ostniedersachsen). Zeitschrift der Dtsch. Gesellschaft für Geowissenschaften 161, 51–98. https://doi.org/10.1127/1860-1804/2010/0161-0051</w:t>
      </w:r>
    </w:p>
    <w:p w14:paraId="786AB788"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Holman, A.I., Grice, K., 2018. δ</w:t>
      </w:r>
      <w:r w:rsidRPr="002154DF">
        <w:rPr>
          <w:rFonts w:ascii="Calibri" w:hAnsi="Calibri" w:cs="Calibri"/>
          <w:noProof/>
          <w:szCs w:val="24"/>
          <w:vertAlign w:val="superscript"/>
        </w:rPr>
        <w:t>13</w:t>
      </w:r>
      <w:r w:rsidRPr="002154DF">
        <w:rPr>
          <w:rFonts w:ascii="Calibri" w:hAnsi="Calibri" w:cs="Calibri"/>
          <w:noProof/>
          <w:szCs w:val="24"/>
        </w:rPr>
        <w:t>C of aromatic compounds in sediments, oils and atmospheric emissions: A review. Org. Geochem. 123, 27–37. https://doi.org/https://doi.org/10.1016/j.orggeochem.2018.06.004</w:t>
      </w:r>
    </w:p>
    <w:p w14:paraId="310FCA2D"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Hounslow, M.W., Posen, P.E., Warrington, G., 2004. Magnetostratigraphy and biostratigraphy of the Upper Triassic and lowermost Jurassic succession, St. Audrie’s Bay, UK. Palaeogeogr. Palaeoclimatol. Palaeoecol. 213, 331–358. https://doi.org/https://doi.org/10.1016/j.palaeo.2004.07.018</w:t>
      </w:r>
    </w:p>
    <w:p w14:paraId="45CBFE3C"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Jiang, C., Alexander, R., Kagi, R.I., Murray, A.P., 2000. Origin of perylene in ancient sediments and its geological significance. Org. Geochem. 31, 1545–1559. https://doi.org/https://doi.org/10.1016/S0146-6380(00)00074-7</w:t>
      </w:r>
    </w:p>
    <w:p w14:paraId="3DE50E20"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Kaiho, K., Saito, R., Ito, K., Miyaji, T., Biswas, R., Tian, L., Sano, H., Shi, Z., Takahashi, S., Tong, J., Liang, L., Oba, M., Nara, F.W., Tsuchiya, N., Chen, Z.-Q., 2016. Effects of soil erosion and anoxic–euxinic ocean in the Permian–Triassic marine crisis. Heliyon 2, e00137. https://doi.org/https://doi.org/10.1016/j.heliyon.2016.e00137</w:t>
      </w:r>
    </w:p>
    <w:p w14:paraId="175BC2A9"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Karp, A.T., Behrensmeyer, A.K., Freeman, K.H., 2018. Grassland fire ecology has roots in the late Miocene. Proc. Natl. Acad. Sci. 115, 12130 LP – 12135. https://doi.org/10.1073/pnas.1809758115</w:t>
      </w:r>
    </w:p>
    <w:p w14:paraId="3647897D"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Karp, A.T., Holman, A.I., Hopper, P., Grice, K., Freeman, K.H., 2020. Fire distinguishers: Refined interpretations of polycyclic aromatic hydrocarbons for paleo-applications. Geochim. Cosmochim. Acta 289, 93–113. https://doi.org/https://doi.org/10.1016/j.gca.2020.08.024</w:t>
      </w:r>
    </w:p>
    <w:p w14:paraId="71724DCF"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Kent, D. V, Olsen, P.E., Muttoni, G., 2017. Astrochronostratigraphic polarity time scale (APTS) for the Late Triassic and Early Jurassic from continental sediments and correlation with standard marine stages. Earth-Science Rev. 166, 153–180. https://doi.org/https://doi.org/10.1016/j.earscirev.2016.12.014</w:t>
      </w:r>
    </w:p>
    <w:p w14:paraId="491FF064"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Lindström, S., Callegaro, S., Davies, J., Tegner, C., van de Schootbrugge, B., Pedersen, G.K., Youbi, N., Sanei, H., Marzoli, A., 2021. Tracing volcanic emissions from the Central Atlantic Magmatic Province in the sedimentary record. Earth-Science Rev. 212, 103444. https://doi.org/https://doi.org/10.1016/j.earscirev.2020.103444</w:t>
      </w:r>
    </w:p>
    <w:p w14:paraId="6955FF46"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Lindström, S., van de Schootbrugge, B., Hansen, K.H., Pedersen, G.K., Alsen, P., Thibault, N., Dybkjær, K., Bjerrum, C.J., Nielsen, L.H., 2017. A new correlation of Triassic–Jurassic boundary successions in NW Europe, Nevada and Peru, and the Central Atlantic Magmatic Province: A time-line for the end-Triassic mass extinction. Palaeogeogr. Palaeoclimatol. Palaeoecol. 478, 80–102. https://doi.org/https://doi.org/10.1016/j.palaeo.2016.12.025</w:t>
      </w:r>
    </w:p>
    <w:p w14:paraId="232EFD31"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Mander, L., Kürschner, W.M., McElwain, J.C., 2013. Palynostratigraphy and vegetation history of the Triassic{\textendash}Jurassic transition in East Greenland. J. Geol. Soc. London. 170, 37–46. https://doi.org/10.1144/jgs2012-018</w:t>
      </w:r>
    </w:p>
    <w:p w14:paraId="5CB415B1"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Mander, L., Twitchett, R.J., Benton, M.J., 2008. Palaeoecology of the Late Triassic extinction event in the SW UK. J. Geol. Soc. London. 165, 319–332. https://doi.org/10.1144/0016-76492007-029</w:t>
      </w:r>
    </w:p>
    <w:p w14:paraId="03B11FCA"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lastRenderedPageBreak/>
        <w:t>Marynowski, L., Simoneit, B.R.T., 2009. Widespread upper Triassic to lower Jurassic wildfire records from Poland: Evidence from charcoal and pyrolytic and pyrolytic polycyclic aromatic hydrocarbons. Palaios 24, 785–798.</w:t>
      </w:r>
    </w:p>
    <w:p w14:paraId="3D1D3EDB"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McElwain, J.C., Wagner, P.J., Hesselbo, S.P., 2009. Fossil Plant Relative Abundances Indicate Sudden Loss of Late Triassic Biodiversity in East Greenland. Science (80-. ). 324, 1554–1556. https://doi.org/10.1126/science.1171706</w:t>
      </w:r>
    </w:p>
    <w:p w14:paraId="2601336C"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Pálfy, J., 2003. Volcanism of the Central Atlantic Magmatic Province as a potential driving force in the end-Triassic mass extinction. Cent. Atl. Magmat. Prov. Geophys. Monogr. Ser. 136, 255–267. https://doi.org/10.1029/136GM014</w:t>
      </w:r>
    </w:p>
    <w:p w14:paraId="171E843D"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Petersen, H.I., Lindström, S., 2012. Synchronous Wildfire Activity Rise and Mire Deforestation at the Triassic–Jurassic Boundary. PLoS One 7, e47236.</w:t>
      </w:r>
    </w:p>
    <w:p w14:paraId="08C3CF03"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Pieńkowski, G., Niedźwiedzki, G., Waksmundzka, M., 2011. Sedimentological, palynological and geochemical studies of the terrestrial Triassic–Jurassic boundary in northwestern Poland. Geol. Mag. 149, 308–332. https://doi.org/10.1017/S0016756811000914</w:t>
      </w:r>
    </w:p>
    <w:p w14:paraId="5AE95811"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Pole, M., Wang, Y., Dong, C., Xie, X., Tian, N., Li, L., Zhou, N., Lu, N., Xie, A., Zhang, X., 2018. Fires and storms—a Triassic–Jurassic transition section in the Sichuan Basin, China. Palaeobiodiversity and Palaeoenvironments 98, 29–47. https://doi.org/10.1007/s12549-017-0315-y</w:t>
      </w:r>
    </w:p>
    <w:p w14:paraId="44E463EF"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Powell, T.G., McKirdy, D.M., 1973. Relationship between Ratio of Pristane to Phytane, Crude Oil Composition and Geological Environment in Australia. Nat. Phys. Sci. 243, 37–39. https://doi.org/10.1038/physci243037a0</w:t>
      </w:r>
    </w:p>
    <w:p w14:paraId="08DAA6E9"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Sephton, M.A., Looy, C. V, Brinkhuis, H., Wignall, P.B., de Leeuw, J.W., Visscher, H., 2005. Catastrophic soil erosion during the end-Permian biotic crisis. Geology 33, 941–944. https://doi.org/10.1130/G21784.1</w:t>
      </w:r>
    </w:p>
    <w:p w14:paraId="4741FF60"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Shen, W., Sun, Y., Lin, Y., Liu, D., Chai, P., 2011. Evidence for wildfire in the Meishan section and implications for Permian–Triassic events. Geochim. Cosmochim. Acta 75, 1992–2006. https://doi.org/https://doi.org/10.1016/j.gca.2011.01.027</w:t>
      </w:r>
    </w:p>
    <w:p w14:paraId="49EEF1B2"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Skrzypek, G., 2013. Normalization procedures and reference material selection in stable HCNOS isotope analyses: an overview. Anal. Bioanal. Chem. 405, 2815–2823. https://doi.org/10.1007/s00216-012-6517-2</w:t>
      </w:r>
    </w:p>
    <w:p w14:paraId="6EBB221D"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Song, Y., Algeo, T.J., Wu, W., Luo, G., Li, L., Wang, Y., Xie, S., 2020. Distribution of pyrolytic PAHs across the Triassic-Jurassic boundary in the Sichuan Basin, southwestern China: Evidence of wildfire outside the Central Atlantic Magmatic Province. Earth-Science Rev. 201, 102970. https://doi.org/https://doi.org/10.1016/j.earscirev.2019.102970</w:t>
      </w:r>
    </w:p>
    <w:p w14:paraId="1C189452"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Stogiannidis, E., Laane, R., 2015. Source Characterization of Polycyclic Aromatic Hydrocarbons by Using Their Molecular Indices: An Overview of Possibilities, in: Whitacre, D.M. (Ed.), Reviews of Environmental Contamination and Toxicology (Vol 234). Springer, pp. 49–133. https://doi.org/10.1007/978-3-319-10638-0</w:t>
      </w:r>
    </w:p>
    <w:p w14:paraId="75FEC2E9"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Uhl, D., Montenari, M., 2011. Charcoal as evidence of palaeo-wildfires in the Late Triassic of SW Germany. Geol. J. 46, 34–41. https://doi.org/https://doi.org/10.1002/gj.1229</w:t>
      </w:r>
    </w:p>
    <w:p w14:paraId="49885C88"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 xml:space="preserve">van de Schootbrugge, B., Bachan, A., Suan, G., Richoz, S., Payne, J.L., 2013. Microbes, mud and methane: </w:t>
      </w:r>
      <w:r w:rsidRPr="002154DF">
        <w:rPr>
          <w:rFonts w:ascii="Calibri" w:hAnsi="Calibri" w:cs="Calibri"/>
          <w:noProof/>
          <w:szCs w:val="24"/>
        </w:rPr>
        <w:lastRenderedPageBreak/>
        <w:t>cause and consequence of recurrent Early Jurassic anoxia following the end-Triassic mass extinction. Palaeontology 56, 685–709. https://doi.org/https://doi.org/10.1111/pala.12034</w:t>
      </w:r>
    </w:p>
    <w:p w14:paraId="0F5298DD"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van de Schootbrugge, B., Quan, T.M., Lindström, S., Püttmann, W., Heunisch, C., Pross, J., Fiebig, J., Petschick, R., Röhling, H.-G., Richoz, S., Rosenthal, Y., Falkowski, P.G., 2009. Floral changes across the Triassic/Jurassic boundary linked to flood basalt volcanism. Nat. Geosci. 2, 589–594. https://doi.org/10.1038/ngeo577</w:t>
      </w:r>
    </w:p>
    <w:p w14:paraId="6EBF0663"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van de Schootbrugge, B., van der Weijst, C.M.H., Hollaar, T.P., Vecoli, M., Strother, P.K., Kuhlmann, N., Thein, J., Visscher, H., van Konijnenburg-van Cittert, H., Schobben, M.A.N., Sluijs, A., Lindström, S., 2020. Catastrophic soil loss associated with end-Triassic deforestation. Earth-Science Rev. 210, 103332. https://doi.org/10.1016/j.earscirev.2020.103332</w:t>
      </w:r>
    </w:p>
    <w:p w14:paraId="3164F555"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Villar, H.J., Püttmann, W., Wolf, M., 1988. Organic geochemistry and petrography of Tertiary coals and carbonaceous shales from Argentina. Org. Geochem. 13, 1011–1021. https://doi.org/https://doi.org/10.1016/0146-6380(88)90283-5</w:t>
      </w:r>
    </w:p>
    <w:p w14:paraId="092490FA"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Wignall, P.B., Atkinson, J.W., 2020. A two-phase end-Triassic mass extinction. Earth-Science Rev. 208, 103282. https://doi.org/10.1016/j.earscirev.2020.103282</w:t>
      </w:r>
    </w:p>
    <w:p w14:paraId="5ADA8B27"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Wignall, P.B., Bond, D.P.G., 2008. The end-Triassic and Early Jurassic mass extinction records in the British Isles. Proc. Geol. Assoc. 119, 73–84. https://doi.org/https://doi.org/10.1016/S0016-7878(08)80259-3</w:t>
      </w:r>
    </w:p>
    <w:p w14:paraId="0D194A30"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Williford, K.H., Grice, K., Holman, A., McElwain, J.C., 2014. An organic record of terrestrial ecosystem collapse and recovery at the Triassic–Jurassic boundary in East Greenland. Geochim. Cosmochim. Acta 127, 251–263. https://doi.org/https://doi.org/10.1016/j.gca.2013.11.033</w:t>
      </w:r>
    </w:p>
    <w:p w14:paraId="1E3FBFF3"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Wotzlaw, J.F., Guex, J., Bartolini, A., Gallet, Y., Krystyn, L., McRoberts, C.A., Taylor, D., Schoene, B., Schaltegger, U., 2014. Towards accurate numerical calibration of the late triassic: Highprecision U-Pb geochronology constraints on the duration of the Rhaetian. Geology 42, 571–574. https://doi.org/10.1130/G35612.1</w:t>
      </w:r>
    </w:p>
    <w:p w14:paraId="0EB37CB6"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szCs w:val="24"/>
        </w:rPr>
      </w:pPr>
      <w:r w:rsidRPr="002154DF">
        <w:rPr>
          <w:rFonts w:ascii="Calibri" w:hAnsi="Calibri" w:cs="Calibri"/>
          <w:noProof/>
          <w:szCs w:val="24"/>
        </w:rPr>
        <w:t>Yunker, M.B., Macdonald, R.W., Vingarzan, R., Mitchell, R.H., Goyette, D., Sylvestre, S., 2002. PAHs in the Fraser River basin: a critical appraisal of PAH ratios as indicators of PAH source and composition. Org. Geochem. 33, 489–515. https://doi.org/https://doi.org/10.1016/S0146-6380(02)00002-5</w:t>
      </w:r>
    </w:p>
    <w:p w14:paraId="16C404C6" w14:textId="77777777" w:rsidR="002154DF" w:rsidRPr="002154DF" w:rsidRDefault="002154DF" w:rsidP="002154DF">
      <w:pPr>
        <w:widowControl w:val="0"/>
        <w:autoSpaceDE w:val="0"/>
        <w:autoSpaceDN w:val="0"/>
        <w:adjustRightInd w:val="0"/>
        <w:spacing w:line="240" w:lineRule="auto"/>
        <w:ind w:left="480" w:hanging="480"/>
        <w:rPr>
          <w:rFonts w:ascii="Calibri" w:hAnsi="Calibri" w:cs="Calibri"/>
          <w:noProof/>
        </w:rPr>
      </w:pPr>
      <w:r w:rsidRPr="002154DF">
        <w:rPr>
          <w:rFonts w:ascii="Calibri" w:hAnsi="Calibri" w:cs="Calibri"/>
          <w:noProof/>
          <w:szCs w:val="24"/>
        </w:rPr>
        <w:t>Zhang, X., Lv, P., Fang, L., Yang, H., Deng, S., Lu, Y., Fang, Y., Zhang, X., Huang, R., Liang, J., Shi, S., 2020. Widefire records across the Triassic-Jurassic boundary in the southern margin of the Junggar Basin and global correlations. Acta Sedimentol. Sin. https://doi.org/10.14027/j.issn.1000-0550.2020.103</w:t>
      </w:r>
    </w:p>
    <w:p w14:paraId="7B7836BA" w14:textId="08B0D536" w:rsidR="0055777F" w:rsidRDefault="00184130" w:rsidP="005045DC">
      <w:pPr>
        <w:rPr>
          <w:b/>
        </w:rPr>
      </w:pPr>
      <w:r>
        <w:rPr>
          <w:bCs/>
        </w:rPr>
        <w:fldChar w:fldCharType="end"/>
      </w:r>
    </w:p>
    <w:p w14:paraId="1AAC32D8" w14:textId="77777777" w:rsidR="0036625B" w:rsidRDefault="00A5741C">
      <w:pPr>
        <w:rPr>
          <w:b/>
        </w:rPr>
      </w:pPr>
      <w:r>
        <w:rPr>
          <w:b/>
        </w:rPr>
        <w:br w:type="page"/>
      </w:r>
    </w:p>
    <w:p w14:paraId="1AAF22DB" w14:textId="6D286E8C" w:rsidR="00D01D81" w:rsidRDefault="00BA0E55">
      <w:pPr>
        <w:rPr>
          <w:bCs/>
        </w:rPr>
      </w:pPr>
      <w:r>
        <w:rPr>
          <w:bCs/>
          <w:noProof/>
          <w:lang w:eastAsia="en-AU"/>
        </w:rPr>
        <w:lastRenderedPageBreak/>
        <w:drawing>
          <wp:inline distT="0" distB="0" distL="0" distR="0" wp14:anchorId="4325D214" wp14:editId="59747893">
            <wp:extent cx="5943600" cy="4342765"/>
            <wp:effectExtent l="0" t="0" r="0" b="63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42765"/>
                    </a:xfrm>
                    <a:prstGeom prst="rect">
                      <a:avLst/>
                    </a:prstGeom>
                  </pic:spPr>
                </pic:pic>
              </a:graphicData>
            </a:graphic>
          </wp:inline>
        </w:drawing>
      </w:r>
    </w:p>
    <w:p w14:paraId="238F547F" w14:textId="77777777" w:rsidR="00BA0E55" w:rsidRDefault="00BA0E55" w:rsidP="00BA0E55">
      <w:pPr>
        <w:spacing w:line="480" w:lineRule="auto"/>
        <w:jc w:val="both"/>
        <w:rPr>
          <w:rFonts w:asciiTheme="majorBidi" w:hAnsiTheme="majorBidi" w:cstheme="majorBidi"/>
          <w:bCs/>
          <w:sz w:val="24"/>
          <w:szCs w:val="24"/>
        </w:rPr>
      </w:pPr>
    </w:p>
    <w:p w14:paraId="5290B22F" w14:textId="02F03071" w:rsidR="0036625B" w:rsidRPr="00BA0E55" w:rsidRDefault="00D01D81" w:rsidP="00BA0E55">
      <w:pPr>
        <w:spacing w:line="480" w:lineRule="auto"/>
        <w:jc w:val="both"/>
        <w:rPr>
          <w:rFonts w:asciiTheme="majorBidi" w:hAnsiTheme="majorBidi" w:cstheme="majorBidi"/>
          <w:bCs/>
          <w:sz w:val="24"/>
          <w:szCs w:val="24"/>
        </w:rPr>
      </w:pPr>
      <w:r w:rsidRPr="00BA0E55">
        <w:rPr>
          <w:rFonts w:asciiTheme="majorBidi" w:hAnsiTheme="majorBidi" w:cstheme="majorBidi"/>
          <w:bCs/>
          <w:sz w:val="24"/>
          <w:szCs w:val="24"/>
        </w:rPr>
        <w:t xml:space="preserve">Figure 1: Polycyclic Aromatic Hydrocarbons </w:t>
      </w:r>
      <w:r w:rsidR="001B3842">
        <w:rPr>
          <w:rFonts w:asciiTheme="majorBidi" w:hAnsiTheme="majorBidi" w:cstheme="majorBidi"/>
          <w:bCs/>
          <w:sz w:val="24"/>
          <w:szCs w:val="24"/>
        </w:rPr>
        <w:t xml:space="preserve">(PAH) </w:t>
      </w:r>
      <w:r w:rsidR="00BA0E55" w:rsidRPr="00BA0E55">
        <w:rPr>
          <w:rFonts w:asciiTheme="majorBidi" w:hAnsiTheme="majorBidi" w:cstheme="majorBidi"/>
          <w:bCs/>
          <w:sz w:val="24"/>
          <w:szCs w:val="24"/>
        </w:rPr>
        <w:t xml:space="preserve">structures </w:t>
      </w:r>
      <w:r w:rsidRPr="00BA0E55">
        <w:rPr>
          <w:rFonts w:asciiTheme="majorBidi" w:hAnsiTheme="majorBidi" w:cstheme="majorBidi"/>
          <w:bCs/>
          <w:sz w:val="24"/>
          <w:szCs w:val="24"/>
        </w:rPr>
        <w:t>discussed in this study.</w:t>
      </w:r>
      <w:r w:rsidR="00BA0E55" w:rsidRPr="00BA0E55">
        <w:rPr>
          <w:rFonts w:asciiTheme="majorBidi" w:hAnsiTheme="majorBidi" w:cstheme="majorBidi"/>
          <w:bCs/>
          <w:sz w:val="24"/>
          <w:szCs w:val="24"/>
        </w:rPr>
        <w:t xml:space="preserve"> Note that benzo(</w:t>
      </w:r>
      <w:proofErr w:type="spellStart"/>
      <w:r w:rsidR="00BA0E55">
        <w:rPr>
          <w:rFonts w:asciiTheme="majorBidi" w:hAnsiTheme="majorBidi" w:cstheme="majorBidi"/>
          <w:bCs/>
          <w:i/>
          <w:iCs/>
          <w:sz w:val="24"/>
          <w:szCs w:val="24"/>
        </w:rPr>
        <w:t>bjk</w:t>
      </w:r>
      <w:proofErr w:type="spellEnd"/>
      <w:r w:rsidR="00BA0E55" w:rsidRPr="00BA0E55">
        <w:rPr>
          <w:rFonts w:asciiTheme="majorBidi" w:hAnsiTheme="majorBidi" w:cstheme="majorBidi"/>
          <w:bCs/>
          <w:sz w:val="24"/>
          <w:szCs w:val="24"/>
        </w:rPr>
        <w:t>)</w:t>
      </w:r>
      <w:r w:rsidR="00BA0E55">
        <w:rPr>
          <w:rFonts w:asciiTheme="majorBidi" w:hAnsiTheme="majorBidi" w:cstheme="majorBidi"/>
          <w:bCs/>
          <w:sz w:val="24"/>
          <w:szCs w:val="24"/>
        </w:rPr>
        <w:t xml:space="preserve">fluoranthene here is separated into the individual compounds </w:t>
      </w:r>
      <w:r w:rsidR="00BA0E55" w:rsidRPr="00BA0E55">
        <w:rPr>
          <w:rFonts w:asciiTheme="majorBidi" w:hAnsiTheme="majorBidi" w:cstheme="majorBidi"/>
          <w:bCs/>
          <w:sz w:val="24"/>
          <w:szCs w:val="24"/>
        </w:rPr>
        <w:t>benzo(</w:t>
      </w:r>
      <w:r w:rsidR="00BA0E55">
        <w:rPr>
          <w:rFonts w:asciiTheme="majorBidi" w:hAnsiTheme="majorBidi" w:cstheme="majorBidi"/>
          <w:bCs/>
          <w:i/>
          <w:iCs/>
          <w:sz w:val="24"/>
          <w:szCs w:val="24"/>
        </w:rPr>
        <w:t>b</w:t>
      </w:r>
      <w:r w:rsidR="00BA0E55" w:rsidRPr="00BA0E55">
        <w:rPr>
          <w:rFonts w:asciiTheme="majorBidi" w:hAnsiTheme="majorBidi" w:cstheme="majorBidi"/>
          <w:bCs/>
          <w:sz w:val="24"/>
          <w:szCs w:val="24"/>
        </w:rPr>
        <w:t>)</w:t>
      </w:r>
      <w:r w:rsidR="00BA0E55">
        <w:rPr>
          <w:rFonts w:asciiTheme="majorBidi" w:hAnsiTheme="majorBidi" w:cstheme="majorBidi"/>
          <w:bCs/>
          <w:sz w:val="24"/>
          <w:szCs w:val="24"/>
        </w:rPr>
        <w:t xml:space="preserve">fluoranthene, </w:t>
      </w:r>
      <w:r w:rsidR="00BA0E55" w:rsidRPr="00BA0E55">
        <w:rPr>
          <w:rFonts w:asciiTheme="majorBidi" w:hAnsiTheme="majorBidi" w:cstheme="majorBidi"/>
          <w:bCs/>
          <w:sz w:val="24"/>
          <w:szCs w:val="24"/>
        </w:rPr>
        <w:t>benzo(</w:t>
      </w:r>
      <w:r w:rsidR="00BA0E55">
        <w:rPr>
          <w:rFonts w:asciiTheme="majorBidi" w:hAnsiTheme="majorBidi" w:cstheme="majorBidi"/>
          <w:bCs/>
          <w:i/>
          <w:iCs/>
          <w:sz w:val="24"/>
          <w:szCs w:val="24"/>
        </w:rPr>
        <w:t>j</w:t>
      </w:r>
      <w:r w:rsidR="00BA0E55" w:rsidRPr="00BA0E55">
        <w:rPr>
          <w:rFonts w:asciiTheme="majorBidi" w:hAnsiTheme="majorBidi" w:cstheme="majorBidi"/>
          <w:bCs/>
          <w:sz w:val="24"/>
          <w:szCs w:val="24"/>
        </w:rPr>
        <w:t>)</w:t>
      </w:r>
      <w:r w:rsidR="00BA0E55">
        <w:rPr>
          <w:rFonts w:asciiTheme="majorBidi" w:hAnsiTheme="majorBidi" w:cstheme="majorBidi"/>
          <w:bCs/>
          <w:sz w:val="24"/>
          <w:szCs w:val="24"/>
        </w:rPr>
        <w:t xml:space="preserve">fluoranthene, </w:t>
      </w:r>
      <w:r w:rsidR="00BA0E55" w:rsidRPr="00BA0E55">
        <w:rPr>
          <w:rFonts w:asciiTheme="majorBidi" w:hAnsiTheme="majorBidi" w:cstheme="majorBidi"/>
          <w:bCs/>
          <w:sz w:val="24"/>
          <w:szCs w:val="24"/>
        </w:rPr>
        <w:t>benzo(</w:t>
      </w:r>
      <w:r w:rsidR="00BA0E55">
        <w:rPr>
          <w:rFonts w:asciiTheme="majorBidi" w:hAnsiTheme="majorBidi" w:cstheme="majorBidi"/>
          <w:bCs/>
          <w:i/>
          <w:iCs/>
          <w:sz w:val="24"/>
          <w:szCs w:val="24"/>
        </w:rPr>
        <w:t>k</w:t>
      </w:r>
      <w:r w:rsidR="00BA0E55" w:rsidRPr="00BA0E55">
        <w:rPr>
          <w:rFonts w:asciiTheme="majorBidi" w:hAnsiTheme="majorBidi" w:cstheme="majorBidi"/>
          <w:bCs/>
          <w:sz w:val="24"/>
          <w:szCs w:val="24"/>
        </w:rPr>
        <w:t>)</w:t>
      </w:r>
      <w:r w:rsidR="00BA0E55">
        <w:rPr>
          <w:rFonts w:asciiTheme="majorBidi" w:hAnsiTheme="majorBidi" w:cstheme="majorBidi"/>
          <w:bCs/>
          <w:sz w:val="24"/>
          <w:szCs w:val="24"/>
        </w:rPr>
        <w:t>fluoranthene.</w:t>
      </w:r>
      <w:r w:rsidR="00861DCC">
        <w:rPr>
          <w:rFonts w:asciiTheme="majorBidi" w:hAnsiTheme="majorBidi" w:cstheme="majorBidi"/>
          <w:bCs/>
          <w:sz w:val="24"/>
          <w:szCs w:val="24"/>
        </w:rPr>
        <w:t xml:space="preserve"> For further details see Table 1.</w:t>
      </w:r>
      <w:r w:rsidRPr="00BA0E55">
        <w:rPr>
          <w:rFonts w:asciiTheme="majorBidi" w:hAnsiTheme="majorBidi" w:cstheme="majorBidi"/>
          <w:bCs/>
          <w:sz w:val="24"/>
          <w:szCs w:val="24"/>
        </w:rPr>
        <w:t xml:space="preserve"> </w:t>
      </w:r>
    </w:p>
    <w:p w14:paraId="0A99AE45" w14:textId="77777777" w:rsidR="00CF7340" w:rsidRDefault="00CF7340">
      <w:pPr>
        <w:rPr>
          <w:b/>
        </w:rPr>
        <w:sectPr w:rsidR="00CF7340" w:rsidSect="004746A5">
          <w:pgSz w:w="12240" w:h="15840"/>
          <w:pgMar w:top="1440" w:right="1440" w:bottom="1440" w:left="1440" w:header="720" w:footer="720" w:gutter="0"/>
          <w:lnNumType w:countBy="1" w:restart="continuous"/>
          <w:cols w:space="720"/>
          <w:docGrid w:linePitch="360"/>
        </w:sectPr>
      </w:pPr>
    </w:p>
    <w:p w14:paraId="26AAE428" w14:textId="4110BBB2" w:rsidR="0036625B" w:rsidRDefault="00B63013">
      <w:pPr>
        <w:rPr>
          <w:b/>
        </w:rPr>
      </w:pPr>
      <w:r>
        <w:rPr>
          <w:b/>
          <w:noProof/>
          <w:lang w:eastAsia="en-AU"/>
        </w:rPr>
        <w:lastRenderedPageBreak/>
        <w:drawing>
          <wp:anchor distT="0" distB="0" distL="114300" distR="114300" simplePos="0" relativeHeight="251660288" behindDoc="1" locked="0" layoutInCell="1" allowOverlap="1" wp14:anchorId="5043B140" wp14:editId="53C9F74E">
            <wp:simplePos x="0" y="0"/>
            <wp:positionH relativeFrom="margin">
              <wp:align>center</wp:align>
            </wp:positionH>
            <wp:positionV relativeFrom="margin">
              <wp:align>center</wp:align>
            </wp:positionV>
            <wp:extent cx="7321550" cy="59366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22180" cy="5936615"/>
                    </a:xfrm>
                    <a:prstGeom prst="rect">
                      <a:avLst/>
                    </a:prstGeom>
                  </pic:spPr>
                </pic:pic>
              </a:graphicData>
            </a:graphic>
            <wp14:sizeRelH relativeFrom="page">
              <wp14:pctWidth>0</wp14:pctWidth>
            </wp14:sizeRelH>
            <wp14:sizeRelV relativeFrom="page">
              <wp14:pctHeight>0</wp14:pctHeight>
            </wp14:sizeRelV>
          </wp:anchor>
        </w:drawing>
      </w:r>
    </w:p>
    <w:p w14:paraId="112A857D" w14:textId="24ADF806" w:rsidR="00A5741C" w:rsidRDefault="00A5741C" w:rsidP="00A5741C">
      <w:pPr>
        <w:pStyle w:val="AbstractSummary"/>
        <w:spacing w:line="480" w:lineRule="auto"/>
        <w:jc w:val="both"/>
        <w:rPr>
          <w:b/>
        </w:rPr>
      </w:pPr>
    </w:p>
    <w:p w14:paraId="6A292082" w14:textId="77777777" w:rsidR="00CF7340" w:rsidRDefault="00CF7340" w:rsidP="00A5741C">
      <w:pPr>
        <w:pStyle w:val="AbstractSummary"/>
        <w:spacing w:line="480" w:lineRule="auto"/>
        <w:jc w:val="both"/>
        <w:rPr>
          <w:b/>
        </w:rPr>
        <w:sectPr w:rsidR="00CF7340" w:rsidSect="00E45DEC">
          <w:pgSz w:w="15840" w:h="12240" w:orient="landscape"/>
          <w:pgMar w:top="1440" w:right="1440" w:bottom="1440" w:left="1440" w:header="720" w:footer="720" w:gutter="0"/>
          <w:lnNumType w:countBy="1" w:restart="continuous"/>
          <w:cols w:space="720"/>
          <w:docGrid w:linePitch="360"/>
        </w:sectPr>
      </w:pPr>
    </w:p>
    <w:p w14:paraId="3C63E33D" w14:textId="2DBE6CF8" w:rsidR="00E57699" w:rsidRDefault="00A5741C" w:rsidP="00A31915">
      <w:pPr>
        <w:pStyle w:val="AbstractSummary"/>
        <w:spacing w:line="480" w:lineRule="auto"/>
        <w:jc w:val="both"/>
      </w:pPr>
      <w:r>
        <w:lastRenderedPageBreak/>
        <w:t xml:space="preserve">Figure </w:t>
      </w:r>
      <w:r w:rsidR="00A248A8">
        <w:t>2</w:t>
      </w:r>
      <w:r>
        <w:t xml:space="preserve">: </w:t>
      </w:r>
      <w:proofErr w:type="spellStart"/>
      <w:r w:rsidR="00E66C1F" w:rsidRPr="0082171E">
        <w:t>py</w:t>
      </w:r>
      <w:r>
        <w:t>PAHs</w:t>
      </w:r>
      <w:proofErr w:type="spellEnd"/>
      <w:r>
        <w:t xml:space="preserve"> </w:t>
      </w:r>
      <w:r w:rsidR="00E66C1F">
        <w:t>and charcoal during the ETE.</w:t>
      </w:r>
      <w:r w:rsidR="00146A0F">
        <w:t xml:space="preserve"> Bottom left: reconstruction of the ETE</w:t>
      </w:r>
      <w:r w:rsidR="001A5546">
        <w:t xml:space="preserve"> with lateral extent of the CAMP</w:t>
      </w:r>
      <w:r w:rsidR="009933FA">
        <w:t xml:space="preserve"> (in red)</w:t>
      </w:r>
      <w:r w:rsidR="00146A0F">
        <w:t xml:space="preserve"> based on</w:t>
      </w:r>
      <w:r w:rsidR="00F249BB">
        <w:t xml:space="preserve"> </w:t>
      </w:r>
      <w:r w:rsidR="00F249BB">
        <w:fldChar w:fldCharType="begin" w:fldLock="1"/>
      </w:r>
      <w:r w:rsidR="00755B8D">
        <w:instrText>ADDIN CSL_CITATION {"citationItems":[{"id":"ITEM-1","itemData":{"ISSN":"0091-7613","abstract":"Mass extinction at the Triassic-Jurassic (Tr-J) boundary occurred about the same time (200 Ma) as one of the largest volcanic eruptive events known, that which characterized the Central Atlantic magmatic province. Organic carbon isotope data from the UK and Greenland demonstrate that changes in flora and fauna from terrestrial and marine environments occurred synchronously with a light carbon isotope excursion, and that this happened earlier than the Tr-J boundary marked by ammonites in the UK. The results also point toward synchronicity between extinctions and eruption of the first Central Atlantic magmatic province lavas, suggesting a causal link between loss of taxa and the very earliest eruptive phases. The initial isotopic excursion potentially provides a widely correlatable marker for the base of the Jurassic. A temporary return to heavier values followed, but relatively light carbon dominated the shallow oceanic and atmospheric reservoirs for at least 600 k.y.","author":[{"dropping-particle":"","family":"Hesselbo","given":"Stephen P","non-dropping-particle":"","parse-names":false,"suffix":""},{"dropping-particle":"","family":"Robinson","given":"Stuart A","non-dropping-particle":"","parse-names":false,"suffix":""},{"dropping-particle":"","family":"Surlyk","given":"Finn","non-dropping-particle":"","parse-names":false,"suffix":""},{"dropping-particle":"","family":"Piasecki","given":"Stefan","non-dropping-particle":"","parse-names":false,"suffix":""}],"container-title":"Geology","id":"ITEM-1","issue":"3","issued":{"date-parts":[["2002","3","1"]]},"page":"251-254","title":"Terrestrial and marine extinction at the Triassic-Jurassic boundary synchronized with major carbon-cycle perturbation: A link to initiation of massive volcanism?","type":"article-journal","volume":"30"},"uris":["http://www.mendeley.com/documents/?uuid=c53ba0f4-545e-42d9-99b4-198381a55b6a"]}],"mendeley":{"formattedCitation":"(Hesselbo et al., 2002)","manualFormatting":"Hesselbo et al., (2002)","plainTextFormattedCitation":"(Hesselbo et al., 2002)","previouslyFormattedCitation":"(Hesselbo et al., 2002)"},"properties":{"noteIndex":0},"schema":"https://github.com/citation-style-language/schema/raw/master/csl-citation.json"}</w:instrText>
      </w:r>
      <w:r w:rsidR="00F249BB">
        <w:fldChar w:fldCharType="separate"/>
      </w:r>
      <w:r w:rsidR="00F249BB" w:rsidRPr="00F249BB">
        <w:rPr>
          <w:noProof/>
        </w:rPr>
        <w:t xml:space="preserve">Hesselbo et al., </w:t>
      </w:r>
      <w:r w:rsidR="00F249BB">
        <w:rPr>
          <w:noProof/>
        </w:rPr>
        <w:t>(</w:t>
      </w:r>
      <w:r w:rsidR="00F249BB" w:rsidRPr="00F249BB">
        <w:rPr>
          <w:noProof/>
        </w:rPr>
        <w:t>2002)</w:t>
      </w:r>
      <w:r w:rsidR="00F249BB">
        <w:fldChar w:fldCharType="end"/>
      </w:r>
      <w:r w:rsidR="00146A0F">
        <w:t xml:space="preserve"> </w:t>
      </w:r>
      <w:r w:rsidR="001A5546">
        <w:t>and</w:t>
      </w:r>
      <w:r w:rsidR="00146A0F">
        <w:t xml:space="preserve"> approximate geographic locations of</w:t>
      </w:r>
      <w:r w:rsidR="00CA3799">
        <w:t xml:space="preserve"> charcoal bearing units and </w:t>
      </w:r>
      <w:proofErr w:type="spellStart"/>
      <w:r w:rsidR="00CA3799" w:rsidRPr="0082171E">
        <w:t>py</w:t>
      </w:r>
      <w:r w:rsidR="00CA3799">
        <w:t>PAH</w:t>
      </w:r>
      <w:proofErr w:type="spellEnd"/>
      <w:r w:rsidR="00CA3799">
        <w:t xml:space="preserve"> studies</w:t>
      </w:r>
      <w:r w:rsidR="0082171E">
        <w:t xml:space="preserve"> (key given in figure)</w:t>
      </w:r>
      <w:r w:rsidR="00FB5A28">
        <w:t xml:space="preserve"> </w:t>
      </w:r>
      <w:r w:rsidR="00FB5A28">
        <w:fldChar w:fldCharType="begin" w:fldLock="1"/>
      </w:r>
      <w:r w:rsidR="00A31915">
        <w:instrText xml:space="preserve">ADDIN CSL_CITATION {"citationItems":[{"id":"ITEM-1","itemData":{"DOI":"10.1038/ngeo871","ISSN":"1752-0908","abstract":"An episode of climate warming 200 Myr ago was associated with catastrophic environmental changes. Experimental and palaeontological data suggest that a climate-driven shift to more flammable leaf shapes contributed to increased fire activity in East Greenland at this time.","author":[{"dropping-particle":"","family":"Belcher","given":"Claire M","non-dropping-particle":"","parse-names":false,"suffix":""},{"dropping-particle":"","family":"Mander","given":"Luke","non-dropping-particle":"","parse-names":false,"suffix":""},{"dropping-particle":"","family":"Rein","given":"Guillermo","non-dropping-particle":"","parse-names":false,"suffix":""},{"dropping-particle":"","family":"Jervis","given":"Freddy X","non-dropping-particle":"","parse-names":false,"suffix":""},{"dropping-particle":"","family":"Haworth","given":"Matthew","non-dropping-particle":"","parse-names":false,"suffix":""},{"dropping-particle":"","family":"Hesselbo","given":"Stephen P","non-dropping-particle":"","parse-names":false,"suffix":""},{"dropping-particle":"","family":"Glasspool","given":"Ian J","non-dropping-particle":"","parse-names":false,"suffix":""},{"dropping-particle":"","family":"McElwain","given":"Jennifer C","non-dropping-particle":"","parse-names":false,"suffix":""}],"container-title":"Nature Geoscience","id":"ITEM-1","issue":"6","issued":{"date-parts":[["2010"]]},"page":"426-429","title":"Increased fire activity at the Triassic/Jurassic boundary in Greenland due to climate-driven floral change","type":"article-journal","volume":"3"},"uris":["http://www.mendeley.com/documents/?uuid=78e7635c-a3b7-42ee-aa0c-f030be5a8ddd"]},{"id":"ITEM-2","itemData":{"DOI":"https://doi.org/10.1016/j.gca.2013.11.033","ISSN":"0016-7037","abstract":"Terrestrial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sidR="00A31915">
        <w:rPr>
          <w:rFonts w:ascii="Cambria Math" w:hAnsi="Cambria Math" w:cs="Cambria Math"/>
        </w:rPr>
        <w:instrText>∼</w:instrText>
      </w:r>
      <w:r w:rsidR="00A31915">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Acta","id":"ITEM-2","issued":{"date-parts":[["2014"]]},"page":"251-263","title":"An organic record of terrestrial ecosystem collapse and recovery at the Triassic–Jurassic boundary in East Greenland","type":"article-journal","volume":"127"},"uris":["http://www.mendeley.com/documents/?uuid=b7d8a644-9eb1-4450-a9f8-79a0ac3648c6"]},{"id":"ITEM-3","itemData":{"DOI":"10.1038/ngeo577","ISSN":"1752-0908","abstract":"One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Geoscience","id":"ITEM-3","issue":"8","issued":{"date-parts":[["2009"]]},"page":"589-594","title":"Floral changes across the Triassic/Jurassic boundary linked to flood basalt volcanism","type":"article-journal","volume":"2"},"uris":["http://www.mendeley.com/documents/?uuid=7a9f3397-a2a7-4fd8-bfbf-4ff746b02c61"]},{"id":"ITEM-4","itemData":{"DOI":"10.2307/2257405","ISSN":"00220477, 13652745","author":[{"dropping-particle":"","family":"Harris","given":"T M","non-dropping-particle":"","parse-names":false,"suffix":""}],"container-title":"Journal of Ecology","id":"ITEM-4","issue":"2","issued":{"date-parts":[["1958","12","22"]]},"page":"447-453","publisher":"[Wiley, British Ecological Society]","title":"Forest Fire in the Mesozoic","type":"article-journal","volume":"46"},"uris":["http://www.mendeley.com/documents/?uuid=dd473b75-612a-4265-a569-11aba65ef2ac"]},{"id":"ITEM-5","itemData":{"DOI":"https://doi.org/10.1016/j.earscirev.2019.102970","ISSN":"0012-8252","abstract":"Emplacement of the Central Atlantic Magmatic Province (CAMP) during the Triassic-Jurassic (Tr-J) transition is believed to have indirectly increased wildfire frequency through climatic warming and drying. To date, evidence for wildfires has come mainly from within the CAMP region. Here, we present biomarker evidence for wildfires in the form of polycyclic aromatic hydrocarbons (PAHs) in two terrestrial Triassic-Jurassic boundary sections in the Sichuan Basin, southwestern China. Pyrolytic PAHs of probable wildfire origin identified in these sections include pyrene, benzofluoranthene, benzo[e]pyrene, indeno[1,2,3-cd]pyrene, benzo[ghi]perylene, and coronene. Sharp increases in the abundances of pyrolytic PAHs normalized to total organic carbon were found during the Rhaetian Stage (R1 and R2) and at the Tr-J boundary. The ratios of pyrolytic PAHs (PPAHs) to methylated homologues document the combustion origin of PPAHs from methylated PAHs during these intervals of increased wildfire frequency. The abundances of oxygenated PAHs with furan structure show the same stratigraphic trend, testifying to enhanced soil erosion or weathering that may have resulted from a reduction of vegetative cover. Although CAMP-induced climate changes probably set the stage for more frequent wildfires in South China, the immediate trigger was probably a southward shift of the paleo-Intertropical Convergence Zone (ITCZ). These observations suggest a complex feedback involving climatic warming, precipitation and evapo-transpiration, vegetation density, and wildfire prevalence during the Tr-J transition.","author":[{"dropping-particle":"","family":"Song","given":"Yi","non-dropping-particle":"","parse-names":false,"suffix":""},{"dropping-particle":"","family":"Algeo","given":"Thomas J","non-dropping-particle":"","parse-names":false,"suffix":""},{"dropping-particle":"","family":"Wu","given":"Wenjun","non-dropping-particle":"","parse-names":false,"suffix":""},{"dropping-particle":"","family":"Luo","given":"Genming","non-dropping-particle":"","parse-names":false,"suffix":""},{"dropping-particle":"","family":"Li","given":"Liqin","non-dropping-particle":"","parse-names":false,"suffix":""},{"dropping-particle":"","family":"Wang","given":"Yongdong","non-dropping-particle":"","parse-names":false,"suffix":""},{"dropping-particle":"","family":"Xie","given":"Shucheng","non-dropping-particle":"","parse-names":false,"suffix":""}],"container-title":"Earth-Science Reviews","id":"ITEM-5","issued":{"date-parts":[["2020"]]},"page":"102970","title":"Distribution of pyrolytic PAHs across the Triassic-Jurassic boundary in the Sichuan Basin, southwestern China: Evidence of wildfire outside the Central Atlantic Magmatic Province","type":"article-journal","volume":"201"},"uris":["http://www.mendeley.com/documents/?uuid=177f61fb-4d2a-4442-b15d-f8ffbd214856"]},{"id":"ITEM-6","itemData":{"DOI":"10.1007/s12549-017-0315-y","ISSN":"1867-1608","abstract":"The Upper Triassic Xujiahe and Lower Jurassic Zhenzhuchong formations of the Sichuan Basin, China, are important sources of plant fossils and windows into the intervening extinction event. However, there is an on-going debate as to whether the environment represented by the Xujiahe and Zhenzhuchong formations was continental or included an important marine component. We studied the Xujiahe–Zhenzhuchong section near Qili Town of Xuanhan County, in the east of the basin and report hummocky and swaley cross-stratification in the Xujiahe Formation. This, along with minor Skolithos and heterolithic bedding, provides strong evidence for shallow marine conditions and favours an interpretation as the deposits of a wave-dominated coast. It also suggests common and extreme storm activity, possibly hurricanes, at what was a mid-latitude (c. 34–40°N) location in the Late Triassic. Charcoal is found in most samples throughout the section. The predominant fossil wood morphology is consistent with Xenoxylon. Together, the sedimentological evidence of storms and fire suggests a highly disturbed environment.","author":[{"dropping-particle":"","family":"Pole","given":"Mike","non-dropping-particle":"","parse-names":false,"suffix":""},{"dropping-particle":"","family":"Wang","given":"Yongdong","non-dropping-particle":"","parse-names":false,"suffix":""},{"dropping-particle":"","family":"Dong","given":"Chong","non-dropping-particle":"","parse-names":false,"suffix":""},{"dropping-particle":"","family":"Xie","given":"Xiaoping","non-dropping-particle":"","parse-names":false,"suffix":""},{"dropping-particle":"","family":"Tian","given":"Ning","non-dropping-particle":"","parse-names":false,"suffix":""},{"dropping-particle":"","family":"Li","given":"Liqin","non-dropping-particle":"","parse-names":false,"suffix":""},{"dropping-particle":"","family":"Zhou","given":"Ning","non-dropping-particle":"","parse-names":false,"suffix":""},{"dropping-particle":"","family":"Lu","given":"Ning","non-dropping-particle":"","parse-names":false,"suffix":""},{"dropping-particle":"","family":"Xie","given":"Aowei","non-dropping-particle":"","parse-names":false,"suffix":""},{"dropping-particle":"","family":"Zhang","given":"Xiaoqing","non-dropping-particle":"","parse-names":false,"suffix":""}],"container-title":"Palaeobiodiversity and Palaeoenvironments","id":"ITEM-6","issue":"1","issued":{"date-parts":[["2018"]]},"page":"29-47","title":"Fires and storms—a Triassic–Jurassic transition section in the Sichuan Basin, China","type":"article-journal","volume":"98"},"uris":["http://www.mendeley.com/documents/?uuid=47ee6d8c-f890-4959-84ab-fbe93f3c6773"]},{"id":"ITEM-7","itemData":{"DOI":"10.14027/j.issn.1000-0550.2020.103","author":[{"dropping-particle":"","family":"Zhang","given":"X.","non-dropping-particle":"","parse-names":false,"suffix":""},{"dropping-particle":"","family":"Lv","given":"P.","non-dropping-particle":"","parse-names":false,"suffix":""},{"dropping-particle":"","family":"Fang","given":"L.","non-dropping-particle":"","parse-names":false,"suffix":""},{"dropping-particle":"","family":"Yang","given":"H.","non-dropping-particle":"","parse-names":false,"suffix":""},{"dropping-particle":"","family":"Deng","given":"S.","non-dropping-particle":"","parse-names":false,"suffix":""},{"dropping-particle":"","family":"Lu","given":"Y.","non-dropping-particle":"","parse-names":false,"suffix":""},{"dropping-particle":"","family":"Fang","given":"Y.","non-dropping-particle":"","parse-names":false,"suffix":""},{"dropping-particle":"","family":"Zhang","given":"X.","non-dropping-particle":"","parse-names":false,"suffix":""},{"dropping-particle":"","family":"Huang","given":"R.","non-dropping-particle":"","parse-names":false,"suffix":""},{"dropping-particle":"","family":"Liang","given":"J.","non-dropping-particle":"","parse-names":false,"suffix":""},{"dropping-particle":"","family":"Shi","given":"S.","non-dropping-particle":"","parse-names":false,"suffix":""}],"container-title":"Acta Sedimentologica Sinica","id":"ITEM-7","issued":{"date-parts":[["2020"]]},"title":"Widefire records across the Triassic-Jurassic boundary in the southern margin of the Junggar Basin and global correlations","type":"article-journal"},"uris":["http://www.mendeley.com/documents/?uuid=2a387782-9b4a-4264-ad7c-7696b8abb3db"]},{"id":"ITEM-8","itemData":{"DOI":"https://doi.org/10.1016/j.palaeo.2021.110559","ISSN":"0031-0182","abstract":"Carbon isotope stratigraphic records across the Triassic-Jurassic (Tr-J) boundary show carbon isotope excursions in both marine and terrestrial sections, indicating frequent perturbations of the global carbon cycles, which are linked to the ~600 kyr pulsed emplacement of the Central Atlantic Magmatic Province (CAMP). However, few detailed carbon isotope stratigraphic reports from high-latitude terrestrial deposition have been documented in contrast to the contemporaneous low- to mid-latitude records. It hampers the understanding of the climatic response in the high-latitude terrestrial areas and the modeling global carbon cycles triggered by CAMP volcanisms. Here, we present high-resolution organic carbon isotope data primarily originated from C3 plants in the Haojiagou section in the paleo-high-latitude Junggar Basin, NW China. Combined with previously published biostratigraphic and geochemical results, carbon isotope stratigraphy with distinct “initial negative carbon isotope excursions” (I-CIE) and “main negative carbon isotope excursions” (M-CIE) is built in the Junggar Basin and allows a global stratigraphic correlation. The end-Triassic mass extinction (ETE) and the Tr-J boundary is then well identified. The excursion magnitude is similar to that in Greenland and Poland where the sections are also terrestrial. Climatic pattern recorded in the Junggar Basin rapidly changed across the Tr-J transition and coincides with a bloom of fern spores, increased wildfire activities, enhanced hydrological cycles and soil loss.","author":[{"dropping-particle":"","family":"Fang","given":"Yanan","non-dropping-particle":"","parse-names":false,"suffix":""},{"dropping-particle":"","family":"Fang","given":"Linhao","non-dropping-particle":"","parse-names":false,"suffix":""},{"dropping-particle":"","family":"Deng","given":"Shenghui","non-dropping-particle":"","parse-names":false,"suffix":""},{"dropping-particle":"","family":"Lu","given":"Yuanzheng","non-dropping-particle":"","parse-names":false,"suffix":""},{"dropping-particle":"","family":"Wang","given":"Bo","non-dropping-particle":"","parse-names":false,"suffix":""},{"dropping-particle":"","family":"Zhao","given":"Xiangdong","non-dropping-particle":"","parse-names":false,"suffix":""},{"dropping-particle":"","family":"Wang","given":"Yizhe","non-dropping-particle":"","parse-names":false,"suffix":""},{"dropping-particle":"","family":"Zhang","given":"Haichun","non-dropping-particle":"","parse-names":false,"suffix":""},{"dropping-particle":"","family":"Zhang","given":"Xinzhi","non-dropping-particle":"","parse-names":false,"suffix":""},{"dropping-particle":"","family":"Sha","given":"Jingeng","non-dropping-particle":"","parse-names":false,"suffix":""}],"container-title":"Palaeogeography, Palaeoclimatology, Palaeoecology","id":"ITEM-8","issued":{"date-parts":[["2021"]]},"page":"110559","title":"Carbon isotope stratigraphy across the Triassic-Jurassic boundary in the high-latitude terrestrial Junggar Basin, NW China","type":"article-journal","volume":"577"},"uris":["http://www.mendeley.com/documents/?uuid=ab66d73b-ed97-439d-b004-4b2d160f2cca"]},{"id":"ITEM-9","itemData":{"abstract":"The end-Triassic mass extinction event (</w:instrText>
      </w:r>
      <w:r w:rsidR="00A31915">
        <w:rPr>
          <w:rFonts w:ascii="Cambria Math" w:hAnsi="Cambria Math" w:cs="Cambria Math"/>
        </w:rPr>
        <w:instrText>∼</w:instrText>
      </w:r>
      <w:r w:rsidR="00A31915">
        <w:instrText>201.4 million years ago) caused major faunal and floral turnovers in both the marine and terrestrial realms. The biotic changes have been attributed to extreme greenhouse warming across the Triassic–Jurassic (T–J) boundary caused by massive release of carbon dioxide and/or methane related to extensive volcanism in the Central Atlantic Magmatic Province (CAMP), resulting in a more humid climate with increased storminess and lightning activity. Lightning strikes are considered the primary source of wildfires, producing charcoal, microscopically recognized as inertinite macerals. The presence of polycyclic aromatic hydrocarbons (PAHs) of pyrolytic origin and allochthonous charcoal in siliciclastic T–J boundary strata has suggested widespread wildfire activity at the time. We have investigated largely autochthonous coal and coaly beds across the T–J boundary in Sweden and Denmark. These beds consist of predominantly organic material from the in situ vegetation in the mires, and as the coaly beds represent a substantial period of time they are excellent environmental archives. We document a remarkable increase in inertinite content in the coal and coaly beds across the T–J boundary. We show estimated burning temperatures derived from inertinite reflectance measurements coupled with palynological data and conclude that pre-boundary late Rhaetian mire wildfires included high-temperature crown fires, whereas latest Rhaetian–Sinemurian mire wildfires were more frequent but dominated by lower temperature surface fires. Our results suggest a major change in the mire ecosystems across the T–J boundary from forested, conifer dominated mires to mires with a predominantly herbaceous and shrubby vegetation. Contrary to the overall regional vegetation for which onset of recovery commenced in the early Hettangian, the sensitive mire ecosystem remained affected during the Hettangian and did not start to recover until around the Hettangian–Sinemurian boundary. Decreasing inertinite content through the Lower Jurassic suggests that fire activity gradually resumed to considerable lower levels.","author":[{"dropping-particle":"","family":"Petersen","given":"Henrik I","non-dropping-particle":"","parse-names":false,"suffix":""},{"dropping-particle":"","family":"Lindström","given":"Sofie","non-dropping-particle":"","parse-names":false,"suffix":""}],"container-title":"PLOS ONE","id":"ITEM-9","issue":"10","issued":{"date-parts":[["2012","10","15"]]},"page":"e47236","publisher":"Public Library of Science","title":"Synchronous Wildfire Activity Rise and Mire Deforestation at the Triassic–Jurassic Boundary","type":"article-journal","volume":"7"},"uris":["http://www.mendeley.com/documents/?uuid=5aefe483-1c05-48fb-8999-1325ba58c818"]},{"id":"ITEM-10","itemData":{"DOI":"https://doi.org/10.1002/gj.1229","ISSN":"0072-1050","abstract":"Abstract So far only very few reports deal with Triassic (especially macro- or mesofossil) charcoal in detail. Here we present the first results of a detailed study of fossil charcoal from Late Triassic sandstones of the Tübingen Sandstein (Exter-Formation, Rhaetian) in the vicinity of Tübingen in SW Germany. The discovery of charcoal at this locality can be regarded as direct evidence of wildfires in the hinterland of the Rhaetian sea and all charcoal fragments studied so far represent gymnosperm woods. At the moment nothing can be stated about the frequency and extent of such fires, although the occurrence of charcoal in different sandstone-bodies points to more than one fire event. The charcoal content of the marginal marine deposit probably represents a larger region and not only the vegetation in the direct vicinity of the shore. A considerable amount of transport is indicated by abrasion of some of the charcoal fragments and the taphonomic sorting, leading to the selected accumulation of woody fragments. Some charcoal fragments are permineralized by goethite and we assume that in this case the goethite is the primary permineralization agent. Our data support the assumption that during the Late Triassic atmospheric oxygen concentrations were high enough to sustain larger wildfires. Copyright ? 2010 John Wiley &amp; Sons, Ltd.","author":[{"dropping-particle":"","family":"Uhl","given":"Dieter","non-dropping-particle":"","parse-names":false,"suffix":""},{"dropping-particle":"","family":"Montenari","given":"Michael","non-dropping-particle":"","parse-names":false,"suffix":""}],"container-title":"Geological Journal","id":"ITEM-10","issue":"1","issued":{"date-parts":[["2011","1","1"]]},"note":"https://doi.org/10.1002/gj.1229","page":"34-41","publisher":"John Wiley &amp; Sons, Ltd","title":"Charcoal as evidence of palaeo-wildfires in the Late Triassic of SW Germany","type":"article-journal","volume":"46"},"uris":["http://www.mendeley.com/documents/?uuid=2e8af47e-b4e3-43c0-ada1-9d59d1ae34e7"]},{"id":"ITEM-11","itemData":{"DOI":"10.1007/s40789-021-00436-2","ISSN":"2198-7823","abstract":"This paper presents organic geochemical evidence pointing to the occurrence of wildfire events at the Triassic–Jurassic boundary in Central Iran. The studied outcrop section (the Kamarmacheh Kuh section) is comprised of the Upper Triassic Nayband Formation which passes conformably into the Lower Jurassic Ab-e-Haji Formation with no sharp boundary. Organic petrographical studies reveal a higher concentration of semi-fusinite macerals and microscopic charcoal at the boundary between studied formations. This observation can be an evidence for widespread wildfire events at the Triassic–Jurassic boundary of the studied area. Following these fires, vast areas of land were exposed for erosion and large volumes of clastic sediments were provided due to increased run-off. This agrees well with previous sedimentological and stratigraphical studies suggesting a major change in the depositional conditions from marine to non-marine at the Triassic–Jurassic boundary of the Tabas Basin. These findings can have important implications about paleo-depositional settings of the studied formations and the nature of the associated organic matter.","author":[{"dropping-particle":"","family":"Alipour","given":"Majid","non-dropping-particle":"","parse-names":false,"suffix":""},{"dropping-particle":"","family":"Alizadeh","given":"Bahram","non-dropping-particle":"","parse-names":false,"suffix":""},{"dropping-particle":"","family":"Jahangard","given":"AmirAbbas","non-dropping-particle":"","parse-names":false,"suffix":""},{"dropping-particle":"","family":"GandomiSani","given":"AhmadReza","non-dropping-particle":"","parse-names":false,"suffix":""}],"container-title":"International Journal of Coal Science &amp; Technology","id":"ITEM-11","issue":"5","issued":{"date-parts":[["2021"]]},"page":"897-907","title":"Wildfire events at the Triassic–Jurassic boundary of the Tabas Basin, Central Iran","type":"article-journal","volume":"8"},"uris":["http://www.mendeley.com/documents/?uuid=0c846c00-7d69-4fe5-8c41-7f06ff770105"]}],"mendeley":{"formattedCitation":"(Alipour et al., 2021; Belcher et al., 2010; Fang et al., 2021; Harris, 1958; Petersen and Lindström, 2012; Pole et al., 2018; Song et al., 2020; Uhl and Montenari, 2011; van de Schootbrugge et al., 2009; Williford et al., 2014; Zhang et al., 2020)","plainTextFormattedCitation":"(Alipour et al., 2021; Belcher et al., 2010; Fang et al., 2021; Harris, 1958; Petersen and Lindström, 2012; Pole et al., 2018; Song et al., 2020; Uhl and Montenari, 2011; van de Schootbrugge et al., 2009; Williford et al., 2014; Zhang et al., 2020)","previouslyFormattedCitation":"(Alipour et al., 2021; Belcher et al., 2010; Fang et al., 2021; Harris, 1958; Petersen and Lindström, 2012; Pole et al., 2018; Song et al., 2020; Uhl and Montenari, 2011; van de Schootbrugge et al., 2009; Williford et al., 2014; Zhang et al., 2020)"},"properties":{"noteIndex":0},"schema":"https://github.com/citation-style-language/schema/raw/master/csl-citation.json"}</w:instrText>
      </w:r>
      <w:r w:rsidR="00FB5A28">
        <w:fldChar w:fldCharType="separate"/>
      </w:r>
      <w:r w:rsidR="00B35AA8" w:rsidRPr="00B35AA8">
        <w:rPr>
          <w:noProof/>
        </w:rPr>
        <w:t>(Alipour et al., 2021; Belcher et al., 2010; Fang et al., 2021; Harris, 1958; Petersen and Lindström, 2012; Pole et al., 2018; Song et al., 2020; Uhl and Montenari, 2011; van de Schootbrugge et al., 2009; Williford et al., 2014; Zhang et al., 2020)</w:t>
      </w:r>
      <w:r w:rsidR="00FB5A28">
        <w:fldChar w:fldCharType="end"/>
      </w:r>
      <w:r w:rsidR="007E5D5C">
        <w:t>.</w:t>
      </w:r>
      <w:r w:rsidR="00E57699">
        <w:t xml:space="preserve"> </w:t>
      </w:r>
      <w:r w:rsidR="00D17004">
        <w:t xml:space="preserve">Full </w:t>
      </w:r>
      <w:proofErr w:type="spellStart"/>
      <w:r w:rsidR="00D17004">
        <w:t>pyPAH</w:t>
      </w:r>
      <w:proofErr w:type="spellEnd"/>
      <w:r w:rsidR="00D17004">
        <w:t xml:space="preserve"> profile</w:t>
      </w:r>
      <w:r w:rsidR="00D7522E">
        <w:t>s</w:t>
      </w:r>
      <w:r w:rsidR="00D17004">
        <w:t xml:space="preserve"> for locations 1-4 expressed relative to the </w:t>
      </w:r>
      <w:r w:rsidR="00D17004" w:rsidRPr="00B35AA8">
        <w:rPr>
          <w:rFonts w:ascii="Symbol" w:hAnsi="Symbol"/>
        </w:rPr>
        <w:t></w:t>
      </w:r>
      <w:r w:rsidR="00D17004" w:rsidRPr="00B35AA8">
        <w:rPr>
          <w:vertAlign w:val="superscript"/>
        </w:rPr>
        <w:t>13</w:t>
      </w:r>
      <w:r w:rsidR="00D17004">
        <w:t>C</w:t>
      </w:r>
      <w:r w:rsidR="00D17004" w:rsidRPr="00B35AA8">
        <w:rPr>
          <w:vertAlign w:val="subscript"/>
        </w:rPr>
        <w:t>org</w:t>
      </w:r>
      <w:r w:rsidR="00D17004">
        <w:t xml:space="preserve"> record with c</w:t>
      </w:r>
      <w:r w:rsidR="00E57699">
        <w:t>orrelated CIEs given in the highlighted areas.</w:t>
      </w:r>
      <w:r w:rsidR="00146A0F">
        <w:t xml:space="preserve"> </w:t>
      </w:r>
      <w:proofErr w:type="spellStart"/>
      <w:r w:rsidR="00146A0F">
        <w:t>Astartekløft</w:t>
      </w:r>
      <w:proofErr w:type="spellEnd"/>
      <w:r w:rsidR="007A1C82">
        <w:t xml:space="preserve"> (1)</w:t>
      </w:r>
      <w:r w:rsidR="00146A0F">
        <w:t xml:space="preserve"> </w:t>
      </w:r>
      <w:r w:rsidR="00146A0F" w:rsidRPr="00E57699">
        <w:rPr>
          <w:rFonts w:ascii="Symbol" w:hAnsi="Symbol"/>
        </w:rPr>
        <w:t></w:t>
      </w:r>
      <w:r w:rsidR="00146A0F" w:rsidRPr="00E57699">
        <w:rPr>
          <w:vertAlign w:val="superscript"/>
        </w:rPr>
        <w:t>13</w:t>
      </w:r>
      <w:r w:rsidR="00146A0F">
        <w:t>C</w:t>
      </w:r>
      <w:r w:rsidR="00146A0F" w:rsidRPr="00E57699">
        <w:rPr>
          <w:vertAlign w:val="subscript"/>
        </w:rPr>
        <w:t>wood</w:t>
      </w:r>
      <w:r w:rsidR="00146A0F">
        <w:t xml:space="preserve"> profile from</w:t>
      </w:r>
      <w:r w:rsidR="00ED79FB">
        <w:t xml:space="preserve"> </w:t>
      </w:r>
      <w:r w:rsidR="00ED79FB">
        <w:fldChar w:fldCharType="begin" w:fldLock="1"/>
      </w:r>
      <w:r w:rsidR="00755B8D">
        <w:instrText>ADDIN CSL_CITATION {"citationItems":[{"id":"ITEM-1","itemData":{"ISSN":"0091-7613","abstract":"Mass extinction at the Triassic-Jurassic (Tr-J) boundary occurred about the same time (200 Ma) as one of the largest volcanic eruptive events known, that which characterized the Central Atlantic magmatic province. Organic carbon isotope data from the UK and Greenland demonstrate that changes in flora and fauna from terrestrial and marine environments occurred synchronously with a light carbon isotope excursion, and that this happened earlier than the Tr-J boundary marked by ammonites in the UK. The results also point toward synchronicity between extinctions and eruption of the first Central Atlantic magmatic province lavas, suggesting a causal link between loss of taxa and the very earliest eruptive phases. The initial isotopic excursion potentially provides a widely correlatable marker for the base of the Jurassic. A temporary return to heavier values followed, but relatively light carbon dominated the shallow oceanic and atmospheric reservoirs for at least 600 k.y.","author":[{"dropping-particle":"","family":"Hesselbo","given":"Stephen P","non-dropping-particle":"","parse-names":false,"suffix":""},{"dropping-particle":"","family":"Robinson","given":"Stuart A","non-dropping-particle":"","parse-names":false,"suffix":""},{"dropping-particle":"","family":"Surlyk","given":"Finn","non-dropping-particle":"","parse-names":false,"suffix":""},{"dropping-particle":"","family":"Piasecki","given":"Stefan","non-dropping-particle":"","parse-names":false,"suffix":""}],"container-title":"Geology","id":"ITEM-1","issue":"3","issued":{"date-parts":[["2002","3","1"]]},"page":"251-254","title":"Terrestrial and marine extinction at the Triassic-Jurassic boundary synchronized with major carbon-cycle perturbation: A link to initiation of massive volcanism?","type":"article-journal","volume":"30"},"uris":["http://www.mendeley.com/documents/?uuid=c53ba0f4-545e-42d9-99b4-198381a55b6a"]}],"mendeley":{"formattedCitation":"(Hesselbo et al., 2002)","manualFormatting":"Hesselbo et al., (2002)","plainTextFormattedCitation":"(Hesselbo et al., 2002)","previouslyFormattedCitation":"(Hesselbo et al., 2002)"},"properties":{"noteIndex":0},"schema":"https://github.com/citation-style-language/schema/raw/master/csl-citation.json"}</w:instrText>
      </w:r>
      <w:r w:rsidR="00ED79FB">
        <w:fldChar w:fldCharType="separate"/>
      </w:r>
      <w:r w:rsidR="00ED79FB" w:rsidRPr="00F249BB">
        <w:rPr>
          <w:noProof/>
        </w:rPr>
        <w:t xml:space="preserve">Hesselbo et al., </w:t>
      </w:r>
      <w:r w:rsidR="00ED79FB">
        <w:rPr>
          <w:noProof/>
        </w:rPr>
        <w:t>(</w:t>
      </w:r>
      <w:r w:rsidR="00ED79FB" w:rsidRPr="00F249BB">
        <w:rPr>
          <w:noProof/>
        </w:rPr>
        <w:t>2002)</w:t>
      </w:r>
      <w:r w:rsidR="00ED79FB">
        <w:fldChar w:fldCharType="end"/>
      </w:r>
      <w:r w:rsidR="00E57699">
        <w:t>, PAH abundances</w:t>
      </w:r>
      <w:r w:rsidR="00244F8B">
        <w:t xml:space="preserve"> </w:t>
      </w:r>
      <w:r w:rsidR="00D637D8">
        <w:t>from</w:t>
      </w:r>
      <w:r w:rsidR="00244F8B">
        <w:t xml:space="preserve"> </w:t>
      </w:r>
      <w:r w:rsidR="00ED79FB">
        <w:fldChar w:fldCharType="begin" w:fldLock="1"/>
      </w:r>
      <w:r w:rsidR="00A249D1">
        <w:instrText xml:space="preserve">ADDIN CSL_CITATION {"citationItems":[{"id":"ITEM-1","itemData":{"DOI":"https://doi.org/10.1016/j.gca.2013.11.033","ISSN":"0016-7037","abstract":"Terrestrial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sidR="00A249D1">
        <w:rPr>
          <w:rFonts w:ascii="Cambria Math" w:hAnsi="Cambria Math" w:cs="Cambria Math"/>
        </w:rPr>
        <w:instrText>∼</w:instrText>
      </w:r>
      <w:r w:rsidR="00A249D1">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Acta","id":"ITEM-1","issued":{"date-parts":[["2014"]]},"page":"251-263","title":"An organic record of terrestrial ecosystem collapse and recovery at the Triassic–Jurassic boundary in East Greenland","type":"article-journal","volume":"127"},"uris":["http://www.mendeley.com/documents/?uuid=b7d8a644-9eb1-4450-a9f8-79a0ac3648c6"]}],"mendeley":{"formattedCitation":"(Williford et al., 2014)","manualFormatting":"Williford et al., (2014)","plainTextFormattedCitation":"(Williford et al., 2014)","previouslyFormattedCitation":"(Williford et al., 2014)"},"properties":{"noteIndex":0},"schema":"https://github.com/citation-style-language/schema/raw/master/csl-citation.json"}</w:instrText>
      </w:r>
      <w:r w:rsidR="00ED79FB">
        <w:fldChar w:fldCharType="separate"/>
      </w:r>
      <w:r w:rsidR="00ED79FB" w:rsidRPr="00ED79FB">
        <w:rPr>
          <w:noProof/>
        </w:rPr>
        <w:t xml:space="preserve">Williford et al., </w:t>
      </w:r>
      <w:r w:rsidR="00ED79FB">
        <w:rPr>
          <w:noProof/>
        </w:rPr>
        <w:t>(</w:t>
      </w:r>
      <w:r w:rsidR="00ED79FB" w:rsidRPr="00ED79FB">
        <w:rPr>
          <w:noProof/>
        </w:rPr>
        <w:t>2014)</w:t>
      </w:r>
      <w:r w:rsidR="00ED79FB">
        <w:fldChar w:fldCharType="end"/>
      </w:r>
      <w:r w:rsidR="00A017F1">
        <w:t xml:space="preserve">, </w:t>
      </w:r>
      <w:r w:rsidR="00D17004">
        <w:t xml:space="preserve">charcoal evidence from </w:t>
      </w:r>
      <w:r w:rsidR="00D17004">
        <w:fldChar w:fldCharType="begin" w:fldLock="1"/>
      </w:r>
      <w:r w:rsidR="00FB5A28">
        <w:instrText>ADDIN CSL_CITATION {"citationItems":[{"id":"ITEM-1","itemData":{"DOI":"10.1038/ngeo871","ISSN":"1752-0908","abstract":"An episode of climate warming 200 Myr ago was associated with catastrophic environmental changes. Experimental and palaeontological data suggest that a climate-driven shift to more flammable leaf shapes contributed to increased fire activity in East Greenland at this time.","author":[{"dropping-particle":"","family":"Belcher","given":"Claire M","non-dropping-particle":"","parse-names":false,"suffix":""},{"dropping-particle":"","family":"Mander","given":"Luke","non-dropping-particle":"","parse-names":false,"suffix":""},{"dropping-particle":"","family":"Rein","given":"Guillermo","non-dropping-particle":"","parse-names":false,"suffix":""},{"dropping-particle":"","family":"Jervis","given":"Freddy X","non-dropping-particle":"","parse-names":false,"suffix":""},{"dropping-particle":"","family":"Haworth","given":"Matthew","non-dropping-particle":"","parse-names":false,"suffix":""},{"dropping-particle":"","family":"Hesselbo","given":"Stephen P","non-dropping-particle":"","parse-names":false,"suffix":""},{"dropping-particle":"","family":"Glasspool","given":"Ian J","non-dropping-particle":"","parse-names":false,"suffix":""},{"dropping-particle":"","family":"McElwain","given":"Jennifer C","non-dropping-particle":"","parse-names":false,"suffix":""}],"container-title":"Nature Geoscience","id":"ITEM-1","issue":"6","issued":{"date-parts":[["2010"]]},"page":"426-429","title":"Increased fire activity at the Triassic/Jurassic boundary in Greenland due to climate-driven floral change","type":"article-journal","volume":"3"},"uris":["http://www.mendeley.com/documents/?uuid=78e7635c-a3b7-42ee-aa0c-f030be5a8ddd"]}],"mendeley":{"formattedCitation":"(Belcher et al., 2010)","manualFormatting":"Belcher et al., (2010)","plainTextFormattedCitation":"(Belcher et al., 2010)","previouslyFormattedCitation":"(Belcher et al., 2010)"},"properties":{"noteIndex":0},"schema":"https://github.com/citation-style-language/schema/raw/master/csl-citation.json"}</w:instrText>
      </w:r>
      <w:r w:rsidR="00D17004">
        <w:fldChar w:fldCharType="separate"/>
      </w:r>
      <w:r w:rsidR="00D17004" w:rsidRPr="00D17004">
        <w:rPr>
          <w:noProof/>
        </w:rPr>
        <w:t xml:space="preserve">Belcher et al., </w:t>
      </w:r>
      <w:r w:rsidR="00D17004">
        <w:rPr>
          <w:noProof/>
        </w:rPr>
        <w:t>(</w:t>
      </w:r>
      <w:r w:rsidR="00D17004" w:rsidRPr="00D17004">
        <w:rPr>
          <w:noProof/>
        </w:rPr>
        <w:t>2010)</w:t>
      </w:r>
      <w:r w:rsidR="00D17004">
        <w:fldChar w:fldCharType="end"/>
      </w:r>
      <w:r w:rsidR="00D17004">
        <w:t xml:space="preserve">, </w:t>
      </w:r>
      <w:r w:rsidR="001A5871">
        <w:t>sporomorph/macrofossil ecological</w:t>
      </w:r>
      <w:r w:rsidR="00A017F1" w:rsidRPr="001A5871">
        <w:t xml:space="preserve"> zones after </w:t>
      </w:r>
      <w:r w:rsidR="00064F3E">
        <w:fldChar w:fldCharType="begin" w:fldLock="1"/>
      </w:r>
      <w:r w:rsidR="00C45DE3">
        <w:instrText>ADDIN CSL_CITATION {"citationItems":[{"id":"ITEM-1","itemData":{"DOI":"10.1144/jgs2012-018","ISSN":"0016-7649","abstract":"We present a palynological study of a terrestrial Triassic{\\textendash}Jurassic (Tr{\\textendash}J; c. 200 Ma) boundary section at Astartekløft, East Greenland. We have generated a new palynostratigraphic scheme and vegetation history for this locality, and have integrated these with existing carbon isotope records. Samples for palynological analysis were collected from precisely the same stratigraphic horizons as plant macrofossils and samples used for geochemical analyses. Our results highlight four local sporomorph assemblage zones that are compositionally distinct from each other at Astartekløft. The extremely low abundance of Classopollis pollen in all samples, and the pronounced decline of Ricciisporites tuberculatus during the Late Rhaetian are notable features of the sporomorph record of Tr{\\textendash}J vegetation at Astartekløft. Correlation of Astartekløft and a marine Tr{\\textendash}J boundary section at St Audrie{\\textquoteright}s Bay, UK, provides no support for the idea that extinction and diversity loss in terrestrial ecosystems preceded biotic change in marine ecosystems at the Tr{\\textendash}J. Instead, the available data support suggestions that the onset of the Tr{\\textendash}J biotic crisis was synchronous in terrestrial and marine environments. Peak extinction among plants at Astartekløft occurred relatively late in the sequence of events across the Tr{\\textendash}J, and may represent a response to long-term cumulative effects of volcanism at this time.Supplementary material Plates of selected sporomorphs recovered from Astartekløft and a full pollen diagram are available at www.geolsoc.org.uk/SUP18553.","author":[{"dropping-particle":"","family":"Mander","given":"Luke","non-dropping-particle":"","parse-names":false,"suffix":""},{"dropping-particle":"","family":"Kürschner","given":"Wolfram M","non-dropping-particle":"","parse-names":false,"suffix":""},{"dropping-particle":"","family":"McElwain","given":"Jennifer C","non-dropping-particle":"","parse-names":false,"suffix":""}],"container-title":"Journal of the Geological Society","id":"ITEM-1","issue":"1","issued":{"date-parts":[["2013"]]},"page":"37-46","publisher":"Geological Society of London","title":"Palynostratigraphy and vegetation history of the Triassic{\\textendash}Jurassic transition in East Greenland","type":"article-journal","volume":"170"},"uris":["http://www.mendeley.com/documents/?uuid=000f8aec-7883-48d9-8ec8-930d6ebcc51f"]}],"mendeley":{"formattedCitation":"(Mander et al., 2013)","manualFormatting":"Mander et al., (2013)","plainTextFormattedCitation":"(Mander et al., 2013)","previouslyFormattedCitation":"(Mander et al., 2013)"},"properties":{"noteIndex":0},"schema":"https://github.com/citation-style-language/schema/raw/master/csl-citation.json"}</w:instrText>
      </w:r>
      <w:r w:rsidR="00064F3E">
        <w:fldChar w:fldCharType="separate"/>
      </w:r>
      <w:r w:rsidR="00064F3E" w:rsidRPr="00064F3E">
        <w:rPr>
          <w:noProof/>
        </w:rPr>
        <w:t xml:space="preserve">Mander et al., </w:t>
      </w:r>
      <w:r w:rsidR="00064F3E">
        <w:rPr>
          <w:noProof/>
        </w:rPr>
        <w:t>(</w:t>
      </w:r>
      <w:r w:rsidR="00064F3E" w:rsidRPr="00064F3E">
        <w:rPr>
          <w:noProof/>
        </w:rPr>
        <w:t>2013)</w:t>
      </w:r>
      <w:r w:rsidR="00064F3E">
        <w:fldChar w:fldCharType="end"/>
      </w:r>
      <w:r w:rsidR="00511D4A">
        <w:t>,</w:t>
      </w:r>
      <w:r w:rsidR="00835D45">
        <w:t xml:space="preserve"> and</w:t>
      </w:r>
      <w:r w:rsidR="00511D4A">
        <w:t xml:space="preserve"> plant diversity</w:t>
      </w:r>
      <w:r w:rsidR="00835D45">
        <w:t xml:space="preserve"> loss/turnover </w:t>
      </w:r>
      <w:r w:rsidR="00A31915">
        <w:fldChar w:fldCharType="begin" w:fldLock="1"/>
      </w:r>
      <w:r w:rsidR="00540405">
        <w:instrText>ADDIN CSL_CITATION {"citationItems":[{"id":"ITEM-1","itemData":{"DOI":"10.1126/science.1171706","author":[{"dropping-particle":"","family":"McElwain","given":"Jennifer C.","non-dropping-particle":"","parse-names":false,"suffix":""},{"dropping-particle":"","family":"Wagner","given":"Peter J.","non-dropping-particle":"","parse-names":false,"suffix":""},{"dropping-particle":"","family":"Hesselbo","given":"Stephen P.","non-dropping-particle":"","parse-names":false,"suffix":""}],"container-title":"Science","id":"ITEM-1","issue":"5934","issued":{"date-parts":[["2009","6","19"]]},"note":"doi: 10.1126/science.1171706","page":"1554-1556","publisher":"American Association for the Advancement of Science","title":"Fossil Plant Relative Abundances Indicate Sudden Loss of Late Triassic Biodiversity in East Greenland","type":"article-journal","volume":"324"},"uris":["http://www.mendeley.com/documents/?uuid=948a2359-b533-4163-8a1a-b4d34d8eddfb"]}],"mendeley":{"formattedCitation":"(McElwain et al., 2009)","manualFormatting":"(McElwain et al., 2009 and refs therein)","plainTextFormattedCitation":"(McElwain et al., 2009)","previouslyFormattedCitation":"(McElwain et al., 2009)"},"properties":{"noteIndex":0},"schema":"https://github.com/citation-style-language/schema/raw/master/csl-citation.json"}</w:instrText>
      </w:r>
      <w:r w:rsidR="00A31915">
        <w:fldChar w:fldCharType="separate"/>
      </w:r>
      <w:r w:rsidR="00A31915" w:rsidRPr="00A31915">
        <w:rPr>
          <w:noProof/>
        </w:rPr>
        <w:t>(McElwain et al., 2009</w:t>
      </w:r>
      <w:r w:rsidR="00A31915">
        <w:rPr>
          <w:noProof/>
        </w:rPr>
        <w:t xml:space="preserve"> and refs therein</w:t>
      </w:r>
      <w:r w:rsidR="00A31915" w:rsidRPr="00A31915">
        <w:rPr>
          <w:noProof/>
        </w:rPr>
        <w:t>)</w:t>
      </w:r>
      <w:r w:rsidR="00A31915">
        <w:fldChar w:fldCharType="end"/>
      </w:r>
      <w:r w:rsidR="00E57699">
        <w:t>.</w:t>
      </w:r>
      <w:r w:rsidR="00E0395B">
        <w:t xml:space="preserve"> Mariental-1</w:t>
      </w:r>
      <w:r w:rsidR="007A1C82">
        <w:t xml:space="preserve"> (2)</w:t>
      </w:r>
      <w:r w:rsidR="00E0395B">
        <w:t xml:space="preserve"> </w:t>
      </w:r>
      <w:r w:rsidR="00E0395B" w:rsidRPr="00E57699">
        <w:rPr>
          <w:rFonts w:ascii="Symbol" w:hAnsi="Symbol"/>
        </w:rPr>
        <w:t></w:t>
      </w:r>
      <w:r w:rsidR="00E0395B" w:rsidRPr="00E57699">
        <w:rPr>
          <w:vertAlign w:val="superscript"/>
        </w:rPr>
        <w:t>13</w:t>
      </w:r>
      <w:r w:rsidR="00E0395B">
        <w:t>C</w:t>
      </w:r>
      <w:r w:rsidR="00E0395B" w:rsidRPr="00E57699">
        <w:rPr>
          <w:vertAlign w:val="subscript"/>
        </w:rPr>
        <w:t>o</w:t>
      </w:r>
      <w:r w:rsidR="00E0395B">
        <w:rPr>
          <w:vertAlign w:val="subscript"/>
        </w:rPr>
        <w:t>rg</w:t>
      </w:r>
      <w:r w:rsidR="00E0395B">
        <w:t xml:space="preserve"> </w:t>
      </w:r>
      <w:r w:rsidR="00E80C0C">
        <w:t xml:space="preserve">record </w:t>
      </w:r>
      <w:r w:rsidR="00E0395B">
        <w:t xml:space="preserve">after </w:t>
      </w:r>
      <w:r w:rsidR="00E0395B">
        <w:fldChar w:fldCharType="begin" w:fldLock="1"/>
      </w:r>
      <w:r w:rsidR="00E0395B">
        <w:instrText>ADDIN CSL_CITATION {"citationItems":[{"id":"ITEM-1","itemData":{"DOI":"https://doi.org/10.1111/pala.12034","ISSN":"0031-0239","abstract":"Abstract The end-Triassic mass extinction (c. 201.6 Ma) was one of the five largest mass-extinction events in the history of animal life. It was also associated with a dramatic, long-lasting change in sedimentation style along the margins of the Tethys Ocean, from generally organic-matter-poor sediments during the Triassic to generally organic-matter-rich black shales during the Jurassic. New core material from Germany provides biomarker evidence of persistent photic-zone euxinia during the Hettangian, the onset of which is associated with a series of both negative and positive carbon isotope excursions. Combined inorganic and organic geochemical and micropalaeontological analyses reveal strong similarities between the Hettangian and the better-known Toarcian anoxic event. These events appear to be the most clearly expressed events within a series of anoxic episodes that also include poorly studied black shale intervals during the Sinemurian and Pliensbachian. Both the Hettangian and Toarcian events are marked by important changes in phytoplankton assemblages from chromophyte- to chlorophyte-dominated assemblages within the European Epicontinental Seaway. Phytoplankton changes occurred in association with the establishment of photic-zone euxinia, driven by a general increase in salinity stratification and warming of surface waters. For both events, the causes of large negative carbon isotope excursions remain incompletely understood; evidence exists for both variation in the δ13C of atmospheric CO2 and variation in the sources of organic carbon. Regardless of the causes of δ13C variability, long-term ocean anoxia during the Early Jurassic can be attributed to greenhouse warming and increased nutrient delivery to the oceans triggered by flood basalt volcanism.","author":[{"dropping-particle":"","family":"Schootbrugge","given":"Bas","non-dropping-particle":"van de","parse-names":false,"suffix":""},{"dropping-particle":"","family":"Bachan","given":"Aviv","non-dropping-particle":"","parse-names":false,"suffix":""},{"dropping-particle":"","family":"Suan","given":"Guillaume","non-dropping-particle":"","parse-names":false,"suffix":""},{"dropping-particle":"","family":"Richoz","given":"Sylvain","non-dropping-particle":"","parse-names":false,"suffix":""},{"dropping-particle":"","family":"Payne","given":"Jonathan L","non-dropping-particle":"","parse-names":false,"suffix":""}],"container-title":"Palaeontology","id":"ITEM-1","issue":"4","issued":{"date-parts":[["2013","7","1"]]},"note":"https://doi.org/10.1111/pala.12034","page":"685-709","publisher":"John Wiley &amp; Sons, Ltd","title":"Microbes, mud and methane: cause and consequence of recurrent Early Jurassic anoxia following the end-Triassic mass extinction","type":"article-journal","volume":"56"},"uris":["http://www.mendeley.com/documents/?uuid=802e0093-6228-42f3-b6c0-590af0d1b9ea"]}],"mendeley":{"formattedCitation":"(van de Schootbrugge et al., 2013)","manualFormatting":"van de Schootbrugge et al., (2013)","plainTextFormattedCitation":"(van de Schootbrugge et al., 2013)","previouslyFormattedCitation":"(van de Schootbrugge et al., 2013)"},"properties":{"noteIndex":0},"schema":"https://github.com/citation-style-language/schema/raw/master/csl-citation.json"}</w:instrText>
      </w:r>
      <w:r w:rsidR="00E0395B">
        <w:fldChar w:fldCharType="separate"/>
      </w:r>
      <w:r w:rsidR="00E0395B" w:rsidRPr="00ED79FB">
        <w:rPr>
          <w:noProof/>
        </w:rPr>
        <w:t xml:space="preserve">van de Schootbrugge et al., </w:t>
      </w:r>
      <w:r w:rsidR="00E0395B">
        <w:rPr>
          <w:noProof/>
        </w:rPr>
        <w:t>(</w:t>
      </w:r>
      <w:r w:rsidR="00E0395B" w:rsidRPr="00ED79FB">
        <w:rPr>
          <w:noProof/>
        </w:rPr>
        <w:t>2013)</w:t>
      </w:r>
      <w:r w:rsidR="00E0395B">
        <w:fldChar w:fldCharType="end"/>
      </w:r>
      <w:r w:rsidR="00E0395B">
        <w:t>, PAH abundances</w:t>
      </w:r>
      <w:r w:rsidR="000C71B5">
        <w:t xml:space="preserve"> and </w:t>
      </w:r>
      <w:proofErr w:type="spellStart"/>
      <w:r w:rsidR="000C71B5">
        <w:t>dinocyst</w:t>
      </w:r>
      <w:proofErr w:type="spellEnd"/>
      <w:r w:rsidR="000C71B5">
        <w:t xml:space="preserve"> zones</w:t>
      </w:r>
      <w:r w:rsidR="00E0395B">
        <w:t xml:space="preserve"> from </w:t>
      </w:r>
      <w:r w:rsidR="00E0395B">
        <w:fldChar w:fldCharType="begin" w:fldLock="1"/>
      </w:r>
      <w:r w:rsidR="00E0395B">
        <w:instrText>ADDIN CSL_CITATION {"citationItems":[{"id":"ITEM-1","itemData":{"DOI":"10.1038/ngeo577","ISSN":"1752-0908","abstract":"One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Geoscience","id":"ITEM-1","issue":"8","issued":{"date-parts":[["2009"]]},"page":"589-594","title":"Floral changes across the Triassic/Jurassic boundary linked to flood basalt volcanism","type":"article-journal","volume":"2"},"uris":["http://www.mendeley.com/documents/?uuid=7a9f3397-a2a7-4fd8-bfbf-4ff746b02c61"]}],"mendeley":{"formattedCitation":"(van de Schootbrugge et al., 2009)","manualFormatting":"van de Schootbrugge et al., (2009)","plainTextFormattedCitation":"(van de Schootbrugge et al., 2009)","previouslyFormattedCitation":"(van de Schootbrugge et al., 2009)"},"properties":{"noteIndex":0},"schema":"https://github.com/citation-style-language/schema/raw/master/csl-citation.json"}</w:instrText>
      </w:r>
      <w:r w:rsidR="00E0395B">
        <w:fldChar w:fldCharType="separate"/>
      </w:r>
      <w:r w:rsidR="00E0395B" w:rsidRPr="00185F15">
        <w:rPr>
          <w:noProof/>
        </w:rPr>
        <w:t xml:space="preserve">van de Schootbrugge et al., </w:t>
      </w:r>
      <w:r w:rsidR="00E0395B">
        <w:rPr>
          <w:noProof/>
        </w:rPr>
        <w:t>(</w:t>
      </w:r>
      <w:r w:rsidR="00E0395B" w:rsidRPr="00185F15">
        <w:rPr>
          <w:noProof/>
        </w:rPr>
        <w:t>2009)</w:t>
      </w:r>
      <w:r w:rsidR="00E0395B">
        <w:fldChar w:fldCharType="end"/>
      </w:r>
      <w:r w:rsidR="00E80C0C">
        <w:t>, and biostratigraph</w:t>
      </w:r>
      <w:r w:rsidR="007A1C82">
        <w:t>y</w:t>
      </w:r>
      <w:r w:rsidR="00E80C0C">
        <w:t xml:space="preserve"> after</w:t>
      </w:r>
      <w:r w:rsidR="007A1C82">
        <w:t xml:space="preserve"> </w:t>
      </w:r>
      <w:r w:rsidR="007A1C82">
        <w:fldChar w:fldCharType="begin" w:fldLock="1"/>
      </w:r>
      <w:r w:rsidR="007A1C82">
        <w:instrText>ADDIN CSL_CITATION {"citationItems":[{"id":"ITEM-1","itemData":{"DOI":"10.1127/1860-1804/2010/0161-0051","author":[{"dropping-particle":"","family":"Heunisch","given":"Carmen","non-dropping-particle":"","parse-names":false,"suffix":""},{"dropping-particle":"","family":"Luppold","given":"Friedrich Wilhelm","non-dropping-particle":"","parse-names":false,"suffix":""},{"dropping-particle":"","family":"Reinhardt","given":"Lutz","non-dropping-particle":"","parse-names":false,"suffix":""},{"dropping-particle":"","family":"Röhling","given":"Heinz-Gerd","non-dropping-particle":"","parse-names":false,"suffix":""}],"container-title":"Zeitschrift der Deutschen Gesellschaft für Geowissenschaften","id":"ITEM-1","issue":"1","issued":{"date-parts":[["2010"]]},"page":"51-98","publisher":"Schweizerbart Science Publishers","publisher-place":"Stuttgart, Germany","title":"Palynofazies, Bio- und Lithostratigrafie im Grenzbereich Trias/Jura in der Bohrung Mariental 1 (Lappwaldmulde, Ostniedersachsen)","type":"article-journal","volume":"161"},"uris":["http://www.mendeley.com/documents/?uuid=4b13771f-5341-4f76-85b6-b860bc013c56"]}],"mendeley":{"formattedCitation":"(Heunisch et al., 2010)","manualFormatting":"Heunisch et al., (2010)","plainTextFormattedCitation":"(Heunisch et al., 2010)","previouslyFormattedCitation":"(Heunisch et al., 2010)"},"properties":{"noteIndex":0},"schema":"https://github.com/citation-style-language/schema/raw/master/csl-citation.json"}</w:instrText>
      </w:r>
      <w:r w:rsidR="007A1C82">
        <w:fldChar w:fldCharType="separate"/>
      </w:r>
      <w:r w:rsidR="007A1C82" w:rsidRPr="007A1C82">
        <w:rPr>
          <w:noProof/>
        </w:rPr>
        <w:t xml:space="preserve">Heunisch et al., </w:t>
      </w:r>
      <w:r w:rsidR="007A1C82">
        <w:rPr>
          <w:noProof/>
        </w:rPr>
        <w:t>(</w:t>
      </w:r>
      <w:r w:rsidR="007A1C82" w:rsidRPr="007A1C82">
        <w:rPr>
          <w:noProof/>
        </w:rPr>
        <w:t>2010)</w:t>
      </w:r>
      <w:r w:rsidR="007A1C82">
        <w:fldChar w:fldCharType="end"/>
      </w:r>
      <w:r w:rsidR="00E0395B">
        <w:t>.</w:t>
      </w:r>
      <w:r w:rsidR="000C71B5">
        <w:t xml:space="preserve"> </w:t>
      </w:r>
      <w:proofErr w:type="spellStart"/>
      <w:r w:rsidR="007A1C82">
        <w:t>Kamień</w:t>
      </w:r>
      <w:proofErr w:type="spellEnd"/>
      <w:r w:rsidR="007A1C82">
        <w:t xml:space="preserve"> </w:t>
      </w:r>
      <w:proofErr w:type="spellStart"/>
      <w:r w:rsidR="007A1C82">
        <w:t>Pomorski</w:t>
      </w:r>
      <w:proofErr w:type="spellEnd"/>
      <w:r w:rsidR="007A1C82">
        <w:t xml:space="preserve"> IG-1 (3)</w:t>
      </w:r>
      <w:r w:rsidR="007E5D5C">
        <w:t xml:space="preserve"> </w:t>
      </w:r>
      <w:r w:rsidR="007A1C82" w:rsidRPr="00E57699">
        <w:rPr>
          <w:rFonts w:ascii="Symbol" w:hAnsi="Symbol"/>
        </w:rPr>
        <w:t></w:t>
      </w:r>
      <w:r w:rsidR="007A1C82" w:rsidRPr="00E57699">
        <w:rPr>
          <w:vertAlign w:val="superscript"/>
        </w:rPr>
        <w:t>13</w:t>
      </w:r>
      <w:r w:rsidR="007A1C82">
        <w:t>C</w:t>
      </w:r>
      <w:r w:rsidR="007A1C82" w:rsidRPr="00E57699">
        <w:rPr>
          <w:vertAlign w:val="subscript"/>
        </w:rPr>
        <w:t>o</w:t>
      </w:r>
      <w:r w:rsidR="007A1C82">
        <w:rPr>
          <w:vertAlign w:val="subscript"/>
        </w:rPr>
        <w:t>rg</w:t>
      </w:r>
      <w:r w:rsidR="007A1C82">
        <w:t xml:space="preserve"> record and biostratigraphy after </w:t>
      </w:r>
      <w:r w:rsidR="007A1C82">
        <w:fldChar w:fldCharType="begin" w:fldLock="1"/>
      </w:r>
      <w:r w:rsidR="006C12E7">
        <w:instrText>ADDIN CSL_CITATION {"citationItems":[{"id":"ITEM-1","itemData":{"DOI":"10.1017/S0016756811000914","ISSN":"0016-7568","abstract":"The Kamień Pomorski IG-1 borehole (Pomerania, NW Poland) yields a profile through the Triassic–Jurassic (T–J) transition in continental deposits. An integrated study of the sedimentology, sequence stratigraphy, palynology, biostratigraphy and geochemistry of these deposits has been carried out on the boundary interval, which represents a time of major environmental change. Two lithological units within the transitional section are distinguished: the Lower–Middle Rhaetian Wielichowo Beds of alluvial plain facies, which shows evidence of a semi-arid climate, and the Upper Rhaetian to Lower Hettangian Zagaje Formation, lying above a marked erosional sequence boundary, composed of mudstone-claystone and sandstone deposited in a fluvial-lacustrine environment. Carbon isotope values obtained from palynomaceral separates, and thus reflecting isotopic changes in atmospheric CO2, show significant fluctuations through the Rhaetian; the most conspicuous negative δ13Corg excursion is correlated with the Rhaetian ‘initial’ excursion and shows two sub-peaks, pointing to short-term carbon-cycle disturbances of lesser magnitude. Above the ‘initial’ negative excursion, there is a positive excursion followed again by more negative values, representing subordinate fluctuation within a positive excursion and is correlated with the T–J boundary. Seventy-two miospore taxa have been determined from the studied T–J transitional section. Two major palynological assemblages have been distinguished: the lower one, typically Rhaetian, named the Cingulizonates rhaeticus–Limbosporites lundblandii association, which corresponds to the Rhaetipollis–Ricciisporites (= Rhaetipollis–Limbosporites) Zone; and the upper one, typically Hettangian, named the Conbaculatisporites mesozoicus– Dictyophyllidites mortoni–Cerebropollenites thiergartii association (with the age-diagnostic pollen C. thiergartii), which corresponds to the Pinuspollenites–Trachysporites (= Trachysporites–Heliosporites) Zone. The T–J palynofloral turnover occurred in a humid period and is more conspicuous then palynofloral changes observed in Greenland, the Tethyan domain or other parts of NE Europe. The osmium isotope system is studied herein for the first time from T–J continental deposits and shows marked disturbances similar to those measured in marine deposits and attributed to volcanic fallout. Carbon and osmium isotope correlation and coeval increase in polycyclic aromatic hydrocarbon (PAH) content and darkening of…","author":[{"dropping-particle":"","family":"Pieńkowski","given":"Grzegorz","non-dropping-particle":"","parse-names":false,"suffix":""},{"dropping-particle":"","family":"Niedźwiedzki","given":"Grzegorz","non-dropping-particle":"","parse-names":false,"suffix":""},{"dropping-particle":"","family":"Waksmundzka","given":"Marta","non-dropping-particle":"","parse-names":false,"suffix":""}],"container-title":"Geological Magazine","id":"ITEM-1","issue":"2","issued":{"date-parts":[["2011","9","12"]]},"page":"308-332","title":"Sedimentological, palynological and geochemical studies of the terrestrial Triassic–Jurassic boundary in northwestern Poland","type":"article-journal","volume":"149"},"uris":["http://www.mendeley.com/documents/?uuid=a0ba88ba-d64b-4229-8c6a-22e361f52868"]}],"mendeley":{"formattedCitation":"(Pieńkowski et al., 2011)","plainTextFormattedCitation":"(Pieńkowski et al., 2011)","previouslyFormattedCitation":"(Pieńkowski et al., 2011)"},"properties":{"noteIndex":0},"schema":"https://github.com/citation-style-language/schema/raw/master/csl-citation.json"}</w:instrText>
      </w:r>
      <w:r w:rsidR="007A1C82">
        <w:fldChar w:fldCharType="separate"/>
      </w:r>
      <w:r w:rsidR="007A1C82" w:rsidRPr="007A1C82">
        <w:rPr>
          <w:noProof/>
        </w:rPr>
        <w:t>(Pieńkowski et al., 2011)</w:t>
      </w:r>
      <w:r w:rsidR="007A1C82">
        <w:fldChar w:fldCharType="end"/>
      </w:r>
      <w:r w:rsidR="007A1C82">
        <w:t xml:space="preserve">, PAH abundances from </w:t>
      </w:r>
      <w:r w:rsidR="007A1C82">
        <w:fldChar w:fldCharType="begin" w:fldLock="1"/>
      </w:r>
      <w:r w:rsidR="007A1C82">
        <w:instrText>ADDIN CSL_CITATION {"citationItems":[{"id":"ITEM-1","itemData":{"ISSN":"08831351, 19385323","abstract":"[Laboratory tests indicate that 15% O₂, instead of 12%, is required for the propagation of a widespread forest fire, a 3% increase from what was previously assumed. The presence of widespread wildfire records in the Upper Triassic and Lower Jurassic of Central Europe suggests that the lower limit for O₂ during this time was at least 15%. Wildfire records are based on the co-occurrence of charcoal fragments and elevated concentrations of pyrolytic polycyclic aromatic hydrocarbons (PAHs). In all samples charcoal fragments are large to medium-sized and angular, suggesting that they were transported by rivers only short distances after charcoalification. Calculated combustion temperatures vary with stratigraphic position and average 295-377 °C, which is characteristic for ground or near-surface wildfires. The most extensive wildfires occurred in the earliest Jurassic and their intensities successively decreased with time. Average concentrations of the sum of pyrolytic PAHs for the lowermost Jurassic Zagaje Formation reached ~1253 μg/g total organic carbon (TOC), whereas for the Upper Triassic-Lower Jurassic Sktoby Formation they did not exceed ~16 μg/g TOC. Charcoal-bearing sequences were also characterized by the presence of phenyl-PAHs (Ph-PAHs) and oxygen-containing aromatic compounds. The dominance of the more stable Ph-PAH isomers in these immature to low-maturity sedimentary rocks supports their pyrolytic origin. The oxygenated PAHs may also be derived from combustion processes.]","author":[{"dropping-particle":"","family":"Marynowski","given":"Leszek","non-dropping-particle":"","parse-names":false,"suffix":""},{"dropping-particle":"","family":"Simoneit","given":"Bernd R T","non-dropping-particle":"","parse-names":false,"suffix":""}],"container-title":"Palaios","id":"ITEM-1","issue":"11/12","issued":{"date-parts":[["2009","4","9"]]},"page":"785-798","publisher":"SEPM Society for Sedimentary Geology","title":"Widespread upper Triassic to lower Jurassic wildfire records from Poland: Evidence from charcoal and pyrolytic and pyrolytic polycyclic aromatic hydrocarbons","type":"article-journal","volume":"24"},"uris":["http://www.mendeley.com/documents/?uuid=2a6cb468-e7c6-4713-aac1-81b87c770762"]}],"mendeley":{"formattedCitation":"(Marynowski and Simoneit, 2009)","plainTextFormattedCitation":"(Marynowski and Simoneit, 2009)","previouslyFormattedCitation":"(Marynowski and Simoneit, 2009)"},"properties":{"noteIndex":0},"schema":"https://github.com/citation-style-language/schema/raw/master/csl-citation.json"}</w:instrText>
      </w:r>
      <w:r w:rsidR="007A1C82">
        <w:fldChar w:fldCharType="separate"/>
      </w:r>
      <w:r w:rsidR="007A1C82" w:rsidRPr="007A1C82">
        <w:rPr>
          <w:noProof/>
        </w:rPr>
        <w:t>(Marynowski and Simoneit, 2009)</w:t>
      </w:r>
      <w:r w:rsidR="007A1C82">
        <w:fldChar w:fldCharType="end"/>
      </w:r>
      <w:r w:rsidR="007A1C82">
        <w:t xml:space="preserve">. </w:t>
      </w:r>
      <w:r w:rsidR="00A431CE">
        <w:t>SW UK</w:t>
      </w:r>
      <w:r w:rsidR="007A1C82">
        <w:t xml:space="preserve"> (4)</w:t>
      </w:r>
      <w:r w:rsidR="00A431CE">
        <w:t xml:space="preserve"> </w:t>
      </w:r>
      <w:r w:rsidR="00A431CE" w:rsidRPr="00E57699">
        <w:rPr>
          <w:rFonts w:ascii="Symbol" w:hAnsi="Symbol"/>
        </w:rPr>
        <w:t></w:t>
      </w:r>
      <w:r w:rsidR="00A431CE" w:rsidRPr="00E57699">
        <w:rPr>
          <w:vertAlign w:val="superscript"/>
        </w:rPr>
        <w:t>13</w:t>
      </w:r>
      <w:r w:rsidR="00A431CE">
        <w:t>C</w:t>
      </w:r>
      <w:r w:rsidR="00A431CE" w:rsidRPr="00E57699">
        <w:rPr>
          <w:vertAlign w:val="subscript"/>
        </w:rPr>
        <w:t>o</w:t>
      </w:r>
      <w:r w:rsidR="00A431CE">
        <w:rPr>
          <w:vertAlign w:val="subscript"/>
        </w:rPr>
        <w:t>rg</w:t>
      </w:r>
      <w:r w:rsidR="00A431CE">
        <w:t xml:space="preserve"> r</w:t>
      </w:r>
      <w:r w:rsidR="00BC562C">
        <w:t>econstructions from</w:t>
      </w:r>
      <w:r w:rsidR="00A017F1">
        <w:t xml:space="preserve"> Fox et al., (2020), </w:t>
      </w:r>
      <w:r w:rsidR="00A431CE">
        <w:t>PAH abundance</w:t>
      </w:r>
      <w:r w:rsidR="00BC562C">
        <w:t>s</w:t>
      </w:r>
      <w:r w:rsidR="00A431CE">
        <w:t xml:space="preserve"> from this study</w:t>
      </w:r>
      <w:r w:rsidR="00A017F1">
        <w:t xml:space="preserve">, </w:t>
      </w:r>
      <w:r w:rsidR="00A017F1" w:rsidRPr="00AC5C35">
        <w:t xml:space="preserve">and </w:t>
      </w:r>
      <w:r w:rsidR="003D673C" w:rsidRPr="00AC5C35">
        <w:t xml:space="preserve">palynological zones after </w:t>
      </w:r>
      <w:r w:rsidR="00AC5C35">
        <w:fldChar w:fldCharType="begin" w:fldLock="1"/>
      </w:r>
      <w:r w:rsidR="00D637D8">
        <w:instrText>ADDIN CSL_CITATION {"citationItems":[{"id":"ITEM-1","itemData":{"DOI":"10.1144/0016-76492009-141","ISSN":"0016-7649","abstract":"A high-resolution palynological study of the Triassic–Jurassic boundary in the St. Audrie's Bay section revealed a palynofloral transition interval with four pronounced spore peaks in the Lilstock Formation. Regular cyclic increases in palynomorph concentrations can be linked with periods of increased runoff, and correspond to the orbital eccentricity cycle. Spore peaks can be related to precession-induced variations in monsoon strength. An implication is that the initial carbon isotope excursion lasted for at least 20 ka. Emergence during deposition of the Cotham Member had an influence on one of the peaks, which is dominated by spore-producing pioneer plants (e.g. horsetails and liverworts). There is no compelling evidence of a global end-Triassic spore spike that, by analogy with the K–T boundary fern spike, could be related to a catastrophic mass extinction event. Climate change is a more plausible mechanism to explain the increased amount of spores.An alphabetical list of palynomorphs identified in the St. Audrie's Bay section is available at http://www.geolsoc.org.uk/SUP18406.","author":[{"dropping-particle":"","family":"Bonis","given":"Nina R","non-dropping-particle":"","parse-names":false,"suffix":""},{"dropping-particle":"","family":"Ruhl","given":"Micha","non-dropping-particle":"","parse-names":false,"suffix":""},{"dropping-particle":"","family":"Kürschner","given":"Wolfram M","non-dropping-particle":"","parse-names":false,"suffix":""}],"container-title":"Journal of the Geological Society","id":"ITEM-1","issue":"5","issued":{"date-parts":[["2010","9","1"]]},"page":"877-888","title":"Milankovitch-scale palynological turnover across the Triassic–Jurassic transition at St. Audrie's Bay, SW UK","type":"article-journal","volume":"167"},"uris":["http://www.mendeley.com/documents/?uuid=348a49ef-d948-44d8-851e-52a049014759"]}],"mendeley":{"formattedCitation":"(Bonis et al., 2010)","plainTextFormattedCitation":"(Bonis et al., 2010)","previouslyFormattedCitation":"(Bonis et al., 2010)"},"properties":{"noteIndex":0},"schema":"https://github.com/citation-style-language/schema/raw/master/csl-citation.json"}</w:instrText>
      </w:r>
      <w:r w:rsidR="00AC5C35">
        <w:fldChar w:fldCharType="separate"/>
      </w:r>
      <w:r w:rsidR="00AC5C35" w:rsidRPr="00AC5C35">
        <w:rPr>
          <w:noProof/>
        </w:rPr>
        <w:t>(Bonis et al., 2010)</w:t>
      </w:r>
      <w:r w:rsidR="00AC5C35">
        <w:fldChar w:fldCharType="end"/>
      </w:r>
      <w:r w:rsidR="00A431CE">
        <w:t>.</w:t>
      </w:r>
      <w:r w:rsidR="00D17004">
        <w:t xml:space="preserve"> </w:t>
      </w:r>
      <w:r w:rsidR="00BC562C">
        <w:t xml:space="preserve">Key for PAH compounds and </w:t>
      </w:r>
      <w:proofErr w:type="spellStart"/>
      <w:r w:rsidR="00BC562C">
        <w:t>biostratigraphic</w:t>
      </w:r>
      <w:proofErr w:type="spellEnd"/>
      <w:r w:rsidR="00BC562C">
        <w:t xml:space="preserve"> markers given </w:t>
      </w:r>
      <w:r w:rsidR="007A1C82">
        <w:t>next to</w:t>
      </w:r>
      <w:r w:rsidR="00BC562C">
        <w:t xml:space="preserve"> ETE reconstruction.</w:t>
      </w:r>
      <w:r w:rsidR="007A1C82">
        <w:t xml:space="preserve"> </w:t>
      </w:r>
      <w:proofErr w:type="spellStart"/>
      <w:r w:rsidR="00D17004">
        <w:t>B</w:t>
      </w:r>
      <w:r w:rsidR="00BC562C">
        <w:t>iostratigraphic</w:t>
      </w:r>
      <w:proofErr w:type="spellEnd"/>
      <w:r w:rsidR="00BC562C">
        <w:t xml:space="preserve"> markers</w:t>
      </w:r>
      <w:r w:rsidR="0001267C">
        <w:t xml:space="preserve"> used follow those used in correlations of</w:t>
      </w:r>
      <w:r w:rsidR="00BC562C">
        <w:t xml:space="preserve"> </w:t>
      </w:r>
      <w:r w:rsidR="00BC562C">
        <w:fldChar w:fldCharType="begin" w:fldLock="1"/>
      </w:r>
      <w:r w:rsidR="00755B8D">
        <w:instrText>ADDIN CSL_CITATION {"citationItems":[{"id":"ITEM-1","itemData":{"DOI":"https://doi.org/10.1016/j.palaeo.2016.12.025","ISSN":"0031-0182","abstract":"Understanding the end-Triassic mass extinction event (201.36Ma) requires a clear insight into the stratigraphy of boundary sections, which allows for long-distance correlations and correct distinction of the sequence of events. However, even after the ratification of a Global Stratotype Section and Point, global correlations of TJB successions are hampered by the fact that many of the traditionally used fossil groups were severely affected by the crisis. Here, a new correlation of key TJB successions in Europe, U.S.A. and Peru, based on a combination of biotic (palynology and ammonites), geochemical (δ13Corg) and radiometric (U/Pb ages) constraints, is presented. This new correlation has an impact on the causality and temporal development during the end-Triassic event. It challenges the hitherto used standard correlation, which has formed the basis for a hypothesis that the extinction was caused by more or less instantaneous release of large quantities of light carbon (methane) to the atmosphere, with catastrophic global warming as a consequence. The new correlation instead advocates a more prolonged scenario with a series of feedback mechanisms, as it indicates that the bulk of the hitherto dated, high-titanium, quartz normalized volcanism of the Central Atlantic Magmatic Province (CAMP) preceded or was contemporaneous to the onset of the mass extinction. In addition, the maximum phase of the mass extinction, which affected both the terrestrial and marine ecosystems, was associated with a major regression and repeated, enhanced earthquake activity in Europe. A subsequent transgression resulted in the formation of hiati or condensed successions in many areas in Europe. Later phases of volcanic activity of the CAMP, producing low titanium, quartz normalized and high-iron, quartz normalized basaltic rocks, continued close to the first occurrence of Jurassic ammonites and the defined TJB. During this time the terrestrial ecosystem had begun to recover, but the marine ecosystem remained disturbed.","author":[{"dropping-particle":"","family":"Lindström","given":"Sofie","non-dropping-particle":"","parse-names":false,"suffix":""},{"dropping-particle":"","family":"Schootbrugge","given":"Bas","non-dropping-particle":"van de","parse-names":false,"suffix":""},{"dropping-particle":"","family":"Hansen","given":"Katrine H","non-dropping-particle":"","parse-names":false,"suffix":""},{"dropping-particle":"","family":"Pedersen","given":"Gunver K","non-dropping-particle":"","parse-names":false,"suffix":""},{"dropping-particle":"","family":"Alsen","given":"Peter","non-dropping-particle":"","parse-names":false,"suffix":""},{"dropping-particle":"","family":"Thibault","given":"Nicolas","non-dropping-particle":"","parse-names":false,"suffix":""},{"dropping-particle":"","family":"Dybkjær","given":"Karen","non-dropping-particle":"","parse-names":false,"suffix":""},{"dropping-particle":"","family":"Bjerrum","given":"Christian J","non-dropping-particle":"","parse-names":false,"suffix":""},{"dropping-particle":"","family":"Nielsen","given":"Lars Henrik","non-dropping-particle":"","parse-names":false,"suffix":""}],"container-title":"Palaeogeography, Palaeoclimatology, Palaeoecology","id":"ITEM-1","issued":{"date-parts":[["2017"]]},"page":"80-102","title":"A new correlation of Triassic–Jurassic boundary successions in NW Europe, Nevada and Peru, and the Central Atlantic Magmatic Province: A time-line for the end-Triassic mass extinction","type":"article-journal","volume":"478"},"uris":["http://www.mendeley.com/documents/?uuid=bc14de0f-f423-4068-9b4a-2226397d12ba"]}],"mendeley":{"formattedCitation":"(Lindström et al., 2017)","manualFormatting":"Lindström et al., (2017)","plainTextFormattedCitation":"(Lindström et al., 2017)","previouslyFormattedCitation":"(Lindström et al., 2017)"},"properties":{"noteIndex":0},"schema":"https://github.com/citation-style-language/schema/raw/master/csl-citation.json"}</w:instrText>
      </w:r>
      <w:r w:rsidR="00BC562C">
        <w:fldChar w:fldCharType="separate"/>
      </w:r>
      <w:r w:rsidR="00BC562C" w:rsidRPr="00092978">
        <w:rPr>
          <w:noProof/>
        </w:rPr>
        <w:t xml:space="preserve">Lindström et al., </w:t>
      </w:r>
      <w:r w:rsidR="00BC562C">
        <w:rPr>
          <w:noProof/>
        </w:rPr>
        <w:t>(</w:t>
      </w:r>
      <w:r w:rsidR="00BC562C" w:rsidRPr="00092978">
        <w:rPr>
          <w:noProof/>
        </w:rPr>
        <w:t>2017)</w:t>
      </w:r>
      <w:r w:rsidR="00BC562C">
        <w:fldChar w:fldCharType="end"/>
      </w:r>
      <w:r w:rsidR="00E57699">
        <w:t>.</w:t>
      </w:r>
      <w:r w:rsidR="00197EC6">
        <w:t xml:space="preserve"> Plot abbreviations:</w:t>
      </w:r>
      <w:r w:rsidR="00E57699">
        <w:t xml:space="preserve"> </w:t>
      </w:r>
      <w:r w:rsidR="00A431CE">
        <w:t>C</w:t>
      </w:r>
      <w:r w:rsidR="0082171E">
        <w:t>or</w:t>
      </w:r>
      <w:r w:rsidR="00A431CE">
        <w:t>/</w:t>
      </w:r>
      <w:proofErr w:type="spellStart"/>
      <w:r w:rsidR="00A431CE">
        <w:t>BaP</w:t>
      </w:r>
      <w:proofErr w:type="spellEnd"/>
      <w:r w:rsidR="00A431CE">
        <w:t xml:space="preserve"> – Coronene/Benzo(a)pyrene;</w:t>
      </w:r>
      <w:r w:rsidR="00197EC6">
        <w:t xml:space="preserve"> TOC – Total Organic Carbon;</w:t>
      </w:r>
      <w:r w:rsidR="00A431CE">
        <w:t xml:space="preserve"> VPDB – Vienna Pee Dee Belemnite.</w:t>
      </w:r>
    </w:p>
    <w:p w14:paraId="13673A59" w14:textId="77777777" w:rsidR="00E57699" w:rsidRDefault="00E57699">
      <w:pPr>
        <w:rPr>
          <w:rFonts w:ascii="Times New Roman" w:eastAsia="Times New Roman" w:hAnsi="Times New Roman" w:cs="Times New Roman"/>
          <w:sz w:val="24"/>
          <w:szCs w:val="24"/>
          <w:lang w:val="en-US" w:eastAsia="en-US"/>
        </w:rPr>
      </w:pPr>
      <w:r>
        <w:br w:type="page"/>
      </w:r>
    </w:p>
    <w:p w14:paraId="65FBC1D5" w14:textId="2969B177" w:rsidR="00A5741C" w:rsidRDefault="00AE0F1A" w:rsidP="00A5741C">
      <w:pPr>
        <w:pStyle w:val="AbstractSummary"/>
        <w:spacing w:line="480" w:lineRule="auto"/>
        <w:jc w:val="both"/>
      </w:pPr>
      <w:r>
        <w:rPr>
          <w:noProof/>
          <w:lang w:val="en-AU" w:eastAsia="en-AU"/>
        </w:rPr>
        <w:lastRenderedPageBreak/>
        <w:drawing>
          <wp:inline distT="0" distB="0" distL="0" distR="0" wp14:anchorId="56C9DFF8" wp14:editId="463DC869">
            <wp:extent cx="5783665" cy="8229598"/>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3665" cy="8229598"/>
                    </a:xfrm>
                    <a:prstGeom prst="rect">
                      <a:avLst/>
                    </a:prstGeom>
                  </pic:spPr>
                </pic:pic>
              </a:graphicData>
            </a:graphic>
          </wp:inline>
        </w:drawing>
      </w:r>
    </w:p>
    <w:p w14:paraId="2F620DF2" w14:textId="49E7F899" w:rsidR="00643560" w:rsidRDefault="00E57699" w:rsidP="00A5741C">
      <w:pPr>
        <w:pStyle w:val="AbstractSummary"/>
        <w:spacing w:line="480" w:lineRule="auto"/>
        <w:jc w:val="both"/>
      </w:pPr>
      <w:r>
        <w:lastRenderedPageBreak/>
        <w:t xml:space="preserve">Figure </w:t>
      </w:r>
      <w:r w:rsidR="00A248A8">
        <w:t>3</w:t>
      </w:r>
      <w:r>
        <w:t>:</w:t>
      </w:r>
      <w:r w:rsidR="00C912AF">
        <w:t xml:space="preserve"> LMW PAHs,</w:t>
      </w:r>
      <w:r>
        <w:t xml:space="preserve"> </w:t>
      </w:r>
      <w:r w:rsidR="00C912AF">
        <w:t xml:space="preserve">sum of combustion-derived </w:t>
      </w:r>
      <w:r>
        <w:t>PAHs</w:t>
      </w:r>
      <w:r w:rsidR="00B63013">
        <w:t xml:space="preserve"> (</w:t>
      </w:r>
      <w:r w:rsidR="00AE3B50" w:rsidRPr="0070044E">
        <w:rPr>
          <w:bCs/>
        </w:rPr>
        <w:t>∑</w:t>
      </w:r>
      <w:proofErr w:type="spellStart"/>
      <w:r w:rsidR="00AE3B50" w:rsidRPr="0070044E">
        <w:rPr>
          <w:bCs/>
        </w:rPr>
        <w:t>pyPAH</w:t>
      </w:r>
      <w:proofErr w:type="spellEnd"/>
      <w:r w:rsidR="00B63013">
        <w:t>)</w:t>
      </w:r>
      <w:r>
        <w:t xml:space="preserve">, </w:t>
      </w:r>
      <w:r w:rsidR="00C912AF">
        <w:t xml:space="preserve">relative abundance of </w:t>
      </w:r>
      <w:proofErr w:type="spellStart"/>
      <w:r w:rsidR="00FA192C">
        <w:t>py</w:t>
      </w:r>
      <w:r w:rsidR="00C912AF">
        <w:t>PAHs</w:t>
      </w:r>
      <w:proofErr w:type="spellEnd"/>
      <w:r w:rsidR="00C912AF">
        <w:t xml:space="preserve"> with differing ring numbers,</w:t>
      </w:r>
      <w:r>
        <w:t xml:space="preserve"> perylene</w:t>
      </w:r>
      <w:r w:rsidR="00CD61A9">
        <w:t xml:space="preserve"> </w:t>
      </w:r>
      <w:r w:rsidR="00B63013">
        <w:t xml:space="preserve">and retene </w:t>
      </w:r>
      <w:r w:rsidR="00CD61A9">
        <w:t>concentrations</w:t>
      </w:r>
      <w:r w:rsidR="00C912AF">
        <w:t>, and ratios of PAHs indicative of smoke vs. residue sour</w:t>
      </w:r>
      <w:r w:rsidR="00715E5D">
        <w:t>c</w:t>
      </w:r>
      <w:r w:rsidR="00C912AF">
        <w:t>es</w:t>
      </w:r>
      <w:r w:rsidR="00CD61A9">
        <w:t xml:space="preserve"> at Lilstock (I; upper panel) and St. Audrie’s Bay (II; lower panel)</w:t>
      </w:r>
      <w:r w:rsidR="00C912AF">
        <w:t xml:space="preserve"> relative to the </w:t>
      </w:r>
      <w:r w:rsidR="00C912AF" w:rsidRPr="00CA5B8E">
        <w:rPr>
          <w:rFonts w:ascii="Symbol" w:hAnsi="Symbol"/>
        </w:rPr>
        <w:t></w:t>
      </w:r>
      <w:r w:rsidR="00C912AF" w:rsidRPr="00CA5B8E">
        <w:rPr>
          <w:vertAlign w:val="superscript"/>
        </w:rPr>
        <w:t>13</w:t>
      </w:r>
      <w:r w:rsidR="00C912AF">
        <w:t>C</w:t>
      </w:r>
      <w:r w:rsidR="00C912AF" w:rsidRPr="00CA5B8E">
        <w:rPr>
          <w:vertAlign w:val="subscript"/>
        </w:rPr>
        <w:t>org</w:t>
      </w:r>
      <w:r w:rsidR="00C912AF">
        <w:t xml:space="preserve"> and total organic carbon</w:t>
      </w:r>
      <w:r w:rsidR="00B63013">
        <w:t xml:space="preserve"> (TOC)</w:t>
      </w:r>
      <w:r w:rsidR="00C912AF">
        <w:t xml:space="preserve"> records</w:t>
      </w:r>
      <w:r w:rsidR="00CD61A9">
        <w:t>.</w:t>
      </w:r>
      <w:r w:rsidR="00E43D1F">
        <w:t xml:space="preserve"> Note that perylene is represented as µg/g TOC at St. Audrie’s Bay and ng/g TOC at Lilstock.</w:t>
      </w:r>
      <w:r w:rsidR="00CD61A9">
        <w:t xml:space="preserve"> </w:t>
      </w:r>
      <w:r w:rsidR="00715E5D">
        <w:t>Highlighted a</w:t>
      </w:r>
      <w:r w:rsidR="00CD61A9">
        <w:t>reas of interest include the precursor CIE (</w:t>
      </w:r>
      <w:r w:rsidR="007F6604">
        <w:t xml:space="preserve">P-CIE; </w:t>
      </w:r>
      <w:r w:rsidR="00CD61A9">
        <w:t>purple), interval of increased perylene (blue), initial CIE (yellow), photic zone euxinia (PZE) extending further into</w:t>
      </w:r>
      <w:r w:rsidR="001150F1">
        <w:t xml:space="preserve"> shallower regions of</w:t>
      </w:r>
      <w:r w:rsidR="00CD61A9">
        <w:t xml:space="preserve"> the photic zone (green), and PZE limited to deeper depths. Combustion Ring No.</w:t>
      </w:r>
      <w:r w:rsidR="006547DB">
        <w:t>:</w:t>
      </w:r>
      <w:r w:rsidR="00CD61A9">
        <w:t xml:space="preserve"> </w:t>
      </w:r>
      <w:r w:rsidR="00B63013">
        <w:t xml:space="preserve">3 </w:t>
      </w:r>
      <w:proofErr w:type="gramStart"/>
      <w:r w:rsidR="00B63013">
        <w:t>rings</w:t>
      </w:r>
      <w:r w:rsidR="00B63013" w:rsidDel="00B63013">
        <w:t xml:space="preserve"> </w:t>
      </w:r>
      <w:r w:rsidR="00CD61A9">
        <w:t xml:space="preserve"> –</w:t>
      </w:r>
      <w:proofErr w:type="gramEnd"/>
      <w:r w:rsidR="00CD61A9">
        <w:t xml:space="preserve"> phenanthrene and fluoranthene; </w:t>
      </w:r>
      <w:r w:rsidR="00B63013">
        <w:t>4 rings</w:t>
      </w:r>
      <w:r w:rsidR="00CD61A9">
        <w:t xml:space="preserve"> – benzo(</w:t>
      </w:r>
      <w:r w:rsidR="00CD61A9" w:rsidRPr="00CD61A9">
        <w:rPr>
          <w:i/>
        </w:rPr>
        <w:t>a</w:t>
      </w:r>
      <w:r w:rsidR="00CD61A9">
        <w:t xml:space="preserve">)anthracene, chrysene, and triphenylene; </w:t>
      </w:r>
      <w:r w:rsidR="00B63013">
        <w:t>5 rings</w:t>
      </w:r>
      <w:r w:rsidR="00CD61A9">
        <w:t xml:space="preserve"> – benzo(</w:t>
      </w:r>
      <w:r w:rsidR="00CD61A9" w:rsidRPr="00CD61A9">
        <w:rPr>
          <w:i/>
        </w:rPr>
        <w:t>e</w:t>
      </w:r>
      <w:r w:rsidR="00CD61A9">
        <w:t>)pyrene and benzo(</w:t>
      </w:r>
      <w:r w:rsidR="00CD61A9" w:rsidRPr="00CD61A9">
        <w:rPr>
          <w:i/>
        </w:rPr>
        <w:t>a</w:t>
      </w:r>
      <w:r w:rsidR="00CD61A9">
        <w:t xml:space="preserve">)pyrene ; and </w:t>
      </w:r>
      <w:r w:rsidR="00E35DEF">
        <w:t>six</w:t>
      </w:r>
      <w:r w:rsidR="00B63013">
        <w:t xml:space="preserve"> &amp; </w:t>
      </w:r>
      <w:r w:rsidR="00E35DEF">
        <w:t>seven</w:t>
      </w:r>
      <w:r w:rsidR="00B63013">
        <w:t xml:space="preserve"> rings</w:t>
      </w:r>
      <w:r w:rsidR="00B63013" w:rsidDel="00B63013">
        <w:t xml:space="preserve"> </w:t>
      </w:r>
      <w:r w:rsidR="00CD61A9">
        <w:t xml:space="preserve"> – benzo(</w:t>
      </w:r>
      <w:proofErr w:type="spellStart"/>
      <w:r w:rsidR="00CD61A9" w:rsidRPr="00643560">
        <w:rPr>
          <w:i/>
        </w:rPr>
        <w:t>ghi</w:t>
      </w:r>
      <w:proofErr w:type="spellEnd"/>
      <w:r w:rsidR="00CD61A9">
        <w:t xml:space="preserve">)perylene and coronene. </w:t>
      </w:r>
      <w:r w:rsidR="00AE3B50" w:rsidRPr="0070044E">
        <w:rPr>
          <w:bCs/>
        </w:rPr>
        <w:t>∑</w:t>
      </w:r>
      <w:proofErr w:type="spellStart"/>
      <w:r w:rsidR="00AE3B50" w:rsidRPr="0070044E">
        <w:rPr>
          <w:bCs/>
        </w:rPr>
        <w:t>pyPAH</w:t>
      </w:r>
      <w:proofErr w:type="spellEnd"/>
      <w:r w:rsidR="00AE3B50" w:rsidDel="00FB215E">
        <w:t xml:space="preserve"> </w:t>
      </w:r>
      <w:r w:rsidR="00290E9A">
        <w:t>is</w:t>
      </w:r>
      <w:r w:rsidR="00AE3B50">
        <w:t xml:space="preserve"> the sum of 3, 4, 5, 6 and 7 ringed PAHs</w:t>
      </w:r>
      <w:r w:rsidR="00290E9A">
        <w:t>.</w:t>
      </w:r>
      <w:r w:rsidR="00E1773B">
        <w:t xml:space="preserve"> For PAH abbreviations</w:t>
      </w:r>
      <w:r w:rsidR="00C363A8">
        <w:t xml:space="preserve"> in smoke vs. residue source</w:t>
      </w:r>
      <w:r w:rsidR="00E1773B">
        <w:t xml:space="preserve"> see Table 1.</w:t>
      </w:r>
      <w:r w:rsidR="00290E9A">
        <w:t xml:space="preserve"> </w:t>
      </w:r>
      <w:bookmarkStart w:id="41" w:name="_Hlk93660787"/>
      <w:r w:rsidR="00DA08B5">
        <w:t xml:space="preserve">Lithology is fully described in section 2 and the supplementary information, </w:t>
      </w:r>
      <w:r w:rsidR="00441639">
        <w:t xml:space="preserve">with </w:t>
      </w:r>
      <w:proofErr w:type="spellStart"/>
      <w:r w:rsidR="00DA08B5">
        <w:t>colours</w:t>
      </w:r>
      <w:proofErr w:type="spellEnd"/>
      <w:r w:rsidR="00DA08B5">
        <w:t xml:space="preserve"> represent</w:t>
      </w:r>
      <w:r w:rsidR="00441639">
        <w:t>ing</w:t>
      </w:r>
      <w:r w:rsidR="00DA08B5">
        <w:t xml:space="preserve"> </w:t>
      </w:r>
      <w:proofErr w:type="spellStart"/>
      <w:r w:rsidR="00DA08B5">
        <w:t>colour</w:t>
      </w:r>
      <w:proofErr w:type="spellEnd"/>
      <w:r w:rsidR="00DA08B5">
        <w:t xml:space="preserve"> of the </w:t>
      </w:r>
      <w:r w:rsidR="00441639">
        <w:t>strata as observed</w:t>
      </w:r>
      <w:r w:rsidR="00DA08B5">
        <w:t xml:space="preserve"> in the field</w:t>
      </w:r>
      <w:bookmarkEnd w:id="41"/>
      <w:r w:rsidR="00DA08B5">
        <w:t xml:space="preserve">. </w:t>
      </w:r>
      <w:r w:rsidR="00CD61A9">
        <w:t>Mb – Member; Fm – Formation; P-CIE – precursor CIE</w:t>
      </w:r>
      <w:r w:rsidR="00643560">
        <w:t>; VPDB – Vienna Pee Dee Belemnite</w:t>
      </w:r>
      <w:r w:rsidR="00CD61A9">
        <w:t>.</w:t>
      </w:r>
      <w:r w:rsidR="00146613">
        <w:t xml:space="preserve"> </w:t>
      </w:r>
      <w:bookmarkStart w:id="42" w:name="_Hlk93660361"/>
      <w:r w:rsidR="00146613">
        <w:t xml:space="preserve">Full Rock-Eval, </w:t>
      </w:r>
      <w:r w:rsidR="00146613" w:rsidRPr="00146613">
        <w:rPr>
          <w:rFonts w:ascii="Symbol" w:hAnsi="Symbol"/>
        </w:rPr>
        <w:t></w:t>
      </w:r>
      <w:r w:rsidR="00146613" w:rsidRPr="00146613">
        <w:rPr>
          <w:vertAlign w:val="superscript"/>
        </w:rPr>
        <w:t>13</w:t>
      </w:r>
      <w:r w:rsidR="00146613">
        <w:t>C</w:t>
      </w:r>
      <w:r w:rsidR="00146613" w:rsidRPr="00146613">
        <w:rPr>
          <w:vertAlign w:val="subscript"/>
        </w:rPr>
        <w:t>org</w:t>
      </w:r>
      <w:r w:rsidR="00146613">
        <w:t xml:space="preserve">, and TOC record first published in </w:t>
      </w:r>
      <w:r w:rsidR="00146613">
        <w:fldChar w:fldCharType="begin" w:fldLock="1"/>
      </w:r>
      <w:r w:rsidR="006709EF">
        <w:instrText>ADDIN CSL_CITATION {"citationItems":[{"id":"ITEM-1","itemData":{"DOI":"10.1130/G49560.1","abstract":"High-resolution biomarker and compound-specific isotope distributions coupled with the degradation of calcareous fossil remnants reveal that intensive euxinia and decalcification (acidification) driven by Central Atlantic magmatic province (CAMP) activity formed a two-pronged kill mechanism at the end-Triassic mass extinction. In a newly proposed extinction interval for the basal Blue Lias Formation (Bristol Channel Basin, UK), biomarker distributions reveal an episode of persistent photic zone euxinia (PZE) that extended further upward into the surface waters. In the same interval, shelly taxa almost completely disappear. Beginning in the basal paper shales of the Blue Lias Formation, a Lilliput assemblage is preserved consisting of only rare calcitic oysters (Liostrea) and ghost fossils of decalcified aragonitic bivalves. The stressors of PZE and decalcification parsimoniously explain the extinction event and inform possible combined causes of other biotic crises linked to emplacement of large igneous provinces, notably the end-Permian mass extinction, when PZE occurred on a broad and perhaps global scale.","author":[{"dropping-particle":"","family":"Fox","given":"C. P.","non-dropping-particle":"","parse-names":false,"suffix":""},{"dropping-particle":"","family":"Whiteside","given":"Jessica H.","non-dropping-particle":"","parse-names":false,"suffix":""},{"dropping-particle":"","family":"Olsen","given":"Paul E.","non-dropping-particle":"","parse-names":false,"suffix":""},{"dropping-particle":"","family":"Cui","given":"Xingqian","non-dropping-particle":"","parse-names":false,"suffix":""},{"dropping-particle":"","family":"Summons","given":"Roger E.","non-dropping-particle":"","parse-names":false,"suffix":""},{"dropping-particle":"","family":"Idiz","given":"Erdem","non-dropping-particle":"","parse-names":false,"suffix":""},{"dropping-particle":"","family":"Grice","given":"Kliti","non-dropping-particle":"","parse-names":false,"suffix":""}],"container-title":"Geology","id":"ITEM-1","issued":{"date-parts":[["2022"]]},"title":"Two-pronged kill mechanism at the end-Triassic mass extinction","type":"article-journal"},"uris":["http://www.mendeley.com/documents/?uuid=037261d0-5628-4849-be97-7b88b33548f2"]}],"mendeley":{"formattedCitation":"(Fox et al., 2022)","plainTextFormattedCitation":"(Fox et al., 2022)","previouslyFormattedCitation":"(Fox et al., 2022)"},"properties":{"noteIndex":0},"schema":"https://github.com/citation-style-language/schema/raw/master/csl-citation.json"}</w:instrText>
      </w:r>
      <w:r w:rsidR="00146613">
        <w:fldChar w:fldCharType="separate"/>
      </w:r>
      <w:r w:rsidR="00184130" w:rsidRPr="00184130">
        <w:rPr>
          <w:noProof/>
        </w:rPr>
        <w:t>(Fox et al., 2022)</w:t>
      </w:r>
      <w:r w:rsidR="00146613">
        <w:fldChar w:fldCharType="end"/>
      </w:r>
      <w:r w:rsidR="00146613">
        <w:t>.</w:t>
      </w:r>
    </w:p>
    <w:p w14:paraId="4EB003FE" w14:textId="77777777" w:rsidR="00643560" w:rsidRDefault="00643560">
      <w:pPr>
        <w:rPr>
          <w:rFonts w:ascii="Times New Roman" w:eastAsia="Times New Roman" w:hAnsi="Times New Roman" w:cs="Times New Roman"/>
          <w:sz w:val="24"/>
          <w:szCs w:val="24"/>
          <w:lang w:val="en-US" w:eastAsia="en-US"/>
        </w:rPr>
      </w:pPr>
      <w:r>
        <w:br w:type="page"/>
      </w:r>
    </w:p>
    <w:bookmarkEnd w:id="42"/>
    <w:p w14:paraId="03C0A736" w14:textId="4FE3FE87" w:rsidR="00E57699" w:rsidRDefault="00AE0F1A" w:rsidP="00A5741C">
      <w:pPr>
        <w:pStyle w:val="AbstractSummary"/>
        <w:spacing w:line="480" w:lineRule="auto"/>
        <w:jc w:val="both"/>
      </w:pPr>
      <w:r>
        <w:rPr>
          <w:noProof/>
          <w:lang w:val="en-AU" w:eastAsia="en-AU"/>
        </w:rPr>
        <w:lastRenderedPageBreak/>
        <w:drawing>
          <wp:inline distT="0" distB="0" distL="0" distR="0" wp14:anchorId="78A87148" wp14:editId="180C617B">
            <wp:extent cx="5617039" cy="2718435"/>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7039" cy="2718435"/>
                    </a:xfrm>
                    <a:prstGeom prst="rect">
                      <a:avLst/>
                    </a:prstGeom>
                  </pic:spPr>
                </pic:pic>
              </a:graphicData>
            </a:graphic>
          </wp:inline>
        </w:drawing>
      </w:r>
    </w:p>
    <w:p w14:paraId="194D47F6" w14:textId="2D6B12A0" w:rsidR="00643560" w:rsidRDefault="00643560" w:rsidP="00A5741C">
      <w:pPr>
        <w:pStyle w:val="AbstractSummary"/>
        <w:spacing w:line="480" w:lineRule="auto"/>
        <w:jc w:val="both"/>
      </w:pPr>
    </w:p>
    <w:p w14:paraId="0F0C9EC2" w14:textId="0712F3B4" w:rsidR="00FA192C" w:rsidRPr="00FA192C" w:rsidRDefault="00643560" w:rsidP="00FA192C">
      <w:pPr>
        <w:pStyle w:val="AbstractSummary"/>
        <w:spacing w:line="480" w:lineRule="auto"/>
        <w:jc w:val="both"/>
      </w:pPr>
      <w:r>
        <w:t xml:space="preserve">Figure </w:t>
      </w:r>
      <w:r w:rsidR="00A248A8">
        <w:t>4</w:t>
      </w:r>
      <w:r>
        <w:t>: Compound specific isotopes of</w:t>
      </w:r>
      <w:r w:rsidR="000B35EA">
        <w:t xml:space="preserve"> regular isoprenoids, short chain</w:t>
      </w:r>
      <w:r>
        <w:t xml:space="preserve"> </w:t>
      </w:r>
      <w:r>
        <w:rPr>
          <w:i/>
        </w:rPr>
        <w:t>n-</w:t>
      </w:r>
      <w:r>
        <w:t>alkanes</w:t>
      </w:r>
      <w:r w:rsidR="000B35EA">
        <w:t>,</w:t>
      </w:r>
      <w:r w:rsidR="00A870C5">
        <w:t xml:space="preserve"> and</w:t>
      </w:r>
      <w:r w:rsidR="000B35EA">
        <w:t xml:space="preserve"> long chain</w:t>
      </w:r>
      <w:r>
        <w:t xml:space="preserve"> </w:t>
      </w:r>
      <w:r>
        <w:rPr>
          <w:i/>
        </w:rPr>
        <w:t>n-</w:t>
      </w:r>
      <w:r>
        <w:t>alkane</w:t>
      </w:r>
      <w:r w:rsidR="000B35EA">
        <w:t>s</w:t>
      </w:r>
      <w:r>
        <w:t xml:space="preserve"> </w:t>
      </w:r>
      <w:r w:rsidR="00A870C5">
        <w:t xml:space="preserve">with </w:t>
      </w:r>
      <w:r w:rsidR="00A870C5">
        <w:rPr>
          <w:i/>
        </w:rPr>
        <w:t>n-</w:t>
      </w:r>
      <w:r w:rsidR="00A870C5">
        <w:t xml:space="preserve">alkane </w:t>
      </w:r>
      <w:r>
        <w:t>ratios representing input of terrestrial material</w:t>
      </w:r>
      <w:r w:rsidR="007A7519">
        <w:t xml:space="preserve"> and mass balance of regular isoprenoids and </w:t>
      </w:r>
      <w:r w:rsidR="007A7519" w:rsidRPr="00CA5B8E">
        <w:rPr>
          <w:i/>
          <w:iCs/>
        </w:rPr>
        <w:t>n</w:t>
      </w:r>
      <w:r w:rsidR="007A7519">
        <w:t>-alkanes</w:t>
      </w:r>
      <w:r>
        <w:t>.</w:t>
      </w:r>
      <w:r w:rsidR="00B528A3">
        <w:t xml:space="preserve"> Full equation and details on the mass balance </w:t>
      </w:r>
      <w:proofErr w:type="spellStart"/>
      <w:r w:rsidR="00B528A3">
        <w:t>equition</w:t>
      </w:r>
      <w:proofErr w:type="spellEnd"/>
      <w:r w:rsidR="00B528A3">
        <w:t xml:space="preserve"> given in the supplementary information.</w:t>
      </w:r>
      <w:r>
        <w:t xml:space="preserve"> </w:t>
      </w:r>
      <w:r w:rsidR="008345C7">
        <w:t>The precursor CIE</w:t>
      </w:r>
      <w:r w:rsidR="007A7519">
        <w:t xml:space="preserve"> (P-CIE)</w:t>
      </w:r>
      <w:r w:rsidR="008345C7">
        <w:t xml:space="preserve"> </w:t>
      </w:r>
      <w:r w:rsidR="00B528A3">
        <w:t xml:space="preserve">is </w:t>
      </w:r>
      <w:r w:rsidR="008345C7">
        <w:t>highlighted in purple.</w:t>
      </w:r>
      <w:r w:rsidR="003D7315">
        <w:t xml:space="preserve"> </w:t>
      </w:r>
      <w:proofErr w:type="spellStart"/>
      <w:r w:rsidR="00FA192C">
        <w:t>Pr</w:t>
      </w:r>
      <w:proofErr w:type="spellEnd"/>
      <w:r w:rsidR="00FA192C">
        <w:t xml:space="preserve"> – pristane; Ph – phytane; VPDB - Vienna Pee Dee Belemnite. </w:t>
      </w:r>
    </w:p>
    <w:p w14:paraId="58C85444" w14:textId="77777777" w:rsidR="00643560" w:rsidRDefault="00643560">
      <w:pPr>
        <w:rPr>
          <w:rFonts w:ascii="Times New Roman" w:eastAsia="Times New Roman" w:hAnsi="Times New Roman" w:cs="Times New Roman"/>
          <w:sz w:val="24"/>
          <w:szCs w:val="24"/>
          <w:lang w:val="en-US" w:eastAsia="en-US"/>
        </w:rPr>
      </w:pPr>
      <w:r>
        <w:br w:type="page"/>
      </w:r>
    </w:p>
    <w:p w14:paraId="1983F7AA" w14:textId="7D1C06E5" w:rsidR="00C038A6" w:rsidRDefault="00DC45DB" w:rsidP="00A5741C">
      <w:pPr>
        <w:pStyle w:val="AbstractSummary"/>
        <w:spacing w:line="480" w:lineRule="auto"/>
        <w:jc w:val="both"/>
      </w:pPr>
      <w:r>
        <w:rPr>
          <w:noProof/>
          <w:lang w:eastAsia="en-AU"/>
        </w:rPr>
        <w:lastRenderedPageBreak/>
        <w:drawing>
          <wp:anchor distT="0" distB="0" distL="114300" distR="114300" simplePos="0" relativeHeight="251658240" behindDoc="1" locked="0" layoutInCell="1" allowOverlap="1" wp14:anchorId="1BCB4C61" wp14:editId="7F8F70CB">
            <wp:simplePos x="0" y="0"/>
            <wp:positionH relativeFrom="margin">
              <wp:posOffset>12700</wp:posOffset>
            </wp:positionH>
            <wp:positionV relativeFrom="margin">
              <wp:posOffset>14605</wp:posOffset>
            </wp:positionV>
            <wp:extent cx="3277870" cy="5410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7870" cy="5410200"/>
                    </a:xfrm>
                    <a:prstGeom prst="rect">
                      <a:avLst/>
                    </a:prstGeom>
                  </pic:spPr>
                </pic:pic>
              </a:graphicData>
            </a:graphic>
            <wp14:sizeRelH relativeFrom="page">
              <wp14:pctWidth>0</wp14:pctWidth>
            </wp14:sizeRelH>
            <wp14:sizeRelV relativeFrom="page">
              <wp14:pctHeight>0</wp14:pctHeight>
            </wp14:sizeRelV>
          </wp:anchor>
        </w:drawing>
      </w:r>
    </w:p>
    <w:p w14:paraId="35079375" w14:textId="06864528" w:rsidR="00C038A6" w:rsidRDefault="00C038A6" w:rsidP="00A5741C">
      <w:pPr>
        <w:pStyle w:val="AbstractSummary"/>
        <w:spacing w:line="480" w:lineRule="auto"/>
        <w:jc w:val="both"/>
      </w:pPr>
    </w:p>
    <w:p w14:paraId="6817D30A" w14:textId="15D9DF51" w:rsidR="00C038A6" w:rsidRDefault="00C038A6" w:rsidP="00A5741C">
      <w:pPr>
        <w:pStyle w:val="AbstractSummary"/>
        <w:spacing w:line="480" w:lineRule="auto"/>
        <w:jc w:val="both"/>
      </w:pPr>
    </w:p>
    <w:p w14:paraId="6258EF7B" w14:textId="573C7A37" w:rsidR="00C038A6" w:rsidRDefault="00C038A6" w:rsidP="00A5741C">
      <w:pPr>
        <w:pStyle w:val="AbstractSummary"/>
        <w:spacing w:line="480" w:lineRule="auto"/>
        <w:jc w:val="both"/>
      </w:pPr>
    </w:p>
    <w:p w14:paraId="46296B18" w14:textId="410180E7" w:rsidR="00C038A6" w:rsidRDefault="00C038A6" w:rsidP="00A5741C">
      <w:pPr>
        <w:pStyle w:val="AbstractSummary"/>
        <w:spacing w:line="480" w:lineRule="auto"/>
        <w:jc w:val="both"/>
      </w:pPr>
    </w:p>
    <w:p w14:paraId="71BAE612" w14:textId="77D20B16" w:rsidR="00C038A6" w:rsidRDefault="00C038A6" w:rsidP="00A5741C">
      <w:pPr>
        <w:pStyle w:val="AbstractSummary"/>
        <w:spacing w:line="480" w:lineRule="auto"/>
        <w:jc w:val="both"/>
      </w:pPr>
    </w:p>
    <w:p w14:paraId="50004CD8" w14:textId="1186593E" w:rsidR="00C038A6" w:rsidRDefault="00C038A6" w:rsidP="00A5741C">
      <w:pPr>
        <w:pStyle w:val="AbstractSummary"/>
        <w:spacing w:line="480" w:lineRule="auto"/>
        <w:jc w:val="both"/>
      </w:pPr>
    </w:p>
    <w:p w14:paraId="6A1A5D90" w14:textId="52EA0DB6" w:rsidR="00C038A6" w:rsidRDefault="00C038A6" w:rsidP="00A5741C">
      <w:pPr>
        <w:pStyle w:val="AbstractSummary"/>
        <w:spacing w:line="480" w:lineRule="auto"/>
        <w:jc w:val="both"/>
      </w:pPr>
    </w:p>
    <w:p w14:paraId="781CD129" w14:textId="23B0C3B9" w:rsidR="00C038A6" w:rsidRDefault="00C038A6" w:rsidP="00A5741C">
      <w:pPr>
        <w:pStyle w:val="AbstractSummary"/>
        <w:spacing w:line="480" w:lineRule="auto"/>
        <w:jc w:val="both"/>
      </w:pPr>
    </w:p>
    <w:p w14:paraId="4F5161E1" w14:textId="568A258F" w:rsidR="00C038A6" w:rsidRDefault="00C038A6" w:rsidP="00A5741C">
      <w:pPr>
        <w:pStyle w:val="AbstractSummary"/>
        <w:spacing w:line="480" w:lineRule="auto"/>
        <w:jc w:val="both"/>
      </w:pPr>
    </w:p>
    <w:p w14:paraId="0CCFD065" w14:textId="66E61910" w:rsidR="00C038A6" w:rsidRDefault="00C038A6" w:rsidP="00A5741C">
      <w:pPr>
        <w:pStyle w:val="AbstractSummary"/>
        <w:spacing w:line="480" w:lineRule="auto"/>
        <w:jc w:val="both"/>
      </w:pPr>
    </w:p>
    <w:p w14:paraId="245C58B3" w14:textId="6FC31CA0" w:rsidR="00C038A6" w:rsidRDefault="00C038A6" w:rsidP="00A5741C">
      <w:pPr>
        <w:pStyle w:val="AbstractSummary"/>
        <w:spacing w:line="480" w:lineRule="auto"/>
        <w:jc w:val="both"/>
      </w:pPr>
    </w:p>
    <w:p w14:paraId="3832C18F" w14:textId="77777777" w:rsidR="00C038A6" w:rsidRDefault="00C038A6" w:rsidP="00A5741C">
      <w:pPr>
        <w:pStyle w:val="AbstractSummary"/>
        <w:spacing w:line="480" w:lineRule="auto"/>
        <w:jc w:val="both"/>
      </w:pPr>
    </w:p>
    <w:p w14:paraId="40E2197F" w14:textId="086ED035" w:rsidR="00CA1954" w:rsidRDefault="00643560" w:rsidP="005045DC">
      <w:pPr>
        <w:pStyle w:val="AbstractSummary"/>
        <w:spacing w:line="480" w:lineRule="auto"/>
        <w:jc w:val="both"/>
      </w:pPr>
      <w:r>
        <w:t xml:space="preserve">Figure </w:t>
      </w:r>
      <w:r w:rsidR="007E679B">
        <w:t>5</w:t>
      </w:r>
      <w:r>
        <w:t xml:space="preserve">: </w:t>
      </w:r>
      <w:r w:rsidR="00290E9A">
        <w:t>PAHs</w:t>
      </w:r>
      <w:r w:rsidR="00283C1E">
        <w:t xml:space="preserve"> ratios</w:t>
      </w:r>
      <w:r w:rsidR="003B6DFD">
        <w:t xml:space="preserve"> at St</w:t>
      </w:r>
      <w:r w:rsidR="00290E9A">
        <w:t>.</w:t>
      </w:r>
      <w:r w:rsidR="003B6DFD">
        <w:t xml:space="preserve"> Audrie’s Bay.</w:t>
      </w:r>
      <w:r w:rsidR="00290E9A">
        <w:t xml:space="preserve"> </w:t>
      </w:r>
      <w:r w:rsidR="00592D15">
        <w:t>Left shows the sum of combustion PAHs (</w:t>
      </w:r>
      <w:r w:rsidR="00592D15" w:rsidRPr="0070044E">
        <w:rPr>
          <w:bCs/>
        </w:rPr>
        <w:t>∑</w:t>
      </w:r>
      <w:proofErr w:type="spellStart"/>
      <w:r w:rsidR="00592D15" w:rsidRPr="0070044E">
        <w:rPr>
          <w:bCs/>
        </w:rPr>
        <w:t>pyPAH</w:t>
      </w:r>
      <w:proofErr w:type="spellEnd"/>
      <w:r w:rsidR="00592D15">
        <w:t xml:space="preserve">) relative to formation changes. </w:t>
      </w:r>
      <w:r w:rsidR="00290E9A">
        <w:t xml:space="preserve">A: </w:t>
      </w:r>
      <w:r w:rsidR="003B6DFD">
        <w:t xml:space="preserve">Correlation between the sum of combustion PAHs and sum of DBF, DBT and methyl-DBF compounds. Those samples within the increased perylene index are </w:t>
      </w:r>
      <w:r w:rsidR="00C350EA">
        <w:t>excluded</w:t>
      </w:r>
      <w:r w:rsidR="003B6DFD">
        <w:t xml:space="preserve"> </w:t>
      </w:r>
      <w:r w:rsidR="00C350EA">
        <w:t xml:space="preserve">in this correlation and are represented by green diamonds without a black border. </w:t>
      </w:r>
      <w:r w:rsidR="00FD3748">
        <w:t>B</w:t>
      </w:r>
      <w:r w:rsidR="00C350EA">
        <w:t>: Pyrogenic vs. petrogenic and primary vs. degraded PAHs based on Karp et al., (2018)</w:t>
      </w:r>
      <w:r w:rsidR="001858BF">
        <w:t xml:space="preserve">. </w:t>
      </w:r>
      <w:r w:rsidR="00FD3748">
        <w:t>C</w:t>
      </w:r>
      <w:r w:rsidR="001858BF">
        <w:t xml:space="preserve">: Pyrogenic vs. petrogenic source based on Song et al., (2020). </w:t>
      </w:r>
      <w:r w:rsidR="00FD3748">
        <w:t xml:space="preserve">D: </w:t>
      </w:r>
      <w:r w:rsidR="009E1A76">
        <w:t xml:space="preserve">Mixed sources and combustion based on </w:t>
      </w:r>
      <w:r w:rsidR="009E1A76">
        <w:fldChar w:fldCharType="begin" w:fldLock="1"/>
      </w:r>
      <w:r w:rsidR="00184130">
        <w:instrText>ADDIN CSL_CITATION {"citationItems":[{"id":"ITEM-1","itemData":{"DOI":"https://doi.org/10.1016/S0146-6380(02)00002-5","ISSN":"0146-6380","abstract":"Parent and alkyl PAHs (51 compounds and alkyl homologues) have been quantified in suspended particulates and sediments (345 samples) from the Fraser River system, British Columbia, Canada. The best potential to distinguish natural and anthropogenic sources is exhibited by ratios of the principal mass 178, 202, 228 and 276 parent PAHs, 1,7/2,6+1,7-DMP (dimethylphenanthrene), the phenanthrene/anthracene and fluoranthene/pyrene alkyl PAH series and several less commonly applied PAHs (e.g. acephenanthrylene and pentaphene). Using these ratios we infer sources of PAH to the Fraser basin and evaluate the consistency of these source assignments and the suitability of various commonly applied PAH ratios as indicators. PAH ratios and total concentration data reveal a basin lightly impacted by a variety of sources in its remote regions, especially near roads, but heavily impacted in urban areas, particularly near Vancouver. Contamination sources shift from biomass (e.g. wood and grass) burning to vehicle emissions between remote and urban locations. Stormwater and wastewater discharges appear to collect PAH from urban areas and release them as point sources. In contaminated areas ratios are specific for combustion vs. petroleum sources, and some ratios (202 and 276) distinguish biomass or coal from liquid fossil fuel combustion. At lower concentrations multiple sources at times make interpretations based on a single ratio misleading and the higher mass ratios (228 and 276) may be most applicable to urban areas. In all cases the examination of a variety of PAH indicator ratios that encompass a range of masses is necessary for a robust interpretation.","author":[{"dropping-particle":"","family":"Yunker","given":"Mark B","non-dropping-particle":"","parse-names":false,"suffix":""},{"dropping-particle":"","family":"Macdonald","given":"Robie W","non-dropping-particle":"","parse-names":false,"suffix":""},{"dropping-particle":"","family":"Vingarzan","given":"Roxanne","non-dropping-particle":"","parse-names":false,"suffix":""},{"dropping-particle":"","family":"Mitchell","given":"Reginald H","non-dropping-particle":"","parse-names":false,"suffix":""},{"dropping-particle":"","family":"Goyette","given":"Darcy","non-dropping-particle":"","parse-names":false,"suffix":""},{"dropping-particle":"","family":"Sylvestre","given":"Stephanie","non-dropping-particle":"","parse-names":false,"suffix":""}],"container-title":"Organic Geochemistry","id":"ITEM-1","issue":"4","issued":{"date-parts":[["2002"]]},"page":"489-515","title":"PAHs in the Fraser River basin: a critical appraisal of PAH ratios as indicators of PAH source and composition","type":"article-journal","volume":"33"},"uris":["http://www.mendeley.com/documents/?uuid=5a13b9d0-7343-4826-989d-0bc88313263c"]}],"mendeley":{"formattedCitation":"(Yunker et al., 2002)","manualFormatting":"Yunker et al., (2002)","plainTextFormattedCitation":"(Yunker et al., 2002)","previouslyFormattedCitation":"(Yunker et al., 2002)"},"properties":{"noteIndex":0},"schema":"https://github.com/citation-style-language/schema/raw/master/csl-citation.json"}</w:instrText>
      </w:r>
      <w:r w:rsidR="009E1A76">
        <w:fldChar w:fldCharType="separate"/>
      </w:r>
      <w:r w:rsidR="009E1A76" w:rsidRPr="009E1A76">
        <w:rPr>
          <w:noProof/>
        </w:rPr>
        <w:t xml:space="preserve">Yunker et al., </w:t>
      </w:r>
      <w:r w:rsidR="009E1A76">
        <w:rPr>
          <w:noProof/>
        </w:rPr>
        <w:t>(</w:t>
      </w:r>
      <w:r w:rsidR="009E1A76" w:rsidRPr="009E1A76">
        <w:rPr>
          <w:noProof/>
        </w:rPr>
        <w:t>2002)</w:t>
      </w:r>
      <w:r w:rsidR="009E1A76">
        <w:fldChar w:fldCharType="end"/>
      </w:r>
      <w:r w:rsidR="009E1A76">
        <w:t>.</w:t>
      </w:r>
      <w:r w:rsidR="00A93C98">
        <w:t xml:space="preserve"> Symbols in the </w:t>
      </w:r>
      <w:r w:rsidR="00A93C98" w:rsidRPr="0070044E">
        <w:rPr>
          <w:bCs/>
        </w:rPr>
        <w:t>∑</w:t>
      </w:r>
      <w:proofErr w:type="spellStart"/>
      <w:r w:rsidR="00A93C98" w:rsidRPr="0070044E">
        <w:rPr>
          <w:bCs/>
        </w:rPr>
        <w:t>pyPAH</w:t>
      </w:r>
      <w:proofErr w:type="spellEnd"/>
      <w:r w:rsidR="00A93C98">
        <w:t xml:space="preserve"> profile match those used in ratio plots.</w:t>
      </w:r>
      <w:r w:rsidR="00C038A6">
        <w:t xml:space="preserve"> Abbreviations described in Table 1.</w:t>
      </w:r>
      <w:r w:rsidR="00CA1954">
        <w:br w:type="page"/>
      </w:r>
    </w:p>
    <w:p w14:paraId="2DDC1B25" w14:textId="561A16F1" w:rsidR="007F6604" w:rsidRDefault="007F6604" w:rsidP="00283C1E">
      <w:pPr>
        <w:pStyle w:val="AbstractSummary"/>
        <w:spacing w:line="480" w:lineRule="auto"/>
        <w:jc w:val="both"/>
      </w:pPr>
      <w:r>
        <w:rPr>
          <w:noProof/>
          <w:lang w:val="en-AU" w:eastAsia="en-AU"/>
        </w:rPr>
        <w:lastRenderedPageBreak/>
        <w:drawing>
          <wp:inline distT="0" distB="0" distL="0" distR="0" wp14:anchorId="41EF0C18" wp14:editId="045FE50F">
            <wp:extent cx="5943410" cy="373570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410" cy="3735705"/>
                    </a:xfrm>
                    <a:prstGeom prst="rect">
                      <a:avLst/>
                    </a:prstGeom>
                  </pic:spPr>
                </pic:pic>
              </a:graphicData>
            </a:graphic>
          </wp:inline>
        </w:drawing>
      </w:r>
    </w:p>
    <w:p w14:paraId="559A317F" w14:textId="0E6D2B8C" w:rsidR="00283C1E" w:rsidRDefault="00283C1E" w:rsidP="00283C1E">
      <w:pPr>
        <w:pStyle w:val="AbstractSummary"/>
        <w:spacing w:line="480" w:lineRule="auto"/>
        <w:jc w:val="both"/>
      </w:pPr>
      <w:r>
        <w:t>Figure 6: PAHs at St. Audrie’s Bay. Left shows the sum of combustion PAHs</w:t>
      </w:r>
      <w:r w:rsidR="007E679B">
        <w:t xml:space="preserve"> (</w:t>
      </w:r>
      <w:r w:rsidR="007E679B" w:rsidRPr="0070044E">
        <w:rPr>
          <w:bCs/>
        </w:rPr>
        <w:t>∑</w:t>
      </w:r>
      <w:proofErr w:type="spellStart"/>
      <w:r w:rsidR="007E679B" w:rsidRPr="0070044E">
        <w:rPr>
          <w:bCs/>
        </w:rPr>
        <w:t>pyPAH</w:t>
      </w:r>
      <w:proofErr w:type="spellEnd"/>
      <w:r w:rsidR="007E679B">
        <w:t>)</w:t>
      </w:r>
      <w:r>
        <w:t xml:space="preserve"> relative to formation changes. Bar plots to the right represent the average value of individual compounds in ng/g TOC with standard deviation</w:t>
      </w:r>
      <w:r w:rsidR="00024857">
        <w:t xml:space="preserve"> across select intervals</w:t>
      </w:r>
      <w:r>
        <w:t xml:space="preserve">. Symbols in bar plots match those in the </w:t>
      </w:r>
      <w:r w:rsidR="00024857" w:rsidRPr="0070044E">
        <w:rPr>
          <w:bCs/>
        </w:rPr>
        <w:t>∑</w:t>
      </w:r>
      <w:proofErr w:type="spellStart"/>
      <w:r w:rsidR="00024857" w:rsidRPr="0070044E">
        <w:rPr>
          <w:bCs/>
        </w:rPr>
        <w:t>pyPAH</w:t>
      </w:r>
      <w:proofErr w:type="spellEnd"/>
      <w:r>
        <w:t xml:space="preserve"> profile and indicate which samples were averaged. Note that methylated phenanthrene compounds (P1) are given by 1- and 2- </w:t>
      </w:r>
      <w:proofErr w:type="spellStart"/>
      <w:r>
        <w:t>methylphenanthrene</w:t>
      </w:r>
      <w:proofErr w:type="spellEnd"/>
      <w:r>
        <w:t xml:space="preserve">. Compound abbreviations are given in Table 1. </w:t>
      </w:r>
      <w:r w:rsidR="007F6604">
        <w:t>Highlighted intervals correspond to those of Fig. 3. Abbreviations: Mb – Member; Fm – Formation; L – lower.</w:t>
      </w:r>
    </w:p>
    <w:p w14:paraId="01224C30" w14:textId="53823AAD" w:rsidR="00283C1E" w:rsidRPr="005045DC" w:rsidRDefault="00283C1E">
      <w:pPr>
        <w:rPr>
          <w:lang w:val="en-US"/>
        </w:rPr>
      </w:pPr>
    </w:p>
    <w:p w14:paraId="78ECCD44" w14:textId="02BD466B" w:rsidR="00283C1E" w:rsidRDefault="00283C1E">
      <w:r>
        <w:br w:type="page"/>
      </w:r>
    </w:p>
    <w:p w14:paraId="32432DA5" w14:textId="416B9E89" w:rsidR="00283C1E" w:rsidRDefault="00966969">
      <w:r>
        <w:rPr>
          <w:noProof/>
          <w:lang w:eastAsia="en-AU"/>
        </w:rPr>
        <w:lastRenderedPageBreak/>
        <w:drawing>
          <wp:anchor distT="0" distB="0" distL="114300" distR="114300" simplePos="0" relativeHeight="251659264" behindDoc="1" locked="0" layoutInCell="1" allowOverlap="1" wp14:anchorId="0902F7F4" wp14:editId="4392ADD6">
            <wp:simplePos x="0" y="0"/>
            <wp:positionH relativeFrom="margin">
              <wp:posOffset>-990</wp:posOffset>
            </wp:positionH>
            <wp:positionV relativeFrom="margin">
              <wp:align>top</wp:align>
            </wp:positionV>
            <wp:extent cx="4071620" cy="5366385"/>
            <wp:effectExtent l="0" t="0" r="508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1620" cy="5366385"/>
                    </a:xfrm>
                    <a:prstGeom prst="rect">
                      <a:avLst/>
                    </a:prstGeom>
                  </pic:spPr>
                </pic:pic>
              </a:graphicData>
            </a:graphic>
            <wp14:sizeRelH relativeFrom="page">
              <wp14:pctWidth>0</wp14:pctWidth>
            </wp14:sizeRelH>
            <wp14:sizeRelV relativeFrom="page">
              <wp14:pctHeight>0</wp14:pctHeight>
            </wp14:sizeRelV>
          </wp:anchor>
        </w:drawing>
      </w:r>
    </w:p>
    <w:p w14:paraId="6704F546" w14:textId="6DADD906" w:rsidR="003B6DFD" w:rsidRDefault="003B6DFD" w:rsidP="00A5741C">
      <w:pPr>
        <w:pStyle w:val="AbstractSummary"/>
        <w:spacing w:line="480" w:lineRule="auto"/>
        <w:jc w:val="both"/>
      </w:pPr>
    </w:p>
    <w:p w14:paraId="651682A7" w14:textId="77777777" w:rsidR="00966969" w:rsidRDefault="00966969" w:rsidP="00283C1E">
      <w:pPr>
        <w:pStyle w:val="AbstractSummary"/>
        <w:spacing w:line="480" w:lineRule="auto"/>
        <w:jc w:val="both"/>
      </w:pPr>
    </w:p>
    <w:p w14:paraId="21E9345E" w14:textId="77777777" w:rsidR="00966969" w:rsidRDefault="00966969" w:rsidP="00283C1E">
      <w:pPr>
        <w:pStyle w:val="AbstractSummary"/>
        <w:spacing w:line="480" w:lineRule="auto"/>
        <w:jc w:val="both"/>
      </w:pPr>
    </w:p>
    <w:p w14:paraId="69828830" w14:textId="77777777" w:rsidR="00966969" w:rsidRDefault="00966969" w:rsidP="00283C1E">
      <w:pPr>
        <w:pStyle w:val="AbstractSummary"/>
        <w:spacing w:line="480" w:lineRule="auto"/>
        <w:jc w:val="both"/>
      </w:pPr>
    </w:p>
    <w:p w14:paraId="02079C28" w14:textId="77777777" w:rsidR="00966969" w:rsidRDefault="00966969" w:rsidP="00283C1E">
      <w:pPr>
        <w:pStyle w:val="AbstractSummary"/>
        <w:spacing w:line="480" w:lineRule="auto"/>
        <w:jc w:val="both"/>
      </w:pPr>
    </w:p>
    <w:p w14:paraId="706CA70C" w14:textId="77777777" w:rsidR="00966969" w:rsidRDefault="00966969" w:rsidP="00283C1E">
      <w:pPr>
        <w:pStyle w:val="AbstractSummary"/>
        <w:spacing w:line="480" w:lineRule="auto"/>
        <w:jc w:val="both"/>
      </w:pPr>
    </w:p>
    <w:p w14:paraId="75453AA1" w14:textId="77777777" w:rsidR="00966969" w:rsidRDefault="00966969" w:rsidP="00283C1E">
      <w:pPr>
        <w:pStyle w:val="AbstractSummary"/>
        <w:spacing w:line="480" w:lineRule="auto"/>
        <w:jc w:val="both"/>
      </w:pPr>
    </w:p>
    <w:p w14:paraId="6EDF89E5" w14:textId="77777777" w:rsidR="00966969" w:rsidRDefault="00966969" w:rsidP="00283C1E">
      <w:pPr>
        <w:pStyle w:val="AbstractSummary"/>
        <w:spacing w:line="480" w:lineRule="auto"/>
        <w:jc w:val="both"/>
      </w:pPr>
    </w:p>
    <w:p w14:paraId="3028702B" w14:textId="77777777" w:rsidR="00966969" w:rsidRDefault="00966969" w:rsidP="00283C1E">
      <w:pPr>
        <w:pStyle w:val="AbstractSummary"/>
        <w:spacing w:line="480" w:lineRule="auto"/>
        <w:jc w:val="both"/>
      </w:pPr>
    </w:p>
    <w:p w14:paraId="4E9D9385" w14:textId="77777777" w:rsidR="00966969" w:rsidRDefault="00966969" w:rsidP="00283C1E">
      <w:pPr>
        <w:pStyle w:val="AbstractSummary"/>
        <w:spacing w:line="480" w:lineRule="auto"/>
        <w:jc w:val="both"/>
      </w:pPr>
    </w:p>
    <w:p w14:paraId="6CCE9C5E" w14:textId="77777777" w:rsidR="00966969" w:rsidRDefault="00966969" w:rsidP="00283C1E">
      <w:pPr>
        <w:pStyle w:val="AbstractSummary"/>
        <w:spacing w:line="480" w:lineRule="auto"/>
        <w:jc w:val="both"/>
      </w:pPr>
    </w:p>
    <w:p w14:paraId="4C91EAE0" w14:textId="77777777" w:rsidR="00966969" w:rsidRDefault="00966969" w:rsidP="00283C1E">
      <w:pPr>
        <w:pStyle w:val="AbstractSummary"/>
        <w:spacing w:line="480" w:lineRule="auto"/>
        <w:jc w:val="both"/>
      </w:pPr>
    </w:p>
    <w:p w14:paraId="4C523B11" w14:textId="77777777" w:rsidR="00966969" w:rsidRDefault="00966969" w:rsidP="00283C1E">
      <w:pPr>
        <w:pStyle w:val="AbstractSummary"/>
        <w:spacing w:line="480" w:lineRule="auto"/>
        <w:jc w:val="both"/>
      </w:pPr>
    </w:p>
    <w:p w14:paraId="51220478" w14:textId="72AF0A18" w:rsidR="00CA1954" w:rsidRDefault="001858BF" w:rsidP="00283C1E">
      <w:pPr>
        <w:pStyle w:val="AbstractSummary"/>
        <w:spacing w:line="480" w:lineRule="auto"/>
        <w:jc w:val="both"/>
      </w:pPr>
      <w:r>
        <w:t xml:space="preserve">Figure </w:t>
      </w:r>
      <w:r w:rsidR="00283C1E">
        <w:t>7</w:t>
      </w:r>
      <w:r>
        <w:t>: PAH</w:t>
      </w:r>
      <w:r w:rsidR="00592D15">
        <w:t xml:space="preserve"> ratios</w:t>
      </w:r>
      <w:r>
        <w:t xml:space="preserve"> at Lilstock. </w:t>
      </w:r>
      <w:r w:rsidR="00A93C98">
        <w:t>Left shows the sum of combustion PAHs (</w:t>
      </w:r>
      <w:r w:rsidR="00A93C98" w:rsidRPr="0070044E">
        <w:rPr>
          <w:bCs/>
        </w:rPr>
        <w:t>∑</w:t>
      </w:r>
      <w:proofErr w:type="spellStart"/>
      <w:r w:rsidR="00A93C98" w:rsidRPr="0070044E">
        <w:rPr>
          <w:bCs/>
        </w:rPr>
        <w:t>pyPAH</w:t>
      </w:r>
      <w:proofErr w:type="spellEnd"/>
      <w:r w:rsidR="00A93C98">
        <w:t xml:space="preserve">) relative to formation changes. A: Pyrogenic vs. petrogenic and primary vs. degraded PAHs based on Karp et al., (2018). B: Pyrogenic vs. petrogenic source based on Song et al., (2020). C: Mixed sources and combustion based on </w:t>
      </w:r>
      <w:r w:rsidR="00A93C98">
        <w:fldChar w:fldCharType="begin" w:fldLock="1"/>
      </w:r>
      <w:r w:rsidR="00184130">
        <w:instrText>ADDIN CSL_CITATION {"citationItems":[{"id":"ITEM-1","itemData":{"DOI":"https://doi.org/10.1016/S0146-6380(02)00002-5","ISSN":"0146-6380","abstract":"Parent and alkyl PAHs (51 compounds and alkyl homologues) have been quantified in suspended particulates and sediments (345 samples) from the Fraser River system, British Columbia, Canada. The best potential to distinguish natural and anthropogenic sources is exhibited by ratios of the principal mass 178, 202, 228 and 276 parent PAHs, 1,7/2,6+1,7-DMP (dimethylphenanthrene), the phenanthrene/anthracene and fluoranthene/pyrene alkyl PAH series and several less commonly applied PAHs (e.g. acephenanthrylene and pentaphene). Using these ratios we infer sources of PAH to the Fraser basin and evaluate the consistency of these source assignments and the suitability of various commonly applied PAH ratios as indicators. PAH ratios and total concentration data reveal a basin lightly impacted by a variety of sources in its remote regions, especially near roads, but heavily impacted in urban areas, particularly near Vancouver. Contamination sources shift from biomass (e.g. wood and grass) burning to vehicle emissions between remote and urban locations. Stormwater and wastewater discharges appear to collect PAH from urban areas and release them as point sources. In contaminated areas ratios are specific for combustion vs. petroleum sources, and some ratios (202 and 276) distinguish biomass or coal from liquid fossil fuel combustion. At lower concentrations multiple sources at times make interpretations based on a single ratio misleading and the higher mass ratios (228 and 276) may be most applicable to urban areas. In all cases the examination of a variety of PAH indicator ratios that encompass a range of masses is necessary for a robust interpretation.","author":[{"dropping-particle":"","family":"Yunker","given":"Mark B","non-dropping-particle":"","parse-names":false,"suffix":""},{"dropping-particle":"","family":"Macdonald","given":"Robie W","non-dropping-particle":"","parse-names":false,"suffix":""},{"dropping-particle":"","family":"Vingarzan","given":"Roxanne","non-dropping-particle":"","parse-names":false,"suffix":""},{"dropping-particle":"","family":"Mitchell","given":"Reginald H","non-dropping-particle":"","parse-names":false,"suffix":""},{"dropping-particle":"","family":"Goyette","given":"Darcy","non-dropping-particle":"","parse-names":false,"suffix":""},{"dropping-particle":"","family":"Sylvestre","given":"Stephanie","non-dropping-particle":"","parse-names":false,"suffix":""}],"container-title":"Organic Geochemistry","id":"ITEM-1","issue":"4","issued":{"date-parts":[["2002"]]},"page":"489-515","title":"PAHs in the Fraser River basin: a critical appraisal of PAH ratios as indicators of PAH source and composition","type":"article-journal","volume":"33"},"uris":["http://www.mendeley.com/documents/?uuid=5a13b9d0-7343-4826-989d-0bc88313263c"]}],"mendeley":{"formattedCitation":"(Yunker et al., 2002)","manualFormatting":"Yunker et al., (2002)","plainTextFormattedCitation":"(Yunker et al., 2002)","previouslyFormattedCitation":"(Yunker et al., 2002)"},"properties":{"noteIndex":0},"schema":"https://github.com/citation-style-language/schema/raw/master/csl-citation.json"}</w:instrText>
      </w:r>
      <w:r w:rsidR="00A93C98">
        <w:fldChar w:fldCharType="separate"/>
      </w:r>
      <w:r w:rsidR="00A93C98" w:rsidRPr="009E1A76">
        <w:rPr>
          <w:noProof/>
        </w:rPr>
        <w:t xml:space="preserve">Yunker et al., </w:t>
      </w:r>
      <w:r w:rsidR="00A93C98">
        <w:rPr>
          <w:noProof/>
        </w:rPr>
        <w:t>(</w:t>
      </w:r>
      <w:r w:rsidR="00A93C98" w:rsidRPr="009E1A76">
        <w:rPr>
          <w:noProof/>
        </w:rPr>
        <w:t>2002)</w:t>
      </w:r>
      <w:r w:rsidR="00A93C98">
        <w:fldChar w:fldCharType="end"/>
      </w:r>
      <w:r w:rsidR="00A93C98">
        <w:t xml:space="preserve">. Symbols in the </w:t>
      </w:r>
      <w:r w:rsidR="00A93C98" w:rsidRPr="0070044E">
        <w:rPr>
          <w:bCs/>
        </w:rPr>
        <w:t>∑</w:t>
      </w:r>
      <w:proofErr w:type="spellStart"/>
      <w:r w:rsidR="00A93C98" w:rsidRPr="0070044E">
        <w:rPr>
          <w:bCs/>
        </w:rPr>
        <w:t>pyPAH</w:t>
      </w:r>
      <w:proofErr w:type="spellEnd"/>
      <w:r w:rsidR="00A93C98">
        <w:t xml:space="preserve"> profile match those used in ratio plots.</w:t>
      </w:r>
      <w:r w:rsidR="00C038A6">
        <w:t xml:space="preserve"> Abbreviations described in Table 1.</w:t>
      </w:r>
      <w:r w:rsidR="00CA1954">
        <w:br w:type="page"/>
      </w:r>
    </w:p>
    <w:p w14:paraId="136C25F9" w14:textId="10C0BCD8" w:rsidR="00283C1E" w:rsidRDefault="008F09A5" w:rsidP="00283C1E">
      <w:pPr>
        <w:pStyle w:val="AbstractSummary"/>
        <w:spacing w:line="480" w:lineRule="auto"/>
        <w:jc w:val="both"/>
      </w:pPr>
      <w:r>
        <w:rPr>
          <w:noProof/>
          <w:lang w:val="en-AU" w:eastAsia="en-AU"/>
        </w:rPr>
        <w:lastRenderedPageBreak/>
        <w:drawing>
          <wp:inline distT="0" distB="0" distL="0" distR="0" wp14:anchorId="4D1956C0" wp14:editId="32E90DDD">
            <wp:extent cx="5943600" cy="3850640"/>
            <wp:effectExtent l="0" t="0" r="0" b="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850640"/>
                    </a:xfrm>
                    <a:prstGeom prst="rect">
                      <a:avLst/>
                    </a:prstGeom>
                  </pic:spPr>
                </pic:pic>
              </a:graphicData>
            </a:graphic>
          </wp:inline>
        </w:drawing>
      </w:r>
    </w:p>
    <w:p w14:paraId="7A76180E" w14:textId="553C16E1" w:rsidR="00283C1E" w:rsidRDefault="00283C1E" w:rsidP="00283C1E">
      <w:pPr>
        <w:pStyle w:val="AbstractSummary"/>
        <w:spacing w:line="480" w:lineRule="auto"/>
        <w:jc w:val="both"/>
      </w:pPr>
      <w:r>
        <w:t xml:space="preserve">Figure 8: </w:t>
      </w:r>
      <w:r w:rsidR="001B4D84">
        <w:t>PAHs at Lilstock. Left shows the sum of combustion PAHs (</w:t>
      </w:r>
      <w:r w:rsidR="001B4D84" w:rsidRPr="0070044E">
        <w:rPr>
          <w:bCs/>
        </w:rPr>
        <w:t>∑</w:t>
      </w:r>
      <w:proofErr w:type="spellStart"/>
      <w:r w:rsidR="001B4D84" w:rsidRPr="0070044E">
        <w:rPr>
          <w:bCs/>
        </w:rPr>
        <w:t>pyPAH</w:t>
      </w:r>
      <w:proofErr w:type="spellEnd"/>
      <w:r w:rsidR="001B4D84">
        <w:t xml:space="preserve">) relative to formation changes. Bar plots to the right represent the average value of individual compounds in ng/g TOC with standard deviation across select intervals. Symbols in bar plots match those in the </w:t>
      </w:r>
      <w:r w:rsidR="001B4D84" w:rsidRPr="0070044E">
        <w:rPr>
          <w:bCs/>
        </w:rPr>
        <w:t>∑</w:t>
      </w:r>
      <w:proofErr w:type="spellStart"/>
      <w:r w:rsidR="001B4D84" w:rsidRPr="0070044E">
        <w:rPr>
          <w:bCs/>
        </w:rPr>
        <w:t>pyPAH</w:t>
      </w:r>
      <w:proofErr w:type="spellEnd"/>
      <w:r w:rsidR="001B4D84">
        <w:t xml:space="preserve"> profile and indicate which samples were averaged. Note that methylated phenanthrene compounds (P1) are given by 1- and 2- </w:t>
      </w:r>
      <w:proofErr w:type="spellStart"/>
      <w:r w:rsidR="001B4D84">
        <w:t>methylphenanthrene</w:t>
      </w:r>
      <w:proofErr w:type="spellEnd"/>
      <w:r w:rsidR="001B4D84">
        <w:t>. Compound abbreviations are given in Table 1. Highlighted intervals correspond to those of Fig. 3. Abbreviations: Mb – Member; Fm – Formation; L – lower.</w:t>
      </w:r>
    </w:p>
    <w:p w14:paraId="5302E473" w14:textId="48E4CD74" w:rsidR="00283C1E" w:rsidRDefault="00283C1E">
      <w:pPr>
        <w:rPr>
          <w:rFonts w:ascii="Times New Roman" w:eastAsia="Times New Roman" w:hAnsi="Times New Roman" w:cs="Times New Roman"/>
          <w:sz w:val="24"/>
          <w:szCs w:val="24"/>
          <w:lang w:val="en-US" w:eastAsia="en-US"/>
        </w:rPr>
      </w:pPr>
      <w:r>
        <w:br w:type="page"/>
      </w:r>
    </w:p>
    <w:p w14:paraId="38863A89" w14:textId="2FB6227E" w:rsidR="00FF3604" w:rsidRDefault="00CA1954" w:rsidP="009662E6">
      <w:pPr>
        <w:pStyle w:val="AbstractSummary"/>
        <w:spacing w:line="480" w:lineRule="auto"/>
        <w:jc w:val="both"/>
      </w:pPr>
      <w:r>
        <w:lastRenderedPageBreak/>
        <w:t>Table 1</w:t>
      </w:r>
      <w:r w:rsidR="009662E6">
        <w:t xml:space="preserve">: </w:t>
      </w:r>
      <w:r w:rsidR="00FF3604">
        <w:t>Abbreviations of PAH compounds</w:t>
      </w:r>
      <w:r w:rsidR="009662E6">
        <w:t xml:space="preserve"> and information on methyl and ethyl groups</w:t>
      </w:r>
      <w:r w:rsidR="00F369DE">
        <w:t xml:space="preserve"> used in figures 6 and 7</w:t>
      </w:r>
      <w:r w:rsidR="009662E6">
        <w:t>.</w:t>
      </w:r>
      <w:r w:rsidR="0075589A">
        <w:t xml:space="preserve"> Ring numbers of each PAH compound given in </w:t>
      </w:r>
      <w:r w:rsidR="00C16DED">
        <w:t>parentheses</w:t>
      </w:r>
      <w:r w:rsidR="0075589A">
        <w:t xml:space="preserve">. </w:t>
      </w:r>
    </w:p>
    <w:tbl>
      <w:tblPr>
        <w:tblStyle w:val="TableGrid"/>
        <w:tblW w:w="515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294"/>
        <w:gridCol w:w="1641"/>
        <w:gridCol w:w="2027"/>
        <w:gridCol w:w="143"/>
        <w:gridCol w:w="918"/>
        <w:gridCol w:w="216"/>
        <w:gridCol w:w="1560"/>
      </w:tblGrid>
      <w:tr w:rsidR="003604D8" w:rsidRPr="00FF3604" w14:paraId="333E98EF" w14:textId="5862CC24" w:rsidTr="00DA097C">
        <w:tc>
          <w:tcPr>
            <w:tcW w:w="955" w:type="pct"/>
            <w:tcBorders>
              <w:top w:val="single" w:sz="4" w:space="0" w:color="auto"/>
              <w:bottom w:val="double" w:sz="4" w:space="0" w:color="auto"/>
            </w:tcBorders>
            <w:vAlign w:val="center"/>
          </w:tcPr>
          <w:p w14:paraId="495BD460" w14:textId="24A837BE" w:rsidR="005836E6" w:rsidRPr="00FF3604" w:rsidRDefault="005836E6" w:rsidP="009662E6">
            <w:pPr>
              <w:pStyle w:val="AbstractSummary"/>
              <w:spacing w:line="480" w:lineRule="auto"/>
              <w:rPr>
                <w:sz w:val="20"/>
                <w:szCs w:val="20"/>
              </w:rPr>
            </w:pPr>
            <w:r>
              <w:rPr>
                <w:sz w:val="20"/>
                <w:szCs w:val="20"/>
              </w:rPr>
              <w:t>Compound</w:t>
            </w:r>
            <w:r w:rsidR="005E6E69">
              <w:rPr>
                <w:sz w:val="20"/>
                <w:szCs w:val="20"/>
              </w:rPr>
              <w:t xml:space="preserve"> and ring no.</w:t>
            </w:r>
          </w:p>
        </w:tc>
        <w:tc>
          <w:tcPr>
            <w:tcW w:w="671" w:type="pct"/>
            <w:tcBorders>
              <w:top w:val="single" w:sz="4" w:space="0" w:color="auto"/>
              <w:bottom w:val="double" w:sz="4" w:space="0" w:color="auto"/>
            </w:tcBorders>
            <w:vAlign w:val="center"/>
          </w:tcPr>
          <w:p w14:paraId="62EF529F" w14:textId="03D4FF6D" w:rsidR="005836E6" w:rsidRPr="00FF3604" w:rsidRDefault="005836E6" w:rsidP="009662E6">
            <w:pPr>
              <w:pStyle w:val="AbstractSummary"/>
              <w:spacing w:line="480" w:lineRule="auto"/>
              <w:jc w:val="center"/>
              <w:rPr>
                <w:sz w:val="20"/>
                <w:szCs w:val="20"/>
              </w:rPr>
            </w:pPr>
            <w:r>
              <w:rPr>
                <w:sz w:val="20"/>
                <w:szCs w:val="20"/>
              </w:rPr>
              <w:t>Abbreviation</w:t>
            </w:r>
          </w:p>
        </w:tc>
        <w:tc>
          <w:tcPr>
            <w:tcW w:w="851" w:type="pct"/>
            <w:tcBorders>
              <w:top w:val="single" w:sz="4" w:space="0" w:color="auto"/>
              <w:bottom w:val="double" w:sz="4" w:space="0" w:color="auto"/>
              <w:right w:val="single" w:sz="4" w:space="0" w:color="auto"/>
            </w:tcBorders>
            <w:vAlign w:val="center"/>
          </w:tcPr>
          <w:p w14:paraId="12417F3F" w14:textId="3A041CEE" w:rsidR="005836E6" w:rsidRPr="00FF3604" w:rsidRDefault="009662E6" w:rsidP="009662E6">
            <w:pPr>
              <w:pStyle w:val="AbstractSummary"/>
              <w:spacing w:line="480" w:lineRule="auto"/>
              <w:rPr>
                <w:sz w:val="20"/>
                <w:szCs w:val="20"/>
              </w:rPr>
            </w:pPr>
            <w:r>
              <w:rPr>
                <w:sz w:val="20"/>
                <w:szCs w:val="20"/>
              </w:rPr>
              <w:t>Methyl/Ethyl Compound no.</w:t>
            </w:r>
          </w:p>
        </w:tc>
        <w:tc>
          <w:tcPr>
            <w:tcW w:w="1051" w:type="pct"/>
            <w:tcBorders>
              <w:top w:val="single" w:sz="4" w:space="0" w:color="auto"/>
              <w:left w:val="single" w:sz="4" w:space="0" w:color="auto"/>
              <w:bottom w:val="double" w:sz="4" w:space="0" w:color="auto"/>
            </w:tcBorders>
            <w:vAlign w:val="center"/>
          </w:tcPr>
          <w:p w14:paraId="75BB536C" w14:textId="134E03E1" w:rsidR="005836E6" w:rsidRPr="00FF3604" w:rsidRDefault="005836E6" w:rsidP="009662E6">
            <w:pPr>
              <w:pStyle w:val="AbstractSummary"/>
              <w:spacing w:line="480" w:lineRule="auto"/>
              <w:rPr>
                <w:sz w:val="20"/>
                <w:szCs w:val="20"/>
              </w:rPr>
            </w:pPr>
            <w:r>
              <w:rPr>
                <w:sz w:val="20"/>
                <w:szCs w:val="20"/>
              </w:rPr>
              <w:t>Compound</w:t>
            </w:r>
            <w:r w:rsidR="00B139E5">
              <w:rPr>
                <w:sz w:val="20"/>
                <w:szCs w:val="20"/>
              </w:rPr>
              <w:t xml:space="preserve"> and ring no.</w:t>
            </w:r>
          </w:p>
        </w:tc>
        <w:tc>
          <w:tcPr>
            <w:tcW w:w="662" w:type="pct"/>
            <w:gridSpan w:val="3"/>
            <w:tcBorders>
              <w:top w:val="single" w:sz="4" w:space="0" w:color="auto"/>
              <w:bottom w:val="double" w:sz="4" w:space="0" w:color="auto"/>
            </w:tcBorders>
            <w:vAlign w:val="center"/>
          </w:tcPr>
          <w:p w14:paraId="2E7C57A3" w14:textId="7C66C763" w:rsidR="005836E6" w:rsidRPr="00FF3604" w:rsidRDefault="005836E6" w:rsidP="009662E6">
            <w:pPr>
              <w:pStyle w:val="AbstractSummary"/>
              <w:spacing w:line="480" w:lineRule="auto"/>
              <w:jc w:val="center"/>
              <w:rPr>
                <w:sz w:val="20"/>
                <w:szCs w:val="20"/>
              </w:rPr>
            </w:pPr>
            <w:r>
              <w:rPr>
                <w:sz w:val="20"/>
                <w:szCs w:val="20"/>
              </w:rPr>
              <w:t>Abbreviation</w:t>
            </w:r>
          </w:p>
        </w:tc>
        <w:tc>
          <w:tcPr>
            <w:tcW w:w="809" w:type="pct"/>
            <w:tcBorders>
              <w:top w:val="single" w:sz="4" w:space="0" w:color="auto"/>
              <w:bottom w:val="double" w:sz="4" w:space="0" w:color="auto"/>
            </w:tcBorders>
          </w:tcPr>
          <w:p w14:paraId="613E7703" w14:textId="38E049C0" w:rsidR="005836E6" w:rsidRPr="00FF3604" w:rsidRDefault="009662E6" w:rsidP="003D1271">
            <w:pPr>
              <w:pStyle w:val="AbstractSummary"/>
              <w:spacing w:line="480" w:lineRule="auto"/>
              <w:rPr>
                <w:sz w:val="20"/>
                <w:szCs w:val="20"/>
              </w:rPr>
            </w:pPr>
            <w:r>
              <w:rPr>
                <w:sz w:val="20"/>
                <w:szCs w:val="20"/>
              </w:rPr>
              <w:t>Methyl/Ethyl Compound no.</w:t>
            </w:r>
          </w:p>
        </w:tc>
      </w:tr>
      <w:tr w:rsidR="007F57AA" w:rsidRPr="00FF3604" w14:paraId="7B3A3713" w14:textId="3468AA8C" w:rsidTr="00DA097C">
        <w:tc>
          <w:tcPr>
            <w:tcW w:w="955" w:type="pct"/>
            <w:tcBorders>
              <w:top w:val="double" w:sz="4" w:space="0" w:color="auto"/>
              <w:bottom w:val="single" w:sz="4" w:space="0" w:color="auto"/>
            </w:tcBorders>
            <w:vAlign w:val="center"/>
          </w:tcPr>
          <w:p w14:paraId="037DD914" w14:textId="2A1A16C2" w:rsidR="007F57AA" w:rsidRPr="00FF3604" w:rsidRDefault="007F57AA" w:rsidP="007F57AA">
            <w:pPr>
              <w:pStyle w:val="AbstractSummary"/>
              <w:spacing w:line="276" w:lineRule="auto"/>
              <w:rPr>
                <w:sz w:val="16"/>
                <w:szCs w:val="16"/>
              </w:rPr>
            </w:pPr>
            <w:r>
              <w:rPr>
                <w:sz w:val="16"/>
                <w:szCs w:val="16"/>
              </w:rPr>
              <w:t>Dibenzothiophene (3)</w:t>
            </w:r>
          </w:p>
        </w:tc>
        <w:tc>
          <w:tcPr>
            <w:tcW w:w="671" w:type="pct"/>
            <w:tcBorders>
              <w:top w:val="double" w:sz="4" w:space="0" w:color="auto"/>
              <w:bottom w:val="single" w:sz="4" w:space="0" w:color="auto"/>
            </w:tcBorders>
            <w:vAlign w:val="center"/>
          </w:tcPr>
          <w:p w14:paraId="0DFD75FD" w14:textId="45E7DF87" w:rsidR="007F57AA" w:rsidRPr="00FF3604" w:rsidRDefault="007F57AA" w:rsidP="007F57AA">
            <w:pPr>
              <w:pStyle w:val="AbstractSummary"/>
              <w:spacing w:line="276" w:lineRule="auto"/>
              <w:jc w:val="center"/>
              <w:rPr>
                <w:sz w:val="16"/>
                <w:szCs w:val="16"/>
              </w:rPr>
            </w:pPr>
            <w:r>
              <w:rPr>
                <w:sz w:val="16"/>
                <w:szCs w:val="16"/>
              </w:rPr>
              <w:t>DBT</w:t>
            </w:r>
          </w:p>
        </w:tc>
        <w:tc>
          <w:tcPr>
            <w:tcW w:w="851" w:type="pct"/>
            <w:tcBorders>
              <w:top w:val="double" w:sz="4" w:space="0" w:color="auto"/>
              <w:bottom w:val="single" w:sz="4" w:space="0" w:color="auto"/>
              <w:right w:val="single" w:sz="4" w:space="0" w:color="auto"/>
            </w:tcBorders>
            <w:vAlign w:val="center"/>
          </w:tcPr>
          <w:p w14:paraId="4FA41458" w14:textId="6B7709B8" w:rsidR="007F57AA" w:rsidRPr="00FF3604" w:rsidRDefault="007F57AA" w:rsidP="007F57AA">
            <w:pPr>
              <w:pStyle w:val="AbstractSummary"/>
              <w:spacing w:line="276" w:lineRule="auto"/>
              <w:jc w:val="center"/>
              <w:rPr>
                <w:sz w:val="16"/>
                <w:szCs w:val="16"/>
              </w:rPr>
            </w:pPr>
            <w:r>
              <w:rPr>
                <w:sz w:val="16"/>
                <w:szCs w:val="16"/>
              </w:rPr>
              <w:t>-</w:t>
            </w:r>
          </w:p>
        </w:tc>
        <w:tc>
          <w:tcPr>
            <w:tcW w:w="1125" w:type="pct"/>
            <w:gridSpan w:val="2"/>
            <w:tcBorders>
              <w:top w:val="double" w:sz="4" w:space="0" w:color="auto"/>
              <w:left w:val="single" w:sz="4" w:space="0" w:color="auto"/>
              <w:bottom w:val="single" w:sz="4" w:space="0" w:color="auto"/>
            </w:tcBorders>
            <w:vAlign w:val="center"/>
          </w:tcPr>
          <w:p w14:paraId="64AD5EF7" w14:textId="50BCC337" w:rsidR="007F57AA" w:rsidRPr="00FF3604" w:rsidRDefault="007F57AA" w:rsidP="007F57AA">
            <w:pPr>
              <w:pStyle w:val="AbstractSummary"/>
              <w:spacing w:line="276" w:lineRule="auto"/>
              <w:rPr>
                <w:sz w:val="16"/>
                <w:szCs w:val="16"/>
              </w:rPr>
            </w:pPr>
            <w:r>
              <w:rPr>
                <w:sz w:val="16"/>
                <w:szCs w:val="16"/>
              </w:rPr>
              <w:t>Benzo(</w:t>
            </w:r>
            <w:r w:rsidRPr="009615BA">
              <w:rPr>
                <w:i/>
                <w:iCs/>
                <w:sz w:val="16"/>
                <w:szCs w:val="16"/>
              </w:rPr>
              <w:t>a</w:t>
            </w:r>
            <w:r>
              <w:rPr>
                <w:sz w:val="16"/>
                <w:szCs w:val="16"/>
              </w:rPr>
              <w:t>)anthracene (4)</w:t>
            </w:r>
          </w:p>
        </w:tc>
        <w:tc>
          <w:tcPr>
            <w:tcW w:w="476" w:type="pct"/>
            <w:tcBorders>
              <w:top w:val="double" w:sz="4" w:space="0" w:color="auto"/>
              <w:bottom w:val="single" w:sz="4" w:space="0" w:color="auto"/>
            </w:tcBorders>
            <w:vAlign w:val="center"/>
          </w:tcPr>
          <w:p w14:paraId="6A211241" w14:textId="7499FA0E" w:rsidR="007F57AA" w:rsidRPr="00FF3604" w:rsidRDefault="007F57AA" w:rsidP="007F57AA">
            <w:pPr>
              <w:pStyle w:val="AbstractSummary"/>
              <w:spacing w:line="276" w:lineRule="auto"/>
              <w:jc w:val="center"/>
              <w:rPr>
                <w:sz w:val="16"/>
                <w:szCs w:val="16"/>
              </w:rPr>
            </w:pPr>
            <w:proofErr w:type="spellStart"/>
            <w:r>
              <w:rPr>
                <w:sz w:val="16"/>
                <w:szCs w:val="16"/>
              </w:rPr>
              <w:t>BaA</w:t>
            </w:r>
            <w:proofErr w:type="spellEnd"/>
          </w:p>
        </w:tc>
        <w:tc>
          <w:tcPr>
            <w:tcW w:w="921" w:type="pct"/>
            <w:gridSpan w:val="2"/>
            <w:tcBorders>
              <w:top w:val="double" w:sz="4" w:space="0" w:color="auto"/>
              <w:bottom w:val="single" w:sz="4" w:space="0" w:color="auto"/>
            </w:tcBorders>
            <w:vAlign w:val="center"/>
          </w:tcPr>
          <w:p w14:paraId="2E638B63" w14:textId="521AEC90" w:rsidR="007F57AA" w:rsidRPr="00FF3604" w:rsidRDefault="007F57AA" w:rsidP="007F57AA">
            <w:pPr>
              <w:pStyle w:val="AbstractSummary"/>
              <w:spacing w:line="276" w:lineRule="auto"/>
              <w:jc w:val="center"/>
              <w:rPr>
                <w:sz w:val="16"/>
                <w:szCs w:val="16"/>
              </w:rPr>
            </w:pPr>
            <w:r>
              <w:rPr>
                <w:sz w:val="16"/>
                <w:szCs w:val="16"/>
              </w:rPr>
              <w:t>-</w:t>
            </w:r>
          </w:p>
        </w:tc>
      </w:tr>
      <w:tr w:rsidR="007F57AA" w:rsidRPr="00FF3604" w14:paraId="0D919F92" w14:textId="77777777" w:rsidTr="00DA097C">
        <w:tc>
          <w:tcPr>
            <w:tcW w:w="955" w:type="pct"/>
            <w:tcBorders>
              <w:top w:val="single" w:sz="4" w:space="0" w:color="auto"/>
              <w:bottom w:val="single" w:sz="4" w:space="0" w:color="auto"/>
            </w:tcBorders>
            <w:vAlign w:val="center"/>
          </w:tcPr>
          <w:p w14:paraId="1EC6F97A" w14:textId="6DF2255B" w:rsidR="007F57AA" w:rsidRDefault="007F57AA" w:rsidP="007F57AA">
            <w:pPr>
              <w:pStyle w:val="AbstractSummary"/>
              <w:spacing w:line="276" w:lineRule="auto"/>
              <w:rPr>
                <w:sz w:val="16"/>
                <w:szCs w:val="16"/>
              </w:rPr>
            </w:pPr>
            <w:r>
              <w:rPr>
                <w:sz w:val="16"/>
                <w:szCs w:val="16"/>
              </w:rPr>
              <w:t>Dibenzofuran (3)</w:t>
            </w:r>
          </w:p>
        </w:tc>
        <w:tc>
          <w:tcPr>
            <w:tcW w:w="671" w:type="pct"/>
            <w:tcBorders>
              <w:top w:val="single" w:sz="4" w:space="0" w:color="auto"/>
              <w:bottom w:val="single" w:sz="4" w:space="0" w:color="auto"/>
            </w:tcBorders>
            <w:vAlign w:val="center"/>
          </w:tcPr>
          <w:p w14:paraId="525D8AB8" w14:textId="7D8FF41D" w:rsidR="007F57AA" w:rsidRDefault="007F57AA" w:rsidP="007F57AA">
            <w:pPr>
              <w:pStyle w:val="AbstractSummary"/>
              <w:spacing w:line="276" w:lineRule="auto"/>
              <w:jc w:val="center"/>
              <w:rPr>
                <w:sz w:val="16"/>
                <w:szCs w:val="16"/>
              </w:rPr>
            </w:pPr>
            <w:r>
              <w:rPr>
                <w:sz w:val="16"/>
                <w:szCs w:val="16"/>
              </w:rPr>
              <w:t>DBF</w:t>
            </w:r>
          </w:p>
        </w:tc>
        <w:tc>
          <w:tcPr>
            <w:tcW w:w="851" w:type="pct"/>
            <w:tcBorders>
              <w:top w:val="single" w:sz="4" w:space="0" w:color="auto"/>
              <w:bottom w:val="single" w:sz="4" w:space="0" w:color="auto"/>
              <w:right w:val="single" w:sz="4" w:space="0" w:color="auto"/>
            </w:tcBorders>
            <w:vAlign w:val="center"/>
          </w:tcPr>
          <w:p w14:paraId="699FA708" w14:textId="1694F7A5" w:rsidR="007F57AA" w:rsidRPr="00FF3604" w:rsidRDefault="007F57AA" w:rsidP="005045DC">
            <w:pPr>
              <w:pStyle w:val="AbstractSummary"/>
              <w:spacing w:line="276" w:lineRule="auto"/>
              <w:jc w:val="center"/>
              <w:rPr>
                <w:sz w:val="16"/>
                <w:szCs w:val="16"/>
              </w:rPr>
            </w:pPr>
            <w:r>
              <w:rPr>
                <w:sz w:val="16"/>
                <w:szCs w:val="16"/>
              </w:rPr>
              <w:t>-</w:t>
            </w:r>
          </w:p>
        </w:tc>
        <w:tc>
          <w:tcPr>
            <w:tcW w:w="1125" w:type="pct"/>
            <w:gridSpan w:val="2"/>
            <w:tcBorders>
              <w:top w:val="single" w:sz="4" w:space="0" w:color="auto"/>
              <w:left w:val="single" w:sz="4" w:space="0" w:color="auto"/>
              <w:bottom w:val="single" w:sz="4" w:space="0" w:color="auto"/>
            </w:tcBorders>
            <w:vAlign w:val="center"/>
          </w:tcPr>
          <w:p w14:paraId="2CD7D737" w14:textId="6BED3933" w:rsidR="007F57AA" w:rsidRPr="00FF3604" w:rsidRDefault="007F57AA" w:rsidP="007F57AA">
            <w:pPr>
              <w:pStyle w:val="AbstractSummary"/>
              <w:spacing w:line="276" w:lineRule="auto"/>
              <w:rPr>
                <w:sz w:val="16"/>
                <w:szCs w:val="16"/>
              </w:rPr>
            </w:pPr>
            <w:r>
              <w:rPr>
                <w:sz w:val="16"/>
                <w:szCs w:val="16"/>
              </w:rPr>
              <w:t>Chrysene &amp; Triphenylene (4)</w:t>
            </w:r>
          </w:p>
        </w:tc>
        <w:tc>
          <w:tcPr>
            <w:tcW w:w="476" w:type="pct"/>
            <w:tcBorders>
              <w:top w:val="single" w:sz="4" w:space="0" w:color="auto"/>
              <w:bottom w:val="single" w:sz="4" w:space="0" w:color="auto"/>
            </w:tcBorders>
            <w:vAlign w:val="center"/>
          </w:tcPr>
          <w:p w14:paraId="6F6835BD" w14:textId="06B84594" w:rsidR="007F57AA" w:rsidRPr="00FF3604" w:rsidRDefault="007F57AA" w:rsidP="007F57AA">
            <w:pPr>
              <w:pStyle w:val="AbstractSummary"/>
              <w:spacing w:line="276" w:lineRule="auto"/>
              <w:jc w:val="center"/>
              <w:rPr>
                <w:sz w:val="16"/>
                <w:szCs w:val="16"/>
              </w:rPr>
            </w:pPr>
            <w:r>
              <w:rPr>
                <w:sz w:val="16"/>
                <w:szCs w:val="16"/>
              </w:rPr>
              <w:t>C&amp;T</w:t>
            </w:r>
          </w:p>
        </w:tc>
        <w:tc>
          <w:tcPr>
            <w:tcW w:w="921" w:type="pct"/>
            <w:gridSpan w:val="2"/>
            <w:tcBorders>
              <w:top w:val="single" w:sz="4" w:space="0" w:color="auto"/>
              <w:bottom w:val="single" w:sz="4" w:space="0" w:color="auto"/>
            </w:tcBorders>
            <w:vAlign w:val="center"/>
          </w:tcPr>
          <w:p w14:paraId="0BE28EEC" w14:textId="6651EF8B" w:rsidR="007F57AA" w:rsidRPr="00FF3604" w:rsidRDefault="007F57AA" w:rsidP="005045DC">
            <w:pPr>
              <w:pStyle w:val="AbstractSummary"/>
              <w:spacing w:line="276" w:lineRule="auto"/>
              <w:jc w:val="center"/>
              <w:rPr>
                <w:sz w:val="16"/>
                <w:szCs w:val="16"/>
              </w:rPr>
            </w:pPr>
            <w:r>
              <w:rPr>
                <w:sz w:val="16"/>
                <w:szCs w:val="16"/>
              </w:rPr>
              <w:t>-</w:t>
            </w:r>
          </w:p>
        </w:tc>
      </w:tr>
      <w:tr w:rsidR="007F57AA" w:rsidRPr="00FF3604" w14:paraId="32869562" w14:textId="77777777" w:rsidTr="00DA097C">
        <w:tc>
          <w:tcPr>
            <w:tcW w:w="955" w:type="pct"/>
            <w:tcBorders>
              <w:top w:val="single" w:sz="4" w:space="0" w:color="auto"/>
              <w:bottom w:val="single" w:sz="4" w:space="0" w:color="auto"/>
            </w:tcBorders>
            <w:vAlign w:val="center"/>
          </w:tcPr>
          <w:p w14:paraId="295DD67A" w14:textId="705F8AD9" w:rsidR="007F57AA" w:rsidRDefault="007F57AA" w:rsidP="007F57AA">
            <w:pPr>
              <w:pStyle w:val="AbstractSummary"/>
              <w:spacing w:line="276" w:lineRule="auto"/>
              <w:rPr>
                <w:sz w:val="16"/>
                <w:szCs w:val="16"/>
              </w:rPr>
            </w:pPr>
            <w:proofErr w:type="spellStart"/>
            <w:r>
              <w:rPr>
                <w:sz w:val="16"/>
                <w:szCs w:val="16"/>
              </w:rPr>
              <w:t>Methyldibenzofurans</w:t>
            </w:r>
            <w:proofErr w:type="spellEnd"/>
            <w:r>
              <w:rPr>
                <w:sz w:val="16"/>
                <w:szCs w:val="16"/>
              </w:rPr>
              <w:t xml:space="preserve"> (3)</w:t>
            </w:r>
          </w:p>
        </w:tc>
        <w:tc>
          <w:tcPr>
            <w:tcW w:w="671" w:type="pct"/>
            <w:tcBorders>
              <w:top w:val="single" w:sz="4" w:space="0" w:color="auto"/>
              <w:bottom w:val="single" w:sz="4" w:space="0" w:color="auto"/>
            </w:tcBorders>
            <w:vAlign w:val="center"/>
          </w:tcPr>
          <w:p w14:paraId="0FF9E0C3" w14:textId="1C5EA17E" w:rsidR="007F57AA" w:rsidRDefault="007F57AA" w:rsidP="007F57AA">
            <w:pPr>
              <w:pStyle w:val="AbstractSummary"/>
              <w:spacing w:line="276" w:lineRule="auto"/>
              <w:jc w:val="center"/>
              <w:rPr>
                <w:sz w:val="16"/>
                <w:szCs w:val="16"/>
              </w:rPr>
            </w:pPr>
            <w:r>
              <w:rPr>
                <w:sz w:val="16"/>
                <w:szCs w:val="16"/>
              </w:rPr>
              <w:t>DBF1</w:t>
            </w:r>
          </w:p>
        </w:tc>
        <w:tc>
          <w:tcPr>
            <w:tcW w:w="851" w:type="pct"/>
            <w:tcBorders>
              <w:top w:val="single" w:sz="4" w:space="0" w:color="auto"/>
              <w:bottom w:val="single" w:sz="4" w:space="0" w:color="auto"/>
              <w:right w:val="single" w:sz="4" w:space="0" w:color="auto"/>
            </w:tcBorders>
            <w:vAlign w:val="center"/>
          </w:tcPr>
          <w:p w14:paraId="00305589" w14:textId="75661F95" w:rsidR="007F57AA" w:rsidRPr="00FF3604" w:rsidRDefault="007F57AA" w:rsidP="005045DC">
            <w:pPr>
              <w:pStyle w:val="AbstractSummary"/>
              <w:spacing w:line="276" w:lineRule="auto"/>
              <w:jc w:val="center"/>
              <w:rPr>
                <w:sz w:val="16"/>
                <w:szCs w:val="16"/>
              </w:rPr>
            </w:pPr>
            <w:r>
              <w:rPr>
                <w:sz w:val="16"/>
                <w:szCs w:val="16"/>
              </w:rPr>
              <w:t>all</w:t>
            </w:r>
          </w:p>
        </w:tc>
        <w:tc>
          <w:tcPr>
            <w:tcW w:w="1125" w:type="pct"/>
            <w:gridSpan w:val="2"/>
            <w:tcBorders>
              <w:top w:val="single" w:sz="4" w:space="0" w:color="auto"/>
              <w:left w:val="single" w:sz="4" w:space="0" w:color="auto"/>
              <w:bottom w:val="single" w:sz="4" w:space="0" w:color="auto"/>
            </w:tcBorders>
            <w:vAlign w:val="center"/>
          </w:tcPr>
          <w:p w14:paraId="594E2130" w14:textId="69D69BE6" w:rsidR="007F57AA" w:rsidRPr="00FF3604" w:rsidRDefault="007F57AA" w:rsidP="007F57AA">
            <w:pPr>
              <w:pStyle w:val="AbstractSummary"/>
              <w:spacing w:line="276" w:lineRule="auto"/>
              <w:rPr>
                <w:sz w:val="16"/>
                <w:szCs w:val="16"/>
              </w:rPr>
            </w:pPr>
            <w:r>
              <w:rPr>
                <w:sz w:val="16"/>
                <w:szCs w:val="16"/>
              </w:rPr>
              <w:t>Benzo(</w:t>
            </w:r>
            <w:r w:rsidRPr="009615BA">
              <w:rPr>
                <w:i/>
                <w:iCs/>
                <w:sz w:val="16"/>
                <w:szCs w:val="16"/>
              </w:rPr>
              <w:t>e</w:t>
            </w:r>
            <w:r>
              <w:rPr>
                <w:sz w:val="16"/>
                <w:szCs w:val="16"/>
              </w:rPr>
              <w:t>)pyrene (5)</w:t>
            </w:r>
          </w:p>
        </w:tc>
        <w:tc>
          <w:tcPr>
            <w:tcW w:w="476" w:type="pct"/>
            <w:tcBorders>
              <w:top w:val="single" w:sz="4" w:space="0" w:color="auto"/>
              <w:bottom w:val="single" w:sz="4" w:space="0" w:color="auto"/>
            </w:tcBorders>
            <w:vAlign w:val="center"/>
          </w:tcPr>
          <w:p w14:paraId="255C2607" w14:textId="6927C1A9" w:rsidR="007F57AA" w:rsidRPr="00FF3604" w:rsidRDefault="007F57AA" w:rsidP="007F57AA">
            <w:pPr>
              <w:pStyle w:val="AbstractSummary"/>
              <w:spacing w:line="276" w:lineRule="auto"/>
              <w:jc w:val="center"/>
              <w:rPr>
                <w:sz w:val="16"/>
                <w:szCs w:val="16"/>
              </w:rPr>
            </w:pPr>
            <w:proofErr w:type="spellStart"/>
            <w:r>
              <w:rPr>
                <w:sz w:val="16"/>
                <w:szCs w:val="16"/>
              </w:rPr>
              <w:t>BeP</w:t>
            </w:r>
            <w:proofErr w:type="spellEnd"/>
          </w:p>
        </w:tc>
        <w:tc>
          <w:tcPr>
            <w:tcW w:w="921" w:type="pct"/>
            <w:gridSpan w:val="2"/>
            <w:tcBorders>
              <w:top w:val="single" w:sz="4" w:space="0" w:color="auto"/>
              <w:bottom w:val="single" w:sz="4" w:space="0" w:color="auto"/>
            </w:tcBorders>
            <w:vAlign w:val="center"/>
          </w:tcPr>
          <w:p w14:paraId="5B2B9882" w14:textId="353D5AF2" w:rsidR="007F57AA" w:rsidRPr="00FF3604" w:rsidRDefault="007F57AA" w:rsidP="007F57AA">
            <w:pPr>
              <w:pStyle w:val="AbstractSummary"/>
              <w:spacing w:line="276" w:lineRule="auto"/>
              <w:jc w:val="center"/>
              <w:rPr>
                <w:sz w:val="16"/>
                <w:szCs w:val="16"/>
              </w:rPr>
            </w:pPr>
            <w:r>
              <w:rPr>
                <w:sz w:val="16"/>
                <w:szCs w:val="16"/>
              </w:rPr>
              <w:t>-</w:t>
            </w:r>
          </w:p>
        </w:tc>
      </w:tr>
      <w:tr w:rsidR="007F57AA" w:rsidRPr="00FF3604" w14:paraId="4EBA76A3" w14:textId="77777777" w:rsidTr="00DA097C">
        <w:tc>
          <w:tcPr>
            <w:tcW w:w="955" w:type="pct"/>
            <w:tcBorders>
              <w:top w:val="single" w:sz="4" w:space="0" w:color="auto"/>
              <w:bottom w:val="single" w:sz="4" w:space="0" w:color="auto"/>
            </w:tcBorders>
            <w:vAlign w:val="center"/>
          </w:tcPr>
          <w:p w14:paraId="00F4090F" w14:textId="0DD6B4A2" w:rsidR="007F57AA" w:rsidRDefault="007F57AA" w:rsidP="007F57AA">
            <w:pPr>
              <w:pStyle w:val="AbstractSummary"/>
              <w:spacing w:line="276" w:lineRule="auto"/>
              <w:rPr>
                <w:sz w:val="16"/>
                <w:szCs w:val="16"/>
              </w:rPr>
            </w:pPr>
            <w:r>
              <w:rPr>
                <w:sz w:val="16"/>
                <w:szCs w:val="16"/>
              </w:rPr>
              <w:t>Fluorene (3)</w:t>
            </w:r>
          </w:p>
        </w:tc>
        <w:tc>
          <w:tcPr>
            <w:tcW w:w="671" w:type="pct"/>
            <w:tcBorders>
              <w:top w:val="single" w:sz="4" w:space="0" w:color="auto"/>
              <w:bottom w:val="single" w:sz="4" w:space="0" w:color="auto"/>
            </w:tcBorders>
            <w:vAlign w:val="center"/>
          </w:tcPr>
          <w:p w14:paraId="2D0C2964" w14:textId="00DC5F9B" w:rsidR="007F57AA" w:rsidRDefault="007F57AA" w:rsidP="007F57AA">
            <w:pPr>
              <w:pStyle w:val="AbstractSummary"/>
              <w:spacing w:line="276" w:lineRule="auto"/>
              <w:jc w:val="center"/>
              <w:rPr>
                <w:sz w:val="16"/>
                <w:szCs w:val="16"/>
              </w:rPr>
            </w:pPr>
            <w:r>
              <w:rPr>
                <w:sz w:val="16"/>
                <w:szCs w:val="16"/>
              </w:rPr>
              <w:t>F</w:t>
            </w:r>
          </w:p>
        </w:tc>
        <w:tc>
          <w:tcPr>
            <w:tcW w:w="851" w:type="pct"/>
            <w:tcBorders>
              <w:top w:val="single" w:sz="4" w:space="0" w:color="auto"/>
              <w:bottom w:val="single" w:sz="4" w:space="0" w:color="auto"/>
              <w:right w:val="single" w:sz="4" w:space="0" w:color="auto"/>
            </w:tcBorders>
            <w:vAlign w:val="center"/>
          </w:tcPr>
          <w:p w14:paraId="469CA9DC" w14:textId="214C6BFE" w:rsidR="007F57AA" w:rsidRPr="00FF3604" w:rsidRDefault="007F57AA" w:rsidP="007F57AA">
            <w:pPr>
              <w:pStyle w:val="AbstractSummary"/>
              <w:spacing w:line="276" w:lineRule="auto"/>
              <w:jc w:val="center"/>
              <w:rPr>
                <w:sz w:val="16"/>
                <w:szCs w:val="16"/>
              </w:rPr>
            </w:pPr>
            <w:r>
              <w:rPr>
                <w:sz w:val="16"/>
                <w:szCs w:val="16"/>
              </w:rPr>
              <w:t>-</w:t>
            </w:r>
          </w:p>
        </w:tc>
        <w:tc>
          <w:tcPr>
            <w:tcW w:w="1125" w:type="pct"/>
            <w:gridSpan w:val="2"/>
            <w:tcBorders>
              <w:top w:val="single" w:sz="4" w:space="0" w:color="auto"/>
              <w:left w:val="single" w:sz="4" w:space="0" w:color="auto"/>
              <w:bottom w:val="single" w:sz="4" w:space="0" w:color="auto"/>
            </w:tcBorders>
            <w:vAlign w:val="center"/>
          </w:tcPr>
          <w:p w14:paraId="032D3BAC" w14:textId="0BD7A8F9" w:rsidR="007F57AA" w:rsidRPr="00FF3604" w:rsidRDefault="007F57AA" w:rsidP="007F57AA">
            <w:pPr>
              <w:pStyle w:val="AbstractSummary"/>
              <w:spacing w:line="276" w:lineRule="auto"/>
              <w:rPr>
                <w:sz w:val="16"/>
                <w:szCs w:val="16"/>
              </w:rPr>
            </w:pPr>
            <w:r>
              <w:rPr>
                <w:sz w:val="16"/>
                <w:szCs w:val="16"/>
              </w:rPr>
              <w:t>Benzo(</w:t>
            </w:r>
            <w:r>
              <w:rPr>
                <w:i/>
                <w:iCs/>
                <w:sz w:val="16"/>
                <w:szCs w:val="16"/>
              </w:rPr>
              <w:t>a</w:t>
            </w:r>
            <w:r>
              <w:rPr>
                <w:sz w:val="16"/>
                <w:szCs w:val="16"/>
              </w:rPr>
              <w:t>)pyrene (5)</w:t>
            </w:r>
          </w:p>
        </w:tc>
        <w:tc>
          <w:tcPr>
            <w:tcW w:w="476" w:type="pct"/>
            <w:tcBorders>
              <w:top w:val="single" w:sz="4" w:space="0" w:color="auto"/>
              <w:bottom w:val="single" w:sz="4" w:space="0" w:color="auto"/>
            </w:tcBorders>
            <w:vAlign w:val="center"/>
          </w:tcPr>
          <w:p w14:paraId="7956F013" w14:textId="6B7A1230" w:rsidR="007F57AA" w:rsidRPr="00FF3604" w:rsidRDefault="007F57AA" w:rsidP="007F57AA">
            <w:pPr>
              <w:pStyle w:val="AbstractSummary"/>
              <w:spacing w:line="276" w:lineRule="auto"/>
              <w:jc w:val="center"/>
              <w:rPr>
                <w:sz w:val="16"/>
                <w:szCs w:val="16"/>
              </w:rPr>
            </w:pPr>
            <w:proofErr w:type="spellStart"/>
            <w:r>
              <w:rPr>
                <w:sz w:val="16"/>
                <w:szCs w:val="16"/>
              </w:rPr>
              <w:t>BaP</w:t>
            </w:r>
            <w:proofErr w:type="spellEnd"/>
          </w:p>
        </w:tc>
        <w:tc>
          <w:tcPr>
            <w:tcW w:w="921" w:type="pct"/>
            <w:gridSpan w:val="2"/>
            <w:tcBorders>
              <w:top w:val="single" w:sz="4" w:space="0" w:color="auto"/>
              <w:bottom w:val="single" w:sz="4" w:space="0" w:color="auto"/>
            </w:tcBorders>
            <w:vAlign w:val="center"/>
          </w:tcPr>
          <w:p w14:paraId="17450AC2" w14:textId="4518A6B3" w:rsidR="007F57AA" w:rsidRPr="00FF3604" w:rsidRDefault="007F57AA" w:rsidP="005045DC">
            <w:pPr>
              <w:pStyle w:val="AbstractSummary"/>
              <w:spacing w:line="276" w:lineRule="auto"/>
              <w:jc w:val="center"/>
              <w:rPr>
                <w:sz w:val="16"/>
                <w:szCs w:val="16"/>
              </w:rPr>
            </w:pPr>
            <w:r>
              <w:rPr>
                <w:sz w:val="16"/>
                <w:szCs w:val="16"/>
              </w:rPr>
              <w:t>-</w:t>
            </w:r>
          </w:p>
        </w:tc>
      </w:tr>
      <w:tr w:rsidR="007F57AA" w:rsidRPr="00FF3604" w14:paraId="3CB853F1" w14:textId="77777777" w:rsidTr="00DA097C">
        <w:tc>
          <w:tcPr>
            <w:tcW w:w="955" w:type="pct"/>
            <w:tcBorders>
              <w:top w:val="single" w:sz="4" w:space="0" w:color="auto"/>
              <w:bottom w:val="single" w:sz="4" w:space="0" w:color="auto"/>
            </w:tcBorders>
            <w:vAlign w:val="center"/>
          </w:tcPr>
          <w:p w14:paraId="5CB4B563" w14:textId="5DBFE86F" w:rsidR="007F57AA" w:rsidRDefault="007F57AA" w:rsidP="007F57AA">
            <w:pPr>
              <w:pStyle w:val="AbstractSummary"/>
              <w:spacing w:line="276" w:lineRule="auto"/>
              <w:rPr>
                <w:sz w:val="16"/>
                <w:szCs w:val="16"/>
              </w:rPr>
            </w:pPr>
            <w:r>
              <w:rPr>
                <w:sz w:val="16"/>
                <w:szCs w:val="16"/>
              </w:rPr>
              <w:t>Anthracene (3)</w:t>
            </w:r>
          </w:p>
        </w:tc>
        <w:tc>
          <w:tcPr>
            <w:tcW w:w="671" w:type="pct"/>
            <w:tcBorders>
              <w:top w:val="single" w:sz="4" w:space="0" w:color="auto"/>
              <w:bottom w:val="single" w:sz="4" w:space="0" w:color="auto"/>
            </w:tcBorders>
            <w:vAlign w:val="center"/>
          </w:tcPr>
          <w:p w14:paraId="1B9F7F0B" w14:textId="2644C823" w:rsidR="007F57AA" w:rsidRDefault="007F57AA" w:rsidP="007F57AA">
            <w:pPr>
              <w:pStyle w:val="AbstractSummary"/>
              <w:spacing w:line="276" w:lineRule="auto"/>
              <w:jc w:val="center"/>
              <w:rPr>
                <w:sz w:val="16"/>
                <w:szCs w:val="16"/>
              </w:rPr>
            </w:pPr>
            <w:r>
              <w:rPr>
                <w:sz w:val="16"/>
                <w:szCs w:val="16"/>
              </w:rPr>
              <w:t>A</w:t>
            </w:r>
          </w:p>
        </w:tc>
        <w:tc>
          <w:tcPr>
            <w:tcW w:w="851" w:type="pct"/>
            <w:tcBorders>
              <w:top w:val="single" w:sz="4" w:space="0" w:color="auto"/>
              <w:bottom w:val="single" w:sz="4" w:space="0" w:color="auto"/>
              <w:right w:val="single" w:sz="4" w:space="0" w:color="auto"/>
            </w:tcBorders>
            <w:vAlign w:val="center"/>
          </w:tcPr>
          <w:p w14:paraId="50D987EF" w14:textId="37BEAA14" w:rsidR="007F57AA" w:rsidRPr="00FF3604" w:rsidRDefault="007F57AA" w:rsidP="005045DC">
            <w:pPr>
              <w:pStyle w:val="AbstractSummary"/>
              <w:spacing w:line="276" w:lineRule="auto"/>
              <w:jc w:val="center"/>
              <w:rPr>
                <w:sz w:val="16"/>
                <w:szCs w:val="16"/>
              </w:rPr>
            </w:pPr>
            <w:r>
              <w:rPr>
                <w:sz w:val="16"/>
                <w:szCs w:val="16"/>
              </w:rPr>
              <w:t>-</w:t>
            </w:r>
          </w:p>
        </w:tc>
        <w:tc>
          <w:tcPr>
            <w:tcW w:w="1125" w:type="pct"/>
            <w:gridSpan w:val="2"/>
            <w:tcBorders>
              <w:top w:val="single" w:sz="4" w:space="0" w:color="auto"/>
              <w:left w:val="single" w:sz="4" w:space="0" w:color="auto"/>
              <w:bottom w:val="single" w:sz="4" w:space="0" w:color="auto"/>
            </w:tcBorders>
            <w:vAlign w:val="center"/>
          </w:tcPr>
          <w:p w14:paraId="4440CBD8" w14:textId="288F800F" w:rsidR="007F57AA" w:rsidRPr="00FF3604" w:rsidRDefault="007F57AA" w:rsidP="007F57AA">
            <w:pPr>
              <w:pStyle w:val="AbstractSummary"/>
              <w:spacing w:line="276" w:lineRule="auto"/>
              <w:rPr>
                <w:sz w:val="16"/>
                <w:szCs w:val="16"/>
              </w:rPr>
            </w:pPr>
            <w:r>
              <w:rPr>
                <w:sz w:val="16"/>
                <w:szCs w:val="16"/>
              </w:rPr>
              <w:t>Benzo(</w:t>
            </w:r>
            <w:proofErr w:type="spellStart"/>
            <w:r>
              <w:rPr>
                <w:i/>
                <w:iCs/>
                <w:sz w:val="16"/>
                <w:szCs w:val="16"/>
              </w:rPr>
              <w:t>bjk</w:t>
            </w:r>
            <w:proofErr w:type="spellEnd"/>
            <w:r>
              <w:rPr>
                <w:sz w:val="16"/>
                <w:szCs w:val="16"/>
              </w:rPr>
              <w:t>)fluoranthene (5)</w:t>
            </w:r>
          </w:p>
        </w:tc>
        <w:tc>
          <w:tcPr>
            <w:tcW w:w="476" w:type="pct"/>
            <w:tcBorders>
              <w:top w:val="single" w:sz="4" w:space="0" w:color="auto"/>
              <w:bottom w:val="single" w:sz="4" w:space="0" w:color="auto"/>
            </w:tcBorders>
            <w:vAlign w:val="center"/>
          </w:tcPr>
          <w:p w14:paraId="04D8E627" w14:textId="24307B2B" w:rsidR="007F57AA" w:rsidRPr="00FF3604" w:rsidRDefault="007F57AA" w:rsidP="007F57AA">
            <w:pPr>
              <w:pStyle w:val="AbstractSummary"/>
              <w:spacing w:line="276" w:lineRule="auto"/>
              <w:jc w:val="center"/>
              <w:rPr>
                <w:sz w:val="16"/>
                <w:szCs w:val="16"/>
              </w:rPr>
            </w:pPr>
            <w:proofErr w:type="spellStart"/>
            <w:r>
              <w:rPr>
                <w:sz w:val="16"/>
                <w:szCs w:val="16"/>
              </w:rPr>
              <w:t>BbjkF</w:t>
            </w:r>
            <w:proofErr w:type="spellEnd"/>
          </w:p>
        </w:tc>
        <w:tc>
          <w:tcPr>
            <w:tcW w:w="921" w:type="pct"/>
            <w:gridSpan w:val="2"/>
            <w:tcBorders>
              <w:top w:val="single" w:sz="4" w:space="0" w:color="auto"/>
              <w:bottom w:val="single" w:sz="4" w:space="0" w:color="auto"/>
            </w:tcBorders>
            <w:vAlign w:val="center"/>
          </w:tcPr>
          <w:p w14:paraId="100220FD" w14:textId="72F1F18A" w:rsidR="007F57AA" w:rsidRPr="00FF3604" w:rsidRDefault="007F57AA" w:rsidP="007F57AA">
            <w:pPr>
              <w:pStyle w:val="AbstractSummary"/>
              <w:spacing w:line="276" w:lineRule="auto"/>
              <w:jc w:val="center"/>
              <w:rPr>
                <w:sz w:val="16"/>
                <w:szCs w:val="16"/>
              </w:rPr>
            </w:pPr>
            <w:r>
              <w:rPr>
                <w:sz w:val="16"/>
                <w:szCs w:val="16"/>
              </w:rPr>
              <w:t>-</w:t>
            </w:r>
          </w:p>
        </w:tc>
      </w:tr>
      <w:tr w:rsidR="007F57AA" w:rsidRPr="00FF3604" w14:paraId="1E4E093D" w14:textId="77777777" w:rsidTr="00DA097C">
        <w:tc>
          <w:tcPr>
            <w:tcW w:w="955" w:type="pct"/>
            <w:tcBorders>
              <w:top w:val="single" w:sz="4" w:space="0" w:color="auto"/>
              <w:bottom w:val="single" w:sz="4" w:space="0" w:color="auto"/>
            </w:tcBorders>
            <w:vAlign w:val="center"/>
          </w:tcPr>
          <w:p w14:paraId="5CCF91AF" w14:textId="46CC41EE" w:rsidR="007F57AA" w:rsidRDefault="007F57AA" w:rsidP="007F57AA">
            <w:pPr>
              <w:pStyle w:val="AbstractSummary"/>
              <w:spacing w:line="276" w:lineRule="auto"/>
              <w:rPr>
                <w:sz w:val="16"/>
                <w:szCs w:val="16"/>
              </w:rPr>
            </w:pPr>
            <w:r>
              <w:rPr>
                <w:sz w:val="16"/>
                <w:szCs w:val="16"/>
              </w:rPr>
              <w:t>Phenanthrene (3)</w:t>
            </w:r>
          </w:p>
        </w:tc>
        <w:tc>
          <w:tcPr>
            <w:tcW w:w="671" w:type="pct"/>
            <w:tcBorders>
              <w:top w:val="single" w:sz="4" w:space="0" w:color="auto"/>
              <w:bottom w:val="single" w:sz="4" w:space="0" w:color="auto"/>
            </w:tcBorders>
            <w:vAlign w:val="center"/>
          </w:tcPr>
          <w:p w14:paraId="2214C2BD" w14:textId="250A189C" w:rsidR="007F57AA" w:rsidRDefault="007F57AA" w:rsidP="007F57AA">
            <w:pPr>
              <w:pStyle w:val="AbstractSummary"/>
              <w:spacing w:line="276" w:lineRule="auto"/>
              <w:jc w:val="center"/>
              <w:rPr>
                <w:sz w:val="16"/>
                <w:szCs w:val="16"/>
              </w:rPr>
            </w:pPr>
            <w:r>
              <w:rPr>
                <w:sz w:val="16"/>
                <w:szCs w:val="16"/>
              </w:rPr>
              <w:t>P</w:t>
            </w:r>
          </w:p>
        </w:tc>
        <w:tc>
          <w:tcPr>
            <w:tcW w:w="851" w:type="pct"/>
            <w:tcBorders>
              <w:top w:val="single" w:sz="4" w:space="0" w:color="auto"/>
              <w:bottom w:val="single" w:sz="4" w:space="0" w:color="auto"/>
              <w:right w:val="single" w:sz="4" w:space="0" w:color="auto"/>
            </w:tcBorders>
            <w:vAlign w:val="center"/>
          </w:tcPr>
          <w:p w14:paraId="117F902C" w14:textId="0F5EE7A6" w:rsidR="007F57AA" w:rsidRPr="00FF3604" w:rsidRDefault="007F57AA" w:rsidP="007F57AA">
            <w:pPr>
              <w:pStyle w:val="AbstractSummary"/>
              <w:spacing w:line="276" w:lineRule="auto"/>
              <w:jc w:val="center"/>
              <w:rPr>
                <w:sz w:val="16"/>
                <w:szCs w:val="16"/>
              </w:rPr>
            </w:pPr>
            <w:r>
              <w:rPr>
                <w:sz w:val="16"/>
                <w:szCs w:val="16"/>
              </w:rPr>
              <w:t>-</w:t>
            </w:r>
          </w:p>
        </w:tc>
        <w:tc>
          <w:tcPr>
            <w:tcW w:w="1125" w:type="pct"/>
            <w:gridSpan w:val="2"/>
            <w:tcBorders>
              <w:top w:val="single" w:sz="4" w:space="0" w:color="auto"/>
              <w:left w:val="single" w:sz="4" w:space="0" w:color="auto"/>
              <w:bottom w:val="single" w:sz="4" w:space="0" w:color="auto"/>
            </w:tcBorders>
            <w:vAlign w:val="center"/>
          </w:tcPr>
          <w:p w14:paraId="65CAB4B5" w14:textId="46E99004" w:rsidR="007F57AA" w:rsidRPr="00FF3604" w:rsidRDefault="007F57AA" w:rsidP="007F57AA">
            <w:pPr>
              <w:pStyle w:val="AbstractSummary"/>
              <w:spacing w:line="276" w:lineRule="auto"/>
              <w:rPr>
                <w:sz w:val="16"/>
                <w:szCs w:val="16"/>
              </w:rPr>
            </w:pPr>
            <w:proofErr w:type="spellStart"/>
            <w:r>
              <w:rPr>
                <w:sz w:val="16"/>
                <w:szCs w:val="16"/>
              </w:rPr>
              <w:t>Indeno</w:t>
            </w:r>
            <w:proofErr w:type="spellEnd"/>
            <w:r>
              <w:rPr>
                <w:sz w:val="16"/>
                <w:szCs w:val="16"/>
              </w:rPr>
              <w:t>[1,2,3-</w:t>
            </w:r>
            <w:proofErr w:type="gramStart"/>
            <w:r>
              <w:rPr>
                <w:sz w:val="16"/>
                <w:szCs w:val="16"/>
              </w:rPr>
              <w:t>cd]pyrene</w:t>
            </w:r>
            <w:proofErr w:type="gramEnd"/>
            <w:r>
              <w:rPr>
                <w:sz w:val="16"/>
                <w:szCs w:val="16"/>
              </w:rPr>
              <w:t xml:space="preserve"> (6)</w:t>
            </w:r>
          </w:p>
        </w:tc>
        <w:tc>
          <w:tcPr>
            <w:tcW w:w="476" w:type="pct"/>
            <w:tcBorders>
              <w:top w:val="single" w:sz="4" w:space="0" w:color="auto"/>
              <w:bottom w:val="single" w:sz="4" w:space="0" w:color="auto"/>
            </w:tcBorders>
            <w:vAlign w:val="center"/>
          </w:tcPr>
          <w:p w14:paraId="2C8383F5" w14:textId="0946B296" w:rsidR="007F57AA" w:rsidRPr="00FF3604" w:rsidRDefault="007F57AA" w:rsidP="007F57AA">
            <w:pPr>
              <w:pStyle w:val="AbstractSummary"/>
              <w:spacing w:line="276" w:lineRule="auto"/>
              <w:jc w:val="center"/>
              <w:rPr>
                <w:sz w:val="16"/>
                <w:szCs w:val="16"/>
              </w:rPr>
            </w:pPr>
            <w:r>
              <w:rPr>
                <w:sz w:val="16"/>
                <w:szCs w:val="16"/>
              </w:rPr>
              <w:t>IP</w:t>
            </w:r>
          </w:p>
        </w:tc>
        <w:tc>
          <w:tcPr>
            <w:tcW w:w="921" w:type="pct"/>
            <w:gridSpan w:val="2"/>
            <w:tcBorders>
              <w:top w:val="single" w:sz="4" w:space="0" w:color="auto"/>
              <w:bottom w:val="single" w:sz="4" w:space="0" w:color="auto"/>
            </w:tcBorders>
            <w:vAlign w:val="center"/>
          </w:tcPr>
          <w:p w14:paraId="4C6A1FAD" w14:textId="783DE2C1" w:rsidR="007F57AA" w:rsidRPr="00FF3604" w:rsidRDefault="007F57AA" w:rsidP="007F57AA">
            <w:pPr>
              <w:pStyle w:val="AbstractSummary"/>
              <w:spacing w:line="276" w:lineRule="auto"/>
              <w:jc w:val="center"/>
              <w:rPr>
                <w:sz w:val="16"/>
                <w:szCs w:val="16"/>
              </w:rPr>
            </w:pPr>
            <w:r>
              <w:rPr>
                <w:sz w:val="16"/>
                <w:szCs w:val="16"/>
              </w:rPr>
              <w:t>-</w:t>
            </w:r>
          </w:p>
        </w:tc>
      </w:tr>
      <w:tr w:rsidR="007F57AA" w:rsidRPr="00FF3604" w14:paraId="074871E7" w14:textId="77777777" w:rsidTr="00DA097C">
        <w:tc>
          <w:tcPr>
            <w:tcW w:w="955" w:type="pct"/>
            <w:tcBorders>
              <w:top w:val="single" w:sz="4" w:space="0" w:color="auto"/>
              <w:bottom w:val="single" w:sz="4" w:space="0" w:color="auto"/>
            </w:tcBorders>
            <w:vAlign w:val="center"/>
          </w:tcPr>
          <w:p w14:paraId="64D34F97" w14:textId="79310424" w:rsidR="007F57AA" w:rsidRDefault="007F57AA" w:rsidP="007F57AA">
            <w:pPr>
              <w:pStyle w:val="AbstractSummary"/>
              <w:spacing w:line="276" w:lineRule="auto"/>
              <w:rPr>
                <w:sz w:val="16"/>
                <w:szCs w:val="16"/>
              </w:rPr>
            </w:pPr>
            <w:proofErr w:type="spellStart"/>
            <w:r>
              <w:rPr>
                <w:sz w:val="16"/>
                <w:szCs w:val="16"/>
              </w:rPr>
              <w:t>Methylphenanthrenes</w:t>
            </w:r>
            <w:proofErr w:type="spellEnd"/>
            <w:r>
              <w:rPr>
                <w:sz w:val="16"/>
                <w:szCs w:val="16"/>
              </w:rPr>
              <w:t xml:space="preserve"> (3)</w:t>
            </w:r>
          </w:p>
        </w:tc>
        <w:tc>
          <w:tcPr>
            <w:tcW w:w="671" w:type="pct"/>
            <w:tcBorders>
              <w:top w:val="single" w:sz="4" w:space="0" w:color="auto"/>
              <w:bottom w:val="single" w:sz="4" w:space="0" w:color="auto"/>
            </w:tcBorders>
            <w:vAlign w:val="center"/>
          </w:tcPr>
          <w:p w14:paraId="19A1326B" w14:textId="6878C6FF" w:rsidR="007F57AA" w:rsidRDefault="007F57AA" w:rsidP="007F57AA">
            <w:pPr>
              <w:pStyle w:val="AbstractSummary"/>
              <w:spacing w:line="276" w:lineRule="auto"/>
              <w:jc w:val="center"/>
              <w:rPr>
                <w:sz w:val="16"/>
                <w:szCs w:val="16"/>
              </w:rPr>
            </w:pPr>
            <w:r>
              <w:rPr>
                <w:sz w:val="16"/>
                <w:szCs w:val="16"/>
              </w:rPr>
              <w:t>P1</w:t>
            </w:r>
          </w:p>
        </w:tc>
        <w:tc>
          <w:tcPr>
            <w:tcW w:w="851" w:type="pct"/>
            <w:tcBorders>
              <w:top w:val="single" w:sz="4" w:space="0" w:color="auto"/>
              <w:bottom w:val="single" w:sz="4" w:space="0" w:color="auto"/>
              <w:right w:val="single" w:sz="4" w:space="0" w:color="auto"/>
            </w:tcBorders>
            <w:vAlign w:val="center"/>
          </w:tcPr>
          <w:p w14:paraId="5817EF30" w14:textId="7C771075" w:rsidR="007F57AA" w:rsidRPr="00FF3604" w:rsidRDefault="007F57AA" w:rsidP="007F57AA">
            <w:pPr>
              <w:pStyle w:val="AbstractSummary"/>
              <w:spacing w:line="276" w:lineRule="auto"/>
              <w:jc w:val="center"/>
              <w:rPr>
                <w:sz w:val="16"/>
                <w:szCs w:val="16"/>
              </w:rPr>
            </w:pPr>
            <w:r>
              <w:rPr>
                <w:sz w:val="16"/>
                <w:szCs w:val="16"/>
              </w:rPr>
              <w:t>1- and 2-</w:t>
            </w:r>
          </w:p>
        </w:tc>
        <w:tc>
          <w:tcPr>
            <w:tcW w:w="1125" w:type="pct"/>
            <w:gridSpan w:val="2"/>
            <w:tcBorders>
              <w:top w:val="single" w:sz="4" w:space="0" w:color="auto"/>
              <w:left w:val="single" w:sz="4" w:space="0" w:color="auto"/>
              <w:bottom w:val="single" w:sz="4" w:space="0" w:color="auto"/>
            </w:tcBorders>
            <w:vAlign w:val="center"/>
          </w:tcPr>
          <w:p w14:paraId="293FE6BF" w14:textId="7EBF40F3" w:rsidR="007F57AA" w:rsidRPr="00FF3604" w:rsidRDefault="007F57AA" w:rsidP="007F57AA">
            <w:pPr>
              <w:pStyle w:val="AbstractSummary"/>
              <w:spacing w:line="276" w:lineRule="auto"/>
              <w:rPr>
                <w:sz w:val="16"/>
                <w:szCs w:val="16"/>
              </w:rPr>
            </w:pPr>
            <w:r>
              <w:rPr>
                <w:sz w:val="16"/>
                <w:szCs w:val="16"/>
              </w:rPr>
              <w:t>Benzo(</w:t>
            </w:r>
            <w:proofErr w:type="spellStart"/>
            <w:r>
              <w:rPr>
                <w:i/>
                <w:iCs/>
                <w:sz w:val="16"/>
                <w:szCs w:val="16"/>
              </w:rPr>
              <w:t>ghi</w:t>
            </w:r>
            <w:proofErr w:type="spellEnd"/>
            <w:r>
              <w:rPr>
                <w:sz w:val="16"/>
                <w:szCs w:val="16"/>
              </w:rPr>
              <w:t>)perylene (6)</w:t>
            </w:r>
          </w:p>
        </w:tc>
        <w:tc>
          <w:tcPr>
            <w:tcW w:w="476" w:type="pct"/>
            <w:tcBorders>
              <w:top w:val="single" w:sz="4" w:space="0" w:color="auto"/>
              <w:bottom w:val="single" w:sz="4" w:space="0" w:color="auto"/>
            </w:tcBorders>
            <w:vAlign w:val="center"/>
          </w:tcPr>
          <w:p w14:paraId="1383ECDB" w14:textId="0A2BB293" w:rsidR="007F57AA" w:rsidRPr="00FF3604" w:rsidRDefault="007F57AA" w:rsidP="007F57AA">
            <w:pPr>
              <w:pStyle w:val="AbstractSummary"/>
              <w:spacing w:line="276" w:lineRule="auto"/>
              <w:jc w:val="center"/>
              <w:rPr>
                <w:sz w:val="16"/>
                <w:szCs w:val="16"/>
              </w:rPr>
            </w:pPr>
            <w:proofErr w:type="spellStart"/>
            <w:r>
              <w:rPr>
                <w:sz w:val="16"/>
                <w:szCs w:val="16"/>
              </w:rPr>
              <w:t>BghiP</w:t>
            </w:r>
            <w:proofErr w:type="spellEnd"/>
          </w:p>
        </w:tc>
        <w:tc>
          <w:tcPr>
            <w:tcW w:w="921" w:type="pct"/>
            <w:gridSpan w:val="2"/>
            <w:tcBorders>
              <w:top w:val="single" w:sz="4" w:space="0" w:color="auto"/>
              <w:bottom w:val="single" w:sz="4" w:space="0" w:color="auto"/>
            </w:tcBorders>
            <w:vAlign w:val="center"/>
          </w:tcPr>
          <w:p w14:paraId="47223B44" w14:textId="496E7477" w:rsidR="007F57AA" w:rsidRPr="00FF3604" w:rsidRDefault="007F57AA" w:rsidP="007F57AA">
            <w:pPr>
              <w:pStyle w:val="AbstractSummary"/>
              <w:spacing w:line="276" w:lineRule="auto"/>
              <w:jc w:val="center"/>
              <w:rPr>
                <w:sz w:val="16"/>
                <w:szCs w:val="16"/>
              </w:rPr>
            </w:pPr>
            <w:r>
              <w:rPr>
                <w:sz w:val="16"/>
                <w:szCs w:val="16"/>
              </w:rPr>
              <w:t>-</w:t>
            </w:r>
          </w:p>
        </w:tc>
      </w:tr>
      <w:tr w:rsidR="007F57AA" w:rsidRPr="00FF3604" w14:paraId="09DE5AA2" w14:textId="77777777" w:rsidTr="00DA097C">
        <w:tc>
          <w:tcPr>
            <w:tcW w:w="955" w:type="pct"/>
            <w:tcBorders>
              <w:top w:val="single" w:sz="4" w:space="0" w:color="auto"/>
              <w:bottom w:val="single" w:sz="4" w:space="0" w:color="auto"/>
            </w:tcBorders>
            <w:vAlign w:val="center"/>
          </w:tcPr>
          <w:p w14:paraId="020AC895" w14:textId="2D76C283" w:rsidR="007F57AA" w:rsidRDefault="007F57AA" w:rsidP="007F57AA">
            <w:pPr>
              <w:pStyle w:val="AbstractSummary"/>
              <w:spacing w:line="276" w:lineRule="auto"/>
              <w:rPr>
                <w:sz w:val="16"/>
                <w:szCs w:val="16"/>
              </w:rPr>
            </w:pPr>
            <w:proofErr w:type="spellStart"/>
            <w:r>
              <w:rPr>
                <w:sz w:val="16"/>
                <w:szCs w:val="16"/>
              </w:rPr>
              <w:t>Ethylphenanthrenes</w:t>
            </w:r>
            <w:proofErr w:type="spellEnd"/>
            <w:r>
              <w:rPr>
                <w:sz w:val="16"/>
                <w:szCs w:val="16"/>
              </w:rPr>
              <w:t xml:space="preserve"> (3)</w:t>
            </w:r>
          </w:p>
        </w:tc>
        <w:tc>
          <w:tcPr>
            <w:tcW w:w="671" w:type="pct"/>
            <w:tcBorders>
              <w:top w:val="single" w:sz="4" w:space="0" w:color="auto"/>
              <w:bottom w:val="single" w:sz="4" w:space="0" w:color="auto"/>
            </w:tcBorders>
            <w:vAlign w:val="center"/>
          </w:tcPr>
          <w:p w14:paraId="72BDBD64" w14:textId="4010E7CB" w:rsidR="007F57AA" w:rsidRDefault="007F57AA" w:rsidP="007F57AA">
            <w:pPr>
              <w:pStyle w:val="AbstractSummary"/>
              <w:spacing w:line="276" w:lineRule="auto"/>
              <w:jc w:val="center"/>
              <w:rPr>
                <w:sz w:val="16"/>
                <w:szCs w:val="16"/>
              </w:rPr>
            </w:pPr>
            <w:r>
              <w:rPr>
                <w:sz w:val="16"/>
                <w:szCs w:val="16"/>
              </w:rPr>
              <w:t>P2</w:t>
            </w:r>
          </w:p>
        </w:tc>
        <w:tc>
          <w:tcPr>
            <w:tcW w:w="851" w:type="pct"/>
            <w:tcBorders>
              <w:top w:val="single" w:sz="4" w:space="0" w:color="auto"/>
              <w:bottom w:val="single" w:sz="4" w:space="0" w:color="auto"/>
              <w:right w:val="single" w:sz="4" w:space="0" w:color="auto"/>
            </w:tcBorders>
            <w:vAlign w:val="center"/>
          </w:tcPr>
          <w:p w14:paraId="7417872F" w14:textId="6399262B" w:rsidR="007F57AA" w:rsidRPr="00FF3604" w:rsidRDefault="007F57AA" w:rsidP="005045DC">
            <w:pPr>
              <w:pStyle w:val="AbstractSummary"/>
              <w:spacing w:line="276" w:lineRule="auto"/>
              <w:jc w:val="center"/>
              <w:rPr>
                <w:sz w:val="16"/>
                <w:szCs w:val="16"/>
              </w:rPr>
            </w:pPr>
            <w:r>
              <w:rPr>
                <w:sz w:val="16"/>
                <w:szCs w:val="16"/>
              </w:rPr>
              <w:t>1-,2-, and 9-</w:t>
            </w:r>
          </w:p>
        </w:tc>
        <w:tc>
          <w:tcPr>
            <w:tcW w:w="1125" w:type="pct"/>
            <w:gridSpan w:val="2"/>
            <w:tcBorders>
              <w:top w:val="single" w:sz="4" w:space="0" w:color="auto"/>
              <w:left w:val="single" w:sz="4" w:space="0" w:color="auto"/>
              <w:bottom w:val="single" w:sz="4" w:space="0" w:color="auto"/>
            </w:tcBorders>
            <w:vAlign w:val="center"/>
          </w:tcPr>
          <w:p w14:paraId="45AA0F88" w14:textId="055A2E25" w:rsidR="007F57AA" w:rsidRPr="00FF3604" w:rsidRDefault="007F57AA" w:rsidP="007F57AA">
            <w:pPr>
              <w:pStyle w:val="AbstractSummary"/>
              <w:spacing w:line="276" w:lineRule="auto"/>
              <w:rPr>
                <w:sz w:val="16"/>
                <w:szCs w:val="16"/>
              </w:rPr>
            </w:pPr>
            <w:r>
              <w:rPr>
                <w:sz w:val="16"/>
                <w:szCs w:val="16"/>
              </w:rPr>
              <w:t>Coronene (6)</w:t>
            </w:r>
          </w:p>
        </w:tc>
        <w:tc>
          <w:tcPr>
            <w:tcW w:w="476" w:type="pct"/>
            <w:tcBorders>
              <w:top w:val="single" w:sz="4" w:space="0" w:color="auto"/>
              <w:bottom w:val="single" w:sz="4" w:space="0" w:color="auto"/>
            </w:tcBorders>
            <w:vAlign w:val="center"/>
          </w:tcPr>
          <w:p w14:paraId="2822BF2E" w14:textId="7D69390A" w:rsidR="007F57AA" w:rsidRPr="00FF3604" w:rsidRDefault="007F57AA" w:rsidP="007F57AA">
            <w:pPr>
              <w:pStyle w:val="AbstractSummary"/>
              <w:spacing w:line="276" w:lineRule="auto"/>
              <w:jc w:val="center"/>
              <w:rPr>
                <w:sz w:val="16"/>
                <w:szCs w:val="16"/>
              </w:rPr>
            </w:pPr>
            <w:r>
              <w:rPr>
                <w:sz w:val="16"/>
                <w:szCs w:val="16"/>
              </w:rPr>
              <w:t>C</w:t>
            </w:r>
            <w:r w:rsidR="000D2528">
              <w:rPr>
                <w:sz w:val="16"/>
                <w:szCs w:val="16"/>
              </w:rPr>
              <w:t>or</w:t>
            </w:r>
          </w:p>
        </w:tc>
        <w:tc>
          <w:tcPr>
            <w:tcW w:w="921" w:type="pct"/>
            <w:gridSpan w:val="2"/>
            <w:tcBorders>
              <w:top w:val="single" w:sz="4" w:space="0" w:color="auto"/>
              <w:bottom w:val="single" w:sz="4" w:space="0" w:color="auto"/>
            </w:tcBorders>
            <w:vAlign w:val="center"/>
          </w:tcPr>
          <w:p w14:paraId="580D1B54" w14:textId="3F52D258" w:rsidR="007F57AA" w:rsidRPr="00FF3604" w:rsidRDefault="007F57AA" w:rsidP="007F57AA">
            <w:pPr>
              <w:pStyle w:val="AbstractSummary"/>
              <w:spacing w:line="276" w:lineRule="auto"/>
              <w:jc w:val="center"/>
              <w:rPr>
                <w:sz w:val="16"/>
                <w:szCs w:val="16"/>
              </w:rPr>
            </w:pPr>
            <w:r>
              <w:rPr>
                <w:sz w:val="16"/>
                <w:szCs w:val="16"/>
              </w:rPr>
              <w:t>-</w:t>
            </w:r>
          </w:p>
        </w:tc>
      </w:tr>
      <w:tr w:rsidR="007F57AA" w:rsidRPr="00FF3604" w14:paraId="3AF7BABD" w14:textId="77777777" w:rsidTr="00DA097C">
        <w:tc>
          <w:tcPr>
            <w:tcW w:w="955" w:type="pct"/>
            <w:tcBorders>
              <w:top w:val="single" w:sz="4" w:space="0" w:color="auto"/>
              <w:bottom w:val="single" w:sz="4" w:space="0" w:color="auto"/>
            </w:tcBorders>
            <w:vAlign w:val="center"/>
          </w:tcPr>
          <w:p w14:paraId="7586B19F" w14:textId="675C62F1" w:rsidR="007F57AA" w:rsidRDefault="007F57AA" w:rsidP="007F57AA">
            <w:pPr>
              <w:pStyle w:val="AbstractSummary"/>
              <w:spacing w:line="276" w:lineRule="auto"/>
              <w:rPr>
                <w:sz w:val="16"/>
                <w:szCs w:val="16"/>
              </w:rPr>
            </w:pPr>
            <w:r>
              <w:rPr>
                <w:sz w:val="16"/>
                <w:szCs w:val="16"/>
              </w:rPr>
              <w:t>Fluoranthene (4)</w:t>
            </w:r>
          </w:p>
        </w:tc>
        <w:tc>
          <w:tcPr>
            <w:tcW w:w="671" w:type="pct"/>
            <w:tcBorders>
              <w:top w:val="single" w:sz="4" w:space="0" w:color="auto"/>
              <w:bottom w:val="single" w:sz="4" w:space="0" w:color="auto"/>
            </w:tcBorders>
            <w:vAlign w:val="center"/>
          </w:tcPr>
          <w:p w14:paraId="4B592469" w14:textId="5E4CA3BF" w:rsidR="007F57AA" w:rsidRDefault="007F57AA" w:rsidP="007F57AA">
            <w:pPr>
              <w:pStyle w:val="AbstractSummary"/>
              <w:spacing w:line="276" w:lineRule="auto"/>
              <w:jc w:val="center"/>
              <w:rPr>
                <w:sz w:val="16"/>
                <w:szCs w:val="16"/>
              </w:rPr>
            </w:pPr>
            <w:r>
              <w:rPr>
                <w:sz w:val="16"/>
                <w:szCs w:val="16"/>
              </w:rPr>
              <w:t>FL</w:t>
            </w:r>
          </w:p>
        </w:tc>
        <w:tc>
          <w:tcPr>
            <w:tcW w:w="851" w:type="pct"/>
            <w:tcBorders>
              <w:top w:val="single" w:sz="4" w:space="0" w:color="auto"/>
              <w:bottom w:val="single" w:sz="4" w:space="0" w:color="auto"/>
              <w:right w:val="single" w:sz="4" w:space="0" w:color="auto"/>
            </w:tcBorders>
            <w:vAlign w:val="center"/>
          </w:tcPr>
          <w:p w14:paraId="35D6AF87" w14:textId="3D32BB51" w:rsidR="007F57AA" w:rsidRPr="00FF3604" w:rsidRDefault="007F57AA" w:rsidP="007F57AA">
            <w:pPr>
              <w:pStyle w:val="AbstractSummary"/>
              <w:spacing w:line="276" w:lineRule="auto"/>
              <w:jc w:val="center"/>
              <w:rPr>
                <w:sz w:val="16"/>
                <w:szCs w:val="16"/>
              </w:rPr>
            </w:pPr>
            <w:r>
              <w:rPr>
                <w:sz w:val="16"/>
                <w:szCs w:val="16"/>
              </w:rPr>
              <w:t>-</w:t>
            </w:r>
          </w:p>
        </w:tc>
        <w:tc>
          <w:tcPr>
            <w:tcW w:w="1125" w:type="pct"/>
            <w:gridSpan w:val="2"/>
            <w:tcBorders>
              <w:top w:val="single" w:sz="4" w:space="0" w:color="auto"/>
              <w:left w:val="single" w:sz="4" w:space="0" w:color="auto"/>
              <w:bottom w:val="single" w:sz="4" w:space="0" w:color="auto"/>
            </w:tcBorders>
            <w:vAlign w:val="center"/>
          </w:tcPr>
          <w:p w14:paraId="0818B0A7" w14:textId="5E48DF9A" w:rsidR="007F57AA" w:rsidRPr="00FF3604" w:rsidRDefault="007F57AA" w:rsidP="007F57AA">
            <w:pPr>
              <w:pStyle w:val="AbstractSummary"/>
              <w:spacing w:line="276" w:lineRule="auto"/>
              <w:rPr>
                <w:sz w:val="16"/>
                <w:szCs w:val="16"/>
              </w:rPr>
            </w:pPr>
            <w:r>
              <w:rPr>
                <w:sz w:val="16"/>
                <w:szCs w:val="16"/>
              </w:rPr>
              <w:t>Perylene (5)</w:t>
            </w:r>
          </w:p>
        </w:tc>
        <w:tc>
          <w:tcPr>
            <w:tcW w:w="476" w:type="pct"/>
            <w:tcBorders>
              <w:top w:val="single" w:sz="4" w:space="0" w:color="auto"/>
              <w:bottom w:val="single" w:sz="4" w:space="0" w:color="auto"/>
            </w:tcBorders>
            <w:vAlign w:val="center"/>
          </w:tcPr>
          <w:p w14:paraId="363DABA5" w14:textId="2CB6F43C" w:rsidR="007F57AA" w:rsidRPr="00FF3604" w:rsidRDefault="007F57AA" w:rsidP="007F57AA">
            <w:pPr>
              <w:pStyle w:val="AbstractSummary"/>
              <w:spacing w:line="276" w:lineRule="auto"/>
              <w:jc w:val="center"/>
              <w:rPr>
                <w:sz w:val="16"/>
                <w:szCs w:val="16"/>
              </w:rPr>
            </w:pPr>
            <w:r>
              <w:rPr>
                <w:sz w:val="16"/>
                <w:szCs w:val="16"/>
              </w:rPr>
              <w:t>PER</w:t>
            </w:r>
          </w:p>
        </w:tc>
        <w:tc>
          <w:tcPr>
            <w:tcW w:w="921" w:type="pct"/>
            <w:gridSpan w:val="2"/>
            <w:tcBorders>
              <w:top w:val="single" w:sz="4" w:space="0" w:color="auto"/>
              <w:bottom w:val="single" w:sz="4" w:space="0" w:color="auto"/>
            </w:tcBorders>
            <w:vAlign w:val="center"/>
          </w:tcPr>
          <w:p w14:paraId="76EE9C86" w14:textId="01C45ABF" w:rsidR="007F57AA" w:rsidRPr="00FF3604" w:rsidRDefault="007F57AA" w:rsidP="007F57AA">
            <w:pPr>
              <w:pStyle w:val="AbstractSummary"/>
              <w:spacing w:line="276" w:lineRule="auto"/>
              <w:jc w:val="center"/>
              <w:rPr>
                <w:sz w:val="16"/>
                <w:szCs w:val="16"/>
              </w:rPr>
            </w:pPr>
            <w:r>
              <w:rPr>
                <w:sz w:val="16"/>
                <w:szCs w:val="16"/>
              </w:rPr>
              <w:t>-</w:t>
            </w:r>
          </w:p>
        </w:tc>
      </w:tr>
      <w:tr w:rsidR="007F57AA" w:rsidRPr="00FF3604" w14:paraId="71E85109" w14:textId="77777777" w:rsidTr="00DA097C">
        <w:tc>
          <w:tcPr>
            <w:tcW w:w="955" w:type="pct"/>
            <w:tcBorders>
              <w:top w:val="single" w:sz="4" w:space="0" w:color="auto"/>
              <w:bottom w:val="single" w:sz="4" w:space="0" w:color="auto"/>
            </w:tcBorders>
            <w:vAlign w:val="center"/>
          </w:tcPr>
          <w:p w14:paraId="4E5ABFB5" w14:textId="64DA06A9" w:rsidR="007F57AA" w:rsidRDefault="007F57AA" w:rsidP="007F57AA">
            <w:pPr>
              <w:pStyle w:val="AbstractSummary"/>
              <w:spacing w:line="276" w:lineRule="auto"/>
              <w:rPr>
                <w:sz w:val="16"/>
                <w:szCs w:val="16"/>
              </w:rPr>
            </w:pPr>
            <w:proofErr w:type="spellStart"/>
            <w:r>
              <w:rPr>
                <w:sz w:val="16"/>
                <w:szCs w:val="16"/>
              </w:rPr>
              <w:t>Methylfluoranthenes</w:t>
            </w:r>
            <w:proofErr w:type="spellEnd"/>
            <w:r>
              <w:rPr>
                <w:sz w:val="16"/>
                <w:szCs w:val="16"/>
              </w:rPr>
              <w:t xml:space="preserve"> (4)</w:t>
            </w:r>
          </w:p>
        </w:tc>
        <w:tc>
          <w:tcPr>
            <w:tcW w:w="671" w:type="pct"/>
            <w:tcBorders>
              <w:top w:val="single" w:sz="4" w:space="0" w:color="auto"/>
              <w:bottom w:val="single" w:sz="4" w:space="0" w:color="auto"/>
            </w:tcBorders>
            <w:vAlign w:val="center"/>
          </w:tcPr>
          <w:p w14:paraId="0A795122" w14:textId="1B3E60DC" w:rsidR="007F57AA" w:rsidRDefault="007F57AA" w:rsidP="007F57AA">
            <w:pPr>
              <w:pStyle w:val="AbstractSummary"/>
              <w:spacing w:line="276" w:lineRule="auto"/>
              <w:jc w:val="center"/>
              <w:rPr>
                <w:sz w:val="16"/>
                <w:szCs w:val="16"/>
              </w:rPr>
            </w:pPr>
            <w:r>
              <w:rPr>
                <w:sz w:val="16"/>
                <w:szCs w:val="16"/>
              </w:rPr>
              <w:t>FL1</w:t>
            </w:r>
          </w:p>
        </w:tc>
        <w:tc>
          <w:tcPr>
            <w:tcW w:w="851" w:type="pct"/>
            <w:tcBorders>
              <w:top w:val="single" w:sz="4" w:space="0" w:color="auto"/>
              <w:bottom w:val="single" w:sz="4" w:space="0" w:color="auto"/>
              <w:right w:val="single" w:sz="4" w:space="0" w:color="auto"/>
            </w:tcBorders>
            <w:vAlign w:val="center"/>
          </w:tcPr>
          <w:p w14:paraId="6B2A38AD" w14:textId="43168BC6" w:rsidR="007F57AA" w:rsidRPr="00FF3604" w:rsidRDefault="007F57AA" w:rsidP="007F57AA">
            <w:pPr>
              <w:pStyle w:val="AbstractSummary"/>
              <w:spacing w:line="276" w:lineRule="auto"/>
              <w:jc w:val="center"/>
              <w:rPr>
                <w:sz w:val="16"/>
                <w:szCs w:val="16"/>
              </w:rPr>
            </w:pPr>
            <w:r>
              <w:rPr>
                <w:sz w:val="16"/>
                <w:szCs w:val="16"/>
              </w:rPr>
              <w:t>-</w:t>
            </w:r>
          </w:p>
        </w:tc>
        <w:tc>
          <w:tcPr>
            <w:tcW w:w="1125" w:type="pct"/>
            <w:gridSpan w:val="2"/>
            <w:tcBorders>
              <w:top w:val="single" w:sz="4" w:space="0" w:color="auto"/>
              <w:left w:val="single" w:sz="4" w:space="0" w:color="auto"/>
              <w:bottom w:val="single" w:sz="4" w:space="0" w:color="auto"/>
            </w:tcBorders>
            <w:vAlign w:val="center"/>
          </w:tcPr>
          <w:p w14:paraId="4DCD2EF2" w14:textId="52FCF914" w:rsidR="007F57AA" w:rsidRPr="00FF3604" w:rsidRDefault="007F57AA" w:rsidP="007F57AA">
            <w:pPr>
              <w:pStyle w:val="AbstractSummary"/>
              <w:spacing w:line="276" w:lineRule="auto"/>
              <w:rPr>
                <w:sz w:val="16"/>
                <w:szCs w:val="16"/>
              </w:rPr>
            </w:pPr>
            <w:r>
              <w:rPr>
                <w:sz w:val="16"/>
                <w:szCs w:val="16"/>
              </w:rPr>
              <w:t>Retene (3)</w:t>
            </w:r>
          </w:p>
        </w:tc>
        <w:tc>
          <w:tcPr>
            <w:tcW w:w="476" w:type="pct"/>
            <w:tcBorders>
              <w:top w:val="single" w:sz="4" w:space="0" w:color="auto"/>
              <w:bottom w:val="single" w:sz="4" w:space="0" w:color="auto"/>
            </w:tcBorders>
            <w:vAlign w:val="center"/>
          </w:tcPr>
          <w:p w14:paraId="538EDB8B" w14:textId="4DEC5F6A" w:rsidR="007F57AA" w:rsidRPr="00FF3604" w:rsidRDefault="007F57AA" w:rsidP="007F57AA">
            <w:pPr>
              <w:pStyle w:val="AbstractSummary"/>
              <w:spacing w:line="276" w:lineRule="auto"/>
              <w:jc w:val="center"/>
              <w:rPr>
                <w:sz w:val="16"/>
                <w:szCs w:val="16"/>
              </w:rPr>
            </w:pPr>
            <w:r>
              <w:rPr>
                <w:sz w:val="16"/>
                <w:szCs w:val="16"/>
              </w:rPr>
              <w:t>RET</w:t>
            </w:r>
          </w:p>
        </w:tc>
        <w:tc>
          <w:tcPr>
            <w:tcW w:w="921" w:type="pct"/>
            <w:gridSpan w:val="2"/>
            <w:tcBorders>
              <w:top w:val="single" w:sz="4" w:space="0" w:color="auto"/>
              <w:bottom w:val="single" w:sz="4" w:space="0" w:color="auto"/>
            </w:tcBorders>
            <w:vAlign w:val="center"/>
          </w:tcPr>
          <w:p w14:paraId="2A895756" w14:textId="0015359C" w:rsidR="007F57AA" w:rsidRPr="00FF3604" w:rsidRDefault="007F57AA" w:rsidP="007F57AA">
            <w:pPr>
              <w:pStyle w:val="AbstractSummary"/>
              <w:spacing w:line="276" w:lineRule="auto"/>
              <w:jc w:val="center"/>
              <w:rPr>
                <w:sz w:val="16"/>
                <w:szCs w:val="16"/>
              </w:rPr>
            </w:pPr>
            <w:r>
              <w:rPr>
                <w:sz w:val="16"/>
                <w:szCs w:val="16"/>
              </w:rPr>
              <w:t>-</w:t>
            </w:r>
          </w:p>
        </w:tc>
      </w:tr>
      <w:tr w:rsidR="007F57AA" w:rsidRPr="00FF3604" w14:paraId="556232F7" w14:textId="77777777" w:rsidTr="00DA097C">
        <w:tc>
          <w:tcPr>
            <w:tcW w:w="955" w:type="pct"/>
            <w:tcBorders>
              <w:top w:val="single" w:sz="4" w:space="0" w:color="auto"/>
              <w:bottom w:val="single" w:sz="4" w:space="0" w:color="auto"/>
            </w:tcBorders>
            <w:vAlign w:val="center"/>
          </w:tcPr>
          <w:p w14:paraId="3A51FE26" w14:textId="48B65BD1" w:rsidR="007F57AA" w:rsidRDefault="007F57AA" w:rsidP="007F57AA">
            <w:pPr>
              <w:pStyle w:val="AbstractSummary"/>
              <w:spacing w:line="276" w:lineRule="auto"/>
              <w:rPr>
                <w:sz w:val="16"/>
                <w:szCs w:val="16"/>
              </w:rPr>
            </w:pPr>
            <w:r>
              <w:rPr>
                <w:sz w:val="16"/>
                <w:szCs w:val="16"/>
              </w:rPr>
              <w:t>Pyrene (4)</w:t>
            </w:r>
          </w:p>
        </w:tc>
        <w:tc>
          <w:tcPr>
            <w:tcW w:w="671" w:type="pct"/>
            <w:tcBorders>
              <w:top w:val="single" w:sz="4" w:space="0" w:color="auto"/>
              <w:bottom w:val="single" w:sz="4" w:space="0" w:color="auto"/>
            </w:tcBorders>
            <w:vAlign w:val="center"/>
          </w:tcPr>
          <w:p w14:paraId="768FC73A" w14:textId="16ED38F9" w:rsidR="007F57AA" w:rsidRDefault="007F57AA" w:rsidP="007F57AA">
            <w:pPr>
              <w:pStyle w:val="AbstractSummary"/>
              <w:spacing w:line="276" w:lineRule="auto"/>
              <w:jc w:val="center"/>
              <w:rPr>
                <w:sz w:val="16"/>
                <w:szCs w:val="16"/>
              </w:rPr>
            </w:pPr>
            <w:r>
              <w:rPr>
                <w:sz w:val="16"/>
                <w:szCs w:val="16"/>
              </w:rPr>
              <w:t>PY</w:t>
            </w:r>
          </w:p>
        </w:tc>
        <w:tc>
          <w:tcPr>
            <w:tcW w:w="851" w:type="pct"/>
            <w:tcBorders>
              <w:top w:val="single" w:sz="4" w:space="0" w:color="auto"/>
              <w:bottom w:val="single" w:sz="4" w:space="0" w:color="auto"/>
              <w:right w:val="single" w:sz="4" w:space="0" w:color="auto"/>
            </w:tcBorders>
            <w:vAlign w:val="center"/>
          </w:tcPr>
          <w:p w14:paraId="04DAEA98" w14:textId="25AF539E" w:rsidR="007F57AA" w:rsidRPr="00FF3604" w:rsidRDefault="007F57AA" w:rsidP="007F57AA">
            <w:pPr>
              <w:pStyle w:val="AbstractSummary"/>
              <w:spacing w:line="276" w:lineRule="auto"/>
              <w:jc w:val="center"/>
              <w:rPr>
                <w:sz w:val="16"/>
                <w:szCs w:val="16"/>
              </w:rPr>
            </w:pPr>
            <w:r>
              <w:rPr>
                <w:sz w:val="16"/>
                <w:szCs w:val="16"/>
              </w:rPr>
              <w:t>all</w:t>
            </w:r>
          </w:p>
        </w:tc>
        <w:tc>
          <w:tcPr>
            <w:tcW w:w="1125" w:type="pct"/>
            <w:gridSpan w:val="2"/>
            <w:tcBorders>
              <w:top w:val="single" w:sz="4" w:space="0" w:color="auto"/>
              <w:left w:val="single" w:sz="4" w:space="0" w:color="auto"/>
              <w:bottom w:val="single" w:sz="4" w:space="0" w:color="auto"/>
            </w:tcBorders>
            <w:vAlign w:val="center"/>
          </w:tcPr>
          <w:p w14:paraId="5D6679B2" w14:textId="52279FDA" w:rsidR="007F57AA" w:rsidRPr="00FF3604" w:rsidRDefault="007F57AA" w:rsidP="007F57AA">
            <w:pPr>
              <w:pStyle w:val="AbstractSummary"/>
              <w:spacing w:line="276" w:lineRule="auto"/>
              <w:rPr>
                <w:sz w:val="16"/>
                <w:szCs w:val="16"/>
              </w:rPr>
            </w:pPr>
          </w:p>
        </w:tc>
        <w:tc>
          <w:tcPr>
            <w:tcW w:w="476" w:type="pct"/>
            <w:tcBorders>
              <w:top w:val="single" w:sz="4" w:space="0" w:color="auto"/>
              <w:bottom w:val="single" w:sz="4" w:space="0" w:color="auto"/>
            </w:tcBorders>
            <w:vAlign w:val="center"/>
          </w:tcPr>
          <w:p w14:paraId="3F578F82" w14:textId="552C44A9" w:rsidR="007F57AA" w:rsidRPr="00FF3604" w:rsidRDefault="007F57AA" w:rsidP="007F57AA">
            <w:pPr>
              <w:pStyle w:val="AbstractSummary"/>
              <w:spacing w:line="276" w:lineRule="auto"/>
              <w:jc w:val="center"/>
              <w:rPr>
                <w:sz w:val="16"/>
                <w:szCs w:val="16"/>
              </w:rPr>
            </w:pPr>
          </w:p>
        </w:tc>
        <w:tc>
          <w:tcPr>
            <w:tcW w:w="921" w:type="pct"/>
            <w:gridSpan w:val="2"/>
            <w:tcBorders>
              <w:top w:val="single" w:sz="4" w:space="0" w:color="auto"/>
              <w:bottom w:val="single" w:sz="4" w:space="0" w:color="auto"/>
            </w:tcBorders>
            <w:vAlign w:val="center"/>
          </w:tcPr>
          <w:p w14:paraId="1D295302" w14:textId="1E52F8C3" w:rsidR="007F57AA" w:rsidRPr="00FF3604" w:rsidRDefault="007F57AA" w:rsidP="007F57AA">
            <w:pPr>
              <w:pStyle w:val="AbstractSummary"/>
              <w:spacing w:line="276" w:lineRule="auto"/>
              <w:jc w:val="center"/>
              <w:rPr>
                <w:sz w:val="16"/>
                <w:szCs w:val="16"/>
              </w:rPr>
            </w:pPr>
          </w:p>
        </w:tc>
      </w:tr>
      <w:tr w:rsidR="007F57AA" w:rsidRPr="00FF3604" w14:paraId="09746F63" w14:textId="77777777" w:rsidTr="00DA097C">
        <w:tc>
          <w:tcPr>
            <w:tcW w:w="955" w:type="pct"/>
            <w:tcBorders>
              <w:top w:val="single" w:sz="4" w:space="0" w:color="auto"/>
              <w:bottom w:val="single" w:sz="4" w:space="0" w:color="auto"/>
            </w:tcBorders>
            <w:vAlign w:val="center"/>
          </w:tcPr>
          <w:p w14:paraId="11435DD6" w14:textId="701E23DC" w:rsidR="007F57AA" w:rsidRDefault="007F57AA" w:rsidP="007F57AA">
            <w:pPr>
              <w:pStyle w:val="AbstractSummary"/>
              <w:spacing w:line="276" w:lineRule="auto"/>
              <w:rPr>
                <w:sz w:val="16"/>
                <w:szCs w:val="16"/>
              </w:rPr>
            </w:pPr>
            <w:proofErr w:type="spellStart"/>
            <w:r>
              <w:rPr>
                <w:sz w:val="16"/>
                <w:szCs w:val="16"/>
              </w:rPr>
              <w:t>Methylpyrenes</w:t>
            </w:r>
            <w:proofErr w:type="spellEnd"/>
            <w:r>
              <w:rPr>
                <w:sz w:val="16"/>
                <w:szCs w:val="16"/>
              </w:rPr>
              <w:t xml:space="preserve"> (4)</w:t>
            </w:r>
          </w:p>
        </w:tc>
        <w:tc>
          <w:tcPr>
            <w:tcW w:w="671" w:type="pct"/>
            <w:tcBorders>
              <w:top w:val="single" w:sz="4" w:space="0" w:color="auto"/>
              <w:bottom w:val="single" w:sz="4" w:space="0" w:color="auto"/>
            </w:tcBorders>
            <w:vAlign w:val="center"/>
          </w:tcPr>
          <w:p w14:paraId="6073A837" w14:textId="4F5292A7" w:rsidR="007F57AA" w:rsidRDefault="007F57AA" w:rsidP="007F57AA">
            <w:pPr>
              <w:pStyle w:val="AbstractSummary"/>
              <w:spacing w:line="276" w:lineRule="auto"/>
              <w:jc w:val="center"/>
              <w:rPr>
                <w:sz w:val="16"/>
                <w:szCs w:val="16"/>
              </w:rPr>
            </w:pPr>
            <w:r>
              <w:rPr>
                <w:sz w:val="16"/>
                <w:szCs w:val="16"/>
              </w:rPr>
              <w:t>PY1</w:t>
            </w:r>
          </w:p>
        </w:tc>
        <w:tc>
          <w:tcPr>
            <w:tcW w:w="851" w:type="pct"/>
            <w:tcBorders>
              <w:top w:val="single" w:sz="4" w:space="0" w:color="auto"/>
              <w:bottom w:val="single" w:sz="4" w:space="0" w:color="auto"/>
              <w:right w:val="single" w:sz="4" w:space="0" w:color="auto"/>
            </w:tcBorders>
            <w:vAlign w:val="center"/>
          </w:tcPr>
          <w:p w14:paraId="50093F24" w14:textId="2DD0E184" w:rsidR="007F57AA" w:rsidRPr="00FF3604" w:rsidRDefault="007F57AA" w:rsidP="005045DC">
            <w:pPr>
              <w:pStyle w:val="AbstractSummary"/>
              <w:spacing w:line="276" w:lineRule="auto"/>
              <w:jc w:val="center"/>
              <w:rPr>
                <w:sz w:val="16"/>
                <w:szCs w:val="16"/>
              </w:rPr>
            </w:pPr>
            <w:r>
              <w:rPr>
                <w:sz w:val="16"/>
                <w:szCs w:val="16"/>
              </w:rPr>
              <w:t>all</w:t>
            </w:r>
          </w:p>
        </w:tc>
        <w:tc>
          <w:tcPr>
            <w:tcW w:w="1125" w:type="pct"/>
            <w:gridSpan w:val="2"/>
            <w:tcBorders>
              <w:top w:val="single" w:sz="4" w:space="0" w:color="auto"/>
              <w:left w:val="single" w:sz="4" w:space="0" w:color="auto"/>
              <w:bottom w:val="single" w:sz="4" w:space="0" w:color="auto"/>
            </w:tcBorders>
            <w:vAlign w:val="center"/>
          </w:tcPr>
          <w:p w14:paraId="0DC816E8" w14:textId="41685E6B" w:rsidR="007F57AA" w:rsidRPr="00FF3604" w:rsidRDefault="007F57AA" w:rsidP="007F57AA">
            <w:pPr>
              <w:pStyle w:val="AbstractSummary"/>
              <w:spacing w:line="276" w:lineRule="auto"/>
              <w:rPr>
                <w:sz w:val="16"/>
                <w:szCs w:val="16"/>
              </w:rPr>
            </w:pPr>
          </w:p>
        </w:tc>
        <w:tc>
          <w:tcPr>
            <w:tcW w:w="476" w:type="pct"/>
            <w:tcBorders>
              <w:top w:val="single" w:sz="4" w:space="0" w:color="auto"/>
              <w:bottom w:val="single" w:sz="4" w:space="0" w:color="auto"/>
            </w:tcBorders>
            <w:vAlign w:val="center"/>
          </w:tcPr>
          <w:p w14:paraId="5023790E" w14:textId="5BFB0410" w:rsidR="007F57AA" w:rsidRPr="00FF3604" w:rsidRDefault="007F57AA" w:rsidP="007F57AA">
            <w:pPr>
              <w:pStyle w:val="AbstractSummary"/>
              <w:spacing w:line="276" w:lineRule="auto"/>
              <w:jc w:val="center"/>
              <w:rPr>
                <w:sz w:val="16"/>
                <w:szCs w:val="16"/>
              </w:rPr>
            </w:pPr>
          </w:p>
        </w:tc>
        <w:tc>
          <w:tcPr>
            <w:tcW w:w="921" w:type="pct"/>
            <w:gridSpan w:val="2"/>
            <w:tcBorders>
              <w:top w:val="single" w:sz="4" w:space="0" w:color="auto"/>
              <w:bottom w:val="single" w:sz="4" w:space="0" w:color="auto"/>
            </w:tcBorders>
            <w:vAlign w:val="center"/>
          </w:tcPr>
          <w:p w14:paraId="7BE7DF74" w14:textId="47D7C7CF" w:rsidR="007F57AA" w:rsidRPr="00FF3604" w:rsidRDefault="007F57AA" w:rsidP="007F57AA">
            <w:pPr>
              <w:pStyle w:val="AbstractSummary"/>
              <w:spacing w:line="276" w:lineRule="auto"/>
              <w:jc w:val="center"/>
              <w:rPr>
                <w:sz w:val="16"/>
                <w:szCs w:val="16"/>
              </w:rPr>
            </w:pPr>
          </w:p>
        </w:tc>
      </w:tr>
    </w:tbl>
    <w:p w14:paraId="1043D80C" w14:textId="104E6F30" w:rsidR="00A93E8B" w:rsidRDefault="00A93E8B" w:rsidP="00A5741C">
      <w:pPr>
        <w:pStyle w:val="AbstractSummary"/>
        <w:spacing w:line="480" w:lineRule="auto"/>
        <w:jc w:val="both"/>
      </w:pPr>
    </w:p>
    <w:p w14:paraId="7C4089DA" w14:textId="77777777" w:rsidR="00D1495B" w:rsidRDefault="00D1495B" w:rsidP="00755B8D">
      <w:pPr>
        <w:pStyle w:val="AbstractSummary"/>
        <w:spacing w:line="480" w:lineRule="auto"/>
        <w:jc w:val="both"/>
      </w:pPr>
    </w:p>
    <w:p w14:paraId="5A1E2702" w14:textId="3C191C8D" w:rsidR="00A92266" w:rsidRDefault="00A92266" w:rsidP="00CA5B8E">
      <w:pPr>
        <w:pStyle w:val="AbstractSummary"/>
        <w:spacing w:line="480" w:lineRule="auto"/>
        <w:jc w:val="both"/>
      </w:pPr>
    </w:p>
    <w:p w14:paraId="372308AF" w14:textId="556471D4" w:rsidR="00F369DE" w:rsidRDefault="00F369DE" w:rsidP="00CA5B8E">
      <w:pPr>
        <w:pStyle w:val="AbstractSummary"/>
        <w:spacing w:line="480" w:lineRule="auto"/>
        <w:jc w:val="both"/>
      </w:pPr>
    </w:p>
    <w:p w14:paraId="096FC2C9" w14:textId="58FBF921" w:rsidR="00F369DE" w:rsidRDefault="00F369DE" w:rsidP="00CA5B8E">
      <w:pPr>
        <w:pStyle w:val="AbstractSummary"/>
        <w:spacing w:line="480" w:lineRule="auto"/>
        <w:jc w:val="both"/>
      </w:pPr>
    </w:p>
    <w:p w14:paraId="55913C7B" w14:textId="7308DAE3" w:rsidR="00F369DE" w:rsidRDefault="00F369DE" w:rsidP="00CA5B8E">
      <w:pPr>
        <w:pStyle w:val="AbstractSummary"/>
        <w:spacing w:line="480" w:lineRule="auto"/>
        <w:jc w:val="both"/>
      </w:pPr>
    </w:p>
    <w:p w14:paraId="35C21AF2" w14:textId="7DE1A321" w:rsidR="00F369DE" w:rsidRDefault="00F369DE" w:rsidP="00CA5B8E">
      <w:pPr>
        <w:pStyle w:val="AbstractSummary"/>
        <w:spacing w:line="480" w:lineRule="auto"/>
        <w:jc w:val="both"/>
      </w:pPr>
    </w:p>
    <w:p w14:paraId="543C13E9" w14:textId="77777777" w:rsidR="00F369DE" w:rsidRDefault="00F369DE" w:rsidP="00CA5B8E">
      <w:pPr>
        <w:pStyle w:val="AbstractSummary"/>
        <w:spacing w:line="480" w:lineRule="auto"/>
        <w:jc w:val="both"/>
      </w:pPr>
    </w:p>
    <w:p w14:paraId="4350DF24" w14:textId="77777777" w:rsidR="00E32FFB" w:rsidRDefault="00E32FFB" w:rsidP="00102509">
      <w:pPr>
        <w:rPr>
          <w:b/>
        </w:rPr>
      </w:pPr>
    </w:p>
    <w:p w14:paraId="5525DC1A" w14:textId="77777777" w:rsidR="00E32FFB" w:rsidRDefault="00E32FFB" w:rsidP="00102509">
      <w:pPr>
        <w:rPr>
          <w:b/>
        </w:rPr>
      </w:pPr>
    </w:p>
    <w:p w14:paraId="4A42441B" w14:textId="77777777" w:rsidR="00E32FFB" w:rsidRDefault="00E32FFB" w:rsidP="00102509">
      <w:pPr>
        <w:rPr>
          <w:b/>
        </w:rPr>
      </w:pPr>
    </w:p>
    <w:p w14:paraId="3494368A" w14:textId="05D7FE45" w:rsidR="00102509" w:rsidRPr="00D1671E" w:rsidRDefault="00102509" w:rsidP="00102509">
      <w:pPr>
        <w:rPr>
          <w:b/>
        </w:rPr>
      </w:pPr>
      <w:r w:rsidRPr="00D1671E">
        <w:rPr>
          <w:b/>
        </w:rPr>
        <w:lastRenderedPageBreak/>
        <w:t>ACKNOWLEDGMENTS</w:t>
      </w:r>
    </w:p>
    <w:p w14:paraId="34FD0A53" w14:textId="03F8E867" w:rsidR="00102509" w:rsidRDefault="00102509" w:rsidP="00102509">
      <w:pPr>
        <w:pStyle w:val="Acknowledgement"/>
        <w:spacing w:line="480" w:lineRule="auto"/>
        <w:ind w:left="0" w:firstLine="0"/>
        <w:jc w:val="both"/>
      </w:pPr>
      <w:r w:rsidRPr="00921519">
        <w:rPr>
          <w:b/>
        </w:rPr>
        <w:t>Acknowledgments:</w:t>
      </w:r>
      <w:r>
        <w:rPr>
          <w:b/>
        </w:rPr>
        <w:t xml:space="preserve"> </w:t>
      </w:r>
      <w:r w:rsidRPr="00314DDE">
        <w:t>We acknowledge</w:t>
      </w:r>
      <w:r>
        <w:rPr>
          <w:b/>
        </w:rPr>
        <w:t xml:space="preserve"> </w:t>
      </w:r>
      <w:r>
        <w:t>Peter Hopper, Alex Holman, and P. Sargent Bray for technical support</w:t>
      </w:r>
      <w:r w:rsidR="00283C1E">
        <w:t xml:space="preserve"> and Leszek </w:t>
      </w:r>
      <w:proofErr w:type="spellStart"/>
      <w:r w:rsidR="00283C1E">
        <w:t>Marynowski</w:t>
      </w:r>
      <w:proofErr w:type="spellEnd"/>
      <w:r w:rsidR="00283C1E">
        <w:t xml:space="preserve"> for providing</w:t>
      </w:r>
      <w:r w:rsidR="00E32FFB">
        <w:t xml:space="preserve"> additional</w:t>
      </w:r>
      <w:r w:rsidR="00283C1E">
        <w:t xml:space="preserve"> PAH data from their 2009 publication.</w:t>
      </w:r>
      <w:r w:rsidRPr="004A1788">
        <w:t xml:space="preserve"> </w:t>
      </w:r>
      <w:r w:rsidRPr="004A1788">
        <w:rPr>
          <w:b/>
        </w:rPr>
        <w:t>Funding:</w:t>
      </w:r>
      <w:r w:rsidRPr="004A1788">
        <w:t xml:space="preserve"> </w:t>
      </w:r>
      <w:r>
        <w:t>Fox acknowledges Curtin Uni</w:t>
      </w:r>
      <w:r w:rsidR="007B3745">
        <w:t>versity</w:t>
      </w:r>
      <w:r>
        <w:t>,</w:t>
      </w:r>
      <w:r w:rsidR="007B3745">
        <w:t xml:space="preserve"> the</w:t>
      </w:r>
      <w:r>
        <w:t xml:space="preserve"> European Association of Organic Geochemistry, and Khalifa Uni</w:t>
      </w:r>
      <w:r w:rsidR="007B3745">
        <w:t>versity</w:t>
      </w:r>
      <w:r>
        <w:t xml:space="preserve"> of Science and Technology (CIRA-2019-066). Fox and Grice thank the ARC (LP150100341; LE110100119; LE100100041; LE0882836). Whiteside thanks the NSF (EAR 1147402). Olsen acknowledges the Lamont Climate Center. </w:t>
      </w:r>
      <w:r w:rsidRPr="00050139">
        <w:rPr>
          <w:b/>
        </w:rPr>
        <w:t>Competing interests:</w:t>
      </w:r>
      <w:r w:rsidRPr="004A1788">
        <w:t xml:space="preserve"> </w:t>
      </w:r>
      <w:r>
        <w:t xml:space="preserve">Authors declare no competing interests. </w:t>
      </w:r>
    </w:p>
    <w:p w14:paraId="58691612" w14:textId="16CA7C1F" w:rsidR="00102509" w:rsidRPr="00A92266" w:rsidRDefault="00102509" w:rsidP="00A92266">
      <w:pPr>
        <w:tabs>
          <w:tab w:val="left" w:pos="1776"/>
        </w:tabs>
        <w:rPr>
          <w:lang w:val="en-US" w:eastAsia="en-US"/>
        </w:rPr>
      </w:pPr>
    </w:p>
    <w:sectPr w:rsidR="00102509" w:rsidRPr="00A92266" w:rsidSect="004746A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21F0C" w14:textId="77777777" w:rsidR="00124094" w:rsidRDefault="00124094" w:rsidP="00FA19FB">
      <w:pPr>
        <w:spacing w:after="0" w:line="240" w:lineRule="auto"/>
      </w:pPr>
      <w:r>
        <w:separator/>
      </w:r>
    </w:p>
  </w:endnote>
  <w:endnote w:type="continuationSeparator" w:id="0">
    <w:p w14:paraId="403A8318" w14:textId="77777777" w:rsidR="00124094" w:rsidRDefault="00124094" w:rsidP="00FA1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7ED78" w14:textId="77777777" w:rsidR="00124094" w:rsidRDefault="00124094" w:rsidP="00FA19FB">
      <w:pPr>
        <w:spacing w:after="0" w:line="240" w:lineRule="auto"/>
      </w:pPr>
      <w:r>
        <w:separator/>
      </w:r>
    </w:p>
  </w:footnote>
  <w:footnote w:type="continuationSeparator" w:id="0">
    <w:p w14:paraId="70C8BC5C" w14:textId="77777777" w:rsidR="00124094" w:rsidRDefault="00124094" w:rsidP="00FA19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11ADB"/>
    <w:multiLevelType w:val="multilevel"/>
    <w:tmpl w:val="0C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94A6741"/>
    <w:multiLevelType w:val="multilevel"/>
    <w:tmpl w:val="0C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B44A75"/>
    <w:multiLevelType w:val="hybridMultilevel"/>
    <w:tmpl w:val="80EA1D4A"/>
    <w:lvl w:ilvl="0" w:tplc="D458C420">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 w15:restartNumberingAfterBreak="0">
    <w:nsid w:val="316400B5"/>
    <w:multiLevelType w:val="multilevel"/>
    <w:tmpl w:val="A12A652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3A03E3D"/>
    <w:multiLevelType w:val="multilevel"/>
    <w:tmpl w:val="0C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85679BB"/>
    <w:multiLevelType w:val="multilevel"/>
    <w:tmpl w:val="AF2848A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A9B02C6"/>
    <w:multiLevelType w:val="hybridMultilevel"/>
    <w:tmpl w:val="F1889B3E"/>
    <w:lvl w:ilvl="0" w:tplc="51BE46B4">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 w15:restartNumberingAfterBreak="0">
    <w:nsid w:val="3F9457B8"/>
    <w:multiLevelType w:val="multilevel"/>
    <w:tmpl w:val="CEBC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E81630"/>
    <w:multiLevelType w:val="multilevel"/>
    <w:tmpl w:val="530EC7EC"/>
    <w:lvl w:ilvl="0">
      <w:start w:val="1"/>
      <w:numFmt w:val="decimal"/>
      <w:lvlText w:val="%1."/>
      <w:lvlJc w:val="left"/>
      <w:pPr>
        <w:ind w:left="360" w:hanging="360"/>
      </w:pPr>
      <w:rPr>
        <w:rFonts w:hint="default"/>
        <w:b/>
      </w:rPr>
    </w:lvl>
    <w:lvl w:ilvl="1">
      <w:start w:val="1"/>
      <w:numFmt w:val="decimal"/>
      <w:lvlText w:val="%1.%2."/>
      <w:lvlJc w:val="left"/>
      <w:pPr>
        <w:ind w:left="792" w:hanging="432"/>
      </w:pPr>
      <w:rPr>
        <w:lang w:val="en-G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B1242F2"/>
    <w:multiLevelType w:val="multilevel"/>
    <w:tmpl w:val="0C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C297E90"/>
    <w:multiLevelType w:val="hybridMultilevel"/>
    <w:tmpl w:val="77F6A23E"/>
    <w:lvl w:ilvl="0" w:tplc="0DDCFA2E">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num w:numId="1">
    <w:abstractNumId w:val="9"/>
  </w:num>
  <w:num w:numId="2">
    <w:abstractNumId w:val="4"/>
  </w:num>
  <w:num w:numId="3">
    <w:abstractNumId w:val="8"/>
  </w:num>
  <w:num w:numId="4">
    <w:abstractNumId w:val="0"/>
  </w:num>
  <w:num w:numId="5">
    <w:abstractNumId w:val="1"/>
  </w:num>
  <w:num w:numId="6">
    <w:abstractNumId w:val="7"/>
  </w:num>
  <w:num w:numId="7">
    <w:abstractNumId w:val="10"/>
  </w:num>
  <w:num w:numId="8">
    <w:abstractNumId w:val="6"/>
  </w:num>
  <w:num w:numId="9">
    <w:abstractNumId w:val="2"/>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Vert-Paleo&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2p5xxv20extjesawyvsd2ltsxzzddfdsxp&quot;&gt;My EndNote Library-Converted&lt;record-ids&gt;&lt;item&gt;25&lt;/item&gt;&lt;item&gt;286&lt;/item&gt;&lt;item&gt;2218&lt;/item&gt;&lt;item&gt;2367&lt;/item&gt;&lt;item&gt;2384&lt;/item&gt;&lt;item&gt;2385&lt;/item&gt;&lt;item&gt;2386&lt;/item&gt;&lt;/record-ids&gt;&lt;/item&gt;&lt;/Libraries&gt;"/>
  </w:docVars>
  <w:rsids>
    <w:rsidRoot w:val="004746A5"/>
    <w:rsid w:val="00001C33"/>
    <w:rsid w:val="0000235E"/>
    <w:rsid w:val="000029A5"/>
    <w:rsid w:val="00004D2B"/>
    <w:rsid w:val="000117A1"/>
    <w:rsid w:val="0001267C"/>
    <w:rsid w:val="00014AA9"/>
    <w:rsid w:val="0001579C"/>
    <w:rsid w:val="00016CAA"/>
    <w:rsid w:val="00020B7A"/>
    <w:rsid w:val="00024857"/>
    <w:rsid w:val="00024BDD"/>
    <w:rsid w:val="000339AA"/>
    <w:rsid w:val="00034212"/>
    <w:rsid w:val="0003440F"/>
    <w:rsid w:val="0004035E"/>
    <w:rsid w:val="000419E1"/>
    <w:rsid w:val="00042EE1"/>
    <w:rsid w:val="000440E8"/>
    <w:rsid w:val="0004447A"/>
    <w:rsid w:val="0004523D"/>
    <w:rsid w:val="00046388"/>
    <w:rsid w:val="00046CEF"/>
    <w:rsid w:val="00051390"/>
    <w:rsid w:val="00053CDD"/>
    <w:rsid w:val="00057876"/>
    <w:rsid w:val="00060F20"/>
    <w:rsid w:val="00061FAE"/>
    <w:rsid w:val="000645C8"/>
    <w:rsid w:val="00064E57"/>
    <w:rsid w:val="00064F3E"/>
    <w:rsid w:val="00065F70"/>
    <w:rsid w:val="00067CE8"/>
    <w:rsid w:val="000749FF"/>
    <w:rsid w:val="00077093"/>
    <w:rsid w:val="00080F53"/>
    <w:rsid w:val="00083E65"/>
    <w:rsid w:val="00090043"/>
    <w:rsid w:val="00090962"/>
    <w:rsid w:val="00092978"/>
    <w:rsid w:val="00094F3D"/>
    <w:rsid w:val="000A1ADF"/>
    <w:rsid w:val="000A2517"/>
    <w:rsid w:val="000A5AA0"/>
    <w:rsid w:val="000A696E"/>
    <w:rsid w:val="000B2DB4"/>
    <w:rsid w:val="000B35EA"/>
    <w:rsid w:val="000B66F2"/>
    <w:rsid w:val="000C2886"/>
    <w:rsid w:val="000C71B5"/>
    <w:rsid w:val="000D0862"/>
    <w:rsid w:val="000D1F44"/>
    <w:rsid w:val="000D2528"/>
    <w:rsid w:val="000D52BE"/>
    <w:rsid w:val="000D6729"/>
    <w:rsid w:val="000E2374"/>
    <w:rsid w:val="000E2F22"/>
    <w:rsid w:val="000E4804"/>
    <w:rsid w:val="000E484E"/>
    <w:rsid w:val="000E51DB"/>
    <w:rsid w:val="000E5655"/>
    <w:rsid w:val="000E678A"/>
    <w:rsid w:val="000E7295"/>
    <w:rsid w:val="000E760A"/>
    <w:rsid w:val="000F0A4B"/>
    <w:rsid w:val="000F1CB6"/>
    <w:rsid w:val="000F46D3"/>
    <w:rsid w:val="00101AC6"/>
    <w:rsid w:val="00102509"/>
    <w:rsid w:val="00104204"/>
    <w:rsid w:val="00104FFF"/>
    <w:rsid w:val="00106FEF"/>
    <w:rsid w:val="00107AC3"/>
    <w:rsid w:val="00112A62"/>
    <w:rsid w:val="001150F1"/>
    <w:rsid w:val="00122B32"/>
    <w:rsid w:val="00123A33"/>
    <w:rsid w:val="00124094"/>
    <w:rsid w:val="00124781"/>
    <w:rsid w:val="001253BB"/>
    <w:rsid w:val="00125801"/>
    <w:rsid w:val="00125E23"/>
    <w:rsid w:val="00132DA1"/>
    <w:rsid w:val="001347E1"/>
    <w:rsid w:val="00134F03"/>
    <w:rsid w:val="00137562"/>
    <w:rsid w:val="00137E51"/>
    <w:rsid w:val="0014005C"/>
    <w:rsid w:val="0014256E"/>
    <w:rsid w:val="00146613"/>
    <w:rsid w:val="00146A0F"/>
    <w:rsid w:val="00151ED6"/>
    <w:rsid w:val="00153337"/>
    <w:rsid w:val="00156A21"/>
    <w:rsid w:val="00160063"/>
    <w:rsid w:val="00164326"/>
    <w:rsid w:val="00164D2D"/>
    <w:rsid w:val="00165B8D"/>
    <w:rsid w:val="00170F79"/>
    <w:rsid w:val="00175BD8"/>
    <w:rsid w:val="0017783F"/>
    <w:rsid w:val="00182E7A"/>
    <w:rsid w:val="001833FA"/>
    <w:rsid w:val="00183E39"/>
    <w:rsid w:val="00184130"/>
    <w:rsid w:val="001858BF"/>
    <w:rsid w:val="00185CEA"/>
    <w:rsid w:val="00185F15"/>
    <w:rsid w:val="00187BE4"/>
    <w:rsid w:val="00187F5D"/>
    <w:rsid w:val="00191467"/>
    <w:rsid w:val="001964DB"/>
    <w:rsid w:val="001974A3"/>
    <w:rsid w:val="00197EC6"/>
    <w:rsid w:val="001A06D6"/>
    <w:rsid w:val="001A1FE9"/>
    <w:rsid w:val="001A2F52"/>
    <w:rsid w:val="001A5546"/>
    <w:rsid w:val="001A5871"/>
    <w:rsid w:val="001A71AD"/>
    <w:rsid w:val="001A7B7D"/>
    <w:rsid w:val="001B0CF0"/>
    <w:rsid w:val="001B2E87"/>
    <w:rsid w:val="001B3809"/>
    <w:rsid w:val="001B3842"/>
    <w:rsid w:val="001B4D84"/>
    <w:rsid w:val="001C169D"/>
    <w:rsid w:val="001C5960"/>
    <w:rsid w:val="001C6DE5"/>
    <w:rsid w:val="001D065D"/>
    <w:rsid w:val="001D4227"/>
    <w:rsid w:val="001D46D1"/>
    <w:rsid w:val="001E0412"/>
    <w:rsid w:val="001E5D81"/>
    <w:rsid w:val="001E7283"/>
    <w:rsid w:val="001F1B84"/>
    <w:rsid w:val="001F2DC6"/>
    <w:rsid w:val="001F74AB"/>
    <w:rsid w:val="00201061"/>
    <w:rsid w:val="002021AB"/>
    <w:rsid w:val="0020248E"/>
    <w:rsid w:val="00204C76"/>
    <w:rsid w:val="00205453"/>
    <w:rsid w:val="00205A31"/>
    <w:rsid w:val="00212180"/>
    <w:rsid w:val="0021274B"/>
    <w:rsid w:val="00212FDB"/>
    <w:rsid w:val="002154DF"/>
    <w:rsid w:val="0021562D"/>
    <w:rsid w:val="002178B9"/>
    <w:rsid w:val="00217C62"/>
    <w:rsid w:val="00220F5F"/>
    <w:rsid w:val="00223409"/>
    <w:rsid w:val="002239B6"/>
    <w:rsid w:val="00226934"/>
    <w:rsid w:val="00226E5B"/>
    <w:rsid w:val="00230EA6"/>
    <w:rsid w:val="00233B5B"/>
    <w:rsid w:val="00235F89"/>
    <w:rsid w:val="002402E1"/>
    <w:rsid w:val="00244F8B"/>
    <w:rsid w:val="0024591B"/>
    <w:rsid w:val="00246094"/>
    <w:rsid w:val="00247207"/>
    <w:rsid w:val="002504FD"/>
    <w:rsid w:val="00250793"/>
    <w:rsid w:val="0025322C"/>
    <w:rsid w:val="00253946"/>
    <w:rsid w:val="00254B01"/>
    <w:rsid w:val="00254C22"/>
    <w:rsid w:val="00255D4D"/>
    <w:rsid w:val="00262086"/>
    <w:rsid w:val="00266101"/>
    <w:rsid w:val="0026675F"/>
    <w:rsid w:val="00267B37"/>
    <w:rsid w:val="00271725"/>
    <w:rsid w:val="002740BF"/>
    <w:rsid w:val="002749EC"/>
    <w:rsid w:val="0027538E"/>
    <w:rsid w:val="00277121"/>
    <w:rsid w:val="0028136F"/>
    <w:rsid w:val="00281B7B"/>
    <w:rsid w:val="002823A9"/>
    <w:rsid w:val="00283C1E"/>
    <w:rsid w:val="00285947"/>
    <w:rsid w:val="002904D1"/>
    <w:rsid w:val="00290E9A"/>
    <w:rsid w:val="002926A9"/>
    <w:rsid w:val="00294615"/>
    <w:rsid w:val="002947E8"/>
    <w:rsid w:val="002977AB"/>
    <w:rsid w:val="002A234F"/>
    <w:rsid w:val="002A5674"/>
    <w:rsid w:val="002A6159"/>
    <w:rsid w:val="002A63D0"/>
    <w:rsid w:val="002B0D5E"/>
    <w:rsid w:val="002B164A"/>
    <w:rsid w:val="002B6C9A"/>
    <w:rsid w:val="002D0C7E"/>
    <w:rsid w:val="002D1930"/>
    <w:rsid w:val="002D79A2"/>
    <w:rsid w:val="002E0573"/>
    <w:rsid w:val="002E745F"/>
    <w:rsid w:val="002E7617"/>
    <w:rsid w:val="002E79F6"/>
    <w:rsid w:val="002F177F"/>
    <w:rsid w:val="002F31C7"/>
    <w:rsid w:val="002F7964"/>
    <w:rsid w:val="002F7E30"/>
    <w:rsid w:val="00312C78"/>
    <w:rsid w:val="00316ADB"/>
    <w:rsid w:val="003207B3"/>
    <w:rsid w:val="00321271"/>
    <w:rsid w:val="00321C0A"/>
    <w:rsid w:val="00322B1C"/>
    <w:rsid w:val="00326D42"/>
    <w:rsid w:val="00331372"/>
    <w:rsid w:val="003319D1"/>
    <w:rsid w:val="00332335"/>
    <w:rsid w:val="00332ABB"/>
    <w:rsid w:val="00334B1F"/>
    <w:rsid w:val="00336434"/>
    <w:rsid w:val="00340154"/>
    <w:rsid w:val="00344019"/>
    <w:rsid w:val="0034620C"/>
    <w:rsid w:val="00347F74"/>
    <w:rsid w:val="003503DD"/>
    <w:rsid w:val="00351F70"/>
    <w:rsid w:val="0035382B"/>
    <w:rsid w:val="003604D8"/>
    <w:rsid w:val="00360778"/>
    <w:rsid w:val="00360A5F"/>
    <w:rsid w:val="0036625B"/>
    <w:rsid w:val="003673C7"/>
    <w:rsid w:val="00367C58"/>
    <w:rsid w:val="003706BB"/>
    <w:rsid w:val="0037282C"/>
    <w:rsid w:val="00373F26"/>
    <w:rsid w:val="003771E3"/>
    <w:rsid w:val="00377418"/>
    <w:rsid w:val="00380138"/>
    <w:rsid w:val="00380CE0"/>
    <w:rsid w:val="0038284D"/>
    <w:rsid w:val="00384416"/>
    <w:rsid w:val="003910A2"/>
    <w:rsid w:val="00392240"/>
    <w:rsid w:val="0039249A"/>
    <w:rsid w:val="003939F1"/>
    <w:rsid w:val="00393EA4"/>
    <w:rsid w:val="00394DFD"/>
    <w:rsid w:val="003966C6"/>
    <w:rsid w:val="003A1F64"/>
    <w:rsid w:val="003A3768"/>
    <w:rsid w:val="003A50A3"/>
    <w:rsid w:val="003A768D"/>
    <w:rsid w:val="003A7F46"/>
    <w:rsid w:val="003B0548"/>
    <w:rsid w:val="003B2B31"/>
    <w:rsid w:val="003B4F90"/>
    <w:rsid w:val="003B5BD9"/>
    <w:rsid w:val="003B6DFD"/>
    <w:rsid w:val="003B7AFC"/>
    <w:rsid w:val="003C09DD"/>
    <w:rsid w:val="003C0C22"/>
    <w:rsid w:val="003C3C9D"/>
    <w:rsid w:val="003C6C40"/>
    <w:rsid w:val="003C75D6"/>
    <w:rsid w:val="003C77F4"/>
    <w:rsid w:val="003D1271"/>
    <w:rsid w:val="003D3BF8"/>
    <w:rsid w:val="003D673C"/>
    <w:rsid w:val="003D6870"/>
    <w:rsid w:val="003D7315"/>
    <w:rsid w:val="003D742D"/>
    <w:rsid w:val="003D77EB"/>
    <w:rsid w:val="003E24F8"/>
    <w:rsid w:val="003E2563"/>
    <w:rsid w:val="003E2EB4"/>
    <w:rsid w:val="003E3110"/>
    <w:rsid w:val="003E59F0"/>
    <w:rsid w:val="003F56EF"/>
    <w:rsid w:val="003F62A6"/>
    <w:rsid w:val="003F6D3D"/>
    <w:rsid w:val="00400560"/>
    <w:rsid w:val="004005A2"/>
    <w:rsid w:val="00405C65"/>
    <w:rsid w:val="004108AE"/>
    <w:rsid w:val="00410FBE"/>
    <w:rsid w:val="004215C4"/>
    <w:rsid w:val="00422BE5"/>
    <w:rsid w:val="00425496"/>
    <w:rsid w:val="0043168C"/>
    <w:rsid w:val="00432044"/>
    <w:rsid w:val="00434BAC"/>
    <w:rsid w:val="0043652D"/>
    <w:rsid w:val="00437383"/>
    <w:rsid w:val="00440CCB"/>
    <w:rsid w:val="00441639"/>
    <w:rsid w:val="0044287C"/>
    <w:rsid w:val="0044431D"/>
    <w:rsid w:val="004501AF"/>
    <w:rsid w:val="00451228"/>
    <w:rsid w:val="004529EE"/>
    <w:rsid w:val="00452ACD"/>
    <w:rsid w:val="00453DBF"/>
    <w:rsid w:val="00454B67"/>
    <w:rsid w:val="004629B4"/>
    <w:rsid w:val="00465C2E"/>
    <w:rsid w:val="00473250"/>
    <w:rsid w:val="004746A5"/>
    <w:rsid w:val="00477CB5"/>
    <w:rsid w:val="0048079F"/>
    <w:rsid w:val="00480ACF"/>
    <w:rsid w:val="00484F6B"/>
    <w:rsid w:val="00485D99"/>
    <w:rsid w:val="00486DE3"/>
    <w:rsid w:val="00495E0B"/>
    <w:rsid w:val="00496D1D"/>
    <w:rsid w:val="0049798A"/>
    <w:rsid w:val="004A2D9E"/>
    <w:rsid w:val="004A4B5E"/>
    <w:rsid w:val="004B0043"/>
    <w:rsid w:val="004B1A6E"/>
    <w:rsid w:val="004B2C93"/>
    <w:rsid w:val="004B3431"/>
    <w:rsid w:val="004C338F"/>
    <w:rsid w:val="004C48FD"/>
    <w:rsid w:val="004C724E"/>
    <w:rsid w:val="004D3962"/>
    <w:rsid w:val="004E14B4"/>
    <w:rsid w:val="004E1A53"/>
    <w:rsid w:val="004E2043"/>
    <w:rsid w:val="004E218C"/>
    <w:rsid w:val="004E3836"/>
    <w:rsid w:val="004E61CD"/>
    <w:rsid w:val="004E6874"/>
    <w:rsid w:val="004F0FC9"/>
    <w:rsid w:val="004F1A11"/>
    <w:rsid w:val="004F1D26"/>
    <w:rsid w:val="004F2414"/>
    <w:rsid w:val="004F303E"/>
    <w:rsid w:val="004F5114"/>
    <w:rsid w:val="004F58CE"/>
    <w:rsid w:val="004F67A0"/>
    <w:rsid w:val="004F7F66"/>
    <w:rsid w:val="0050419F"/>
    <w:rsid w:val="005045DC"/>
    <w:rsid w:val="005050F1"/>
    <w:rsid w:val="00507164"/>
    <w:rsid w:val="00507E2E"/>
    <w:rsid w:val="00511D4A"/>
    <w:rsid w:val="005138A6"/>
    <w:rsid w:val="00515BFB"/>
    <w:rsid w:val="0051777A"/>
    <w:rsid w:val="00517A5C"/>
    <w:rsid w:val="00517D11"/>
    <w:rsid w:val="00521658"/>
    <w:rsid w:val="00521DB7"/>
    <w:rsid w:val="00522CA0"/>
    <w:rsid w:val="005244BE"/>
    <w:rsid w:val="005262A1"/>
    <w:rsid w:val="00530EAB"/>
    <w:rsid w:val="00535D5B"/>
    <w:rsid w:val="00537E11"/>
    <w:rsid w:val="00537FDC"/>
    <w:rsid w:val="00540405"/>
    <w:rsid w:val="00540AA5"/>
    <w:rsid w:val="00545115"/>
    <w:rsid w:val="005456C4"/>
    <w:rsid w:val="00547FB1"/>
    <w:rsid w:val="005514A4"/>
    <w:rsid w:val="00552CEF"/>
    <w:rsid w:val="005537E4"/>
    <w:rsid w:val="0055729A"/>
    <w:rsid w:val="0055777F"/>
    <w:rsid w:val="0056184B"/>
    <w:rsid w:val="00562BEA"/>
    <w:rsid w:val="00562F47"/>
    <w:rsid w:val="00564F5D"/>
    <w:rsid w:val="00565303"/>
    <w:rsid w:val="0057011C"/>
    <w:rsid w:val="005713B0"/>
    <w:rsid w:val="00572932"/>
    <w:rsid w:val="00574A28"/>
    <w:rsid w:val="00576C5C"/>
    <w:rsid w:val="00576C9B"/>
    <w:rsid w:val="00580926"/>
    <w:rsid w:val="00581295"/>
    <w:rsid w:val="0058232F"/>
    <w:rsid w:val="00582C19"/>
    <w:rsid w:val="00582E53"/>
    <w:rsid w:val="005836E6"/>
    <w:rsid w:val="00584A4F"/>
    <w:rsid w:val="00592D15"/>
    <w:rsid w:val="005932D4"/>
    <w:rsid w:val="0059531F"/>
    <w:rsid w:val="00595705"/>
    <w:rsid w:val="0059697A"/>
    <w:rsid w:val="005A46C2"/>
    <w:rsid w:val="005A6213"/>
    <w:rsid w:val="005A6901"/>
    <w:rsid w:val="005B3D24"/>
    <w:rsid w:val="005B5090"/>
    <w:rsid w:val="005B534F"/>
    <w:rsid w:val="005B6585"/>
    <w:rsid w:val="005C2E5F"/>
    <w:rsid w:val="005C3F7F"/>
    <w:rsid w:val="005D7FE6"/>
    <w:rsid w:val="005E0E36"/>
    <w:rsid w:val="005E6E69"/>
    <w:rsid w:val="005F009F"/>
    <w:rsid w:val="005F035D"/>
    <w:rsid w:val="005F4D7E"/>
    <w:rsid w:val="005F5390"/>
    <w:rsid w:val="00603563"/>
    <w:rsid w:val="00611188"/>
    <w:rsid w:val="006114C7"/>
    <w:rsid w:val="00615534"/>
    <w:rsid w:val="00620055"/>
    <w:rsid w:val="00622368"/>
    <w:rsid w:val="0062292B"/>
    <w:rsid w:val="00623229"/>
    <w:rsid w:val="0062693D"/>
    <w:rsid w:val="006271A4"/>
    <w:rsid w:val="00632038"/>
    <w:rsid w:val="00632F1A"/>
    <w:rsid w:val="00635F8D"/>
    <w:rsid w:val="00637240"/>
    <w:rsid w:val="006401C3"/>
    <w:rsid w:val="0064273F"/>
    <w:rsid w:val="0064277A"/>
    <w:rsid w:val="00642E19"/>
    <w:rsid w:val="00643560"/>
    <w:rsid w:val="006439E6"/>
    <w:rsid w:val="006441C3"/>
    <w:rsid w:val="0064422A"/>
    <w:rsid w:val="006547DB"/>
    <w:rsid w:val="006647C3"/>
    <w:rsid w:val="00664F51"/>
    <w:rsid w:val="0066739F"/>
    <w:rsid w:val="006709EF"/>
    <w:rsid w:val="006737C9"/>
    <w:rsid w:val="0067443F"/>
    <w:rsid w:val="00676B75"/>
    <w:rsid w:val="0067717B"/>
    <w:rsid w:val="00680CA1"/>
    <w:rsid w:val="00681FAF"/>
    <w:rsid w:val="00683019"/>
    <w:rsid w:val="00684E8F"/>
    <w:rsid w:val="00686143"/>
    <w:rsid w:val="00687BFE"/>
    <w:rsid w:val="00693906"/>
    <w:rsid w:val="006946AB"/>
    <w:rsid w:val="006A303A"/>
    <w:rsid w:val="006A6CCF"/>
    <w:rsid w:val="006B0029"/>
    <w:rsid w:val="006B15D5"/>
    <w:rsid w:val="006B24CE"/>
    <w:rsid w:val="006B7947"/>
    <w:rsid w:val="006C1171"/>
    <w:rsid w:val="006C12E7"/>
    <w:rsid w:val="006C1349"/>
    <w:rsid w:val="006C5A55"/>
    <w:rsid w:val="006C5BBD"/>
    <w:rsid w:val="006C5D9E"/>
    <w:rsid w:val="006C6DB2"/>
    <w:rsid w:val="006C6DED"/>
    <w:rsid w:val="006E05D5"/>
    <w:rsid w:val="006E5D21"/>
    <w:rsid w:val="006E7DEF"/>
    <w:rsid w:val="006F0895"/>
    <w:rsid w:val="006F1B36"/>
    <w:rsid w:val="006F219C"/>
    <w:rsid w:val="006F3F69"/>
    <w:rsid w:val="006F673C"/>
    <w:rsid w:val="006F67C2"/>
    <w:rsid w:val="0070044E"/>
    <w:rsid w:val="00700539"/>
    <w:rsid w:val="00707226"/>
    <w:rsid w:val="00711B9B"/>
    <w:rsid w:val="0071531A"/>
    <w:rsid w:val="00715E5D"/>
    <w:rsid w:val="0071688F"/>
    <w:rsid w:val="00717B37"/>
    <w:rsid w:val="0072241E"/>
    <w:rsid w:val="007229D4"/>
    <w:rsid w:val="00725A45"/>
    <w:rsid w:val="00727301"/>
    <w:rsid w:val="007340C2"/>
    <w:rsid w:val="00735E15"/>
    <w:rsid w:val="00736BB3"/>
    <w:rsid w:val="00744187"/>
    <w:rsid w:val="0074796C"/>
    <w:rsid w:val="00750C99"/>
    <w:rsid w:val="00751B59"/>
    <w:rsid w:val="007526CD"/>
    <w:rsid w:val="007557EA"/>
    <w:rsid w:val="0075589A"/>
    <w:rsid w:val="00755B8D"/>
    <w:rsid w:val="0075721E"/>
    <w:rsid w:val="00763F69"/>
    <w:rsid w:val="00765C68"/>
    <w:rsid w:val="007704C0"/>
    <w:rsid w:val="00770D75"/>
    <w:rsid w:val="00772B65"/>
    <w:rsid w:val="00773375"/>
    <w:rsid w:val="007771C4"/>
    <w:rsid w:val="00785211"/>
    <w:rsid w:val="00786C87"/>
    <w:rsid w:val="00787092"/>
    <w:rsid w:val="00791475"/>
    <w:rsid w:val="00792016"/>
    <w:rsid w:val="007939C9"/>
    <w:rsid w:val="007A1C82"/>
    <w:rsid w:val="007A48F2"/>
    <w:rsid w:val="007A4970"/>
    <w:rsid w:val="007A7107"/>
    <w:rsid w:val="007A7519"/>
    <w:rsid w:val="007B0E46"/>
    <w:rsid w:val="007B3745"/>
    <w:rsid w:val="007B3788"/>
    <w:rsid w:val="007B7BB2"/>
    <w:rsid w:val="007C05E3"/>
    <w:rsid w:val="007C14B9"/>
    <w:rsid w:val="007C1BA1"/>
    <w:rsid w:val="007C50C4"/>
    <w:rsid w:val="007C50F3"/>
    <w:rsid w:val="007C66D9"/>
    <w:rsid w:val="007C7278"/>
    <w:rsid w:val="007D2177"/>
    <w:rsid w:val="007D6248"/>
    <w:rsid w:val="007D702C"/>
    <w:rsid w:val="007E27C9"/>
    <w:rsid w:val="007E5D5C"/>
    <w:rsid w:val="007E647E"/>
    <w:rsid w:val="007E679B"/>
    <w:rsid w:val="007E6D06"/>
    <w:rsid w:val="007E7899"/>
    <w:rsid w:val="007F3888"/>
    <w:rsid w:val="007F45B2"/>
    <w:rsid w:val="007F57AA"/>
    <w:rsid w:val="007F6604"/>
    <w:rsid w:val="007F75C3"/>
    <w:rsid w:val="00803F28"/>
    <w:rsid w:val="008105C4"/>
    <w:rsid w:val="00812BED"/>
    <w:rsid w:val="008138C9"/>
    <w:rsid w:val="00813B89"/>
    <w:rsid w:val="00815CF9"/>
    <w:rsid w:val="00820EAE"/>
    <w:rsid w:val="0082171E"/>
    <w:rsid w:val="00821C3B"/>
    <w:rsid w:val="00821E7B"/>
    <w:rsid w:val="008232FB"/>
    <w:rsid w:val="00825D90"/>
    <w:rsid w:val="0082751C"/>
    <w:rsid w:val="00827574"/>
    <w:rsid w:val="00827A21"/>
    <w:rsid w:val="00830DBB"/>
    <w:rsid w:val="0083396E"/>
    <w:rsid w:val="00833BA9"/>
    <w:rsid w:val="008345C7"/>
    <w:rsid w:val="008357DA"/>
    <w:rsid w:val="00835893"/>
    <w:rsid w:val="00835D45"/>
    <w:rsid w:val="00837ADC"/>
    <w:rsid w:val="00840149"/>
    <w:rsid w:val="00841034"/>
    <w:rsid w:val="0084270E"/>
    <w:rsid w:val="00842EF5"/>
    <w:rsid w:val="00847DAD"/>
    <w:rsid w:val="00853EF8"/>
    <w:rsid w:val="008566C1"/>
    <w:rsid w:val="00856CE8"/>
    <w:rsid w:val="00857768"/>
    <w:rsid w:val="00860195"/>
    <w:rsid w:val="00861DCC"/>
    <w:rsid w:val="00863CEA"/>
    <w:rsid w:val="00867AD1"/>
    <w:rsid w:val="00870A64"/>
    <w:rsid w:val="00870EDA"/>
    <w:rsid w:val="0087155D"/>
    <w:rsid w:val="008764B0"/>
    <w:rsid w:val="00880763"/>
    <w:rsid w:val="00884EE3"/>
    <w:rsid w:val="00891FD3"/>
    <w:rsid w:val="00894620"/>
    <w:rsid w:val="008A046D"/>
    <w:rsid w:val="008A1BF3"/>
    <w:rsid w:val="008A2659"/>
    <w:rsid w:val="008A298A"/>
    <w:rsid w:val="008A2BE4"/>
    <w:rsid w:val="008A592B"/>
    <w:rsid w:val="008A78D3"/>
    <w:rsid w:val="008A7F22"/>
    <w:rsid w:val="008B1DA4"/>
    <w:rsid w:val="008B561C"/>
    <w:rsid w:val="008C0F2A"/>
    <w:rsid w:val="008C2016"/>
    <w:rsid w:val="008C2ACC"/>
    <w:rsid w:val="008C393D"/>
    <w:rsid w:val="008C4F30"/>
    <w:rsid w:val="008C52F9"/>
    <w:rsid w:val="008D1213"/>
    <w:rsid w:val="008D2836"/>
    <w:rsid w:val="008D37FD"/>
    <w:rsid w:val="008D6CF0"/>
    <w:rsid w:val="008E08A5"/>
    <w:rsid w:val="008E289D"/>
    <w:rsid w:val="008E3750"/>
    <w:rsid w:val="008E3A6F"/>
    <w:rsid w:val="008E4190"/>
    <w:rsid w:val="008E485F"/>
    <w:rsid w:val="008E6E1D"/>
    <w:rsid w:val="008F04BD"/>
    <w:rsid w:val="008F09A5"/>
    <w:rsid w:val="008F16A9"/>
    <w:rsid w:val="008F4676"/>
    <w:rsid w:val="00906C3C"/>
    <w:rsid w:val="009118A9"/>
    <w:rsid w:val="00912AD7"/>
    <w:rsid w:val="009153EB"/>
    <w:rsid w:val="00916F27"/>
    <w:rsid w:val="00917311"/>
    <w:rsid w:val="009176EE"/>
    <w:rsid w:val="00920359"/>
    <w:rsid w:val="00921F7A"/>
    <w:rsid w:val="009316C1"/>
    <w:rsid w:val="00933027"/>
    <w:rsid w:val="00936169"/>
    <w:rsid w:val="00946178"/>
    <w:rsid w:val="00947CBE"/>
    <w:rsid w:val="00952301"/>
    <w:rsid w:val="009529B8"/>
    <w:rsid w:val="009532DB"/>
    <w:rsid w:val="00954DFA"/>
    <w:rsid w:val="00955726"/>
    <w:rsid w:val="0095768F"/>
    <w:rsid w:val="009577E2"/>
    <w:rsid w:val="00961451"/>
    <w:rsid w:val="00962ECC"/>
    <w:rsid w:val="0096485A"/>
    <w:rsid w:val="0096521D"/>
    <w:rsid w:val="009662E6"/>
    <w:rsid w:val="00966969"/>
    <w:rsid w:val="00970A03"/>
    <w:rsid w:val="00974823"/>
    <w:rsid w:val="009766E9"/>
    <w:rsid w:val="00984A4D"/>
    <w:rsid w:val="00987BF0"/>
    <w:rsid w:val="009910B5"/>
    <w:rsid w:val="009926CA"/>
    <w:rsid w:val="009933FA"/>
    <w:rsid w:val="009949E6"/>
    <w:rsid w:val="0099688E"/>
    <w:rsid w:val="00997EC7"/>
    <w:rsid w:val="00997FEA"/>
    <w:rsid w:val="009A044D"/>
    <w:rsid w:val="009A256E"/>
    <w:rsid w:val="009A35C5"/>
    <w:rsid w:val="009A3FAB"/>
    <w:rsid w:val="009A7745"/>
    <w:rsid w:val="009A785B"/>
    <w:rsid w:val="009B33BC"/>
    <w:rsid w:val="009B7AFF"/>
    <w:rsid w:val="009C0853"/>
    <w:rsid w:val="009C38F0"/>
    <w:rsid w:val="009C3A99"/>
    <w:rsid w:val="009C614C"/>
    <w:rsid w:val="009C7D18"/>
    <w:rsid w:val="009D26BB"/>
    <w:rsid w:val="009D4ABB"/>
    <w:rsid w:val="009D585C"/>
    <w:rsid w:val="009D62BF"/>
    <w:rsid w:val="009D723F"/>
    <w:rsid w:val="009E1A76"/>
    <w:rsid w:val="009E4472"/>
    <w:rsid w:val="009E7B9E"/>
    <w:rsid w:val="009F00C8"/>
    <w:rsid w:val="009F175A"/>
    <w:rsid w:val="009F347F"/>
    <w:rsid w:val="009F61AC"/>
    <w:rsid w:val="009F6488"/>
    <w:rsid w:val="009F72F6"/>
    <w:rsid w:val="00A017F1"/>
    <w:rsid w:val="00A01AD9"/>
    <w:rsid w:val="00A01B9F"/>
    <w:rsid w:val="00A02601"/>
    <w:rsid w:val="00A063A5"/>
    <w:rsid w:val="00A06EF8"/>
    <w:rsid w:val="00A076D8"/>
    <w:rsid w:val="00A11546"/>
    <w:rsid w:val="00A12F0F"/>
    <w:rsid w:val="00A136CC"/>
    <w:rsid w:val="00A136DE"/>
    <w:rsid w:val="00A14EA4"/>
    <w:rsid w:val="00A16979"/>
    <w:rsid w:val="00A1736C"/>
    <w:rsid w:val="00A20866"/>
    <w:rsid w:val="00A248A8"/>
    <w:rsid w:val="00A249D1"/>
    <w:rsid w:val="00A25D6A"/>
    <w:rsid w:val="00A31915"/>
    <w:rsid w:val="00A32EA6"/>
    <w:rsid w:val="00A35D55"/>
    <w:rsid w:val="00A409C9"/>
    <w:rsid w:val="00A40FC6"/>
    <w:rsid w:val="00A42094"/>
    <w:rsid w:val="00A42A40"/>
    <w:rsid w:val="00A431CE"/>
    <w:rsid w:val="00A437F1"/>
    <w:rsid w:val="00A43885"/>
    <w:rsid w:val="00A46711"/>
    <w:rsid w:val="00A472A2"/>
    <w:rsid w:val="00A513AE"/>
    <w:rsid w:val="00A53574"/>
    <w:rsid w:val="00A54D6D"/>
    <w:rsid w:val="00A5741C"/>
    <w:rsid w:val="00A6027C"/>
    <w:rsid w:val="00A6498C"/>
    <w:rsid w:val="00A65C13"/>
    <w:rsid w:val="00A65E22"/>
    <w:rsid w:val="00A70226"/>
    <w:rsid w:val="00A73E7C"/>
    <w:rsid w:val="00A75365"/>
    <w:rsid w:val="00A76A8B"/>
    <w:rsid w:val="00A80786"/>
    <w:rsid w:val="00A82C2F"/>
    <w:rsid w:val="00A82DC2"/>
    <w:rsid w:val="00A839EE"/>
    <w:rsid w:val="00A83C14"/>
    <w:rsid w:val="00A849D0"/>
    <w:rsid w:val="00A860EC"/>
    <w:rsid w:val="00A86CCA"/>
    <w:rsid w:val="00A870C5"/>
    <w:rsid w:val="00A8767A"/>
    <w:rsid w:val="00A92266"/>
    <w:rsid w:val="00A9256B"/>
    <w:rsid w:val="00A926FA"/>
    <w:rsid w:val="00A93068"/>
    <w:rsid w:val="00A93C98"/>
    <w:rsid w:val="00A93E8B"/>
    <w:rsid w:val="00A94770"/>
    <w:rsid w:val="00AA7173"/>
    <w:rsid w:val="00AA76DE"/>
    <w:rsid w:val="00AB1E1E"/>
    <w:rsid w:val="00AB4A4A"/>
    <w:rsid w:val="00AC0C0C"/>
    <w:rsid w:val="00AC452A"/>
    <w:rsid w:val="00AC48E7"/>
    <w:rsid w:val="00AC5C35"/>
    <w:rsid w:val="00AD2BBB"/>
    <w:rsid w:val="00AD4ACA"/>
    <w:rsid w:val="00AD6AE9"/>
    <w:rsid w:val="00AE0F1A"/>
    <w:rsid w:val="00AE1C2F"/>
    <w:rsid w:val="00AE30FA"/>
    <w:rsid w:val="00AE3B50"/>
    <w:rsid w:val="00AE779E"/>
    <w:rsid w:val="00AE7F86"/>
    <w:rsid w:val="00AF066C"/>
    <w:rsid w:val="00AF0EA7"/>
    <w:rsid w:val="00AF36CA"/>
    <w:rsid w:val="00AF4636"/>
    <w:rsid w:val="00AF65C3"/>
    <w:rsid w:val="00AF6E5E"/>
    <w:rsid w:val="00B03D6B"/>
    <w:rsid w:val="00B049C7"/>
    <w:rsid w:val="00B06BFC"/>
    <w:rsid w:val="00B10A40"/>
    <w:rsid w:val="00B113F3"/>
    <w:rsid w:val="00B11A66"/>
    <w:rsid w:val="00B130E7"/>
    <w:rsid w:val="00B139E5"/>
    <w:rsid w:val="00B14318"/>
    <w:rsid w:val="00B17E78"/>
    <w:rsid w:val="00B21A6A"/>
    <w:rsid w:val="00B228CC"/>
    <w:rsid w:val="00B229F2"/>
    <w:rsid w:val="00B237DC"/>
    <w:rsid w:val="00B330EB"/>
    <w:rsid w:val="00B35AA8"/>
    <w:rsid w:val="00B36082"/>
    <w:rsid w:val="00B369EC"/>
    <w:rsid w:val="00B416FA"/>
    <w:rsid w:val="00B50E67"/>
    <w:rsid w:val="00B528A3"/>
    <w:rsid w:val="00B5334A"/>
    <w:rsid w:val="00B53C67"/>
    <w:rsid w:val="00B60B26"/>
    <w:rsid w:val="00B61494"/>
    <w:rsid w:val="00B6286B"/>
    <w:rsid w:val="00B63013"/>
    <w:rsid w:val="00B6323F"/>
    <w:rsid w:val="00B66122"/>
    <w:rsid w:val="00B71943"/>
    <w:rsid w:val="00B774F0"/>
    <w:rsid w:val="00B82048"/>
    <w:rsid w:val="00B8336F"/>
    <w:rsid w:val="00B8487E"/>
    <w:rsid w:val="00B86A23"/>
    <w:rsid w:val="00B906AA"/>
    <w:rsid w:val="00B910AB"/>
    <w:rsid w:val="00B920C7"/>
    <w:rsid w:val="00B92ACB"/>
    <w:rsid w:val="00B92ED2"/>
    <w:rsid w:val="00B95056"/>
    <w:rsid w:val="00BA0E55"/>
    <w:rsid w:val="00BA35B5"/>
    <w:rsid w:val="00BB1711"/>
    <w:rsid w:val="00BB1A23"/>
    <w:rsid w:val="00BB1D4F"/>
    <w:rsid w:val="00BC0717"/>
    <w:rsid w:val="00BC07E6"/>
    <w:rsid w:val="00BC1321"/>
    <w:rsid w:val="00BC4844"/>
    <w:rsid w:val="00BC4B2D"/>
    <w:rsid w:val="00BC562C"/>
    <w:rsid w:val="00BC72E3"/>
    <w:rsid w:val="00BD0002"/>
    <w:rsid w:val="00BD0436"/>
    <w:rsid w:val="00BD106E"/>
    <w:rsid w:val="00BD6DC1"/>
    <w:rsid w:val="00BD7779"/>
    <w:rsid w:val="00BE3FE7"/>
    <w:rsid w:val="00BE4FCB"/>
    <w:rsid w:val="00BF087F"/>
    <w:rsid w:val="00BF111B"/>
    <w:rsid w:val="00BF116E"/>
    <w:rsid w:val="00BF1787"/>
    <w:rsid w:val="00BF350C"/>
    <w:rsid w:val="00BF5351"/>
    <w:rsid w:val="00BF7263"/>
    <w:rsid w:val="00C01DD0"/>
    <w:rsid w:val="00C025F2"/>
    <w:rsid w:val="00C038A6"/>
    <w:rsid w:val="00C048EA"/>
    <w:rsid w:val="00C05DCB"/>
    <w:rsid w:val="00C06384"/>
    <w:rsid w:val="00C07758"/>
    <w:rsid w:val="00C10450"/>
    <w:rsid w:val="00C105BB"/>
    <w:rsid w:val="00C1117D"/>
    <w:rsid w:val="00C130D6"/>
    <w:rsid w:val="00C16DED"/>
    <w:rsid w:val="00C17748"/>
    <w:rsid w:val="00C23335"/>
    <w:rsid w:val="00C255E1"/>
    <w:rsid w:val="00C31CE8"/>
    <w:rsid w:val="00C34675"/>
    <w:rsid w:val="00C3477E"/>
    <w:rsid w:val="00C350EA"/>
    <w:rsid w:val="00C363A8"/>
    <w:rsid w:val="00C367B1"/>
    <w:rsid w:val="00C36EBF"/>
    <w:rsid w:val="00C40521"/>
    <w:rsid w:val="00C41DCC"/>
    <w:rsid w:val="00C45DE3"/>
    <w:rsid w:val="00C471AB"/>
    <w:rsid w:val="00C520FA"/>
    <w:rsid w:val="00C52E72"/>
    <w:rsid w:val="00C53247"/>
    <w:rsid w:val="00C536C6"/>
    <w:rsid w:val="00C6007A"/>
    <w:rsid w:val="00C611B1"/>
    <w:rsid w:val="00C63A87"/>
    <w:rsid w:val="00C67FCA"/>
    <w:rsid w:val="00C718FD"/>
    <w:rsid w:val="00C72FCF"/>
    <w:rsid w:val="00C7310B"/>
    <w:rsid w:val="00C73AAB"/>
    <w:rsid w:val="00C74050"/>
    <w:rsid w:val="00C76E49"/>
    <w:rsid w:val="00C80408"/>
    <w:rsid w:val="00C87222"/>
    <w:rsid w:val="00C90413"/>
    <w:rsid w:val="00C912AF"/>
    <w:rsid w:val="00C913AB"/>
    <w:rsid w:val="00C93B49"/>
    <w:rsid w:val="00C950BC"/>
    <w:rsid w:val="00C97B1E"/>
    <w:rsid w:val="00C97F2A"/>
    <w:rsid w:val="00CA1954"/>
    <w:rsid w:val="00CA2C65"/>
    <w:rsid w:val="00CA2D69"/>
    <w:rsid w:val="00CA3118"/>
    <w:rsid w:val="00CA3799"/>
    <w:rsid w:val="00CA3EAD"/>
    <w:rsid w:val="00CA3F57"/>
    <w:rsid w:val="00CA4AA4"/>
    <w:rsid w:val="00CA5B8E"/>
    <w:rsid w:val="00CA76D3"/>
    <w:rsid w:val="00CA79FB"/>
    <w:rsid w:val="00CB428C"/>
    <w:rsid w:val="00CB4538"/>
    <w:rsid w:val="00CB46B0"/>
    <w:rsid w:val="00CB5BDA"/>
    <w:rsid w:val="00CC2278"/>
    <w:rsid w:val="00CC29DD"/>
    <w:rsid w:val="00CC2C16"/>
    <w:rsid w:val="00CC491F"/>
    <w:rsid w:val="00CD028E"/>
    <w:rsid w:val="00CD1B19"/>
    <w:rsid w:val="00CD3C7F"/>
    <w:rsid w:val="00CD61A9"/>
    <w:rsid w:val="00CE10D6"/>
    <w:rsid w:val="00CE121E"/>
    <w:rsid w:val="00CE4F0B"/>
    <w:rsid w:val="00CE6E00"/>
    <w:rsid w:val="00CE7418"/>
    <w:rsid w:val="00CF01FE"/>
    <w:rsid w:val="00CF06EB"/>
    <w:rsid w:val="00CF1061"/>
    <w:rsid w:val="00CF14CA"/>
    <w:rsid w:val="00CF1ECE"/>
    <w:rsid w:val="00CF1FDD"/>
    <w:rsid w:val="00CF62F9"/>
    <w:rsid w:val="00CF7340"/>
    <w:rsid w:val="00D002CA"/>
    <w:rsid w:val="00D010B9"/>
    <w:rsid w:val="00D01D81"/>
    <w:rsid w:val="00D04B3D"/>
    <w:rsid w:val="00D1495B"/>
    <w:rsid w:val="00D17004"/>
    <w:rsid w:val="00D23969"/>
    <w:rsid w:val="00D302AB"/>
    <w:rsid w:val="00D3101A"/>
    <w:rsid w:val="00D35071"/>
    <w:rsid w:val="00D40DCC"/>
    <w:rsid w:val="00D45F8C"/>
    <w:rsid w:val="00D5224F"/>
    <w:rsid w:val="00D54BDC"/>
    <w:rsid w:val="00D54DD0"/>
    <w:rsid w:val="00D6215E"/>
    <w:rsid w:val="00D62DDE"/>
    <w:rsid w:val="00D63636"/>
    <w:rsid w:val="00D637D8"/>
    <w:rsid w:val="00D65132"/>
    <w:rsid w:val="00D65BDB"/>
    <w:rsid w:val="00D7098F"/>
    <w:rsid w:val="00D711A7"/>
    <w:rsid w:val="00D73CE2"/>
    <w:rsid w:val="00D7522E"/>
    <w:rsid w:val="00D7562D"/>
    <w:rsid w:val="00D82392"/>
    <w:rsid w:val="00D853FE"/>
    <w:rsid w:val="00D877CD"/>
    <w:rsid w:val="00D877F7"/>
    <w:rsid w:val="00D93689"/>
    <w:rsid w:val="00D946DC"/>
    <w:rsid w:val="00D96C83"/>
    <w:rsid w:val="00D97327"/>
    <w:rsid w:val="00DA08B5"/>
    <w:rsid w:val="00DA097C"/>
    <w:rsid w:val="00DA0A38"/>
    <w:rsid w:val="00DA4907"/>
    <w:rsid w:val="00DA5057"/>
    <w:rsid w:val="00DA62EB"/>
    <w:rsid w:val="00DA70DA"/>
    <w:rsid w:val="00DA7BA3"/>
    <w:rsid w:val="00DB0CB0"/>
    <w:rsid w:val="00DB1FE8"/>
    <w:rsid w:val="00DB4F76"/>
    <w:rsid w:val="00DB5A4F"/>
    <w:rsid w:val="00DC19A6"/>
    <w:rsid w:val="00DC45DB"/>
    <w:rsid w:val="00DC754D"/>
    <w:rsid w:val="00DD0516"/>
    <w:rsid w:val="00DD17BE"/>
    <w:rsid w:val="00DD3F30"/>
    <w:rsid w:val="00DD5308"/>
    <w:rsid w:val="00DD7827"/>
    <w:rsid w:val="00DE16FE"/>
    <w:rsid w:val="00DE18E1"/>
    <w:rsid w:val="00DE3090"/>
    <w:rsid w:val="00DF052C"/>
    <w:rsid w:val="00DF11D6"/>
    <w:rsid w:val="00DF4DD8"/>
    <w:rsid w:val="00DF574B"/>
    <w:rsid w:val="00E0039D"/>
    <w:rsid w:val="00E01DC7"/>
    <w:rsid w:val="00E01FCA"/>
    <w:rsid w:val="00E02EE3"/>
    <w:rsid w:val="00E031DF"/>
    <w:rsid w:val="00E0395B"/>
    <w:rsid w:val="00E10D0C"/>
    <w:rsid w:val="00E118CC"/>
    <w:rsid w:val="00E13955"/>
    <w:rsid w:val="00E13C5E"/>
    <w:rsid w:val="00E17310"/>
    <w:rsid w:val="00E1773B"/>
    <w:rsid w:val="00E21398"/>
    <w:rsid w:val="00E2216C"/>
    <w:rsid w:val="00E23600"/>
    <w:rsid w:val="00E308B3"/>
    <w:rsid w:val="00E32FFB"/>
    <w:rsid w:val="00E35DEF"/>
    <w:rsid w:val="00E40986"/>
    <w:rsid w:val="00E43D1F"/>
    <w:rsid w:val="00E45DEC"/>
    <w:rsid w:val="00E4732F"/>
    <w:rsid w:val="00E47ABB"/>
    <w:rsid w:val="00E51772"/>
    <w:rsid w:val="00E57699"/>
    <w:rsid w:val="00E60237"/>
    <w:rsid w:val="00E63CC2"/>
    <w:rsid w:val="00E66030"/>
    <w:rsid w:val="00E66C1F"/>
    <w:rsid w:val="00E7160F"/>
    <w:rsid w:val="00E71752"/>
    <w:rsid w:val="00E76181"/>
    <w:rsid w:val="00E76A21"/>
    <w:rsid w:val="00E77508"/>
    <w:rsid w:val="00E80C0C"/>
    <w:rsid w:val="00E82DBE"/>
    <w:rsid w:val="00E84055"/>
    <w:rsid w:val="00E86BDD"/>
    <w:rsid w:val="00E911B6"/>
    <w:rsid w:val="00E92AD4"/>
    <w:rsid w:val="00E92ECD"/>
    <w:rsid w:val="00E952A8"/>
    <w:rsid w:val="00EA0080"/>
    <w:rsid w:val="00EA073D"/>
    <w:rsid w:val="00EA0990"/>
    <w:rsid w:val="00EA222E"/>
    <w:rsid w:val="00EA2421"/>
    <w:rsid w:val="00EA3F9E"/>
    <w:rsid w:val="00EA46FB"/>
    <w:rsid w:val="00EB2DB5"/>
    <w:rsid w:val="00EB40A6"/>
    <w:rsid w:val="00EB6772"/>
    <w:rsid w:val="00EB7171"/>
    <w:rsid w:val="00EB784C"/>
    <w:rsid w:val="00EC26EB"/>
    <w:rsid w:val="00EC3B2B"/>
    <w:rsid w:val="00EC544C"/>
    <w:rsid w:val="00EC7EED"/>
    <w:rsid w:val="00ED419A"/>
    <w:rsid w:val="00ED79FB"/>
    <w:rsid w:val="00EE346A"/>
    <w:rsid w:val="00EE6275"/>
    <w:rsid w:val="00EE6CF6"/>
    <w:rsid w:val="00EF1B13"/>
    <w:rsid w:val="00EF3C17"/>
    <w:rsid w:val="00EF4361"/>
    <w:rsid w:val="00F00FDE"/>
    <w:rsid w:val="00F024AE"/>
    <w:rsid w:val="00F05A52"/>
    <w:rsid w:val="00F068A5"/>
    <w:rsid w:val="00F10288"/>
    <w:rsid w:val="00F11752"/>
    <w:rsid w:val="00F1305B"/>
    <w:rsid w:val="00F21809"/>
    <w:rsid w:val="00F21874"/>
    <w:rsid w:val="00F249BB"/>
    <w:rsid w:val="00F26E18"/>
    <w:rsid w:val="00F27791"/>
    <w:rsid w:val="00F27D95"/>
    <w:rsid w:val="00F27E3D"/>
    <w:rsid w:val="00F27F8B"/>
    <w:rsid w:val="00F31029"/>
    <w:rsid w:val="00F32790"/>
    <w:rsid w:val="00F34A1F"/>
    <w:rsid w:val="00F369DE"/>
    <w:rsid w:val="00F369E3"/>
    <w:rsid w:val="00F36EB3"/>
    <w:rsid w:val="00F4391F"/>
    <w:rsid w:val="00F439FF"/>
    <w:rsid w:val="00F43CC7"/>
    <w:rsid w:val="00F45447"/>
    <w:rsid w:val="00F462C4"/>
    <w:rsid w:val="00F47959"/>
    <w:rsid w:val="00F51267"/>
    <w:rsid w:val="00F5501D"/>
    <w:rsid w:val="00F55CC7"/>
    <w:rsid w:val="00F573FE"/>
    <w:rsid w:val="00F66FC3"/>
    <w:rsid w:val="00F751EF"/>
    <w:rsid w:val="00F76AC7"/>
    <w:rsid w:val="00F77CDD"/>
    <w:rsid w:val="00F82DB1"/>
    <w:rsid w:val="00F834E4"/>
    <w:rsid w:val="00F87611"/>
    <w:rsid w:val="00F90AD7"/>
    <w:rsid w:val="00F90B6B"/>
    <w:rsid w:val="00F93F1B"/>
    <w:rsid w:val="00F97ABD"/>
    <w:rsid w:val="00F97BE0"/>
    <w:rsid w:val="00FA192C"/>
    <w:rsid w:val="00FA19FB"/>
    <w:rsid w:val="00FA1E8B"/>
    <w:rsid w:val="00FA2EC3"/>
    <w:rsid w:val="00FA4CBE"/>
    <w:rsid w:val="00FA4E9E"/>
    <w:rsid w:val="00FA5D02"/>
    <w:rsid w:val="00FA5D2B"/>
    <w:rsid w:val="00FB215E"/>
    <w:rsid w:val="00FB5569"/>
    <w:rsid w:val="00FB5A28"/>
    <w:rsid w:val="00FC2901"/>
    <w:rsid w:val="00FC46C8"/>
    <w:rsid w:val="00FC62E4"/>
    <w:rsid w:val="00FC7937"/>
    <w:rsid w:val="00FD26B9"/>
    <w:rsid w:val="00FD3748"/>
    <w:rsid w:val="00FD742C"/>
    <w:rsid w:val="00FE04CB"/>
    <w:rsid w:val="00FE23BD"/>
    <w:rsid w:val="00FF3604"/>
    <w:rsid w:val="00FF5D04"/>
    <w:rsid w:val="00FF61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F2004"/>
  <w15:docId w15:val="{00D72BE4-80B2-484A-BDC6-63929B3CD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6A5"/>
    <w:rPr>
      <w:rFonts w:eastAsiaTheme="minorEastAsia"/>
      <w:lang w:val="en-AU" w:eastAsia="ja-JP"/>
    </w:rPr>
  </w:style>
  <w:style w:type="paragraph" w:styleId="Heading1">
    <w:name w:val="heading 1"/>
    <w:basedOn w:val="Normal"/>
    <w:link w:val="Heading1Char"/>
    <w:uiPriority w:val="9"/>
    <w:qFormat/>
    <w:rsid w:val="000D672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next w:val="Normal"/>
    <w:link w:val="Heading2Char"/>
    <w:uiPriority w:val="9"/>
    <w:semiHidden/>
    <w:unhideWhenUsed/>
    <w:qFormat/>
    <w:rsid w:val="00484F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Summary">
    <w:name w:val="Abstract/Summary"/>
    <w:basedOn w:val="Normal"/>
    <w:link w:val="AbstractSummaryChar"/>
    <w:rsid w:val="004746A5"/>
    <w:pPr>
      <w:spacing w:before="120" w:after="0" w:line="240" w:lineRule="auto"/>
    </w:pPr>
    <w:rPr>
      <w:rFonts w:ascii="Times New Roman" w:eastAsia="Times New Roman" w:hAnsi="Times New Roman" w:cs="Times New Roman"/>
      <w:sz w:val="24"/>
      <w:szCs w:val="24"/>
      <w:lang w:val="en-US" w:eastAsia="en-US"/>
    </w:rPr>
  </w:style>
  <w:style w:type="paragraph" w:customStyle="1" w:styleId="Authors">
    <w:name w:val="Authors"/>
    <w:basedOn w:val="Normal"/>
    <w:rsid w:val="004746A5"/>
    <w:pPr>
      <w:spacing w:before="120" w:after="360" w:line="240" w:lineRule="auto"/>
      <w:jc w:val="center"/>
    </w:pPr>
    <w:rPr>
      <w:rFonts w:ascii="Times New Roman" w:eastAsia="Times New Roman" w:hAnsi="Times New Roman" w:cs="Times New Roman"/>
      <w:sz w:val="24"/>
      <w:szCs w:val="24"/>
      <w:lang w:val="en-US" w:eastAsia="en-US"/>
    </w:rPr>
  </w:style>
  <w:style w:type="paragraph" w:customStyle="1" w:styleId="Paragraph">
    <w:name w:val="Paragraph"/>
    <w:basedOn w:val="Normal"/>
    <w:rsid w:val="004746A5"/>
    <w:pPr>
      <w:spacing w:before="120" w:after="0" w:line="240" w:lineRule="auto"/>
      <w:ind w:firstLine="720"/>
    </w:pPr>
    <w:rPr>
      <w:rFonts w:ascii="Times New Roman" w:eastAsia="Times New Roman" w:hAnsi="Times New Roman" w:cs="Times New Roman"/>
      <w:sz w:val="24"/>
      <w:szCs w:val="24"/>
      <w:lang w:val="en-US" w:eastAsia="en-US"/>
    </w:rPr>
  </w:style>
  <w:style w:type="paragraph" w:customStyle="1" w:styleId="Head">
    <w:name w:val="Head"/>
    <w:basedOn w:val="Normal"/>
    <w:rsid w:val="004746A5"/>
    <w:pPr>
      <w:keepNext/>
      <w:spacing w:before="120" w:after="120" w:line="240" w:lineRule="auto"/>
      <w:jc w:val="center"/>
      <w:outlineLvl w:val="0"/>
    </w:pPr>
    <w:rPr>
      <w:rFonts w:ascii="Times New Roman" w:eastAsia="Times New Roman" w:hAnsi="Times New Roman" w:cs="Times New Roman"/>
      <w:b/>
      <w:bCs/>
      <w:kern w:val="28"/>
      <w:sz w:val="28"/>
      <w:szCs w:val="28"/>
      <w:lang w:val="en-US" w:eastAsia="en-US"/>
    </w:rPr>
  </w:style>
  <w:style w:type="character" w:styleId="Hyperlink">
    <w:name w:val="Hyperlink"/>
    <w:basedOn w:val="DefaultParagraphFont"/>
    <w:rsid w:val="004746A5"/>
    <w:rPr>
      <w:color w:val="0000FF"/>
      <w:u w:val="single"/>
    </w:rPr>
  </w:style>
  <w:style w:type="character" w:styleId="LineNumber">
    <w:name w:val="line number"/>
    <w:basedOn w:val="DefaultParagraphFont"/>
    <w:uiPriority w:val="99"/>
    <w:semiHidden/>
    <w:unhideWhenUsed/>
    <w:rsid w:val="004746A5"/>
  </w:style>
  <w:style w:type="paragraph" w:styleId="ListParagraph">
    <w:name w:val="List Paragraph"/>
    <w:basedOn w:val="Normal"/>
    <w:uiPriority w:val="34"/>
    <w:qFormat/>
    <w:rsid w:val="00DF052C"/>
    <w:pPr>
      <w:ind w:left="720"/>
      <w:contextualSpacing/>
    </w:pPr>
  </w:style>
  <w:style w:type="character" w:styleId="CommentReference">
    <w:name w:val="annotation reference"/>
    <w:basedOn w:val="DefaultParagraphFont"/>
    <w:unhideWhenUsed/>
    <w:rsid w:val="00DF052C"/>
    <w:rPr>
      <w:sz w:val="16"/>
      <w:szCs w:val="16"/>
    </w:rPr>
  </w:style>
  <w:style w:type="paragraph" w:styleId="CommentText">
    <w:name w:val="annotation text"/>
    <w:basedOn w:val="Normal"/>
    <w:link w:val="CommentTextChar"/>
    <w:semiHidden/>
    <w:unhideWhenUsed/>
    <w:rsid w:val="00DF052C"/>
    <w:pPr>
      <w:spacing w:line="240" w:lineRule="auto"/>
    </w:pPr>
    <w:rPr>
      <w:sz w:val="20"/>
      <w:szCs w:val="20"/>
    </w:rPr>
  </w:style>
  <w:style w:type="character" w:customStyle="1" w:styleId="CommentTextChar">
    <w:name w:val="Comment Text Char"/>
    <w:basedOn w:val="DefaultParagraphFont"/>
    <w:link w:val="CommentText"/>
    <w:semiHidden/>
    <w:rsid w:val="00DF052C"/>
    <w:rPr>
      <w:rFonts w:eastAsiaTheme="minorEastAsia"/>
      <w:sz w:val="20"/>
      <w:szCs w:val="20"/>
      <w:lang w:val="en-AU" w:eastAsia="ja-JP"/>
    </w:rPr>
  </w:style>
  <w:style w:type="paragraph" w:styleId="BalloonText">
    <w:name w:val="Balloon Text"/>
    <w:basedOn w:val="Normal"/>
    <w:link w:val="BalloonTextChar"/>
    <w:uiPriority w:val="99"/>
    <w:semiHidden/>
    <w:unhideWhenUsed/>
    <w:rsid w:val="00DF05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52C"/>
    <w:rPr>
      <w:rFonts w:ascii="Segoe UI" w:eastAsiaTheme="minorEastAsia" w:hAnsi="Segoe UI" w:cs="Segoe UI"/>
      <w:sz w:val="18"/>
      <w:szCs w:val="18"/>
      <w:lang w:val="en-AU" w:eastAsia="ja-JP"/>
    </w:rPr>
  </w:style>
  <w:style w:type="paragraph" w:customStyle="1" w:styleId="Head2">
    <w:name w:val="Head 2"/>
    <w:basedOn w:val="Normal"/>
    <w:rsid w:val="00CE4F0B"/>
    <w:pPr>
      <w:spacing w:after="0" w:line="240" w:lineRule="auto"/>
      <w:outlineLvl w:val="1"/>
    </w:pPr>
    <w:rPr>
      <w:rFonts w:ascii="Times New Roman" w:eastAsia="Times New Roman" w:hAnsi="Times New Roman" w:cs="Times New Roman"/>
      <w:b/>
      <w:sz w:val="24"/>
      <w:szCs w:val="24"/>
      <w:lang w:val="en-US" w:eastAsia="en-US"/>
    </w:rPr>
  </w:style>
  <w:style w:type="paragraph" w:styleId="CommentSubject">
    <w:name w:val="annotation subject"/>
    <w:basedOn w:val="CommentText"/>
    <w:next w:val="CommentText"/>
    <w:link w:val="CommentSubjectChar"/>
    <w:uiPriority w:val="99"/>
    <w:semiHidden/>
    <w:unhideWhenUsed/>
    <w:rsid w:val="00080F53"/>
    <w:rPr>
      <w:b/>
      <w:bCs/>
    </w:rPr>
  </w:style>
  <w:style w:type="character" w:customStyle="1" w:styleId="CommentSubjectChar">
    <w:name w:val="Comment Subject Char"/>
    <w:basedOn w:val="CommentTextChar"/>
    <w:link w:val="CommentSubject"/>
    <w:uiPriority w:val="99"/>
    <w:semiHidden/>
    <w:rsid w:val="00080F53"/>
    <w:rPr>
      <w:rFonts w:eastAsiaTheme="minorEastAsia"/>
      <w:b/>
      <w:bCs/>
      <w:sz w:val="20"/>
      <w:szCs w:val="20"/>
      <w:lang w:val="en-AU" w:eastAsia="ja-JP"/>
    </w:rPr>
  </w:style>
  <w:style w:type="character" w:customStyle="1" w:styleId="Heading1Char">
    <w:name w:val="Heading 1 Char"/>
    <w:basedOn w:val="DefaultParagraphFont"/>
    <w:link w:val="Heading1"/>
    <w:uiPriority w:val="9"/>
    <w:rsid w:val="000D6729"/>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9766E9"/>
    <w:rPr>
      <w:b/>
      <w:bCs/>
    </w:rPr>
  </w:style>
  <w:style w:type="paragraph" w:customStyle="1" w:styleId="Normal11ptjustified">
    <w:name w:val="Normal 11pt justified"/>
    <w:basedOn w:val="Normal"/>
    <w:rsid w:val="00AE30FA"/>
    <w:pPr>
      <w:tabs>
        <w:tab w:val="left" w:pos="504"/>
      </w:tabs>
      <w:spacing w:after="0" w:line="240" w:lineRule="auto"/>
      <w:jc w:val="both"/>
    </w:pPr>
    <w:rPr>
      <w:rFonts w:ascii="Times New Roman" w:eastAsia="Times New Roman" w:hAnsi="Times New Roman" w:cs="Times New Roman"/>
      <w:szCs w:val="20"/>
      <w:lang w:val="en-GB" w:eastAsia="en-US"/>
    </w:rPr>
  </w:style>
  <w:style w:type="paragraph" w:customStyle="1" w:styleId="c-article-info-details">
    <w:name w:val="c-article-info-details"/>
    <w:basedOn w:val="Normal"/>
    <w:rsid w:val="003C77F4"/>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u-visually-hidden">
    <w:name w:val="u-visually-hidden"/>
    <w:basedOn w:val="DefaultParagraphFont"/>
    <w:rsid w:val="003C77F4"/>
  </w:style>
  <w:style w:type="paragraph" w:styleId="Revision">
    <w:name w:val="Revision"/>
    <w:hidden/>
    <w:uiPriority w:val="99"/>
    <w:semiHidden/>
    <w:rsid w:val="00DA70DA"/>
    <w:pPr>
      <w:spacing w:after="0" w:line="240" w:lineRule="auto"/>
    </w:pPr>
    <w:rPr>
      <w:rFonts w:eastAsiaTheme="minorEastAsia"/>
      <w:lang w:val="en-AU" w:eastAsia="ja-JP"/>
    </w:rPr>
  </w:style>
  <w:style w:type="paragraph" w:customStyle="1" w:styleId="p1">
    <w:name w:val="p1"/>
    <w:basedOn w:val="Normal"/>
    <w:rsid w:val="00A926FA"/>
    <w:pPr>
      <w:spacing w:after="0" w:line="240" w:lineRule="auto"/>
    </w:pPr>
    <w:rPr>
      <w:rFonts w:ascii="Times" w:eastAsiaTheme="minorHAnsi" w:hAnsi="Times" w:cs="Times New Roman"/>
      <w:sz w:val="14"/>
      <w:szCs w:val="14"/>
      <w:lang w:val="en-GB" w:eastAsia="en-GB"/>
    </w:rPr>
  </w:style>
  <w:style w:type="character" w:customStyle="1" w:styleId="title-text">
    <w:name w:val="title-text"/>
    <w:basedOn w:val="DefaultParagraphFont"/>
    <w:rsid w:val="00484F6B"/>
  </w:style>
  <w:style w:type="character" w:customStyle="1" w:styleId="Heading2Char">
    <w:name w:val="Heading 2 Char"/>
    <w:basedOn w:val="DefaultParagraphFont"/>
    <w:link w:val="Heading2"/>
    <w:uiPriority w:val="9"/>
    <w:semiHidden/>
    <w:rsid w:val="00484F6B"/>
    <w:rPr>
      <w:rFonts w:asciiTheme="majorHAnsi" w:eastAsiaTheme="majorEastAsia" w:hAnsiTheme="majorHAnsi" w:cstheme="majorBidi"/>
      <w:color w:val="2E74B5" w:themeColor="accent1" w:themeShade="BF"/>
      <w:sz w:val="26"/>
      <w:szCs w:val="26"/>
      <w:lang w:val="en-AU" w:eastAsia="ja-JP"/>
    </w:rPr>
  </w:style>
  <w:style w:type="paragraph" w:styleId="Header">
    <w:name w:val="header"/>
    <w:basedOn w:val="Normal"/>
    <w:link w:val="HeaderChar"/>
    <w:uiPriority w:val="99"/>
    <w:unhideWhenUsed/>
    <w:rsid w:val="00FA1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9FB"/>
    <w:rPr>
      <w:rFonts w:eastAsiaTheme="minorEastAsia"/>
      <w:lang w:val="en-AU" w:eastAsia="ja-JP"/>
    </w:rPr>
  </w:style>
  <w:style w:type="paragraph" w:styleId="Footer">
    <w:name w:val="footer"/>
    <w:basedOn w:val="Normal"/>
    <w:link w:val="FooterChar"/>
    <w:uiPriority w:val="99"/>
    <w:unhideWhenUsed/>
    <w:rsid w:val="00FA1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9FB"/>
    <w:rPr>
      <w:rFonts w:eastAsiaTheme="minorEastAsia"/>
      <w:lang w:val="en-AU" w:eastAsia="ja-JP"/>
    </w:rPr>
  </w:style>
  <w:style w:type="table" w:styleId="TableGrid">
    <w:name w:val="Table Grid"/>
    <w:basedOn w:val="TableNormal"/>
    <w:uiPriority w:val="39"/>
    <w:rsid w:val="00FF3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93E8B"/>
    <w:pPr>
      <w:spacing w:after="0"/>
      <w:jc w:val="center"/>
    </w:pPr>
    <w:rPr>
      <w:rFonts w:ascii="Times New Roman" w:hAnsi="Times New Roman" w:cs="Times New Roman"/>
      <w:sz w:val="24"/>
    </w:rPr>
  </w:style>
  <w:style w:type="character" w:customStyle="1" w:styleId="AbstractSummaryChar">
    <w:name w:val="Abstract/Summary Char"/>
    <w:basedOn w:val="DefaultParagraphFont"/>
    <w:link w:val="AbstractSummary"/>
    <w:rsid w:val="00A93E8B"/>
    <w:rPr>
      <w:rFonts w:ascii="Times New Roman" w:eastAsia="Times New Roman" w:hAnsi="Times New Roman" w:cs="Times New Roman"/>
      <w:sz w:val="24"/>
      <w:szCs w:val="24"/>
    </w:rPr>
  </w:style>
  <w:style w:type="character" w:customStyle="1" w:styleId="EndNoteBibliographyTitleChar">
    <w:name w:val="EndNote Bibliography Title Char"/>
    <w:basedOn w:val="AbstractSummaryChar"/>
    <w:link w:val="EndNoteBibliographyTitle"/>
    <w:rsid w:val="00A93E8B"/>
    <w:rPr>
      <w:rFonts w:ascii="Times New Roman" w:eastAsiaTheme="minorEastAsia" w:hAnsi="Times New Roman" w:cs="Times New Roman"/>
      <w:sz w:val="24"/>
      <w:szCs w:val="24"/>
      <w:lang w:val="en-AU" w:eastAsia="ja-JP"/>
    </w:rPr>
  </w:style>
  <w:style w:type="paragraph" w:customStyle="1" w:styleId="EndNoteBibliography">
    <w:name w:val="EndNote Bibliography"/>
    <w:basedOn w:val="Normal"/>
    <w:link w:val="EndNoteBibliographyChar"/>
    <w:rsid w:val="00A93E8B"/>
    <w:pPr>
      <w:spacing w:line="240" w:lineRule="auto"/>
      <w:jc w:val="both"/>
    </w:pPr>
    <w:rPr>
      <w:rFonts w:ascii="Times New Roman" w:hAnsi="Times New Roman" w:cs="Times New Roman"/>
      <w:sz w:val="24"/>
    </w:rPr>
  </w:style>
  <w:style w:type="character" w:customStyle="1" w:styleId="EndNoteBibliographyChar">
    <w:name w:val="EndNote Bibliography Char"/>
    <w:basedOn w:val="AbstractSummaryChar"/>
    <w:link w:val="EndNoteBibliography"/>
    <w:rsid w:val="00A93E8B"/>
    <w:rPr>
      <w:rFonts w:ascii="Times New Roman" w:eastAsiaTheme="minorEastAsia" w:hAnsi="Times New Roman" w:cs="Times New Roman"/>
      <w:sz w:val="24"/>
      <w:szCs w:val="24"/>
      <w:lang w:val="en-AU" w:eastAsia="ja-JP"/>
    </w:rPr>
  </w:style>
  <w:style w:type="character" w:customStyle="1" w:styleId="UnresolvedMention1">
    <w:name w:val="Unresolved Mention1"/>
    <w:basedOn w:val="DefaultParagraphFont"/>
    <w:uiPriority w:val="99"/>
    <w:semiHidden/>
    <w:unhideWhenUsed/>
    <w:rsid w:val="00034212"/>
    <w:rPr>
      <w:color w:val="605E5C"/>
      <w:shd w:val="clear" w:color="auto" w:fill="E1DFDD"/>
    </w:rPr>
  </w:style>
  <w:style w:type="paragraph" w:customStyle="1" w:styleId="Acknowledgement">
    <w:name w:val="Acknowledgement"/>
    <w:basedOn w:val="Normal"/>
    <w:rsid w:val="00102509"/>
    <w:pPr>
      <w:spacing w:before="120" w:after="0" w:line="240" w:lineRule="auto"/>
      <w:ind w:left="720" w:hanging="720"/>
    </w:pPr>
    <w:rPr>
      <w:rFonts w:ascii="Times New Roman" w:eastAsia="Times New Roman" w:hAnsi="Times New Roman" w:cs="Times New Roman"/>
      <w:sz w:val="24"/>
      <w:szCs w:val="24"/>
      <w:lang w:val="en-US" w:eastAsia="en-US"/>
    </w:rPr>
  </w:style>
  <w:style w:type="character" w:styleId="UnresolvedMention">
    <w:name w:val="Unresolved Mention"/>
    <w:basedOn w:val="DefaultParagraphFont"/>
    <w:uiPriority w:val="99"/>
    <w:semiHidden/>
    <w:unhideWhenUsed/>
    <w:rsid w:val="00E82D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8220">
      <w:bodyDiv w:val="1"/>
      <w:marLeft w:val="0"/>
      <w:marRight w:val="0"/>
      <w:marTop w:val="0"/>
      <w:marBottom w:val="0"/>
      <w:divBdr>
        <w:top w:val="none" w:sz="0" w:space="0" w:color="auto"/>
        <w:left w:val="none" w:sz="0" w:space="0" w:color="auto"/>
        <w:bottom w:val="none" w:sz="0" w:space="0" w:color="auto"/>
        <w:right w:val="none" w:sz="0" w:space="0" w:color="auto"/>
      </w:divBdr>
    </w:div>
    <w:div w:id="71854679">
      <w:bodyDiv w:val="1"/>
      <w:marLeft w:val="0"/>
      <w:marRight w:val="0"/>
      <w:marTop w:val="0"/>
      <w:marBottom w:val="0"/>
      <w:divBdr>
        <w:top w:val="none" w:sz="0" w:space="0" w:color="auto"/>
        <w:left w:val="none" w:sz="0" w:space="0" w:color="auto"/>
        <w:bottom w:val="none" w:sz="0" w:space="0" w:color="auto"/>
        <w:right w:val="none" w:sz="0" w:space="0" w:color="auto"/>
      </w:divBdr>
    </w:div>
    <w:div w:id="256838409">
      <w:bodyDiv w:val="1"/>
      <w:marLeft w:val="0"/>
      <w:marRight w:val="0"/>
      <w:marTop w:val="0"/>
      <w:marBottom w:val="0"/>
      <w:divBdr>
        <w:top w:val="none" w:sz="0" w:space="0" w:color="auto"/>
        <w:left w:val="none" w:sz="0" w:space="0" w:color="auto"/>
        <w:bottom w:val="none" w:sz="0" w:space="0" w:color="auto"/>
        <w:right w:val="none" w:sz="0" w:space="0" w:color="auto"/>
      </w:divBdr>
    </w:div>
    <w:div w:id="261954901">
      <w:bodyDiv w:val="1"/>
      <w:marLeft w:val="0"/>
      <w:marRight w:val="0"/>
      <w:marTop w:val="0"/>
      <w:marBottom w:val="0"/>
      <w:divBdr>
        <w:top w:val="none" w:sz="0" w:space="0" w:color="auto"/>
        <w:left w:val="none" w:sz="0" w:space="0" w:color="auto"/>
        <w:bottom w:val="none" w:sz="0" w:space="0" w:color="auto"/>
        <w:right w:val="none" w:sz="0" w:space="0" w:color="auto"/>
      </w:divBdr>
    </w:div>
    <w:div w:id="279462707">
      <w:bodyDiv w:val="1"/>
      <w:marLeft w:val="0"/>
      <w:marRight w:val="0"/>
      <w:marTop w:val="0"/>
      <w:marBottom w:val="0"/>
      <w:divBdr>
        <w:top w:val="none" w:sz="0" w:space="0" w:color="auto"/>
        <w:left w:val="none" w:sz="0" w:space="0" w:color="auto"/>
        <w:bottom w:val="none" w:sz="0" w:space="0" w:color="auto"/>
        <w:right w:val="none" w:sz="0" w:space="0" w:color="auto"/>
      </w:divBdr>
    </w:div>
    <w:div w:id="291906326">
      <w:bodyDiv w:val="1"/>
      <w:marLeft w:val="0"/>
      <w:marRight w:val="0"/>
      <w:marTop w:val="0"/>
      <w:marBottom w:val="0"/>
      <w:divBdr>
        <w:top w:val="none" w:sz="0" w:space="0" w:color="auto"/>
        <w:left w:val="none" w:sz="0" w:space="0" w:color="auto"/>
        <w:bottom w:val="none" w:sz="0" w:space="0" w:color="auto"/>
        <w:right w:val="none" w:sz="0" w:space="0" w:color="auto"/>
      </w:divBdr>
    </w:div>
    <w:div w:id="292829829">
      <w:bodyDiv w:val="1"/>
      <w:marLeft w:val="0"/>
      <w:marRight w:val="0"/>
      <w:marTop w:val="0"/>
      <w:marBottom w:val="0"/>
      <w:divBdr>
        <w:top w:val="none" w:sz="0" w:space="0" w:color="auto"/>
        <w:left w:val="none" w:sz="0" w:space="0" w:color="auto"/>
        <w:bottom w:val="none" w:sz="0" w:space="0" w:color="auto"/>
        <w:right w:val="none" w:sz="0" w:space="0" w:color="auto"/>
      </w:divBdr>
    </w:div>
    <w:div w:id="554127364">
      <w:bodyDiv w:val="1"/>
      <w:marLeft w:val="0"/>
      <w:marRight w:val="0"/>
      <w:marTop w:val="0"/>
      <w:marBottom w:val="0"/>
      <w:divBdr>
        <w:top w:val="none" w:sz="0" w:space="0" w:color="auto"/>
        <w:left w:val="none" w:sz="0" w:space="0" w:color="auto"/>
        <w:bottom w:val="none" w:sz="0" w:space="0" w:color="auto"/>
        <w:right w:val="none" w:sz="0" w:space="0" w:color="auto"/>
      </w:divBdr>
    </w:div>
    <w:div w:id="589244424">
      <w:bodyDiv w:val="1"/>
      <w:marLeft w:val="0"/>
      <w:marRight w:val="0"/>
      <w:marTop w:val="0"/>
      <w:marBottom w:val="0"/>
      <w:divBdr>
        <w:top w:val="none" w:sz="0" w:space="0" w:color="auto"/>
        <w:left w:val="none" w:sz="0" w:space="0" w:color="auto"/>
        <w:bottom w:val="none" w:sz="0" w:space="0" w:color="auto"/>
        <w:right w:val="none" w:sz="0" w:space="0" w:color="auto"/>
      </w:divBdr>
    </w:div>
    <w:div w:id="677850976">
      <w:bodyDiv w:val="1"/>
      <w:marLeft w:val="0"/>
      <w:marRight w:val="0"/>
      <w:marTop w:val="0"/>
      <w:marBottom w:val="0"/>
      <w:divBdr>
        <w:top w:val="none" w:sz="0" w:space="0" w:color="auto"/>
        <w:left w:val="none" w:sz="0" w:space="0" w:color="auto"/>
        <w:bottom w:val="none" w:sz="0" w:space="0" w:color="auto"/>
        <w:right w:val="none" w:sz="0" w:space="0" w:color="auto"/>
      </w:divBdr>
    </w:div>
    <w:div w:id="680207717">
      <w:bodyDiv w:val="1"/>
      <w:marLeft w:val="0"/>
      <w:marRight w:val="0"/>
      <w:marTop w:val="0"/>
      <w:marBottom w:val="0"/>
      <w:divBdr>
        <w:top w:val="none" w:sz="0" w:space="0" w:color="auto"/>
        <w:left w:val="none" w:sz="0" w:space="0" w:color="auto"/>
        <w:bottom w:val="none" w:sz="0" w:space="0" w:color="auto"/>
        <w:right w:val="none" w:sz="0" w:space="0" w:color="auto"/>
      </w:divBdr>
      <w:divsChild>
        <w:div w:id="31468112">
          <w:marLeft w:val="0"/>
          <w:marRight w:val="0"/>
          <w:marTop w:val="0"/>
          <w:marBottom w:val="0"/>
          <w:divBdr>
            <w:top w:val="none" w:sz="0" w:space="0" w:color="auto"/>
            <w:left w:val="none" w:sz="0" w:space="0" w:color="auto"/>
            <w:bottom w:val="none" w:sz="0" w:space="0" w:color="auto"/>
            <w:right w:val="none" w:sz="0" w:space="0" w:color="auto"/>
          </w:divBdr>
          <w:divsChild>
            <w:div w:id="1796102364">
              <w:marLeft w:val="0"/>
              <w:marRight w:val="0"/>
              <w:marTop w:val="0"/>
              <w:marBottom w:val="0"/>
              <w:divBdr>
                <w:top w:val="none" w:sz="0" w:space="0" w:color="auto"/>
                <w:left w:val="none" w:sz="0" w:space="0" w:color="auto"/>
                <w:bottom w:val="none" w:sz="0" w:space="0" w:color="auto"/>
                <w:right w:val="none" w:sz="0" w:space="0" w:color="auto"/>
              </w:divBdr>
            </w:div>
          </w:divsChild>
        </w:div>
        <w:div w:id="1496606224">
          <w:marLeft w:val="0"/>
          <w:marRight w:val="0"/>
          <w:marTop w:val="0"/>
          <w:marBottom w:val="0"/>
          <w:divBdr>
            <w:top w:val="none" w:sz="0" w:space="0" w:color="auto"/>
            <w:left w:val="none" w:sz="0" w:space="0" w:color="auto"/>
            <w:bottom w:val="none" w:sz="0" w:space="0" w:color="auto"/>
            <w:right w:val="none" w:sz="0" w:space="0" w:color="auto"/>
          </w:divBdr>
        </w:div>
      </w:divsChild>
    </w:div>
    <w:div w:id="706955061">
      <w:bodyDiv w:val="1"/>
      <w:marLeft w:val="0"/>
      <w:marRight w:val="0"/>
      <w:marTop w:val="0"/>
      <w:marBottom w:val="0"/>
      <w:divBdr>
        <w:top w:val="none" w:sz="0" w:space="0" w:color="auto"/>
        <w:left w:val="none" w:sz="0" w:space="0" w:color="auto"/>
        <w:bottom w:val="none" w:sz="0" w:space="0" w:color="auto"/>
        <w:right w:val="none" w:sz="0" w:space="0" w:color="auto"/>
      </w:divBdr>
    </w:div>
    <w:div w:id="731779404">
      <w:bodyDiv w:val="1"/>
      <w:marLeft w:val="0"/>
      <w:marRight w:val="0"/>
      <w:marTop w:val="0"/>
      <w:marBottom w:val="0"/>
      <w:divBdr>
        <w:top w:val="none" w:sz="0" w:space="0" w:color="auto"/>
        <w:left w:val="none" w:sz="0" w:space="0" w:color="auto"/>
        <w:bottom w:val="none" w:sz="0" w:space="0" w:color="auto"/>
        <w:right w:val="none" w:sz="0" w:space="0" w:color="auto"/>
      </w:divBdr>
    </w:div>
    <w:div w:id="762796927">
      <w:bodyDiv w:val="1"/>
      <w:marLeft w:val="0"/>
      <w:marRight w:val="0"/>
      <w:marTop w:val="0"/>
      <w:marBottom w:val="0"/>
      <w:divBdr>
        <w:top w:val="none" w:sz="0" w:space="0" w:color="auto"/>
        <w:left w:val="none" w:sz="0" w:space="0" w:color="auto"/>
        <w:bottom w:val="none" w:sz="0" w:space="0" w:color="auto"/>
        <w:right w:val="none" w:sz="0" w:space="0" w:color="auto"/>
      </w:divBdr>
      <w:divsChild>
        <w:div w:id="825046871">
          <w:marLeft w:val="0"/>
          <w:marRight w:val="0"/>
          <w:marTop w:val="100"/>
          <w:marBottom w:val="100"/>
          <w:divBdr>
            <w:top w:val="none" w:sz="0" w:space="0" w:color="auto"/>
            <w:left w:val="none" w:sz="0" w:space="0" w:color="auto"/>
            <w:bottom w:val="none" w:sz="0" w:space="0" w:color="auto"/>
            <w:right w:val="none" w:sz="0" w:space="0" w:color="auto"/>
          </w:divBdr>
          <w:divsChild>
            <w:div w:id="197729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1891">
      <w:bodyDiv w:val="1"/>
      <w:marLeft w:val="0"/>
      <w:marRight w:val="0"/>
      <w:marTop w:val="0"/>
      <w:marBottom w:val="0"/>
      <w:divBdr>
        <w:top w:val="none" w:sz="0" w:space="0" w:color="auto"/>
        <w:left w:val="none" w:sz="0" w:space="0" w:color="auto"/>
        <w:bottom w:val="none" w:sz="0" w:space="0" w:color="auto"/>
        <w:right w:val="none" w:sz="0" w:space="0" w:color="auto"/>
      </w:divBdr>
    </w:div>
    <w:div w:id="884869182">
      <w:bodyDiv w:val="1"/>
      <w:marLeft w:val="0"/>
      <w:marRight w:val="0"/>
      <w:marTop w:val="0"/>
      <w:marBottom w:val="0"/>
      <w:divBdr>
        <w:top w:val="none" w:sz="0" w:space="0" w:color="auto"/>
        <w:left w:val="none" w:sz="0" w:space="0" w:color="auto"/>
        <w:bottom w:val="none" w:sz="0" w:space="0" w:color="auto"/>
        <w:right w:val="none" w:sz="0" w:space="0" w:color="auto"/>
      </w:divBdr>
    </w:div>
    <w:div w:id="1129860626">
      <w:bodyDiv w:val="1"/>
      <w:marLeft w:val="0"/>
      <w:marRight w:val="0"/>
      <w:marTop w:val="0"/>
      <w:marBottom w:val="0"/>
      <w:divBdr>
        <w:top w:val="none" w:sz="0" w:space="0" w:color="auto"/>
        <w:left w:val="none" w:sz="0" w:space="0" w:color="auto"/>
        <w:bottom w:val="none" w:sz="0" w:space="0" w:color="auto"/>
        <w:right w:val="none" w:sz="0" w:space="0" w:color="auto"/>
      </w:divBdr>
    </w:div>
    <w:div w:id="1173834787">
      <w:bodyDiv w:val="1"/>
      <w:marLeft w:val="0"/>
      <w:marRight w:val="0"/>
      <w:marTop w:val="0"/>
      <w:marBottom w:val="0"/>
      <w:divBdr>
        <w:top w:val="none" w:sz="0" w:space="0" w:color="auto"/>
        <w:left w:val="none" w:sz="0" w:space="0" w:color="auto"/>
        <w:bottom w:val="none" w:sz="0" w:space="0" w:color="auto"/>
        <w:right w:val="none" w:sz="0" w:space="0" w:color="auto"/>
      </w:divBdr>
    </w:div>
    <w:div w:id="1199977233">
      <w:bodyDiv w:val="1"/>
      <w:marLeft w:val="0"/>
      <w:marRight w:val="0"/>
      <w:marTop w:val="0"/>
      <w:marBottom w:val="0"/>
      <w:divBdr>
        <w:top w:val="none" w:sz="0" w:space="0" w:color="auto"/>
        <w:left w:val="none" w:sz="0" w:space="0" w:color="auto"/>
        <w:bottom w:val="none" w:sz="0" w:space="0" w:color="auto"/>
        <w:right w:val="none" w:sz="0" w:space="0" w:color="auto"/>
      </w:divBdr>
    </w:div>
    <w:div w:id="1263879049">
      <w:bodyDiv w:val="1"/>
      <w:marLeft w:val="0"/>
      <w:marRight w:val="0"/>
      <w:marTop w:val="0"/>
      <w:marBottom w:val="0"/>
      <w:divBdr>
        <w:top w:val="none" w:sz="0" w:space="0" w:color="auto"/>
        <w:left w:val="none" w:sz="0" w:space="0" w:color="auto"/>
        <w:bottom w:val="none" w:sz="0" w:space="0" w:color="auto"/>
        <w:right w:val="none" w:sz="0" w:space="0" w:color="auto"/>
      </w:divBdr>
    </w:div>
    <w:div w:id="1276519527">
      <w:bodyDiv w:val="1"/>
      <w:marLeft w:val="0"/>
      <w:marRight w:val="0"/>
      <w:marTop w:val="0"/>
      <w:marBottom w:val="0"/>
      <w:divBdr>
        <w:top w:val="none" w:sz="0" w:space="0" w:color="auto"/>
        <w:left w:val="none" w:sz="0" w:space="0" w:color="auto"/>
        <w:bottom w:val="none" w:sz="0" w:space="0" w:color="auto"/>
        <w:right w:val="none" w:sz="0" w:space="0" w:color="auto"/>
      </w:divBdr>
      <w:divsChild>
        <w:div w:id="1184055476">
          <w:marLeft w:val="0"/>
          <w:marRight w:val="0"/>
          <w:marTop w:val="0"/>
          <w:marBottom w:val="0"/>
          <w:divBdr>
            <w:top w:val="none" w:sz="0" w:space="0" w:color="auto"/>
            <w:left w:val="none" w:sz="0" w:space="0" w:color="auto"/>
            <w:bottom w:val="none" w:sz="0" w:space="0" w:color="auto"/>
            <w:right w:val="none" w:sz="0" w:space="0" w:color="auto"/>
          </w:divBdr>
        </w:div>
        <w:div w:id="1517116251">
          <w:marLeft w:val="0"/>
          <w:marRight w:val="0"/>
          <w:marTop w:val="0"/>
          <w:marBottom w:val="0"/>
          <w:divBdr>
            <w:top w:val="none" w:sz="0" w:space="0" w:color="auto"/>
            <w:left w:val="none" w:sz="0" w:space="0" w:color="auto"/>
            <w:bottom w:val="none" w:sz="0" w:space="0" w:color="auto"/>
            <w:right w:val="none" w:sz="0" w:space="0" w:color="auto"/>
          </w:divBdr>
          <w:divsChild>
            <w:div w:id="42650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1768">
      <w:bodyDiv w:val="1"/>
      <w:marLeft w:val="0"/>
      <w:marRight w:val="0"/>
      <w:marTop w:val="0"/>
      <w:marBottom w:val="0"/>
      <w:divBdr>
        <w:top w:val="none" w:sz="0" w:space="0" w:color="auto"/>
        <w:left w:val="none" w:sz="0" w:space="0" w:color="auto"/>
        <w:bottom w:val="none" w:sz="0" w:space="0" w:color="auto"/>
        <w:right w:val="none" w:sz="0" w:space="0" w:color="auto"/>
      </w:divBdr>
    </w:div>
    <w:div w:id="1341465714">
      <w:bodyDiv w:val="1"/>
      <w:marLeft w:val="0"/>
      <w:marRight w:val="0"/>
      <w:marTop w:val="0"/>
      <w:marBottom w:val="0"/>
      <w:divBdr>
        <w:top w:val="none" w:sz="0" w:space="0" w:color="auto"/>
        <w:left w:val="none" w:sz="0" w:space="0" w:color="auto"/>
        <w:bottom w:val="none" w:sz="0" w:space="0" w:color="auto"/>
        <w:right w:val="none" w:sz="0" w:space="0" w:color="auto"/>
      </w:divBdr>
    </w:div>
    <w:div w:id="1416052492">
      <w:bodyDiv w:val="1"/>
      <w:marLeft w:val="0"/>
      <w:marRight w:val="0"/>
      <w:marTop w:val="0"/>
      <w:marBottom w:val="0"/>
      <w:divBdr>
        <w:top w:val="none" w:sz="0" w:space="0" w:color="auto"/>
        <w:left w:val="none" w:sz="0" w:space="0" w:color="auto"/>
        <w:bottom w:val="none" w:sz="0" w:space="0" w:color="auto"/>
        <w:right w:val="none" w:sz="0" w:space="0" w:color="auto"/>
      </w:divBdr>
    </w:div>
    <w:div w:id="1452943409">
      <w:bodyDiv w:val="1"/>
      <w:marLeft w:val="0"/>
      <w:marRight w:val="0"/>
      <w:marTop w:val="0"/>
      <w:marBottom w:val="0"/>
      <w:divBdr>
        <w:top w:val="none" w:sz="0" w:space="0" w:color="auto"/>
        <w:left w:val="none" w:sz="0" w:space="0" w:color="auto"/>
        <w:bottom w:val="none" w:sz="0" w:space="0" w:color="auto"/>
        <w:right w:val="none" w:sz="0" w:space="0" w:color="auto"/>
      </w:divBdr>
    </w:div>
    <w:div w:id="1604727553">
      <w:bodyDiv w:val="1"/>
      <w:marLeft w:val="0"/>
      <w:marRight w:val="0"/>
      <w:marTop w:val="0"/>
      <w:marBottom w:val="0"/>
      <w:divBdr>
        <w:top w:val="none" w:sz="0" w:space="0" w:color="auto"/>
        <w:left w:val="none" w:sz="0" w:space="0" w:color="auto"/>
        <w:bottom w:val="none" w:sz="0" w:space="0" w:color="auto"/>
        <w:right w:val="none" w:sz="0" w:space="0" w:color="auto"/>
      </w:divBdr>
    </w:div>
    <w:div w:id="1614904166">
      <w:bodyDiv w:val="1"/>
      <w:marLeft w:val="0"/>
      <w:marRight w:val="0"/>
      <w:marTop w:val="0"/>
      <w:marBottom w:val="0"/>
      <w:divBdr>
        <w:top w:val="none" w:sz="0" w:space="0" w:color="auto"/>
        <w:left w:val="none" w:sz="0" w:space="0" w:color="auto"/>
        <w:bottom w:val="none" w:sz="0" w:space="0" w:color="auto"/>
        <w:right w:val="none" w:sz="0" w:space="0" w:color="auto"/>
      </w:divBdr>
    </w:div>
    <w:div w:id="1626540539">
      <w:bodyDiv w:val="1"/>
      <w:marLeft w:val="0"/>
      <w:marRight w:val="0"/>
      <w:marTop w:val="0"/>
      <w:marBottom w:val="0"/>
      <w:divBdr>
        <w:top w:val="none" w:sz="0" w:space="0" w:color="auto"/>
        <w:left w:val="none" w:sz="0" w:space="0" w:color="auto"/>
        <w:bottom w:val="none" w:sz="0" w:space="0" w:color="auto"/>
        <w:right w:val="none" w:sz="0" w:space="0" w:color="auto"/>
      </w:divBdr>
    </w:div>
    <w:div w:id="1759402649">
      <w:bodyDiv w:val="1"/>
      <w:marLeft w:val="0"/>
      <w:marRight w:val="0"/>
      <w:marTop w:val="0"/>
      <w:marBottom w:val="0"/>
      <w:divBdr>
        <w:top w:val="none" w:sz="0" w:space="0" w:color="auto"/>
        <w:left w:val="none" w:sz="0" w:space="0" w:color="auto"/>
        <w:bottom w:val="none" w:sz="0" w:space="0" w:color="auto"/>
        <w:right w:val="none" w:sz="0" w:space="0" w:color="auto"/>
      </w:divBdr>
    </w:div>
    <w:div w:id="1963151707">
      <w:bodyDiv w:val="1"/>
      <w:marLeft w:val="0"/>
      <w:marRight w:val="0"/>
      <w:marTop w:val="0"/>
      <w:marBottom w:val="0"/>
      <w:divBdr>
        <w:top w:val="none" w:sz="0" w:space="0" w:color="auto"/>
        <w:left w:val="none" w:sz="0" w:space="0" w:color="auto"/>
        <w:bottom w:val="none" w:sz="0" w:space="0" w:color="auto"/>
        <w:right w:val="none" w:sz="0" w:space="0" w:color="auto"/>
      </w:divBdr>
    </w:div>
    <w:div w:id="1980183762">
      <w:bodyDiv w:val="1"/>
      <w:marLeft w:val="0"/>
      <w:marRight w:val="0"/>
      <w:marTop w:val="0"/>
      <w:marBottom w:val="0"/>
      <w:divBdr>
        <w:top w:val="none" w:sz="0" w:space="0" w:color="auto"/>
        <w:left w:val="none" w:sz="0" w:space="0" w:color="auto"/>
        <w:bottom w:val="none" w:sz="0" w:space="0" w:color="auto"/>
        <w:right w:val="none" w:sz="0" w:space="0" w:color="auto"/>
      </w:divBdr>
    </w:div>
    <w:div w:id="2005159539">
      <w:bodyDiv w:val="1"/>
      <w:marLeft w:val="0"/>
      <w:marRight w:val="0"/>
      <w:marTop w:val="0"/>
      <w:marBottom w:val="0"/>
      <w:divBdr>
        <w:top w:val="none" w:sz="0" w:space="0" w:color="auto"/>
        <w:left w:val="none" w:sz="0" w:space="0" w:color="auto"/>
        <w:bottom w:val="none" w:sz="0" w:space="0" w:color="auto"/>
        <w:right w:val="none" w:sz="0" w:space="0" w:color="auto"/>
      </w:divBdr>
      <w:divsChild>
        <w:div w:id="750809309">
          <w:marLeft w:val="0"/>
          <w:marRight w:val="0"/>
          <w:marTop w:val="0"/>
          <w:marBottom w:val="0"/>
          <w:divBdr>
            <w:top w:val="none" w:sz="0" w:space="0" w:color="auto"/>
            <w:left w:val="none" w:sz="0" w:space="0" w:color="auto"/>
            <w:bottom w:val="none" w:sz="0" w:space="0" w:color="auto"/>
            <w:right w:val="none" w:sz="0" w:space="0" w:color="auto"/>
          </w:divBdr>
        </w:div>
        <w:div w:id="946892652">
          <w:marLeft w:val="0"/>
          <w:marRight w:val="0"/>
          <w:marTop w:val="0"/>
          <w:marBottom w:val="0"/>
          <w:divBdr>
            <w:top w:val="none" w:sz="0" w:space="0" w:color="auto"/>
            <w:left w:val="none" w:sz="0" w:space="0" w:color="auto"/>
            <w:bottom w:val="none" w:sz="0" w:space="0" w:color="auto"/>
            <w:right w:val="none" w:sz="0" w:space="0" w:color="auto"/>
          </w:divBdr>
          <w:divsChild>
            <w:div w:id="21189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9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alum.Fox@ku.ac.ae"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71691-E45D-42EB-88B2-0B90F2C02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2825</TotalTime>
  <Pages>42</Pages>
  <Words>74580</Words>
  <Characters>425107</Characters>
  <Application>Microsoft Office Word</Application>
  <DocSecurity>0</DocSecurity>
  <Lines>3542</Lines>
  <Paragraphs>997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Calum Peter Fox</dc:creator>
  <cp:keywords/>
  <dc:description/>
  <cp:lastModifiedBy>Calum Peter Fox</cp:lastModifiedBy>
  <cp:revision>9</cp:revision>
  <dcterms:created xsi:type="dcterms:W3CDTF">2022-01-21T16:17:00Z</dcterms:created>
  <dcterms:modified xsi:type="dcterms:W3CDTF">2022-02-28T06:46:00Z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http://www.zotero.org/styles/earth-and-planetary-science-letters</vt:lpwstr>
  </property>
  <property fmtid="{D5CDD505-2E9C-101B-9397-08002B2CF9AE}" pid="11" name="Mendeley Recent Style Name 4_1">
    <vt:lpwstr>Earth and Planetary Science Letters</vt:lpwstr>
  </property>
  <property fmtid="{D5CDD505-2E9C-101B-9397-08002B2CF9AE}" pid="12" name="Mendeley Recent Style Id 5_1">
    <vt:lpwstr>http://www.zotero.org/styles/geology</vt:lpwstr>
  </property>
  <property fmtid="{D5CDD505-2E9C-101B-9397-08002B2CF9AE}" pid="13" name="Mendeley Recent Style Name 5_1">
    <vt:lpwstr>Geology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8bba960e-8d1c-3e1a-8f72-08f4c6193e8e</vt:lpwstr>
  </property>
  <property fmtid="{D5CDD505-2E9C-101B-9397-08002B2CF9AE}" pid="24" name="Mendeley Citation Style_1">
    <vt:lpwstr>http://www.zotero.org/styles/earth-and-planetary-science-letters</vt:lpwstr>
  </property>
</Properties>
</file>