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C551" w14:textId="77777777" w:rsidR="00F52E06" w:rsidRPr="00544B7E" w:rsidRDefault="00F52E06">
      <w:pPr>
        <w:rPr>
          <w:rFonts w:ascii="Calibri" w:hAnsi="Calibri" w:cs="Calibri"/>
          <w:b/>
          <w:sz w:val="20"/>
          <w:szCs w:val="20"/>
        </w:rPr>
      </w:pPr>
      <w:r w:rsidRPr="001B301C">
        <w:rPr>
          <w:rFonts w:ascii="Calibri" w:hAnsi="Calibri" w:cs="Calibri"/>
          <w:b/>
          <w:sz w:val="22"/>
          <w:szCs w:val="22"/>
        </w:rPr>
        <w:t>A gene-to-patient approach uplifts novel disease gene discovery</w:t>
      </w:r>
      <w:r>
        <w:rPr>
          <w:rFonts w:ascii="Calibri" w:hAnsi="Calibri" w:cs="Calibri"/>
          <w:b/>
          <w:sz w:val="22"/>
          <w:szCs w:val="22"/>
        </w:rPr>
        <w:t xml:space="preserve"> and identifies 18 putative novel disease genes</w:t>
      </w:r>
    </w:p>
    <w:p w14:paraId="370D9921" w14:textId="77777777" w:rsidR="00F52E06" w:rsidRPr="00544B7E" w:rsidRDefault="00F52E06">
      <w:pPr>
        <w:rPr>
          <w:rFonts w:ascii="Calibri" w:hAnsi="Calibri" w:cs="Calibri"/>
          <w:sz w:val="20"/>
          <w:szCs w:val="20"/>
        </w:rPr>
      </w:pPr>
    </w:p>
    <w:p w14:paraId="1FB865A0" w14:textId="77777777" w:rsidR="00F52E06" w:rsidRDefault="00F52E06">
      <w:pPr>
        <w:rPr>
          <w:rFonts w:ascii="Calibri" w:hAnsi="Calibri" w:cs="Calibri"/>
          <w:sz w:val="20"/>
          <w:szCs w:val="20"/>
          <w:vertAlign w:val="superscript"/>
        </w:rPr>
      </w:pPr>
      <w:r w:rsidRPr="00544B7E">
        <w:rPr>
          <w:rFonts w:ascii="Calibri" w:hAnsi="Calibri" w:cs="Calibri"/>
          <w:sz w:val="20"/>
          <w:szCs w:val="20"/>
        </w:rPr>
        <w:t>Eleanor G. Seaby</w:t>
      </w:r>
      <w:r w:rsidRPr="00D76A30">
        <w:rPr>
          <w:rFonts w:ascii="Calibri" w:hAnsi="Calibri" w:cs="Calibri"/>
          <w:sz w:val="20"/>
          <w:szCs w:val="20"/>
          <w:vertAlign w:val="superscript"/>
        </w:rPr>
        <w:t>1,2</w:t>
      </w:r>
      <w:r>
        <w:rPr>
          <w:rFonts w:ascii="Calibri" w:hAnsi="Calibri" w:cs="Calibri"/>
          <w:sz w:val="20"/>
          <w:szCs w:val="20"/>
          <w:vertAlign w:val="superscript"/>
        </w:rPr>
        <w:t>,3,4</w:t>
      </w:r>
      <w:r w:rsidRPr="00544B7E">
        <w:rPr>
          <w:rFonts w:ascii="Calibri" w:hAnsi="Calibri" w:cs="Calibri"/>
          <w:sz w:val="20"/>
          <w:szCs w:val="20"/>
        </w:rPr>
        <w:t>, Damian Smedley</w:t>
      </w:r>
      <w:r>
        <w:rPr>
          <w:rFonts w:ascii="Calibri" w:hAnsi="Calibri" w:cs="Calibri"/>
          <w:sz w:val="20"/>
          <w:szCs w:val="20"/>
          <w:vertAlign w:val="superscript"/>
        </w:rPr>
        <w:t>5</w:t>
      </w:r>
      <w:r w:rsidRPr="00544B7E">
        <w:rPr>
          <w:rFonts w:ascii="Calibri" w:hAnsi="Calibri" w:cs="Calibri"/>
          <w:sz w:val="20"/>
          <w:szCs w:val="20"/>
        </w:rPr>
        <w:t>, Ana Lisa Taylor Tavares</w:t>
      </w:r>
      <w:r>
        <w:rPr>
          <w:rFonts w:ascii="Calibri" w:hAnsi="Calibri" w:cs="Calibri"/>
          <w:sz w:val="20"/>
          <w:szCs w:val="20"/>
          <w:vertAlign w:val="superscript"/>
        </w:rPr>
        <w:t>5</w:t>
      </w:r>
      <w:r w:rsidRPr="00544B7E">
        <w:rPr>
          <w:rFonts w:ascii="Calibri" w:hAnsi="Calibri" w:cs="Calibri"/>
          <w:sz w:val="20"/>
          <w:szCs w:val="20"/>
        </w:rPr>
        <w:t>, Helen Brit</w:t>
      </w:r>
      <w:r>
        <w:rPr>
          <w:rFonts w:ascii="Calibri" w:hAnsi="Calibri" w:cs="Calibri"/>
          <w:sz w:val="20"/>
          <w:szCs w:val="20"/>
        </w:rPr>
        <w:t>t</w:t>
      </w:r>
      <w:r w:rsidRPr="00544B7E">
        <w:rPr>
          <w:rFonts w:ascii="Calibri" w:hAnsi="Calibri" w:cs="Calibri"/>
          <w:sz w:val="20"/>
          <w:szCs w:val="20"/>
        </w:rPr>
        <w:t>ain</w:t>
      </w:r>
      <w:r>
        <w:rPr>
          <w:rFonts w:ascii="Calibri" w:hAnsi="Calibri" w:cs="Calibri"/>
          <w:sz w:val="20"/>
          <w:szCs w:val="20"/>
          <w:vertAlign w:val="superscript"/>
        </w:rPr>
        <w:t>5</w:t>
      </w:r>
      <w:r w:rsidRPr="00544B7E">
        <w:rPr>
          <w:rFonts w:ascii="Calibri" w:hAnsi="Calibri" w:cs="Calibri"/>
          <w:sz w:val="20"/>
          <w:szCs w:val="20"/>
        </w:rPr>
        <w:t xml:space="preserve">, </w:t>
      </w:r>
      <w:r>
        <w:rPr>
          <w:rFonts w:ascii="Calibri" w:hAnsi="Calibri" w:cs="Calibri"/>
          <w:sz w:val="20"/>
          <w:szCs w:val="20"/>
        </w:rPr>
        <w:t>Genomics England Research Consortium</w:t>
      </w:r>
      <w:r w:rsidRPr="00F83802">
        <w:rPr>
          <w:rFonts w:ascii="Calibri" w:hAnsi="Calibri" w:cs="Calibri"/>
          <w:sz w:val="20"/>
          <w:szCs w:val="20"/>
          <w:vertAlign w:val="superscript"/>
        </w:rPr>
        <w:t>5</w:t>
      </w:r>
      <w:r>
        <w:rPr>
          <w:rFonts w:ascii="Calibri" w:hAnsi="Calibri" w:cs="Calibri"/>
          <w:sz w:val="20"/>
          <w:szCs w:val="20"/>
        </w:rPr>
        <w:t>, Richard H. van Jaarsveld</w:t>
      </w:r>
      <w:r w:rsidRPr="0087416A">
        <w:rPr>
          <w:rFonts w:ascii="Calibri" w:hAnsi="Calibri" w:cs="Calibri"/>
          <w:sz w:val="20"/>
          <w:szCs w:val="20"/>
          <w:vertAlign w:val="superscript"/>
        </w:rPr>
        <w:t>6</w:t>
      </w:r>
      <w:r>
        <w:rPr>
          <w:rFonts w:ascii="Calibri" w:hAnsi="Calibri" w:cs="Calibri"/>
          <w:sz w:val="20"/>
          <w:szCs w:val="20"/>
        </w:rPr>
        <w:t xml:space="preserve">, </w:t>
      </w:r>
      <w:r w:rsidRPr="00544B7E">
        <w:rPr>
          <w:rFonts w:ascii="Calibri" w:hAnsi="Calibri" w:cs="Calibri"/>
          <w:sz w:val="20"/>
          <w:szCs w:val="20"/>
        </w:rPr>
        <w:t>Diana Baralle</w:t>
      </w:r>
      <w:r w:rsidRPr="00D76A30">
        <w:rPr>
          <w:rFonts w:ascii="Calibri" w:hAnsi="Calibri" w:cs="Calibri"/>
          <w:sz w:val="20"/>
          <w:szCs w:val="20"/>
          <w:vertAlign w:val="superscript"/>
        </w:rPr>
        <w:t>1</w:t>
      </w:r>
      <w:r w:rsidRPr="00544B7E">
        <w:rPr>
          <w:rFonts w:ascii="Calibri" w:hAnsi="Calibri" w:cs="Calibri"/>
          <w:sz w:val="20"/>
          <w:szCs w:val="20"/>
        </w:rPr>
        <w:t xml:space="preserve">, Heidi </w:t>
      </w:r>
      <w:r>
        <w:rPr>
          <w:rFonts w:ascii="Calibri" w:hAnsi="Calibri" w:cs="Calibri"/>
          <w:sz w:val="20"/>
          <w:szCs w:val="20"/>
        </w:rPr>
        <w:t xml:space="preserve">L. </w:t>
      </w:r>
      <w:r w:rsidRPr="00544B7E">
        <w:rPr>
          <w:rFonts w:ascii="Calibri" w:hAnsi="Calibri" w:cs="Calibri"/>
          <w:sz w:val="20"/>
          <w:szCs w:val="20"/>
        </w:rPr>
        <w:t>Rehm</w:t>
      </w:r>
      <w:r w:rsidRPr="00D76A30">
        <w:rPr>
          <w:rFonts w:ascii="Calibri" w:hAnsi="Calibri" w:cs="Calibri"/>
          <w:sz w:val="20"/>
          <w:szCs w:val="20"/>
          <w:vertAlign w:val="superscript"/>
        </w:rPr>
        <w:t>2,3</w:t>
      </w:r>
      <w:r w:rsidRPr="00544B7E">
        <w:rPr>
          <w:rFonts w:ascii="Calibri" w:hAnsi="Calibri" w:cs="Calibri"/>
          <w:sz w:val="20"/>
          <w:szCs w:val="20"/>
        </w:rPr>
        <w:t>, Anne O’Donnell-Luria</w:t>
      </w:r>
      <w:r w:rsidRPr="00D76A30">
        <w:rPr>
          <w:rFonts w:ascii="Calibri" w:hAnsi="Calibri" w:cs="Calibri"/>
          <w:sz w:val="20"/>
          <w:szCs w:val="20"/>
          <w:vertAlign w:val="superscript"/>
        </w:rPr>
        <w:t>2,3</w:t>
      </w:r>
      <w:r>
        <w:rPr>
          <w:rFonts w:ascii="Calibri" w:hAnsi="Calibri" w:cs="Calibri"/>
          <w:sz w:val="20"/>
          <w:szCs w:val="20"/>
          <w:vertAlign w:val="superscript"/>
        </w:rPr>
        <w:t>,4</w:t>
      </w:r>
      <w:r w:rsidRPr="00544B7E">
        <w:rPr>
          <w:rFonts w:ascii="Calibri" w:hAnsi="Calibri" w:cs="Calibri"/>
          <w:sz w:val="20"/>
          <w:szCs w:val="20"/>
        </w:rPr>
        <w:t>, Sarah Ennis</w:t>
      </w:r>
      <w:r w:rsidRPr="00D76A30">
        <w:rPr>
          <w:rFonts w:ascii="Calibri" w:hAnsi="Calibri" w:cs="Calibri"/>
          <w:sz w:val="20"/>
          <w:szCs w:val="20"/>
          <w:vertAlign w:val="superscript"/>
        </w:rPr>
        <w:t>1</w:t>
      </w:r>
    </w:p>
    <w:p w14:paraId="001F6E6A" w14:textId="77777777" w:rsidR="00F52E06" w:rsidRDefault="00F52E06">
      <w:pPr>
        <w:rPr>
          <w:rFonts w:ascii="Calibri" w:hAnsi="Calibri" w:cs="Calibri"/>
          <w:sz w:val="20"/>
          <w:szCs w:val="20"/>
          <w:vertAlign w:val="superscript"/>
        </w:rPr>
      </w:pPr>
    </w:p>
    <w:p w14:paraId="50DB9054" w14:textId="77777777" w:rsidR="00F52E06" w:rsidRPr="004343B7" w:rsidRDefault="00F52E06" w:rsidP="00D76A30">
      <w:pPr>
        <w:pStyle w:val="ListParagraph"/>
        <w:numPr>
          <w:ilvl w:val="0"/>
          <w:numId w:val="5"/>
        </w:numPr>
        <w:rPr>
          <w:rFonts w:ascii="Calibri" w:hAnsi="Calibri" w:cs="Calibri"/>
          <w:sz w:val="20"/>
          <w:szCs w:val="20"/>
        </w:rPr>
      </w:pPr>
      <w:r w:rsidRPr="004343B7">
        <w:rPr>
          <w:rFonts w:ascii="Calibri" w:hAnsi="Calibri" w:cs="Calibri"/>
          <w:sz w:val="20"/>
          <w:szCs w:val="20"/>
        </w:rPr>
        <w:t>Faculty of Medicine, University of Southampton, Southampton, UK</w:t>
      </w:r>
    </w:p>
    <w:p w14:paraId="123CCCB9" w14:textId="77777777" w:rsidR="00F52E06" w:rsidRPr="004343B7" w:rsidRDefault="00F52E06" w:rsidP="00D76A30">
      <w:pPr>
        <w:pStyle w:val="ListParagraph"/>
        <w:numPr>
          <w:ilvl w:val="0"/>
          <w:numId w:val="5"/>
        </w:numPr>
        <w:rPr>
          <w:rFonts w:ascii="Calibri" w:hAnsi="Calibri" w:cs="Calibri"/>
          <w:sz w:val="20"/>
          <w:szCs w:val="20"/>
        </w:rPr>
      </w:pPr>
      <w:r w:rsidRPr="004343B7">
        <w:rPr>
          <w:rFonts w:ascii="Calibri" w:hAnsi="Calibri" w:cs="Calibri"/>
          <w:color w:val="020202"/>
          <w:sz w:val="20"/>
          <w:szCs w:val="20"/>
          <w:shd w:val="clear" w:color="auto" w:fill="FFFFFF"/>
        </w:rPr>
        <w:t>Program in Medical and Population Genetics</w:t>
      </w:r>
      <w:r w:rsidRPr="004343B7">
        <w:rPr>
          <w:rFonts w:ascii="Calibri" w:hAnsi="Calibri" w:cs="Calibri"/>
          <w:sz w:val="20"/>
          <w:szCs w:val="20"/>
        </w:rPr>
        <w:t>, Broad institute of MIT and Harvard, Boston, MA, USA</w:t>
      </w:r>
    </w:p>
    <w:p w14:paraId="41868DC7" w14:textId="77777777" w:rsidR="00F52E06" w:rsidRPr="004343B7" w:rsidRDefault="00F52E06" w:rsidP="00D76A30">
      <w:pPr>
        <w:pStyle w:val="ListParagraph"/>
        <w:numPr>
          <w:ilvl w:val="0"/>
          <w:numId w:val="5"/>
        </w:numPr>
        <w:rPr>
          <w:rFonts w:ascii="Calibri" w:hAnsi="Calibri" w:cs="Calibri"/>
          <w:sz w:val="20"/>
          <w:szCs w:val="20"/>
        </w:rPr>
      </w:pPr>
      <w:r w:rsidRPr="004343B7">
        <w:rPr>
          <w:rFonts w:ascii="Calibri" w:hAnsi="Calibri" w:cs="Calibri"/>
          <w:sz w:val="20"/>
          <w:szCs w:val="20"/>
        </w:rPr>
        <w:t>Center for Genomic Medicine, Analytic and Translational Genetics Unit, Massachusetts General Hospital, Boston, MA, USA</w:t>
      </w:r>
    </w:p>
    <w:p w14:paraId="61F9EA73" w14:textId="77777777" w:rsidR="00F52E06" w:rsidRPr="004343B7" w:rsidRDefault="00F52E06" w:rsidP="00D76A30">
      <w:pPr>
        <w:pStyle w:val="ListParagraph"/>
        <w:numPr>
          <w:ilvl w:val="0"/>
          <w:numId w:val="5"/>
        </w:numPr>
        <w:rPr>
          <w:rFonts w:ascii="Calibri" w:hAnsi="Calibri" w:cs="Calibri"/>
          <w:sz w:val="20"/>
          <w:szCs w:val="20"/>
        </w:rPr>
      </w:pPr>
      <w:r w:rsidRPr="004343B7">
        <w:rPr>
          <w:rFonts w:ascii="Calibri" w:hAnsi="Calibri" w:cs="Calibri"/>
          <w:sz w:val="20"/>
          <w:szCs w:val="20"/>
        </w:rPr>
        <w:t>Division of Genetics and Genomics, Boston Children’s Hospital, Boston, MA, USA</w:t>
      </w:r>
    </w:p>
    <w:p w14:paraId="4BA431D7" w14:textId="77777777" w:rsidR="00F52E06" w:rsidRPr="004343B7" w:rsidRDefault="00F52E06" w:rsidP="002C7F6A">
      <w:pPr>
        <w:pStyle w:val="ListParagraph"/>
        <w:numPr>
          <w:ilvl w:val="0"/>
          <w:numId w:val="5"/>
        </w:numPr>
        <w:rPr>
          <w:rFonts w:ascii="Calibri" w:hAnsi="Calibri" w:cs="Calibri"/>
          <w:sz w:val="20"/>
          <w:szCs w:val="20"/>
        </w:rPr>
      </w:pPr>
      <w:r w:rsidRPr="004343B7">
        <w:rPr>
          <w:rFonts w:ascii="Calibri" w:hAnsi="Calibri" w:cs="Calibri"/>
          <w:sz w:val="20"/>
          <w:szCs w:val="20"/>
        </w:rPr>
        <w:t>Genomics England, London, UK</w:t>
      </w:r>
    </w:p>
    <w:p w14:paraId="7518ECCE" w14:textId="77777777" w:rsidR="00F52E06" w:rsidRPr="004343B7" w:rsidRDefault="00F52E06" w:rsidP="002C7F6A">
      <w:pPr>
        <w:pStyle w:val="ListParagraph"/>
        <w:numPr>
          <w:ilvl w:val="0"/>
          <w:numId w:val="5"/>
        </w:numPr>
        <w:rPr>
          <w:rFonts w:ascii="Calibri" w:hAnsi="Calibri" w:cs="Calibri"/>
          <w:sz w:val="20"/>
          <w:szCs w:val="20"/>
        </w:rPr>
      </w:pPr>
      <w:r w:rsidRPr="004343B7">
        <w:rPr>
          <w:rFonts w:ascii="Calibri" w:hAnsi="Calibri" w:cs="Calibri"/>
          <w:color w:val="000000"/>
          <w:sz w:val="20"/>
          <w:szCs w:val="20"/>
        </w:rPr>
        <w:t>Department of Genetics, University Medical Center Utrecht, Utrecht, The Netherlands</w:t>
      </w:r>
    </w:p>
    <w:p w14:paraId="584183A9" w14:textId="77777777" w:rsidR="00F52E06" w:rsidRPr="004343B7" w:rsidRDefault="00F52E06" w:rsidP="00D76A30">
      <w:pPr>
        <w:rPr>
          <w:rFonts w:ascii="Calibri" w:hAnsi="Calibri" w:cs="Calibri"/>
          <w:sz w:val="20"/>
          <w:szCs w:val="20"/>
        </w:rPr>
      </w:pPr>
    </w:p>
    <w:p w14:paraId="6464C8BA" w14:textId="77777777" w:rsidR="00F52E06" w:rsidRPr="004343B7" w:rsidRDefault="00F52E06" w:rsidP="00D76A30">
      <w:pPr>
        <w:rPr>
          <w:rFonts w:ascii="Calibri" w:hAnsi="Calibri" w:cs="Calibri"/>
          <w:sz w:val="20"/>
          <w:szCs w:val="20"/>
          <w:u w:val="single"/>
        </w:rPr>
      </w:pPr>
      <w:r w:rsidRPr="004343B7">
        <w:rPr>
          <w:rFonts w:ascii="Calibri" w:hAnsi="Calibri" w:cs="Calibri"/>
          <w:sz w:val="20"/>
          <w:szCs w:val="20"/>
          <w:u w:val="single"/>
        </w:rPr>
        <w:t xml:space="preserve">Corresponding Author: </w:t>
      </w:r>
    </w:p>
    <w:p w14:paraId="09757BB6" w14:textId="77777777" w:rsidR="00F52E06" w:rsidRPr="004343B7" w:rsidRDefault="00F52E06" w:rsidP="00D76A30">
      <w:pPr>
        <w:rPr>
          <w:rFonts w:ascii="Calibri" w:hAnsi="Calibri" w:cs="Calibri"/>
          <w:sz w:val="20"/>
          <w:szCs w:val="20"/>
        </w:rPr>
      </w:pPr>
      <w:r w:rsidRPr="004343B7">
        <w:rPr>
          <w:rFonts w:ascii="Calibri" w:hAnsi="Calibri" w:cs="Calibri"/>
          <w:sz w:val="20"/>
          <w:szCs w:val="20"/>
        </w:rPr>
        <w:t>Dr Eleanor G. Seaby, Genomic Informatics Group, University Hospital Southampton, SO16 6YD, UK</w:t>
      </w:r>
    </w:p>
    <w:p w14:paraId="7B17BD6B" w14:textId="77777777" w:rsidR="00F52E06" w:rsidRPr="004343B7" w:rsidRDefault="006C2E81" w:rsidP="00D76A30">
      <w:pPr>
        <w:rPr>
          <w:rFonts w:ascii="Calibri" w:hAnsi="Calibri"/>
          <w:sz w:val="20"/>
          <w:szCs w:val="20"/>
        </w:rPr>
      </w:pPr>
      <w:hyperlink r:id="rId10" w:history="1">
        <w:r w:rsidR="00F52E06" w:rsidRPr="004343B7">
          <w:rPr>
            <w:rStyle w:val="Hyperlink"/>
            <w:rFonts w:ascii="Calibri" w:hAnsi="Calibri"/>
            <w:sz w:val="20"/>
            <w:szCs w:val="20"/>
          </w:rPr>
          <w:t>E.Seaby@soton.ac.uk</w:t>
        </w:r>
      </w:hyperlink>
    </w:p>
    <w:p w14:paraId="58CABCF0" w14:textId="77777777" w:rsidR="00F52E06" w:rsidRPr="004343B7" w:rsidRDefault="00F52E06" w:rsidP="00D76A30">
      <w:pPr>
        <w:rPr>
          <w:rFonts w:ascii="Calibri" w:hAnsi="Calibri" w:cs="Calibri"/>
          <w:sz w:val="20"/>
          <w:szCs w:val="20"/>
        </w:rPr>
      </w:pPr>
    </w:p>
    <w:p w14:paraId="1DCCC2A9" w14:textId="77777777" w:rsidR="00F52E06" w:rsidRPr="004343B7" w:rsidRDefault="00F52E06" w:rsidP="00F32F10">
      <w:pPr>
        <w:rPr>
          <w:rFonts w:ascii="Calibri" w:hAnsi="Calibri" w:cs="Calibri"/>
          <w:b/>
          <w:bCs/>
          <w:color w:val="000000" w:themeColor="text1"/>
          <w:sz w:val="20"/>
          <w:szCs w:val="20"/>
        </w:rPr>
      </w:pPr>
    </w:p>
    <w:p w14:paraId="535485BD"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Keywords:</w:t>
      </w:r>
      <w:r w:rsidRPr="004343B7">
        <w:rPr>
          <w:rFonts w:ascii="Calibri" w:hAnsi="Calibri" w:cs="Calibri"/>
          <w:color w:val="000000" w:themeColor="text1"/>
          <w:sz w:val="20"/>
          <w:szCs w:val="20"/>
        </w:rPr>
        <w:t xml:space="preserve"> Novel gene discovery, Mendelian disease, diagnostic uplift, disease genes, genome sequencing</w:t>
      </w:r>
    </w:p>
    <w:p w14:paraId="6C9B9446" w14:textId="77777777" w:rsidR="00F52E06" w:rsidRPr="004343B7" w:rsidRDefault="00F52E06" w:rsidP="00F32F10">
      <w:pPr>
        <w:rPr>
          <w:rFonts w:ascii="Calibri" w:hAnsi="Calibri" w:cs="Calibri"/>
          <w:color w:val="000000" w:themeColor="text1"/>
          <w:sz w:val="20"/>
          <w:szCs w:val="20"/>
        </w:rPr>
      </w:pPr>
    </w:p>
    <w:p w14:paraId="279441DC" w14:textId="77777777" w:rsidR="00F52E06" w:rsidRPr="004343B7" w:rsidRDefault="00F52E06" w:rsidP="00F32F10">
      <w:pPr>
        <w:rPr>
          <w:rFonts w:ascii="Calibri" w:hAnsi="Calibri" w:cs="Calibri"/>
          <w:b/>
          <w:bCs/>
          <w:color w:val="000000" w:themeColor="text1"/>
          <w:sz w:val="20"/>
          <w:szCs w:val="20"/>
        </w:rPr>
      </w:pPr>
      <w:r w:rsidRPr="004343B7">
        <w:rPr>
          <w:rFonts w:ascii="Calibri" w:hAnsi="Calibri" w:cs="Calibri"/>
          <w:b/>
          <w:bCs/>
          <w:color w:val="000000" w:themeColor="text1"/>
          <w:sz w:val="20"/>
          <w:szCs w:val="20"/>
        </w:rPr>
        <w:t xml:space="preserve">List of abbreviations: </w:t>
      </w:r>
    </w:p>
    <w:p w14:paraId="7DAF5548"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AF</w:t>
      </w:r>
      <w:r w:rsidRPr="004343B7">
        <w:rPr>
          <w:rFonts w:ascii="Calibri" w:hAnsi="Calibri" w:cs="Calibri"/>
          <w:color w:val="000000" w:themeColor="text1"/>
          <w:sz w:val="20"/>
          <w:szCs w:val="20"/>
        </w:rPr>
        <w:t xml:space="preserve"> – Allele frequency</w:t>
      </w:r>
    </w:p>
    <w:p w14:paraId="4A67AC7B"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AnVIL</w:t>
      </w:r>
      <w:r w:rsidRPr="004343B7">
        <w:rPr>
          <w:rFonts w:ascii="Calibri" w:hAnsi="Calibri" w:cs="Calibri"/>
          <w:color w:val="000000" w:themeColor="text1"/>
          <w:sz w:val="20"/>
          <w:szCs w:val="20"/>
        </w:rPr>
        <w:t xml:space="preserve"> - </w:t>
      </w:r>
      <w:r w:rsidRPr="004343B7">
        <w:rPr>
          <w:rFonts w:ascii="Calibri" w:hAnsi="Calibri" w:cs="Calibri"/>
          <w:bCs/>
          <w:sz w:val="20"/>
          <w:szCs w:val="20"/>
        </w:rPr>
        <w:t>Analysis, Visualisation, and Informatics Lab</w:t>
      </w:r>
    </w:p>
    <w:p w14:paraId="0650D84F"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sz w:val="20"/>
          <w:szCs w:val="20"/>
        </w:rPr>
        <w:t>DECIPHER</w:t>
      </w:r>
      <w:r w:rsidRPr="004343B7">
        <w:rPr>
          <w:rFonts w:ascii="Calibri" w:hAnsi="Calibri" w:cs="Calibri"/>
          <w:sz w:val="20"/>
          <w:szCs w:val="20"/>
        </w:rPr>
        <w:t xml:space="preserve"> - Database of genomic variation and phenotype in humans using Ensembl resources</w:t>
      </w:r>
    </w:p>
    <w:p w14:paraId="6686F835"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HPO</w:t>
      </w:r>
      <w:r w:rsidRPr="004343B7">
        <w:rPr>
          <w:rFonts w:ascii="Calibri" w:hAnsi="Calibri" w:cs="Calibri"/>
          <w:color w:val="000000" w:themeColor="text1"/>
          <w:sz w:val="20"/>
          <w:szCs w:val="20"/>
        </w:rPr>
        <w:t xml:space="preserve"> – Human Phenotype Ontology</w:t>
      </w:r>
    </w:p>
    <w:p w14:paraId="62ECFB38"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GECIP</w:t>
      </w:r>
      <w:r w:rsidRPr="004343B7">
        <w:rPr>
          <w:rFonts w:ascii="Calibri" w:hAnsi="Calibri" w:cs="Calibri"/>
          <w:color w:val="000000" w:themeColor="text1"/>
          <w:sz w:val="20"/>
          <w:szCs w:val="20"/>
        </w:rPr>
        <w:t xml:space="preserve"> - </w:t>
      </w:r>
      <w:r w:rsidRPr="004343B7">
        <w:rPr>
          <w:rFonts w:ascii="Calibri" w:hAnsi="Calibri" w:cs="Calibri"/>
          <w:sz w:val="20"/>
          <w:szCs w:val="20"/>
        </w:rPr>
        <w:t>Genomics England Clinical Interpretation Partnership</w:t>
      </w:r>
    </w:p>
    <w:p w14:paraId="386E77C0"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 xml:space="preserve">GEL </w:t>
      </w:r>
      <w:r w:rsidRPr="004343B7">
        <w:rPr>
          <w:rFonts w:ascii="Calibri" w:hAnsi="Calibri" w:cs="Calibri"/>
          <w:color w:val="000000" w:themeColor="text1"/>
          <w:sz w:val="20"/>
          <w:szCs w:val="20"/>
        </w:rPr>
        <w:t>– Genomics England</w:t>
      </w:r>
    </w:p>
    <w:p w14:paraId="00F4C384"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IMPC</w:t>
      </w:r>
      <w:r w:rsidRPr="004343B7">
        <w:rPr>
          <w:rFonts w:ascii="Calibri" w:hAnsi="Calibri" w:cs="Calibri"/>
          <w:color w:val="000000" w:themeColor="text1"/>
          <w:sz w:val="20"/>
          <w:szCs w:val="20"/>
        </w:rPr>
        <w:t xml:space="preserve"> – International Mouse Phenotyping Consortium</w:t>
      </w:r>
    </w:p>
    <w:p w14:paraId="48FD4C5C" w14:textId="52406BBF"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 xml:space="preserve">LOEUF </w:t>
      </w:r>
      <w:r w:rsidRPr="004343B7">
        <w:rPr>
          <w:rFonts w:ascii="Calibri" w:hAnsi="Calibri" w:cs="Calibri"/>
          <w:color w:val="000000" w:themeColor="text1"/>
          <w:sz w:val="20"/>
          <w:szCs w:val="20"/>
        </w:rPr>
        <w:t xml:space="preserve">– </w:t>
      </w:r>
      <w:r w:rsidRPr="004343B7">
        <w:rPr>
          <w:rFonts w:ascii="Calibri" w:hAnsi="Calibri" w:cs="Calibri"/>
          <w:sz w:val="20"/>
          <w:szCs w:val="20"/>
        </w:rPr>
        <w:t>Lo</w:t>
      </w:r>
      <w:r w:rsidR="0077666A" w:rsidRPr="004343B7">
        <w:rPr>
          <w:rFonts w:ascii="Calibri" w:hAnsi="Calibri" w:cs="Calibri"/>
          <w:sz w:val="20"/>
          <w:szCs w:val="20"/>
        </w:rPr>
        <w:t>ss-of-function</w:t>
      </w:r>
      <w:r w:rsidRPr="004343B7">
        <w:rPr>
          <w:rFonts w:ascii="Calibri" w:hAnsi="Calibri" w:cs="Calibri"/>
          <w:sz w:val="20"/>
          <w:szCs w:val="20"/>
        </w:rPr>
        <w:t xml:space="preserve"> Observed/Expected Upper-bound Fraction</w:t>
      </w:r>
    </w:p>
    <w:p w14:paraId="3867421C"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LoF</w:t>
      </w:r>
      <w:r w:rsidRPr="004343B7">
        <w:rPr>
          <w:rFonts w:ascii="Calibri" w:hAnsi="Calibri" w:cs="Calibri"/>
          <w:color w:val="000000" w:themeColor="text1"/>
          <w:sz w:val="20"/>
          <w:szCs w:val="20"/>
        </w:rPr>
        <w:t xml:space="preserve"> – Loss of function</w:t>
      </w:r>
    </w:p>
    <w:p w14:paraId="6C60058F"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MGI</w:t>
      </w:r>
      <w:r w:rsidRPr="004343B7">
        <w:rPr>
          <w:rFonts w:ascii="Calibri" w:hAnsi="Calibri" w:cs="Calibri"/>
          <w:color w:val="000000" w:themeColor="text1"/>
          <w:sz w:val="20"/>
          <w:szCs w:val="20"/>
        </w:rPr>
        <w:t xml:space="preserve"> – Mouse Genome Informatics</w:t>
      </w:r>
    </w:p>
    <w:p w14:paraId="3AC2338A"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MME</w:t>
      </w:r>
      <w:r w:rsidRPr="004343B7">
        <w:rPr>
          <w:rFonts w:ascii="Calibri" w:hAnsi="Calibri" w:cs="Calibri"/>
          <w:color w:val="000000" w:themeColor="text1"/>
          <w:sz w:val="20"/>
          <w:szCs w:val="20"/>
        </w:rPr>
        <w:t xml:space="preserve"> – Matchmaker Exchange</w:t>
      </w:r>
    </w:p>
    <w:p w14:paraId="474000E3"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OMIM</w:t>
      </w:r>
      <w:r w:rsidRPr="004343B7">
        <w:rPr>
          <w:rFonts w:ascii="Calibri" w:hAnsi="Calibri" w:cs="Calibri"/>
          <w:color w:val="000000" w:themeColor="text1"/>
          <w:sz w:val="20"/>
          <w:szCs w:val="20"/>
        </w:rPr>
        <w:t xml:space="preserve"> - </w:t>
      </w:r>
      <w:r w:rsidRPr="004343B7">
        <w:rPr>
          <w:rFonts w:ascii="Calibri" w:hAnsi="Calibri" w:cs="Calibri"/>
          <w:sz w:val="20"/>
          <w:szCs w:val="20"/>
        </w:rPr>
        <w:t>Online Mendelian Inheritance in Man</w:t>
      </w:r>
    </w:p>
    <w:p w14:paraId="7D6ED070"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pLoF</w:t>
      </w:r>
      <w:r w:rsidRPr="004343B7">
        <w:rPr>
          <w:rFonts w:ascii="Calibri" w:hAnsi="Calibri" w:cs="Calibri"/>
          <w:color w:val="000000" w:themeColor="text1"/>
          <w:sz w:val="20"/>
          <w:szCs w:val="20"/>
        </w:rPr>
        <w:t xml:space="preserve"> – Predicted loss of function</w:t>
      </w:r>
    </w:p>
    <w:p w14:paraId="1F3F5FEF"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RE</w:t>
      </w:r>
      <w:r w:rsidRPr="004343B7">
        <w:rPr>
          <w:rFonts w:ascii="Calibri" w:hAnsi="Calibri" w:cs="Calibri"/>
          <w:color w:val="000000" w:themeColor="text1"/>
          <w:sz w:val="20"/>
          <w:szCs w:val="20"/>
        </w:rPr>
        <w:t xml:space="preserve"> - Research environment</w:t>
      </w:r>
    </w:p>
    <w:p w14:paraId="5D50286B" w14:textId="77777777" w:rsidR="00F52E06" w:rsidRPr="004343B7" w:rsidRDefault="00F52E06" w:rsidP="00F32F10">
      <w:pPr>
        <w:rPr>
          <w:rFonts w:ascii="Calibri" w:hAnsi="Calibri" w:cs="Calibri"/>
          <w:color w:val="000000" w:themeColor="text1"/>
          <w:sz w:val="20"/>
          <w:szCs w:val="20"/>
        </w:rPr>
      </w:pPr>
      <w:r w:rsidRPr="004343B7">
        <w:rPr>
          <w:rFonts w:ascii="Calibri" w:hAnsi="Calibri" w:cs="Calibri"/>
          <w:b/>
          <w:bCs/>
          <w:color w:val="000000" w:themeColor="text1"/>
          <w:sz w:val="20"/>
          <w:szCs w:val="20"/>
        </w:rPr>
        <w:t>VUS</w:t>
      </w:r>
      <w:r w:rsidRPr="004343B7">
        <w:rPr>
          <w:rFonts w:ascii="Calibri" w:hAnsi="Calibri" w:cs="Calibri"/>
          <w:color w:val="000000" w:themeColor="text1"/>
          <w:sz w:val="20"/>
          <w:szCs w:val="20"/>
        </w:rPr>
        <w:t xml:space="preserve"> - </w:t>
      </w:r>
      <w:r w:rsidRPr="004343B7">
        <w:rPr>
          <w:rFonts w:ascii="Calibri" w:hAnsi="Calibri" w:cs="Calibri"/>
          <w:sz w:val="20"/>
          <w:szCs w:val="20"/>
        </w:rPr>
        <w:t>Variants of uncertain significance</w:t>
      </w:r>
    </w:p>
    <w:p w14:paraId="672B6D7B" w14:textId="77777777" w:rsidR="00F52E06" w:rsidRPr="00D76A30" w:rsidRDefault="00F52E06" w:rsidP="00D76A30">
      <w:pPr>
        <w:rPr>
          <w:rFonts w:ascii="Calibri" w:hAnsi="Calibri" w:cs="Calibri"/>
          <w:sz w:val="16"/>
          <w:szCs w:val="16"/>
        </w:rPr>
      </w:pPr>
    </w:p>
    <w:p w14:paraId="0813F502" w14:textId="77777777" w:rsidR="00F52E06" w:rsidRDefault="00F52E06">
      <w:pPr>
        <w:rPr>
          <w:rFonts w:ascii="Calibri" w:hAnsi="Calibri" w:cs="Calibri"/>
          <w:sz w:val="20"/>
          <w:szCs w:val="20"/>
        </w:rPr>
      </w:pPr>
    </w:p>
    <w:p w14:paraId="00AB01BB" w14:textId="77777777" w:rsidR="00F52E06" w:rsidRPr="001454E9" w:rsidRDefault="00F52E06" w:rsidP="001454E9">
      <w:pPr>
        <w:spacing w:line="480" w:lineRule="auto"/>
        <w:rPr>
          <w:rFonts w:ascii="Calibri" w:hAnsi="Calibri" w:cs="Calibri"/>
          <w:b/>
          <w:bCs/>
          <w:sz w:val="20"/>
          <w:szCs w:val="20"/>
        </w:rPr>
      </w:pPr>
      <w:r w:rsidRPr="00CD5D42">
        <w:rPr>
          <w:rFonts w:ascii="Calibri" w:hAnsi="Calibri" w:cs="Calibri"/>
          <w:b/>
          <w:bCs/>
          <w:sz w:val="20"/>
          <w:szCs w:val="20"/>
        </w:rPr>
        <w:t>Abstract</w:t>
      </w:r>
    </w:p>
    <w:p w14:paraId="3B6E18A8" w14:textId="7A2078DB" w:rsidR="00F52E06" w:rsidRDefault="00A7507F" w:rsidP="001454E9">
      <w:pPr>
        <w:spacing w:line="480" w:lineRule="auto"/>
        <w:rPr>
          <w:rFonts w:ascii="Calibri" w:hAnsi="Calibri" w:cs="Calibri"/>
          <w:sz w:val="20"/>
          <w:szCs w:val="20"/>
        </w:rPr>
      </w:pPr>
      <w:r>
        <w:rPr>
          <w:rFonts w:ascii="Calibri" w:hAnsi="Calibri" w:cs="Calibri"/>
          <w:b/>
          <w:bCs/>
          <w:sz w:val="20"/>
          <w:szCs w:val="20"/>
        </w:rPr>
        <w:t>Purpose</w:t>
      </w:r>
      <w:r w:rsidR="00F52E06" w:rsidRPr="00B70B8A">
        <w:rPr>
          <w:rFonts w:ascii="Calibri" w:hAnsi="Calibri" w:cs="Calibri"/>
          <w:b/>
          <w:bCs/>
          <w:sz w:val="20"/>
          <w:szCs w:val="20"/>
        </w:rPr>
        <w:t>:</w:t>
      </w:r>
      <w:r w:rsidR="00F52E06">
        <w:rPr>
          <w:rFonts w:ascii="Calibri" w:hAnsi="Calibri" w:cs="Calibri"/>
          <w:sz w:val="20"/>
          <w:szCs w:val="20"/>
        </w:rPr>
        <w:t xml:space="preserve"> </w:t>
      </w:r>
    </w:p>
    <w:p w14:paraId="09B4C7F1" w14:textId="77777777" w:rsidR="00F52E06" w:rsidRPr="0080096D" w:rsidRDefault="00F52E06" w:rsidP="001454E9">
      <w:pPr>
        <w:spacing w:line="480" w:lineRule="auto"/>
        <w:rPr>
          <w:rFonts w:ascii="Calibri" w:hAnsi="Calibri" w:cs="Calibri"/>
          <w:sz w:val="20"/>
          <w:szCs w:val="20"/>
        </w:rPr>
      </w:pPr>
      <w:r w:rsidRPr="0080096D">
        <w:rPr>
          <w:rFonts w:ascii="Calibri" w:hAnsi="Calibri" w:cs="Calibri"/>
          <w:sz w:val="20"/>
          <w:szCs w:val="20"/>
        </w:rPr>
        <w:t xml:space="preserve">Exome and genome sequencing have drastically </w:t>
      </w:r>
      <w:r>
        <w:rPr>
          <w:rFonts w:ascii="Calibri" w:hAnsi="Calibri" w:cs="Calibri"/>
          <w:sz w:val="20"/>
          <w:szCs w:val="20"/>
        </w:rPr>
        <w:t>accelerated</w:t>
      </w:r>
      <w:r w:rsidRPr="0080096D">
        <w:rPr>
          <w:rFonts w:ascii="Calibri" w:hAnsi="Calibri" w:cs="Calibri"/>
          <w:sz w:val="20"/>
          <w:szCs w:val="20"/>
        </w:rPr>
        <w:t xml:space="preserve"> novel disease-gene discoveries. However, discovery is still hindered by </w:t>
      </w:r>
      <w:r>
        <w:rPr>
          <w:rFonts w:ascii="Calibri" w:hAnsi="Calibri" w:cs="Calibri"/>
          <w:sz w:val="20"/>
          <w:szCs w:val="20"/>
        </w:rPr>
        <w:t xml:space="preserve">myriad </w:t>
      </w:r>
      <w:r w:rsidRPr="0080096D">
        <w:rPr>
          <w:rFonts w:ascii="Calibri" w:hAnsi="Calibri" w:cs="Calibri"/>
          <w:sz w:val="20"/>
          <w:szCs w:val="20"/>
        </w:rPr>
        <w:t>variants of uncertain significance found in genes of undetermined biological function. This necessitates intensive functional experiments on genes of equal</w:t>
      </w:r>
      <w:r>
        <w:rPr>
          <w:rFonts w:ascii="Calibri" w:hAnsi="Calibri" w:cs="Calibri"/>
          <w:sz w:val="20"/>
          <w:szCs w:val="20"/>
        </w:rPr>
        <w:t>-</w:t>
      </w:r>
      <w:r w:rsidRPr="0080096D">
        <w:rPr>
          <w:rFonts w:ascii="Calibri" w:hAnsi="Calibri" w:cs="Calibri"/>
          <w:sz w:val="20"/>
          <w:szCs w:val="20"/>
        </w:rPr>
        <w:t>predicted causality leading to a major bottleneck.</w:t>
      </w:r>
    </w:p>
    <w:p w14:paraId="77671E7F" w14:textId="77777777" w:rsidR="00F52E06" w:rsidRPr="0080096D" w:rsidRDefault="00F52E06" w:rsidP="001454E9">
      <w:pPr>
        <w:spacing w:line="480" w:lineRule="auto"/>
        <w:rPr>
          <w:rFonts w:ascii="Calibri" w:hAnsi="Calibri" w:cs="Calibri"/>
          <w:sz w:val="20"/>
          <w:szCs w:val="20"/>
        </w:rPr>
      </w:pPr>
    </w:p>
    <w:p w14:paraId="4A09E5F2" w14:textId="77777777" w:rsidR="00F52E06" w:rsidRDefault="00F52E06" w:rsidP="001454E9">
      <w:pPr>
        <w:spacing w:line="480" w:lineRule="auto"/>
        <w:rPr>
          <w:rFonts w:ascii="Calibri" w:hAnsi="Calibri" w:cs="Calibri"/>
          <w:sz w:val="20"/>
          <w:szCs w:val="20"/>
        </w:rPr>
      </w:pPr>
      <w:r w:rsidRPr="00B70B8A">
        <w:rPr>
          <w:rFonts w:ascii="Calibri" w:hAnsi="Calibri" w:cs="Calibri"/>
          <w:b/>
          <w:bCs/>
          <w:sz w:val="20"/>
          <w:szCs w:val="20"/>
        </w:rPr>
        <w:t>Methods:</w:t>
      </w:r>
      <w:r>
        <w:rPr>
          <w:rFonts w:ascii="Calibri" w:hAnsi="Calibri" w:cs="Calibri"/>
          <w:sz w:val="20"/>
          <w:szCs w:val="20"/>
        </w:rPr>
        <w:t xml:space="preserve"> </w:t>
      </w:r>
    </w:p>
    <w:p w14:paraId="78C75FD5" w14:textId="622D9F69" w:rsidR="00F52E06" w:rsidRPr="0080096D" w:rsidRDefault="00F52E06" w:rsidP="001454E9">
      <w:pPr>
        <w:spacing w:line="480" w:lineRule="auto"/>
        <w:rPr>
          <w:rFonts w:ascii="Calibri" w:hAnsi="Calibri" w:cs="Calibri"/>
          <w:sz w:val="20"/>
          <w:szCs w:val="20"/>
        </w:rPr>
      </w:pPr>
      <w:r>
        <w:rPr>
          <w:rFonts w:ascii="Calibri" w:hAnsi="Calibri" w:cs="Calibri"/>
          <w:sz w:val="20"/>
          <w:szCs w:val="20"/>
        </w:rPr>
        <w:lastRenderedPageBreak/>
        <w:t>W</w:t>
      </w:r>
      <w:r w:rsidRPr="0080096D">
        <w:rPr>
          <w:rFonts w:ascii="Calibri" w:hAnsi="Calibri" w:cs="Calibri"/>
          <w:sz w:val="20"/>
          <w:szCs w:val="20"/>
        </w:rPr>
        <w:t>e apply the Lo</w:t>
      </w:r>
      <w:r w:rsidR="0077666A">
        <w:rPr>
          <w:rFonts w:ascii="Calibri" w:hAnsi="Calibri" w:cs="Calibri"/>
          <w:sz w:val="20"/>
          <w:szCs w:val="20"/>
        </w:rPr>
        <w:t xml:space="preserve">ss-of-function </w:t>
      </w:r>
      <w:r w:rsidRPr="0080096D">
        <w:rPr>
          <w:rFonts w:ascii="Calibri" w:hAnsi="Calibri" w:cs="Calibri"/>
          <w:sz w:val="20"/>
          <w:szCs w:val="20"/>
        </w:rPr>
        <w:t xml:space="preserve">Observed/Expected Upper-bound Fraction (LOEUF) metric of intolerance to gene inactivation to curate a list of predicted haploinsufficient disease genes. </w:t>
      </w:r>
      <w:r>
        <w:rPr>
          <w:rFonts w:ascii="Calibri" w:hAnsi="Calibri" w:cs="Calibri"/>
          <w:sz w:val="20"/>
          <w:szCs w:val="20"/>
        </w:rPr>
        <w:t>Using</w:t>
      </w:r>
      <w:r w:rsidRPr="0080096D">
        <w:rPr>
          <w:rFonts w:ascii="Calibri" w:hAnsi="Calibri" w:cs="Calibri"/>
          <w:sz w:val="20"/>
          <w:szCs w:val="20"/>
        </w:rPr>
        <w:t xml:space="preserve"> data from the 100,000 Genomes Project, we adopt a gene-to-patient approach that matches </w:t>
      </w:r>
      <w:r w:rsidRPr="0080096D">
        <w:rPr>
          <w:rFonts w:ascii="Calibri" w:hAnsi="Calibri" w:cs="Calibri"/>
          <w:i/>
          <w:sz w:val="20"/>
          <w:szCs w:val="20"/>
        </w:rPr>
        <w:t>de novo</w:t>
      </w:r>
      <w:r w:rsidRPr="0080096D">
        <w:rPr>
          <w:rFonts w:ascii="Calibri" w:hAnsi="Calibri" w:cs="Calibri"/>
          <w:sz w:val="20"/>
          <w:szCs w:val="20"/>
        </w:rPr>
        <w:t xml:space="preserve"> loss-of-function variants in constrained genes to rare disease patients</w:t>
      </w:r>
      <w:r>
        <w:rPr>
          <w:rFonts w:ascii="Calibri" w:hAnsi="Calibri" w:cs="Calibri"/>
          <w:sz w:val="20"/>
          <w:szCs w:val="20"/>
        </w:rPr>
        <w:t>.</w:t>
      </w:r>
      <w:r w:rsidRPr="0080096D">
        <w:rPr>
          <w:rFonts w:ascii="Calibri" w:hAnsi="Calibri" w:cs="Calibri"/>
          <w:sz w:val="20"/>
          <w:szCs w:val="20"/>
        </w:rPr>
        <w:t xml:space="preserve"> </w:t>
      </w:r>
      <w:r>
        <w:rPr>
          <w:rFonts w:ascii="Calibri" w:hAnsi="Calibri" w:cs="Calibri"/>
          <w:sz w:val="20"/>
          <w:szCs w:val="20"/>
        </w:rPr>
        <w:t>T</w:t>
      </w:r>
      <w:r w:rsidRPr="0080096D">
        <w:rPr>
          <w:rFonts w:ascii="Calibri" w:hAnsi="Calibri" w:cs="Calibri"/>
          <w:sz w:val="20"/>
          <w:szCs w:val="20"/>
        </w:rPr>
        <w:t>hrough large scale aggregation of data,</w:t>
      </w:r>
      <w:r>
        <w:rPr>
          <w:rFonts w:ascii="Calibri" w:hAnsi="Calibri" w:cs="Calibri"/>
          <w:sz w:val="20"/>
          <w:szCs w:val="20"/>
        </w:rPr>
        <w:t xml:space="preserve"> we </w:t>
      </w:r>
      <w:r w:rsidRPr="0080096D">
        <w:rPr>
          <w:rFonts w:ascii="Calibri" w:hAnsi="Calibri" w:cs="Calibri"/>
          <w:sz w:val="20"/>
          <w:szCs w:val="20"/>
        </w:rPr>
        <w:t xml:space="preserve">reduce </w:t>
      </w:r>
      <w:r>
        <w:rPr>
          <w:rFonts w:ascii="Calibri" w:hAnsi="Calibri" w:cs="Calibri"/>
          <w:sz w:val="20"/>
          <w:szCs w:val="20"/>
        </w:rPr>
        <w:t>excess</w:t>
      </w:r>
      <w:r w:rsidRPr="0080096D">
        <w:rPr>
          <w:rFonts w:ascii="Calibri" w:hAnsi="Calibri" w:cs="Calibri"/>
          <w:sz w:val="20"/>
          <w:szCs w:val="20"/>
        </w:rPr>
        <w:t xml:space="preserve"> analytical noise currently hinder</w:t>
      </w:r>
      <w:r>
        <w:rPr>
          <w:rFonts w:ascii="Calibri" w:hAnsi="Calibri" w:cs="Calibri"/>
          <w:sz w:val="20"/>
          <w:szCs w:val="20"/>
        </w:rPr>
        <w:t xml:space="preserve">ing </w:t>
      </w:r>
      <w:r w:rsidRPr="0080096D">
        <w:rPr>
          <w:rFonts w:ascii="Calibri" w:hAnsi="Calibri" w:cs="Calibri"/>
          <w:sz w:val="20"/>
          <w:szCs w:val="20"/>
        </w:rPr>
        <w:t>novel discoveries.</w:t>
      </w:r>
    </w:p>
    <w:p w14:paraId="13B4764D" w14:textId="77777777" w:rsidR="00F52E06" w:rsidRPr="0080096D" w:rsidRDefault="00F52E06" w:rsidP="001454E9">
      <w:pPr>
        <w:spacing w:line="480" w:lineRule="auto"/>
        <w:rPr>
          <w:rFonts w:ascii="Calibri" w:hAnsi="Calibri" w:cs="Calibri"/>
          <w:sz w:val="20"/>
          <w:szCs w:val="20"/>
        </w:rPr>
      </w:pPr>
    </w:p>
    <w:p w14:paraId="0D2B2EA2" w14:textId="77777777" w:rsidR="00F52E06" w:rsidRDefault="00F52E06" w:rsidP="001454E9">
      <w:pPr>
        <w:spacing w:line="480" w:lineRule="auto"/>
        <w:rPr>
          <w:rFonts w:ascii="Calibri" w:hAnsi="Calibri" w:cs="Calibri"/>
          <w:sz w:val="20"/>
          <w:szCs w:val="20"/>
        </w:rPr>
      </w:pPr>
      <w:r w:rsidRPr="00B70B8A">
        <w:rPr>
          <w:rFonts w:ascii="Calibri" w:hAnsi="Calibri" w:cs="Calibri"/>
          <w:b/>
          <w:bCs/>
          <w:sz w:val="20"/>
          <w:szCs w:val="20"/>
        </w:rPr>
        <w:t>Results:</w:t>
      </w:r>
      <w:r>
        <w:rPr>
          <w:rFonts w:ascii="Calibri" w:hAnsi="Calibri" w:cs="Calibri"/>
          <w:sz w:val="20"/>
          <w:szCs w:val="20"/>
        </w:rPr>
        <w:t xml:space="preserve"> </w:t>
      </w:r>
    </w:p>
    <w:p w14:paraId="4CA8BB57" w14:textId="102C6AF9" w:rsidR="00F52E06" w:rsidRDefault="00F52E06" w:rsidP="001454E9">
      <w:pPr>
        <w:spacing w:line="480" w:lineRule="auto"/>
        <w:rPr>
          <w:rFonts w:ascii="Calibri" w:hAnsi="Calibri" w:cs="Calibri"/>
          <w:sz w:val="20"/>
          <w:szCs w:val="20"/>
        </w:rPr>
      </w:pPr>
      <w:r w:rsidRPr="0080096D">
        <w:rPr>
          <w:rFonts w:ascii="Calibri" w:hAnsi="Calibri" w:cs="Calibri"/>
          <w:sz w:val="20"/>
          <w:szCs w:val="20"/>
        </w:rPr>
        <w:t>Results from 13,</w:t>
      </w:r>
      <w:r>
        <w:rPr>
          <w:rFonts w:ascii="Calibri" w:hAnsi="Calibri" w:cs="Calibri"/>
          <w:sz w:val="20"/>
          <w:szCs w:val="20"/>
        </w:rPr>
        <w:t>949</w:t>
      </w:r>
      <w:r w:rsidRPr="0080096D">
        <w:rPr>
          <w:rFonts w:ascii="Calibri" w:hAnsi="Calibri" w:cs="Calibri"/>
          <w:sz w:val="20"/>
          <w:szCs w:val="20"/>
        </w:rPr>
        <w:t xml:space="preserve"> trios revealed 643 rare, </w:t>
      </w:r>
      <w:r w:rsidRPr="0080096D">
        <w:rPr>
          <w:rFonts w:ascii="Calibri" w:hAnsi="Calibri" w:cs="Calibri"/>
          <w:i/>
          <w:sz w:val="20"/>
          <w:szCs w:val="20"/>
        </w:rPr>
        <w:t>de novo</w:t>
      </w:r>
      <w:r w:rsidRPr="0080096D">
        <w:rPr>
          <w:rFonts w:ascii="Calibri" w:hAnsi="Calibri" w:cs="Calibri"/>
          <w:sz w:val="20"/>
          <w:szCs w:val="20"/>
        </w:rPr>
        <w:t xml:space="preserve"> predicted loss-of-function events </w:t>
      </w:r>
      <w:r>
        <w:rPr>
          <w:rFonts w:ascii="Calibri" w:hAnsi="Calibri" w:cs="Calibri"/>
          <w:sz w:val="20"/>
          <w:szCs w:val="20"/>
        </w:rPr>
        <w:t>filtered from</w:t>
      </w:r>
      <w:r w:rsidRPr="0080096D">
        <w:rPr>
          <w:rFonts w:ascii="Calibri" w:hAnsi="Calibri" w:cs="Calibri"/>
          <w:sz w:val="20"/>
          <w:szCs w:val="20"/>
        </w:rPr>
        <w:t xml:space="preserve"> 1,044 </w:t>
      </w:r>
      <w:r>
        <w:rPr>
          <w:rFonts w:ascii="Calibri" w:hAnsi="Calibri" w:cs="Calibri"/>
          <w:sz w:val="20"/>
          <w:szCs w:val="20"/>
        </w:rPr>
        <w:t>LOEUF-</w:t>
      </w:r>
      <w:r w:rsidRPr="0080096D">
        <w:rPr>
          <w:rFonts w:ascii="Calibri" w:hAnsi="Calibri" w:cs="Calibri"/>
          <w:sz w:val="20"/>
          <w:szCs w:val="20"/>
        </w:rPr>
        <w:t xml:space="preserve">constrained genes. 168 variants </w:t>
      </w:r>
      <w:r>
        <w:rPr>
          <w:rFonts w:ascii="Calibri" w:hAnsi="Calibri" w:cs="Calibri"/>
          <w:sz w:val="20"/>
          <w:szCs w:val="20"/>
        </w:rPr>
        <w:t>occurred within</w:t>
      </w:r>
      <w:r w:rsidRPr="0080096D">
        <w:rPr>
          <w:rFonts w:ascii="Calibri" w:hAnsi="Calibri" w:cs="Calibri"/>
          <w:sz w:val="20"/>
          <w:szCs w:val="20"/>
        </w:rPr>
        <w:t xml:space="preserve"> 126 genes without a known disease-gene relationship. Of the</w:t>
      </w:r>
      <w:r>
        <w:rPr>
          <w:rFonts w:ascii="Calibri" w:hAnsi="Calibri" w:cs="Calibri"/>
          <w:sz w:val="20"/>
          <w:szCs w:val="20"/>
        </w:rPr>
        <w:t>se,</w:t>
      </w:r>
      <w:r w:rsidRPr="0080096D">
        <w:rPr>
          <w:rFonts w:ascii="Calibri" w:hAnsi="Calibri" w:cs="Calibri"/>
          <w:sz w:val="20"/>
          <w:szCs w:val="20"/>
        </w:rPr>
        <w:t xml:space="preserve"> 27 genes had </w:t>
      </w:r>
      <w:r>
        <w:rPr>
          <w:rFonts w:ascii="Calibri" w:hAnsi="Calibri" w:cs="Calibri"/>
          <w:sz w:val="20"/>
          <w:szCs w:val="20"/>
        </w:rPr>
        <w:t>&gt;1</w:t>
      </w:r>
      <w:r w:rsidRPr="0080096D">
        <w:rPr>
          <w:rFonts w:ascii="Calibri" w:hAnsi="Calibri" w:cs="Calibri"/>
          <w:sz w:val="20"/>
          <w:szCs w:val="20"/>
        </w:rPr>
        <w:t xml:space="preserve"> kindred affected, </w:t>
      </w:r>
      <w:r>
        <w:rPr>
          <w:rFonts w:ascii="Calibri" w:hAnsi="Calibri" w:cs="Calibri"/>
          <w:sz w:val="20"/>
          <w:szCs w:val="20"/>
        </w:rPr>
        <w:t xml:space="preserve">and for </w:t>
      </w:r>
      <w:r w:rsidRPr="00AB6C4E">
        <w:rPr>
          <w:rFonts w:ascii="Calibri" w:hAnsi="Calibri" w:cs="Calibri"/>
          <w:sz w:val="20"/>
          <w:szCs w:val="20"/>
        </w:rPr>
        <w:t>18 of these genes</w:t>
      </w:r>
      <w:r>
        <w:rPr>
          <w:rFonts w:ascii="Calibri" w:hAnsi="Calibri" w:cs="Calibri"/>
          <w:sz w:val="20"/>
          <w:szCs w:val="20"/>
        </w:rPr>
        <w:t xml:space="preserve">, multiple kindreds </w:t>
      </w:r>
      <w:r w:rsidRPr="0080096D">
        <w:rPr>
          <w:rFonts w:ascii="Calibri" w:hAnsi="Calibri" w:cs="Calibri"/>
          <w:sz w:val="20"/>
          <w:szCs w:val="20"/>
        </w:rPr>
        <w:t xml:space="preserve">had </w:t>
      </w:r>
      <w:r>
        <w:rPr>
          <w:rFonts w:ascii="Calibri" w:hAnsi="Calibri" w:cs="Calibri"/>
          <w:sz w:val="20"/>
          <w:szCs w:val="20"/>
        </w:rPr>
        <w:t>overlapping</w:t>
      </w:r>
      <w:r w:rsidRPr="0080096D">
        <w:rPr>
          <w:rFonts w:ascii="Calibri" w:hAnsi="Calibri" w:cs="Calibri"/>
          <w:sz w:val="20"/>
          <w:szCs w:val="20"/>
        </w:rPr>
        <w:t xml:space="preserve"> phenotypes. Two years </w:t>
      </w:r>
      <w:r>
        <w:rPr>
          <w:rFonts w:ascii="Calibri" w:hAnsi="Calibri" w:cs="Calibri"/>
          <w:sz w:val="20"/>
          <w:szCs w:val="20"/>
        </w:rPr>
        <w:t>following</w:t>
      </w:r>
      <w:r w:rsidRPr="0080096D">
        <w:rPr>
          <w:rFonts w:ascii="Calibri" w:hAnsi="Calibri" w:cs="Calibri"/>
          <w:sz w:val="20"/>
          <w:szCs w:val="20"/>
        </w:rPr>
        <w:t xml:space="preserve"> initial analysis, 11/18 (61%) </w:t>
      </w:r>
      <w:r>
        <w:rPr>
          <w:rFonts w:ascii="Calibri" w:hAnsi="Calibri" w:cs="Calibri"/>
          <w:sz w:val="20"/>
          <w:szCs w:val="20"/>
        </w:rPr>
        <w:t xml:space="preserve">of these genes </w:t>
      </w:r>
      <w:r w:rsidRPr="0080096D">
        <w:rPr>
          <w:rFonts w:ascii="Calibri" w:hAnsi="Calibri" w:cs="Calibri"/>
          <w:sz w:val="20"/>
          <w:szCs w:val="20"/>
        </w:rPr>
        <w:t>have been independently published as novel disease-gene discoveries.</w:t>
      </w:r>
    </w:p>
    <w:p w14:paraId="0027E52E" w14:textId="77777777" w:rsidR="00F52E06" w:rsidRDefault="00F52E06" w:rsidP="001454E9">
      <w:pPr>
        <w:spacing w:line="480" w:lineRule="auto"/>
        <w:rPr>
          <w:rFonts w:ascii="Calibri" w:hAnsi="Calibri" w:cs="Calibri"/>
          <w:sz w:val="20"/>
          <w:szCs w:val="20"/>
        </w:rPr>
      </w:pPr>
    </w:p>
    <w:p w14:paraId="158FD0C2" w14:textId="0188DA04" w:rsidR="00F52E06" w:rsidRPr="00B70B8A" w:rsidRDefault="00D54CF8" w:rsidP="001454E9">
      <w:pPr>
        <w:spacing w:line="480" w:lineRule="auto"/>
        <w:rPr>
          <w:rFonts w:ascii="Calibri" w:hAnsi="Calibri" w:cs="Calibri"/>
          <w:b/>
          <w:bCs/>
          <w:sz w:val="20"/>
          <w:szCs w:val="20"/>
        </w:rPr>
      </w:pPr>
      <w:r w:rsidRPr="00B70B8A">
        <w:rPr>
          <w:rFonts w:ascii="Calibri" w:hAnsi="Calibri" w:cs="Calibri"/>
          <w:b/>
          <w:bCs/>
          <w:sz w:val="20"/>
          <w:szCs w:val="20"/>
        </w:rPr>
        <w:t>Conclusion</w:t>
      </w:r>
      <w:r w:rsidR="00F52E06" w:rsidRPr="00B70B8A">
        <w:rPr>
          <w:rFonts w:ascii="Calibri" w:hAnsi="Calibri" w:cs="Calibri"/>
          <w:b/>
          <w:bCs/>
          <w:sz w:val="20"/>
          <w:szCs w:val="20"/>
        </w:rPr>
        <w:t>:</w:t>
      </w:r>
    </w:p>
    <w:p w14:paraId="49485B0C" w14:textId="77777777" w:rsidR="00F52E06" w:rsidRPr="001454E9" w:rsidRDefault="00F52E06" w:rsidP="001454E9">
      <w:pPr>
        <w:spacing w:line="480" w:lineRule="auto"/>
        <w:rPr>
          <w:rFonts w:ascii="Calibri" w:hAnsi="Calibri" w:cs="Calibri"/>
          <w:sz w:val="20"/>
          <w:szCs w:val="20"/>
        </w:rPr>
      </w:pPr>
      <w:r>
        <w:rPr>
          <w:rFonts w:ascii="Calibri" w:hAnsi="Calibri" w:cs="Calibri"/>
          <w:sz w:val="20"/>
          <w:szCs w:val="20"/>
        </w:rPr>
        <w:t>U</w:t>
      </w:r>
      <w:r w:rsidRPr="0080096D">
        <w:rPr>
          <w:rFonts w:ascii="Calibri" w:hAnsi="Calibri" w:cs="Calibri"/>
          <w:sz w:val="20"/>
          <w:szCs w:val="20"/>
        </w:rPr>
        <w:t xml:space="preserve">tilising large cohorts and adopting gene-based approaches can rapidly and objectively accelerate </w:t>
      </w:r>
      <w:proofErr w:type="gramStart"/>
      <w:r>
        <w:rPr>
          <w:rFonts w:ascii="Calibri" w:hAnsi="Calibri" w:cs="Calibri"/>
          <w:sz w:val="20"/>
          <w:szCs w:val="20"/>
        </w:rPr>
        <w:t>dominantly-inherited</w:t>
      </w:r>
      <w:proofErr w:type="gramEnd"/>
      <w:r>
        <w:rPr>
          <w:rFonts w:ascii="Calibri" w:hAnsi="Calibri" w:cs="Calibri"/>
          <w:sz w:val="20"/>
          <w:szCs w:val="20"/>
        </w:rPr>
        <w:t xml:space="preserve"> </w:t>
      </w:r>
      <w:r w:rsidRPr="0080096D">
        <w:rPr>
          <w:rFonts w:ascii="Calibri" w:hAnsi="Calibri" w:cs="Calibri"/>
          <w:sz w:val="20"/>
          <w:szCs w:val="20"/>
        </w:rPr>
        <w:t xml:space="preserve">novel gene discovery </w:t>
      </w:r>
      <w:r>
        <w:rPr>
          <w:rFonts w:ascii="Calibri" w:hAnsi="Calibri" w:cs="Calibri"/>
          <w:sz w:val="20"/>
          <w:szCs w:val="20"/>
        </w:rPr>
        <w:t>by</w:t>
      </w:r>
      <w:r w:rsidRPr="0080096D">
        <w:rPr>
          <w:rFonts w:ascii="Calibri" w:hAnsi="Calibri" w:cs="Calibri"/>
          <w:sz w:val="20"/>
          <w:szCs w:val="20"/>
        </w:rPr>
        <w:t xml:space="preserve"> target</w:t>
      </w:r>
      <w:r>
        <w:rPr>
          <w:rFonts w:ascii="Calibri" w:hAnsi="Calibri" w:cs="Calibri"/>
          <w:sz w:val="20"/>
          <w:szCs w:val="20"/>
        </w:rPr>
        <w:t>ing</w:t>
      </w:r>
      <w:r w:rsidRPr="0080096D">
        <w:rPr>
          <w:rFonts w:ascii="Calibri" w:hAnsi="Calibri" w:cs="Calibri"/>
          <w:sz w:val="20"/>
          <w:szCs w:val="20"/>
        </w:rPr>
        <w:t xml:space="preserve"> the most appropriate genes for functional validation.</w:t>
      </w:r>
    </w:p>
    <w:p w14:paraId="77D9C8E2" w14:textId="77777777" w:rsidR="00F52E06" w:rsidRDefault="00F52E06" w:rsidP="001454E9">
      <w:pPr>
        <w:spacing w:line="480" w:lineRule="auto"/>
        <w:rPr>
          <w:rFonts w:ascii="Calibri" w:hAnsi="Calibri" w:cs="Calibri"/>
          <w:b/>
          <w:sz w:val="22"/>
          <w:szCs w:val="22"/>
        </w:rPr>
      </w:pPr>
    </w:p>
    <w:p w14:paraId="78FC7D3C" w14:textId="77777777" w:rsidR="00F52E06" w:rsidRPr="001454E9" w:rsidRDefault="00F52E06" w:rsidP="001454E9">
      <w:pPr>
        <w:spacing w:line="480" w:lineRule="auto"/>
        <w:rPr>
          <w:rFonts w:ascii="Calibri" w:hAnsi="Calibri" w:cs="Calibri"/>
          <w:sz w:val="20"/>
          <w:szCs w:val="20"/>
        </w:rPr>
      </w:pPr>
      <w:r w:rsidRPr="001B301C">
        <w:rPr>
          <w:rFonts w:ascii="Calibri" w:hAnsi="Calibri" w:cs="Calibri"/>
          <w:b/>
          <w:sz w:val="22"/>
          <w:szCs w:val="22"/>
        </w:rPr>
        <w:t>Introduction</w:t>
      </w:r>
    </w:p>
    <w:p w14:paraId="095D5FCF" w14:textId="77777777" w:rsidR="00F52E06" w:rsidRDefault="00F52E06" w:rsidP="001454E9">
      <w:pPr>
        <w:spacing w:line="480" w:lineRule="auto"/>
        <w:rPr>
          <w:rFonts w:ascii="Calibri" w:hAnsi="Calibri" w:cs="Calibri"/>
          <w:sz w:val="20"/>
          <w:szCs w:val="20"/>
        </w:rPr>
      </w:pPr>
      <w:r w:rsidRPr="00544B7E">
        <w:rPr>
          <w:rFonts w:ascii="Calibri" w:hAnsi="Calibri" w:cs="Calibri"/>
          <w:sz w:val="20"/>
          <w:szCs w:val="20"/>
        </w:rPr>
        <w:t>Next generation sequencing has revolutionised rare disease diagnostics</w:t>
      </w:r>
      <w:r>
        <w:rPr>
          <w:rFonts w:ascii="Calibri" w:hAnsi="Calibri" w:cs="Calibri"/>
          <w:sz w:val="20"/>
          <w:szCs w:val="20"/>
        </w:rPr>
        <w:t>;</w:t>
      </w:r>
      <w:r w:rsidRPr="00544B7E">
        <w:rPr>
          <w:rFonts w:ascii="Calibri" w:hAnsi="Calibri" w:cs="Calibri"/>
          <w:sz w:val="20"/>
          <w:szCs w:val="20"/>
        </w:rPr>
        <w:t xml:space="preserve"> </w:t>
      </w:r>
      <w:r>
        <w:rPr>
          <w:rFonts w:ascii="Calibri" w:hAnsi="Calibri" w:cs="Calibri"/>
          <w:sz w:val="20"/>
          <w:szCs w:val="20"/>
        </w:rPr>
        <w:t xml:space="preserve">more patients than ever are receiving a molecular diagnosis for their rare genetic disorders. This has been driven by the ever-increasing </w:t>
      </w:r>
      <w:r w:rsidRPr="00544B7E">
        <w:rPr>
          <w:rFonts w:ascii="Calibri" w:hAnsi="Calibri" w:cs="Calibri"/>
          <w:sz w:val="20"/>
          <w:szCs w:val="20"/>
        </w:rPr>
        <w:t>rise in novel disease-gene discoveries</w:t>
      </w:r>
      <w:r>
        <w:rPr>
          <w:rFonts w:ascii="Calibri" w:hAnsi="Calibri" w:cs="Calibri"/>
          <w:sz w:val="20"/>
          <w:szCs w:val="20"/>
        </w:rPr>
        <w:t>, which is expanding the number of genes tested for in clinic</w:t>
      </w:r>
      <w:r w:rsidRPr="00544B7E">
        <w:rPr>
          <w:rFonts w:ascii="Calibri" w:hAnsi="Calibri" w:cs="Calibri"/>
          <w:sz w:val="20"/>
          <w:szCs w:val="20"/>
        </w:rPr>
        <w:t>.</w:t>
      </w:r>
      <w:r w:rsidRPr="005313B8">
        <w:rPr>
          <w:rFonts w:ascii="Calibri" w:hAnsi="Calibri" w:cs="Calibri"/>
          <w:noProof/>
          <w:sz w:val="20"/>
          <w:szCs w:val="20"/>
          <w:vertAlign w:val="superscript"/>
        </w:rPr>
        <w:t>1</w:t>
      </w:r>
      <w:r w:rsidRPr="00544B7E">
        <w:rPr>
          <w:rFonts w:ascii="Calibri" w:hAnsi="Calibri" w:cs="Calibri"/>
          <w:sz w:val="20"/>
          <w:szCs w:val="20"/>
        </w:rPr>
        <w:t xml:space="preserve"> </w:t>
      </w:r>
      <w:r>
        <w:rPr>
          <w:rFonts w:ascii="Calibri" w:hAnsi="Calibri" w:cs="Calibri"/>
          <w:sz w:val="20"/>
          <w:szCs w:val="20"/>
        </w:rPr>
        <w:t>Making molecular genetic diagnoses is hugely important to patients and their families and can pave the way for therapeutic options, cascade testing, and family planning.</w:t>
      </w:r>
      <w:r w:rsidRPr="005313B8">
        <w:rPr>
          <w:rFonts w:ascii="Calibri" w:hAnsi="Calibri" w:cs="Calibri"/>
          <w:noProof/>
          <w:sz w:val="20"/>
          <w:szCs w:val="20"/>
          <w:vertAlign w:val="superscript"/>
        </w:rPr>
        <w:t>2</w:t>
      </w:r>
    </w:p>
    <w:p w14:paraId="5E314929" w14:textId="77777777" w:rsidR="00F52E06" w:rsidRDefault="00F52E06" w:rsidP="001454E9">
      <w:pPr>
        <w:spacing w:line="480" w:lineRule="auto"/>
        <w:rPr>
          <w:rFonts w:ascii="Calibri" w:hAnsi="Calibri" w:cs="Calibri"/>
          <w:sz w:val="20"/>
          <w:szCs w:val="20"/>
        </w:rPr>
      </w:pPr>
    </w:p>
    <w:p w14:paraId="23D0963E" w14:textId="4AC96C9C" w:rsidR="00F52E06" w:rsidRDefault="00F52E06" w:rsidP="001454E9">
      <w:pPr>
        <w:spacing w:line="480" w:lineRule="auto"/>
        <w:rPr>
          <w:rFonts w:ascii="Calibri" w:hAnsi="Calibri" w:cs="Calibri"/>
          <w:sz w:val="20"/>
          <w:szCs w:val="20"/>
        </w:rPr>
      </w:pPr>
      <w:r w:rsidRPr="00544B7E">
        <w:rPr>
          <w:rFonts w:ascii="Calibri" w:hAnsi="Calibri" w:cs="Calibri"/>
          <w:sz w:val="20"/>
          <w:szCs w:val="20"/>
        </w:rPr>
        <w:t xml:space="preserve">However, </w:t>
      </w:r>
      <w:r>
        <w:rPr>
          <w:rFonts w:ascii="Calibri" w:hAnsi="Calibri" w:cs="Calibri"/>
          <w:sz w:val="20"/>
          <w:szCs w:val="20"/>
        </w:rPr>
        <w:t>most rare disease patients (up to 70% depending on clinical specialty) lack a definitive, molecular diagnosis.</w:t>
      </w:r>
      <w:r w:rsidRPr="005313B8">
        <w:rPr>
          <w:rFonts w:ascii="Calibri" w:hAnsi="Calibri" w:cs="Calibri"/>
          <w:noProof/>
          <w:sz w:val="20"/>
          <w:szCs w:val="20"/>
          <w:vertAlign w:val="superscript"/>
        </w:rPr>
        <w:t>3</w:t>
      </w:r>
      <w:r>
        <w:rPr>
          <w:rFonts w:ascii="Calibri" w:hAnsi="Calibri" w:cs="Calibri"/>
          <w:sz w:val="20"/>
          <w:szCs w:val="20"/>
        </w:rPr>
        <w:t xml:space="preserve"> Clinical genetic testing often involves application of a gene panel either as the ordered test or by the </w:t>
      </w:r>
      <w:r>
        <w:rPr>
          <w:rFonts w:ascii="Calibri" w:hAnsi="Calibri" w:cs="Calibri"/>
          <w:sz w:val="20"/>
          <w:szCs w:val="20"/>
        </w:rPr>
        <w:lastRenderedPageBreak/>
        <w:t>analysis strategy applied to exome and genome sequencing.</w:t>
      </w:r>
      <w:r w:rsidRPr="005313B8">
        <w:rPr>
          <w:rFonts w:ascii="Calibri" w:hAnsi="Calibri" w:cs="Calibri"/>
          <w:noProof/>
          <w:sz w:val="20"/>
          <w:szCs w:val="20"/>
          <w:vertAlign w:val="superscript"/>
        </w:rPr>
        <w:t>4</w:t>
      </w:r>
      <w:r>
        <w:rPr>
          <w:rFonts w:ascii="Calibri" w:hAnsi="Calibri" w:cs="Calibri"/>
          <w:sz w:val="20"/>
          <w:szCs w:val="20"/>
        </w:rPr>
        <w:t xml:space="preserve"> In the UK, the national genome sequencing programme only reports on variants in a pre-specified gene panel. Accredited clinical laboratories have no obligation to report on variants, including </w:t>
      </w:r>
      <w:r w:rsidRPr="00EE61CE">
        <w:rPr>
          <w:rFonts w:ascii="Calibri" w:hAnsi="Calibri" w:cs="Calibri"/>
          <w:i/>
          <w:iCs/>
          <w:sz w:val="20"/>
          <w:szCs w:val="20"/>
        </w:rPr>
        <w:t>de novo</w:t>
      </w:r>
      <w:r>
        <w:rPr>
          <w:rFonts w:ascii="Calibri" w:hAnsi="Calibri" w:cs="Calibri"/>
          <w:sz w:val="20"/>
          <w:szCs w:val="20"/>
        </w:rPr>
        <w:t xml:space="preserve"> variants outside of the panel applied.</w:t>
      </w:r>
      <w:r w:rsidRPr="005313B8">
        <w:rPr>
          <w:rFonts w:ascii="Calibri" w:hAnsi="Calibri" w:cs="Calibri"/>
          <w:noProof/>
          <w:sz w:val="20"/>
          <w:szCs w:val="20"/>
          <w:vertAlign w:val="superscript"/>
        </w:rPr>
        <w:t>5</w:t>
      </w:r>
      <w:r>
        <w:rPr>
          <w:rFonts w:ascii="Calibri" w:hAnsi="Calibri" w:cs="Calibri"/>
          <w:sz w:val="20"/>
          <w:szCs w:val="20"/>
        </w:rPr>
        <w:t xml:space="preserve"> Yet many patients harbour </w:t>
      </w:r>
      <w:r w:rsidR="00DE5D87">
        <w:rPr>
          <w:rFonts w:ascii="Calibri" w:hAnsi="Calibri" w:cs="Calibri"/>
          <w:sz w:val="20"/>
          <w:szCs w:val="20"/>
        </w:rPr>
        <w:t>pathogenic</w:t>
      </w:r>
      <w:r>
        <w:rPr>
          <w:rFonts w:ascii="Calibri" w:hAnsi="Calibri" w:cs="Calibri"/>
          <w:sz w:val="20"/>
          <w:szCs w:val="20"/>
        </w:rPr>
        <w:t xml:space="preserve"> variants not captured by a gene panel, or in genes yet to be associated with disease. Indeed, approximately 50% of genes thought to cause disease through haploinsufficiency are yet to be associated with a clinical phenotype.</w:t>
      </w:r>
      <w:r w:rsidRPr="005313B8">
        <w:rPr>
          <w:rFonts w:ascii="Calibri" w:hAnsi="Calibri" w:cs="Calibri"/>
          <w:noProof/>
          <w:sz w:val="20"/>
          <w:szCs w:val="20"/>
          <w:vertAlign w:val="superscript"/>
        </w:rPr>
        <w:t>6,7</w:t>
      </w:r>
      <w:r>
        <w:rPr>
          <w:rFonts w:ascii="Calibri" w:hAnsi="Calibri" w:cs="Calibri"/>
          <w:sz w:val="20"/>
          <w:szCs w:val="20"/>
        </w:rPr>
        <w:t xml:space="preserve"> Ergo, there is an unmet need for holistic and experimental approaches to identify novel disease genes and their associated phenotypes. These discoveries are critical for new genes to be added to diagnostic panels and for analytical approaches to uplift diagnostic rates.</w:t>
      </w:r>
    </w:p>
    <w:p w14:paraId="14209507" w14:textId="77777777" w:rsidR="00F52E06" w:rsidRDefault="00F52E06" w:rsidP="001454E9">
      <w:pPr>
        <w:spacing w:line="480" w:lineRule="auto"/>
        <w:rPr>
          <w:rFonts w:ascii="Calibri" w:hAnsi="Calibri" w:cs="Calibri"/>
          <w:sz w:val="20"/>
          <w:szCs w:val="20"/>
        </w:rPr>
      </w:pPr>
    </w:p>
    <w:p w14:paraId="4101F27A" w14:textId="77777777" w:rsidR="00F52E06" w:rsidRPr="006D09FE" w:rsidRDefault="00F52E06" w:rsidP="001454E9">
      <w:pPr>
        <w:spacing w:line="480" w:lineRule="auto"/>
        <w:rPr>
          <w:rFonts w:ascii="Calibri" w:hAnsi="Calibri" w:cs="Calibri"/>
          <w:sz w:val="20"/>
          <w:szCs w:val="20"/>
          <w:u w:val="single"/>
        </w:rPr>
      </w:pPr>
      <w:r w:rsidRPr="00BF0506">
        <w:rPr>
          <w:rFonts w:ascii="Calibri" w:hAnsi="Calibri" w:cs="Calibri"/>
          <w:sz w:val="20"/>
          <w:szCs w:val="20"/>
          <w:u w:val="single"/>
        </w:rPr>
        <w:t>Current barriers</w:t>
      </w:r>
      <w:r>
        <w:rPr>
          <w:rFonts w:ascii="Calibri" w:hAnsi="Calibri" w:cs="Calibri"/>
          <w:sz w:val="20"/>
          <w:szCs w:val="20"/>
          <w:u w:val="single"/>
        </w:rPr>
        <w:t xml:space="preserve"> to novel gene discovery</w:t>
      </w:r>
    </w:p>
    <w:p w14:paraId="02C0105C" w14:textId="77777777" w:rsidR="00F52E06" w:rsidRDefault="00F52E06" w:rsidP="001454E9">
      <w:pPr>
        <w:spacing w:line="480" w:lineRule="auto"/>
        <w:rPr>
          <w:rFonts w:ascii="Calibri" w:hAnsi="Calibri" w:cs="Calibri"/>
          <w:sz w:val="20"/>
          <w:szCs w:val="20"/>
        </w:rPr>
      </w:pPr>
      <w:r>
        <w:rPr>
          <w:rFonts w:ascii="Calibri" w:hAnsi="Calibri" w:cs="Calibri"/>
          <w:sz w:val="20"/>
          <w:szCs w:val="20"/>
        </w:rPr>
        <w:t xml:space="preserve">Novel disease gene discovery is a protracted process that requires identifying multiple, unrelated patients with variants in the same gene affected with similar phenotypes. These ‘discoveries’ are then followed up with functional studies to provide evidence for gene causality. </w:t>
      </w:r>
    </w:p>
    <w:p w14:paraId="1D404B54" w14:textId="77777777" w:rsidR="00F52E06" w:rsidRDefault="00F52E06" w:rsidP="001454E9">
      <w:pPr>
        <w:spacing w:line="480" w:lineRule="auto"/>
        <w:rPr>
          <w:rFonts w:ascii="Calibri" w:hAnsi="Calibri" w:cs="Calibri"/>
          <w:sz w:val="20"/>
          <w:szCs w:val="20"/>
        </w:rPr>
      </w:pPr>
    </w:p>
    <w:p w14:paraId="469687F2" w14:textId="7E1BDBE2" w:rsidR="00F52E06" w:rsidRDefault="00F52E06" w:rsidP="001454E9">
      <w:pPr>
        <w:spacing w:line="480" w:lineRule="auto"/>
        <w:rPr>
          <w:rFonts w:ascii="Calibri" w:hAnsi="Calibri" w:cs="Calibri"/>
          <w:sz w:val="20"/>
          <w:szCs w:val="20"/>
        </w:rPr>
      </w:pPr>
      <w:r>
        <w:rPr>
          <w:rFonts w:ascii="Calibri" w:hAnsi="Calibri" w:cs="Calibri"/>
          <w:sz w:val="20"/>
          <w:szCs w:val="20"/>
        </w:rPr>
        <w:t xml:space="preserve">Assessment of exome and genome data typically involves analysis of a small number of related individuals on a family-by-family basis. However, these analyses are time-consuming and resource intensive, often requiring commercial software and cross-checking public databases. Each family member has 3-4 million variants in their genome and ~30,000 variants in their genes. Assessing every potential </w:t>
      </w:r>
      <w:r w:rsidR="00DE5D87">
        <w:rPr>
          <w:rFonts w:ascii="Calibri" w:hAnsi="Calibri" w:cs="Calibri"/>
          <w:sz w:val="20"/>
          <w:szCs w:val="20"/>
        </w:rPr>
        <w:t>pathogenic</w:t>
      </w:r>
      <w:r>
        <w:rPr>
          <w:rFonts w:ascii="Calibri" w:hAnsi="Calibri" w:cs="Calibri"/>
          <w:sz w:val="20"/>
          <w:szCs w:val="20"/>
        </w:rPr>
        <w:t xml:space="preserve"> variant is simply impossible.</w:t>
      </w:r>
      <w:r w:rsidRPr="005313B8">
        <w:rPr>
          <w:rFonts w:ascii="Calibri" w:hAnsi="Calibri" w:cs="Calibri"/>
          <w:noProof/>
          <w:sz w:val="20"/>
          <w:szCs w:val="20"/>
          <w:vertAlign w:val="superscript"/>
        </w:rPr>
        <w:t>3</w:t>
      </w:r>
      <w:r>
        <w:rPr>
          <w:rFonts w:ascii="Calibri" w:hAnsi="Calibri" w:cs="Calibri"/>
          <w:sz w:val="20"/>
          <w:szCs w:val="20"/>
        </w:rPr>
        <w:t xml:space="preserve"> Whilst filtering techniques can restrict variant lists considerably, tens to thousands of variants of uncertain significance (VUS) typically remain with little to distinguish pathogenicity between them, particularly for genes of unknown function.</w:t>
      </w:r>
      <w:r w:rsidRPr="00E53878">
        <w:rPr>
          <w:rFonts w:ascii="Calibri" w:hAnsi="Calibri" w:cs="Calibri"/>
          <w:noProof/>
          <w:sz w:val="20"/>
          <w:szCs w:val="20"/>
          <w:vertAlign w:val="superscript"/>
        </w:rPr>
        <w:t>8</w:t>
      </w:r>
      <w:r>
        <w:rPr>
          <w:rFonts w:ascii="Calibri" w:hAnsi="Calibri" w:cs="Calibri"/>
          <w:sz w:val="20"/>
          <w:szCs w:val="20"/>
        </w:rPr>
        <w:t xml:space="preserve"> It is not possible to investigate all potential candidate variants since this necessitates intensive functional experiments on variants of ostensibly equal predicted causality, which is proving a major bottleneck. Researchers are reluctant to invest in expensive studies without persuasive evidence that a given candidate warrants pursuing; however, identifying which variants should be prioritized is challenged by the paucity of knowledge into the function of most human genes. Therefore, these VUSs end up as long lists of unreported variants present in a patient’s sequencing results that no one has time to resolve or investigate further. In many cases, these lists will contain the causal variant and thus represent missed opportunities for molecular diagnosis.</w:t>
      </w:r>
    </w:p>
    <w:p w14:paraId="17EA22C3" w14:textId="77777777" w:rsidR="00F52E06" w:rsidRPr="00BF0506" w:rsidRDefault="00F52E06" w:rsidP="001454E9">
      <w:pPr>
        <w:spacing w:line="480" w:lineRule="auto"/>
        <w:rPr>
          <w:rFonts w:ascii="Calibri" w:hAnsi="Calibri" w:cs="Calibri"/>
          <w:sz w:val="20"/>
          <w:szCs w:val="20"/>
          <w:u w:val="single"/>
        </w:rPr>
      </w:pPr>
    </w:p>
    <w:p w14:paraId="0C445022" w14:textId="77777777" w:rsidR="00F52E06" w:rsidRPr="006D09FE" w:rsidRDefault="00F52E06" w:rsidP="001454E9">
      <w:pPr>
        <w:spacing w:line="480" w:lineRule="auto"/>
        <w:rPr>
          <w:rFonts w:ascii="Calibri" w:hAnsi="Calibri" w:cs="Calibri"/>
          <w:sz w:val="20"/>
          <w:szCs w:val="20"/>
          <w:u w:val="single"/>
        </w:rPr>
      </w:pPr>
      <w:r w:rsidRPr="00BF0506">
        <w:rPr>
          <w:rFonts w:ascii="Calibri" w:hAnsi="Calibri" w:cs="Calibri"/>
          <w:sz w:val="20"/>
          <w:szCs w:val="20"/>
          <w:u w:val="single"/>
        </w:rPr>
        <w:t xml:space="preserve">The </w:t>
      </w:r>
      <w:r>
        <w:rPr>
          <w:rFonts w:ascii="Calibri" w:hAnsi="Calibri" w:cs="Calibri"/>
          <w:sz w:val="20"/>
          <w:szCs w:val="20"/>
          <w:u w:val="single"/>
        </w:rPr>
        <w:t>M</w:t>
      </w:r>
      <w:r w:rsidRPr="00BF0506">
        <w:rPr>
          <w:rFonts w:ascii="Calibri" w:hAnsi="Calibri" w:cs="Calibri"/>
          <w:sz w:val="20"/>
          <w:szCs w:val="20"/>
          <w:u w:val="single"/>
        </w:rPr>
        <w:t>atch</w:t>
      </w:r>
      <w:r>
        <w:rPr>
          <w:rFonts w:ascii="Calibri" w:hAnsi="Calibri" w:cs="Calibri"/>
          <w:sz w:val="20"/>
          <w:szCs w:val="20"/>
          <w:u w:val="single"/>
        </w:rPr>
        <w:t>m</w:t>
      </w:r>
      <w:r w:rsidRPr="00BF0506">
        <w:rPr>
          <w:rFonts w:ascii="Calibri" w:hAnsi="Calibri" w:cs="Calibri"/>
          <w:sz w:val="20"/>
          <w:szCs w:val="20"/>
          <w:u w:val="single"/>
        </w:rPr>
        <w:t xml:space="preserve">aker </w:t>
      </w:r>
      <w:r>
        <w:rPr>
          <w:rFonts w:ascii="Calibri" w:hAnsi="Calibri" w:cs="Calibri"/>
          <w:sz w:val="20"/>
          <w:szCs w:val="20"/>
          <w:u w:val="single"/>
        </w:rPr>
        <w:t>E</w:t>
      </w:r>
      <w:r w:rsidRPr="00BF0506">
        <w:rPr>
          <w:rFonts w:ascii="Calibri" w:hAnsi="Calibri" w:cs="Calibri"/>
          <w:sz w:val="20"/>
          <w:szCs w:val="20"/>
          <w:u w:val="single"/>
        </w:rPr>
        <w:t>xchange</w:t>
      </w:r>
    </w:p>
    <w:p w14:paraId="33C2F228" w14:textId="68EC0327" w:rsidR="00F52E06" w:rsidRPr="00522EBA" w:rsidRDefault="00F52E06" w:rsidP="00522EBA">
      <w:pPr>
        <w:spacing w:line="480" w:lineRule="auto"/>
        <w:rPr>
          <w:rFonts w:ascii="Calibri" w:hAnsi="Calibri" w:cs="Calibri"/>
          <w:sz w:val="20"/>
          <w:szCs w:val="20"/>
        </w:rPr>
      </w:pPr>
      <w:r>
        <w:rPr>
          <w:rFonts w:ascii="Calibri" w:hAnsi="Calibri" w:cs="Calibri"/>
          <w:sz w:val="20"/>
          <w:szCs w:val="20"/>
        </w:rPr>
        <w:t>One popular route to pursue candidate variants is through the Matchmaker Exchange (MME)</w:t>
      </w:r>
      <w:r w:rsidRPr="00E53878">
        <w:rPr>
          <w:rFonts w:ascii="Calibri" w:hAnsi="Calibri" w:cs="Calibri"/>
          <w:noProof/>
          <w:sz w:val="20"/>
          <w:szCs w:val="20"/>
          <w:vertAlign w:val="superscript"/>
        </w:rPr>
        <w:t>9</w:t>
      </w:r>
      <w:r>
        <w:rPr>
          <w:rFonts w:ascii="Calibri" w:hAnsi="Calibri" w:cs="Calibri"/>
          <w:sz w:val="20"/>
          <w:szCs w:val="20"/>
        </w:rPr>
        <w:t>. MME has proven successful in building case series of patients with shared phenotypes involving the same gene, which are later taken to publication.</w:t>
      </w:r>
      <w:r w:rsidRPr="00E53878">
        <w:rPr>
          <w:rFonts w:ascii="Calibri" w:hAnsi="Calibri" w:cs="Calibri"/>
          <w:noProof/>
          <w:sz w:val="20"/>
          <w:szCs w:val="20"/>
          <w:vertAlign w:val="superscript"/>
        </w:rPr>
        <w:t>10</w:t>
      </w:r>
      <w:r>
        <w:rPr>
          <w:rFonts w:ascii="Calibri" w:hAnsi="Calibri" w:cs="Calibri"/>
          <w:sz w:val="20"/>
          <w:szCs w:val="20"/>
        </w:rPr>
        <w:t xml:space="preserve"> However, this relies on knowing which gene candidates, of many, are best to submit to MME. Due to institutional restrictions on data sharing, it is not possible to query MME and return a list of genotypes and phenotypes for all submissions. Each match with another submitter requires electronic correspondence whereby both parties may choose to share variant and genotype specific data. Furthermore, there may be multiple matches per patient, making this method cumbersome and difficult to manage for large cohorts. Therefore, there are clear advantages to reduce the number of candidate variants for ongoing investigation.</w:t>
      </w:r>
    </w:p>
    <w:p w14:paraId="58D0BF26" w14:textId="77777777" w:rsidR="00F52E06" w:rsidRDefault="00F52E06" w:rsidP="001454E9">
      <w:pPr>
        <w:spacing w:line="480" w:lineRule="auto"/>
        <w:rPr>
          <w:rFonts w:ascii="Calibri" w:hAnsi="Calibri" w:cs="Calibri"/>
          <w:sz w:val="20"/>
          <w:szCs w:val="20"/>
        </w:rPr>
      </w:pPr>
    </w:p>
    <w:p w14:paraId="5B41EDBE" w14:textId="77777777" w:rsidR="00F52E06" w:rsidRPr="008948BA" w:rsidRDefault="00F52E06" w:rsidP="001454E9">
      <w:pPr>
        <w:spacing w:line="480" w:lineRule="auto"/>
        <w:rPr>
          <w:rFonts w:ascii="Calibri" w:hAnsi="Calibri" w:cs="Calibri"/>
          <w:sz w:val="20"/>
          <w:szCs w:val="20"/>
          <w:u w:val="single"/>
        </w:rPr>
      </w:pPr>
      <w:r w:rsidRPr="00395715">
        <w:rPr>
          <w:rFonts w:ascii="Calibri" w:hAnsi="Calibri" w:cs="Calibri"/>
          <w:sz w:val="20"/>
          <w:szCs w:val="20"/>
          <w:u w:val="single"/>
        </w:rPr>
        <w:t>Gene constraint</w:t>
      </w:r>
    </w:p>
    <w:p w14:paraId="0B4A832B" w14:textId="1821915A" w:rsidR="00F52E06" w:rsidRDefault="00F52E06" w:rsidP="001454E9">
      <w:pPr>
        <w:spacing w:line="480" w:lineRule="auto"/>
        <w:rPr>
          <w:rFonts w:ascii="Calibri" w:hAnsi="Calibri" w:cs="Calibri"/>
          <w:sz w:val="20"/>
          <w:szCs w:val="20"/>
        </w:rPr>
      </w:pPr>
      <w:r>
        <w:rPr>
          <w:rFonts w:ascii="Calibri" w:hAnsi="Calibri" w:cs="Calibri"/>
          <w:sz w:val="20"/>
          <w:szCs w:val="20"/>
        </w:rPr>
        <w:t>Mutation is random, giving rise to new variants of which most do not have biological impact; however, some variants have greater consequences and may help us adapt and evolve, yet others may be harmful and cause disease. Natural selection purges deleterious variation from human populations as fewer individuals with damaging variants survive and reproduce. However, in large population databases, such as gnomAD, we still observe loss-of-function (LoF) variants because some genes are more tolerant than others to inactivation of one or even both gene alleles.</w:t>
      </w:r>
      <w:r w:rsidRPr="00E53878">
        <w:rPr>
          <w:rFonts w:ascii="Calibri" w:hAnsi="Calibri" w:cs="Calibri"/>
          <w:noProof/>
          <w:sz w:val="20"/>
          <w:szCs w:val="20"/>
          <w:vertAlign w:val="superscript"/>
        </w:rPr>
        <w:t>11</w:t>
      </w:r>
      <w:r>
        <w:rPr>
          <w:rFonts w:ascii="Calibri" w:hAnsi="Calibri" w:cs="Calibri"/>
          <w:sz w:val="20"/>
          <w:szCs w:val="20"/>
        </w:rPr>
        <w:t xml:space="preserve"> We can exploit this principle to identify genes with fewer LoF variants observed in population datasets compared with random and expected variant rates, signifying genes most intolerant to LoF.</w:t>
      </w:r>
      <w:r w:rsidRPr="00E53878">
        <w:rPr>
          <w:rFonts w:ascii="Calibri" w:hAnsi="Calibri" w:cs="Calibri"/>
          <w:noProof/>
          <w:sz w:val="20"/>
          <w:szCs w:val="20"/>
          <w:vertAlign w:val="superscript"/>
        </w:rPr>
        <w:t>11,12</w:t>
      </w:r>
    </w:p>
    <w:p w14:paraId="4496C6BD" w14:textId="77777777" w:rsidR="00F52E06" w:rsidRDefault="00F52E06" w:rsidP="001454E9">
      <w:pPr>
        <w:spacing w:line="480" w:lineRule="auto"/>
        <w:rPr>
          <w:rFonts w:ascii="Calibri" w:hAnsi="Calibri" w:cs="Calibri"/>
          <w:sz w:val="20"/>
          <w:szCs w:val="20"/>
        </w:rPr>
      </w:pPr>
    </w:p>
    <w:p w14:paraId="67530A63" w14:textId="4E0361DC" w:rsidR="00F52E06" w:rsidRPr="009843D2" w:rsidRDefault="00F52E06" w:rsidP="001454E9">
      <w:pPr>
        <w:spacing w:line="480" w:lineRule="auto"/>
        <w:rPr>
          <w:rFonts w:ascii="Calibri" w:hAnsi="Calibri" w:cs="Calibri"/>
          <w:sz w:val="20"/>
          <w:szCs w:val="20"/>
        </w:rPr>
      </w:pPr>
      <w:r>
        <w:rPr>
          <w:rFonts w:ascii="Calibri" w:hAnsi="Calibri" w:cs="Calibri"/>
          <w:sz w:val="20"/>
          <w:szCs w:val="20"/>
        </w:rPr>
        <w:t xml:space="preserve">Karczewski </w:t>
      </w:r>
      <w:r w:rsidRPr="00472BA7">
        <w:rPr>
          <w:rFonts w:ascii="Calibri" w:hAnsi="Calibri" w:cs="Calibri"/>
          <w:i/>
          <w:iCs/>
          <w:sz w:val="20"/>
          <w:szCs w:val="20"/>
        </w:rPr>
        <w:t>et al.</w:t>
      </w:r>
      <w:r w:rsidRPr="00E53878">
        <w:rPr>
          <w:rFonts w:ascii="Calibri" w:hAnsi="Calibri" w:cs="Calibri"/>
          <w:i/>
          <w:iCs/>
          <w:noProof/>
          <w:sz w:val="20"/>
          <w:szCs w:val="20"/>
          <w:vertAlign w:val="superscript"/>
        </w:rPr>
        <w:t>11</w:t>
      </w:r>
      <w:r w:rsidRPr="00472BA7">
        <w:rPr>
          <w:rFonts w:ascii="Calibri" w:hAnsi="Calibri" w:cs="Calibri"/>
          <w:i/>
          <w:iCs/>
          <w:sz w:val="20"/>
          <w:szCs w:val="20"/>
        </w:rPr>
        <w:t xml:space="preserve"> </w:t>
      </w:r>
      <w:r>
        <w:rPr>
          <w:rFonts w:ascii="Calibri" w:hAnsi="Calibri" w:cs="Calibri"/>
          <w:sz w:val="20"/>
          <w:szCs w:val="20"/>
        </w:rPr>
        <w:t>developed the Lo</w:t>
      </w:r>
      <w:r w:rsidR="0077666A">
        <w:rPr>
          <w:rFonts w:ascii="Calibri" w:hAnsi="Calibri" w:cs="Calibri"/>
          <w:sz w:val="20"/>
          <w:szCs w:val="20"/>
        </w:rPr>
        <w:t>ss-of-function</w:t>
      </w:r>
      <w:r>
        <w:rPr>
          <w:rFonts w:ascii="Calibri" w:hAnsi="Calibri" w:cs="Calibri"/>
          <w:sz w:val="20"/>
          <w:szCs w:val="20"/>
        </w:rPr>
        <w:t xml:space="preserve"> Observed/Expected Upper-bound Fraction (LOEUF) score, which compared for each gene in gnomAD, the number of observed LoF variants in </w:t>
      </w:r>
      <w:r w:rsidRPr="006F62DE">
        <w:rPr>
          <w:rFonts w:ascii="Calibri" w:hAnsi="Calibri" w:cs="Calibri"/>
          <w:sz w:val="20"/>
          <w:szCs w:val="20"/>
        </w:rPr>
        <w:t>125,748</w:t>
      </w:r>
      <w:r>
        <w:rPr>
          <w:rFonts w:ascii="Calibri" w:hAnsi="Calibri" w:cs="Calibri"/>
          <w:sz w:val="20"/>
          <w:szCs w:val="20"/>
        </w:rPr>
        <w:t xml:space="preserve"> individuals compared with the number expected. LOEUF places &gt;19,000 genes along a continuous spectrum of intolerance to gene inactivation, whereby low scores i.e., the fewest pLoF variants observed compared to expectation, are the most intolerant to LoF. Indeed, genes in the first LOEUF decile (equivalent to a score &lt;0.2) have been validated as the most enriched for Online Mendelian Inheritance in (OMIM) haploinsufficient disease genes and show the greatest </w:t>
      </w:r>
      <w:r>
        <w:rPr>
          <w:rFonts w:ascii="Calibri" w:hAnsi="Calibri" w:cs="Calibri"/>
          <w:sz w:val="20"/>
          <w:szCs w:val="20"/>
        </w:rPr>
        <w:lastRenderedPageBreak/>
        <w:t>biological essentiality.</w:t>
      </w:r>
      <w:r w:rsidRPr="00E53878">
        <w:rPr>
          <w:rFonts w:ascii="Calibri" w:hAnsi="Calibri" w:cs="Calibri"/>
          <w:noProof/>
          <w:sz w:val="20"/>
          <w:szCs w:val="20"/>
          <w:vertAlign w:val="superscript"/>
        </w:rPr>
        <w:t>11</w:t>
      </w:r>
      <w:r>
        <w:rPr>
          <w:rFonts w:ascii="Calibri" w:hAnsi="Calibri" w:cs="Calibri"/>
          <w:sz w:val="20"/>
          <w:szCs w:val="20"/>
        </w:rPr>
        <w:t xml:space="preserve"> Yet, as of January 2021, 65% of genes in the lowest LOEUF decile are yet to have an OMIM disease association</w:t>
      </w:r>
      <w:r w:rsidRPr="005313B8">
        <w:rPr>
          <w:rFonts w:ascii="Calibri" w:hAnsi="Calibri" w:cs="Calibri"/>
          <w:noProof/>
          <w:sz w:val="20"/>
          <w:szCs w:val="20"/>
          <w:vertAlign w:val="superscript"/>
        </w:rPr>
        <w:t>2</w:t>
      </w:r>
      <w:r>
        <w:rPr>
          <w:rFonts w:ascii="Calibri" w:hAnsi="Calibri" w:cs="Calibri"/>
          <w:sz w:val="20"/>
          <w:szCs w:val="20"/>
        </w:rPr>
        <w:t>, leaving hundreds of undiscovered potential disease genes causing unrecognized phenotypes in patients.</w:t>
      </w:r>
    </w:p>
    <w:p w14:paraId="77C26DF9" w14:textId="77777777" w:rsidR="00F52E06" w:rsidRDefault="00F52E06" w:rsidP="001454E9">
      <w:pPr>
        <w:spacing w:line="480" w:lineRule="auto"/>
        <w:rPr>
          <w:rFonts w:ascii="Calibri" w:hAnsi="Calibri" w:cs="Calibri"/>
          <w:sz w:val="20"/>
          <w:szCs w:val="20"/>
        </w:rPr>
      </w:pPr>
    </w:p>
    <w:p w14:paraId="7901ECE1" w14:textId="1C3B301C" w:rsidR="00F52E06" w:rsidRPr="00CC2897" w:rsidRDefault="00F52E06" w:rsidP="001454E9">
      <w:pPr>
        <w:spacing w:line="480" w:lineRule="auto"/>
        <w:rPr>
          <w:rFonts w:ascii="Calibri" w:hAnsi="Calibri" w:cs="Calibri"/>
          <w:sz w:val="20"/>
          <w:szCs w:val="20"/>
        </w:rPr>
      </w:pPr>
      <w:r>
        <w:rPr>
          <w:rFonts w:ascii="Calibri" w:hAnsi="Calibri" w:cs="Calibri"/>
          <w:sz w:val="20"/>
          <w:szCs w:val="20"/>
        </w:rPr>
        <w:t xml:space="preserve">Whilst statistical methods exist to identify potential novel disease genes using excess </w:t>
      </w:r>
      <w:r w:rsidRPr="00E752E1">
        <w:rPr>
          <w:rFonts w:ascii="Calibri" w:hAnsi="Calibri" w:cs="Calibri"/>
          <w:i/>
          <w:iCs/>
          <w:sz w:val="20"/>
          <w:szCs w:val="20"/>
        </w:rPr>
        <w:t>de novo</w:t>
      </w:r>
      <w:r>
        <w:rPr>
          <w:rFonts w:ascii="Calibri" w:hAnsi="Calibri" w:cs="Calibri"/>
          <w:sz w:val="20"/>
          <w:szCs w:val="20"/>
        </w:rPr>
        <w:t xml:space="preserve"> mutation analysis, such as </w:t>
      </w:r>
      <w:r w:rsidR="00D54CF8">
        <w:rPr>
          <w:rFonts w:ascii="Calibri" w:hAnsi="Calibri" w:cs="Calibri"/>
          <w:sz w:val="20"/>
          <w:szCs w:val="20"/>
        </w:rPr>
        <w:t>DeNovoWEST</w:t>
      </w:r>
      <w:r w:rsidR="00D54CF8" w:rsidRPr="005313B8">
        <w:rPr>
          <w:rFonts w:ascii="Calibri" w:hAnsi="Calibri" w:cs="Calibri"/>
          <w:noProof/>
          <w:sz w:val="20"/>
          <w:szCs w:val="20"/>
          <w:vertAlign w:val="superscript"/>
        </w:rPr>
        <w:t>14</w:t>
      </w:r>
      <w:r>
        <w:rPr>
          <w:rFonts w:ascii="Calibri" w:hAnsi="Calibri" w:cs="Calibri"/>
          <w:sz w:val="20"/>
          <w:szCs w:val="20"/>
        </w:rPr>
        <w:t xml:space="preserve"> and </w:t>
      </w:r>
      <w:r w:rsidR="00D54CF8">
        <w:rPr>
          <w:rFonts w:ascii="Calibri" w:hAnsi="Calibri" w:cs="Calibri"/>
          <w:sz w:val="20"/>
          <w:szCs w:val="20"/>
        </w:rPr>
        <w:t>DeNovolyzeR</w:t>
      </w:r>
      <w:r w:rsidR="00D54CF8" w:rsidRPr="005313B8">
        <w:rPr>
          <w:rFonts w:ascii="Calibri" w:hAnsi="Calibri" w:cs="Calibri"/>
          <w:noProof/>
          <w:sz w:val="20"/>
          <w:szCs w:val="20"/>
          <w:vertAlign w:val="superscript"/>
        </w:rPr>
        <w:t>15</w:t>
      </w:r>
      <w:r>
        <w:rPr>
          <w:rFonts w:ascii="Calibri" w:hAnsi="Calibri" w:cs="Calibri"/>
          <w:sz w:val="20"/>
          <w:szCs w:val="20"/>
        </w:rPr>
        <w:t>, these methods require huge cohorts of similar phenotypes, such as autism spectrum disorder. This study takes a non-statistical approach across a more heterogenous cohort and aims to uplift novel disease gene discovery by targeting pLoF variants (with the greatest pathogenic potential) in genes whereby inactivation of a single copy of the gene is highly probable to cause dominant disease. We apply this method to the 100,000 Genomes Project, that has brought genome sequencing directly to patients with rare diseases in the UK.</w:t>
      </w:r>
      <w:r w:rsidRPr="00E53878">
        <w:rPr>
          <w:rFonts w:ascii="Calibri" w:hAnsi="Calibri" w:cs="Calibri"/>
          <w:noProof/>
          <w:sz w:val="20"/>
          <w:szCs w:val="20"/>
          <w:vertAlign w:val="superscript"/>
        </w:rPr>
        <w:t>15</w:t>
      </w:r>
      <w:r>
        <w:rPr>
          <w:rFonts w:ascii="Calibri" w:hAnsi="Calibri" w:cs="Calibri"/>
          <w:sz w:val="20"/>
          <w:szCs w:val="20"/>
        </w:rPr>
        <w:t xml:space="preserve"> We move from a “patient-to-gene” approach to a “gene-to-patient” approach, whereby we are powered to identify and assign rare putative pathogenic variation in predicted disease genes to patients, cohort-wide.</w:t>
      </w:r>
    </w:p>
    <w:p w14:paraId="59E964A7" w14:textId="77777777" w:rsidR="00F52E06" w:rsidRPr="00544B7E" w:rsidRDefault="00F52E06" w:rsidP="001454E9">
      <w:pPr>
        <w:spacing w:line="480" w:lineRule="auto"/>
        <w:rPr>
          <w:rFonts w:ascii="Calibri" w:hAnsi="Calibri" w:cs="Calibri"/>
          <w:sz w:val="20"/>
          <w:szCs w:val="20"/>
        </w:rPr>
      </w:pPr>
    </w:p>
    <w:p w14:paraId="69C750AE" w14:textId="77777777" w:rsidR="00F52E06" w:rsidRPr="001454E9" w:rsidRDefault="00F52E06" w:rsidP="001454E9">
      <w:pPr>
        <w:spacing w:line="480" w:lineRule="auto"/>
        <w:rPr>
          <w:rFonts w:ascii="Calibri" w:hAnsi="Calibri" w:cs="Calibri"/>
          <w:b/>
        </w:rPr>
      </w:pPr>
      <w:r>
        <w:rPr>
          <w:rFonts w:ascii="Calibri" w:hAnsi="Calibri" w:cs="Calibri"/>
          <w:b/>
        </w:rPr>
        <w:t xml:space="preserve">Material and </w:t>
      </w:r>
      <w:r w:rsidRPr="001B301C">
        <w:rPr>
          <w:rFonts w:ascii="Calibri" w:hAnsi="Calibri" w:cs="Calibri"/>
          <w:b/>
        </w:rPr>
        <w:t>Methods</w:t>
      </w:r>
    </w:p>
    <w:p w14:paraId="1E6F0046" w14:textId="77777777" w:rsidR="00F52E06" w:rsidRPr="006D09FE" w:rsidRDefault="00F52E06" w:rsidP="001454E9">
      <w:pPr>
        <w:spacing w:line="480" w:lineRule="auto"/>
        <w:rPr>
          <w:rFonts w:ascii="Calibri" w:hAnsi="Calibri" w:cs="Calibri"/>
          <w:sz w:val="20"/>
          <w:szCs w:val="20"/>
          <w:u w:val="single"/>
        </w:rPr>
      </w:pPr>
      <w:r w:rsidRPr="00553D16">
        <w:rPr>
          <w:rFonts w:ascii="Calibri" w:hAnsi="Calibri" w:cs="Calibri"/>
          <w:sz w:val="20"/>
          <w:szCs w:val="20"/>
          <w:u w:val="single"/>
        </w:rPr>
        <w:t>General methodological principle</w:t>
      </w:r>
    </w:p>
    <w:p w14:paraId="236A47D6" w14:textId="25B1744C" w:rsidR="00F52E06" w:rsidRPr="00544B7E" w:rsidRDefault="00F52E06" w:rsidP="001454E9">
      <w:pPr>
        <w:spacing w:line="480" w:lineRule="auto"/>
        <w:rPr>
          <w:rFonts w:ascii="Calibri" w:hAnsi="Calibri" w:cs="Calibri"/>
          <w:sz w:val="20"/>
          <w:szCs w:val="20"/>
        </w:rPr>
      </w:pPr>
      <w:r>
        <w:rPr>
          <w:rFonts w:ascii="Calibri" w:hAnsi="Calibri" w:cs="Calibri"/>
          <w:sz w:val="20"/>
          <w:szCs w:val="20"/>
        </w:rPr>
        <w:t>W</w:t>
      </w:r>
      <w:r w:rsidRPr="00544B7E">
        <w:rPr>
          <w:rFonts w:ascii="Calibri" w:hAnsi="Calibri" w:cs="Calibri"/>
          <w:sz w:val="20"/>
          <w:szCs w:val="20"/>
        </w:rPr>
        <w:t>e propose a</w:t>
      </w:r>
      <w:r>
        <w:rPr>
          <w:rFonts w:ascii="Calibri" w:hAnsi="Calibri" w:cs="Calibri"/>
          <w:sz w:val="20"/>
          <w:szCs w:val="20"/>
        </w:rPr>
        <w:t xml:space="preserve">n objective filtering strategy </w:t>
      </w:r>
      <w:r w:rsidRPr="00544B7E">
        <w:rPr>
          <w:rFonts w:ascii="Calibri" w:hAnsi="Calibri" w:cs="Calibri"/>
          <w:sz w:val="20"/>
          <w:szCs w:val="20"/>
        </w:rPr>
        <w:t xml:space="preserve">that </w:t>
      </w:r>
      <w:r>
        <w:rPr>
          <w:rFonts w:ascii="Calibri" w:hAnsi="Calibri" w:cs="Calibri"/>
          <w:sz w:val="20"/>
          <w:szCs w:val="20"/>
        </w:rPr>
        <w:t>can be applied at scale</w:t>
      </w:r>
      <w:r w:rsidRPr="00544B7E">
        <w:rPr>
          <w:rFonts w:ascii="Calibri" w:hAnsi="Calibri" w:cs="Calibri"/>
          <w:sz w:val="20"/>
          <w:szCs w:val="20"/>
        </w:rPr>
        <w:t xml:space="preserve">. We apply the LOEUF metric of intolerance to gene inactivation </w:t>
      </w:r>
      <w:r>
        <w:rPr>
          <w:rFonts w:ascii="Calibri" w:hAnsi="Calibri" w:cs="Calibri"/>
          <w:sz w:val="20"/>
          <w:szCs w:val="20"/>
        </w:rPr>
        <w:t>to</w:t>
      </w:r>
      <w:r w:rsidRPr="00544B7E">
        <w:rPr>
          <w:rFonts w:ascii="Calibri" w:hAnsi="Calibri" w:cs="Calibri"/>
          <w:sz w:val="20"/>
          <w:szCs w:val="20"/>
        </w:rPr>
        <w:t xml:space="preserve"> </w:t>
      </w:r>
      <w:r>
        <w:rPr>
          <w:rFonts w:ascii="Calibri" w:hAnsi="Calibri" w:cs="Calibri"/>
          <w:sz w:val="20"/>
          <w:szCs w:val="20"/>
        </w:rPr>
        <w:t>define</w:t>
      </w:r>
      <w:r w:rsidRPr="00544B7E">
        <w:rPr>
          <w:rFonts w:ascii="Calibri" w:hAnsi="Calibri" w:cs="Calibri"/>
          <w:sz w:val="20"/>
          <w:szCs w:val="20"/>
        </w:rPr>
        <w:t xml:space="preserve"> a list of predicted haploinsufficient disease genes</w:t>
      </w:r>
      <w:r>
        <w:rPr>
          <w:rFonts w:ascii="Calibri" w:hAnsi="Calibri" w:cs="Calibri"/>
          <w:sz w:val="20"/>
          <w:szCs w:val="20"/>
        </w:rPr>
        <w:t>. We select genes with a LOEUF score &lt;0.2 (first decile), which demonstrates the highest probability of representing autosomal dominant disease.</w:t>
      </w:r>
      <w:r w:rsidRPr="00E53878">
        <w:rPr>
          <w:rFonts w:ascii="Calibri" w:hAnsi="Calibri" w:cs="Calibri"/>
          <w:noProof/>
          <w:sz w:val="20"/>
          <w:szCs w:val="20"/>
          <w:vertAlign w:val="superscript"/>
        </w:rPr>
        <w:t>11</w:t>
      </w:r>
      <w:r w:rsidRPr="00544B7E">
        <w:rPr>
          <w:rFonts w:ascii="Calibri" w:hAnsi="Calibri" w:cs="Calibri"/>
          <w:sz w:val="20"/>
          <w:szCs w:val="20"/>
        </w:rPr>
        <w:t xml:space="preserve"> By leveraging genomic and phenotypic data from </w:t>
      </w:r>
      <w:r>
        <w:rPr>
          <w:rFonts w:ascii="Calibri" w:hAnsi="Calibri" w:cs="Calibri"/>
          <w:sz w:val="20"/>
          <w:szCs w:val="20"/>
        </w:rPr>
        <w:t xml:space="preserve">rare disease trios in </w:t>
      </w:r>
      <w:r w:rsidRPr="00544B7E">
        <w:rPr>
          <w:rFonts w:ascii="Calibri" w:hAnsi="Calibri" w:cs="Calibri"/>
          <w:sz w:val="20"/>
          <w:szCs w:val="20"/>
        </w:rPr>
        <w:t>the 100,000 Genomes Project, we adopt a</w:t>
      </w:r>
      <w:r>
        <w:rPr>
          <w:rFonts w:ascii="Calibri" w:hAnsi="Calibri" w:cs="Calibri"/>
          <w:sz w:val="20"/>
          <w:szCs w:val="20"/>
        </w:rPr>
        <w:t xml:space="preserve">n objective </w:t>
      </w:r>
      <w:r w:rsidRPr="00544B7E">
        <w:rPr>
          <w:rFonts w:ascii="Calibri" w:hAnsi="Calibri" w:cs="Calibri"/>
          <w:sz w:val="20"/>
          <w:szCs w:val="20"/>
        </w:rPr>
        <w:t xml:space="preserve">gene-to-patient approach that </w:t>
      </w:r>
      <w:r>
        <w:rPr>
          <w:rFonts w:ascii="Calibri" w:hAnsi="Calibri" w:cs="Calibri"/>
          <w:sz w:val="20"/>
          <w:szCs w:val="20"/>
        </w:rPr>
        <w:t>filters for</w:t>
      </w:r>
      <w:r w:rsidRPr="00544B7E">
        <w:rPr>
          <w:rFonts w:ascii="Calibri" w:hAnsi="Calibri" w:cs="Calibri"/>
          <w:sz w:val="20"/>
          <w:szCs w:val="20"/>
        </w:rPr>
        <w:t xml:space="preserve"> </w:t>
      </w:r>
      <w:r>
        <w:rPr>
          <w:rFonts w:ascii="Calibri" w:hAnsi="Calibri" w:cs="Calibri"/>
          <w:sz w:val="20"/>
          <w:szCs w:val="20"/>
        </w:rPr>
        <w:t xml:space="preserve">rare, </w:t>
      </w:r>
      <w:r w:rsidRPr="00544B7E">
        <w:rPr>
          <w:rFonts w:ascii="Calibri" w:hAnsi="Calibri" w:cs="Calibri"/>
          <w:i/>
          <w:sz w:val="20"/>
          <w:szCs w:val="20"/>
        </w:rPr>
        <w:t>de novo</w:t>
      </w:r>
      <w:r w:rsidRPr="00544B7E">
        <w:rPr>
          <w:rFonts w:ascii="Calibri" w:hAnsi="Calibri" w:cs="Calibri"/>
          <w:sz w:val="20"/>
          <w:szCs w:val="20"/>
        </w:rPr>
        <w:t xml:space="preserve"> </w:t>
      </w:r>
      <w:r>
        <w:rPr>
          <w:rFonts w:ascii="Calibri" w:hAnsi="Calibri" w:cs="Calibri"/>
          <w:sz w:val="20"/>
          <w:szCs w:val="20"/>
        </w:rPr>
        <w:t>pLoF</w:t>
      </w:r>
      <w:r w:rsidRPr="00544B7E">
        <w:rPr>
          <w:rFonts w:ascii="Calibri" w:hAnsi="Calibri" w:cs="Calibri"/>
          <w:sz w:val="20"/>
          <w:szCs w:val="20"/>
        </w:rPr>
        <w:t xml:space="preserve"> variants in </w:t>
      </w:r>
      <w:r>
        <w:rPr>
          <w:rFonts w:ascii="Calibri" w:hAnsi="Calibri" w:cs="Calibri"/>
          <w:sz w:val="20"/>
          <w:szCs w:val="20"/>
        </w:rPr>
        <w:t xml:space="preserve">LoF </w:t>
      </w:r>
      <w:r w:rsidRPr="00544B7E">
        <w:rPr>
          <w:rFonts w:ascii="Calibri" w:hAnsi="Calibri" w:cs="Calibri"/>
          <w:sz w:val="20"/>
          <w:szCs w:val="20"/>
        </w:rPr>
        <w:t xml:space="preserve">constrained genes </w:t>
      </w:r>
      <w:r>
        <w:rPr>
          <w:rFonts w:ascii="Calibri" w:hAnsi="Calibri" w:cs="Calibri"/>
          <w:sz w:val="20"/>
          <w:szCs w:val="20"/>
        </w:rPr>
        <w:t xml:space="preserve">and matches these </w:t>
      </w:r>
      <w:r w:rsidRPr="00544B7E">
        <w:rPr>
          <w:rFonts w:ascii="Calibri" w:hAnsi="Calibri" w:cs="Calibri"/>
          <w:sz w:val="20"/>
          <w:szCs w:val="20"/>
        </w:rPr>
        <w:t>to rare disease patients</w:t>
      </w:r>
      <w:r>
        <w:rPr>
          <w:rFonts w:ascii="Calibri" w:hAnsi="Calibri" w:cs="Calibri"/>
          <w:sz w:val="20"/>
          <w:szCs w:val="20"/>
        </w:rPr>
        <w:t xml:space="preserve">. For this study, we exclude any variants in known OMIM disease genes (autosomal dominant or recessive) and focus only on novel disease genes. Where more than one patient with a </w:t>
      </w:r>
      <w:r w:rsidRPr="00503EFC">
        <w:rPr>
          <w:rFonts w:ascii="Calibri" w:hAnsi="Calibri" w:cs="Calibri"/>
          <w:i/>
          <w:iCs/>
          <w:sz w:val="20"/>
          <w:szCs w:val="20"/>
        </w:rPr>
        <w:t>de novo</w:t>
      </w:r>
      <w:r>
        <w:rPr>
          <w:rFonts w:ascii="Calibri" w:hAnsi="Calibri" w:cs="Calibri"/>
          <w:sz w:val="20"/>
          <w:szCs w:val="20"/>
        </w:rPr>
        <w:t xml:space="preserve"> pLoF variant is found in the same gene, we call this a </w:t>
      </w:r>
      <w:r w:rsidRPr="00D21C41">
        <w:rPr>
          <w:rFonts w:ascii="Calibri" w:hAnsi="Calibri" w:cs="Calibri"/>
          <w:i/>
          <w:iCs/>
          <w:sz w:val="20"/>
          <w:szCs w:val="20"/>
        </w:rPr>
        <w:t>novel disease gene contender</w:t>
      </w:r>
      <w:r>
        <w:rPr>
          <w:rFonts w:ascii="Calibri" w:hAnsi="Calibri" w:cs="Calibri"/>
          <w:sz w:val="20"/>
          <w:szCs w:val="20"/>
        </w:rPr>
        <w:t xml:space="preserve"> and then assess for phenotype overlap. This approach</w:t>
      </w:r>
      <w:r w:rsidRPr="00544B7E">
        <w:rPr>
          <w:rFonts w:ascii="Calibri" w:hAnsi="Calibri" w:cs="Calibri"/>
          <w:sz w:val="20"/>
          <w:szCs w:val="20"/>
        </w:rPr>
        <w:t xml:space="preserve"> reduc</w:t>
      </w:r>
      <w:r>
        <w:rPr>
          <w:rFonts w:ascii="Calibri" w:hAnsi="Calibri" w:cs="Calibri"/>
          <w:sz w:val="20"/>
          <w:szCs w:val="20"/>
        </w:rPr>
        <w:t>es</w:t>
      </w:r>
      <w:r w:rsidRPr="00544B7E">
        <w:rPr>
          <w:rFonts w:ascii="Calibri" w:hAnsi="Calibri" w:cs="Calibri"/>
          <w:sz w:val="20"/>
          <w:szCs w:val="20"/>
        </w:rPr>
        <w:t xml:space="preserve"> analytical noise </w:t>
      </w:r>
      <w:r>
        <w:rPr>
          <w:rFonts w:ascii="Calibri" w:hAnsi="Calibri" w:cs="Calibri"/>
          <w:sz w:val="20"/>
          <w:szCs w:val="20"/>
        </w:rPr>
        <w:t xml:space="preserve">to focus on the most likely </w:t>
      </w:r>
      <w:r w:rsidRPr="00544B7E">
        <w:rPr>
          <w:rFonts w:ascii="Calibri" w:hAnsi="Calibri" w:cs="Calibri"/>
          <w:sz w:val="20"/>
          <w:szCs w:val="20"/>
        </w:rPr>
        <w:t xml:space="preserve">novel </w:t>
      </w:r>
      <w:r>
        <w:rPr>
          <w:rFonts w:ascii="Calibri" w:hAnsi="Calibri" w:cs="Calibri"/>
          <w:sz w:val="20"/>
          <w:szCs w:val="20"/>
        </w:rPr>
        <w:t>disease genes</w:t>
      </w:r>
      <w:r w:rsidRPr="00544B7E">
        <w:rPr>
          <w:rFonts w:ascii="Calibri" w:hAnsi="Calibri" w:cs="Calibri"/>
          <w:sz w:val="20"/>
          <w:szCs w:val="20"/>
        </w:rPr>
        <w:t xml:space="preserve"> (</w:t>
      </w:r>
      <w:r w:rsidRPr="00165F28">
        <w:rPr>
          <w:rFonts w:ascii="Calibri" w:hAnsi="Calibri" w:cs="Calibri"/>
          <w:b/>
          <w:bCs/>
          <w:sz w:val="20"/>
          <w:szCs w:val="20"/>
        </w:rPr>
        <w:t xml:space="preserve">Figure </w:t>
      </w:r>
      <w:r>
        <w:rPr>
          <w:rFonts w:ascii="Calibri" w:hAnsi="Calibri" w:cs="Calibri"/>
          <w:b/>
          <w:bCs/>
          <w:sz w:val="20"/>
          <w:szCs w:val="20"/>
        </w:rPr>
        <w:t>1</w:t>
      </w:r>
      <w:r w:rsidRPr="00544B7E">
        <w:rPr>
          <w:rFonts w:ascii="Calibri" w:hAnsi="Calibri" w:cs="Calibri"/>
          <w:sz w:val="20"/>
          <w:szCs w:val="20"/>
        </w:rPr>
        <w:t>)</w:t>
      </w:r>
      <w:r>
        <w:rPr>
          <w:rFonts w:ascii="Calibri" w:hAnsi="Calibri" w:cs="Calibri"/>
          <w:sz w:val="20"/>
          <w:szCs w:val="20"/>
        </w:rPr>
        <w:t xml:space="preserve"> and identifies suitable candidates for functional validation.</w:t>
      </w:r>
    </w:p>
    <w:p w14:paraId="3F529E61" w14:textId="77777777" w:rsidR="00F52E06" w:rsidRDefault="00F52E06" w:rsidP="001454E9">
      <w:pPr>
        <w:spacing w:line="480" w:lineRule="auto"/>
        <w:rPr>
          <w:rFonts w:ascii="Calibri" w:hAnsi="Calibri" w:cs="Calibri"/>
          <w:sz w:val="20"/>
          <w:szCs w:val="20"/>
          <w:u w:val="single"/>
        </w:rPr>
      </w:pPr>
    </w:p>
    <w:p w14:paraId="5F92CD92" w14:textId="77777777" w:rsidR="00F52E06" w:rsidRPr="006D09FE" w:rsidRDefault="00F52E06" w:rsidP="001454E9">
      <w:pPr>
        <w:spacing w:line="480" w:lineRule="auto"/>
        <w:rPr>
          <w:rFonts w:ascii="Calibri" w:hAnsi="Calibri" w:cs="Calibri"/>
          <w:sz w:val="20"/>
          <w:szCs w:val="20"/>
          <w:u w:val="single"/>
        </w:rPr>
      </w:pPr>
      <w:r w:rsidRPr="00553D16">
        <w:rPr>
          <w:rFonts w:ascii="Calibri" w:hAnsi="Calibri" w:cs="Calibri"/>
          <w:sz w:val="20"/>
          <w:szCs w:val="20"/>
          <w:u w:val="single"/>
        </w:rPr>
        <w:t>Data access</w:t>
      </w:r>
    </w:p>
    <w:p w14:paraId="1DE54E2E" w14:textId="77777777" w:rsidR="00F52E06" w:rsidRDefault="00F52E06" w:rsidP="00366A0F">
      <w:pPr>
        <w:spacing w:line="480" w:lineRule="auto"/>
        <w:rPr>
          <w:rFonts w:ascii="Calibri" w:hAnsi="Calibri" w:cs="Calibri"/>
          <w:sz w:val="20"/>
          <w:szCs w:val="16"/>
        </w:rPr>
      </w:pPr>
      <w:r w:rsidRPr="007B15C5">
        <w:rPr>
          <w:rFonts w:ascii="Calibri" w:hAnsi="Calibri" w:cs="Calibri"/>
          <w:sz w:val="20"/>
          <w:szCs w:val="16"/>
        </w:rPr>
        <w:t xml:space="preserve">Access to the secure GEL research environment (RE) and high-performance cluster was obtained </w:t>
      </w:r>
      <w:r>
        <w:rPr>
          <w:rFonts w:ascii="Calibri" w:hAnsi="Calibri" w:cs="Calibri"/>
          <w:sz w:val="20"/>
          <w:szCs w:val="16"/>
        </w:rPr>
        <w:t xml:space="preserve">following information governance training and </w:t>
      </w:r>
      <w:r w:rsidRPr="007B15C5">
        <w:rPr>
          <w:rFonts w:ascii="Calibri" w:hAnsi="Calibri" w:cs="Calibri"/>
          <w:sz w:val="20"/>
          <w:szCs w:val="16"/>
        </w:rPr>
        <w:t xml:space="preserve">as a member of </w:t>
      </w:r>
      <w:r>
        <w:rPr>
          <w:rFonts w:ascii="Calibri" w:hAnsi="Calibri" w:cs="Calibri"/>
          <w:sz w:val="20"/>
          <w:szCs w:val="16"/>
        </w:rPr>
        <w:t xml:space="preserve">the </w:t>
      </w:r>
      <w:r w:rsidRPr="007B15C5">
        <w:rPr>
          <w:rFonts w:ascii="Calibri" w:hAnsi="Calibri" w:cs="Calibri"/>
          <w:sz w:val="20"/>
          <w:szCs w:val="16"/>
        </w:rPr>
        <w:t xml:space="preserve">Genomics England Clinical Interpretation Partnership (GeCIP): </w:t>
      </w:r>
      <w:r w:rsidRPr="007B15C5">
        <w:rPr>
          <w:rFonts w:ascii="Calibri" w:hAnsi="Calibri" w:cs="Calibri"/>
          <w:i/>
          <w:iCs/>
          <w:sz w:val="20"/>
          <w:szCs w:val="16"/>
        </w:rPr>
        <w:t>Quantitative methods, machine learning, and functional genomics</w:t>
      </w:r>
      <w:r w:rsidRPr="007B15C5">
        <w:rPr>
          <w:rFonts w:ascii="Calibri" w:hAnsi="Calibri" w:cs="Calibri"/>
          <w:sz w:val="20"/>
          <w:szCs w:val="16"/>
        </w:rPr>
        <w:t xml:space="preserve"> and with approved project ID</w:t>
      </w:r>
      <w:r>
        <w:rPr>
          <w:rFonts w:ascii="Calibri" w:hAnsi="Calibri" w:cs="Calibri"/>
          <w:sz w:val="20"/>
          <w:szCs w:val="16"/>
        </w:rPr>
        <w:t>:</w:t>
      </w:r>
      <w:r w:rsidRPr="007B15C5">
        <w:rPr>
          <w:rFonts w:ascii="Calibri" w:hAnsi="Calibri" w:cs="Calibri"/>
          <w:sz w:val="20"/>
          <w:szCs w:val="16"/>
        </w:rPr>
        <w:t xml:space="preserve"> RR359 - </w:t>
      </w:r>
      <w:r w:rsidRPr="007B15C5">
        <w:rPr>
          <w:rFonts w:ascii="Calibri" w:hAnsi="Calibri" w:cs="Calibri"/>
          <w:i/>
          <w:iCs/>
          <w:sz w:val="20"/>
          <w:szCs w:val="16"/>
        </w:rPr>
        <w:t>Translational genomics: Optimising novel gene discovery for 100,000 rare disease patients</w:t>
      </w:r>
      <w:r w:rsidRPr="007B15C5">
        <w:rPr>
          <w:rFonts w:ascii="Calibri" w:hAnsi="Calibri" w:cs="Calibri"/>
          <w:sz w:val="20"/>
          <w:szCs w:val="16"/>
        </w:rPr>
        <w:t>.</w:t>
      </w:r>
      <w:r>
        <w:rPr>
          <w:rFonts w:ascii="Calibri" w:hAnsi="Calibri" w:cs="Calibri"/>
          <w:sz w:val="20"/>
          <w:szCs w:val="16"/>
        </w:rPr>
        <w:t xml:space="preserve"> This provided access, originally in 2019, to </w:t>
      </w:r>
      <w:r w:rsidRPr="007B15C5">
        <w:rPr>
          <w:rFonts w:ascii="Calibri" w:hAnsi="Calibri" w:cs="Calibri"/>
          <w:sz w:val="20"/>
          <w:szCs w:val="16"/>
        </w:rPr>
        <w:t xml:space="preserve">an aggregate </w:t>
      </w:r>
      <w:proofErr w:type="spellStart"/>
      <w:r w:rsidRPr="007B15C5">
        <w:rPr>
          <w:rFonts w:ascii="Calibri" w:hAnsi="Calibri" w:cs="Calibri"/>
          <w:i/>
          <w:sz w:val="20"/>
          <w:szCs w:val="16"/>
        </w:rPr>
        <w:t>vcf</w:t>
      </w:r>
      <w:proofErr w:type="spellEnd"/>
      <w:r w:rsidRPr="007B15C5">
        <w:rPr>
          <w:rFonts w:ascii="Calibri" w:hAnsi="Calibri" w:cs="Calibri"/>
          <w:sz w:val="20"/>
          <w:szCs w:val="16"/>
        </w:rPr>
        <w:t xml:space="preserve"> file of 20,050 rare disease families</w:t>
      </w:r>
      <w:r>
        <w:rPr>
          <w:rFonts w:ascii="Calibri" w:hAnsi="Calibri" w:cs="Calibri"/>
          <w:sz w:val="20"/>
          <w:szCs w:val="16"/>
        </w:rPr>
        <w:t xml:space="preserve"> called using the Illumina Starling pipeline and passing quality control parameters as previously described.</w:t>
      </w:r>
      <w:r w:rsidRPr="005313B8">
        <w:rPr>
          <w:rFonts w:ascii="Calibri" w:hAnsi="Calibri" w:cs="Calibri"/>
          <w:noProof/>
          <w:sz w:val="20"/>
          <w:szCs w:val="16"/>
          <w:vertAlign w:val="superscript"/>
        </w:rPr>
        <w:t>5</w:t>
      </w:r>
      <w:r>
        <w:rPr>
          <w:rFonts w:ascii="Calibri" w:hAnsi="Calibri" w:cs="Calibri"/>
          <w:sz w:val="20"/>
          <w:szCs w:val="16"/>
        </w:rPr>
        <w:t xml:space="preserve"> The majority of patients were children with neurodevelopmental disorders.</w:t>
      </w:r>
      <w:r w:rsidRPr="005313B8">
        <w:rPr>
          <w:rFonts w:ascii="Calibri" w:hAnsi="Calibri" w:cs="Calibri"/>
          <w:noProof/>
          <w:sz w:val="20"/>
          <w:szCs w:val="16"/>
          <w:vertAlign w:val="superscript"/>
        </w:rPr>
        <w:t>5</w:t>
      </w:r>
    </w:p>
    <w:p w14:paraId="00F50305" w14:textId="77777777" w:rsidR="00F52E06" w:rsidRPr="00366A0F" w:rsidRDefault="00F52E06" w:rsidP="00366A0F">
      <w:pPr>
        <w:spacing w:line="480" w:lineRule="auto"/>
        <w:rPr>
          <w:rFonts w:ascii="Calibri" w:hAnsi="Calibri" w:cs="Calibri"/>
          <w:sz w:val="20"/>
          <w:szCs w:val="16"/>
        </w:rPr>
      </w:pPr>
    </w:p>
    <w:p w14:paraId="52819528" w14:textId="23C73E16" w:rsidR="00F52E06" w:rsidRDefault="00F52E06" w:rsidP="001454E9">
      <w:pPr>
        <w:spacing w:line="480" w:lineRule="auto"/>
        <w:rPr>
          <w:rFonts w:ascii="Calibri" w:hAnsi="Calibri" w:cs="Calibri"/>
          <w:sz w:val="20"/>
          <w:szCs w:val="16"/>
        </w:rPr>
      </w:pPr>
      <w:r w:rsidRPr="007B15C5">
        <w:rPr>
          <w:rFonts w:ascii="Calibri" w:hAnsi="Calibri" w:cs="Calibri"/>
          <w:sz w:val="20"/>
          <w:szCs w:val="16"/>
        </w:rPr>
        <w:t>Phenotype data for each patient w</w:t>
      </w:r>
      <w:r>
        <w:rPr>
          <w:rFonts w:ascii="Calibri" w:hAnsi="Calibri" w:cs="Calibri"/>
          <w:sz w:val="20"/>
          <w:szCs w:val="16"/>
        </w:rPr>
        <w:t>ere</w:t>
      </w:r>
      <w:r w:rsidRPr="007B15C5">
        <w:rPr>
          <w:rFonts w:ascii="Calibri" w:hAnsi="Calibri" w:cs="Calibri"/>
          <w:sz w:val="20"/>
          <w:szCs w:val="16"/>
        </w:rPr>
        <w:t xml:space="preserve"> recorded </w:t>
      </w:r>
      <w:r>
        <w:rPr>
          <w:rFonts w:ascii="Calibri" w:hAnsi="Calibri" w:cs="Calibri"/>
          <w:sz w:val="20"/>
          <w:szCs w:val="16"/>
        </w:rPr>
        <w:t xml:space="preserve">by the referring clinician </w:t>
      </w:r>
      <w:r w:rsidRPr="007B15C5">
        <w:rPr>
          <w:rFonts w:ascii="Calibri" w:hAnsi="Calibri" w:cs="Calibri"/>
          <w:sz w:val="20"/>
          <w:szCs w:val="16"/>
        </w:rPr>
        <w:t>as a discrete list of human phenotype ontology (HPO) terms.</w:t>
      </w:r>
      <w:r w:rsidRPr="00E53878">
        <w:rPr>
          <w:rFonts w:ascii="Calibri" w:hAnsi="Calibri" w:cs="Calibri"/>
          <w:noProof/>
          <w:sz w:val="20"/>
          <w:szCs w:val="16"/>
          <w:vertAlign w:val="superscript"/>
        </w:rPr>
        <w:t>16</w:t>
      </w:r>
      <w:r w:rsidRPr="007B15C5">
        <w:rPr>
          <w:rFonts w:ascii="Calibri" w:hAnsi="Calibri" w:cs="Calibri"/>
          <w:sz w:val="20"/>
          <w:szCs w:val="16"/>
        </w:rPr>
        <w:t xml:space="preserve"> </w:t>
      </w:r>
      <w:r>
        <w:rPr>
          <w:rFonts w:ascii="Calibri" w:hAnsi="Calibri" w:cs="Calibri"/>
          <w:sz w:val="20"/>
          <w:szCs w:val="16"/>
        </w:rPr>
        <w:t xml:space="preserve">The number of HPO terms varied considerably between patients with some individuals only having a single HPO term recorded. These data were stored within the RE in a LabKey data management system. </w:t>
      </w:r>
      <w:r w:rsidRPr="007B15C5">
        <w:rPr>
          <w:rFonts w:ascii="Calibri" w:hAnsi="Calibri" w:cs="Calibri"/>
          <w:sz w:val="20"/>
          <w:szCs w:val="16"/>
        </w:rPr>
        <w:t>The R LabKey package was used to extract HPO terms for each patient</w:t>
      </w:r>
      <w:r>
        <w:rPr>
          <w:rFonts w:ascii="Calibri" w:hAnsi="Calibri" w:cs="Calibri"/>
          <w:sz w:val="20"/>
          <w:szCs w:val="16"/>
        </w:rPr>
        <w:t xml:space="preserve"> and merge these with genotype data.</w:t>
      </w:r>
    </w:p>
    <w:p w14:paraId="2CBE72E5" w14:textId="214A73EA" w:rsidR="00F25969" w:rsidRDefault="00F25969" w:rsidP="001454E9">
      <w:pPr>
        <w:spacing w:line="480" w:lineRule="auto"/>
        <w:rPr>
          <w:rFonts w:ascii="Calibri" w:hAnsi="Calibri" w:cs="Calibri"/>
          <w:sz w:val="20"/>
          <w:szCs w:val="16"/>
        </w:rPr>
      </w:pPr>
    </w:p>
    <w:p w14:paraId="404D9EBE" w14:textId="3C03F989" w:rsidR="00F25969" w:rsidRPr="00F25969" w:rsidRDefault="00F25969" w:rsidP="001454E9">
      <w:pPr>
        <w:spacing w:line="480" w:lineRule="auto"/>
        <w:rPr>
          <w:rFonts w:ascii="Calibri" w:hAnsi="Calibri" w:cs="Calibri"/>
          <w:sz w:val="20"/>
          <w:szCs w:val="16"/>
          <w:u w:val="single"/>
        </w:rPr>
      </w:pPr>
      <w:r w:rsidRPr="00F25969">
        <w:rPr>
          <w:rFonts w:ascii="Calibri" w:hAnsi="Calibri" w:cs="Calibri"/>
          <w:sz w:val="20"/>
          <w:szCs w:val="16"/>
          <w:u w:val="single"/>
        </w:rPr>
        <w:t>Code availability</w:t>
      </w:r>
    </w:p>
    <w:p w14:paraId="7F88D64E" w14:textId="1C25AF35" w:rsidR="00F25969" w:rsidRDefault="00F25969" w:rsidP="001454E9">
      <w:pPr>
        <w:spacing w:line="480" w:lineRule="auto"/>
        <w:rPr>
          <w:rFonts w:ascii="Calibri" w:hAnsi="Calibri" w:cs="Calibri"/>
          <w:sz w:val="20"/>
          <w:szCs w:val="16"/>
        </w:rPr>
      </w:pPr>
      <w:r>
        <w:rPr>
          <w:rFonts w:ascii="Calibri" w:hAnsi="Calibri" w:cs="Calibri"/>
          <w:sz w:val="20"/>
          <w:szCs w:val="16"/>
        </w:rPr>
        <w:t>Code generated for this project is specific to data securely held within the GEL RE. Only users with the necessary permission and governance training can access these data. Scripts are available to GEL users within the RE machine learning directory.</w:t>
      </w:r>
    </w:p>
    <w:p w14:paraId="5043FE2B" w14:textId="77777777" w:rsidR="00F52E06" w:rsidRPr="00EA372B" w:rsidRDefault="00F52E06" w:rsidP="001454E9">
      <w:pPr>
        <w:spacing w:line="480" w:lineRule="auto"/>
        <w:rPr>
          <w:rFonts w:ascii="Calibri" w:hAnsi="Calibri" w:cs="Calibri"/>
          <w:sz w:val="20"/>
          <w:szCs w:val="16"/>
        </w:rPr>
      </w:pPr>
    </w:p>
    <w:p w14:paraId="5B7A865F" w14:textId="77777777" w:rsidR="00F52E06" w:rsidRPr="006D09FE" w:rsidRDefault="00F52E06" w:rsidP="001454E9">
      <w:pPr>
        <w:spacing w:line="480" w:lineRule="auto"/>
        <w:rPr>
          <w:rFonts w:ascii="Calibri" w:hAnsi="Calibri" w:cs="Calibri"/>
          <w:sz w:val="20"/>
          <w:szCs w:val="20"/>
          <w:u w:val="single"/>
        </w:rPr>
      </w:pPr>
      <w:r w:rsidRPr="00553D16">
        <w:rPr>
          <w:rFonts w:ascii="Calibri" w:hAnsi="Calibri" w:cs="Calibri"/>
          <w:sz w:val="20"/>
          <w:szCs w:val="20"/>
          <w:u w:val="single"/>
        </w:rPr>
        <w:t>Data filtering</w:t>
      </w:r>
    </w:p>
    <w:p w14:paraId="0681C0AF" w14:textId="7E3D3F06" w:rsidR="00F52E06" w:rsidRPr="007B15C5" w:rsidRDefault="00F52E06" w:rsidP="001454E9">
      <w:pPr>
        <w:spacing w:line="480" w:lineRule="auto"/>
        <w:rPr>
          <w:rFonts w:ascii="Calibri" w:hAnsi="Calibri" w:cs="Calibri"/>
          <w:sz w:val="20"/>
          <w:szCs w:val="16"/>
        </w:rPr>
      </w:pPr>
      <w:r w:rsidRPr="007B15C5">
        <w:rPr>
          <w:rFonts w:ascii="Calibri" w:hAnsi="Calibri" w:cs="Calibri"/>
          <w:sz w:val="20"/>
          <w:szCs w:val="16"/>
        </w:rPr>
        <w:t xml:space="preserve">Initial analysis was undertaken in October 2019. </w:t>
      </w:r>
      <w:r>
        <w:rPr>
          <w:rFonts w:ascii="Calibri" w:hAnsi="Calibri" w:cs="Calibri"/>
          <w:sz w:val="20"/>
          <w:szCs w:val="16"/>
        </w:rPr>
        <w:t>W</w:t>
      </w:r>
      <w:r w:rsidRPr="007B15C5">
        <w:rPr>
          <w:rFonts w:ascii="Calibri" w:hAnsi="Calibri" w:cs="Calibri"/>
          <w:sz w:val="20"/>
          <w:szCs w:val="16"/>
        </w:rPr>
        <w:t xml:space="preserve">e selected full parent/offspring trios for </w:t>
      </w:r>
      <w:r w:rsidRPr="007B15C5">
        <w:rPr>
          <w:rFonts w:ascii="Calibri" w:hAnsi="Calibri" w:cs="Calibri"/>
          <w:i/>
          <w:iCs/>
          <w:sz w:val="20"/>
          <w:szCs w:val="16"/>
        </w:rPr>
        <w:t>de novo</w:t>
      </w:r>
      <w:r w:rsidRPr="007B15C5">
        <w:rPr>
          <w:rFonts w:ascii="Calibri" w:hAnsi="Calibri" w:cs="Calibri"/>
          <w:sz w:val="20"/>
          <w:szCs w:val="16"/>
        </w:rPr>
        <w:t xml:space="preserve"> analysis</w:t>
      </w:r>
      <w:r>
        <w:rPr>
          <w:rFonts w:ascii="Calibri" w:hAnsi="Calibri" w:cs="Calibri"/>
          <w:sz w:val="20"/>
          <w:szCs w:val="16"/>
        </w:rPr>
        <w:t>, reducing the number of available families from 20,050 to 13,949</w:t>
      </w:r>
      <w:r w:rsidRPr="007B15C5">
        <w:rPr>
          <w:rFonts w:ascii="Calibri" w:hAnsi="Calibri" w:cs="Calibri"/>
          <w:sz w:val="20"/>
          <w:szCs w:val="16"/>
        </w:rPr>
        <w:t>. Bespoke scripts utilis</w:t>
      </w:r>
      <w:r>
        <w:rPr>
          <w:rFonts w:ascii="Calibri" w:hAnsi="Calibri" w:cs="Calibri"/>
          <w:sz w:val="20"/>
          <w:szCs w:val="16"/>
        </w:rPr>
        <w:t>ing</w:t>
      </w:r>
      <w:r w:rsidRPr="007B15C5">
        <w:rPr>
          <w:rFonts w:ascii="Calibri" w:hAnsi="Calibri" w:cs="Calibri"/>
          <w:sz w:val="20"/>
          <w:szCs w:val="16"/>
        </w:rPr>
        <w:t xml:space="preserve"> bcftools</w:t>
      </w:r>
      <w:r w:rsidRPr="00E53878">
        <w:rPr>
          <w:rFonts w:ascii="Calibri" w:hAnsi="Calibri" w:cs="Calibri"/>
          <w:noProof/>
          <w:sz w:val="20"/>
          <w:szCs w:val="16"/>
          <w:vertAlign w:val="superscript"/>
        </w:rPr>
        <w:t>17</w:t>
      </w:r>
      <w:r w:rsidRPr="007B15C5">
        <w:rPr>
          <w:rFonts w:ascii="Calibri" w:hAnsi="Calibri" w:cs="Calibri"/>
          <w:sz w:val="20"/>
          <w:szCs w:val="16"/>
        </w:rPr>
        <w:t>, VEP</w:t>
      </w:r>
      <w:r w:rsidRPr="00E53878">
        <w:rPr>
          <w:rFonts w:ascii="Calibri" w:hAnsi="Calibri" w:cs="Calibri"/>
          <w:noProof/>
          <w:sz w:val="20"/>
          <w:szCs w:val="16"/>
          <w:vertAlign w:val="superscript"/>
        </w:rPr>
        <w:t>18</w:t>
      </w:r>
      <w:r w:rsidRPr="007B15C5">
        <w:rPr>
          <w:rFonts w:ascii="Calibri" w:hAnsi="Calibri" w:cs="Calibri"/>
          <w:sz w:val="20"/>
          <w:szCs w:val="16"/>
        </w:rPr>
        <w:t xml:space="preserve"> and Exomiser</w:t>
      </w:r>
      <w:r w:rsidRPr="00E53878">
        <w:rPr>
          <w:rFonts w:ascii="Calibri" w:hAnsi="Calibri" w:cs="Calibri"/>
          <w:noProof/>
          <w:sz w:val="20"/>
          <w:szCs w:val="16"/>
          <w:vertAlign w:val="superscript"/>
        </w:rPr>
        <w:t>19</w:t>
      </w:r>
      <w:r w:rsidRPr="007B15C5">
        <w:rPr>
          <w:rFonts w:ascii="Calibri" w:hAnsi="Calibri" w:cs="Calibri"/>
          <w:sz w:val="20"/>
          <w:szCs w:val="16"/>
        </w:rPr>
        <w:t xml:space="preserve"> </w:t>
      </w:r>
      <w:r>
        <w:rPr>
          <w:rFonts w:ascii="Calibri" w:hAnsi="Calibri" w:cs="Calibri"/>
          <w:sz w:val="20"/>
          <w:szCs w:val="16"/>
        </w:rPr>
        <w:t xml:space="preserve">were developed </w:t>
      </w:r>
      <w:r w:rsidRPr="007B15C5">
        <w:rPr>
          <w:rFonts w:ascii="Calibri" w:hAnsi="Calibri" w:cs="Calibri"/>
          <w:sz w:val="20"/>
          <w:szCs w:val="16"/>
        </w:rPr>
        <w:t>to filter data. LOEUF scores were downloaded from gnomAD (</w:t>
      </w:r>
      <w:hyperlink r:id="rId11" w:history="1">
        <w:r w:rsidRPr="00BC0D18">
          <w:rPr>
            <w:rStyle w:val="Hyperlink"/>
            <w:rFonts w:ascii="Calibri" w:hAnsi="Calibri" w:cs="Calibri"/>
            <w:sz w:val="20"/>
            <w:szCs w:val="16"/>
          </w:rPr>
          <w:t>http://gnomad.broadinstitute.org/downloads</w:t>
        </w:r>
      </w:hyperlink>
      <w:r w:rsidRPr="007B15C5">
        <w:rPr>
          <w:rFonts w:ascii="Calibri" w:hAnsi="Calibri" w:cs="Calibri"/>
          <w:sz w:val="20"/>
          <w:szCs w:val="16"/>
        </w:rPr>
        <w:t xml:space="preserve">) and imported into the </w:t>
      </w:r>
      <w:r>
        <w:rPr>
          <w:rFonts w:ascii="Calibri" w:hAnsi="Calibri" w:cs="Calibri"/>
          <w:sz w:val="20"/>
          <w:szCs w:val="16"/>
        </w:rPr>
        <w:t>RE</w:t>
      </w:r>
      <w:r w:rsidRPr="007B15C5">
        <w:rPr>
          <w:rFonts w:ascii="Calibri" w:hAnsi="Calibri" w:cs="Calibri"/>
          <w:sz w:val="20"/>
          <w:szCs w:val="16"/>
        </w:rPr>
        <w:t>.</w:t>
      </w:r>
      <w:r>
        <w:rPr>
          <w:rFonts w:ascii="Calibri" w:hAnsi="Calibri" w:cs="Calibri"/>
          <w:sz w:val="20"/>
          <w:szCs w:val="16"/>
        </w:rPr>
        <w:t xml:space="preserve"> </w:t>
      </w:r>
      <w:r w:rsidRPr="007B15C5">
        <w:rPr>
          <w:rFonts w:ascii="Calibri" w:hAnsi="Calibri" w:cs="Calibri"/>
          <w:sz w:val="20"/>
          <w:szCs w:val="16"/>
        </w:rPr>
        <w:t xml:space="preserve">We filtered out variants with an allele frequency </w:t>
      </w:r>
      <w:r>
        <w:rPr>
          <w:rFonts w:ascii="Calibri" w:hAnsi="Calibri" w:cs="Calibri"/>
          <w:sz w:val="20"/>
          <w:szCs w:val="16"/>
        </w:rPr>
        <w:t xml:space="preserve">(AF) </w:t>
      </w:r>
      <w:r w:rsidRPr="007B15C5">
        <w:rPr>
          <w:rFonts w:ascii="Calibri" w:hAnsi="Calibri" w:cs="Calibri"/>
          <w:sz w:val="20"/>
          <w:szCs w:val="16"/>
        </w:rPr>
        <w:t xml:space="preserve">&gt;0.001 across all gnomAD populations and retained only </w:t>
      </w:r>
      <w:r w:rsidRPr="007B15C5">
        <w:rPr>
          <w:rFonts w:ascii="Calibri" w:hAnsi="Calibri" w:cs="Calibri"/>
          <w:i/>
          <w:iCs/>
          <w:sz w:val="20"/>
          <w:szCs w:val="16"/>
        </w:rPr>
        <w:t>de novo</w:t>
      </w:r>
      <w:r w:rsidRPr="007B15C5">
        <w:rPr>
          <w:rFonts w:ascii="Calibri" w:hAnsi="Calibri" w:cs="Calibri"/>
          <w:sz w:val="20"/>
          <w:szCs w:val="16"/>
        </w:rPr>
        <w:t xml:space="preserve"> pLoF variants </w:t>
      </w:r>
      <w:r>
        <w:rPr>
          <w:rFonts w:ascii="Calibri" w:hAnsi="Calibri" w:cs="Calibri"/>
          <w:sz w:val="20"/>
          <w:szCs w:val="16"/>
        </w:rPr>
        <w:t>(</w:t>
      </w:r>
      <w:r w:rsidRPr="007B15C5">
        <w:rPr>
          <w:rFonts w:ascii="Calibri" w:hAnsi="Calibri" w:cs="Calibri"/>
          <w:sz w:val="20"/>
          <w:szCs w:val="16"/>
        </w:rPr>
        <w:t xml:space="preserve">canonical splice </w:t>
      </w:r>
      <w:r w:rsidRPr="007B15C5">
        <w:rPr>
          <w:rFonts w:ascii="Calibri" w:hAnsi="Calibri" w:cs="Calibri"/>
          <w:sz w:val="20"/>
          <w:szCs w:val="16"/>
        </w:rPr>
        <w:lastRenderedPageBreak/>
        <w:t>site, frameshift, stop gain/nonsense, start loss, stop loss</w:t>
      </w:r>
      <w:r>
        <w:rPr>
          <w:rFonts w:ascii="Calibri" w:hAnsi="Calibri" w:cs="Calibri"/>
          <w:sz w:val="20"/>
          <w:szCs w:val="16"/>
        </w:rPr>
        <w:t xml:space="preserve">) on </w:t>
      </w:r>
      <w:proofErr w:type="spellStart"/>
      <w:r>
        <w:rPr>
          <w:rFonts w:ascii="Calibri" w:hAnsi="Calibri" w:cs="Calibri"/>
          <w:sz w:val="20"/>
          <w:szCs w:val="16"/>
        </w:rPr>
        <w:t>RefSeq</w:t>
      </w:r>
      <w:proofErr w:type="spellEnd"/>
      <w:r>
        <w:rPr>
          <w:rFonts w:ascii="Calibri" w:hAnsi="Calibri" w:cs="Calibri"/>
          <w:sz w:val="20"/>
          <w:szCs w:val="16"/>
        </w:rPr>
        <w:t xml:space="preserve"> transcripts called by VEP </w:t>
      </w:r>
      <w:r w:rsidRPr="007B15C5">
        <w:rPr>
          <w:rFonts w:ascii="Calibri" w:hAnsi="Calibri" w:cs="Calibri"/>
          <w:sz w:val="20"/>
          <w:szCs w:val="16"/>
        </w:rPr>
        <w:t xml:space="preserve">in genes with a LOEUF score &lt;0.2 to reflect genes with the greatest </w:t>
      </w:r>
      <w:r>
        <w:rPr>
          <w:rFonts w:ascii="Calibri" w:hAnsi="Calibri" w:cs="Calibri"/>
          <w:sz w:val="20"/>
          <w:szCs w:val="16"/>
        </w:rPr>
        <w:t xml:space="preserve">LoF </w:t>
      </w:r>
      <w:r w:rsidRPr="007B15C5">
        <w:rPr>
          <w:rFonts w:ascii="Calibri" w:hAnsi="Calibri" w:cs="Calibri"/>
          <w:sz w:val="20"/>
          <w:szCs w:val="16"/>
        </w:rPr>
        <w:t xml:space="preserve">constraint. </w:t>
      </w:r>
      <w:r>
        <w:rPr>
          <w:rFonts w:ascii="Calibri" w:hAnsi="Calibri" w:cs="Calibri"/>
          <w:sz w:val="20"/>
          <w:szCs w:val="16"/>
        </w:rPr>
        <w:t>To account for potential false positive pLoF calls, we applied LOFTEE v1.0 (</w:t>
      </w:r>
      <w:hyperlink r:id="rId12" w:history="1">
        <w:r w:rsidRPr="00226E3D">
          <w:rPr>
            <w:rStyle w:val="Hyperlink"/>
            <w:rFonts w:ascii="Calibri" w:hAnsi="Calibri" w:cs="Calibri"/>
            <w:sz w:val="20"/>
            <w:szCs w:val="16"/>
          </w:rPr>
          <w:t>https://github.com/konradjk/loftee</w:t>
        </w:r>
      </w:hyperlink>
      <w:r>
        <w:rPr>
          <w:rFonts w:ascii="Calibri" w:hAnsi="Calibri" w:cs="Calibri"/>
          <w:sz w:val="20"/>
          <w:szCs w:val="16"/>
        </w:rPr>
        <w:t>), which removed low confidence variants such as those in the last exon. Variants remaining after LOFTEE filtering were deemed high confidence variants.</w:t>
      </w:r>
      <w:r>
        <w:rPr>
          <w:rFonts w:ascii="Calibri" w:hAnsi="Calibri" w:cs="Calibri"/>
          <w:sz w:val="20"/>
          <w:szCs w:val="16"/>
        </w:rPr>
        <w:br/>
      </w:r>
    </w:p>
    <w:p w14:paraId="3AC9A8B4" w14:textId="77777777" w:rsidR="00F52E06" w:rsidRPr="007B15C5" w:rsidRDefault="00F52E06" w:rsidP="001454E9">
      <w:pPr>
        <w:spacing w:line="480" w:lineRule="auto"/>
        <w:rPr>
          <w:rFonts w:ascii="Calibri" w:hAnsi="Calibri" w:cs="Calibri"/>
          <w:sz w:val="20"/>
          <w:szCs w:val="16"/>
          <w:u w:val="single"/>
        </w:rPr>
      </w:pPr>
      <w:r w:rsidRPr="007B15C5">
        <w:rPr>
          <w:rFonts w:ascii="Calibri" w:hAnsi="Calibri" w:cs="Calibri"/>
          <w:sz w:val="20"/>
          <w:szCs w:val="16"/>
          <w:u w:val="single"/>
        </w:rPr>
        <w:t>Merging genotype data with additional datasets</w:t>
      </w:r>
    </w:p>
    <w:p w14:paraId="234A05E9" w14:textId="29E2C283" w:rsidR="00F52E06" w:rsidRDefault="00F52E06" w:rsidP="001454E9">
      <w:pPr>
        <w:spacing w:line="480" w:lineRule="auto"/>
        <w:rPr>
          <w:rFonts w:ascii="Calibri" w:hAnsi="Calibri" w:cs="Calibri"/>
          <w:sz w:val="20"/>
          <w:szCs w:val="16"/>
        </w:rPr>
      </w:pPr>
      <w:r w:rsidRPr="007B15C5">
        <w:rPr>
          <w:rFonts w:ascii="Calibri" w:hAnsi="Calibri" w:cs="Calibri"/>
          <w:sz w:val="20"/>
          <w:szCs w:val="16"/>
        </w:rPr>
        <w:t xml:space="preserve">High confidence variants in putative disease genes that remained following the filtering approach in 2019 (AF &lt; 0.001, </w:t>
      </w:r>
      <w:r w:rsidRPr="007B15C5">
        <w:rPr>
          <w:rFonts w:ascii="Calibri" w:hAnsi="Calibri" w:cs="Calibri"/>
          <w:i/>
          <w:iCs/>
          <w:sz w:val="20"/>
          <w:szCs w:val="16"/>
        </w:rPr>
        <w:t>de novo</w:t>
      </w:r>
      <w:r w:rsidRPr="007B15C5">
        <w:rPr>
          <w:rFonts w:ascii="Calibri" w:hAnsi="Calibri" w:cs="Calibri"/>
          <w:sz w:val="20"/>
          <w:szCs w:val="16"/>
        </w:rPr>
        <w:t xml:space="preserve">, pLoF, LOEUF &lt;0.2) were classified as either found in a </w:t>
      </w:r>
      <w:r w:rsidRPr="007B15C5">
        <w:rPr>
          <w:rFonts w:ascii="Calibri" w:hAnsi="Calibri" w:cs="Calibri"/>
          <w:i/>
          <w:iCs/>
          <w:sz w:val="20"/>
          <w:szCs w:val="16"/>
        </w:rPr>
        <w:t>known OMIM disease gene</w:t>
      </w:r>
      <w:r w:rsidRPr="007B15C5">
        <w:rPr>
          <w:rFonts w:ascii="Calibri" w:hAnsi="Calibri" w:cs="Calibri"/>
          <w:sz w:val="20"/>
          <w:szCs w:val="16"/>
        </w:rPr>
        <w:t xml:space="preserve"> (already associated with disease), or in a </w:t>
      </w:r>
      <w:r w:rsidRPr="007B15C5">
        <w:rPr>
          <w:rFonts w:ascii="Calibri" w:hAnsi="Calibri" w:cs="Calibri"/>
          <w:i/>
          <w:iCs/>
          <w:sz w:val="20"/>
          <w:szCs w:val="16"/>
        </w:rPr>
        <w:t>non-OMIM disease gene</w:t>
      </w:r>
      <w:r w:rsidRPr="007B15C5">
        <w:rPr>
          <w:rFonts w:ascii="Calibri" w:hAnsi="Calibri" w:cs="Calibri"/>
          <w:sz w:val="20"/>
          <w:szCs w:val="16"/>
        </w:rPr>
        <w:t xml:space="preserve"> (not yet associated with disease); achieved by querying the OMIM application programme interface in October 2019. All novel disease gene contenders were compared with two mouse databases, the International Mouse Phenotyping Consortium (IMPC) database and Mouse Genome Informatics (MGI) database.</w:t>
      </w:r>
      <w:r w:rsidRPr="00E53878">
        <w:rPr>
          <w:rFonts w:ascii="Calibri" w:hAnsi="Calibri" w:cs="Calibri"/>
          <w:noProof/>
          <w:sz w:val="20"/>
          <w:szCs w:val="16"/>
          <w:vertAlign w:val="superscript"/>
        </w:rPr>
        <w:t>20,21</w:t>
      </w:r>
    </w:p>
    <w:p w14:paraId="7B4CDF06" w14:textId="77777777" w:rsidR="004343B7" w:rsidRPr="00366A0F" w:rsidRDefault="004343B7" w:rsidP="001454E9">
      <w:pPr>
        <w:spacing w:line="480" w:lineRule="auto"/>
        <w:rPr>
          <w:rFonts w:ascii="Calibri" w:hAnsi="Calibri" w:cs="Calibri"/>
          <w:sz w:val="20"/>
          <w:szCs w:val="16"/>
        </w:rPr>
      </w:pPr>
    </w:p>
    <w:p w14:paraId="69D18D77" w14:textId="77777777" w:rsidR="00F52E06" w:rsidRPr="007B15C5" w:rsidRDefault="00F52E06" w:rsidP="001454E9">
      <w:pPr>
        <w:spacing w:line="480" w:lineRule="auto"/>
        <w:rPr>
          <w:rFonts w:ascii="Calibri" w:hAnsi="Calibri" w:cs="Calibri"/>
          <w:sz w:val="20"/>
          <w:szCs w:val="16"/>
          <w:u w:val="single"/>
        </w:rPr>
      </w:pPr>
      <w:r w:rsidRPr="007B15C5">
        <w:rPr>
          <w:rFonts w:ascii="Calibri" w:hAnsi="Calibri" w:cs="Calibri"/>
          <w:sz w:val="20"/>
          <w:szCs w:val="16"/>
          <w:u w:val="single"/>
        </w:rPr>
        <w:t>Selecting high priority novel disease gene candidates</w:t>
      </w:r>
    </w:p>
    <w:p w14:paraId="272CF58F" w14:textId="12CB75D4" w:rsidR="00F52E06" w:rsidRDefault="00F52E06" w:rsidP="001454E9">
      <w:pPr>
        <w:spacing w:line="480" w:lineRule="auto"/>
        <w:rPr>
          <w:rFonts w:ascii="Calibri" w:hAnsi="Calibri" w:cs="Calibri"/>
          <w:sz w:val="20"/>
          <w:szCs w:val="16"/>
        </w:rPr>
      </w:pPr>
      <w:r w:rsidRPr="007B15C5">
        <w:rPr>
          <w:rFonts w:ascii="Calibri" w:hAnsi="Calibri" w:cs="Calibri"/>
          <w:sz w:val="20"/>
          <w:szCs w:val="16"/>
        </w:rPr>
        <w:t xml:space="preserve">High confidence pLoF variants in novel disease gene contenders were selected as </w:t>
      </w:r>
      <w:r w:rsidRPr="007B15C5">
        <w:rPr>
          <w:rFonts w:ascii="Calibri" w:hAnsi="Calibri" w:cs="Calibri"/>
          <w:i/>
          <w:iCs/>
          <w:sz w:val="20"/>
          <w:szCs w:val="16"/>
        </w:rPr>
        <w:t xml:space="preserve">candidate </w:t>
      </w:r>
      <w:r w:rsidR="00DE5D87">
        <w:rPr>
          <w:rFonts w:ascii="Calibri" w:hAnsi="Calibri" w:cs="Calibri"/>
          <w:i/>
          <w:iCs/>
          <w:sz w:val="20"/>
          <w:szCs w:val="16"/>
        </w:rPr>
        <w:t>pathogenic</w:t>
      </w:r>
      <w:r w:rsidRPr="007B15C5">
        <w:rPr>
          <w:rFonts w:ascii="Calibri" w:hAnsi="Calibri" w:cs="Calibri"/>
          <w:i/>
          <w:iCs/>
          <w:sz w:val="20"/>
          <w:szCs w:val="16"/>
        </w:rPr>
        <w:t xml:space="preserve"> variants</w:t>
      </w:r>
      <w:r w:rsidRPr="007B15C5">
        <w:rPr>
          <w:rFonts w:ascii="Calibri" w:hAnsi="Calibri" w:cs="Calibri"/>
          <w:sz w:val="20"/>
          <w:szCs w:val="16"/>
        </w:rPr>
        <w:t>.</w:t>
      </w:r>
      <w:r>
        <w:rPr>
          <w:rFonts w:ascii="Calibri" w:hAnsi="Calibri" w:cs="Calibri"/>
          <w:sz w:val="20"/>
          <w:szCs w:val="16"/>
        </w:rPr>
        <w:br/>
      </w:r>
    </w:p>
    <w:p w14:paraId="02D534F0" w14:textId="77777777" w:rsidR="00F52E06" w:rsidRPr="009044B5" w:rsidRDefault="00F52E06" w:rsidP="001454E9">
      <w:pPr>
        <w:spacing w:line="480" w:lineRule="auto"/>
        <w:rPr>
          <w:rFonts w:ascii="Calibri" w:hAnsi="Calibri" w:cs="Calibri"/>
          <w:i/>
          <w:iCs/>
          <w:sz w:val="20"/>
          <w:szCs w:val="16"/>
        </w:rPr>
      </w:pPr>
      <w:r w:rsidRPr="009044B5">
        <w:rPr>
          <w:rFonts w:ascii="Calibri" w:hAnsi="Calibri" w:cs="Calibri"/>
          <w:i/>
          <w:iCs/>
          <w:sz w:val="20"/>
          <w:szCs w:val="16"/>
        </w:rPr>
        <w:t>Phenotype overlap</w:t>
      </w:r>
    </w:p>
    <w:p w14:paraId="485C8153" w14:textId="227400FC" w:rsidR="00F52E06" w:rsidRPr="007B15C5" w:rsidRDefault="00F52E06" w:rsidP="001454E9">
      <w:pPr>
        <w:spacing w:line="480" w:lineRule="auto"/>
        <w:rPr>
          <w:rFonts w:ascii="Calibri" w:hAnsi="Calibri" w:cs="Calibri"/>
          <w:sz w:val="20"/>
          <w:szCs w:val="16"/>
        </w:rPr>
      </w:pPr>
      <w:r>
        <w:rPr>
          <w:rFonts w:ascii="Calibri" w:hAnsi="Calibri" w:cs="Calibri"/>
          <w:sz w:val="20"/>
          <w:szCs w:val="16"/>
        </w:rPr>
        <w:t>We assessed for phenotype overlap between</w:t>
      </w:r>
      <w:r w:rsidRPr="007B15C5">
        <w:rPr>
          <w:rFonts w:ascii="Calibri" w:hAnsi="Calibri" w:cs="Calibri"/>
          <w:sz w:val="20"/>
          <w:szCs w:val="16"/>
        </w:rPr>
        <w:t xml:space="preserve"> unrelated </w:t>
      </w:r>
      <w:r>
        <w:rPr>
          <w:rFonts w:ascii="Calibri" w:hAnsi="Calibri" w:cs="Calibri"/>
          <w:sz w:val="20"/>
          <w:szCs w:val="16"/>
        </w:rPr>
        <w:t>patients who</w:t>
      </w:r>
      <w:r w:rsidRPr="007B15C5">
        <w:rPr>
          <w:rFonts w:ascii="Calibri" w:hAnsi="Calibri" w:cs="Calibri"/>
          <w:sz w:val="20"/>
          <w:szCs w:val="16"/>
        </w:rPr>
        <w:t xml:space="preserve"> shared a candidate </w:t>
      </w:r>
      <w:r>
        <w:rPr>
          <w:rFonts w:ascii="Calibri" w:hAnsi="Calibri" w:cs="Calibri"/>
          <w:sz w:val="20"/>
          <w:szCs w:val="16"/>
        </w:rPr>
        <w:t xml:space="preserve">pLoF </w:t>
      </w:r>
      <w:r w:rsidRPr="007B15C5">
        <w:rPr>
          <w:rFonts w:ascii="Calibri" w:hAnsi="Calibri" w:cs="Calibri"/>
          <w:sz w:val="20"/>
          <w:szCs w:val="16"/>
        </w:rPr>
        <w:t xml:space="preserve">variant in the same </w:t>
      </w:r>
      <w:r>
        <w:rPr>
          <w:rFonts w:ascii="Calibri" w:hAnsi="Calibri" w:cs="Calibri"/>
          <w:sz w:val="20"/>
          <w:szCs w:val="16"/>
        </w:rPr>
        <w:t>gene</w:t>
      </w:r>
      <w:r w:rsidRPr="007B15C5">
        <w:rPr>
          <w:rFonts w:ascii="Calibri" w:hAnsi="Calibri" w:cs="Calibri"/>
          <w:sz w:val="20"/>
          <w:szCs w:val="16"/>
        </w:rPr>
        <w:t xml:space="preserve">. </w:t>
      </w:r>
      <w:r>
        <w:rPr>
          <w:rFonts w:ascii="Calibri" w:hAnsi="Calibri" w:cs="Calibri"/>
          <w:sz w:val="20"/>
          <w:szCs w:val="16"/>
        </w:rPr>
        <w:t>To do this, we</w:t>
      </w:r>
      <w:r w:rsidRPr="007B15C5">
        <w:rPr>
          <w:rFonts w:ascii="Calibri" w:hAnsi="Calibri" w:cs="Calibri"/>
          <w:sz w:val="20"/>
          <w:szCs w:val="16"/>
        </w:rPr>
        <w:t xml:space="preserve"> computationally </w:t>
      </w:r>
      <w:r>
        <w:rPr>
          <w:rFonts w:ascii="Calibri" w:hAnsi="Calibri" w:cs="Calibri"/>
          <w:sz w:val="20"/>
          <w:szCs w:val="16"/>
        </w:rPr>
        <w:t>compared</w:t>
      </w:r>
      <w:r w:rsidRPr="007B15C5">
        <w:rPr>
          <w:rFonts w:ascii="Calibri" w:hAnsi="Calibri" w:cs="Calibri"/>
          <w:sz w:val="20"/>
          <w:szCs w:val="16"/>
        </w:rPr>
        <w:t xml:space="preserve"> HPO terms</w:t>
      </w:r>
      <w:r>
        <w:rPr>
          <w:rFonts w:ascii="Calibri" w:hAnsi="Calibri" w:cs="Calibri"/>
          <w:sz w:val="20"/>
          <w:szCs w:val="16"/>
        </w:rPr>
        <w:t xml:space="preserve"> (using their coded identification number)</w:t>
      </w:r>
      <w:r w:rsidRPr="007B15C5">
        <w:rPr>
          <w:rFonts w:ascii="Calibri" w:hAnsi="Calibri" w:cs="Calibri"/>
          <w:sz w:val="20"/>
          <w:szCs w:val="16"/>
        </w:rPr>
        <w:t xml:space="preserve"> between individuals</w:t>
      </w:r>
      <w:r>
        <w:rPr>
          <w:rFonts w:ascii="Calibri" w:hAnsi="Calibri" w:cs="Calibri"/>
          <w:sz w:val="20"/>
          <w:szCs w:val="16"/>
        </w:rPr>
        <w:t xml:space="preserve"> and considered a phenotype overlap to be when any single HPO matched exactly.</w:t>
      </w:r>
      <w:r w:rsidRPr="007B15C5">
        <w:rPr>
          <w:rFonts w:ascii="Calibri" w:hAnsi="Calibri" w:cs="Calibri"/>
          <w:sz w:val="20"/>
          <w:szCs w:val="16"/>
        </w:rPr>
        <w:t xml:space="preserve"> </w:t>
      </w:r>
      <w:r>
        <w:rPr>
          <w:rFonts w:ascii="Calibri" w:hAnsi="Calibri" w:cs="Calibri"/>
          <w:sz w:val="20"/>
          <w:szCs w:val="16"/>
        </w:rPr>
        <w:t>G</w:t>
      </w:r>
      <w:r w:rsidRPr="007B15C5">
        <w:rPr>
          <w:rFonts w:ascii="Calibri" w:hAnsi="Calibri" w:cs="Calibri"/>
          <w:sz w:val="20"/>
          <w:szCs w:val="16"/>
        </w:rPr>
        <w:t xml:space="preserve">enes were prioritized as Class 1 candidates if more than one unrelated patient harboured a candidate </w:t>
      </w:r>
      <w:r w:rsidR="00DE5D87">
        <w:rPr>
          <w:rFonts w:ascii="Calibri" w:hAnsi="Calibri" w:cs="Calibri"/>
          <w:sz w:val="20"/>
          <w:szCs w:val="16"/>
        </w:rPr>
        <w:t>pathogenic</w:t>
      </w:r>
      <w:r w:rsidRPr="007B15C5">
        <w:rPr>
          <w:rFonts w:ascii="Calibri" w:hAnsi="Calibri" w:cs="Calibri"/>
          <w:sz w:val="20"/>
          <w:szCs w:val="16"/>
        </w:rPr>
        <w:t xml:space="preserve"> variant in the same gene and </w:t>
      </w:r>
      <w:r>
        <w:rPr>
          <w:rFonts w:ascii="Calibri" w:hAnsi="Calibri" w:cs="Calibri"/>
          <w:sz w:val="20"/>
          <w:szCs w:val="16"/>
        </w:rPr>
        <w:t>there was a phenotype overlap</w:t>
      </w:r>
      <w:r w:rsidRPr="007B15C5">
        <w:rPr>
          <w:rFonts w:ascii="Calibri" w:hAnsi="Calibri" w:cs="Calibri"/>
          <w:sz w:val="20"/>
          <w:szCs w:val="16"/>
        </w:rPr>
        <w:t xml:space="preserve"> (</w:t>
      </w:r>
      <w:r w:rsidRPr="007B15C5">
        <w:rPr>
          <w:rFonts w:ascii="Calibri" w:hAnsi="Calibri" w:cs="Calibri"/>
          <w:b/>
          <w:bCs/>
          <w:sz w:val="20"/>
          <w:szCs w:val="16"/>
        </w:rPr>
        <w:t>Table 1</w:t>
      </w:r>
      <w:r w:rsidRPr="007B15C5">
        <w:rPr>
          <w:rFonts w:ascii="Calibri" w:hAnsi="Calibri" w:cs="Calibri"/>
          <w:sz w:val="20"/>
          <w:szCs w:val="16"/>
        </w:rPr>
        <w:t>). These novel disease gene contenders were further curated against the literature to ascertain if there were existing publications implicating any of the genes as disease-causing, prior to being indexed in OMIM.</w:t>
      </w:r>
    </w:p>
    <w:p w14:paraId="1FDA3874" w14:textId="77777777" w:rsidR="00F52E06" w:rsidRDefault="00F52E06" w:rsidP="001454E9">
      <w:pPr>
        <w:spacing w:line="480" w:lineRule="auto"/>
        <w:rPr>
          <w:rFonts w:cstheme="minorHAnsi"/>
          <w:sz w:val="20"/>
          <w:szCs w:val="16"/>
        </w:rPr>
      </w:pPr>
    </w:p>
    <w:p w14:paraId="2E266A3E" w14:textId="1E78E386" w:rsidR="00F52E06" w:rsidRDefault="00F52E06" w:rsidP="001454E9">
      <w:pPr>
        <w:spacing w:line="480" w:lineRule="auto"/>
        <w:rPr>
          <w:rFonts w:ascii="Calibri" w:hAnsi="Calibri" w:cs="Calibri"/>
          <w:sz w:val="20"/>
          <w:szCs w:val="16"/>
        </w:rPr>
      </w:pPr>
      <w:r>
        <w:rPr>
          <w:rFonts w:ascii="Calibri" w:hAnsi="Calibri" w:cs="Calibri"/>
          <w:sz w:val="20"/>
          <w:szCs w:val="16"/>
        </w:rPr>
        <w:t>For novel disease gene contenders</w:t>
      </w:r>
      <w:r w:rsidRPr="007B15C5">
        <w:rPr>
          <w:rFonts w:ascii="Calibri" w:hAnsi="Calibri" w:cs="Calibri"/>
          <w:sz w:val="20"/>
          <w:szCs w:val="16"/>
        </w:rPr>
        <w:t xml:space="preserve"> with only one pLoF variant in the cohort (i.e., unique to one individual)</w:t>
      </w:r>
      <w:r>
        <w:rPr>
          <w:rFonts w:ascii="Calibri" w:hAnsi="Calibri" w:cs="Calibri"/>
          <w:sz w:val="20"/>
          <w:szCs w:val="16"/>
        </w:rPr>
        <w:t>, w</w:t>
      </w:r>
      <w:r w:rsidRPr="007B15C5">
        <w:rPr>
          <w:rFonts w:ascii="Calibri" w:hAnsi="Calibri" w:cs="Calibri"/>
          <w:sz w:val="20"/>
          <w:szCs w:val="16"/>
        </w:rPr>
        <w:t xml:space="preserve">e curated high-level phenotypes for each patient by </w:t>
      </w:r>
      <w:r>
        <w:rPr>
          <w:rFonts w:ascii="Calibri" w:hAnsi="Calibri" w:cs="Calibri"/>
          <w:sz w:val="20"/>
          <w:szCs w:val="16"/>
        </w:rPr>
        <w:t xml:space="preserve">manually </w:t>
      </w:r>
      <w:r w:rsidRPr="007B15C5">
        <w:rPr>
          <w:rFonts w:ascii="Calibri" w:hAnsi="Calibri" w:cs="Calibri"/>
          <w:sz w:val="20"/>
          <w:szCs w:val="16"/>
        </w:rPr>
        <w:t xml:space="preserve">upscaling their HPO terms to </w:t>
      </w:r>
      <w:r>
        <w:rPr>
          <w:rFonts w:ascii="Calibri" w:hAnsi="Calibri" w:cs="Calibri"/>
          <w:sz w:val="20"/>
          <w:szCs w:val="16"/>
        </w:rPr>
        <w:t xml:space="preserve">align with </w:t>
      </w:r>
      <w:r w:rsidRPr="007B15C5">
        <w:rPr>
          <w:rFonts w:ascii="Calibri" w:hAnsi="Calibri" w:cs="Calibri"/>
          <w:sz w:val="20"/>
          <w:szCs w:val="16"/>
        </w:rPr>
        <w:t xml:space="preserve">the </w:t>
      </w:r>
      <w:r w:rsidRPr="007B15C5">
        <w:rPr>
          <w:rFonts w:ascii="Calibri" w:hAnsi="Calibri" w:cs="Calibri"/>
          <w:sz w:val="20"/>
          <w:szCs w:val="16"/>
        </w:rPr>
        <w:lastRenderedPageBreak/>
        <w:t xml:space="preserve">terminology used </w:t>
      </w:r>
      <w:r>
        <w:rPr>
          <w:rFonts w:ascii="Calibri" w:hAnsi="Calibri" w:cs="Calibri"/>
          <w:sz w:val="20"/>
          <w:szCs w:val="16"/>
        </w:rPr>
        <w:t>in</w:t>
      </w:r>
      <w:r w:rsidRPr="007B15C5">
        <w:rPr>
          <w:rFonts w:ascii="Calibri" w:hAnsi="Calibri" w:cs="Calibri"/>
          <w:sz w:val="20"/>
          <w:szCs w:val="16"/>
        </w:rPr>
        <w:t xml:space="preserve"> the publicly accessible DECIPHER (</w:t>
      </w:r>
      <w:proofErr w:type="spellStart"/>
      <w:r w:rsidRPr="007B15C5">
        <w:rPr>
          <w:rFonts w:ascii="Calibri" w:hAnsi="Calibri" w:cs="Calibri"/>
          <w:sz w:val="20"/>
          <w:szCs w:val="16"/>
        </w:rPr>
        <w:t>DatabasE</w:t>
      </w:r>
      <w:proofErr w:type="spellEnd"/>
      <w:r w:rsidRPr="007B15C5">
        <w:rPr>
          <w:rFonts w:ascii="Calibri" w:hAnsi="Calibri" w:cs="Calibri"/>
          <w:sz w:val="20"/>
          <w:szCs w:val="16"/>
        </w:rPr>
        <w:t xml:space="preserve"> of </w:t>
      </w:r>
      <w:proofErr w:type="spellStart"/>
      <w:r w:rsidRPr="007B15C5">
        <w:rPr>
          <w:rFonts w:ascii="Calibri" w:hAnsi="Calibri" w:cs="Calibri"/>
          <w:sz w:val="20"/>
          <w:szCs w:val="16"/>
        </w:rPr>
        <w:t>genomiC</w:t>
      </w:r>
      <w:proofErr w:type="spellEnd"/>
      <w:r w:rsidRPr="007B15C5">
        <w:rPr>
          <w:rFonts w:ascii="Calibri" w:hAnsi="Calibri" w:cs="Calibri"/>
          <w:sz w:val="20"/>
          <w:szCs w:val="16"/>
        </w:rPr>
        <w:t xml:space="preserve"> variation and Phenotype in Humans using Ensembl Resources) database (</w:t>
      </w:r>
      <w:hyperlink r:id="rId13" w:history="1">
        <w:r w:rsidRPr="004351A1">
          <w:rPr>
            <w:rStyle w:val="Hyperlink"/>
            <w:rFonts w:ascii="Calibri" w:hAnsi="Calibri" w:cs="Calibri"/>
            <w:sz w:val="20"/>
            <w:szCs w:val="16"/>
          </w:rPr>
          <w:t>http://deciphergenomics.org</w:t>
        </w:r>
      </w:hyperlink>
      <w:r w:rsidRPr="007B15C5">
        <w:rPr>
          <w:rFonts w:ascii="Calibri" w:hAnsi="Calibri" w:cs="Calibri"/>
          <w:sz w:val="20"/>
          <w:szCs w:val="16"/>
        </w:rPr>
        <w:t>)</w:t>
      </w:r>
      <w:r>
        <w:rPr>
          <w:rFonts w:ascii="Calibri" w:hAnsi="Calibri" w:cs="Calibri"/>
          <w:sz w:val="20"/>
          <w:szCs w:val="16"/>
        </w:rPr>
        <w:t>. For example, hydrocephalus was upscaled to ‘disorder of the nervous system’ and atrial septal defect was coded as ‘disorder of the cardiovascular system’</w:t>
      </w:r>
      <w:r w:rsidRPr="007B15C5">
        <w:rPr>
          <w:rFonts w:ascii="Calibri" w:hAnsi="Calibri" w:cs="Calibri"/>
          <w:sz w:val="20"/>
          <w:szCs w:val="16"/>
        </w:rPr>
        <w:t>.</w:t>
      </w:r>
      <w:r w:rsidRPr="00E53878">
        <w:rPr>
          <w:rFonts w:ascii="Calibri" w:hAnsi="Calibri" w:cs="Calibri"/>
          <w:noProof/>
          <w:sz w:val="20"/>
          <w:szCs w:val="16"/>
          <w:vertAlign w:val="superscript"/>
        </w:rPr>
        <w:t>22</w:t>
      </w:r>
      <w:r w:rsidRPr="007B15C5">
        <w:rPr>
          <w:rFonts w:ascii="Calibri" w:hAnsi="Calibri" w:cs="Calibri"/>
          <w:sz w:val="20"/>
          <w:szCs w:val="16"/>
        </w:rPr>
        <w:t xml:space="preserve"> We then compared high-level phenotypes of GEL patients with DECIPHER patients harbouring </w:t>
      </w:r>
      <w:r w:rsidRPr="007B15C5">
        <w:rPr>
          <w:rFonts w:ascii="Calibri" w:hAnsi="Calibri" w:cs="Calibri"/>
          <w:i/>
          <w:iCs/>
          <w:sz w:val="20"/>
          <w:szCs w:val="16"/>
        </w:rPr>
        <w:t>de novo</w:t>
      </w:r>
      <w:r w:rsidRPr="007B15C5">
        <w:rPr>
          <w:rFonts w:ascii="Calibri" w:hAnsi="Calibri" w:cs="Calibri"/>
          <w:sz w:val="20"/>
          <w:szCs w:val="16"/>
        </w:rPr>
        <w:t xml:space="preserve"> variants (pLoF or missense) in the same gene. </w:t>
      </w:r>
      <w:r>
        <w:rPr>
          <w:rFonts w:ascii="Calibri" w:hAnsi="Calibri" w:cs="Calibri"/>
          <w:sz w:val="20"/>
          <w:szCs w:val="16"/>
        </w:rPr>
        <w:t xml:space="preserve">We included </w:t>
      </w:r>
      <w:r w:rsidRPr="00AB5998">
        <w:rPr>
          <w:rFonts w:ascii="Calibri" w:hAnsi="Calibri" w:cs="Calibri"/>
          <w:i/>
          <w:iCs/>
          <w:sz w:val="20"/>
          <w:szCs w:val="16"/>
        </w:rPr>
        <w:t>do novo</w:t>
      </w:r>
      <w:r>
        <w:rPr>
          <w:rFonts w:ascii="Calibri" w:hAnsi="Calibri" w:cs="Calibri"/>
          <w:sz w:val="20"/>
          <w:szCs w:val="16"/>
        </w:rPr>
        <w:t xml:space="preserve"> missense variants in DECIPHER to increase the number of genes with an associated phenotype for comparison. </w:t>
      </w:r>
      <w:r w:rsidRPr="007B15C5">
        <w:rPr>
          <w:rFonts w:ascii="Calibri" w:hAnsi="Calibri" w:cs="Calibri"/>
          <w:sz w:val="20"/>
          <w:szCs w:val="16"/>
        </w:rPr>
        <w:t xml:space="preserve">When high-level phenotypes matched, we classified these genes as Class 2 candidates. </w:t>
      </w:r>
      <w:r>
        <w:rPr>
          <w:rFonts w:ascii="Calibri" w:hAnsi="Calibri" w:cs="Calibri"/>
          <w:sz w:val="20"/>
          <w:szCs w:val="16"/>
        </w:rPr>
        <w:t xml:space="preserve">In </w:t>
      </w:r>
      <w:r w:rsidRPr="007B15C5">
        <w:rPr>
          <w:rFonts w:ascii="Calibri" w:hAnsi="Calibri" w:cs="Calibri"/>
          <w:sz w:val="20"/>
          <w:szCs w:val="16"/>
        </w:rPr>
        <w:t>Class 3 candidate</w:t>
      </w:r>
      <w:r>
        <w:rPr>
          <w:rFonts w:ascii="Calibri" w:hAnsi="Calibri" w:cs="Calibri"/>
          <w:sz w:val="20"/>
          <w:szCs w:val="16"/>
        </w:rPr>
        <w:t xml:space="preserve"> genes, </w:t>
      </w:r>
      <w:r w:rsidRPr="007B15C5">
        <w:rPr>
          <w:rFonts w:ascii="Calibri" w:hAnsi="Calibri" w:cs="Calibri"/>
          <w:sz w:val="20"/>
          <w:szCs w:val="16"/>
        </w:rPr>
        <w:t>phenotypes did not match,</w:t>
      </w:r>
      <w:r>
        <w:rPr>
          <w:rFonts w:ascii="Calibri" w:hAnsi="Calibri" w:cs="Calibri"/>
          <w:sz w:val="20"/>
          <w:szCs w:val="16"/>
        </w:rPr>
        <w:t xml:space="preserve"> or no comparison was available</w:t>
      </w:r>
      <w:r w:rsidRPr="007B15C5">
        <w:rPr>
          <w:rFonts w:ascii="Calibri" w:hAnsi="Calibri" w:cs="Calibri"/>
          <w:sz w:val="20"/>
          <w:szCs w:val="16"/>
        </w:rPr>
        <w:t xml:space="preserve"> (</w:t>
      </w:r>
      <w:r w:rsidRPr="007B15C5">
        <w:rPr>
          <w:rFonts w:ascii="Calibri" w:hAnsi="Calibri" w:cs="Calibri"/>
          <w:b/>
          <w:bCs/>
          <w:sz w:val="20"/>
          <w:szCs w:val="16"/>
        </w:rPr>
        <w:t>Table 1</w:t>
      </w:r>
      <w:r w:rsidRPr="007B15C5">
        <w:rPr>
          <w:rFonts w:ascii="Calibri" w:hAnsi="Calibri" w:cs="Calibri"/>
          <w:sz w:val="20"/>
          <w:szCs w:val="16"/>
        </w:rPr>
        <w:t>).</w:t>
      </w:r>
    </w:p>
    <w:p w14:paraId="12C6894B" w14:textId="77777777" w:rsidR="00F52E06" w:rsidRDefault="00F52E06" w:rsidP="001454E9">
      <w:pPr>
        <w:spacing w:line="480" w:lineRule="auto"/>
        <w:rPr>
          <w:rFonts w:ascii="Calibri" w:hAnsi="Calibri" w:cs="Calibri"/>
          <w:sz w:val="20"/>
          <w:szCs w:val="16"/>
        </w:rPr>
      </w:pPr>
    </w:p>
    <w:p w14:paraId="5D7DB5BF" w14:textId="77777777" w:rsidR="00F52E06" w:rsidRPr="00DC11BF" w:rsidRDefault="00F52E06" w:rsidP="001454E9">
      <w:pPr>
        <w:spacing w:line="480" w:lineRule="auto"/>
        <w:rPr>
          <w:rFonts w:ascii="Calibri" w:hAnsi="Calibri" w:cs="Calibri"/>
          <w:sz w:val="20"/>
          <w:szCs w:val="16"/>
          <w:u w:val="single"/>
        </w:rPr>
      </w:pPr>
      <w:r w:rsidRPr="00DC11BF">
        <w:rPr>
          <w:rFonts w:ascii="Calibri" w:hAnsi="Calibri" w:cs="Calibri"/>
          <w:sz w:val="20"/>
          <w:szCs w:val="16"/>
          <w:u w:val="single"/>
        </w:rPr>
        <w:t>Taking candidates forward</w:t>
      </w:r>
    </w:p>
    <w:p w14:paraId="3AB25221" w14:textId="4989CE78" w:rsidR="00F52E06" w:rsidRPr="00DC11BF" w:rsidRDefault="00F52E06" w:rsidP="001454E9">
      <w:pPr>
        <w:spacing w:line="480" w:lineRule="auto"/>
        <w:rPr>
          <w:rFonts w:ascii="Calibri" w:hAnsi="Calibri" w:cs="Calibri"/>
          <w:sz w:val="20"/>
          <w:szCs w:val="16"/>
        </w:rPr>
      </w:pPr>
      <w:r>
        <w:rPr>
          <w:rFonts w:ascii="Calibri" w:hAnsi="Calibri" w:cs="Calibri"/>
          <w:sz w:val="20"/>
          <w:szCs w:val="16"/>
        </w:rPr>
        <w:t>W</w:t>
      </w:r>
      <w:r w:rsidRPr="00DC11BF">
        <w:rPr>
          <w:rFonts w:ascii="Calibri" w:hAnsi="Calibri" w:cs="Calibri"/>
          <w:sz w:val="20"/>
          <w:szCs w:val="16"/>
        </w:rPr>
        <w:t>e requested permission to submit genes to GeneMatcher</w:t>
      </w:r>
      <w:r w:rsidRPr="00E53878">
        <w:rPr>
          <w:rFonts w:ascii="Calibri" w:hAnsi="Calibri" w:cs="Calibri"/>
          <w:noProof/>
          <w:sz w:val="20"/>
          <w:szCs w:val="16"/>
          <w:vertAlign w:val="superscript"/>
        </w:rPr>
        <w:t>23</w:t>
      </w:r>
      <w:r w:rsidRPr="00DC11BF">
        <w:rPr>
          <w:rFonts w:ascii="Calibri" w:hAnsi="Calibri" w:cs="Calibri"/>
          <w:sz w:val="20"/>
          <w:szCs w:val="16"/>
        </w:rPr>
        <w:t xml:space="preserve"> </w:t>
      </w:r>
      <w:r>
        <w:rPr>
          <w:rFonts w:ascii="Calibri" w:hAnsi="Calibri" w:cs="Calibri"/>
          <w:sz w:val="20"/>
          <w:szCs w:val="16"/>
        </w:rPr>
        <w:t xml:space="preserve">for Class 1 genes </w:t>
      </w:r>
      <w:r w:rsidRPr="00DC11BF">
        <w:rPr>
          <w:rFonts w:ascii="Calibri" w:hAnsi="Calibri" w:cs="Calibri"/>
          <w:sz w:val="20"/>
          <w:szCs w:val="16"/>
        </w:rPr>
        <w:t xml:space="preserve">by filling in request forms within the </w:t>
      </w:r>
      <w:r>
        <w:rPr>
          <w:rFonts w:ascii="Calibri" w:hAnsi="Calibri" w:cs="Calibri"/>
          <w:sz w:val="20"/>
          <w:szCs w:val="16"/>
        </w:rPr>
        <w:t>RE</w:t>
      </w:r>
      <w:r w:rsidRPr="00DC11BF">
        <w:rPr>
          <w:rFonts w:ascii="Calibri" w:hAnsi="Calibri" w:cs="Calibri"/>
          <w:sz w:val="20"/>
          <w:szCs w:val="16"/>
        </w:rPr>
        <w:t xml:space="preserve">. We completed Clinician Contact Request forms for all Class 1 candidates to obtain more detailed and </w:t>
      </w:r>
      <w:r>
        <w:rPr>
          <w:rFonts w:ascii="Calibri" w:hAnsi="Calibri" w:cs="Calibri"/>
          <w:sz w:val="20"/>
          <w:szCs w:val="16"/>
        </w:rPr>
        <w:t>current</w:t>
      </w:r>
      <w:r w:rsidRPr="00DC11BF">
        <w:rPr>
          <w:rFonts w:ascii="Calibri" w:hAnsi="Calibri" w:cs="Calibri"/>
          <w:sz w:val="20"/>
          <w:szCs w:val="16"/>
        </w:rPr>
        <w:t xml:space="preserve"> phenotype information from the patients’ referring clinician, in addition to obtaining consent to share genotypes, phenotypes, and consent for publication with any matches made using the </w:t>
      </w:r>
      <w:proofErr w:type="spellStart"/>
      <w:r w:rsidRPr="00DC11BF">
        <w:rPr>
          <w:rFonts w:ascii="Calibri" w:hAnsi="Calibri" w:cs="Calibri"/>
          <w:sz w:val="20"/>
          <w:szCs w:val="16"/>
        </w:rPr>
        <w:t>GeneMatcher</w:t>
      </w:r>
      <w:proofErr w:type="spellEnd"/>
      <w:r w:rsidRPr="00DC11BF">
        <w:rPr>
          <w:rFonts w:ascii="Calibri" w:hAnsi="Calibri" w:cs="Calibri"/>
          <w:sz w:val="20"/>
          <w:szCs w:val="16"/>
        </w:rPr>
        <w:t xml:space="preserve"> node of MME. Where we successfully matched with international colleagues through MME and a case series was already underway, we worked with the patients’ clinician to include their patient in the existing case series. Where no case series were established, we initiated a new interest group to lead on collecting phenotype data from collaborators and started functional experiments in </w:t>
      </w:r>
      <w:r w:rsidRPr="00DC11BF">
        <w:rPr>
          <w:rFonts w:ascii="Calibri" w:hAnsi="Calibri" w:cs="Calibri"/>
          <w:i/>
          <w:iCs/>
          <w:sz w:val="20"/>
          <w:szCs w:val="16"/>
        </w:rPr>
        <w:t>Xenopus</w:t>
      </w:r>
      <w:r>
        <w:rPr>
          <w:rFonts w:ascii="Calibri" w:hAnsi="Calibri" w:cs="Calibri"/>
          <w:i/>
          <w:iCs/>
          <w:sz w:val="20"/>
          <w:szCs w:val="16"/>
        </w:rPr>
        <w:t xml:space="preserve"> </w:t>
      </w:r>
      <w:r w:rsidRPr="00D21C41">
        <w:rPr>
          <w:rFonts w:ascii="Calibri" w:hAnsi="Calibri" w:cs="Calibri"/>
          <w:sz w:val="20"/>
          <w:szCs w:val="16"/>
        </w:rPr>
        <w:t>on</w:t>
      </w:r>
      <w:r>
        <w:rPr>
          <w:rFonts w:ascii="Calibri" w:hAnsi="Calibri" w:cs="Calibri"/>
          <w:i/>
          <w:iCs/>
          <w:sz w:val="20"/>
          <w:szCs w:val="16"/>
        </w:rPr>
        <w:t xml:space="preserve"> </w:t>
      </w:r>
      <w:r w:rsidRPr="00B44959">
        <w:rPr>
          <w:rFonts w:ascii="Calibri" w:hAnsi="Calibri" w:cs="Calibri"/>
          <w:sz w:val="20"/>
          <w:szCs w:val="16"/>
        </w:rPr>
        <w:t>novel disease gene contenders.</w:t>
      </w:r>
    </w:p>
    <w:p w14:paraId="66058B7C" w14:textId="77777777" w:rsidR="00F52E06" w:rsidRDefault="00F52E06" w:rsidP="001454E9">
      <w:pPr>
        <w:spacing w:line="480" w:lineRule="auto"/>
        <w:rPr>
          <w:rFonts w:cstheme="minorHAnsi"/>
          <w:sz w:val="20"/>
          <w:szCs w:val="16"/>
        </w:rPr>
      </w:pPr>
    </w:p>
    <w:p w14:paraId="7DC50988" w14:textId="77777777" w:rsidR="00F52E06" w:rsidRPr="005A278C" w:rsidRDefault="00F52E06" w:rsidP="001454E9">
      <w:pPr>
        <w:spacing w:line="480" w:lineRule="auto"/>
        <w:rPr>
          <w:rFonts w:ascii="Calibri" w:hAnsi="Calibri" w:cs="Calibri"/>
          <w:sz w:val="20"/>
          <w:szCs w:val="20"/>
          <w:u w:val="single"/>
        </w:rPr>
      </w:pPr>
      <w:r w:rsidRPr="00CA7209">
        <w:rPr>
          <w:rFonts w:ascii="Calibri" w:hAnsi="Calibri" w:cs="Calibri"/>
          <w:sz w:val="20"/>
          <w:szCs w:val="20"/>
          <w:u w:val="single"/>
        </w:rPr>
        <w:t>Validation of method</w:t>
      </w:r>
    </w:p>
    <w:p w14:paraId="0B0B9F6B" w14:textId="46C2ADC1" w:rsidR="00F52E06" w:rsidRPr="00CD6BE5" w:rsidRDefault="00F52E06" w:rsidP="001454E9">
      <w:pPr>
        <w:spacing w:line="480" w:lineRule="auto"/>
      </w:pPr>
      <w:r w:rsidRPr="00DC11BF">
        <w:rPr>
          <w:rFonts w:ascii="Calibri" w:hAnsi="Calibri" w:cs="Calibri"/>
          <w:sz w:val="20"/>
          <w:szCs w:val="20"/>
        </w:rPr>
        <w:t xml:space="preserve">To validate </w:t>
      </w:r>
      <w:r>
        <w:rPr>
          <w:rFonts w:ascii="Calibri" w:hAnsi="Calibri" w:cs="Calibri"/>
          <w:sz w:val="20"/>
          <w:szCs w:val="20"/>
        </w:rPr>
        <w:t xml:space="preserve">whether we could </w:t>
      </w:r>
      <w:r w:rsidRPr="00DC11BF">
        <w:rPr>
          <w:rFonts w:ascii="Calibri" w:hAnsi="Calibri" w:cs="Calibri"/>
          <w:sz w:val="20"/>
          <w:szCs w:val="20"/>
        </w:rPr>
        <w:t xml:space="preserve">correctly predict novel disease genes, we compared our </w:t>
      </w:r>
      <w:r w:rsidRPr="00DC11BF">
        <w:rPr>
          <w:rFonts w:ascii="Calibri" w:hAnsi="Calibri" w:cs="Calibri"/>
          <w:sz w:val="20"/>
          <w:szCs w:val="16"/>
        </w:rPr>
        <w:t xml:space="preserve">novel disease gene contenders </w:t>
      </w:r>
      <w:r w:rsidRPr="00DC11BF">
        <w:rPr>
          <w:rFonts w:ascii="Calibri" w:hAnsi="Calibri" w:cs="Calibri"/>
          <w:sz w:val="20"/>
          <w:szCs w:val="20"/>
        </w:rPr>
        <w:t xml:space="preserve">in 2019 against an updated list of </w:t>
      </w:r>
      <w:r>
        <w:rPr>
          <w:rFonts w:ascii="Calibri" w:hAnsi="Calibri" w:cs="Calibri"/>
          <w:sz w:val="20"/>
          <w:szCs w:val="20"/>
        </w:rPr>
        <w:t xml:space="preserve">dominant </w:t>
      </w:r>
      <w:r w:rsidRPr="00DC11BF">
        <w:rPr>
          <w:rFonts w:ascii="Calibri" w:hAnsi="Calibri" w:cs="Calibri"/>
          <w:sz w:val="20"/>
          <w:szCs w:val="20"/>
        </w:rPr>
        <w:t xml:space="preserve">OMIM disease genes from 2021, in addition to literature published between 2019 and 2021. If one of our predicted </w:t>
      </w:r>
      <w:r w:rsidRPr="00DC11BF">
        <w:rPr>
          <w:rFonts w:ascii="Calibri" w:hAnsi="Calibri" w:cs="Calibri"/>
          <w:sz w:val="20"/>
          <w:szCs w:val="16"/>
        </w:rPr>
        <w:t>novel disease gene contenders</w:t>
      </w:r>
      <w:r w:rsidRPr="00DC11BF">
        <w:rPr>
          <w:rFonts w:ascii="Calibri" w:hAnsi="Calibri" w:cs="Calibri"/>
          <w:sz w:val="20"/>
          <w:szCs w:val="20"/>
        </w:rPr>
        <w:t xml:space="preserve"> from 2019 was added to OMIM or was published as a disease gene between 2019 and 2021, we manually compared the HPO terms of GEL patients with the clinical phenotypes reported in the literature and/or OMIM to assess concordance</w:t>
      </w:r>
      <w:r>
        <w:rPr>
          <w:rFonts w:ascii="Calibri" w:hAnsi="Calibri" w:cs="Calibri"/>
          <w:sz w:val="20"/>
          <w:szCs w:val="20"/>
        </w:rPr>
        <w:t xml:space="preserve"> (</w:t>
      </w:r>
      <w:r w:rsidRPr="00437C3B">
        <w:rPr>
          <w:rFonts w:ascii="Calibri" w:hAnsi="Calibri" w:cs="Calibri"/>
          <w:b/>
          <w:bCs/>
          <w:sz w:val="20"/>
          <w:szCs w:val="20"/>
        </w:rPr>
        <w:t>Figure 2</w:t>
      </w:r>
      <w:r>
        <w:rPr>
          <w:rFonts w:ascii="Calibri" w:hAnsi="Calibri" w:cs="Calibri"/>
          <w:sz w:val="20"/>
          <w:szCs w:val="20"/>
        </w:rPr>
        <w:t>)</w:t>
      </w:r>
      <w:r w:rsidRPr="00DC11BF">
        <w:rPr>
          <w:rFonts w:ascii="Calibri" w:hAnsi="Calibri" w:cs="Calibri"/>
          <w:sz w:val="20"/>
          <w:szCs w:val="20"/>
        </w:rPr>
        <w:t xml:space="preserve">. We considered our method as having correctly predicted a disease gene when any of the patients in GEL had significant overlapping features with the clinical presentation published for variants in the same gene and the GEL </w:t>
      </w:r>
      <w:r w:rsidRPr="00DC11BF">
        <w:rPr>
          <w:rFonts w:ascii="Calibri" w:hAnsi="Calibri" w:cs="Calibri"/>
          <w:sz w:val="20"/>
          <w:szCs w:val="20"/>
        </w:rPr>
        <w:lastRenderedPageBreak/>
        <w:t>variant would meet</w:t>
      </w:r>
      <w:r>
        <w:rPr>
          <w:rFonts w:ascii="Calibri" w:hAnsi="Calibri" w:cs="Calibri"/>
          <w:sz w:val="20"/>
          <w:szCs w:val="20"/>
        </w:rPr>
        <w:t>,</w:t>
      </w:r>
      <w:r w:rsidRPr="00DC11BF">
        <w:rPr>
          <w:rFonts w:ascii="Calibri" w:hAnsi="Calibri" w:cs="Calibri"/>
          <w:sz w:val="20"/>
          <w:szCs w:val="20"/>
        </w:rPr>
        <w:t xml:space="preserve"> at minimum</w:t>
      </w:r>
      <w:r>
        <w:rPr>
          <w:rFonts w:ascii="Calibri" w:hAnsi="Calibri" w:cs="Calibri"/>
          <w:sz w:val="20"/>
          <w:szCs w:val="20"/>
        </w:rPr>
        <w:t>,</w:t>
      </w:r>
      <w:r w:rsidRPr="00DC11BF">
        <w:rPr>
          <w:rFonts w:ascii="Calibri" w:hAnsi="Calibri" w:cs="Calibri"/>
          <w:sz w:val="20"/>
          <w:szCs w:val="20"/>
        </w:rPr>
        <w:t xml:space="preserve"> likely pathogenic status by ACMG</w:t>
      </w:r>
      <w:r w:rsidR="000B11C6">
        <w:rPr>
          <w:rFonts w:ascii="Calibri" w:hAnsi="Calibri" w:cs="Calibri"/>
          <w:sz w:val="20"/>
          <w:szCs w:val="20"/>
        </w:rPr>
        <w:t>-AMP</w:t>
      </w:r>
      <w:r w:rsidRPr="00DC11BF">
        <w:rPr>
          <w:rFonts w:ascii="Calibri" w:hAnsi="Calibri" w:cs="Calibri"/>
          <w:sz w:val="20"/>
          <w:szCs w:val="20"/>
        </w:rPr>
        <w:t xml:space="preserve"> guidelines.</w:t>
      </w:r>
      <w:r w:rsidRPr="00E53878">
        <w:rPr>
          <w:rFonts w:ascii="Calibri" w:hAnsi="Calibri" w:cs="Calibri"/>
          <w:noProof/>
          <w:sz w:val="20"/>
          <w:szCs w:val="20"/>
          <w:vertAlign w:val="superscript"/>
        </w:rPr>
        <w:t>24,25</w:t>
      </w:r>
      <w:r w:rsidRPr="00DC11BF">
        <w:rPr>
          <w:rFonts w:ascii="Calibri" w:hAnsi="Calibri" w:cs="Calibri"/>
          <w:sz w:val="20"/>
          <w:szCs w:val="20"/>
        </w:rPr>
        <w:t xml:space="preserve"> We further assessed whether any alternative diagnoses were made by </w:t>
      </w:r>
      <w:r w:rsidRPr="00F96AF6">
        <w:rPr>
          <w:rFonts w:ascii="Calibri" w:hAnsi="Calibri" w:cs="Calibri"/>
          <w:color w:val="000000"/>
          <w:sz w:val="21"/>
          <w:szCs w:val="21"/>
        </w:rPr>
        <w:t>NHS accredited genetics laboratories</w:t>
      </w:r>
      <w:r w:rsidRPr="00F96AF6">
        <w:rPr>
          <w:sz w:val="22"/>
          <w:szCs w:val="22"/>
        </w:rPr>
        <w:t xml:space="preserve"> </w:t>
      </w:r>
      <w:r w:rsidRPr="00DC11BF">
        <w:rPr>
          <w:rFonts w:ascii="Calibri" w:hAnsi="Calibri" w:cs="Calibri"/>
          <w:sz w:val="20"/>
          <w:szCs w:val="20"/>
        </w:rPr>
        <w:t>between 2019 and 2021.</w:t>
      </w:r>
    </w:p>
    <w:p w14:paraId="57EF8CD5" w14:textId="77777777" w:rsidR="00F52E06" w:rsidRDefault="00F52E06" w:rsidP="001454E9">
      <w:pPr>
        <w:spacing w:line="480" w:lineRule="auto"/>
        <w:rPr>
          <w:rFonts w:ascii="Calibri" w:hAnsi="Calibri" w:cs="Calibri"/>
          <w:b/>
        </w:rPr>
      </w:pPr>
    </w:p>
    <w:p w14:paraId="1BFAB3BA" w14:textId="77777777" w:rsidR="00F52E06" w:rsidRPr="00CD6BE5" w:rsidRDefault="00F52E06" w:rsidP="001454E9">
      <w:pPr>
        <w:spacing w:line="480" w:lineRule="auto"/>
        <w:rPr>
          <w:rFonts w:ascii="Calibri" w:hAnsi="Calibri" w:cs="Calibri"/>
          <w:b/>
        </w:rPr>
      </w:pPr>
      <w:r w:rsidRPr="001B301C">
        <w:rPr>
          <w:rFonts w:ascii="Calibri" w:hAnsi="Calibri" w:cs="Calibri"/>
          <w:b/>
        </w:rPr>
        <w:t>Results</w:t>
      </w:r>
    </w:p>
    <w:p w14:paraId="7BCDB312" w14:textId="77777777" w:rsidR="00F52E06" w:rsidRDefault="00F52E06" w:rsidP="001454E9">
      <w:pPr>
        <w:spacing w:line="480" w:lineRule="auto"/>
        <w:rPr>
          <w:rFonts w:ascii="Calibri" w:hAnsi="Calibri" w:cs="Calibri"/>
          <w:sz w:val="20"/>
          <w:szCs w:val="20"/>
        </w:rPr>
      </w:pPr>
      <w:r w:rsidRPr="005B6415">
        <w:rPr>
          <w:rFonts w:ascii="Calibri" w:hAnsi="Calibri" w:cs="Calibri"/>
          <w:bCs/>
          <w:sz w:val="20"/>
          <w:szCs w:val="20"/>
        </w:rPr>
        <w:t>Data</w:t>
      </w:r>
      <w:r w:rsidRPr="00544B7E">
        <w:rPr>
          <w:rFonts w:ascii="Calibri" w:hAnsi="Calibri" w:cs="Calibri"/>
          <w:sz w:val="20"/>
          <w:szCs w:val="20"/>
        </w:rPr>
        <w:t xml:space="preserve"> from the 100,000 Genomes Project </w:t>
      </w:r>
      <w:r>
        <w:rPr>
          <w:rFonts w:ascii="Calibri" w:hAnsi="Calibri" w:cs="Calibri"/>
          <w:sz w:val="20"/>
          <w:szCs w:val="20"/>
        </w:rPr>
        <w:t>(13,949 trios, involving 41,847 individuals</w:t>
      </w:r>
      <w:r w:rsidRPr="00544B7E">
        <w:rPr>
          <w:rFonts w:ascii="Calibri" w:hAnsi="Calibri" w:cs="Calibri"/>
          <w:sz w:val="20"/>
          <w:szCs w:val="20"/>
        </w:rPr>
        <w:t>) reveal</w:t>
      </w:r>
      <w:r>
        <w:rPr>
          <w:rFonts w:ascii="Calibri" w:hAnsi="Calibri" w:cs="Calibri"/>
          <w:sz w:val="20"/>
          <w:szCs w:val="20"/>
        </w:rPr>
        <w:t>ed</w:t>
      </w:r>
      <w:r w:rsidRPr="00544B7E">
        <w:rPr>
          <w:rFonts w:ascii="Calibri" w:hAnsi="Calibri" w:cs="Calibri"/>
          <w:sz w:val="20"/>
          <w:szCs w:val="20"/>
        </w:rPr>
        <w:t xml:space="preserve"> 6</w:t>
      </w:r>
      <w:r>
        <w:rPr>
          <w:rFonts w:ascii="Calibri" w:hAnsi="Calibri" w:cs="Calibri"/>
          <w:sz w:val="20"/>
          <w:szCs w:val="20"/>
        </w:rPr>
        <w:t>43</w:t>
      </w:r>
      <w:r w:rsidRPr="00544B7E">
        <w:rPr>
          <w:rFonts w:ascii="Calibri" w:hAnsi="Calibri" w:cs="Calibri"/>
          <w:sz w:val="20"/>
          <w:szCs w:val="20"/>
        </w:rPr>
        <w:t xml:space="preserve"> rare (</w:t>
      </w:r>
      <w:r>
        <w:rPr>
          <w:rFonts w:ascii="Calibri" w:hAnsi="Calibri" w:cs="Calibri"/>
          <w:sz w:val="20"/>
          <w:szCs w:val="20"/>
        </w:rPr>
        <w:t>AF</w:t>
      </w:r>
      <w:r w:rsidRPr="00544B7E">
        <w:rPr>
          <w:rFonts w:ascii="Calibri" w:hAnsi="Calibri" w:cs="Calibri"/>
          <w:sz w:val="20"/>
          <w:szCs w:val="20"/>
        </w:rPr>
        <w:t xml:space="preserve"> &lt;0.001), </w:t>
      </w:r>
      <w:r w:rsidRPr="00544B7E">
        <w:rPr>
          <w:rFonts w:ascii="Calibri" w:hAnsi="Calibri" w:cs="Calibri"/>
          <w:i/>
          <w:sz w:val="20"/>
          <w:szCs w:val="20"/>
        </w:rPr>
        <w:t>de novo</w:t>
      </w:r>
      <w:r w:rsidRPr="00544B7E">
        <w:rPr>
          <w:rFonts w:ascii="Calibri" w:hAnsi="Calibri" w:cs="Calibri"/>
          <w:sz w:val="20"/>
          <w:szCs w:val="20"/>
        </w:rPr>
        <w:t xml:space="preserve"> </w:t>
      </w:r>
      <w:r>
        <w:rPr>
          <w:rFonts w:ascii="Calibri" w:hAnsi="Calibri" w:cs="Calibri"/>
          <w:sz w:val="20"/>
          <w:szCs w:val="20"/>
        </w:rPr>
        <w:t>pLoF</w:t>
      </w:r>
      <w:r w:rsidRPr="00544B7E">
        <w:rPr>
          <w:rFonts w:ascii="Calibri" w:hAnsi="Calibri" w:cs="Calibri"/>
          <w:sz w:val="20"/>
          <w:szCs w:val="20"/>
        </w:rPr>
        <w:t xml:space="preserve"> events </w:t>
      </w:r>
      <w:r>
        <w:rPr>
          <w:rFonts w:ascii="Calibri" w:hAnsi="Calibri" w:cs="Calibri"/>
          <w:sz w:val="20"/>
          <w:szCs w:val="20"/>
        </w:rPr>
        <w:t xml:space="preserve">filtered </w:t>
      </w:r>
      <w:r w:rsidRPr="00544B7E">
        <w:rPr>
          <w:rFonts w:ascii="Calibri" w:hAnsi="Calibri" w:cs="Calibri"/>
          <w:sz w:val="20"/>
          <w:szCs w:val="20"/>
        </w:rPr>
        <w:t>in 1</w:t>
      </w:r>
      <w:r>
        <w:rPr>
          <w:rFonts w:ascii="Calibri" w:hAnsi="Calibri" w:cs="Calibri"/>
          <w:sz w:val="20"/>
          <w:szCs w:val="20"/>
        </w:rPr>
        <w:t>,</w:t>
      </w:r>
      <w:r w:rsidRPr="00544B7E">
        <w:rPr>
          <w:rFonts w:ascii="Calibri" w:hAnsi="Calibri" w:cs="Calibri"/>
          <w:sz w:val="20"/>
          <w:szCs w:val="20"/>
        </w:rPr>
        <w:t xml:space="preserve">044 </w:t>
      </w:r>
      <w:r>
        <w:rPr>
          <w:rFonts w:ascii="Calibri" w:hAnsi="Calibri" w:cs="Calibri"/>
          <w:sz w:val="20"/>
          <w:szCs w:val="20"/>
        </w:rPr>
        <w:t>pLoF</w:t>
      </w:r>
      <w:r w:rsidRPr="00544B7E">
        <w:rPr>
          <w:rFonts w:ascii="Calibri" w:hAnsi="Calibri" w:cs="Calibri"/>
          <w:sz w:val="20"/>
          <w:szCs w:val="20"/>
        </w:rPr>
        <w:t>-constrained genes</w:t>
      </w:r>
      <w:r>
        <w:rPr>
          <w:rFonts w:ascii="Calibri" w:hAnsi="Calibri" w:cs="Calibri"/>
          <w:sz w:val="20"/>
          <w:szCs w:val="20"/>
        </w:rPr>
        <w:t xml:space="preserve"> (</w:t>
      </w:r>
      <w:r w:rsidRPr="00165F28">
        <w:rPr>
          <w:rFonts w:ascii="Calibri" w:hAnsi="Calibri" w:cs="Calibri"/>
          <w:b/>
          <w:bCs/>
          <w:sz w:val="20"/>
          <w:szCs w:val="20"/>
        </w:rPr>
        <w:t xml:space="preserve">Figure </w:t>
      </w:r>
      <w:r>
        <w:rPr>
          <w:rFonts w:ascii="Calibri" w:hAnsi="Calibri" w:cs="Calibri"/>
          <w:b/>
          <w:bCs/>
          <w:sz w:val="20"/>
          <w:szCs w:val="20"/>
        </w:rPr>
        <w:t>3</w:t>
      </w:r>
      <w:r>
        <w:rPr>
          <w:rFonts w:ascii="Calibri" w:hAnsi="Calibri" w:cs="Calibri"/>
          <w:sz w:val="20"/>
          <w:szCs w:val="20"/>
        </w:rPr>
        <w:t>)</w:t>
      </w:r>
      <w:r w:rsidRPr="00544B7E">
        <w:rPr>
          <w:rFonts w:ascii="Calibri" w:hAnsi="Calibri" w:cs="Calibri"/>
          <w:sz w:val="20"/>
          <w:szCs w:val="20"/>
        </w:rPr>
        <w:t>. 47</w:t>
      </w:r>
      <w:r>
        <w:rPr>
          <w:rFonts w:ascii="Calibri" w:hAnsi="Calibri" w:cs="Calibri"/>
          <w:sz w:val="20"/>
          <w:szCs w:val="20"/>
        </w:rPr>
        <w:t>5</w:t>
      </w:r>
      <w:r w:rsidRPr="00544B7E">
        <w:rPr>
          <w:rFonts w:ascii="Calibri" w:hAnsi="Calibri" w:cs="Calibri"/>
          <w:sz w:val="20"/>
          <w:szCs w:val="20"/>
        </w:rPr>
        <w:t xml:space="preserve"> </w:t>
      </w:r>
      <w:r>
        <w:rPr>
          <w:rFonts w:ascii="Calibri" w:hAnsi="Calibri" w:cs="Calibri"/>
          <w:sz w:val="20"/>
          <w:szCs w:val="20"/>
        </w:rPr>
        <w:t>variants were</w:t>
      </w:r>
      <w:r w:rsidRPr="00544B7E">
        <w:rPr>
          <w:rFonts w:ascii="Calibri" w:hAnsi="Calibri" w:cs="Calibri"/>
          <w:sz w:val="20"/>
          <w:szCs w:val="20"/>
        </w:rPr>
        <w:t xml:space="preserve"> in</w:t>
      </w:r>
      <w:r>
        <w:rPr>
          <w:rFonts w:ascii="Calibri" w:hAnsi="Calibri" w:cs="Calibri"/>
          <w:sz w:val="20"/>
          <w:szCs w:val="20"/>
        </w:rPr>
        <w:t xml:space="preserve"> 148 known</w:t>
      </w:r>
      <w:r w:rsidRPr="00544B7E">
        <w:rPr>
          <w:rFonts w:ascii="Calibri" w:hAnsi="Calibri" w:cs="Calibri"/>
          <w:sz w:val="20"/>
          <w:szCs w:val="20"/>
        </w:rPr>
        <w:t xml:space="preserve"> OMIM genes </w:t>
      </w:r>
      <w:r>
        <w:rPr>
          <w:rFonts w:ascii="Calibri" w:hAnsi="Calibri" w:cs="Calibri"/>
          <w:sz w:val="20"/>
          <w:szCs w:val="20"/>
        </w:rPr>
        <w:t xml:space="preserve">(as of October 2019) </w:t>
      </w:r>
      <w:r w:rsidRPr="00544B7E">
        <w:rPr>
          <w:rFonts w:ascii="Calibri" w:hAnsi="Calibri" w:cs="Calibri"/>
          <w:sz w:val="20"/>
          <w:szCs w:val="20"/>
        </w:rPr>
        <w:t>and 1</w:t>
      </w:r>
      <w:r>
        <w:rPr>
          <w:rFonts w:ascii="Calibri" w:hAnsi="Calibri" w:cs="Calibri"/>
          <w:sz w:val="20"/>
          <w:szCs w:val="20"/>
        </w:rPr>
        <w:t>68</w:t>
      </w:r>
      <w:r w:rsidRPr="00544B7E">
        <w:rPr>
          <w:rFonts w:ascii="Calibri" w:hAnsi="Calibri" w:cs="Calibri"/>
          <w:sz w:val="20"/>
          <w:szCs w:val="20"/>
        </w:rPr>
        <w:t xml:space="preserve"> </w:t>
      </w:r>
      <w:r>
        <w:rPr>
          <w:rFonts w:ascii="Calibri" w:hAnsi="Calibri" w:cs="Calibri"/>
          <w:sz w:val="20"/>
          <w:szCs w:val="20"/>
        </w:rPr>
        <w:t>were</w:t>
      </w:r>
      <w:r w:rsidRPr="00544B7E">
        <w:rPr>
          <w:rFonts w:ascii="Calibri" w:hAnsi="Calibri" w:cs="Calibri"/>
          <w:sz w:val="20"/>
          <w:szCs w:val="20"/>
        </w:rPr>
        <w:t xml:space="preserve"> in novel </w:t>
      </w:r>
      <w:r>
        <w:rPr>
          <w:rFonts w:ascii="Calibri" w:hAnsi="Calibri" w:cs="Calibri"/>
          <w:sz w:val="20"/>
          <w:szCs w:val="20"/>
        </w:rPr>
        <w:t xml:space="preserve">disease </w:t>
      </w:r>
      <w:r w:rsidRPr="00544B7E">
        <w:rPr>
          <w:rFonts w:ascii="Calibri" w:hAnsi="Calibri" w:cs="Calibri"/>
          <w:sz w:val="20"/>
          <w:szCs w:val="20"/>
        </w:rPr>
        <w:t>gene</w:t>
      </w:r>
      <w:r>
        <w:rPr>
          <w:rFonts w:ascii="Calibri" w:hAnsi="Calibri" w:cs="Calibri"/>
          <w:sz w:val="20"/>
          <w:szCs w:val="20"/>
        </w:rPr>
        <w:t xml:space="preserve"> contenders</w:t>
      </w:r>
      <w:r w:rsidRPr="00544B7E">
        <w:rPr>
          <w:rFonts w:ascii="Calibri" w:hAnsi="Calibri" w:cs="Calibri"/>
          <w:sz w:val="20"/>
          <w:szCs w:val="20"/>
        </w:rPr>
        <w:t xml:space="preserve"> (involving </w:t>
      </w:r>
      <w:r>
        <w:rPr>
          <w:rFonts w:ascii="Calibri" w:hAnsi="Calibri" w:cs="Calibri"/>
          <w:sz w:val="20"/>
          <w:szCs w:val="20"/>
        </w:rPr>
        <w:t>126 unique</w:t>
      </w:r>
      <w:r w:rsidRPr="00544B7E">
        <w:rPr>
          <w:rFonts w:ascii="Calibri" w:hAnsi="Calibri" w:cs="Calibri"/>
          <w:sz w:val="20"/>
          <w:szCs w:val="20"/>
        </w:rPr>
        <w:t xml:space="preserve"> genes). Of these, 27 genes ha</w:t>
      </w:r>
      <w:r>
        <w:rPr>
          <w:rFonts w:ascii="Calibri" w:hAnsi="Calibri" w:cs="Calibri"/>
          <w:sz w:val="20"/>
          <w:szCs w:val="20"/>
        </w:rPr>
        <w:t>d</w:t>
      </w:r>
      <w:r w:rsidRPr="00544B7E">
        <w:rPr>
          <w:rFonts w:ascii="Calibri" w:hAnsi="Calibri" w:cs="Calibri"/>
          <w:sz w:val="20"/>
          <w:szCs w:val="20"/>
        </w:rPr>
        <w:t xml:space="preserve"> more than one </w:t>
      </w:r>
      <w:r>
        <w:rPr>
          <w:rFonts w:ascii="Calibri" w:hAnsi="Calibri" w:cs="Calibri"/>
          <w:sz w:val="20"/>
          <w:szCs w:val="20"/>
        </w:rPr>
        <w:t xml:space="preserve">GEL </w:t>
      </w:r>
      <w:r w:rsidRPr="00544B7E">
        <w:rPr>
          <w:rFonts w:ascii="Calibri" w:hAnsi="Calibri" w:cs="Calibri"/>
          <w:sz w:val="20"/>
          <w:szCs w:val="20"/>
        </w:rPr>
        <w:t>kindred affected and 1</w:t>
      </w:r>
      <w:r>
        <w:rPr>
          <w:rFonts w:ascii="Calibri" w:hAnsi="Calibri" w:cs="Calibri"/>
          <w:sz w:val="20"/>
          <w:szCs w:val="20"/>
        </w:rPr>
        <w:t>8</w:t>
      </w:r>
      <w:r w:rsidRPr="00544B7E">
        <w:rPr>
          <w:rFonts w:ascii="Calibri" w:hAnsi="Calibri" w:cs="Calibri"/>
          <w:sz w:val="20"/>
          <w:szCs w:val="20"/>
        </w:rPr>
        <w:t xml:space="preserve"> ha</w:t>
      </w:r>
      <w:r>
        <w:rPr>
          <w:rFonts w:ascii="Calibri" w:hAnsi="Calibri" w:cs="Calibri"/>
          <w:sz w:val="20"/>
          <w:szCs w:val="20"/>
        </w:rPr>
        <w:t>d</w:t>
      </w:r>
      <w:r w:rsidRPr="00544B7E">
        <w:rPr>
          <w:rFonts w:ascii="Calibri" w:hAnsi="Calibri" w:cs="Calibri"/>
          <w:sz w:val="20"/>
          <w:szCs w:val="20"/>
        </w:rPr>
        <w:t xml:space="preserve"> </w:t>
      </w:r>
      <w:r>
        <w:rPr>
          <w:rFonts w:ascii="Calibri" w:hAnsi="Calibri" w:cs="Calibri"/>
          <w:sz w:val="20"/>
          <w:szCs w:val="20"/>
        </w:rPr>
        <w:t>overlapping</w:t>
      </w:r>
      <w:r w:rsidRPr="00544B7E">
        <w:rPr>
          <w:rFonts w:ascii="Calibri" w:hAnsi="Calibri" w:cs="Calibri"/>
          <w:sz w:val="20"/>
          <w:szCs w:val="20"/>
        </w:rPr>
        <w:t xml:space="preserve"> phenotypes</w:t>
      </w:r>
      <w:r>
        <w:rPr>
          <w:rFonts w:ascii="Calibri" w:hAnsi="Calibri" w:cs="Calibri"/>
          <w:sz w:val="20"/>
          <w:szCs w:val="20"/>
        </w:rPr>
        <w:t>, meeting Class 1 criteria (</w:t>
      </w:r>
      <w:r w:rsidRPr="00AB5998">
        <w:rPr>
          <w:rFonts w:ascii="Calibri" w:hAnsi="Calibri" w:cs="Calibri"/>
          <w:b/>
          <w:bCs/>
          <w:sz w:val="20"/>
          <w:szCs w:val="20"/>
        </w:rPr>
        <w:t>Table 1</w:t>
      </w:r>
      <w:r>
        <w:rPr>
          <w:rFonts w:ascii="Calibri" w:hAnsi="Calibri" w:cs="Calibri"/>
          <w:sz w:val="20"/>
          <w:szCs w:val="20"/>
        </w:rPr>
        <w:t>). Of these Class 1 genes, five were absent from OMIM but had been published in the literature (</w:t>
      </w:r>
      <w:r w:rsidRPr="00775779">
        <w:rPr>
          <w:rFonts w:ascii="Calibri" w:hAnsi="Calibri" w:cs="Calibri"/>
          <w:b/>
          <w:sz w:val="20"/>
          <w:szCs w:val="20"/>
        </w:rPr>
        <w:t>Supplementary Table 1</w:t>
      </w:r>
      <w:r w:rsidRPr="002C170A">
        <w:rPr>
          <w:rFonts w:ascii="Calibri" w:hAnsi="Calibri" w:cs="Calibri"/>
          <w:bCs/>
          <w:sz w:val="20"/>
          <w:szCs w:val="20"/>
        </w:rPr>
        <w:t>)</w:t>
      </w:r>
      <w:r>
        <w:rPr>
          <w:rFonts w:ascii="Calibri" w:hAnsi="Calibri" w:cs="Calibri"/>
          <w:sz w:val="20"/>
          <w:szCs w:val="20"/>
        </w:rPr>
        <w:t>. Six more of these genes have since been published as disease-causing genes with matching phenotypes to our GEL probands (</w:t>
      </w:r>
      <w:r w:rsidRPr="00E754B8">
        <w:rPr>
          <w:rFonts w:ascii="Calibri" w:hAnsi="Calibri" w:cs="Calibri"/>
          <w:b/>
          <w:bCs/>
          <w:sz w:val="20"/>
          <w:szCs w:val="20"/>
        </w:rPr>
        <w:t xml:space="preserve">Table </w:t>
      </w:r>
      <w:r>
        <w:rPr>
          <w:rFonts w:ascii="Calibri" w:hAnsi="Calibri" w:cs="Calibri"/>
          <w:b/>
          <w:bCs/>
          <w:sz w:val="20"/>
          <w:szCs w:val="20"/>
        </w:rPr>
        <w:t>2</w:t>
      </w:r>
      <w:r>
        <w:rPr>
          <w:rFonts w:ascii="Calibri" w:hAnsi="Calibri" w:cs="Calibri"/>
          <w:sz w:val="20"/>
          <w:szCs w:val="20"/>
        </w:rPr>
        <w:t>).</w:t>
      </w:r>
    </w:p>
    <w:p w14:paraId="1D5BA4D7" w14:textId="77777777" w:rsidR="00F52E06" w:rsidRDefault="00F52E06" w:rsidP="001454E9">
      <w:pPr>
        <w:spacing w:line="480" w:lineRule="auto"/>
        <w:rPr>
          <w:rFonts w:ascii="Calibri" w:hAnsi="Calibri" w:cs="Calibri"/>
          <w:sz w:val="20"/>
          <w:szCs w:val="20"/>
        </w:rPr>
      </w:pPr>
    </w:p>
    <w:p w14:paraId="5FCF83C7" w14:textId="77777777" w:rsidR="00F52E06" w:rsidRPr="003F5F32" w:rsidRDefault="00F52E06" w:rsidP="001454E9">
      <w:pPr>
        <w:spacing w:line="480" w:lineRule="auto"/>
        <w:rPr>
          <w:rFonts w:ascii="Calibri" w:hAnsi="Calibri" w:cs="Calibri"/>
          <w:sz w:val="20"/>
          <w:szCs w:val="20"/>
        </w:rPr>
      </w:pPr>
      <w:r>
        <w:rPr>
          <w:rFonts w:ascii="Calibri" w:hAnsi="Calibri" w:cs="Calibri"/>
          <w:sz w:val="20"/>
          <w:szCs w:val="20"/>
        </w:rPr>
        <w:t>Nine genes had more than one GEL kindred affected but the phenotypes between patients were non-overlapping meaning that there were no exact matches of HPO terms between patients; 4 genes met Class</w:t>
      </w:r>
      <w:r w:rsidRPr="0046770A">
        <w:rPr>
          <w:rFonts w:ascii="Calibri" w:hAnsi="Calibri" w:cs="Calibri"/>
          <w:sz w:val="20"/>
          <w:szCs w:val="20"/>
        </w:rPr>
        <w:t xml:space="preserve"> 2 criteria</w:t>
      </w:r>
      <w:r>
        <w:rPr>
          <w:rFonts w:ascii="Calibri" w:hAnsi="Calibri" w:cs="Calibri"/>
          <w:sz w:val="20"/>
          <w:szCs w:val="20"/>
        </w:rPr>
        <w:t xml:space="preserve"> with high-level phenotypes overlapping with DECIPHER entries, and 5 genes met Class 3 criteria (</w:t>
      </w:r>
      <w:r w:rsidRPr="00A4408B">
        <w:rPr>
          <w:rFonts w:ascii="Calibri" w:hAnsi="Calibri" w:cs="Calibri"/>
          <w:b/>
          <w:bCs/>
          <w:sz w:val="20"/>
          <w:szCs w:val="20"/>
        </w:rPr>
        <w:t xml:space="preserve">Supplementary </w:t>
      </w:r>
      <w:r>
        <w:rPr>
          <w:rFonts w:ascii="Calibri" w:hAnsi="Calibri" w:cs="Calibri"/>
          <w:b/>
          <w:bCs/>
          <w:sz w:val="20"/>
          <w:szCs w:val="20"/>
        </w:rPr>
        <w:t>Table 1</w:t>
      </w:r>
      <w:r>
        <w:rPr>
          <w:rFonts w:ascii="Calibri" w:hAnsi="Calibri" w:cs="Calibri"/>
          <w:sz w:val="20"/>
          <w:szCs w:val="20"/>
        </w:rPr>
        <w:t>)</w:t>
      </w:r>
      <w:r w:rsidRPr="00544B7E">
        <w:rPr>
          <w:rFonts w:ascii="Calibri" w:hAnsi="Calibri" w:cs="Calibri"/>
          <w:sz w:val="20"/>
          <w:szCs w:val="20"/>
        </w:rPr>
        <w:t>.</w:t>
      </w:r>
    </w:p>
    <w:p w14:paraId="36FF418F" w14:textId="77777777" w:rsidR="00F52E06" w:rsidRDefault="00F52E06" w:rsidP="001454E9">
      <w:pPr>
        <w:spacing w:line="480" w:lineRule="auto"/>
        <w:rPr>
          <w:rFonts w:ascii="Calibri" w:hAnsi="Calibri" w:cs="Calibri"/>
          <w:bCs/>
          <w:sz w:val="20"/>
          <w:szCs w:val="20"/>
        </w:rPr>
      </w:pPr>
    </w:p>
    <w:p w14:paraId="27149446" w14:textId="1C0161E1" w:rsidR="00F52E06" w:rsidRDefault="00F52E06" w:rsidP="001454E9">
      <w:pPr>
        <w:spacing w:line="480" w:lineRule="auto"/>
        <w:rPr>
          <w:rFonts w:ascii="Calibri" w:hAnsi="Calibri" w:cs="Calibri"/>
          <w:sz w:val="20"/>
          <w:szCs w:val="20"/>
        </w:rPr>
      </w:pPr>
      <w:r>
        <w:rPr>
          <w:rFonts w:ascii="Calibri" w:hAnsi="Calibri" w:cs="Calibri"/>
          <w:sz w:val="20"/>
          <w:szCs w:val="20"/>
        </w:rPr>
        <w:t>Ninety-nine variants in 99 unique genes were identified in 98 individuals (</w:t>
      </w:r>
      <w:r w:rsidRPr="00597670">
        <w:rPr>
          <w:rFonts w:ascii="Calibri" w:hAnsi="Calibri" w:cs="Calibri"/>
          <w:b/>
          <w:bCs/>
          <w:sz w:val="20"/>
          <w:szCs w:val="20"/>
        </w:rPr>
        <w:t>Supplementary Table 2</w:t>
      </w:r>
      <w:r>
        <w:rPr>
          <w:rFonts w:ascii="Calibri" w:hAnsi="Calibri" w:cs="Calibri"/>
          <w:sz w:val="20"/>
          <w:szCs w:val="20"/>
        </w:rPr>
        <w:t xml:space="preserve">). Of these, 50 genes were classified as Class 2 candidates meaning their high-level phenotypes overlapped with individuals in DECIPHER harbouring </w:t>
      </w:r>
      <w:r w:rsidRPr="00C1544C">
        <w:rPr>
          <w:rFonts w:ascii="Calibri" w:hAnsi="Calibri" w:cs="Calibri"/>
          <w:i/>
          <w:iCs/>
          <w:sz w:val="20"/>
          <w:szCs w:val="20"/>
        </w:rPr>
        <w:t>de novo</w:t>
      </w:r>
      <w:r>
        <w:rPr>
          <w:rFonts w:ascii="Calibri" w:hAnsi="Calibri" w:cs="Calibri"/>
          <w:sz w:val="20"/>
          <w:szCs w:val="20"/>
        </w:rPr>
        <w:t xml:space="preserve"> pLoF or missense variants in the same gene. Forty-nine genes were Class 3 meaning no patients within GEL or DECIPHER had matching phenotypes involving the same gene. </w:t>
      </w:r>
    </w:p>
    <w:p w14:paraId="5B89162C" w14:textId="77777777" w:rsidR="00F52E06" w:rsidRDefault="00F52E06" w:rsidP="001454E9">
      <w:pPr>
        <w:spacing w:line="480" w:lineRule="auto"/>
        <w:rPr>
          <w:rFonts w:ascii="Calibri" w:hAnsi="Calibri" w:cs="Calibri"/>
          <w:sz w:val="20"/>
          <w:szCs w:val="20"/>
        </w:rPr>
      </w:pPr>
    </w:p>
    <w:p w14:paraId="35248089" w14:textId="77777777" w:rsidR="00F52E06" w:rsidRPr="00741FE8" w:rsidRDefault="00F52E06" w:rsidP="001454E9">
      <w:pPr>
        <w:spacing w:line="480" w:lineRule="auto"/>
        <w:rPr>
          <w:rFonts w:ascii="Calibri" w:hAnsi="Calibri" w:cs="Calibri"/>
          <w:sz w:val="20"/>
          <w:szCs w:val="20"/>
          <w:u w:val="single"/>
        </w:rPr>
      </w:pPr>
      <w:r>
        <w:rPr>
          <w:rFonts w:ascii="Calibri" w:hAnsi="Calibri" w:cs="Calibri"/>
          <w:sz w:val="20"/>
          <w:szCs w:val="20"/>
          <w:u w:val="single"/>
        </w:rPr>
        <w:t xml:space="preserve">Investigating and validating putative disease genes </w:t>
      </w:r>
    </w:p>
    <w:p w14:paraId="5463C67C" w14:textId="77777777" w:rsidR="00F52E06" w:rsidRDefault="00F52E06" w:rsidP="001454E9">
      <w:pPr>
        <w:spacing w:line="480" w:lineRule="auto"/>
        <w:rPr>
          <w:rFonts w:ascii="Calibri" w:hAnsi="Calibri" w:cs="Calibri"/>
          <w:sz w:val="20"/>
          <w:szCs w:val="20"/>
        </w:rPr>
      </w:pPr>
      <w:r>
        <w:rPr>
          <w:rFonts w:ascii="Calibri" w:hAnsi="Calibri" w:cs="Calibri"/>
          <w:sz w:val="20"/>
          <w:szCs w:val="20"/>
        </w:rPr>
        <w:t>Between 2019 and 2021, 23/126 (18%) of our novel disease gene contenders have</w:t>
      </w:r>
      <w:r w:rsidRPr="0080096D">
        <w:rPr>
          <w:rFonts w:ascii="Calibri" w:hAnsi="Calibri" w:cs="Calibri"/>
          <w:sz w:val="20"/>
          <w:szCs w:val="20"/>
        </w:rPr>
        <w:t xml:space="preserve"> </w:t>
      </w:r>
      <w:r>
        <w:rPr>
          <w:rFonts w:ascii="Calibri" w:hAnsi="Calibri" w:cs="Calibri"/>
          <w:sz w:val="20"/>
          <w:szCs w:val="20"/>
        </w:rPr>
        <w:t xml:space="preserve">been </w:t>
      </w:r>
      <w:r w:rsidRPr="0080096D">
        <w:rPr>
          <w:rFonts w:ascii="Calibri" w:hAnsi="Calibri" w:cs="Calibri"/>
          <w:sz w:val="20"/>
          <w:szCs w:val="20"/>
        </w:rPr>
        <w:t xml:space="preserve">published </w:t>
      </w:r>
      <w:r>
        <w:rPr>
          <w:rFonts w:ascii="Calibri" w:hAnsi="Calibri" w:cs="Calibri"/>
          <w:sz w:val="20"/>
          <w:szCs w:val="20"/>
        </w:rPr>
        <w:t>by independent groups</w:t>
      </w:r>
      <w:r w:rsidRPr="0080096D">
        <w:rPr>
          <w:rFonts w:ascii="Calibri" w:hAnsi="Calibri" w:cs="Calibri"/>
          <w:sz w:val="20"/>
          <w:szCs w:val="20"/>
        </w:rPr>
        <w:t>.</w:t>
      </w:r>
      <w:r>
        <w:rPr>
          <w:rFonts w:ascii="Calibri" w:hAnsi="Calibri" w:cs="Calibri"/>
          <w:sz w:val="20"/>
          <w:szCs w:val="20"/>
        </w:rPr>
        <w:t xml:space="preserve"> Class 1 candidates were the highest predictors of disease genes with 11/18 (61%) having been functionally validated and published confirming their status </w:t>
      </w:r>
      <w:r w:rsidRPr="0080096D">
        <w:rPr>
          <w:rFonts w:ascii="Calibri" w:hAnsi="Calibri" w:cs="Calibri"/>
          <w:sz w:val="20"/>
          <w:szCs w:val="20"/>
        </w:rPr>
        <w:t xml:space="preserve">as </w:t>
      </w:r>
      <w:r>
        <w:rPr>
          <w:rFonts w:ascii="Calibri" w:hAnsi="Calibri" w:cs="Calibri"/>
          <w:sz w:val="20"/>
          <w:szCs w:val="20"/>
        </w:rPr>
        <w:t>new disease genes.</w:t>
      </w:r>
    </w:p>
    <w:p w14:paraId="12C25E2A" w14:textId="77777777" w:rsidR="00F52E06" w:rsidRDefault="00F52E06" w:rsidP="001454E9">
      <w:pPr>
        <w:spacing w:line="480" w:lineRule="auto"/>
        <w:rPr>
          <w:rFonts w:ascii="Calibri" w:hAnsi="Calibri" w:cs="Calibri"/>
          <w:sz w:val="20"/>
          <w:szCs w:val="20"/>
        </w:rPr>
      </w:pPr>
    </w:p>
    <w:p w14:paraId="45A31FF0" w14:textId="77777777" w:rsidR="00F52E06" w:rsidRPr="00814C01" w:rsidRDefault="00F52E06" w:rsidP="001454E9">
      <w:pPr>
        <w:spacing w:line="480" w:lineRule="auto"/>
        <w:rPr>
          <w:rFonts w:ascii="Calibri" w:hAnsi="Calibri" w:cs="Calibri"/>
          <w:sz w:val="20"/>
          <w:szCs w:val="20"/>
        </w:rPr>
      </w:pPr>
      <w:r>
        <w:rPr>
          <w:rFonts w:ascii="Calibri" w:hAnsi="Calibri" w:cs="Calibri"/>
          <w:sz w:val="20"/>
          <w:szCs w:val="20"/>
        </w:rPr>
        <w:lastRenderedPageBreak/>
        <w:t>Of the Class 2 and Class 3 genes occurring in unique individuals, 2/50 (4%) and 10/49 (20%) have been published with evidence of causality, respectively. Of the remaining seven Class 1 genes yet to be validated, case series/and or functional experiments are underway. By 2021, 15 patients had likely pathogenic or pathogenic variants independently identified in alternative known disease genes by GEL diagnostic laboratories. In total, we identified 126 novel disease gene contenders.</w:t>
      </w:r>
    </w:p>
    <w:p w14:paraId="1E0D1A3F" w14:textId="77777777" w:rsidR="00F52E06" w:rsidRPr="00544B7E" w:rsidRDefault="00F52E06" w:rsidP="001454E9">
      <w:pPr>
        <w:spacing w:line="480" w:lineRule="auto"/>
        <w:rPr>
          <w:rFonts w:ascii="Calibri" w:hAnsi="Calibri" w:cs="Calibri"/>
          <w:sz w:val="20"/>
          <w:szCs w:val="20"/>
        </w:rPr>
      </w:pPr>
    </w:p>
    <w:p w14:paraId="77B4B77A" w14:textId="77777777" w:rsidR="00F52E06" w:rsidRPr="00EA372B" w:rsidRDefault="00F52E06" w:rsidP="001454E9">
      <w:pPr>
        <w:spacing w:line="480" w:lineRule="auto"/>
        <w:rPr>
          <w:rFonts w:ascii="Calibri" w:hAnsi="Calibri" w:cs="Calibri"/>
          <w:b/>
        </w:rPr>
      </w:pPr>
      <w:r w:rsidRPr="001B301C">
        <w:rPr>
          <w:rFonts w:ascii="Calibri" w:hAnsi="Calibri" w:cs="Calibri"/>
          <w:b/>
        </w:rPr>
        <w:t>Discussion</w:t>
      </w:r>
    </w:p>
    <w:p w14:paraId="6AEFC64B" w14:textId="77777777" w:rsidR="00F52E06" w:rsidRDefault="00F52E06" w:rsidP="001454E9">
      <w:pPr>
        <w:spacing w:line="480" w:lineRule="auto"/>
        <w:rPr>
          <w:rFonts w:ascii="Calibri" w:hAnsi="Calibri" w:cs="Calibri"/>
          <w:sz w:val="20"/>
          <w:szCs w:val="20"/>
        </w:rPr>
      </w:pPr>
      <w:r>
        <w:rPr>
          <w:rFonts w:ascii="Calibri" w:hAnsi="Calibri" w:cs="Calibri"/>
          <w:sz w:val="20"/>
          <w:szCs w:val="20"/>
        </w:rPr>
        <w:t xml:space="preserve">We rapidly applied an objective filtering strategy across a large cohort and identified 18 high-confidence putative novel disease genes of which 11/18 (61%) have since been validated through functional experiments and confirmed as disease-causing. Additionally, we identified a further 108 novel disease gene contenders. </w:t>
      </w:r>
    </w:p>
    <w:p w14:paraId="0B971892" w14:textId="77777777" w:rsidR="00F52E06" w:rsidRDefault="00F52E06" w:rsidP="001454E9">
      <w:pPr>
        <w:spacing w:line="480" w:lineRule="auto"/>
        <w:rPr>
          <w:rFonts w:ascii="Calibri" w:hAnsi="Calibri" w:cs="Calibri"/>
          <w:sz w:val="20"/>
          <w:szCs w:val="20"/>
        </w:rPr>
      </w:pPr>
    </w:p>
    <w:p w14:paraId="3E964D1D" w14:textId="77777777" w:rsidR="00F52E06" w:rsidRPr="007E512B" w:rsidRDefault="00F52E06" w:rsidP="001454E9">
      <w:pPr>
        <w:spacing w:line="480" w:lineRule="auto"/>
        <w:rPr>
          <w:rFonts w:ascii="Calibri" w:hAnsi="Calibri" w:cs="Calibri"/>
          <w:sz w:val="20"/>
          <w:szCs w:val="20"/>
        </w:rPr>
      </w:pPr>
      <w:r>
        <w:rPr>
          <w:rFonts w:ascii="Calibri" w:hAnsi="Calibri" w:cs="Calibri"/>
          <w:sz w:val="20"/>
          <w:szCs w:val="20"/>
        </w:rPr>
        <w:t>In total, 23/126 (18%) of the genes identified in our study have been validated as disease-causing and diagnoses are being returned to patients who would otherwise have a negative genome report. This was achieved by a targeted gene-to-patient approach applied to the 100,000 Genomes Project with the power to detect very rare, pLoF variation in genes most intolerant to LoF. However, only in time will we determine the full specificity as well as sensitivity of this approach.</w:t>
      </w:r>
    </w:p>
    <w:p w14:paraId="27193498" w14:textId="77777777" w:rsidR="00F52E06" w:rsidRDefault="00F52E06" w:rsidP="001454E9">
      <w:pPr>
        <w:spacing w:line="480" w:lineRule="auto"/>
        <w:rPr>
          <w:rFonts w:ascii="Calibri" w:hAnsi="Calibri" w:cs="Calibri"/>
          <w:sz w:val="20"/>
          <w:szCs w:val="20"/>
        </w:rPr>
      </w:pPr>
    </w:p>
    <w:p w14:paraId="0D0363A5" w14:textId="77777777" w:rsidR="00F52E06" w:rsidRPr="00C9739E" w:rsidRDefault="00F52E06" w:rsidP="001454E9">
      <w:pPr>
        <w:spacing w:line="480" w:lineRule="auto"/>
        <w:rPr>
          <w:rFonts w:ascii="Calibri" w:hAnsi="Calibri" w:cs="Calibri"/>
          <w:sz w:val="20"/>
          <w:szCs w:val="20"/>
          <w:u w:val="single"/>
        </w:rPr>
      </w:pPr>
      <w:r>
        <w:rPr>
          <w:rFonts w:ascii="Calibri" w:hAnsi="Calibri" w:cs="Calibri"/>
          <w:sz w:val="20"/>
          <w:szCs w:val="20"/>
          <w:u w:val="single"/>
        </w:rPr>
        <w:t>Class</w:t>
      </w:r>
      <w:r w:rsidRPr="001B301C">
        <w:rPr>
          <w:rFonts w:ascii="Calibri" w:hAnsi="Calibri" w:cs="Calibri"/>
          <w:sz w:val="20"/>
          <w:szCs w:val="20"/>
          <w:u w:val="single"/>
        </w:rPr>
        <w:t xml:space="preserve"> 1 genes and internal matches in GEL</w:t>
      </w:r>
    </w:p>
    <w:p w14:paraId="56125BCD" w14:textId="77777777" w:rsidR="00F52E06" w:rsidRDefault="00F52E06" w:rsidP="00122ED8">
      <w:pPr>
        <w:spacing w:line="480" w:lineRule="auto"/>
      </w:pPr>
      <w:r>
        <w:rPr>
          <w:rFonts w:ascii="Calibri" w:hAnsi="Calibri" w:cs="Calibri"/>
          <w:sz w:val="20"/>
          <w:szCs w:val="20"/>
        </w:rPr>
        <w:t>Since initial analysis, 11/18 (61%) Class 1 genes (</w:t>
      </w:r>
      <w:r w:rsidRPr="000E1B28">
        <w:rPr>
          <w:rFonts w:ascii="Calibri" w:hAnsi="Calibri" w:cs="Calibri"/>
          <w:b/>
          <w:bCs/>
          <w:sz w:val="20"/>
          <w:szCs w:val="20"/>
        </w:rPr>
        <w:t>Table 1</w:t>
      </w:r>
      <w:r>
        <w:rPr>
          <w:rFonts w:ascii="Calibri" w:hAnsi="Calibri" w:cs="Calibri"/>
          <w:sz w:val="20"/>
          <w:szCs w:val="20"/>
        </w:rPr>
        <w:t>) have</w:t>
      </w:r>
      <w:r w:rsidRPr="0080096D">
        <w:rPr>
          <w:rFonts w:ascii="Calibri" w:hAnsi="Calibri" w:cs="Calibri"/>
          <w:sz w:val="20"/>
          <w:szCs w:val="20"/>
        </w:rPr>
        <w:t xml:space="preserve"> </w:t>
      </w:r>
      <w:r>
        <w:rPr>
          <w:rFonts w:ascii="Calibri" w:hAnsi="Calibri" w:cs="Calibri"/>
          <w:sz w:val="20"/>
          <w:szCs w:val="20"/>
        </w:rPr>
        <w:t xml:space="preserve">undergone functional validation and been </w:t>
      </w:r>
      <w:r w:rsidRPr="0080096D">
        <w:rPr>
          <w:rFonts w:ascii="Calibri" w:hAnsi="Calibri" w:cs="Calibri"/>
          <w:sz w:val="20"/>
          <w:szCs w:val="20"/>
        </w:rPr>
        <w:t xml:space="preserve">published </w:t>
      </w:r>
      <w:r>
        <w:rPr>
          <w:rFonts w:ascii="Calibri" w:hAnsi="Calibri" w:cs="Calibri"/>
          <w:sz w:val="20"/>
          <w:szCs w:val="20"/>
        </w:rPr>
        <w:t xml:space="preserve">by independent groups confirming their status </w:t>
      </w:r>
      <w:r w:rsidRPr="0080096D">
        <w:rPr>
          <w:rFonts w:ascii="Calibri" w:hAnsi="Calibri" w:cs="Calibri"/>
          <w:sz w:val="20"/>
          <w:szCs w:val="20"/>
        </w:rPr>
        <w:t>as novel disease-gene discoveries</w:t>
      </w:r>
      <w:r>
        <w:rPr>
          <w:rFonts w:ascii="Calibri" w:hAnsi="Calibri" w:cs="Calibri"/>
          <w:sz w:val="20"/>
          <w:szCs w:val="20"/>
        </w:rPr>
        <w:t xml:space="preserve"> and we anticipate this number to increase over time. Class 1 genes outperformed Classes 2 and 3 (Fisher’s exact test &lt;0.0001) likely due to the greater specificity and granularity of phenotypes available for internal matching within GEL.</w:t>
      </w:r>
    </w:p>
    <w:p w14:paraId="19589D6B" w14:textId="77777777" w:rsidR="00F52E06" w:rsidRPr="00122ED8" w:rsidRDefault="00F52E06" w:rsidP="00122ED8">
      <w:pPr>
        <w:spacing w:line="360" w:lineRule="auto"/>
      </w:pPr>
    </w:p>
    <w:p w14:paraId="779BD275" w14:textId="77777777" w:rsidR="00F52E06" w:rsidRDefault="00F52E06" w:rsidP="001454E9">
      <w:pPr>
        <w:spacing w:line="480" w:lineRule="auto"/>
        <w:rPr>
          <w:rFonts w:ascii="Calibri" w:hAnsi="Calibri" w:cs="Calibri"/>
          <w:sz w:val="20"/>
          <w:szCs w:val="20"/>
        </w:rPr>
      </w:pPr>
      <w:r>
        <w:rPr>
          <w:rFonts w:ascii="Calibri" w:hAnsi="Calibri" w:cs="Calibri"/>
          <w:sz w:val="20"/>
          <w:szCs w:val="20"/>
        </w:rPr>
        <w:t>There were nine genes whereby unrelated patients in GEL had pLoF variants in the same gene, yet no patient shared the same HPO term. However, three of these genes have since been published and the published phenotypes overlap with the GEL patients (</w:t>
      </w:r>
      <w:r w:rsidRPr="00EA10F9">
        <w:rPr>
          <w:rFonts w:ascii="Calibri" w:hAnsi="Calibri" w:cs="Calibri"/>
          <w:b/>
          <w:bCs/>
          <w:sz w:val="20"/>
          <w:szCs w:val="20"/>
        </w:rPr>
        <w:t>Supplementary Table 1</w:t>
      </w:r>
      <w:r>
        <w:rPr>
          <w:rFonts w:ascii="Calibri" w:hAnsi="Calibri" w:cs="Calibri"/>
          <w:sz w:val="20"/>
          <w:szCs w:val="20"/>
        </w:rPr>
        <w:t xml:space="preserve">). This may be explained by variability in HPO </w:t>
      </w:r>
      <w:r>
        <w:rPr>
          <w:rFonts w:ascii="Calibri" w:hAnsi="Calibri" w:cs="Calibri"/>
          <w:sz w:val="20"/>
          <w:szCs w:val="20"/>
        </w:rPr>
        <w:lastRenderedPageBreak/>
        <w:t xml:space="preserve">terms reported in GEL; some patients had many HPO terms recorded, yet others had only one or two. In </w:t>
      </w:r>
      <w:r w:rsidRPr="001A5577">
        <w:rPr>
          <w:rFonts w:ascii="Calibri" w:hAnsi="Calibri" w:cs="Calibri"/>
          <w:b/>
          <w:bCs/>
          <w:sz w:val="20"/>
          <w:szCs w:val="20"/>
        </w:rPr>
        <w:t>Table 2</w:t>
      </w:r>
      <w:r>
        <w:rPr>
          <w:rFonts w:ascii="Calibri" w:hAnsi="Calibri" w:cs="Calibri"/>
          <w:sz w:val="20"/>
          <w:szCs w:val="20"/>
        </w:rPr>
        <w:t xml:space="preserve">, patients with pLoF variants in </w:t>
      </w:r>
      <w:r w:rsidRPr="00EA10F9">
        <w:rPr>
          <w:rFonts w:ascii="Calibri" w:hAnsi="Calibri" w:cs="Calibri"/>
          <w:i/>
          <w:iCs/>
          <w:sz w:val="20"/>
          <w:szCs w:val="20"/>
        </w:rPr>
        <w:t>SPEN</w:t>
      </w:r>
      <w:r>
        <w:rPr>
          <w:rFonts w:ascii="Calibri" w:hAnsi="Calibri" w:cs="Calibri"/>
          <w:sz w:val="20"/>
          <w:szCs w:val="20"/>
        </w:rPr>
        <w:t xml:space="preserve"> and </w:t>
      </w:r>
      <w:r w:rsidRPr="00EA10F9">
        <w:rPr>
          <w:rFonts w:ascii="Calibri" w:hAnsi="Calibri" w:cs="Calibri"/>
          <w:i/>
          <w:iCs/>
          <w:sz w:val="20"/>
          <w:szCs w:val="20"/>
        </w:rPr>
        <w:t>TANC2</w:t>
      </w:r>
      <w:r>
        <w:rPr>
          <w:rFonts w:ascii="Calibri" w:hAnsi="Calibri" w:cs="Calibri"/>
          <w:sz w:val="20"/>
          <w:szCs w:val="20"/>
        </w:rPr>
        <w:t xml:space="preserve"> only overlapped by one HPO term (intellectual disability). Yet, when the disease phenotype was further delineated in published case series for both genes, many more features observed in the GEL patients were consistent with the reported phenotypic spectrum. This highlights the need for longitudinal and deep phenotyping data in automated gene discovery studies.</w:t>
      </w:r>
    </w:p>
    <w:p w14:paraId="2FE5C260" w14:textId="77777777" w:rsidR="00F52E06" w:rsidRDefault="00F52E06" w:rsidP="001454E9">
      <w:pPr>
        <w:spacing w:line="480" w:lineRule="auto"/>
        <w:rPr>
          <w:rFonts w:ascii="Calibri" w:hAnsi="Calibri" w:cs="Calibri"/>
          <w:sz w:val="20"/>
          <w:szCs w:val="20"/>
        </w:rPr>
      </w:pPr>
    </w:p>
    <w:p w14:paraId="1C5E97B2" w14:textId="77777777" w:rsidR="00F52E06" w:rsidRDefault="00F52E06" w:rsidP="001454E9">
      <w:pPr>
        <w:spacing w:line="480" w:lineRule="auto"/>
        <w:rPr>
          <w:rFonts w:ascii="Calibri" w:hAnsi="Calibri" w:cs="Calibri"/>
          <w:sz w:val="20"/>
          <w:szCs w:val="20"/>
        </w:rPr>
      </w:pPr>
      <w:r>
        <w:rPr>
          <w:rFonts w:ascii="Calibri" w:hAnsi="Calibri" w:cs="Calibri"/>
          <w:sz w:val="20"/>
          <w:szCs w:val="20"/>
        </w:rPr>
        <w:t xml:space="preserve">Due to the automated process of exact HPO term matching between GEL patients, we potentially missed overlapping phenotypes recorded with subtly different nomenclature, </w:t>
      </w:r>
      <w:proofErr w:type="gramStart"/>
      <w:r>
        <w:rPr>
          <w:rFonts w:ascii="Calibri" w:hAnsi="Calibri" w:cs="Calibri"/>
          <w:sz w:val="20"/>
          <w:szCs w:val="20"/>
        </w:rPr>
        <w:t>e.g.</w:t>
      </w:r>
      <w:proofErr w:type="gramEnd"/>
      <w:r>
        <w:rPr>
          <w:rFonts w:ascii="Calibri" w:hAnsi="Calibri" w:cs="Calibri"/>
          <w:sz w:val="20"/>
          <w:szCs w:val="20"/>
        </w:rPr>
        <w:t xml:space="preserve"> one patient with intellectual disability (HP:0001249) would not match another patient with mild intellectual disability (HP:000125</w:t>
      </w:r>
      <w:r w:rsidRPr="00815B64">
        <w:rPr>
          <w:rFonts w:ascii="Calibri" w:hAnsi="Calibri" w:cs="Calibri"/>
          <w:sz w:val="20"/>
          <w:szCs w:val="20"/>
        </w:rPr>
        <w:t>6</w:t>
      </w:r>
      <w:r>
        <w:rPr>
          <w:rFonts w:ascii="Calibri" w:hAnsi="Calibri" w:cs="Calibri"/>
          <w:sz w:val="20"/>
          <w:szCs w:val="20"/>
        </w:rPr>
        <w:t>).</w:t>
      </w:r>
    </w:p>
    <w:p w14:paraId="73EE51B1" w14:textId="77777777" w:rsidR="00F52E06" w:rsidRPr="001B301C" w:rsidRDefault="00F52E06" w:rsidP="001454E9">
      <w:pPr>
        <w:spacing w:line="480" w:lineRule="auto"/>
        <w:rPr>
          <w:rFonts w:ascii="Calibri" w:hAnsi="Calibri" w:cs="Calibri"/>
          <w:sz w:val="20"/>
          <w:szCs w:val="20"/>
          <w:u w:val="single"/>
        </w:rPr>
      </w:pPr>
    </w:p>
    <w:p w14:paraId="18C0DED3" w14:textId="77777777" w:rsidR="00F52E06" w:rsidRPr="00C9739E" w:rsidRDefault="00F52E06" w:rsidP="001454E9">
      <w:pPr>
        <w:spacing w:line="480" w:lineRule="auto"/>
        <w:rPr>
          <w:rFonts w:ascii="Calibri" w:hAnsi="Calibri" w:cs="Calibri"/>
          <w:sz w:val="20"/>
          <w:szCs w:val="20"/>
          <w:u w:val="single"/>
        </w:rPr>
      </w:pPr>
      <w:r>
        <w:rPr>
          <w:rFonts w:ascii="Calibri" w:hAnsi="Calibri" w:cs="Calibri"/>
          <w:sz w:val="20"/>
          <w:szCs w:val="20"/>
          <w:u w:val="single"/>
        </w:rPr>
        <w:t>Class</w:t>
      </w:r>
      <w:r w:rsidRPr="001B301C">
        <w:rPr>
          <w:rFonts w:ascii="Calibri" w:hAnsi="Calibri" w:cs="Calibri"/>
          <w:sz w:val="20"/>
          <w:szCs w:val="20"/>
          <w:u w:val="single"/>
        </w:rPr>
        <w:t xml:space="preserve"> 2 and 3 genes</w:t>
      </w:r>
    </w:p>
    <w:p w14:paraId="3A31114E" w14:textId="77777777" w:rsidR="00F52E06" w:rsidRDefault="00F52E06" w:rsidP="001454E9">
      <w:pPr>
        <w:spacing w:line="480" w:lineRule="auto"/>
        <w:rPr>
          <w:rFonts w:ascii="Calibri" w:hAnsi="Calibri" w:cs="Calibri"/>
          <w:sz w:val="20"/>
          <w:szCs w:val="20"/>
        </w:rPr>
      </w:pPr>
      <w:r>
        <w:rPr>
          <w:rFonts w:ascii="Calibri" w:hAnsi="Calibri" w:cs="Calibri"/>
          <w:sz w:val="20"/>
          <w:szCs w:val="20"/>
        </w:rPr>
        <w:t>More Class 3 genes 10/50 (20%), were published as novel causal genes by 2021 than Class 2 genes 2/49 (4%); Fisher’s exact test 0.027. This may be due to small sample sizes but could reflect a weakness in Class 2 and 3 classification (</w:t>
      </w:r>
      <w:r w:rsidRPr="005D2693">
        <w:rPr>
          <w:rFonts w:ascii="Calibri" w:hAnsi="Calibri" w:cs="Calibri"/>
          <w:b/>
          <w:bCs/>
          <w:sz w:val="20"/>
          <w:szCs w:val="20"/>
        </w:rPr>
        <w:t>Table 1</w:t>
      </w:r>
      <w:r>
        <w:rPr>
          <w:rFonts w:ascii="Calibri" w:hAnsi="Calibri" w:cs="Calibri"/>
          <w:sz w:val="20"/>
          <w:szCs w:val="20"/>
        </w:rPr>
        <w:t xml:space="preserve">). Comparing high-level phenotypes is potentially problematic as it lacks the granularity required to assess clinical overlap. Furthermore, we compared high-level phenotypes of GEL patients with patients in DECIPHER harbouring </w:t>
      </w:r>
      <w:r w:rsidRPr="008D3406">
        <w:rPr>
          <w:rFonts w:ascii="Calibri" w:hAnsi="Calibri" w:cs="Calibri"/>
          <w:i/>
          <w:iCs/>
          <w:sz w:val="20"/>
          <w:szCs w:val="20"/>
        </w:rPr>
        <w:t>de novo</w:t>
      </w:r>
      <w:r>
        <w:rPr>
          <w:rFonts w:ascii="Calibri" w:hAnsi="Calibri" w:cs="Calibri"/>
          <w:sz w:val="20"/>
          <w:szCs w:val="20"/>
        </w:rPr>
        <w:t xml:space="preserve"> missense variants, which are considerably more common and less likely to be pathogenic, increasing the possibility of false disease-phenotype associations. Additionally, it is possible that some patients in our cohort were also in DECIPHER, however due to data anonymity this could not be verified.</w:t>
      </w:r>
    </w:p>
    <w:p w14:paraId="1E582060" w14:textId="77777777" w:rsidR="00F52E06" w:rsidRDefault="00F52E06" w:rsidP="001454E9">
      <w:pPr>
        <w:spacing w:line="480" w:lineRule="auto"/>
        <w:rPr>
          <w:rFonts w:ascii="Calibri" w:hAnsi="Calibri" w:cs="Calibri"/>
          <w:sz w:val="20"/>
          <w:szCs w:val="20"/>
        </w:rPr>
      </w:pPr>
    </w:p>
    <w:p w14:paraId="35DED49F" w14:textId="77777777" w:rsidR="00F52E06" w:rsidRPr="005D2693" w:rsidRDefault="00F52E06" w:rsidP="001454E9">
      <w:pPr>
        <w:spacing w:line="480" w:lineRule="auto"/>
        <w:rPr>
          <w:rFonts w:ascii="Calibri" w:hAnsi="Calibri" w:cs="Calibri"/>
          <w:sz w:val="20"/>
          <w:szCs w:val="20"/>
          <w:u w:val="single"/>
        </w:rPr>
      </w:pPr>
      <w:r w:rsidRPr="005D2693">
        <w:rPr>
          <w:rFonts w:ascii="Calibri" w:hAnsi="Calibri" w:cs="Calibri"/>
          <w:sz w:val="20"/>
          <w:szCs w:val="20"/>
          <w:u w:val="single"/>
        </w:rPr>
        <w:t>Lessons learnt</w:t>
      </w:r>
    </w:p>
    <w:p w14:paraId="408FB81F" w14:textId="77777777" w:rsidR="00F52E06" w:rsidRDefault="00F52E06" w:rsidP="001454E9">
      <w:pPr>
        <w:spacing w:line="480" w:lineRule="auto"/>
        <w:rPr>
          <w:rFonts w:ascii="Calibri" w:hAnsi="Calibri" w:cs="Calibri"/>
          <w:sz w:val="20"/>
          <w:szCs w:val="20"/>
        </w:rPr>
      </w:pPr>
      <w:r>
        <w:rPr>
          <w:rFonts w:ascii="Calibri" w:hAnsi="Calibri" w:cs="Calibri"/>
          <w:sz w:val="20"/>
          <w:szCs w:val="20"/>
        </w:rPr>
        <w:t>Class 2 and Class 3 genes may be better assessed through MME. Sharing more detailed phenotype data would provide the granularity to assess true clinical overlap. In GEL, this step involved contacting the patient’s clinician for permission to share data with matches through MME; and this process was not always successful. As MME involves manual correspondence between peers, this cannot be easily automated, highlighting the advantages of internal phenotype matching within the same cohort. We are fully utilising MME for novel gene candidates, however presenting these results is outside of the scope of this manuscript.</w:t>
      </w:r>
    </w:p>
    <w:p w14:paraId="6497475D" w14:textId="77777777" w:rsidR="00F52E06" w:rsidRDefault="00F52E06" w:rsidP="001454E9">
      <w:pPr>
        <w:spacing w:line="480" w:lineRule="auto"/>
        <w:rPr>
          <w:rFonts w:ascii="Calibri" w:hAnsi="Calibri" w:cs="Calibri"/>
          <w:sz w:val="20"/>
          <w:szCs w:val="20"/>
        </w:rPr>
      </w:pPr>
    </w:p>
    <w:p w14:paraId="1A99AD47" w14:textId="77777777" w:rsidR="00F52E06" w:rsidRPr="006D09FE" w:rsidRDefault="00F52E06" w:rsidP="001454E9">
      <w:pPr>
        <w:spacing w:line="480" w:lineRule="auto"/>
        <w:rPr>
          <w:rFonts w:ascii="Calibri" w:hAnsi="Calibri" w:cs="Calibri"/>
          <w:sz w:val="20"/>
          <w:szCs w:val="20"/>
          <w:u w:val="single"/>
        </w:rPr>
      </w:pPr>
      <w:r w:rsidRPr="001B301C">
        <w:rPr>
          <w:rFonts w:ascii="Calibri" w:hAnsi="Calibri" w:cs="Calibri"/>
          <w:sz w:val="20"/>
          <w:szCs w:val="20"/>
          <w:u w:val="single"/>
        </w:rPr>
        <w:lastRenderedPageBreak/>
        <w:t>Novel gene discovery remains time-consuming</w:t>
      </w:r>
    </w:p>
    <w:p w14:paraId="14994540" w14:textId="77777777" w:rsidR="00F52E06" w:rsidRDefault="00F52E06" w:rsidP="001454E9">
      <w:pPr>
        <w:spacing w:line="480" w:lineRule="auto"/>
        <w:rPr>
          <w:rFonts w:ascii="Calibri" w:hAnsi="Calibri" w:cs="Calibri"/>
          <w:sz w:val="20"/>
          <w:szCs w:val="20"/>
        </w:rPr>
      </w:pPr>
      <w:r>
        <w:rPr>
          <w:rFonts w:ascii="Calibri" w:hAnsi="Calibri" w:cs="Calibri"/>
          <w:sz w:val="20"/>
          <w:szCs w:val="20"/>
        </w:rPr>
        <w:t>Whilst our method is rapid at identifying highly promising novel candidate genes, there remains persistent time requirements to validate any results through case series and functional experiments; however, the strength of the method is in rapidly identifying which VUSs to pursue and therefore shortening the process of discovery. We have identified seven Class 1 genes for which we are accruing case series on six of these and have started functional studies in four (</w:t>
      </w:r>
      <w:r w:rsidRPr="00782FF5">
        <w:rPr>
          <w:rFonts w:ascii="Calibri" w:hAnsi="Calibri" w:cs="Calibri"/>
          <w:b/>
          <w:bCs/>
          <w:sz w:val="20"/>
          <w:szCs w:val="20"/>
        </w:rPr>
        <w:t>Table 2</w:t>
      </w:r>
      <w:r>
        <w:rPr>
          <w:rFonts w:ascii="Calibri" w:hAnsi="Calibri" w:cs="Calibri"/>
          <w:sz w:val="20"/>
          <w:szCs w:val="20"/>
        </w:rPr>
        <w:t>). We believe our method provides the opportunity to identify the most salient candidates for follow-on studies, meaning that many patients will have their “most damaging” VUS investigated, when typically, no candidates would have been pursued.</w:t>
      </w:r>
    </w:p>
    <w:p w14:paraId="57027487" w14:textId="77777777" w:rsidR="00F52E06" w:rsidRDefault="00F52E06" w:rsidP="001454E9">
      <w:pPr>
        <w:spacing w:line="480" w:lineRule="auto"/>
        <w:rPr>
          <w:rFonts w:ascii="Calibri" w:hAnsi="Calibri" w:cs="Calibri"/>
          <w:sz w:val="20"/>
          <w:szCs w:val="20"/>
        </w:rPr>
      </w:pPr>
    </w:p>
    <w:p w14:paraId="143D3570" w14:textId="77777777" w:rsidR="00F52E06" w:rsidRPr="00EA372B" w:rsidRDefault="00F52E06" w:rsidP="001454E9">
      <w:pPr>
        <w:spacing w:line="480" w:lineRule="auto"/>
        <w:rPr>
          <w:rFonts w:ascii="Calibri" w:hAnsi="Calibri" w:cs="Calibri"/>
          <w:sz w:val="20"/>
          <w:szCs w:val="20"/>
          <w:u w:val="single"/>
        </w:rPr>
      </w:pPr>
      <w:r>
        <w:rPr>
          <w:rFonts w:ascii="Calibri" w:hAnsi="Calibri" w:cs="Calibri"/>
          <w:sz w:val="20"/>
          <w:szCs w:val="20"/>
          <w:u w:val="single"/>
        </w:rPr>
        <w:t>Considerations and limitations</w:t>
      </w:r>
    </w:p>
    <w:p w14:paraId="0B37CDBA" w14:textId="77777777" w:rsidR="00F52E06" w:rsidRPr="006E1ED1" w:rsidRDefault="00F52E06" w:rsidP="001454E9">
      <w:pPr>
        <w:spacing w:line="480" w:lineRule="auto"/>
        <w:rPr>
          <w:rFonts w:ascii="Calibri" w:hAnsi="Calibri" w:cs="Calibri"/>
          <w:i/>
          <w:iCs/>
          <w:sz w:val="20"/>
          <w:szCs w:val="20"/>
        </w:rPr>
      </w:pPr>
      <w:r>
        <w:rPr>
          <w:rFonts w:ascii="Calibri" w:hAnsi="Calibri" w:cs="Calibri"/>
          <w:i/>
          <w:iCs/>
          <w:sz w:val="20"/>
          <w:szCs w:val="20"/>
        </w:rPr>
        <w:t>De novo analysis applied to predominantly neurodevelopmental phenotypes</w:t>
      </w:r>
      <w:r w:rsidRPr="006E1ED1">
        <w:rPr>
          <w:rFonts w:ascii="Calibri" w:hAnsi="Calibri" w:cs="Calibri"/>
          <w:i/>
          <w:iCs/>
          <w:sz w:val="20"/>
          <w:szCs w:val="20"/>
        </w:rPr>
        <w:t>:</w:t>
      </w:r>
    </w:p>
    <w:p w14:paraId="76DC0958" w14:textId="77777777" w:rsidR="00F52E06" w:rsidRDefault="00F52E06" w:rsidP="001454E9">
      <w:pPr>
        <w:spacing w:line="480" w:lineRule="auto"/>
        <w:rPr>
          <w:rFonts w:ascii="Calibri" w:hAnsi="Calibri" w:cs="Calibri"/>
          <w:sz w:val="20"/>
          <w:szCs w:val="20"/>
        </w:rPr>
      </w:pPr>
      <w:r>
        <w:rPr>
          <w:rFonts w:ascii="Calibri" w:hAnsi="Calibri" w:cs="Calibri"/>
          <w:sz w:val="20"/>
          <w:szCs w:val="20"/>
        </w:rPr>
        <w:t xml:space="preserve">We utilised trios for </w:t>
      </w:r>
      <w:r w:rsidRPr="00386018">
        <w:rPr>
          <w:rFonts w:ascii="Calibri" w:hAnsi="Calibri" w:cs="Calibri"/>
          <w:i/>
          <w:iCs/>
          <w:sz w:val="20"/>
          <w:szCs w:val="20"/>
        </w:rPr>
        <w:t>de novo</w:t>
      </w:r>
      <w:r>
        <w:rPr>
          <w:rFonts w:ascii="Calibri" w:hAnsi="Calibri" w:cs="Calibri"/>
          <w:sz w:val="20"/>
          <w:szCs w:val="20"/>
        </w:rPr>
        <w:t xml:space="preserve"> analysis, meaning that families without trio data were excluded. However, with plans to sequence 5 million more genomes in the UK, we believe our method will prove increasing more effective. Furthermore, we plan to refine our analysis to query all affected individuals in GEL with pLoF variants in our novel disease gene contenders, even if segregation data is unavailable.</w:t>
      </w:r>
    </w:p>
    <w:p w14:paraId="725F7EAF" w14:textId="77777777" w:rsidR="00F52E06" w:rsidRDefault="00F52E06" w:rsidP="001454E9">
      <w:pPr>
        <w:spacing w:line="480" w:lineRule="auto"/>
        <w:rPr>
          <w:rFonts w:ascii="Calibri" w:hAnsi="Calibri" w:cs="Calibri"/>
          <w:sz w:val="20"/>
          <w:szCs w:val="20"/>
        </w:rPr>
      </w:pPr>
    </w:p>
    <w:p w14:paraId="548BFA61" w14:textId="77777777" w:rsidR="00F52E06" w:rsidRDefault="00F52E06" w:rsidP="001454E9">
      <w:pPr>
        <w:spacing w:line="480" w:lineRule="auto"/>
        <w:rPr>
          <w:rStyle w:val="normaltextrun"/>
          <w:rFonts w:ascii="Calibri" w:hAnsi="Calibri" w:cs="Calibri"/>
          <w:color w:val="000000"/>
          <w:sz w:val="20"/>
          <w:szCs w:val="20"/>
          <w:shd w:val="clear" w:color="auto" w:fill="FFFFFF"/>
        </w:rPr>
      </w:pPr>
      <w:r>
        <w:rPr>
          <w:rFonts w:ascii="Calibri" w:hAnsi="Calibri" w:cs="Calibri"/>
          <w:sz w:val="20"/>
          <w:szCs w:val="20"/>
        </w:rPr>
        <w:t xml:space="preserve">The 100,000 Genomes Project is enriched for patients with rare neurodevelopmental disorders and therefore we risk comparing patient phenotypes within a cohort enriched for similar phenotypes. We were cautious of defining phenotype overlap as any two patients exactly matching on one HPO term, however due to the variability in number of HPO terms reported in GEL, this maximized sensitivity of Class 1 genes </w:t>
      </w:r>
      <w:r>
        <w:rPr>
          <w:rStyle w:val="normaltextrun"/>
          <w:rFonts w:ascii="Calibri" w:hAnsi="Calibri" w:cs="Calibri"/>
          <w:color w:val="000000"/>
          <w:sz w:val="20"/>
          <w:szCs w:val="20"/>
          <w:shd w:val="clear" w:color="auto" w:fill="FFFFFF"/>
        </w:rPr>
        <w:t>and enabled us to correctly predict </w:t>
      </w:r>
      <w:r>
        <w:rPr>
          <w:rStyle w:val="normaltextrun"/>
          <w:rFonts w:ascii="Calibri" w:hAnsi="Calibri" w:cs="Calibri"/>
          <w:i/>
          <w:iCs/>
          <w:color w:val="000000"/>
          <w:sz w:val="20"/>
          <w:szCs w:val="20"/>
          <w:shd w:val="clear" w:color="auto" w:fill="FFFFFF"/>
        </w:rPr>
        <w:t>SPEN</w:t>
      </w:r>
      <w:r>
        <w:rPr>
          <w:rStyle w:val="normaltextrun"/>
          <w:rFonts w:ascii="Calibri" w:hAnsi="Calibri" w:cs="Calibri"/>
          <w:color w:val="000000"/>
          <w:sz w:val="20"/>
          <w:szCs w:val="20"/>
          <w:shd w:val="clear" w:color="auto" w:fill="FFFFFF"/>
        </w:rPr>
        <w:t> and </w:t>
      </w:r>
      <w:r>
        <w:rPr>
          <w:rStyle w:val="normaltextrun"/>
          <w:rFonts w:ascii="Calibri" w:hAnsi="Calibri" w:cs="Calibri"/>
          <w:i/>
          <w:iCs/>
          <w:color w:val="000000"/>
          <w:sz w:val="20"/>
          <w:szCs w:val="20"/>
          <w:shd w:val="clear" w:color="auto" w:fill="FFFFFF"/>
        </w:rPr>
        <w:t>TANC2</w:t>
      </w:r>
      <w:r>
        <w:rPr>
          <w:rStyle w:val="normaltextrun"/>
          <w:rFonts w:ascii="Calibri" w:hAnsi="Calibri" w:cs="Calibri"/>
          <w:color w:val="000000"/>
          <w:sz w:val="20"/>
          <w:szCs w:val="20"/>
          <w:shd w:val="clear" w:color="auto" w:fill="FFFFFF"/>
        </w:rPr>
        <w:t> as novel disease genes.</w:t>
      </w:r>
    </w:p>
    <w:p w14:paraId="1911505B" w14:textId="77777777" w:rsidR="00F52E06" w:rsidRDefault="00F52E06" w:rsidP="001454E9">
      <w:pPr>
        <w:spacing w:line="480" w:lineRule="auto"/>
        <w:rPr>
          <w:rStyle w:val="normaltextrun"/>
          <w:rFonts w:ascii="Calibri" w:hAnsi="Calibri" w:cs="Calibri"/>
          <w:color w:val="000000"/>
          <w:sz w:val="20"/>
          <w:szCs w:val="20"/>
          <w:shd w:val="clear" w:color="auto" w:fill="FFFFFF"/>
        </w:rPr>
      </w:pPr>
    </w:p>
    <w:p w14:paraId="484462DD" w14:textId="77777777" w:rsidR="00F52E06" w:rsidRPr="00522EBA" w:rsidRDefault="00F52E06" w:rsidP="005201A3">
      <w:pPr>
        <w:spacing w:line="480" w:lineRule="auto"/>
        <w:rPr>
          <w:rFonts w:ascii="Calibri" w:hAnsi="Calibri" w:cs="Calibri"/>
          <w:i/>
          <w:iCs/>
          <w:sz w:val="20"/>
          <w:szCs w:val="20"/>
        </w:rPr>
      </w:pPr>
      <w:r w:rsidRPr="00522EBA">
        <w:rPr>
          <w:rFonts w:ascii="Calibri" w:hAnsi="Calibri" w:cs="Calibri"/>
          <w:i/>
          <w:iCs/>
          <w:sz w:val="20"/>
          <w:szCs w:val="20"/>
        </w:rPr>
        <w:t>Statistical rigor</w:t>
      </w:r>
      <w:r>
        <w:rPr>
          <w:rFonts w:ascii="Calibri" w:hAnsi="Calibri" w:cs="Calibri"/>
          <w:i/>
          <w:iCs/>
          <w:sz w:val="20"/>
          <w:szCs w:val="20"/>
        </w:rPr>
        <w:t>:</w:t>
      </w:r>
    </w:p>
    <w:p w14:paraId="02918DC8" w14:textId="2CF510F8" w:rsidR="00F52E06" w:rsidRDefault="00F52E06" w:rsidP="001454E9">
      <w:pPr>
        <w:spacing w:line="480" w:lineRule="auto"/>
        <w:rPr>
          <w:rFonts w:ascii="Calibri" w:hAnsi="Calibri" w:cs="Calibri"/>
          <w:sz w:val="20"/>
          <w:szCs w:val="20"/>
        </w:rPr>
      </w:pPr>
      <w:r>
        <w:rPr>
          <w:rFonts w:ascii="Calibri" w:hAnsi="Calibri" w:cs="Calibri"/>
          <w:sz w:val="20"/>
          <w:szCs w:val="20"/>
        </w:rPr>
        <w:t xml:space="preserve">The large number of neurodevelopmental disorders in the dataset caused by many heterogenous genes precludes the reliability of statistical methods to confirm/refute novel disease gene contenders, although with ongoing genome sequencing in the UK this will likely be overcome. Further, we specifically focused on pLoF variants only, meaning that we are not powered even with 3 </w:t>
      </w:r>
      <w:r w:rsidRPr="005201A3">
        <w:rPr>
          <w:rFonts w:ascii="Calibri" w:hAnsi="Calibri" w:cs="Calibri"/>
          <w:i/>
          <w:iCs/>
          <w:sz w:val="20"/>
          <w:szCs w:val="20"/>
        </w:rPr>
        <w:t>de novo</w:t>
      </w:r>
      <w:r>
        <w:rPr>
          <w:rFonts w:ascii="Calibri" w:hAnsi="Calibri" w:cs="Calibri"/>
          <w:sz w:val="20"/>
          <w:szCs w:val="20"/>
        </w:rPr>
        <w:t xml:space="preserve"> variants per gene (the maximum we observed for class 1 </w:t>
      </w:r>
      <w:r>
        <w:rPr>
          <w:rFonts w:ascii="Calibri" w:hAnsi="Calibri" w:cs="Calibri"/>
          <w:sz w:val="20"/>
          <w:szCs w:val="20"/>
        </w:rPr>
        <w:lastRenderedPageBreak/>
        <w:t>candidates) to reach statistical significance using a case/control Fisher’s test and multiple test correction.</w:t>
      </w:r>
      <w:r w:rsidRPr="00E53878">
        <w:rPr>
          <w:rFonts w:ascii="Calibri" w:hAnsi="Calibri" w:cs="Calibri"/>
          <w:noProof/>
          <w:sz w:val="20"/>
          <w:szCs w:val="20"/>
          <w:vertAlign w:val="superscript"/>
        </w:rPr>
        <w:t>14</w:t>
      </w:r>
      <w:r>
        <w:rPr>
          <w:rFonts w:ascii="Calibri" w:hAnsi="Calibri" w:cs="Calibri"/>
          <w:sz w:val="20"/>
          <w:szCs w:val="20"/>
        </w:rPr>
        <w:t xml:space="preserve"> Instead we rely on the established approach of identifying overlapping phenotypes to further prioritise the best candidates for functional validation.</w:t>
      </w:r>
    </w:p>
    <w:p w14:paraId="24F8EECD" w14:textId="77777777" w:rsidR="00F52E06" w:rsidRPr="005201A3" w:rsidRDefault="00F52E06" w:rsidP="001454E9">
      <w:pPr>
        <w:spacing w:line="480" w:lineRule="auto"/>
        <w:rPr>
          <w:rFonts w:ascii="Calibri" w:hAnsi="Calibri" w:cs="Calibri"/>
          <w:sz w:val="20"/>
          <w:szCs w:val="20"/>
        </w:rPr>
      </w:pPr>
    </w:p>
    <w:p w14:paraId="7CEDEA57" w14:textId="77777777" w:rsidR="00F52E06" w:rsidRPr="00D21C41" w:rsidRDefault="00F52E06" w:rsidP="001454E9">
      <w:pPr>
        <w:spacing w:line="480" w:lineRule="auto"/>
        <w:rPr>
          <w:rFonts w:ascii="Calibri" w:hAnsi="Calibri" w:cs="Calibri"/>
          <w:i/>
          <w:iCs/>
          <w:sz w:val="20"/>
          <w:szCs w:val="20"/>
        </w:rPr>
      </w:pPr>
      <w:r w:rsidRPr="001B301C">
        <w:rPr>
          <w:rFonts w:ascii="Calibri" w:hAnsi="Calibri" w:cs="Calibri"/>
          <w:i/>
          <w:iCs/>
          <w:sz w:val="20"/>
          <w:szCs w:val="20"/>
        </w:rPr>
        <w:t>Minor allele frequency:</w:t>
      </w:r>
      <w:r>
        <w:rPr>
          <w:rFonts w:ascii="Calibri" w:hAnsi="Calibri" w:cs="Calibri"/>
          <w:i/>
          <w:iCs/>
          <w:sz w:val="20"/>
          <w:szCs w:val="20"/>
        </w:rPr>
        <w:br/>
      </w:r>
      <w:r>
        <w:rPr>
          <w:rFonts w:ascii="Calibri" w:hAnsi="Calibri" w:cs="Calibri"/>
          <w:sz w:val="20"/>
          <w:szCs w:val="20"/>
        </w:rPr>
        <w:t xml:space="preserve">We used a liberal AF of &lt;0.001, yet the highest variant frequency we observed was 0.0002. The presence of these rare, </w:t>
      </w:r>
      <w:r w:rsidRPr="00A33B40">
        <w:rPr>
          <w:rFonts w:ascii="Calibri" w:hAnsi="Calibri" w:cs="Calibri"/>
          <w:i/>
          <w:iCs/>
          <w:sz w:val="20"/>
          <w:szCs w:val="20"/>
        </w:rPr>
        <w:t>de novo</w:t>
      </w:r>
      <w:r>
        <w:rPr>
          <w:rFonts w:ascii="Calibri" w:hAnsi="Calibri" w:cs="Calibri"/>
          <w:sz w:val="20"/>
          <w:szCs w:val="20"/>
        </w:rPr>
        <w:t xml:space="preserve"> variants within gnomAD could represent recurrent de novo variation.</w:t>
      </w:r>
      <w:r w:rsidRPr="00E53878">
        <w:rPr>
          <w:rFonts w:ascii="Calibri" w:hAnsi="Calibri" w:cs="Calibri"/>
          <w:noProof/>
          <w:sz w:val="20"/>
          <w:szCs w:val="20"/>
          <w:vertAlign w:val="superscript"/>
        </w:rPr>
        <w:t>32</w:t>
      </w:r>
      <w:r>
        <w:rPr>
          <w:rFonts w:ascii="Calibri" w:hAnsi="Calibri" w:cs="Calibri"/>
          <w:sz w:val="20"/>
          <w:szCs w:val="20"/>
        </w:rPr>
        <w:t xml:space="preserve"> While a more restrictive AF would increase confidence of pathogenicity, pathogenic disease variants can be present in population databases due to incomplete penetrance, effects of cis-regulatory variation, and adult-onset disease.</w:t>
      </w:r>
      <w:r w:rsidRPr="001A5577">
        <w:rPr>
          <w:rFonts w:ascii="Calibri" w:hAnsi="Calibri" w:cs="Calibri"/>
          <w:noProof/>
          <w:sz w:val="20"/>
          <w:szCs w:val="20"/>
          <w:vertAlign w:val="superscript"/>
        </w:rPr>
        <w:t>33</w:t>
      </w:r>
      <w:r>
        <w:rPr>
          <w:rFonts w:ascii="Calibri" w:hAnsi="Calibri" w:cs="Calibri"/>
          <w:sz w:val="20"/>
          <w:szCs w:val="20"/>
        </w:rPr>
        <w:t xml:space="preserve"> Nevertheless, our cohort is probably depleted for adult-onset diseases as early-onset conditions are more likely to have complete trios.</w:t>
      </w:r>
    </w:p>
    <w:p w14:paraId="4E440178" w14:textId="77777777" w:rsidR="00F52E06" w:rsidRPr="001B301C" w:rsidRDefault="00F52E06" w:rsidP="001454E9">
      <w:pPr>
        <w:spacing w:line="480" w:lineRule="auto"/>
        <w:rPr>
          <w:rFonts w:ascii="Calibri" w:hAnsi="Calibri" w:cs="Calibri"/>
          <w:i/>
          <w:iCs/>
          <w:sz w:val="20"/>
          <w:szCs w:val="20"/>
        </w:rPr>
      </w:pPr>
    </w:p>
    <w:p w14:paraId="21F927CC" w14:textId="77777777" w:rsidR="00F52E06" w:rsidRPr="006D09FE" w:rsidRDefault="00F52E06" w:rsidP="001454E9">
      <w:pPr>
        <w:spacing w:line="480" w:lineRule="auto"/>
        <w:rPr>
          <w:rFonts w:ascii="Calibri" w:hAnsi="Calibri" w:cs="Calibri"/>
          <w:i/>
          <w:iCs/>
          <w:sz w:val="20"/>
          <w:szCs w:val="20"/>
        </w:rPr>
      </w:pPr>
      <w:r>
        <w:rPr>
          <w:rFonts w:ascii="Calibri" w:hAnsi="Calibri" w:cs="Calibri"/>
          <w:i/>
          <w:iCs/>
          <w:sz w:val="20"/>
          <w:szCs w:val="20"/>
        </w:rPr>
        <w:t>Prioritising</w:t>
      </w:r>
      <w:r w:rsidRPr="001B301C">
        <w:rPr>
          <w:rFonts w:ascii="Calibri" w:hAnsi="Calibri" w:cs="Calibri"/>
          <w:i/>
          <w:iCs/>
          <w:sz w:val="20"/>
          <w:szCs w:val="20"/>
        </w:rPr>
        <w:t xml:space="preserve"> haploinsufficiency</w:t>
      </w:r>
      <w:r>
        <w:rPr>
          <w:rFonts w:ascii="Calibri" w:hAnsi="Calibri" w:cs="Calibri"/>
          <w:i/>
          <w:iCs/>
          <w:sz w:val="20"/>
          <w:szCs w:val="20"/>
        </w:rPr>
        <w:t>:</w:t>
      </w:r>
    </w:p>
    <w:p w14:paraId="6E78705C" w14:textId="4E1E2283" w:rsidR="00F52E06" w:rsidRDefault="00F52E06" w:rsidP="001454E9">
      <w:pPr>
        <w:spacing w:line="480" w:lineRule="auto"/>
        <w:rPr>
          <w:rFonts w:ascii="Calibri" w:hAnsi="Calibri" w:cs="Calibri"/>
          <w:sz w:val="20"/>
          <w:szCs w:val="20"/>
        </w:rPr>
      </w:pPr>
      <w:r>
        <w:rPr>
          <w:rFonts w:ascii="Calibri" w:hAnsi="Calibri" w:cs="Calibri"/>
          <w:sz w:val="20"/>
          <w:szCs w:val="20"/>
        </w:rPr>
        <w:t>Our method is enriched for haploinsufficient disease genes, and we did not prioritise biallelic observations in our analysis.</w:t>
      </w:r>
      <w:r w:rsidRPr="00E53878">
        <w:rPr>
          <w:rFonts w:ascii="Calibri" w:hAnsi="Calibri" w:cs="Calibri"/>
          <w:noProof/>
          <w:sz w:val="20"/>
          <w:szCs w:val="20"/>
          <w:vertAlign w:val="superscript"/>
        </w:rPr>
        <w:t>11</w:t>
      </w:r>
      <w:r>
        <w:rPr>
          <w:rFonts w:ascii="Calibri" w:hAnsi="Calibri" w:cs="Calibri"/>
          <w:sz w:val="20"/>
          <w:szCs w:val="20"/>
        </w:rPr>
        <w:t xml:space="preserve"> Using a LOEUF score &lt;0.2 (top decile), enabled us to select the genes most highly constrained for LoF, although the expectation was that these would be associated with dominant inheritance, meaning our approach is not enriched for autosomal recessive novel gene discovery.. Several genes in the top decile may be embryonically lethal, although we do not expect to observe these in our cohort. With higher LOEUF thresholds it is likely that further haploinsufficient disease genes and even more recessive disease genes will be found, but at the expense of increased noise.</w:t>
      </w:r>
      <w:r w:rsidRPr="00E53878">
        <w:rPr>
          <w:rFonts w:ascii="Calibri" w:hAnsi="Calibri" w:cs="Calibri"/>
          <w:noProof/>
          <w:sz w:val="20"/>
          <w:szCs w:val="20"/>
          <w:vertAlign w:val="superscript"/>
        </w:rPr>
        <w:t>11</w:t>
      </w:r>
    </w:p>
    <w:p w14:paraId="1D7B5C8E" w14:textId="77777777" w:rsidR="00F52E06" w:rsidRDefault="00F52E06" w:rsidP="001454E9">
      <w:pPr>
        <w:spacing w:line="480" w:lineRule="auto"/>
        <w:rPr>
          <w:rFonts w:ascii="Calibri" w:hAnsi="Calibri" w:cs="Calibri"/>
          <w:sz w:val="20"/>
          <w:szCs w:val="20"/>
        </w:rPr>
      </w:pPr>
    </w:p>
    <w:p w14:paraId="209A730D" w14:textId="77777777" w:rsidR="00F52E06" w:rsidRPr="006D09FE" w:rsidRDefault="00F52E06" w:rsidP="001454E9">
      <w:pPr>
        <w:spacing w:line="480" w:lineRule="auto"/>
        <w:rPr>
          <w:rFonts w:ascii="Calibri" w:hAnsi="Calibri" w:cs="Calibri"/>
          <w:i/>
          <w:iCs/>
          <w:sz w:val="20"/>
          <w:szCs w:val="20"/>
        </w:rPr>
      </w:pPr>
      <w:r w:rsidRPr="001B301C">
        <w:rPr>
          <w:rFonts w:ascii="Calibri" w:hAnsi="Calibri" w:cs="Calibri"/>
          <w:i/>
          <w:iCs/>
          <w:sz w:val="20"/>
          <w:szCs w:val="20"/>
        </w:rPr>
        <w:t>Classification of pLoF variants</w:t>
      </w:r>
    </w:p>
    <w:p w14:paraId="0E1876F2" w14:textId="4F14D54D" w:rsidR="00F52E06" w:rsidRDefault="00F52E06" w:rsidP="001454E9">
      <w:pPr>
        <w:spacing w:line="480" w:lineRule="auto"/>
        <w:rPr>
          <w:rFonts w:ascii="Calibri" w:hAnsi="Calibri" w:cs="Calibri"/>
          <w:sz w:val="20"/>
          <w:szCs w:val="20"/>
        </w:rPr>
      </w:pPr>
      <w:r>
        <w:rPr>
          <w:rFonts w:ascii="Calibri" w:hAnsi="Calibri" w:cs="Calibri"/>
          <w:sz w:val="20"/>
          <w:szCs w:val="20"/>
        </w:rPr>
        <w:t xml:space="preserve">We included start loss and stop loss within the category of LoF variants, however these variants often do not constitute true LoF and show selection signatures more </w:t>
      </w:r>
      <w:proofErr w:type="gramStart"/>
      <w:r>
        <w:rPr>
          <w:rFonts w:ascii="Calibri" w:hAnsi="Calibri" w:cs="Calibri"/>
          <w:sz w:val="20"/>
          <w:szCs w:val="20"/>
        </w:rPr>
        <w:t>similar to</w:t>
      </w:r>
      <w:proofErr w:type="gramEnd"/>
      <w:r>
        <w:rPr>
          <w:rFonts w:ascii="Calibri" w:hAnsi="Calibri" w:cs="Calibri"/>
          <w:sz w:val="20"/>
          <w:szCs w:val="20"/>
        </w:rPr>
        <w:t xml:space="preserve"> missense variants.</w:t>
      </w:r>
      <w:r w:rsidRPr="001A5577">
        <w:rPr>
          <w:rFonts w:ascii="Calibri" w:hAnsi="Calibri" w:cs="Calibri"/>
          <w:noProof/>
          <w:sz w:val="20"/>
          <w:szCs w:val="20"/>
          <w:vertAlign w:val="superscript"/>
        </w:rPr>
        <w:t>34</w:t>
      </w:r>
      <w:r>
        <w:rPr>
          <w:rFonts w:ascii="Calibri" w:hAnsi="Calibri" w:cs="Calibri"/>
          <w:sz w:val="20"/>
          <w:szCs w:val="20"/>
        </w:rPr>
        <w:t xml:space="preserve"> We only observed 6 start/stop loss variants, and therefore potential misclassification of these variants is not expected to have substantively impacted our analysis. </w:t>
      </w:r>
      <w:r w:rsidRPr="00EE0AE5">
        <w:rPr>
          <w:rFonts w:ascii="Calibri" w:hAnsi="Calibri" w:cs="Calibri"/>
          <w:sz w:val="20"/>
          <w:szCs w:val="20"/>
        </w:rPr>
        <w:t xml:space="preserve">Our current analysis strategy also misses other LoF variants </w:t>
      </w:r>
      <w:proofErr w:type="gramStart"/>
      <w:r w:rsidRPr="00A33B40">
        <w:rPr>
          <w:rFonts w:ascii="Calibri" w:hAnsi="Calibri" w:cs="Calibri"/>
          <w:color w:val="000000"/>
          <w:sz w:val="20"/>
          <w:szCs w:val="20"/>
        </w:rPr>
        <w:t>e.g.</w:t>
      </w:r>
      <w:proofErr w:type="gramEnd"/>
      <w:r w:rsidRPr="00A33B40">
        <w:rPr>
          <w:rFonts w:ascii="Calibri" w:hAnsi="Calibri" w:cs="Calibri"/>
          <w:color w:val="000000"/>
          <w:sz w:val="20"/>
          <w:szCs w:val="20"/>
        </w:rPr>
        <w:t xml:space="preserve"> </w:t>
      </w:r>
      <w:r>
        <w:rPr>
          <w:rFonts w:ascii="Calibri" w:hAnsi="Calibri" w:cs="Calibri"/>
          <w:color w:val="000000"/>
          <w:sz w:val="20"/>
          <w:szCs w:val="20"/>
        </w:rPr>
        <w:t xml:space="preserve">untranslated </w:t>
      </w:r>
      <w:r>
        <w:rPr>
          <w:rFonts w:ascii="Calibri" w:hAnsi="Calibri" w:cs="Calibri"/>
          <w:color w:val="000000"/>
          <w:sz w:val="20"/>
          <w:szCs w:val="20"/>
        </w:rPr>
        <w:lastRenderedPageBreak/>
        <w:t xml:space="preserve">region </w:t>
      </w:r>
      <w:r w:rsidRPr="00A33B40">
        <w:rPr>
          <w:rFonts w:ascii="Calibri" w:hAnsi="Calibri" w:cs="Calibri"/>
          <w:color w:val="000000"/>
          <w:sz w:val="20"/>
          <w:szCs w:val="20"/>
        </w:rPr>
        <w:t>variants, extended splice site</w:t>
      </w:r>
      <w:r>
        <w:rPr>
          <w:rFonts w:ascii="Calibri" w:hAnsi="Calibri" w:cs="Calibri"/>
          <w:color w:val="000000"/>
          <w:sz w:val="20"/>
          <w:szCs w:val="20"/>
        </w:rPr>
        <w:t>,</w:t>
      </w:r>
      <w:r w:rsidRPr="00A33B40">
        <w:rPr>
          <w:rFonts w:ascii="Calibri" w:hAnsi="Calibri" w:cs="Calibri"/>
          <w:color w:val="000000"/>
          <w:sz w:val="20"/>
          <w:szCs w:val="20"/>
        </w:rPr>
        <w:t xml:space="preserve"> and structural variants (SV). Research into these potential LoF disrupting variants using tools such as UTRannotator</w:t>
      </w:r>
      <w:r w:rsidRPr="00E53878">
        <w:rPr>
          <w:rFonts w:ascii="Calibri" w:hAnsi="Calibri" w:cs="Calibri"/>
          <w:noProof/>
          <w:color w:val="000000"/>
          <w:sz w:val="20"/>
          <w:szCs w:val="20"/>
          <w:vertAlign w:val="superscript"/>
        </w:rPr>
        <w:t>35</w:t>
      </w:r>
      <w:r w:rsidRPr="00A33B40">
        <w:rPr>
          <w:rFonts w:ascii="Calibri" w:hAnsi="Calibri" w:cs="Calibri"/>
          <w:color w:val="000000"/>
          <w:sz w:val="20"/>
          <w:szCs w:val="20"/>
        </w:rPr>
        <w:t>, spliceAI</w:t>
      </w:r>
      <w:r w:rsidRPr="00E53878">
        <w:rPr>
          <w:rFonts w:ascii="Calibri" w:hAnsi="Calibri" w:cs="Calibri"/>
          <w:noProof/>
          <w:color w:val="000000"/>
          <w:sz w:val="20"/>
          <w:szCs w:val="20"/>
          <w:vertAlign w:val="superscript"/>
        </w:rPr>
        <w:t>36</w:t>
      </w:r>
      <w:r w:rsidRPr="00A33B40">
        <w:rPr>
          <w:rFonts w:ascii="Calibri" w:hAnsi="Calibri" w:cs="Calibri"/>
          <w:color w:val="000000"/>
          <w:sz w:val="20"/>
          <w:szCs w:val="20"/>
        </w:rPr>
        <w:t xml:space="preserve"> may further expand the disease gene candidate list.</w:t>
      </w:r>
    </w:p>
    <w:p w14:paraId="5B97DF5B" w14:textId="77777777" w:rsidR="00F52E06" w:rsidRDefault="00F52E06" w:rsidP="001454E9">
      <w:pPr>
        <w:spacing w:line="480" w:lineRule="auto"/>
        <w:rPr>
          <w:rFonts w:ascii="Calibri" w:hAnsi="Calibri" w:cs="Calibri"/>
          <w:sz w:val="20"/>
          <w:szCs w:val="20"/>
        </w:rPr>
      </w:pPr>
    </w:p>
    <w:p w14:paraId="6C607DCC" w14:textId="77777777" w:rsidR="00F52E06" w:rsidRPr="006D09FE" w:rsidRDefault="00F52E06" w:rsidP="001454E9">
      <w:pPr>
        <w:spacing w:line="480" w:lineRule="auto"/>
        <w:rPr>
          <w:rFonts w:ascii="Calibri" w:hAnsi="Calibri" w:cs="Calibri"/>
          <w:i/>
          <w:iCs/>
          <w:sz w:val="20"/>
          <w:szCs w:val="20"/>
        </w:rPr>
      </w:pPr>
      <w:r w:rsidRPr="001B301C">
        <w:rPr>
          <w:rFonts w:ascii="Calibri" w:hAnsi="Calibri" w:cs="Calibri"/>
          <w:i/>
          <w:iCs/>
          <w:sz w:val="20"/>
          <w:szCs w:val="20"/>
        </w:rPr>
        <w:t>False positive pLoF variants</w:t>
      </w:r>
    </w:p>
    <w:p w14:paraId="4CC6EFD9" w14:textId="751ED593" w:rsidR="00F52E06" w:rsidRDefault="00F52E06" w:rsidP="001454E9">
      <w:pPr>
        <w:spacing w:line="480" w:lineRule="auto"/>
        <w:rPr>
          <w:rFonts w:ascii="Calibri" w:hAnsi="Calibri" w:cs="Calibri"/>
          <w:sz w:val="20"/>
          <w:szCs w:val="20"/>
        </w:rPr>
      </w:pPr>
      <w:r>
        <w:rPr>
          <w:rFonts w:ascii="Calibri" w:hAnsi="Calibri" w:cs="Calibri"/>
          <w:sz w:val="20"/>
          <w:szCs w:val="20"/>
        </w:rPr>
        <w:t>Not all pLoF variants truly cause LoF; many are enriched for technical, rescue, and impact errors.</w:t>
      </w:r>
      <w:r w:rsidRPr="00E53878">
        <w:rPr>
          <w:rFonts w:ascii="Calibri" w:hAnsi="Calibri" w:cs="Calibri"/>
          <w:noProof/>
          <w:sz w:val="20"/>
          <w:szCs w:val="20"/>
          <w:vertAlign w:val="superscript"/>
        </w:rPr>
        <w:t>11,33</w:t>
      </w:r>
      <w:r>
        <w:rPr>
          <w:rFonts w:ascii="Calibri" w:hAnsi="Calibri" w:cs="Calibri"/>
          <w:sz w:val="20"/>
          <w:szCs w:val="20"/>
        </w:rPr>
        <w:t xml:space="preserve"> Whilst </w:t>
      </w:r>
      <w:r w:rsidRPr="007E512B">
        <w:rPr>
          <w:rFonts w:ascii="Calibri" w:hAnsi="Calibri" w:cs="Calibri"/>
          <w:i/>
          <w:iCs/>
          <w:sz w:val="20"/>
          <w:szCs w:val="20"/>
        </w:rPr>
        <w:t>in silico</w:t>
      </w:r>
      <w:r>
        <w:rPr>
          <w:rFonts w:ascii="Calibri" w:hAnsi="Calibri" w:cs="Calibri"/>
          <w:sz w:val="20"/>
          <w:szCs w:val="20"/>
        </w:rPr>
        <w:t xml:space="preserve"> tools can identify some of these errors, manual curation is the most effective method to identify potential false positives.</w:t>
      </w:r>
      <w:r w:rsidRPr="001A5577">
        <w:rPr>
          <w:rFonts w:ascii="Calibri" w:hAnsi="Calibri" w:cs="Calibri"/>
          <w:noProof/>
          <w:sz w:val="20"/>
          <w:szCs w:val="20"/>
          <w:vertAlign w:val="superscript"/>
        </w:rPr>
        <w:t>33</w:t>
      </w:r>
      <w:r>
        <w:rPr>
          <w:rFonts w:ascii="Calibri" w:hAnsi="Calibri" w:cs="Calibri"/>
          <w:sz w:val="20"/>
          <w:szCs w:val="20"/>
        </w:rPr>
        <w:t xml:space="preserve"> However, this process is extremely time-consuming and not yet standardised; therefore there is risk that we included false positive LoF variants in our analysis.</w:t>
      </w:r>
      <w:r w:rsidRPr="001A5577">
        <w:rPr>
          <w:rFonts w:ascii="Calibri" w:hAnsi="Calibri" w:cs="Calibri"/>
          <w:noProof/>
          <w:sz w:val="20"/>
          <w:szCs w:val="20"/>
          <w:vertAlign w:val="superscript"/>
        </w:rPr>
        <w:t>33</w:t>
      </w:r>
      <w:r>
        <w:rPr>
          <w:rFonts w:ascii="Calibri" w:hAnsi="Calibri" w:cs="Calibri"/>
          <w:sz w:val="20"/>
          <w:szCs w:val="20"/>
        </w:rPr>
        <w:t xml:space="preserve"> We expect these false positives are more likely to be variants with higher allele frequencies in gnomAD or in Class 2 and 3 genes whereby detailed phenotype data cannot be assessed for overlap. Indeed, 15 of our pLoF variants in Class 2 and 3 genes were in individuals who had an alternative </w:t>
      </w:r>
      <w:r w:rsidR="00DE5D87">
        <w:rPr>
          <w:rFonts w:ascii="Calibri" w:hAnsi="Calibri" w:cs="Calibri"/>
          <w:sz w:val="20"/>
          <w:szCs w:val="20"/>
        </w:rPr>
        <w:t>pathogenic</w:t>
      </w:r>
      <w:r>
        <w:rPr>
          <w:rFonts w:ascii="Calibri" w:hAnsi="Calibri" w:cs="Calibri"/>
          <w:sz w:val="20"/>
          <w:szCs w:val="20"/>
        </w:rPr>
        <w:t xml:space="preserve"> variant (</w:t>
      </w:r>
      <w:r w:rsidRPr="00C252E0">
        <w:rPr>
          <w:rFonts w:ascii="Calibri" w:hAnsi="Calibri" w:cs="Calibri"/>
          <w:b/>
          <w:bCs/>
          <w:sz w:val="20"/>
          <w:szCs w:val="20"/>
        </w:rPr>
        <w:t>Supplementary Table 2</w:t>
      </w:r>
      <w:r>
        <w:rPr>
          <w:rFonts w:ascii="Calibri" w:hAnsi="Calibri" w:cs="Calibri"/>
          <w:sz w:val="20"/>
          <w:szCs w:val="20"/>
        </w:rPr>
        <w:t>). Whilst this does not rule out the potential for a second diagnosis, which occurs up to 5% of the time</w:t>
      </w:r>
      <w:r w:rsidRPr="005313B8">
        <w:rPr>
          <w:rFonts w:ascii="Calibri" w:hAnsi="Calibri" w:cs="Calibri"/>
          <w:noProof/>
          <w:sz w:val="20"/>
          <w:szCs w:val="20"/>
          <w:vertAlign w:val="superscript"/>
        </w:rPr>
        <w:t>6</w:t>
      </w:r>
      <w:r>
        <w:rPr>
          <w:rFonts w:ascii="Calibri" w:hAnsi="Calibri" w:cs="Calibri"/>
          <w:sz w:val="20"/>
          <w:szCs w:val="20"/>
        </w:rPr>
        <w:t>, it does raise the possibility of a variant without functional impact.</w:t>
      </w:r>
    </w:p>
    <w:p w14:paraId="06EC31AD" w14:textId="77777777" w:rsidR="00F52E06" w:rsidRPr="001A5577" w:rsidRDefault="00F52E06" w:rsidP="001454E9">
      <w:pPr>
        <w:spacing w:line="480" w:lineRule="auto"/>
        <w:rPr>
          <w:rFonts w:ascii="Calibri" w:hAnsi="Calibri" w:cs="Calibri"/>
          <w:sz w:val="20"/>
          <w:szCs w:val="20"/>
        </w:rPr>
      </w:pPr>
    </w:p>
    <w:p w14:paraId="2E3A6528" w14:textId="77777777" w:rsidR="00F52E06" w:rsidRPr="00EA372B" w:rsidRDefault="00F52E06" w:rsidP="001454E9">
      <w:pPr>
        <w:spacing w:line="480" w:lineRule="auto"/>
        <w:rPr>
          <w:rFonts w:ascii="Calibri" w:hAnsi="Calibri" w:cs="Calibri"/>
          <w:b/>
        </w:rPr>
      </w:pPr>
      <w:r w:rsidRPr="001B301C">
        <w:rPr>
          <w:rFonts w:ascii="Calibri" w:hAnsi="Calibri" w:cs="Calibri"/>
          <w:b/>
        </w:rPr>
        <w:t>Conclusion</w:t>
      </w:r>
    </w:p>
    <w:p w14:paraId="114788ED" w14:textId="77777777" w:rsidR="00F52E06" w:rsidRDefault="00F52E06" w:rsidP="001454E9">
      <w:pPr>
        <w:spacing w:line="480" w:lineRule="auto"/>
        <w:rPr>
          <w:rFonts w:cstheme="minorHAnsi"/>
          <w:sz w:val="20"/>
          <w:szCs w:val="20"/>
        </w:rPr>
      </w:pPr>
      <w:r>
        <w:rPr>
          <w:rFonts w:ascii="Calibri" w:hAnsi="Calibri" w:cs="Calibri"/>
          <w:bCs/>
          <w:sz w:val="20"/>
          <w:szCs w:val="20"/>
        </w:rPr>
        <w:t xml:space="preserve">Utilising a large cohort and adopting a highly efficient gene-based approach can accelerate novel gene discovery and target the most appropriate variants and genes for functional validation. This can uplift diagnostic rates and add new disease genes to clinical gene panels. </w:t>
      </w:r>
    </w:p>
    <w:p w14:paraId="005C93F7" w14:textId="77777777" w:rsidR="00F52E06" w:rsidRDefault="00F52E06" w:rsidP="001454E9">
      <w:pPr>
        <w:spacing w:line="480" w:lineRule="auto"/>
        <w:rPr>
          <w:rFonts w:cstheme="minorHAnsi"/>
          <w:sz w:val="20"/>
          <w:szCs w:val="20"/>
        </w:rPr>
      </w:pPr>
    </w:p>
    <w:p w14:paraId="7AA5101E" w14:textId="4EC7F727" w:rsidR="00F52E06" w:rsidRDefault="00F52E06" w:rsidP="001454E9">
      <w:pPr>
        <w:spacing w:line="480" w:lineRule="auto"/>
        <w:rPr>
          <w:rFonts w:ascii="Calibri" w:hAnsi="Calibri" w:cs="Calibri"/>
          <w:bCs/>
          <w:sz w:val="20"/>
          <w:szCs w:val="20"/>
        </w:rPr>
      </w:pPr>
      <w:r>
        <w:rPr>
          <w:rFonts w:ascii="Calibri" w:hAnsi="Calibri" w:cs="Calibri"/>
          <w:bCs/>
          <w:sz w:val="20"/>
          <w:szCs w:val="20"/>
        </w:rPr>
        <w:t xml:space="preserve">As rare disease cohorts continue to increase, there is increasing demand to automate analyses and reduce the burden of variants requiring analysis by clinical scientists. With increasing study sizes, our method should be better powered to detect rare </w:t>
      </w:r>
      <w:r w:rsidR="00DE5D87">
        <w:rPr>
          <w:rFonts w:ascii="Calibri" w:hAnsi="Calibri" w:cs="Calibri"/>
          <w:bCs/>
          <w:sz w:val="20"/>
          <w:szCs w:val="20"/>
        </w:rPr>
        <w:t>pathogenic</w:t>
      </w:r>
      <w:r>
        <w:rPr>
          <w:rFonts w:ascii="Calibri" w:hAnsi="Calibri" w:cs="Calibri"/>
          <w:bCs/>
          <w:sz w:val="20"/>
          <w:szCs w:val="20"/>
        </w:rPr>
        <w:t xml:space="preserve"> variation shared across individuals but necessitates real-time comparison to previously generated large datasets if the approach is to be used in routine diagnostics. Assessing phenotype overlap is an important step in our method and with drives towards data sharing, there is opportunity to securely access data and apply automated phenotype matching within and across cohorts using trusted research environments, such as the NHGRI’s Genomic Data Science Analysis, Visualisation, and Informatics Lab (AnVIL) space.</w:t>
      </w:r>
      <w:r w:rsidR="006D7419" w:rsidRPr="00357C62">
        <w:rPr>
          <w:rFonts w:ascii="Calibri" w:hAnsi="Calibri" w:cs="Calibri"/>
          <w:bCs/>
          <w:sz w:val="20"/>
          <w:szCs w:val="20"/>
          <w:vertAlign w:val="superscript"/>
        </w:rPr>
        <w:t>37</w:t>
      </w:r>
      <w:r w:rsidR="006D7419" w:rsidDel="006D7419">
        <w:rPr>
          <w:rFonts w:ascii="Calibri" w:hAnsi="Calibri" w:cs="Calibri"/>
          <w:bCs/>
          <w:noProof/>
          <w:sz w:val="20"/>
          <w:szCs w:val="20"/>
          <w:vertAlign w:val="superscript"/>
        </w:rPr>
        <w:t xml:space="preserve"> </w:t>
      </w:r>
    </w:p>
    <w:p w14:paraId="2968413E" w14:textId="77777777" w:rsidR="00F52E06" w:rsidRDefault="00F52E06" w:rsidP="001454E9">
      <w:pPr>
        <w:spacing w:line="480" w:lineRule="auto"/>
        <w:rPr>
          <w:rFonts w:ascii="Calibri" w:hAnsi="Calibri" w:cs="Calibri"/>
          <w:bCs/>
          <w:sz w:val="20"/>
          <w:szCs w:val="20"/>
        </w:rPr>
      </w:pPr>
    </w:p>
    <w:p w14:paraId="1F9BB06E" w14:textId="265CB495" w:rsidR="00F52E06" w:rsidRDefault="00F52E06" w:rsidP="001454E9">
      <w:pPr>
        <w:spacing w:line="480" w:lineRule="auto"/>
        <w:rPr>
          <w:rFonts w:ascii="Calibri" w:hAnsi="Calibri" w:cs="Calibri"/>
          <w:sz w:val="20"/>
          <w:szCs w:val="20"/>
        </w:rPr>
      </w:pPr>
      <w:r w:rsidRPr="000E236D">
        <w:rPr>
          <w:rFonts w:ascii="Calibri" w:hAnsi="Calibri" w:cs="Calibri"/>
          <w:bCs/>
          <w:sz w:val="20"/>
          <w:szCs w:val="20"/>
        </w:rPr>
        <w:t xml:space="preserve">We anticipate our method can be applied by other researchers to their own cohorts; however, we emphasize the importance of trio analyses, </w:t>
      </w:r>
      <w:r w:rsidRPr="000E236D">
        <w:rPr>
          <w:rFonts w:ascii="Calibri" w:hAnsi="Calibri" w:cs="Calibri"/>
          <w:sz w:val="20"/>
          <w:szCs w:val="20"/>
        </w:rPr>
        <w:t xml:space="preserve">and encourage prudence when determining what constitutes </w:t>
      </w:r>
      <w:r>
        <w:rPr>
          <w:rFonts w:ascii="Calibri" w:hAnsi="Calibri" w:cs="Calibri"/>
          <w:sz w:val="20"/>
          <w:szCs w:val="20"/>
        </w:rPr>
        <w:t>LoF</w:t>
      </w:r>
      <w:r w:rsidRPr="000E236D">
        <w:rPr>
          <w:rFonts w:ascii="Calibri" w:hAnsi="Calibri" w:cs="Calibri"/>
          <w:sz w:val="20"/>
          <w:szCs w:val="20"/>
        </w:rPr>
        <w:t xml:space="preserve">. We demonstrate that gene-based approaches can </w:t>
      </w:r>
      <w:r>
        <w:rPr>
          <w:rFonts w:ascii="Calibri" w:hAnsi="Calibri" w:cs="Calibri"/>
          <w:sz w:val="20"/>
          <w:szCs w:val="20"/>
        </w:rPr>
        <w:t>successfully identify novel disease genes, and with larger</w:t>
      </w:r>
      <w:r w:rsidRPr="000E236D">
        <w:rPr>
          <w:rFonts w:ascii="Calibri" w:hAnsi="Calibri" w:cs="Calibri"/>
          <w:sz w:val="20"/>
          <w:szCs w:val="20"/>
        </w:rPr>
        <w:t xml:space="preserve"> rare disease cohorts it is hoped that more </w:t>
      </w:r>
      <w:r>
        <w:rPr>
          <w:rFonts w:ascii="Calibri" w:hAnsi="Calibri" w:cs="Calibri"/>
          <w:sz w:val="20"/>
          <w:szCs w:val="20"/>
        </w:rPr>
        <w:t xml:space="preserve">discoveries </w:t>
      </w:r>
      <w:r w:rsidRPr="000E236D">
        <w:rPr>
          <w:rFonts w:ascii="Calibri" w:hAnsi="Calibri" w:cs="Calibri"/>
          <w:sz w:val="20"/>
          <w:szCs w:val="20"/>
        </w:rPr>
        <w:t>will be identified for the benefit of patients, their families, and the wider scientific community.</w:t>
      </w:r>
    </w:p>
    <w:p w14:paraId="4D888AA0" w14:textId="0A3AF571" w:rsidR="00C03364" w:rsidRDefault="00C03364" w:rsidP="001454E9">
      <w:pPr>
        <w:spacing w:line="480" w:lineRule="auto"/>
        <w:rPr>
          <w:rFonts w:ascii="Calibri" w:hAnsi="Calibri" w:cs="Calibri"/>
          <w:sz w:val="20"/>
          <w:szCs w:val="20"/>
        </w:rPr>
      </w:pPr>
    </w:p>
    <w:p w14:paraId="38132193" w14:textId="6D47C901" w:rsidR="00C03364" w:rsidRPr="00C03364" w:rsidRDefault="00C03364" w:rsidP="00C03364">
      <w:pPr>
        <w:spacing w:line="360" w:lineRule="auto"/>
        <w:rPr>
          <w:rFonts w:ascii="Calibri" w:hAnsi="Calibri" w:cs="Calibri"/>
          <w:b/>
          <w:bCs/>
          <w:sz w:val="20"/>
          <w:szCs w:val="20"/>
        </w:rPr>
      </w:pPr>
      <w:r w:rsidRPr="00C03364">
        <w:rPr>
          <w:rFonts w:ascii="Calibri" w:hAnsi="Calibri" w:cs="Calibri"/>
          <w:b/>
          <w:bCs/>
          <w:sz w:val="20"/>
          <w:szCs w:val="20"/>
        </w:rPr>
        <w:t>Declarations</w:t>
      </w:r>
    </w:p>
    <w:p w14:paraId="50FBD001" w14:textId="77777777" w:rsidR="00C03364" w:rsidRPr="00C03364" w:rsidRDefault="00C03364" w:rsidP="00C03364">
      <w:pPr>
        <w:pStyle w:val="Default"/>
        <w:spacing w:line="360" w:lineRule="auto"/>
        <w:rPr>
          <w:rFonts w:ascii="Calibri" w:hAnsi="Calibri" w:cs="Calibri"/>
          <w:b/>
          <w:bCs/>
          <w:color w:val="000000" w:themeColor="text1"/>
          <w:sz w:val="20"/>
          <w:szCs w:val="20"/>
          <w:highlight w:val="yellow"/>
        </w:rPr>
      </w:pPr>
    </w:p>
    <w:p w14:paraId="67679AC4" w14:textId="77777777" w:rsidR="00C03364" w:rsidRPr="00C03364" w:rsidRDefault="00C03364" w:rsidP="00C03364">
      <w:pPr>
        <w:pStyle w:val="Default"/>
        <w:spacing w:line="360" w:lineRule="auto"/>
        <w:rPr>
          <w:sz w:val="20"/>
          <w:szCs w:val="20"/>
        </w:rPr>
      </w:pPr>
      <w:r w:rsidRPr="00C03364">
        <w:rPr>
          <w:rFonts w:ascii="Calibri" w:hAnsi="Calibri" w:cs="Calibri"/>
          <w:b/>
          <w:bCs/>
          <w:color w:val="000000" w:themeColor="text1"/>
          <w:sz w:val="20"/>
          <w:szCs w:val="20"/>
        </w:rPr>
        <w:t>Ethics approval and consent to participate</w:t>
      </w:r>
      <w:r w:rsidRPr="00C03364">
        <w:rPr>
          <w:rFonts w:ascii="Calibri" w:hAnsi="Calibri" w:cs="Calibri"/>
          <w:b/>
          <w:bCs/>
          <w:color w:val="000000" w:themeColor="text1"/>
          <w:sz w:val="20"/>
          <w:szCs w:val="20"/>
        </w:rPr>
        <w:br/>
      </w:r>
      <w:r w:rsidRPr="00C03364">
        <w:rPr>
          <w:rFonts w:ascii="Calibri" w:hAnsi="Calibri" w:cs="Calibri"/>
          <w:color w:val="000000" w:themeColor="text1"/>
          <w:sz w:val="20"/>
          <w:szCs w:val="20"/>
        </w:rPr>
        <w:t>All patients included in this study consented to participate in the 100,000 Genomes Project - ethics approval by the Health Research Authority (NRES Committee East of England) REC: 14/EE/1112; IRAS: 166046. The ethical approval letter is available upon request.</w:t>
      </w:r>
    </w:p>
    <w:p w14:paraId="0CA93A55" w14:textId="77777777" w:rsidR="00C03364" w:rsidRPr="00C03364" w:rsidRDefault="00C03364" w:rsidP="00C03364">
      <w:pPr>
        <w:shd w:val="clear" w:color="auto" w:fill="FFFFFF"/>
        <w:spacing w:before="100" w:beforeAutospacing="1" w:after="96" w:line="360" w:lineRule="auto"/>
        <w:rPr>
          <w:rFonts w:ascii="Calibri" w:hAnsi="Calibri" w:cs="Calibri"/>
          <w:color w:val="000000" w:themeColor="text1"/>
          <w:sz w:val="20"/>
          <w:szCs w:val="20"/>
          <w:u w:val="single"/>
        </w:rPr>
      </w:pPr>
      <w:r w:rsidRPr="00C03364">
        <w:rPr>
          <w:rFonts w:ascii="Calibri" w:hAnsi="Calibri" w:cs="Calibri"/>
          <w:b/>
          <w:bCs/>
          <w:color w:val="000000" w:themeColor="text1"/>
          <w:sz w:val="20"/>
          <w:szCs w:val="20"/>
        </w:rPr>
        <w:t>Consent for publication</w:t>
      </w:r>
      <w:r w:rsidRPr="00C03364">
        <w:rPr>
          <w:rFonts w:ascii="Calibri" w:hAnsi="Calibri" w:cs="Calibri"/>
          <w:color w:val="000000" w:themeColor="text1"/>
          <w:sz w:val="20"/>
          <w:szCs w:val="20"/>
          <w:u w:val="single"/>
        </w:rPr>
        <w:br/>
      </w:r>
      <w:r w:rsidRPr="00C03364">
        <w:rPr>
          <w:rFonts w:ascii="Calibri" w:hAnsi="Calibri" w:cs="Calibri"/>
          <w:color w:val="000000" w:themeColor="text1"/>
          <w:sz w:val="20"/>
          <w:szCs w:val="20"/>
        </w:rPr>
        <w:t>Not applicable</w:t>
      </w:r>
    </w:p>
    <w:p w14:paraId="532F7C49" w14:textId="77777777" w:rsidR="00C03364" w:rsidRPr="00C03364" w:rsidRDefault="00C03364" w:rsidP="00C03364">
      <w:pPr>
        <w:shd w:val="clear" w:color="auto" w:fill="FFFFFF"/>
        <w:spacing w:before="100" w:beforeAutospacing="1" w:after="96" w:line="360" w:lineRule="auto"/>
        <w:rPr>
          <w:rFonts w:ascii="Calibri" w:hAnsi="Calibri" w:cs="Calibri"/>
          <w:color w:val="000000" w:themeColor="text1"/>
          <w:sz w:val="20"/>
          <w:szCs w:val="20"/>
          <w:u w:val="single"/>
        </w:rPr>
      </w:pPr>
      <w:r w:rsidRPr="00C03364">
        <w:rPr>
          <w:rFonts w:ascii="Calibri" w:hAnsi="Calibri" w:cs="Calibri"/>
          <w:b/>
          <w:bCs/>
          <w:color w:val="000000" w:themeColor="text1"/>
          <w:sz w:val="20"/>
          <w:szCs w:val="20"/>
        </w:rPr>
        <w:t>Availability of data and materials</w:t>
      </w:r>
      <w:r w:rsidRPr="00C03364">
        <w:rPr>
          <w:rFonts w:ascii="Calibri" w:hAnsi="Calibri" w:cs="Calibri"/>
          <w:color w:val="000000" w:themeColor="text1"/>
          <w:sz w:val="20"/>
          <w:szCs w:val="20"/>
          <w:u w:val="single"/>
        </w:rPr>
        <w:br/>
      </w:r>
      <w:r w:rsidRPr="00C03364">
        <w:rPr>
          <w:rFonts w:ascii="Calibri" w:hAnsi="Calibri" w:cs="Calibri"/>
          <w:color w:val="000000" w:themeColor="text1"/>
          <w:sz w:val="20"/>
          <w:szCs w:val="20"/>
        </w:rPr>
        <w:t xml:space="preserve">The anonymised phenotype and genotype data that support the findings of this study are only available as a registered GeCIP member in the Genomics England Research Environment, but restrictions apply to the availability of these data due to data protection and are not publicly available. Information regarding how to apply for data access is available at the following url: </w:t>
      </w:r>
      <w:hyperlink r:id="rId14" w:history="1">
        <w:r w:rsidRPr="00C03364">
          <w:rPr>
            <w:rStyle w:val="Hyperlink"/>
            <w:rFonts w:ascii="Calibri" w:hAnsi="Calibri" w:cs="Calibri"/>
            <w:sz w:val="20"/>
            <w:szCs w:val="20"/>
          </w:rPr>
          <w:t>https://www.genomicsengland.co.uk/about-gecip/for-gecip-members/data-and-data-access/</w:t>
        </w:r>
      </w:hyperlink>
      <w:r w:rsidRPr="00C03364">
        <w:rPr>
          <w:rFonts w:ascii="Calibri" w:hAnsi="Calibri" w:cs="Calibri"/>
          <w:color w:val="000000" w:themeColor="text1"/>
          <w:sz w:val="20"/>
          <w:szCs w:val="20"/>
        </w:rPr>
        <w:t>. No individual’s variant or phenotype data can be shared or published due to data sharing restrictions. All data shared in this manuscript were approved for export by Genomics England.</w:t>
      </w:r>
    </w:p>
    <w:p w14:paraId="5FBFD934" w14:textId="77777777" w:rsidR="00C03364" w:rsidRPr="00C03364" w:rsidRDefault="00C03364" w:rsidP="00C03364">
      <w:pPr>
        <w:shd w:val="clear" w:color="auto" w:fill="FFFFFF"/>
        <w:spacing w:before="100" w:beforeAutospacing="1" w:after="96" w:line="360" w:lineRule="auto"/>
        <w:rPr>
          <w:rFonts w:ascii="Calibri" w:hAnsi="Calibri" w:cs="Calibri"/>
          <w:color w:val="000000" w:themeColor="text1"/>
          <w:sz w:val="20"/>
          <w:szCs w:val="20"/>
          <w:u w:val="single"/>
        </w:rPr>
      </w:pPr>
      <w:r w:rsidRPr="00C03364">
        <w:rPr>
          <w:rFonts w:ascii="Calibri" w:hAnsi="Calibri" w:cs="Calibri"/>
          <w:b/>
          <w:bCs/>
          <w:color w:val="000000" w:themeColor="text1"/>
          <w:sz w:val="20"/>
          <w:szCs w:val="20"/>
        </w:rPr>
        <w:t>Competing interests</w:t>
      </w:r>
      <w:r w:rsidRPr="00C03364">
        <w:rPr>
          <w:rFonts w:ascii="Calibri" w:hAnsi="Calibri" w:cs="Calibri"/>
          <w:color w:val="000000" w:themeColor="text1"/>
          <w:sz w:val="20"/>
          <w:szCs w:val="20"/>
          <w:u w:val="single"/>
        </w:rPr>
        <w:br/>
      </w:r>
      <w:r w:rsidRPr="00C03364">
        <w:rPr>
          <w:rFonts w:ascii="Calibri" w:hAnsi="Calibri" w:cs="Calibri"/>
          <w:color w:val="000000" w:themeColor="text1"/>
          <w:sz w:val="20"/>
          <w:szCs w:val="20"/>
        </w:rPr>
        <w:t>No competing interests or conflicts to declare.</w:t>
      </w:r>
      <w:r w:rsidRPr="00C03364">
        <w:rPr>
          <w:rFonts w:ascii="Calibri" w:hAnsi="Calibri" w:cs="Calibri"/>
          <w:color w:val="000000" w:themeColor="text1"/>
          <w:sz w:val="20"/>
          <w:szCs w:val="20"/>
        </w:rPr>
        <w:br/>
      </w:r>
    </w:p>
    <w:p w14:paraId="5DFC942E" w14:textId="77777777" w:rsidR="00C03364" w:rsidRPr="00C03364" w:rsidRDefault="00C03364" w:rsidP="00C03364">
      <w:pPr>
        <w:spacing w:line="360" w:lineRule="auto"/>
        <w:rPr>
          <w:rFonts w:ascii="Calibri" w:hAnsi="Calibri" w:cs="Calibri"/>
          <w:b/>
          <w:bCs/>
          <w:sz w:val="20"/>
          <w:szCs w:val="20"/>
        </w:rPr>
      </w:pPr>
      <w:r w:rsidRPr="00C03364">
        <w:rPr>
          <w:rFonts w:ascii="Calibri" w:hAnsi="Calibri" w:cs="Calibri"/>
          <w:b/>
          <w:bCs/>
          <w:sz w:val="20"/>
          <w:szCs w:val="20"/>
        </w:rPr>
        <w:t>Funding</w:t>
      </w:r>
    </w:p>
    <w:p w14:paraId="3DCD7EF4" w14:textId="77777777" w:rsidR="00C03364" w:rsidRPr="00C03364" w:rsidRDefault="00C03364" w:rsidP="00C03364">
      <w:pPr>
        <w:spacing w:line="360" w:lineRule="auto"/>
        <w:rPr>
          <w:rFonts w:ascii="Calibri" w:hAnsi="Calibri" w:cs="Calibri"/>
          <w:color w:val="000000" w:themeColor="text1"/>
          <w:sz w:val="20"/>
          <w:szCs w:val="20"/>
        </w:rPr>
      </w:pPr>
      <w:r w:rsidRPr="00C03364">
        <w:rPr>
          <w:rFonts w:ascii="Calibri" w:hAnsi="Calibri" w:cs="Calibri"/>
          <w:color w:val="000000" w:themeColor="text1"/>
          <w:sz w:val="20"/>
          <w:szCs w:val="20"/>
          <w:shd w:val="clear" w:color="auto" w:fill="FFFFFF"/>
        </w:rPr>
        <w:t xml:space="preserve">EGS was supported by the </w:t>
      </w:r>
      <w:proofErr w:type="spellStart"/>
      <w:r w:rsidRPr="00C03364">
        <w:rPr>
          <w:rFonts w:ascii="Calibri" w:hAnsi="Calibri" w:cs="Calibri"/>
          <w:color w:val="000000" w:themeColor="text1"/>
          <w:sz w:val="20"/>
          <w:szCs w:val="20"/>
          <w:shd w:val="clear" w:color="auto" w:fill="FFFFFF"/>
        </w:rPr>
        <w:t>Kerkut</w:t>
      </w:r>
      <w:proofErr w:type="spellEnd"/>
      <w:r w:rsidRPr="00C03364">
        <w:rPr>
          <w:rFonts w:ascii="Calibri" w:hAnsi="Calibri" w:cs="Calibri"/>
          <w:color w:val="000000" w:themeColor="text1"/>
          <w:sz w:val="20"/>
          <w:szCs w:val="20"/>
          <w:shd w:val="clear" w:color="auto" w:fill="FFFFFF"/>
        </w:rPr>
        <w:t xml:space="preserve"> Charitable Trust and University of Southampton’s Presidential Scholarship Award; HR by the NHGRI U24 HG011450 and U41 HG006834; and AO’D-L by the National Institute of Mental Health U01 MH119689 and Manton Center for Orphan Disease Research Scholar Award. EGS, HLR and AO’D-L were supported by the National Human Genome Research Institute (NHGRI), the National Eye Institute, and the National </w:t>
      </w:r>
      <w:r w:rsidRPr="00C03364">
        <w:rPr>
          <w:rFonts w:ascii="Calibri" w:hAnsi="Calibri" w:cs="Calibri"/>
          <w:color w:val="000000" w:themeColor="text1"/>
          <w:sz w:val="20"/>
          <w:szCs w:val="20"/>
          <w:shd w:val="clear" w:color="auto" w:fill="FFFFFF"/>
        </w:rPr>
        <w:lastRenderedPageBreak/>
        <w:t xml:space="preserve">Heart, Lung and Blood Institute grant UM1 HG008900. </w:t>
      </w:r>
      <w:r w:rsidRPr="00C03364">
        <w:rPr>
          <w:rFonts w:ascii="Calibri" w:hAnsi="Calibri" w:cs="Calibri"/>
          <w:color w:val="000000" w:themeColor="text1"/>
          <w:sz w:val="20"/>
          <w:szCs w:val="20"/>
        </w:rPr>
        <w:t>DB was generously supported by a National Institute of Health Research (NIHR) Research Professorship RP-2016-07-011.</w:t>
      </w:r>
    </w:p>
    <w:p w14:paraId="7F414E08" w14:textId="3F3FE9A0" w:rsidR="00347ACD" w:rsidRDefault="00C03364" w:rsidP="00C03364">
      <w:pPr>
        <w:spacing w:line="360" w:lineRule="auto"/>
        <w:rPr>
          <w:rFonts w:ascii="Calibri" w:hAnsi="Calibri" w:cs="Calibri"/>
          <w:b/>
          <w:bCs/>
          <w:color w:val="000000" w:themeColor="text1"/>
          <w:sz w:val="20"/>
          <w:szCs w:val="20"/>
        </w:rPr>
      </w:pPr>
      <w:r w:rsidRPr="00C03364">
        <w:rPr>
          <w:rFonts w:ascii="Calibri" w:hAnsi="Calibri" w:cs="Calibri"/>
          <w:b/>
          <w:bCs/>
          <w:color w:val="000000" w:themeColor="text1"/>
          <w:sz w:val="20"/>
          <w:szCs w:val="20"/>
        </w:rPr>
        <w:br/>
        <w:t>Authors' contributions</w:t>
      </w:r>
    </w:p>
    <w:p w14:paraId="0F8C331B" w14:textId="1C8FDED8" w:rsidR="00C03364" w:rsidRPr="00C03364" w:rsidRDefault="00347ACD" w:rsidP="00C03364">
      <w:pPr>
        <w:spacing w:line="360" w:lineRule="auto"/>
        <w:rPr>
          <w:rFonts w:ascii="Calibri" w:hAnsi="Calibri" w:cs="Calibri"/>
          <w:color w:val="000000" w:themeColor="text1"/>
          <w:sz w:val="20"/>
          <w:szCs w:val="20"/>
        </w:rPr>
      </w:pPr>
      <w:r>
        <w:rPr>
          <w:rFonts w:ascii="Calibri" w:hAnsi="Calibri" w:cs="Calibri"/>
          <w:color w:val="000000" w:themeColor="text1"/>
          <w:sz w:val="20"/>
          <w:szCs w:val="20"/>
        </w:rPr>
        <w:t xml:space="preserve">Conceptualization: E.G.S., S.E., </w:t>
      </w:r>
      <w:r w:rsidR="00BB63C1">
        <w:rPr>
          <w:rFonts w:ascii="Calibri" w:hAnsi="Calibri" w:cs="Calibri"/>
          <w:color w:val="000000" w:themeColor="text1"/>
          <w:sz w:val="20"/>
          <w:szCs w:val="20"/>
        </w:rPr>
        <w:t xml:space="preserve">D.B., </w:t>
      </w:r>
      <w:proofErr w:type="spellStart"/>
      <w:r>
        <w:rPr>
          <w:rFonts w:ascii="Calibri" w:hAnsi="Calibri" w:cs="Calibri"/>
          <w:color w:val="000000" w:themeColor="text1"/>
          <w:sz w:val="20"/>
          <w:szCs w:val="20"/>
        </w:rPr>
        <w:t>A.oD.L</w:t>
      </w:r>
      <w:proofErr w:type="spellEnd"/>
      <w:r>
        <w:rPr>
          <w:rFonts w:ascii="Calibri" w:hAnsi="Calibri" w:cs="Calibri"/>
          <w:color w:val="000000" w:themeColor="text1"/>
          <w:sz w:val="20"/>
          <w:szCs w:val="20"/>
        </w:rPr>
        <w:t>., H.L.M.; Data curation: E.</w:t>
      </w:r>
      <w:proofErr w:type="gramStart"/>
      <w:r>
        <w:rPr>
          <w:rFonts w:ascii="Calibri" w:hAnsi="Calibri" w:cs="Calibri"/>
          <w:color w:val="000000" w:themeColor="text1"/>
          <w:sz w:val="20"/>
          <w:szCs w:val="20"/>
        </w:rPr>
        <w:t>G.S</w:t>
      </w:r>
      <w:proofErr w:type="gramEnd"/>
      <w:r>
        <w:rPr>
          <w:rFonts w:ascii="Calibri" w:hAnsi="Calibri" w:cs="Calibri"/>
          <w:color w:val="000000" w:themeColor="text1"/>
          <w:sz w:val="20"/>
          <w:szCs w:val="20"/>
        </w:rPr>
        <w:t xml:space="preserve">, </w:t>
      </w:r>
      <w:r w:rsidR="00BB63C1">
        <w:rPr>
          <w:rFonts w:ascii="Calibri" w:hAnsi="Calibri" w:cs="Calibri"/>
          <w:color w:val="000000" w:themeColor="text1"/>
          <w:sz w:val="20"/>
          <w:szCs w:val="20"/>
        </w:rPr>
        <w:t xml:space="preserve">D.S., </w:t>
      </w:r>
      <w:r>
        <w:rPr>
          <w:rFonts w:ascii="Calibri" w:hAnsi="Calibri" w:cs="Calibri"/>
          <w:color w:val="000000" w:themeColor="text1"/>
          <w:sz w:val="20"/>
          <w:szCs w:val="20"/>
        </w:rPr>
        <w:t xml:space="preserve">H.B; Formal analysis: E.G.S., </w:t>
      </w:r>
      <w:r w:rsidR="00BB63C1">
        <w:rPr>
          <w:rFonts w:ascii="Calibri" w:hAnsi="Calibri" w:cs="Calibri"/>
          <w:color w:val="000000" w:themeColor="text1"/>
          <w:sz w:val="20"/>
          <w:szCs w:val="20"/>
        </w:rPr>
        <w:t xml:space="preserve">D.S., </w:t>
      </w:r>
      <w:r>
        <w:rPr>
          <w:rFonts w:ascii="Calibri" w:hAnsi="Calibri" w:cs="Calibri"/>
          <w:color w:val="000000" w:themeColor="text1"/>
          <w:sz w:val="20"/>
          <w:szCs w:val="20"/>
        </w:rPr>
        <w:t xml:space="preserve">A.L.T.T., H.B., </w:t>
      </w:r>
      <w:proofErr w:type="spellStart"/>
      <w:r>
        <w:rPr>
          <w:rFonts w:ascii="Calibri" w:hAnsi="Calibri" w:cs="Calibri"/>
          <w:color w:val="000000" w:themeColor="text1"/>
          <w:sz w:val="20"/>
          <w:szCs w:val="20"/>
        </w:rPr>
        <w:t>R.v.J</w:t>
      </w:r>
      <w:proofErr w:type="spellEnd"/>
      <w:r>
        <w:rPr>
          <w:rFonts w:ascii="Calibri" w:hAnsi="Calibri" w:cs="Calibri"/>
          <w:color w:val="000000" w:themeColor="text1"/>
          <w:sz w:val="20"/>
          <w:szCs w:val="20"/>
        </w:rPr>
        <w:t xml:space="preserve">.; Funding acquisition: E.G.S., S.E., </w:t>
      </w:r>
      <w:proofErr w:type="spellStart"/>
      <w:r>
        <w:rPr>
          <w:rFonts w:ascii="Calibri" w:hAnsi="Calibri" w:cs="Calibri"/>
          <w:color w:val="000000" w:themeColor="text1"/>
          <w:sz w:val="20"/>
          <w:szCs w:val="20"/>
        </w:rPr>
        <w:t>A.oD.L</w:t>
      </w:r>
      <w:proofErr w:type="spellEnd"/>
      <w:r>
        <w:rPr>
          <w:rFonts w:ascii="Calibri" w:hAnsi="Calibri" w:cs="Calibri"/>
          <w:color w:val="000000" w:themeColor="text1"/>
          <w:sz w:val="20"/>
          <w:szCs w:val="20"/>
        </w:rPr>
        <w:t>., H.L.M.; Investigation: E.G.S.</w:t>
      </w:r>
      <w:r w:rsidR="00BB63C1">
        <w:rPr>
          <w:rFonts w:ascii="Calibri" w:hAnsi="Calibri" w:cs="Calibri"/>
          <w:color w:val="000000" w:themeColor="text1"/>
          <w:sz w:val="20"/>
          <w:szCs w:val="20"/>
        </w:rPr>
        <w:t xml:space="preserve"> D.S.</w:t>
      </w:r>
      <w:r>
        <w:rPr>
          <w:rFonts w:ascii="Calibri" w:hAnsi="Calibri" w:cs="Calibri"/>
          <w:color w:val="000000" w:themeColor="text1"/>
          <w:sz w:val="20"/>
          <w:szCs w:val="20"/>
        </w:rPr>
        <w:t xml:space="preserve">; Methodology: </w:t>
      </w:r>
      <w:r>
        <w:rPr>
          <w:rFonts w:ascii="Calibri" w:hAnsi="Calibri" w:cs="Calibri"/>
          <w:color w:val="000000" w:themeColor="text1"/>
          <w:sz w:val="20"/>
          <w:szCs w:val="20"/>
        </w:rPr>
        <w:t xml:space="preserve">E.G.S., </w:t>
      </w:r>
      <w:r w:rsidR="00BB63C1">
        <w:rPr>
          <w:rFonts w:ascii="Calibri" w:hAnsi="Calibri" w:cs="Calibri"/>
          <w:color w:val="000000" w:themeColor="text1"/>
          <w:sz w:val="20"/>
          <w:szCs w:val="20"/>
        </w:rPr>
        <w:t xml:space="preserve">D.S., </w:t>
      </w:r>
      <w:r>
        <w:rPr>
          <w:rFonts w:ascii="Calibri" w:hAnsi="Calibri" w:cs="Calibri"/>
          <w:color w:val="000000" w:themeColor="text1"/>
          <w:sz w:val="20"/>
          <w:szCs w:val="20"/>
        </w:rPr>
        <w:t xml:space="preserve">S.E., </w:t>
      </w:r>
      <w:proofErr w:type="spellStart"/>
      <w:r>
        <w:rPr>
          <w:rFonts w:ascii="Calibri" w:hAnsi="Calibri" w:cs="Calibri"/>
          <w:color w:val="000000" w:themeColor="text1"/>
          <w:sz w:val="20"/>
          <w:szCs w:val="20"/>
        </w:rPr>
        <w:t>A.oD.L</w:t>
      </w:r>
      <w:proofErr w:type="spellEnd"/>
      <w:r>
        <w:rPr>
          <w:rFonts w:ascii="Calibri" w:hAnsi="Calibri" w:cs="Calibri"/>
          <w:color w:val="000000" w:themeColor="text1"/>
          <w:sz w:val="20"/>
          <w:szCs w:val="20"/>
        </w:rPr>
        <w:t>., H.L.M.;</w:t>
      </w:r>
      <w:r>
        <w:rPr>
          <w:rFonts w:ascii="Calibri" w:hAnsi="Calibri" w:cs="Calibri"/>
          <w:color w:val="000000" w:themeColor="text1"/>
          <w:sz w:val="20"/>
          <w:szCs w:val="20"/>
        </w:rPr>
        <w:t xml:space="preserve"> Project Administration: </w:t>
      </w:r>
      <w:r w:rsidR="00BB63C1">
        <w:rPr>
          <w:rFonts w:ascii="Calibri" w:hAnsi="Calibri" w:cs="Calibri"/>
          <w:color w:val="000000" w:themeColor="text1"/>
          <w:sz w:val="20"/>
          <w:szCs w:val="20"/>
        </w:rPr>
        <w:t xml:space="preserve">E.G.S., S.E. G.E.R.C; Resources: E.G.S., D.S. G.E.R.S.; Software: E.G.S., D.S.; Supervision: S.E., D.B., </w:t>
      </w:r>
      <w:proofErr w:type="spellStart"/>
      <w:r w:rsidR="00BB63C1">
        <w:rPr>
          <w:rFonts w:ascii="Calibri" w:hAnsi="Calibri" w:cs="Calibri"/>
          <w:color w:val="000000" w:themeColor="text1"/>
          <w:sz w:val="20"/>
          <w:szCs w:val="20"/>
        </w:rPr>
        <w:t>A.oD.L</w:t>
      </w:r>
      <w:proofErr w:type="spellEnd"/>
      <w:r w:rsidR="00BB63C1">
        <w:rPr>
          <w:rFonts w:ascii="Calibri" w:hAnsi="Calibri" w:cs="Calibri"/>
          <w:color w:val="000000" w:themeColor="text1"/>
          <w:sz w:val="20"/>
          <w:szCs w:val="20"/>
        </w:rPr>
        <w:t xml:space="preserve">., H.L.R.; Validation: E.G.S., H.B., A.L.T.T.; Visualization: E.G.S., D.S.; Writing-original draft: E.G.S.; Writing-reviewing &amp; editing: E.G.S., D.S., A.L.T.T., H.B., R.V.J., D.B., </w:t>
      </w:r>
      <w:proofErr w:type="spellStart"/>
      <w:r w:rsidR="00BB63C1">
        <w:rPr>
          <w:rFonts w:ascii="Calibri" w:hAnsi="Calibri" w:cs="Calibri"/>
          <w:color w:val="000000" w:themeColor="text1"/>
          <w:sz w:val="20"/>
          <w:szCs w:val="20"/>
        </w:rPr>
        <w:t>A.oD.L</w:t>
      </w:r>
      <w:proofErr w:type="spellEnd"/>
      <w:r w:rsidR="00BB63C1">
        <w:rPr>
          <w:rFonts w:ascii="Calibri" w:hAnsi="Calibri" w:cs="Calibri"/>
          <w:color w:val="000000" w:themeColor="text1"/>
          <w:sz w:val="20"/>
          <w:szCs w:val="20"/>
        </w:rPr>
        <w:t xml:space="preserve">., </w:t>
      </w:r>
      <w:r w:rsidR="00E34519">
        <w:rPr>
          <w:rFonts w:ascii="Calibri" w:hAnsi="Calibri" w:cs="Calibri"/>
          <w:color w:val="000000" w:themeColor="text1"/>
          <w:sz w:val="20"/>
          <w:szCs w:val="20"/>
        </w:rPr>
        <w:t>H.L.R., S.E.</w:t>
      </w:r>
    </w:p>
    <w:p w14:paraId="10914BD5" w14:textId="77777777" w:rsidR="00C03364" w:rsidRPr="00C03364" w:rsidRDefault="00C03364" w:rsidP="00C03364">
      <w:pPr>
        <w:spacing w:line="360" w:lineRule="auto"/>
        <w:rPr>
          <w:sz w:val="20"/>
          <w:szCs w:val="20"/>
        </w:rPr>
      </w:pPr>
    </w:p>
    <w:p w14:paraId="24166514" w14:textId="75F729FD" w:rsidR="008D30D2" w:rsidRPr="004343B7" w:rsidRDefault="00C03364" w:rsidP="004343B7">
      <w:pPr>
        <w:spacing w:line="360" w:lineRule="auto"/>
        <w:rPr>
          <w:sz w:val="20"/>
          <w:szCs w:val="20"/>
        </w:rPr>
      </w:pPr>
      <w:r w:rsidRPr="00C03364">
        <w:rPr>
          <w:rFonts w:ascii="Calibri" w:hAnsi="Calibri" w:cs="Calibri"/>
          <w:b/>
          <w:bCs/>
          <w:color w:val="000000" w:themeColor="text1"/>
          <w:sz w:val="20"/>
          <w:szCs w:val="20"/>
        </w:rPr>
        <w:t>Acknowledgements</w:t>
      </w:r>
      <w:r w:rsidRPr="00C03364">
        <w:rPr>
          <w:rFonts w:ascii="Calibri" w:hAnsi="Calibri" w:cs="Calibri"/>
          <w:b/>
          <w:bCs/>
          <w:color w:val="000000" w:themeColor="text1"/>
          <w:sz w:val="20"/>
          <w:szCs w:val="20"/>
        </w:rPr>
        <w:br/>
      </w:r>
      <w:r w:rsidRPr="00C03364">
        <w:rPr>
          <w:rStyle w:val="Emphasis"/>
          <w:rFonts w:ascii="Calibri" w:hAnsi="Calibri" w:cs="Calibri"/>
          <w:i w:val="0"/>
          <w:iCs w:val="0"/>
          <w:color w:val="000000" w:themeColor="text1"/>
          <w:sz w:val="20"/>
          <w:szCs w:val="20"/>
          <w:bdr w:val="none" w:sz="0" w:space="0" w:color="auto" w:frame="1"/>
        </w:rPr>
        <w:t xml:space="preserve">This research was made possible through access to the data and findings generated by the 100,000 Genomes Project. The 100,000 Genomes Project is managed by Genomics England Limited (a wholly owned company of the Department of Health and Social Care). The 100,000 Genomes Project is funded by the National Institute for Health Research and NHS England. The </w:t>
      </w:r>
      <w:proofErr w:type="spellStart"/>
      <w:r w:rsidRPr="00C03364">
        <w:rPr>
          <w:rStyle w:val="Emphasis"/>
          <w:rFonts w:ascii="Calibri" w:hAnsi="Calibri" w:cs="Calibri"/>
          <w:i w:val="0"/>
          <w:iCs w:val="0"/>
          <w:color w:val="000000" w:themeColor="text1"/>
          <w:sz w:val="20"/>
          <w:szCs w:val="20"/>
          <w:bdr w:val="none" w:sz="0" w:space="0" w:color="auto" w:frame="1"/>
        </w:rPr>
        <w:t>Wellcome</w:t>
      </w:r>
      <w:proofErr w:type="spellEnd"/>
      <w:r w:rsidRPr="00C03364">
        <w:rPr>
          <w:rStyle w:val="Emphasis"/>
          <w:rFonts w:ascii="Calibri" w:hAnsi="Calibri" w:cs="Calibri"/>
          <w:i w:val="0"/>
          <w:iCs w:val="0"/>
          <w:color w:val="000000" w:themeColor="text1"/>
          <w:sz w:val="20"/>
          <w:szCs w:val="20"/>
          <w:bdr w:val="none" w:sz="0" w:space="0" w:color="auto" w:frame="1"/>
        </w:rPr>
        <w:t xml:space="preserve"> Trust, Cancer Research UK and the Medical Research Council have also funded research infrastructure. The 100,000 Genomes Project uses data provided by patients and collected by the National Health Service as part of their care and support. We would further like to extend our thanks to all the patients and their families for participation in the 100,000 Genomes Project. We are grateful to the Genome Aggregation Database teams for their helpful discussions in the development and application of constraint metrics in novel gene discovery.</w:t>
      </w:r>
    </w:p>
    <w:p w14:paraId="32CC3BB0" w14:textId="77777777" w:rsidR="00F52E06" w:rsidRDefault="00F52E06" w:rsidP="00C9739E">
      <w:pPr>
        <w:spacing w:line="360" w:lineRule="auto"/>
        <w:rPr>
          <w:rFonts w:ascii="Calibri" w:hAnsi="Calibri" w:cs="Calibri"/>
          <w:sz w:val="20"/>
          <w:szCs w:val="20"/>
        </w:rPr>
      </w:pPr>
    </w:p>
    <w:p w14:paraId="601A8C9A" w14:textId="77777777" w:rsidR="00F52E06" w:rsidRPr="008D30D2" w:rsidRDefault="00F52E06" w:rsidP="00357C62">
      <w:pPr>
        <w:spacing w:line="360" w:lineRule="auto"/>
        <w:rPr>
          <w:rFonts w:asciiTheme="minorHAnsi" w:hAnsiTheme="minorHAnsi" w:cstheme="minorHAnsi"/>
          <w:b/>
          <w:bCs/>
          <w:sz w:val="20"/>
          <w:szCs w:val="20"/>
        </w:rPr>
      </w:pPr>
      <w:r w:rsidRPr="008D30D2">
        <w:rPr>
          <w:rFonts w:asciiTheme="minorHAnsi" w:hAnsiTheme="minorHAnsi" w:cstheme="minorHAnsi"/>
          <w:b/>
          <w:bCs/>
          <w:sz w:val="20"/>
          <w:szCs w:val="20"/>
        </w:rPr>
        <w:t>References</w:t>
      </w:r>
    </w:p>
    <w:p w14:paraId="7590DC97" w14:textId="7777777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1.</w:t>
      </w:r>
      <w:r w:rsidRPr="008D30D2">
        <w:rPr>
          <w:rFonts w:asciiTheme="minorHAnsi" w:hAnsiTheme="minorHAnsi" w:cstheme="minorHAnsi"/>
          <w:noProof/>
          <w:sz w:val="20"/>
          <w:szCs w:val="20"/>
        </w:rPr>
        <w:tab/>
        <w:t>Bamshad MJ, Nickerson DA, Chong JX. Mendelian Gene Discovery: Fast and Furious with No End in Sight. The American Journal of Human Genetics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2019;105(3):448-455.</w:t>
      </w:r>
    </w:p>
    <w:p w14:paraId="516B753B" w14:textId="7777777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w:t>
      </w:r>
      <w:r w:rsidRPr="008D30D2">
        <w:rPr>
          <w:rFonts w:asciiTheme="minorHAnsi" w:hAnsiTheme="minorHAnsi" w:cstheme="minorHAnsi"/>
          <w:noProof/>
          <w:sz w:val="20"/>
          <w:szCs w:val="20"/>
        </w:rPr>
        <w:tab/>
        <w:t>Seaby EG, Rehm HL, O’Donnell-Luria A. Strategies to Uplift Novel Mendelian Gene Discovery for Improved Clinical Outcomes. Frontiers in Genetics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2021;12(935) (Review).</w:t>
      </w:r>
    </w:p>
    <w:p w14:paraId="227D3353" w14:textId="7777777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3.</w:t>
      </w:r>
      <w:r w:rsidRPr="008D30D2">
        <w:rPr>
          <w:rFonts w:asciiTheme="minorHAnsi" w:hAnsiTheme="minorHAnsi" w:cstheme="minorHAnsi"/>
          <w:noProof/>
          <w:sz w:val="20"/>
          <w:szCs w:val="20"/>
        </w:rPr>
        <w:tab/>
        <w:t>Seaby EG, Ennis S. Challenges in the diagnosis and discovery of rare genetic disorders using contemporary sequencing technologies. Briefings in Functional Genomics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2020.</w:t>
      </w:r>
    </w:p>
    <w:p w14:paraId="3826B74B" w14:textId="7777777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4.</w:t>
      </w:r>
      <w:r w:rsidRPr="008D30D2">
        <w:rPr>
          <w:rFonts w:asciiTheme="minorHAnsi" w:hAnsiTheme="minorHAnsi" w:cstheme="minorHAnsi"/>
          <w:noProof/>
          <w:sz w:val="20"/>
          <w:szCs w:val="20"/>
        </w:rPr>
        <w:tab/>
        <w:t>Martin AR, Williams E, Foulger RE, et al. PanelApp crowdsources expert knowledge to establish consensus diagnostic gene panels. Nature genetics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2019;51(11):1560-1565.</w:t>
      </w:r>
    </w:p>
    <w:p w14:paraId="40527E4E" w14:textId="7204DF56"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5.</w:t>
      </w:r>
      <w:r w:rsidRPr="008D30D2">
        <w:rPr>
          <w:rFonts w:asciiTheme="minorHAnsi" w:hAnsiTheme="minorHAnsi" w:cstheme="minorHAnsi"/>
          <w:noProof/>
          <w:sz w:val="20"/>
          <w:szCs w:val="20"/>
        </w:rPr>
        <w:tab/>
        <w:t>100</w:t>
      </w:r>
      <w:r w:rsidR="00F220E3" w:rsidRPr="008D30D2">
        <w:rPr>
          <w:rFonts w:asciiTheme="minorHAnsi" w:hAnsiTheme="minorHAnsi" w:cstheme="minorHAnsi"/>
          <w:noProof/>
          <w:sz w:val="20"/>
          <w:szCs w:val="20"/>
        </w:rPr>
        <w:t>,000 Genomes Project</w:t>
      </w:r>
      <w:r w:rsidR="00D54CF8" w:rsidRPr="008D30D2">
        <w:rPr>
          <w:rFonts w:asciiTheme="minorHAnsi" w:hAnsiTheme="minorHAnsi" w:cstheme="minorHAnsi"/>
          <w:noProof/>
          <w:sz w:val="20"/>
          <w:szCs w:val="20"/>
        </w:rPr>
        <w:t>.</w:t>
      </w:r>
      <w:r w:rsidRPr="008D30D2">
        <w:rPr>
          <w:rFonts w:asciiTheme="minorHAnsi" w:hAnsiTheme="minorHAnsi" w:cstheme="minorHAnsi"/>
          <w:noProof/>
          <w:sz w:val="20"/>
          <w:szCs w:val="20"/>
        </w:rPr>
        <w:t xml:space="preserve"> 100,000 Genomes Pilot on Rare-Disease Diagnosis in Health Care—Preliminary Report. New England Journal of Medicine</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2021;385(20):1868-1880.</w:t>
      </w:r>
    </w:p>
    <w:p w14:paraId="37C449CF" w14:textId="7777777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lastRenderedPageBreak/>
        <w:t>6.</w:t>
      </w:r>
      <w:r w:rsidRPr="008D30D2">
        <w:rPr>
          <w:rFonts w:asciiTheme="minorHAnsi" w:hAnsiTheme="minorHAnsi" w:cstheme="minorHAnsi"/>
          <w:noProof/>
          <w:sz w:val="20"/>
          <w:szCs w:val="20"/>
        </w:rPr>
        <w:tab/>
        <w:t>Posey JE, O'Donnell-Luria AH, Chong JX, et al. Insights into genetics, human biology and disease gleaned from family based genomic studies. Genet Med</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2019;21(4):798-812.</w:t>
      </w:r>
    </w:p>
    <w:p w14:paraId="00504B04" w14:textId="7777777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7.</w:t>
      </w:r>
      <w:r w:rsidRPr="008D30D2">
        <w:rPr>
          <w:rFonts w:asciiTheme="minorHAnsi" w:hAnsiTheme="minorHAnsi" w:cstheme="minorHAnsi"/>
          <w:noProof/>
          <w:sz w:val="20"/>
          <w:szCs w:val="20"/>
        </w:rPr>
        <w:tab/>
        <w:t>Chong JX, Buckingham KJ, Jhangiani SN, et al. The Genetic Basis of Mendelian Phenotypes: Discoveries, Challenges, and Opportunities. Am J Hum Genet</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2015;97(2):199-215.</w:t>
      </w:r>
    </w:p>
    <w:p w14:paraId="235A9080" w14:textId="507E7A12"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8.</w:t>
      </w:r>
      <w:r w:rsidRPr="008D30D2">
        <w:rPr>
          <w:rFonts w:asciiTheme="minorHAnsi" w:hAnsiTheme="minorHAnsi" w:cstheme="minorHAnsi"/>
          <w:noProof/>
          <w:sz w:val="20"/>
          <w:szCs w:val="20"/>
        </w:rPr>
        <w:tab/>
        <w:t>Smedley D, Schubach M, Jacobsen JO, et al. A whole-genome analysis framework for effective identification of pathogenic regulatory variants in Mendelian disease. The American Journal of Human Genetics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2016;99(3):595-606.</w:t>
      </w:r>
    </w:p>
    <w:p w14:paraId="6466533E" w14:textId="1F1DDE3B"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9.</w:t>
      </w:r>
      <w:r w:rsidRPr="008D30D2">
        <w:rPr>
          <w:rFonts w:asciiTheme="minorHAnsi" w:hAnsiTheme="minorHAnsi" w:cstheme="minorHAnsi"/>
          <w:noProof/>
          <w:sz w:val="20"/>
          <w:szCs w:val="20"/>
        </w:rPr>
        <w:tab/>
        <w:t>Philippakis AA, Azzariti DR, Beltran S, et al. The Matchmaker Exchange: a platform for rare disease gene discovery. Human mutation</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2015;36(10):915-921.</w:t>
      </w:r>
    </w:p>
    <w:p w14:paraId="44946A75" w14:textId="57E3412B"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10.</w:t>
      </w:r>
      <w:r w:rsidRPr="008D30D2">
        <w:rPr>
          <w:rFonts w:asciiTheme="minorHAnsi" w:hAnsiTheme="minorHAnsi" w:cstheme="minorHAnsi"/>
          <w:noProof/>
          <w:sz w:val="20"/>
          <w:szCs w:val="20"/>
        </w:rPr>
        <w:tab/>
        <w:t>Azzariti DR, Hamosh A. Genomic Data Sharing for Novel Mendelian Disease Gene Discovery: The Matchmaker Exchange. Annual Review of Genomics and Human Genetics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2020;21(1):null.</w:t>
      </w:r>
    </w:p>
    <w:p w14:paraId="0CC4EACA" w14:textId="4447F041"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11.</w:t>
      </w:r>
      <w:r w:rsidRPr="008D30D2">
        <w:rPr>
          <w:rFonts w:asciiTheme="minorHAnsi" w:hAnsiTheme="minorHAnsi" w:cstheme="minorHAnsi"/>
          <w:noProof/>
          <w:sz w:val="20"/>
          <w:szCs w:val="20"/>
        </w:rPr>
        <w:tab/>
        <w:t>Karczewski KJ, Francioli LC, Tiao G, et al. The mutational constraint spectrum quantified from variation in 141,456 humans. Nature</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2020;581(7809):434-443.</w:t>
      </w:r>
    </w:p>
    <w:p w14:paraId="79700A84" w14:textId="16D8BB18"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12.</w:t>
      </w:r>
      <w:r w:rsidRPr="008D30D2">
        <w:rPr>
          <w:rFonts w:asciiTheme="minorHAnsi" w:hAnsiTheme="minorHAnsi" w:cstheme="minorHAnsi"/>
          <w:noProof/>
          <w:sz w:val="20"/>
          <w:szCs w:val="20"/>
        </w:rPr>
        <w:tab/>
        <w:t>Collins RL, Brand H, Karczewski KJ, et al. A structural variation reference for medical and population genetics. Nature</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2020;581(7809):444-451.</w:t>
      </w:r>
    </w:p>
    <w:p w14:paraId="5A506090" w14:textId="138E342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13.</w:t>
      </w:r>
      <w:r w:rsidRPr="008D30D2">
        <w:rPr>
          <w:rFonts w:asciiTheme="minorHAnsi" w:hAnsiTheme="minorHAnsi" w:cstheme="minorHAnsi"/>
          <w:noProof/>
          <w:sz w:val="20"/>
          <w:szCs w:val="20"/>
        </w:rPr>
        <w:tab/>
        <w:t>Kaplanis J, Samocha KE, Wiel L, et al. Evidence for 28 genetic disorders discovered by combining healthcare and research data. Nature</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2020;586(7831):757-762.</w:t>
      </w:r>
    </w:p>
    <w:p w14:paraId="589562D5" w14:textId="51738AFE"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14.</w:t>
      </w:r>
      <w:r w:rsidRPr="008D30D2">
        <w:rPr>
          <w:rFonts w:asciiTheme="minorHAnsi" w:hAnsiTheme="minorHAnsi" w:cstheme="minorHAnsi"/>
          <w:noProof/>
          <w:sz w:val="20"/>
          <w:szCs w:val="20"/>
        </w:rPr>
        <w:tab/>
        <w:t>Samocha KE, Robinson EB, Sanders SJ, et al. A framework for the interpretation of de novo mutation in human disease. Nature Genetics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2014;46(9):944-950.</w:t>
      </w:r>
    </w:p>
    <w:p w14:paraId="75FD5C25" w14:textId="58A80F68"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15.</w:t>
      </w:r>
      <w:r w:rsidRPr="008D30D2">
        <w:rPr>
          <w:rFonts w:asciiTheme="minorHAnsi" w:hAnsiTheme="minorHAnsi" w:cstheme="minorHAnsi"/>
          <w:noProof/>
          <w:sz w:val="20"/>
          <w:szCs w:val="20"/>
        </w:rPr>
        <w:tab/>
        <w:t>The 100,000 Genomes Project [press release]. POSTNOTE: Parliamentary Office of Science and Technology2015.</w:t>
      </w:r>
    </w:p>
    <w:p w14:paraId="13C4DE52" w14:textId="42640084"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16.</w:t>
      </w:r>
      <w:r w:rsidRPr="008D30D2">
        <w:rPr>
          <w:rFonts w:asciiTheme="minorHAnsi" w:hAnsiTheme="minorHAnsi" w:cstheme="minorHAnsi"/>
          <w:noProof/>
          <w:sz w:val="20"/>
          <w:szCs w:val="20"/>
        </w:rPr>
        <w:tab/>
        <w:t>Robinson PN, Köhler S, Bauer S, Seelow D, Horn D, Mundlos S. The Human Phenotype Ontology: a tool for annotating and analyzing human hereditary disease. The American Journal of Human Genetics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2008;83(5):610-615.</w:t>
      </w:r>
    </w:p>
    <w:p w14:paraId="0291B268" w14:textId="1174ABD6"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17.</w:t>
      </w:r>
      <w:r w:rsidRPr="008D30D2">
        <w:rPr>
          <w:rFonts w:asciiTheme="minorHAnsi" w:hAnsiTheme="minorHAnsi" w:cstheme="minorHAnsi"/>
          <w:noProof/>
          <w:sz w:val="20"/>
          <w:szCs w:val="20"/>
        </w:rPr>
        <w:tab/>
        <w:t>Li H, Handsaker B, Wysoker A, et al. The sequence alignment/map format and SAMtools. Bioinformatics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2009;25(16):2078-2079.</w:t>
      </w:r>
    </w:p>
    <w:p w14:paraId="2A75DF41" w14:textId="43F0E91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18.</w:t>
      </w:r>
      <w:r w:rsidRPr="008D30D2">
        <w:rPr>
          <w:rFonts w:asciiTheme="minorHAnsi" w:hAnsiTheme="minorHAnsi" w:cstheme="minorHAnsi"/>
          <w:noProof/>
          <w:sz w:val="20"/>
          <w:szCs w:val="20"/>
        </w:rPr>
        <w:tab/>
        <w:t>McLaren W, Gil L, Hunt SE, et al. The ensembl variant effect predictor. Genome biology</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2016;17(1):1-14.</w:t>
      </w:r>
    </w:p>
    <w:p w14:paraId="07027F2F" w14:textId="0C2AE19D"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lastRenderedPageBreak/>
        <w:t>19.</w:t>
      </w:r>
      <w:r w:rsidRPr="008D30D2">
        <w:rPr>
          <w:rFonts w:asciiTheme="minorHAnsi" w:hAnsiTheme="minorHAnsi" w:cstheme="minorHAnsi"/>
          <w:noProof/>
          <w:sz w:val="20"/>
          <w:szCs w:val="20"/>
        </w:rPr>
        <w:tab/>
        <w:t>Smedley D, Jacobsen JO, Jäger M, et al. Next-generation diagnostics and disease-gene discovery with the Exomiser. Nature protocols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2015;10(12):2004-2015.</w:t>
      </w:r>
    </w:p>
    <w:p w14:paraId="05D5EBE5" w14:textId="641DF7BC"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20.</w:t>
      </w:r>
      <w:r w:rsidRPr="008D30D2">
        <w:rPr>
          <w:rFonts w:asciiTheme="minorHAnsi" w:hAnsiTheme="minorHAnsi" w:cstheme="minorHAnsi"/>
          <w:noProof/>
          <w:sz w:val="20"/>
          <w:szCs w:val="20"/>
        </w:rPr>
        <w:tab/>
        <w:t>Muñoz-Fuentes V, Cacheiro P, Meehan TF, et al. The International Mouse Phenotyping Consortium (IMPC): a functional catalogue of the mammalian genome that informs conservation. Conservation Genetics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2018;19(4):995-1005.</w:t>
      </w:r>
    </w:p>
    <w:p w14:paraId="7AC75E0B" w14:textId="6CB5CDDF"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21.</w:t>
      </w:r>
      <w:r w:rsidRPr="008D30D2">
        <w:rPr>
          <w:rFonts w:asciiTheme="minorHAnsi" w:hAnsiTheme="minorHAnsi" w:cstheme="minorHAnsi"/>
          <w:noProof/>
          <w:sz w:val="20"/>
          <w:szCs w:val="20"/>
        </w:rPr>
        <w:tab/>
        <w:t>Bult CJ, Blake JA, Smith CL, Kadin JA, Richardson JE. Mouse genome database (MGD) 2019. Nucleic acids research</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2019;47(D1):D801-D806.</w:t>
      </w:r>
    </w:p>
    <w:p w14:paraId="4D6FD27E" w14:textId="15A7D76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22.</w:t>
      </w:r>
      <w:r w:rsidRPr="008D30D2">
        <w:rPr>
          <w:rFonts w:asciiTheme="minorHAnsi" w:hAnsiTheme="minorHAnsi" w:cstheme="minorHAnsi"/>
          <w:noProof/>
          <w:sz w:val="20"/>
          <w:szCs w:val="20"/>
        </w:rPr>
        <w:tab/>
        <w:t>Firth HV, Wright CF, study D. The deciphering developmental disorders (DDD) study. Developmental Medicine &amp; Child Neurology</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2011;53(8):702-703.</w:t>
      </w:r>
    </w:p>
    <w:p w14:paraId="55EB0769" w14:textId="62FF59C4"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23.</w:t>
      </w:r>
      <w:r w:rsidRPr="008D30D2">
        <w:rPr>
          <w:rFonts w:asciiTheme="minorHAnsi" w:hAnsiTheme="minorHAnsi" w:cstheme="minorHAnsi"/>
          <w:noProof/>
          <w:sz w:val="20"/>
          <w:szCs w:val="20"/>
        </w:rPr>
        <w:tab/>
        <w:t>Sobreira N, Schiettecatte F, Valle D, Hamosh A. GeneMatcher: a matching tool for connecting investigators with an interest in the same gene. Hum Mutat</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2015;36(10):928-930.</w:t>
      </w:r>
    </w:p>
    <w:p w14:paraId="3488269B" w14:textId="79239BC0"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24.</w:t>
      </w:r>
      <w:r w:rsidRPr="008D30D2">
        <w:rPr>
          <w:rFonts w:asciiTheme="minorHAnsi" w:hAnsiTheme="minorHAnsi" w:cstheme="minorHAnsi"/>
          <w:noProof/>
          <w:sz w:val="20"/>
          <w:szCs w:val="20"/>
        </w:rPr>
        <w:tab/>
        <w:t>Abou Tayoun AN, Pesaran T, DiStefano MT, et al. Recommendations for interpreting the loss of function PVS1 ACMG/AMP variant criterion. Human mutation</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2018;39(11):1517-1524.</w:t>
      </w:r>
    </w:p>
    <w:p w14:paraId="663DCB84" w14:textId="661B1600"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25.</w:t>
      </w:r>
      <w:r w:rsidRPr="008D30D2">
        <w:rPr>
          <w:rFonts w:asciiTheme="minorHAnsi" w:hAnsiTheme="minorHAnsi" w:cstheme="minorHAnsi"/>
          <w:noProof/>
          <w:sz w:val="20"/>
          <w:szCs w:val="20"/>
        </w:rPr>
        <w:tab/>
        <w:t>Richards S, Aziz N, Bale S, et al. Standards and guidelines for the interpretation of sequence variants: a joint consensus recommendation of the American College of Medical Genetics and Genomics and the Association for Molecular Pathology. Genet Med</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2015;17(5):405-424.</w:t>
      </w:r>
    </w:p>
    <w:p w14:paraId="6BB58488" w14:textId="3827E494"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26.</w:t>
      </w:r>
      <w:r w:rsidRPr="008D30D2">
        <w:rPr>
          <w:rFonts w:asciiTheme="minorHAnsi" w:hAnsiTheme="minorHAnsi" w:cstheme="minorHAnsi"/>
          <w:noProof/>
          <w:sz w:val="20"/>
          <w:szCs w:val="20"/>
        </w:rPr>
        <w:tab/>
        <w:t>Mirzaa GM, Chong JX, Piton A, et al. De novo and inherited variants in ZNF292 underlie a neurodevelopmental disorder with features of autism spectrum disorder. Genetics in Medicine</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2020;22(3):538-546.</w:t>
      </w:r>
    </w:p>
    <w:p w14:paraId="2DAA3FBB" w14:textId="6D78CECA"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27.</w:t>
      </w:r>
      <w:r w:rsidRPr="008D30D2">
        <w:rPr>
          <w:rFonts w:asciiTheme="minorHAnsi" w:hAnsiTheme="minorHAnsi" w:cstheme="minorHAnsi"/>
          <w:noProof/>
          <w:sz w:val="20"/>
          <w:szCs w:val="20"/>
        </w:rPr>
        <w:tab/>
        <w:t>Yu X, Yang L, Li J, et al. De novo and inherited SETD1A variants in early-onset epilepsy. Neuroscience bulletin</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2019;35(6):1045-1057.</w:t>
      </w:r>
    </w:p>
    <w:p w14:paraId="775BB92E" w14:textId="4EA21118"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28.</w:t>
      </w:r>
      <w:r w:rsidRPr="008D30D2">
        <w:rPr>
          <w:rFonts w:asciiTheme="minorHAnsi" w:hAnsiTheme="minorHAnsi" w:cstheme="minorHAnsi"/>
          <w:noProof/>
          <w:sz w:val="20"/>
          <w:szCs w:val="20"/>
        </w:rPr>
        <w:tab/>
        <w:t>Chopra M, McEntagart M, Clayton-Smith J, et al. Heterozygous ANKRD17 loss-of-function variants cause a syndrome with intellectual disability, speech delay, and dysmorphism. The American Journal of Human Genetics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2021.</w:t>
      </w:r>
    </w:p>
    <w:p w14:paraId="14DC0829" w14:textId="3A76AD58"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29.</w:t>
      </w:r>
      <w:r w:rsidRPr="008D30D2">
        <w:rPr>
          <w:rFonts w:asciiTheme="minorHAnsi" w:hAnsiTheme="minorHAnsi" w:cstheme="minorHAnsi"/>
          <w:noProof/>
          <w:sz w:val="20"/>
          <w:szCs w:val="20"/>
        </w:rPr>
        <w:tab/>
        <w:t>Fountain MD, Oleson DS, Rech ME, et al. Pathogenic variants in USP7 cause a neurodevelopmental disorder with speech delays, altered behavior, and neurologic anomalies. Genetics in medicine</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2019;21(8):1797-1807.</w:t>
      </w:r>
    </w:p>
    <w:p w14:paraId="5831B67B" w14:textId="75E4EAD2"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lastRenderedPageBreak/>
        <w:t>30.</w:t>
      </w:r>
      <w:r w:rsidRPr="008D30D2">
        <w:rPr>
          <w:rFonts w:asciiTheme="minorHAnsi" w:hAnsiTheme="minorHAnsi" w:cstheme="minorHAnsi"/>
          <w:noProof/>
          <w:sz w:val="20"/>
          <w:szCs w:val="20"/>
        </w:rPr>
        <w:tab/>
        <w:t>Guo H, Bettella E, Marcogliese PC, et al. Disruptive mutations in TANC2 define a neurodevelopmental syndrome associated with psychiatric disorders. Nature communications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2019;10(1):1-17.</w:t>
      </w:r>
    </w:p>
    <w:p w14:paraId="06325F42" w14:textId="6A118308"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31.</w:t>
      </w:r>
      <w:r w:rsidRPr="008D30D2">
        <w:rPr>
          <w:rFonts w:asciiTheme="minorHAnsi" w:hAnsiTheme="minorHAnsi" w:cstheme="minorHAnsi"/>
          <w:noProof/>
          <w:sz w:val="20"/>
          <w:szCs w:val="20"/>
        </w:rPr>
        <w:tab/>
        <w:t>Radio FC, Pang K, Ciolfi A, et al. SPEN haploinsufficiency causes a neurodevelopmental disorder overlapping proximal 1p36 deletion syndrome with an episignature of X chromosomes in females. The American Journal of Human Genetics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2021;108(3):502-516.</w:t>
      </w:r>
    </w:p>
    <w:p w14:paraId="557D20E5" w14:textId="7777777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32.</w:t>
      </w:r>
      <w:r w:rsidRPr="008D30D2">
        <w:rPr>
          <w:rFonts w:asciiTheme="minorHAnsi" w:hAnsiTheme="minorHAnsi" w:cstheme="minorHAnsi"/>
          <w:noProof/>
          <w:sz w:val="20"/>
          <w:szCs w:val="20"/>
        </w:rPr>
        <w:tab/>
        <w:t>Wilfert AB, Sulovari A, Turner TN, Coe BP, Eichler EE. Recurrent de novo mutations in neurodevelopmental disorders: properties and clinical implications. Genome Medicine</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2017;9(1):101.</w:t>
      </w:r>
    </w:p>
    <w:p w14:paraId="3C63DAB1" w14:textId="7777777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33.</w:t>
      </w:r>
      <w:r w:rsidRPr="008D30D2">
        <w:rPr>
          <w:rFonts w:asciiTheme="minorHAnsi" w:hAnsiTheme="minorHAnsi" w:cstheme="minorHAnsi"/>
          <w:noProof/>
          <w:sz w:val="20"/>
          <w:szCs w:val="20"/>
        </w:rPr>
        <w:tab/>
        <w:t>Gudmundsson S, Karczewski KJ, Francioli LC, et al. Addendum: The mutational constraint spectrum quantified from variation in 141,456 humans. Nature</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2021:1-2.</w:t>
      </w:r>
    </w:p>
    <w:p w14:paraId="5DC9888C" w14:textId="7777777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34.</w:t>
      </w:r>
      <w:r w:rsidRPr="008D30D2">
        <w:rPr>
          <w:rFonts w:asciiTheme="minorHAnsi" w:hAnsiTheme="minorHAnsi" w:cstheme="minorHAnsi"/>
          <w:noProof/>
          <w:sz w:val="20"/>
          <w:szCs w:val="20"/>
        </w:rPr>
        <w:tab/>
        <w:t>Lek M, Karczewski KJ, Minikel EV, et al. Analysis of protein-coding genetic variation in 60,706 humans. Nature</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2016;536(7616):285-291.</w:t>
      </w:r>
    </w:p>
    <w:p w14:paraId="1788514E" w14:textId="3CDCB6C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35.</w:t>
      </w:r>
      <w:r w:rsidRPr="008D30D2">
        <w:rPr>
          <w:rFonts w:asciiTheme="minorHAnsi" w:hAnsiTheme="minorHAnsi" w:cstheme="minorHAnsi"/>
          <w:noProof/>
          <w:sz w:val="20"/>
          <w:szCs w:val="20"/>
        </w:rPr>
        <w:tab/>
        <w:t>Zhang X, Wakeling M, Ware J, Whiffin N. Annotating high-impact 5′ untranslated region variants with the UTRannotator. Bioinformatics</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2021;37(8):1171-1173.</w:t>
      </w:r>
    </w:p>
    <w:p w14:paraId="63A3ED22" w14:textId="77777777"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36.</w:t>
      </w:r>
      <w:r w:rsidRPr="008D30D2">
        <w:rPr>
          <w:rFonts w:asciiTheme="minorHAnsi" w:hAnsiTheme="minorHAnsi" w:cstheme="minorHAnsi"/>
          <w:noProof/>
          <w:sz w:val="20"/>
          <w:szCs w:val="20"/>
        </w:rPr>
        <w:tab/>
        <w:t>Jaganathan K, Panagiotopoulou SK, McRae JF, et al. Predicting splicing from primary sequence with deep learning. Cell</w:t>
      </w:r>
      <w:r w:rsidRPr="008D30D2">
        <w:rPr>
          <w:rFonts w:asciiTheme="minorHAnsi" w:hAnsiTheme="minorHAnsi" w:cstheme="minorHAnsi"/>
          <w:i/>
          <w:noProof/>
          <w:sz w:val="20"/>
          <w:szCs w:val="20"/>
        </w:rPr>
        <w:t xml:space="preserve">. </w:t>
      </w:r>
      <w:r w:rsidRPr="008D30D2">
        <w:rPr>
          <w:rFonts w:asciiTheme="minorHAnsi" w:hAnsiTheme="minorHAnsi" w:cstheme="minorHAnsi"/>
          <w:noProof/>
          <w:sz w:val="20"/>
          <w:szCs w:val="20"/>
        </w:rPr>
        <w:t>2019;176(3):535-548. e524.</w:t>
      </w:r>
    </w:p>
    <w:p w14:paraId="22CD1C5A" w14:textId="3C833C25" w:rsidR="00F52E06" w:rsidRPr="008D30D2" w:rsidRDefault="00F52E06" w:rsidP="001A0620">
      <w:pPr>
        <w:pStyle w:val="EndNoteBibliography"/>
        <w:spacing w:line="480" w:lineRule="auto"/>
        <w:ind w:left="720" w:hanging="720"/>
        <w:rPr>
          <w:rFonts w:asciiTheme="minorHAnsi" w:hAnsiTheme="minorHAnsi" w:cstheme="minorHAnsi"/>
          <w:noProof/>
          <w:sz w:val="20"/>
          <w:szCs w:val="20"/>
        </w:rPr>
      </w:pPr>
      <w:r w:rsidRPr="008D30D2">
        <w:rPr>
          <w:rFonts w:asciiTheme="minorHAnsi" w:hAnsiTheme="minorHAnsi" w:cstheme="minorHAnsi"/>
          <w:noProof/>
          <w:sz w:val="20"/>
          <w:szCs w:val="20"/>
        </w:rPr>
        <w:t>37.</w:t>
      </w:r>
      <w:r w:rsidRPr="008D30D2">
        <w:rPr>
          <w:rFonts w:asciiTheme="minorHAnsi" w:hAnsiTheme="minorHAnsi" w:cstheme="minorHAnsi"/>
          <w:noProof/>
          <w:sz w:val="20"/>
          <w:szCs w:val="20"/>
        </w:rPr>
        <w:tab/>
        <w:t xml:space="preserve">Schatz MC, Philippakis AA, Afgan E, et al. Inverting the model of genomics data sharing with the NHGRI Genomic Data Science Analysis, Visualization, and Informatics Lab-space (AnVIL). </w:t>
      </w:r>
      <w:r w:rsidR="006D7419" w:rsidRPr="008D30D2">
        <w:rPr>
          <w:rFonts w:asciiTheme="minorHAnsi" w:hAnsiTheme="minorHAnsi" w:cstheme="minorHAnsi"/>
          <w:noProof/>
          <w:sz w:val="20"/>
          <w:szCs w:val="20"/>
        </w:rPr>
        <w:t>Cell Genomics</w:t>
      </w:r>
      <w:r w:rsidR="006D7419" w:rsidRPr="008D30D2">
        <w:rPr>
          <w:rFonts w:asciiTheme="minorHAnsi" w:hAnsiTheme="minorHAnsi" w:cstheme="minorHAnsi"/>
          <w:i/>
          <w:noProof/>
          <w:sz w:val="20"/>
          <w:szCs w:val="20"/>
        </w:rPr>
        <w:t xml:space="preserve">. </w:t>
      </w:r>
      <w:r w:rsidR="006D7419" w:rsidRPr="008D30D2">
        <w:rPr>
          <w:rFonts w:asciiTheme="minorHAnsi" w:hAnsiTheme="minorHAnsi" w:cstheme="minorHAnsi"/>
          <w:noProof/>
          <w:sz w:val="20"/>
          <w:szCs w:val="20"/>
        </w:rPr>
        <w:t>2022;2(1):100085</w:t>
      </w:r>
      <w:r w:rsidRPr="008D30D2">
        <w:rPr>
          <w:rFonts w:asciiTheme="minorHAnsi" w:hAnsiTheme="minorHAnsi" w:cstheme="minorHAnsi"/>
          <w:noProof/>
          <w:sz w:val="20"/>
          <w:szCs w:val="20"/>
        </w:rPr>
        <w:t>.</w:t>
      </w:r>
    </w:p>
    <w:p w14:paraId="31C56ADC" w14:textId="77777777" w:rsidR="00F52E06" w:rsidRDefault="00F52E06" w:rsidP="00E53878">
      <w:pPr>
        <w:spacing w:line="480" w:lineRule="auto"/>
        <w:rPr>
          <w:rFonts w:ascii="Calibri" w:hAnsi="Calibri" w:cs="Calibri"/>
          <w:sz w:val="20"/>
          <w:szCs w:val="20"/>
        </w:rPr>
      </w:pPr>
    </w:p>
    <w:p w14:paraId="7DA13C4E" w14:textId="77777777" w:rsidR="00F52E06" w:rsidRDefault="00F52E06" w:rsidP="00C9739E">
      <w:pPr>
        <w:spacing w:line="360" w:lineRule="auto"/>
        <w:rPr>
          <w:rFonts w:ascii="Calibri" w:hAnsi="Calibri" w:cs="Calibri"/>
          <w:sz w:val="20"/>
          <w:szCs w:val="20"/>
          <w:u w:val="single"/>
        </w:rPr>
      </w:pPr>
      <w:r>
        <w:rPr>
          <w:rFonts w:ascii="Calibri" w:hAnsi="Calibri" w:cs="Calibri"/>
          <w:sz w:val="20"/>
          <w:szCs w:val="20"/>
          <w:u w:val="single"/>
        </w:rPr>
        <w:t>Figure titles and legends:</w:t>
      </w:r>
    </w:p>
    <w:p w14:paraId="2D9379FE" w14:textId="77777777" w:rsidR="00F52E06" w:rsidRDefault="00F52E06" w:rsidP="00C9739E">
      <w:pPr>
        <w:spacing w:line="360" w:lineRule="auto"/>
        <w:rPr>
          <w:rFonts w:ascii="Calibri" w:hAnsi="Calibri" w:cs="Calibri"/>
          <w:sz w:val="20"/>
          <w:szCs w:val="20"/>
          <w:u w:val="single"/>
        </w:rPr>
      </w:pPr>
    </w:p>
    <w:p w14:paraId="0DBBD048" w14:textId="77777777" w:rsidR="00F52E06" w:rsidRDefault="00F52E06" w:rsidP="00A6732F">
      <w:pPr>
        <w:spacing w:line="480" w:lineRule="auto"/>
        <w:rPr>
          <w:rFonts w:ascii="Calibri" w:hAnsi="Calibri" w:cs="Calibri"/>
          <w:b/>
          <w:bCs/>
          <w:i/>
          <w:iCs/>
          <w:sz w:val="18"/>
          <w:szCs w:val="18"/>
        </w:rPr>
      </w:pPr>
      <w:r w:rsidRPr="00165F28">
        <w:rPr>
          <w:rFonts w:ascii="Calibri" w:hAnsi="Calibri" w:cs="Calibri"/>
          <w:b/>
          <w:bCs/>
          <w:sz w:val="20"/>
          <w:szCs w:val="20"/>
        </w:rPr>
        <w:t xml:space="preserve">Figure </w:t>
      </w:r>
      <w:r>
        <w:rPr>
          <w:rFonts w:ascii="Calibri" w:hAnsi="Calibri" w:cs="Calibri"/>
          <w:b/>
          <w:bCs/>
          <w:sz w:val="20"/>
          <w:szCs w:val="20"/>
        </w:rPr>
        <w:t>1</w:t>
      </w:r>
      <w:r>
        <w:rPr>
          <w:rFonts w:ascii="Calibri" w:hAnsi="Calibri" w:cs="Calibri"/>
          <w:sz w:val="20"/>
          <w:szCs w:val="20"/>
        </w:rPr>
        <w:t xml:space="preserve"> | Method to uplift novel disease gene discovery</w:t>
      </w:r>
    </w:p>
    <w:p w14:paraId="793206CF" w14:textId="77777777" w:rsidR="00F52E06" w:rsidRPr="001454E9" w:rsidRDefault="00F52E06" w:rsidP="00A6732F">
      <w:pPr>
        <w:spacing w:line="480" w:lineRule="auto"/>
        <w:rPr>
          <w:rFonts w:ascii="Calibri" w:hAnsi="Calibri" w:cs="Calibri"/>
          <w:sz w:val="21"/>
          <w:szCs w:val="21"/>
        </w:rPr>
      </w:pPr>
      <w:r w:rsidRPr="001454E9">
        <w:rPr>
          <w:rFonts w:ascii="Calibri" w:hAnsi="Calibri" w:cs="Calibri"/>
          <w:b/>
          <w:bCs/>
          <w:i/>
          <w:iCs/>
          <w:sz w:val="18"/>
          <w:szCs w:val="18"/>
        </w:rPr>
        <w:t>(A)</w:t>
      </w:r>
      <w:r w:rsidRPr="001454E9">
        <w:rPr>
          <w:rFonts w:ascii="Calibri" w:hAnsi="Calibri" w:cs="Calibri"/>
          <w:i/>
          <w:iCs/>
          <w:sz w:val="18"/>
          <w:szCs w:val="18"/>
        </w:rPr>
        <w:t xml:space="preserve"> A typical “patient-to-gene” approach, whereby patient A’s exome or genome is </w:t>
      </w:r>
      <w:proofErr w:type="gramStart"/>
      <w:r w:rsidRPr="001454E9">
        <w:rPr>
          <w:rFonts w:ascii="Calibri" w:hAnsi="Calibri" w:cs="Calibri"/>
          <w:i/>
          <w:iCs/>
          <w:sz w:val="18"/>
          <w:szCs w:val="18"/>
        </w:rPr>
        <w:t>analysed</w:t>
      </w:r>
      <w:proofErr w:type="gramEnd"/>
      <w:r w:rsidRPr="001454E9">
        <w:rPr>
          <w:rFonts w:ascii="Calibri" w:hAnsi="Calibri" w:cs="Calibri"/>
          <w:i/>
          <w:iCs/>
          <w:sz w:val="18"/>
          <w:szCs w:val="18"/>
        </w:rPr>
        <w:t xml:space="preserve"> and multiple candidates remain of similar predicted causality. </w:t>
      </w:r>
      <w:r w:rsidRPr="001454E9">
        <w:rPr>
          <w:rFonts w:ascii="Calibri" w:hAnsi="Calibri" w:cs="Calibri"/>
          <w:b/>
          <w:bCs/>
          <w:i/>
          <w:iCs/>
          <w:sz w:val="18"/>
          <w:szCs w:val="18"/>
        </w:rPr>
        <w:t>(B)</w:t>
      </w:r>
      <w:r w:rsidRPr="001454E9">
        <w:rPr>
          <w:rFonts w:ascii="Calibri" w:hAnsi="Calibri" w:cs="Calibri"/>
          <w:i/>
          <w:iCs/>
          <w:sz w:val="18"/>
          <w:szCs w:val="18"/>
        </w:rPr>
        <w:t xml:space="preserve"> A proposed “gene-to-patient” approach to identify novel disease genes, that challenges the widely adopted diagnostic analytical paradigm of exome and genome sequencing. In this approach, a large-scale database is agnostically filtered for high confidence, rare, de novo, pLoF variants in genes with a LOEUF &lt;0.2, and these variants are assigned to patients. Associated phenotypes are compared between patients with de novo pLoF variants in the same gene. </w:t>
      </w:r>
      <w:r w:rsidRPr="001454E9">
        <w:rPr>
          <w:rFonts w:ascii="Calibri" w:hAnsi="Calibri" w:cs="Calibri"/>
          <w:i/>
          <w:iCs/>
          <w:sz w:val="18"/>
          <w:szCs w:val="18"/>
        </w:rPr>
        <w:lastRenderedPageBreak/>
        <w:t>Abbreviations: AF – Allele Frequency; GEL – Genomics England; MME – Matchmaker Exchange; OMIM – Online Mendelian Inheritance in Man; pLoF – predicted loss of function.</w:t>
      </w:r>
    </w:p>
    <w:p w14:paraId="0F3C3D4C" w14:textId="77777777" w:rsidR="00F52E06" w:rsidRDefault="00F52E06" w:rsidP="00C9739E">
      <w:pPr>
        <w:spacing w:line="360" w:lineRule="auto"/>
        <w:rPr>
          <w:rFonts w:ascii="Calibri" w:hAnsi="Calibri" w:cs="Calibri"/>
          <w:sz w:val="20"/>
          <w:szCs w:val="20"/>
          <w:u w:val="single"/>
        </w:rPr>
      </w:pPr>
    </w:p>
    <w:p w14:paraId="15083719" w14:textId="77777777" w:rsidR="00F52E06" w:rsidRPr="00A6732F" w:rsidRDefault="00F52E06" w:rsidP="00A6732F">
      <w:pPr>
        <w:spacing w:line="480" w:lineRule="auto"/>
        <w:rPr>
          <w:rFonts w:ascii="Calibri" w:hAnsi="Calibri" w:cs="Calibri"/>
          <w:sz w:val="20"/>
          <w:szCs w:val="20"/>
        </w:rPr>
      </w:pPr>
      <w:r w:rsidRPr="00437C3B">
        <w:rPr>
          <w:rFonts w:ascii="Calibri" w:hAnsi="Calibri" w:cs="Calibri"/>
          <w:b/>
          <w:bCs/>
          <w:sz w:val="20"/>
          <w:szCs w:val="20"/>
        </w:rPr>
        <w:t>Figure 2</w:t>
      </w:r>
      <w:r>
        <w:rPr>
          <w:rFonts w:ascii="Calibri" w:hAnsi="Calibri" w:cs="Calibri"/>
          <w:sz w:val="20"/>
          <w:szCs w:val="20"/>
        </w:rPr>
        <w:t xml:space="preserve"> | Workflow applied for the validation of novel disease genes contenders</w:t>
      </w:r>
    </w:p>
    <w:p w14:paraId="77366D2E" w14:textId="77777777" w:rsidR="00F52E06" w:rsidRDefault="00F52E06" w:rsidP="00A6732F">
      <w:pPr>
        <w:spacing w:line="480" w:lineRule="auto"/>
        <w:rPr>
          <w:rFonts w:ascii="Calibri" w:hAnsi="Calibri" w:cs="Calibri"/>
          <w:i/>
          <w:iCs/>
          <w:sz w:val="18"/>
          <w:szCs w:val="18"/>
        </w:rPr>
      </w:pPr>
      <w:r w:rsidRPr="001454E9">
        <w:rPr>
          <w:rFonts w:ascii="Calibri" w:hAnsi="Calibri" w:cs="Calibri"/>
          <w:i/>
          <w:iCs/>
          <w:sz w:val="18"/>
          <w:szCs w:val="18"/>
        </w:rPr>
        <w:t>Workflow applied to validate novel disease gene contenders as new disease genes. The red path shows the pathway for Gene 1, which was identified in 2019 and published in the literature between 2019 and 2021. Associated phenotypes of GEL patients with pLoF in Gene 1 were compared with the published phenotype and matched, validating Gene 1 as a correctly predicted new disease gene. The blue path shows the pathway for Gene 2; this gene was compared with OMIM and the literature and was not yet published/in OMIM and will be re-compared at a later stage. Gene 3 (thin grey line) was present in OMIM by 2021 and associated phenotypes in GEL patients with pLoF variants in Gene 3 overlapped with the published literature, validating this gene as a correctly predicted new disease gene.</w:t>
      </w:r>
    </w:p>
    <w:p w14:paraId="7E077944" w14:textId="77777777" w:rsidR="00F52E06" w:rsidRDefault="00F52E06" w:rsidP="00A6732F">
      <w:pPr>
        <w:spacing w:line="480" w:lineRule="auto"/>
        <w:rPr>
          <w:rFonts w:ascii="Calibri" w:hAnsi="Calibri" w:cs="Calibri"/>
          <w:sz w:val="21"/>
          <w:szCs w:val="21"/>
        </w:rPr>
      </w:pPr>
    </w:p>
    <w:p w14:paraId="7FC413C5" w14:textId="77777777" w:rsidR="00F52E06" w:rsidRPr="00EA372B" w:rsidRDefault="00F52E06" w:rsidP="00A6732F">
      <w:pPr>
        <w:spacing w:line="480" w:lineRule="auto"/>
        <w:rPr>
          <w:rFonts w:ascii="Calibri" w:hAnsi="Calibri" w:cs="Calibri"/>
          <w:sz w:val="21"/>
          <w:szCs w:val="21"/>
        </w:rPr>
      </w:pPr>
      <w:r w:rsidRPr="00544B7E">
        <w:rPr>
          <w:rFonts w:ascii="Calibri" w:hAnsi="Calibri" w:cs="Calibri"/>
          <w:b/>
          <w:sz w:val="20"/>
          <w:szCs w:val="20"/>
        </w:rPr>
        <w:t xml:space="preserve">Figure </w:t>
      </w:r>
      <w:r>
        <w:rPr>
          <w:rFonts w:ascii="Calibri" w:hAnsi="Calibri" w:cs="Calibri"/>
          <w:b/>
          <w:sz w:val="20"/>
          <w:szCs w:val="20"/>
        </w:rPr>
        <w:t xml:space="preserve">3 | </w:t>
      </w:r>
      <w:r w:rsidRPr="00165F28">
        <w:rPr>
          <w:rFonts w:ascii="Calibri" w:hAnsi="Calibri" w:cs="Calibri"/>
          <w:bCs/>
          <w:sz w:val="20"/>
          <w:szCs w:val="20"/>
        </w:rPr>
        <w:t xml:space="preserve">Summary of </w:t>
      </w:r>
      <w:r>
        <w:rPr>
          <w:rFonts w:ascii="Calibri" w:hAnsi="Calibri" w:cs="Calibri"/>
          <w:bCs/>
          <w:sz w:val="20"/>
          <w:szCs w:val="20"/>
        </w:rPr>
        <w:t>Class</w:t>
      </w:r>
      <w:r w:rsidRPr="00165F28">
        <w:rPr>
          <w:rFonts w:ascii="Calibri" w:hAnsi="Calibri" w:cs="Calibri"/>
          <w:bCs/>
          <w:sz w:val="20"/>
          <w:szCs w:val="20"/>
        </w:rPr>
        <w:t xml:space="preserve"> 1, 2 and 3 results</w:t>
      </w:r>
    </w:p>
    <w:p w14:paraId="20376654" w14:textId="0A30847D" w:rsidR="00F52E06" w:rsidRDefault="00F52E06" w:rsidP="001A5577">
      <w:pPr>
        <w:spacing w:line="480" w:lineRule="auto"/>
        <w:rPr>
          <w:rFonts w:ascii="Calibri" w:hAnsi="Calibri" w:cs="Calibri"/>
          <w:bCs/>
          <w:i/>
          <w:iCs/>
          <w:sz w:val="18"/>
          <w:szCs w:val="18"/>
        </w:rPr>
      </w:pPr>
      <w:r w:rsidRPr="001454E9">
        <w:rPr>
          <w:rFonts w:ascii="Calibri" w:hAnsi="Calibri" w:cs="Calibri"/>
          <w:bCs/>
          <w:i/>
          <w:iCs/>
          <w:sz w:val="18"/>
          <w:szCs w:val="18"/>
        </w:rPr>
        <w:t xml:space="preserve">Summary of gene discovery results after filtering variants from GEL families. </w:t>
      </w:r>
    </w:p>
    <w:p w14:paraId="0257692F" w14:textId="6E6AE545" w:rsidR="008D30D2" w:rsidRDefault="008D30D2" w:rsidP="001A5577">
      <w:pPr>
        <w:spacing w:line="480" w:lineRule="auto"/>
        <w:rPr>
          <w:rFonts w:ascii="Calibri" w:hAnsi="Calibri" w:cs="Calibri"/>
          <w:bCs/>
          <w:i/>
          <w:iCs/>
          <w:sz w:val="18"/>
          <w:szCs w:val="18"/>
        </w:rPr>
      </w:pPr>
    </w:p>
    <w:p w14:paraId="788E8250" w14:textId="77777777" w:rsidR="008D30D2" w:rsidRPr="00DC11BF" w:rsidRDefault="008D30D2" w:rsidP="008D30D2">
      <w:pPr>
        <w:spacing w:line="480" w:lineRule="auto"/>
        <w:rPr>
          <w:rFonts w:ascii="Calibri" w:hAnsi="Calibri" w:cs="Calibri"/>
          <w:sz w:val="20"/>
          <w:szCs w:val="16"/>
        </w:rPr>
      </w:pPr>
      <w:r w:rsidRPr="00DC11BF">
        <w:rPr>
          <w:rFonts w:ascii="Calibri" w:hAnsi="Calibri" w:cs="Calibri"/>
          <w:b/>
          <w:bCs/>
          <w:sz w:val="20"/>
          <w:szCs w:val="16"/>
        </w:rPr>
        <w:t>Table 1</w:t>
      </w:r>
      <w:r w:rsidRPr="00DC11BF">
        <w:rPr>
          <w:rFonts w:ascii="Calibri" w:hAnsi="Calibri" w:cs="Calibri"/>
          <w:sz w:val="20"/>
          <w:szCs w:val="16"/>
        </w:rPr>
        <w:t xml:space="preserve"> | Classification of novel disease gene contenders</w:t>
      </w:r>
    </w:p>
    <w:p w14:paraId="06988752" w14:textId="77777777" w:rsidR="008D30D2" w:rsidRPr="00544B7E" w:rsidRDefault="008D30D2" w:rsidP="008D30D2">
      <w:pPr>
        <w:spacing w:line="480" w:lineRule="auto"/>
        <w:rPr>
          <w:rFonts w:ascii="Calibri" w:hAnsi="Calibri" w:cs="Calibri"/>
          <w:b/>
          <w:sz w:val="20"/>
          <w:szCs w:val="20"/>
        </w:rPr>
      </w:pPr>
      <w:r w:rsidRPr="00544B7E">
        <w:rPr>
          <w:rFonts w:ascii="Calibri" w:hAnsi="Calibri" w:cs="Calibri"/>
          <w:b/>
          <w:sz w:val="20"/>
          <w:szCs w:val="20"/>
        </w:rPr>
        <w:t xml:space="preserve">Table </w:t>
      </w:r>
      <w:r>
        <w:rPr>
          <w:rFonts w:ascii="Calibri" w:hAnsi="Calibri" w:cs="Calibri"/>
          <w:b/>
          <w:sz w:val="20"/>
          <w:szCs w:val="20"/>
        </w:rPr>
        <w:t>2</w:t>
      </w:r>
      <w:r w:rsidRPr="00544B7E">
        <w:rPr>
          <w:rFonts w:ascii="Calibri" w:hAnsi="Calibri" w:cs="Calibri"/>
          <w:b/>
          <w:sz w:val="20"/>
          <w:szCs w:val="20"/>
        </w:rPr>
        <w:t xml:space="preserve"> | </w:t>
      </w:r>
      <w:r w:rsidRPr="00EF0F42">
        <w:rPr>
          <w:rFonts w:ascii="Calibri" w:hAnsi="Calibri" w:cs="Calibri"/>
          <w:bCs/>
          <w:sz w:val="20"/>
          <w:szCs w:val="20"/>
        </w:rPr>
        <w:t>13 putative novel disease genes</w:t>
      </w:r>
    </w:p>
    <w:p w14:paraId="3CB52962" w14:textId="77777777" w:rsidR="008D30D2" w:rsidRPr="001454E9" w:rsidRDefault="008D30D2" w:rsidP="008D30D2">
      <w:pPr>
        <w:spacing w:line="480" w:lineRule="auto"/>
        <w:rPr>
          <w:rFonts w:ascii="Calibri" w:hAnsi="Calibri" w:cs="Calibri"/>
          <w:bCs/>
          <w:i/>
          <w:iCs/>
          <w:sz w:val="18"/>
          <w:szCs w:val="18"/>
        </w:rPr>
      </w:pPr>
      <w:r w:rsidRPr="001454E9">
        <w:rPr>
          <w:rFonts w:ascii="Calibri" w:hAnsi="Calibri" w:cs="Calibri"/>
          <w:bCs/>
          <w:i/>
          <w:iCs/>
          <w:sz w:val="18"/>
          <w:szCs w:val="18"/>
        </w:rPr>
        <w:t xml:space="preserve">A table of 13 putative novel disease genes identified from analysis in 2019. Shared phenotypes between patients involving pLoF variants in the same gene are listed. Grey cells highlight candidates that have since been published in June 2021. For these, shared phenotypes between patients in GEL and patients included in publications by 2021 are recorded. Abbreviations: BMI – body mass index; GEL – Genomics England; HPO – Human phenotype ontology; </w:t>
      </w:r>
      <w:proofErr w:type="spellStart"/>
      <w:r w:rsidRPr="001454E9">
        <w:rPr>
          <w:rFonts w:ascii="Calibri" w:hAnsi="Calibri" w:cs="Calibri"/>
          <w:bCs/>
          <w:i/>
          <w:iCs/>
          <w:sz w:val="18"/>
          <w:szCs w:val="18"/>
        </w:rPr>
        <w:t>MaxFreq</w:t>
      </w:r>
      <w:proofErr w:type="spellEnd"/>
      <w:r w:rsidRPr="001454E9">
        <w:rPr>
          <w:rFonts w:ascii="Calibri" w:hAnsi="Calibri" w:cs="Calibri"/>
          <w:bCs/>
          <w:i/>
          <w:iCs/>
          <w:sz w:val="18"/>
          <w:szCs w:val="18"/>
        </w:rPr>
        <w:t xml:space="preserve"> – Maximum allele frequency in gnomAD v2.1.1 and 1000 Genomes phase 3 data; N/A – not available for comparison.</w:t>
      </w:r>
    </w:p>
    <w:p w14:paraId="15EA86ED" w14:textId="77777777" w:rsidR="008D30D2" w:rsidRPr="008D30D2" w:rsidRDefault="008D30D2" w:rsidP="001A5577">
      <w:pPr>
        <w:spacing w:line="480" w:lineRule="auto"/>
        <w:rPr>
          <w:rFonts w:ascii="Calibri" w:hAnsi="Calibri" w:cs="Calibri"/>
          <w:bCs/>
          <w:sz w:val="18"/>
          <w:szCs w:val="18"/>
        </w:rPr>
      </w:pPr>
    </w:p>
    <w:p w14:paraId="0469E1FC" w14:textId="77777777" w:rsidR="00195220" w:rsidRDefault="006C2E81"/>
    <w:p w14:paraId="6D0F378B" w14:textId="77777777" w:rsidR="004F604C" w:rsidRPr="004F604C" w:rsidRDefault="004F604C">
      <w:pPr>
        <w:rPr>
          <w:rFonts w:ascii="Calibri" w:hAnsi="Calibri" w:cs="Calibri"/>
          <w:b/>
          <w:bCs/>
          <w:sz w:val="20"/>
          <w:szCs w:val="20"/>
        </w:rPr>
      </w:pPr>
      <w:r w:rsidRPr="004F604C">
        <w:rPr>
          <w:rFonts w:ascii="Calibri" w:hAnsi="Calibri" w:cs="Calibri"/>
          <w:b/>
          <w:bCs/>
          <w:sz w:val="20"/>
          <w:szCs w:val="20"/>
        </w:rPr>
        <w:t>Genomics England Research Consortium</w:t>
      </w:r>
    </w:p>
    <w:p w14:paraId="7BD2B5C5" w14:textId="77777777" w:rsidR="004F604C" w:rsidRDefault="004F604C">
      <w:pPr>
        <w:rPr>
          <w:rFonts w:ascii="Calibri" w:hAnsi="Calibri" w:cs="Calibri"/>
          <w:sz w:val="20"/>
          <w:szCs w:val="20"/>
        </w:rPr>
      </w:pPr>
    </w:p>
    <w:p w14:paraId="5D944485" w14:textId="77777777" w:rsidR="004F604C" w:rsidRDefault="004F604C">
      <w:pPr>
        <w:rPr>
          <w:rFonts w:ascii="Calibri" w:hAnsi="Calibri"/>
          <w:sz w:val="20"/>
          <w:szCs w:val="20"/>
        </w:rPr>
      </w:pPr>
      <w:r w:rsidRPr="004F604C">
        <w:rPr>
          <w:rFonts w:ascii="Calibri" w:hAnsi="Calibri"/>
          <w:sz w:val="20"/>
          <w:szCs w:val="20"/>
        </w:rPr>
        <w:t xml:space="preserve">Ambrose, J. C. </w:t>
      </w:r>
      <w:r w:rsidRPr="004F604C">
        <w:rPr>
          <w:rFonts w:ascii="Calibri" w:hAnsi="Calibri"/>
          <w:sz w:val="20"/>
          <w:szCs w:val="20"/>
          <w:vertAlign w:val="superscript"/>
        </w:rPr>
        <w:t>1</w:t>
      </w:r>
      <w:r w:rsidRPr="004F604C">
        <w:rPr>
          <w:rFonts w:ascii="Calibri" w:hAnsi="Calibri"/>
          <w:sz w:val="20"/>
          <w:szCs w:val="20"/>
        </w:rPr>
        <w:t xml:space="preserve"> ; Arumugam, P.</w:t>
      </w:r>
      <w:r w:rsidRPr="004F604C">
        <w:rPr>
          <w:rFonts w:ascii="Calibri" w:hAnsi="Calibri"/>
          <w:sz w:val="20"/>
          <w:szCs w:val="20"/>
          <w:vertAlign w:val="superscript"/>
        </w:rPr>
        <w:t>1</w:t>
      </w:r>
      <w:r w:rsidRPr="004F604C">
        <w:rPr>
          <w:rFonts w:ascii="Calibri" w:hAnsi="Calibri"/>
          <w:sz w:val="20"/>
          <w:szCs w:val="20"/>
        </w:rPr>
        <w:t xml:space="preserve"> ; Bevers, R.</w:t>
      </w:r>
      <w:r w:rsidRPr="004F604C">
        <w:rPr>
          <w:rFonts w:ascii="Calibri" w:hAnsi="Calibri"/>
          <w:sz w:val="20"/>
          <w:szCs w:val="20"/>
          <w:vertAlign w:val="superscript"/>
        </w:rPr>
        <w:t>1</w:t>
      </w:r>
      <w:r w:rsidRPr="004F604C">
        <w:rPr>
          <w:rFonts w:ascii="Calibri" w:hAnsi="Calibri"/>
          <w:sz w:val="20"/>
          <w:szCs w:val="20"/>
        </w:rPr>
        <w:t xml:space="preserve"> ; </w:t>
      </w:r>
      <w:proofErr w:type="spellStart"/>
      <w:r w:rsidRPr="004F604C">
        <w:rPr>
          <w:rFonts w:ascii="Calibri" w:hAnsi="Calibri"/>
          <w:sz w:val="20"/>
          <w:szCs w:val="20"/>
        </w:rPr>
        <w:t>Bleda</w:t>
      </w:r>
      <w:proofErr w:type="spellEnd"/>
      <w:r w:rsidRPr="004F604C">
        <w:rPr>
          <w:rFonts w:ascii="Calibri" w:hAnsi="Calibri"/>
          <w:sz w:val="20"/>
          <w:szCs w:val="20"/>
        </w:rPr>
        <w:t xml:space="preserve">, M. </w:t>
      </w:r>
      <w:r w:rsidRPr="004F604C">
        <w:rPr>
          <w:rFonts w:ascii="Calibri" w:hAnsi="Calibri"/>
          <w:sz w:val="20"/>
          <w:szCs w:val="20"/>
          <w:vertAlign w:val="superscript"/>
        </w:rPr>
        <w:t>1</w:t>
      </w:r>
      <w:r w:rsidRPr="004F604C">
        <w:rPr>
          <w:rFonts w:ascii="Calibri" w:hAnsi="Calibri"/>
          <w:sz w:val="20"/>
          <w:szCs w:val="20"/>
        </w:rPr>
        <w:t xml:space="preserve"> ; Boardman-Pretty, F. </w:t>
      </w:r>
      <w:r w:rsidRPr="004F604C">
        <w:rPr>
          <w:rFonts w:ascii="Calibri" w:hAnsi="Calibri"/>
          <w:sz w:val="20"/>
          <w:szCs w:val="20"/>
          <w:vertAlign w:val="superscript"/>
        </w:rPr>
        <w:t xml:space="preserve">1,2 </w:t>
      </w:r>
      <w:r w:rsidRPr="004F604C">
        <w:rPr>
          <w:rFonts w:ascii="Calibri" w:hAnsi="Calibri"/>
          <w:sz w:val="20"/>
          <w:szCs w:val="20"/>
        </w:rPr>
        <w:t xml:space="preserve">; Boustred, C. R. </w:t>
      </w:r>
      <w:r w:rsidRPr="004F604C">
        <w:rPr>
          <w:rFonts w:ascii="Calibri" w:hAnsi="Calibri"/>
          <w:sz w:val="20"/>
          <w:szCs w:val="20"/>
          <w:vertAlign w:val="superscript"/>
        </w:rPr>
        <w:t>1</w:t>
      </w:r>
      <w:r w:rsidRPr="004F604C">
        <w:rPr>
          <w:rFonts w:ascii="Calibri" w:hAnsi="Calibri"/>
          <w:sz w:val="20"/>
          <w:szCs w:val="20"/>
        </w:rPr>
        <w:t xml:space="preserve"> ; </w:t>
      </w:r>
      <w:proofErr w:type="spellStart"/>
      <w:r w:rsidRPr="004F604C">
        <w:rPr>
          <w:rFonts w:ascii="Calibri" w:hAnsi="Calibri"/>
          <w:sz w:val="20"/>
          <w:szCs w:val="20"/>
        </w:rPr>
        <w:t>Brittain</w:t>
      </w:r>
      <w:proofErr w:type="spellEnd"/>
      <w:r w:rsidRPr="004F604C">
        <w:rPr>
          <w:rFonts w:ascii="Calibri" w:hAnsi="Calibri"/>
          <w:sz w:val="20"/>
          <w:szCs w:val="20"/>
        </w:rPr>
        <w:t>, H.</w:t>
      </w:r>
      <w:r w:rsidRPr="004F604C">
        <w:rPr>
          <w:rFonts w:ascii="Calibri" w:hAnsi="Calibri"/>
          <w:sz w:val="20"/>
          <w:szCs w:val="20"/>
          <w:vertAlign w:val="superscript"/>
        </w:rPr>
        <w:t>1</w:t>
      </w:r>
      <w:r w:rsidRPr="004F604C">
        <w:rPr>
          <w:rFonts w:ascii="Calibri" w:hAnsi="Calibri"/>
          <w:sz w:val="20"/>
          <w:szCs w:val="20"/>
        </w:rPr>
        <w:t xml:space="preserve"> ; Caulfield, M. J.</w:t>
      </w:r>
      <w:r w:rsidRPr="004F604C">
        <w:rPr>
          <w:rFonts w:ascii="Calibri" w:hAnsi="Calibri"/>
          <w:sz w:val="20"/>
          <w:szCs w:val="20"/>
          <w:vertAlign w:val="superscript"/>
        </w:rPr>
        <w:t xml:space="preserve">1,2 </w:t>
      </w:r>
      <w:r w:rsidRPr="004F604C">
        <w:rPr>
          <w:rFonts w:ascii="Calibri" w:hAnsi="Calibri"/>
          <w:sz w:val="20"/>
          <w:szCs w:val="20"/>
        </w:rPr>
        <w:t xml:space="preserve">; Chan, G. C. </w:t>
      </w:r>
      <w:r w:rsidRPr="004F604C">
        <w:rPr>
          <w:rFonts w:ascii="Calibri" w:hAnsi="Calibri"/>
          <w:sz w:val="20"/>
          <w:szCs w:val="20"/>
          <w:vertAlign w:val="superscript"/>
        </w:rPr>
        <w:t>1</w:t>
      </w:r>
      <w:r w:rsidRPr="004F604C">
        <w:rPr>
          <w:rFonts w:ascii="Calibri" w:hAnsi="Calibri"/>
          <w:sz w:val="20"/>
          <w:szCs w:val="20"/>
        </w:rPr>
        <w:t xml:space="preserve"> ; Fowler, T. </w:t>
      </w:r>
      <w:r w:rsidRPr="004F604C">
        <w:rPr>
          <w:rFonts w:ascii="Calibri" w:hAnsi="Calibri"/>
          <w:sz w:val="20"/>
          <w:szCs w:val="20"/>
          <w:vertAlign w:val="superscript"/>
        </w:rPr>
        <w:t>1</w:t>
      </w:r>
      <w:r w:rsidRPr="004F604C">
        <w:rPr>
          <w:rFonts w:ascii="Calibri" w:hAnsi="Calibri"/>
          <w:sz w:val="20"/>
          <w:szCs w:val="20"/>
        </w:rPr>
        <w:t xml:space="preserve"> ; </w:t>
      </w:r>
      <w:proofErr w:type="spellStart"/>
      <w:r w:rsidRPr="004F604C">
        <w:rPr>
          <w:rFonts w:ascii="Calibri" w:hAnsi="Calibri"/>
          <w:sz w:val="20"/>
          <w:szCs w:val="20"/>
        </w:rPr>
        <w:t>Giess</w:t>
      </w:r>
      <w:proofErr w:type="spellEnd"/>
      <w:r w:rsidRPr="004F604C">
        <w:rPr>
          <w:rFonts w:ascii="Calibri" w:hAnsi="Calibri"/>
          <w:sz w:val="20"/>
          <w:szCs w:val="20"/>
        </w:rPr>
        <w:t xml:space="preserve"> A. </w:t>
      </w:r>
      <w:r w:rsidRPr="004F604C">
        <w:rPr>
          <w:rFonts w:ascii="Calibri" w:hAnsi="Calibri"/>
          <w:sz w:val="20"/>
          <w:szCs w:val="20"/>
          <w:vertAlign w:val="superscript"/>
        </w:rPr>
        <w:t>1</w:t>
      </w:r>
      <w:r w:rsidRPr="004F604C">
        <w:rPr>
          <w:rFonts w:ascii="Calibri" w:hAnsi="Calibri"/>
          <w:sz w:val="20"/>
          <w:szCs w:val="20"/>
        </w:rPr>
        <w:t>; Hamblin, A.</w:t>
      </w:r>
      <w:r w:rsidRPr="004F604C">
        <w:rPr>
          <w:rFonts w:ascii="Calibri" w:hAnsi="Calibri"/>
          <w:sz w:val="20"/>
          <w:szCs w:val="20"/>
          <w:vertAlign w:val="superscript"/>
        </w:rPr>
        <w:t>1</w:t>
      </w:r>
      <w:r w:rsidRPr="004F604C">
        <w:rPr>
          <w:rFonts w:ascii="Calibri" w:hAnsi="Calibri"/>
          <w:sz w:val="20"/>
          <w:szCs w:val="20"/>
        </w:rPr>
        <w:t>; Henderson, S.</w:t>
      </w:r>
      <w:r w:rsidRPr="004F604C">
        <w:rPr>
          <w:rFonts w:ascii="Calibri" w:hAnsi="Calibri"/>
          <w:sz w:val="20"/>
          <w:szCs w:val="20"/>
          <w:vertAlign w:val="superscript"/>
        </w:rPr>
        <w:t>1,2</w:t>
      </w:r>
      <w:r w:rsidRPr="004F604C">
        <w:rPr>
          <w:rFonts w:ascii="Calibri" w:hAnsi="Calibri"/>
          <w:sz w:val="20"/>
          <w:szCs w:val="20"/>
        </w:rPr>
        <w:t xml:space="preserve">; Hubbard, T. J. P. </w:t>
      </w:r>
      <w:r w:rsidRPr="004F604C">
        <w:rPr>
          <w:rFonts w:ascii="Calibri" w:hAnsi="Calibri"/>
          <w:sz w:val="20"/>
          <w:szCs w:val="20"/>
          <w:vertAlign w:val="superscript"/>
        </w:rPr>
        <w:t>1</w:t>
      </w:r>
      <w:r w:rsidRPr="004F604C">
        <w:rPr>
          <w:rFonts w:ascii="Calibri" w:hAnsi="Calibri"/>
          <w:sz w:val="20"/>
          <w:szCs w:val="20"/>
        </w:rPr>
        <w:t xml:space="preserve"> ; Jackson, R. </w:t>
      </w:r>
      <w:r w:rsidRPr="004F604C">
        <w:rPr>
          <w:rFonts w:ascii="Calibri" w:hAnsi="Calibri"/>
          <w:sz w:val="20"/>
          <w:szCs w:val="20"/>
          <w:vertAlign w:val="superscript"/>
        </w:rPr>
        <w:t xml:space="preserve">1 </w:t>
      </w:r>
      <w:r w:rsidRPr="004F604C">
        <w:rPr>
          <w:rFonts w:ascii="Calibri" w:hAnsi="Calibri"/>
          <w:sz w:val="20"/>
          <w:szCs w:val="20"/>
        </w:rPr>
        <w:t xml:space="preserve">; Jones, L. J. </w:t>
      </w:r>
      <w:r w:rsidRPr="004F604C">
        <w:rPr>
          <w:rFonts w:ascii="Calibri" w:hAnsi="Calibri"/>
          <w:sz w:val="20"/>
          <w:szCs w:val="20"/>
          <w:vertAlign w:val="superscript"/>
        </w:rPr>
        <w:t>1,2</w:t>
      </w:r>
      <w:r w:rsidRPr="004F604C">
        <w:rPr>
          <w:rFonts w:ascii="Calibri" w:hAnsi="Calibri"/>
          <w:sz w:val="20"/>
          <w:szCs w:val="20"/>
        </w:rPr>
        <w:t xml:space="preserve">; </w:t>
      </w:r>
      <w:proofErr w:type="spellStart"/>
      <w:r w:rsidRPr="004F604C">
        <w:rPr>
          <w:rFonts w:ascii="Calibri" w:hAnsi="Calibri"/>
          <w:sz w:val="20"/>
          <w:szCs w:val="20"/>
        </w:rPr>
        <w:t>Kasperaviciute</w:t>
      </w:r>
      <w:proofErr w:type="spellEnd"/>
      <w:r w:rsidRPr="004F604C">
        <w:rPr>
          <w:rFonts w:ascii="Calibri" w:hAnsi="Calibri"/>
          <w:sz w:val="20"/>
          <w:szCs w:val="20"/>
        </w:rPr>
        <w:t xml:space="preserve">, D. </w:t>
      </w:r>
      <w:r w:rsidRPr="004F604C">
        <w:rPr>
          <w:rFonts w:ascii="Calibri" w:hAnsi="Calibri"/>
          <w:sz w:val="20"/>
          <w:szCs w:val="20"/>
          <w:vertAlign w:val="superscript"/>
        </w:rPr>
        <w:t xml:space="preserve">1,2 </w:t>
      </w:r>
      <w:r w:rsidRPr="004F604C">
        <w:rPr>
          <w:rFonts w:ascii="Calibri" w:hAnsi="Calibri"/>
          <w:sz w:val="20"/>
          <w:szCs w:val="20"/>
        </w:rPr>
        <w:t xml:space="preserve">; </w:t>
      </w:r>
      <w:proofErr w:type="spellStart"/>
      <w:r w:rsidRPr="004F604C">
        <w:rPr>
          <w:rFonts w:ascii="Calibri" w:hAnsi="Calibri"/>
          <w:sz w:val="20"/>
          <w:szCs w:val="20"/>
        </w:rPr>
        <w:t>Kayikci</w:t>
      </w:r>
      <w:proofErr w:type="spellEnd"/>
      <w:r w:rsidRPr="004F604C">
        <w:rPr>
          <w:rFonts w:ascii="Calibri" w:hAnsi="Calibri"/>
          <w:sz w:val="20"/>
          <w:szCs w:val="20"/>
        </w:rPr>
        <w:t xml:space="preserve">, M. </w:t>
      </w:r>
      <w:r w:rsidRPr="004F604C">
        <w:rPr>
          <w:rFonts w:ascii="Calibri" w:hAnsi="Calibri"/>
          <w:sz w:val="20"/>
          <w:szCs w:val="20"/>
          <w:vertAlign w:val="superscript"/>
        </w:rPr>
        <w:t>1</w:t>
      </w:r>
      <w:r w:rsidRPr="004F604C">
        <w:rPr>
          <w:rFonts w:ascii="Calibri" w:hAnsi="Calibri"/>
          <w:sz w:val="20"/>
          <w:szCs w:val="20"/>
        </w:rPr>
        <w:t xml:space="preserve"> ; </w:t>
      </w:r>
      <w:proofErr w:type="spellStart"/>
      <w:r w:rsidRPr="004F604C">
        <w:rPr>
          <w:rFonts w:ascii="Calibri" w:hAnsi="Calibri"/>
          <w:sz w:val="20"/>
          <w:szCs w:val="20"/>
        </w:rPr>
        <w:t>Kousathanas</w:t>
      </w:r>
      <w:proofErr w:type="spellEnd"/>
      <w:r w:rsidRPr="004F604C">
        <w:rPr>
          <w:rFonts w:ascii="Calibri" w:hAnsi="Calibri"/>
          <w:sz w:val="20"/>
          <w:szCs w:val="20"/>
        </w:rPr>
        <w:t xml:space="preserve">, A. </w:t>
      </w:r>
      <w:r w:rsidRPr="004F604C">
        <w:rPr>
          <w:rFonts w:ascii="Calibri" w:hAnsi="Calibri"/>
          <w:sz w:val="20"/>
          <w:szCs w:val="20"/>
          <w:vertAlign w:val="superscript"/>
        </w:rPr>
        <w:t>1</w:t>
      </w:r>
      <w:r w:rsidRPr="004F604C">
        <w:rPr>
          <w:rFonts w:ascii="Calibri" w:hAnsi="Calibri"/>
          <w:sz w:val="20"/>
          <w:szCs w:val="20"/>
        </w:rPr>
        <w:t xml:space="preserve">; </w:t>
      </w:r>
      <w:proofErr w:type="spellStart"/>
      <w:r w:rsidRPr="004F604C">
        <w:rPr>
          <w:rFonts w:ascii="Calibri" w:hAnsi="Calibri"/>
          <w:sz w:val="20"/>
          <w:szCs w:val="20"/>
        </w:rPr>
        <w:t>Lahnstein</w:t>
      </w:r>
      <w:proofErr w:type="spellEnd"/>
      <w:r w:rsidRPr="004F604C">
        <w:rPr>
          <w:rFonts w:ascii="Calibri" w:hAnsi="Calibri"/>
          <w:sz w:val="20"/>
          <w:szCs w:val="20"/>
        </w:rPr>
        <w:t xml:space="preserve">, L. </w:t>
      </w:r>
      <w:r w:rsidRPr="004F604C">
        <w:rPr>
          <w:rFonts w:ascii="Calibri" w:hAnsi="Calibri"/>
          <w:sz w:val="20"/>
          <w:szCs w:val="20"/>
          <w:vertAlign w:val="superscript"/>
        </w:rPr>
        <w:t>1</w:t>
      </w:r>
      <w:r w:rsidRPr="004F604C">
        <w:rPr>
          <w:rFonts w:ascii="Calibri" w:hAnsi="Calibri"/>
          <w:sz w:val="20"/>
          <w:szCs w:val="20"/>
        </w:rPr>
        <w:t xml:space="preserve"> ; Leigh, S. E. A. </w:t>
      </w:r>
      <w:r w:rsidRPr="004F604C">
        <w:rPr>
          <w:rFonts w:ascii="Calibri" w:hAnsi="Calibri"/>
          <w:sz w:val="20"/>
          <w:szCs w:val="20"/>
          <w:vertAlign w:val="superscript"/>
        </w:rPr>
        <w:t>1</w:t>
      </w:r>
      <w:r w:rsidRPr="004F604C">
        <w:rPr>
          <w:rFonts w:ascii="Calibri" w:hAnsi="Calibri"/>
          <w:sz w:val="20"/>
          <w:szCs w:val="20"/>
        </w:rPr>
        <w:t xml:space="preserve"> ; Leong, I. U. S. </w:t>
      </w:r>
      <w:r w:rsidRPr="004F604C">
        <w:rPr>
          <w:rFonts w:ascii="Calibri" w:hAnsi="Calibri"/>
          <w:sz w:val="20"/>
          <w:szCs w:val="20"/>
          <w:vertAlign w:val="superscript"/>
        </w:rPr>
        <w:t>1</w:t>
      </w:r>
      <w:r w:rsidRPr="004F604C">
        <w:rPr>
          <w:rFonts w:ascii="Calibri" w:hAnsi="Calibri"/>
          <w:sz w:val="20"/>
          <w:szCs w:val="20"/>
        </w:rPr>
        <w:t xml:space="preserve"> ; Lopez, F. J. </w:t>
      </w:r>
      <w:r w:rsidRPr="004F604C">
        <w:rPr>
          <w:rFonts w:ascii="Calibri" w:hAnsi="Calibri"/>
          <w:sz w:val="20"/>
          <w:szCs w:val="20"/>
          <w:vertAlign w:val="superscript"/>
        </w:rPr>
        <w:t>1</w:t>
      </w:r>
      <w:r w:rsidRPr="004F604C">
        <w:rPr>
          <w:rFonts w:ascii="Calibri" w:hAnsi="Calibri"/>
          <w:sz w:val="20"/>
          <w:szCs w:val="20"/>
        </w:rPr>
        <w:t xml:space="preserve"> ; </w:t>
      </w:r>
      <w:proofErr w:type="spellStart"/>
      <w:r w:rsidRPr="004F604C">
        <w:rPr>
          <w:rFonts w:ascii="Calibri" w:hAnsi="Calibri"/>
          <w:sz w:val="20"/>
          <w:szCs w:val="20"/>
        </w:rPr>
        <w:t>Maleady</w:t>
      </w:r>
      <w:proofErr w:type="spellEnd"/>
      <w:r w:rsidRPr="004F604C">
        <w:rPr>
          <w:rFonts w:ascii="Calibri" w:hAnsi="Calibri"/>
          <w:sz w:val="20"/>
          <w:szCs w:val="20"/>
        </w:rPr>
        <w:t xml:space="preserve">-Crowe, F. </w:t>
      </w:r>
      <w:r w:rsidRPr="004F604C">
        <w:rPr>
          <w:rFonts w:ascii="Calibri" w:hAnsi="Calibri"/>
          <w:sz w:val="20"/>
          <w:szCs w:val="20"/>
          <w:vertAlign w:val="superscript"/>
        </w:rPr>
        <w:t>1</w:t>
      </w:r>
      <w:r w:rsidRPr="004F604C">
        <w:rPr>
          <w:rFonts w:ascii="Calibri" w:hAnsi="Calibri"/>
          <w:sz w:val="20"/>
          <w:szCs w:val="20"/>
        </w:rPr>
        <w:t xml:space="preserve"> ; </w:t>
      </w:r>
      <w:proofErr w:type="spellStart"/>
      <w:r w:rsidRPr="004F604C">
        <w:rPr>
          <w:rFonts w:ascii="Calibri" w:hAnsi="Calibri"/>
          <w:sz w:val="20"/>
          <w:szCs w:val="20"/>
        </w:rPr>
        <w:t>McEntagart</w:t>
      </w:r>
      <w:proofErr w:type="spellEnd"/>
      <w:r w:rsidRPr="004F604C">
        <w:rPr>
          <w:rFonts w:ascii="Calibri" w:hAnsi="Calibri"/>
          <w:sz w:val="20"/>
          <w:szCs w:val="20"/>
        </w:rPr>
        <w:t>, M.</w:t>
      </w:r>
      <w:r w:rsidRPr="004F604C">
        <w:rPr>
          <w:rFonts w:ascii="Calibri" w:hAnsi="Calibri"/>
          <w:sz w:val="20"/>
          <w:szCs w:val="20"/>
          <w:vertAlign w:val="superscript"/>
        </w:rPr>
        <w:t>1</w:t>
      </w:r>
      <w:r w:rsidRPr="004F604C">
        <w:rPr>
          <w:rFonts w:ascii="Calibri" w:hAnsi="Calibri"/>
          <w:sz w:val="20"/>
          <w:szCs w:val="20"/>
        </w:rPr>
        <w:t xml:space="preserve">; </w:t>
      </w:r>
      <w:proofErr w:type="spellStart"/>
      <w:r w:rsidRPr="004F604C">
        <w:rPr>
          <w:rFonts w:ascii="Calibri" w:hAnsi="Calibri"/>
          <w:sz w:val="20"/>
          <w:szCs w:val="20"/>
        </w:rPr>
        <w:t>Minneci</w:t>
      </w:r>
      <w:proofErr w:type="spellEnd"/>
      <w:r w:rsidRPr="004F604C">
        <w:rPr>
          <w:rFonts w:ascii="Calibri" w:hAnsi="Calibri"/>
          <w:sz w:val="20"/>
          <w:szCs w:val="20"/>
        </w:rPr>
        <w:t xml:space="preserve"> F. </w:t>
      </w:r>
      <w:r w:rsidRPr="004F604C">
        <w:rPr>
          <w:rFonts w:ascii="Calibri" w:hAnsi="Calibri"/>
          <w:sz w:val="20"/>
          <w:szCs w:val="20"/>
          <w:vertAlign w:val="superscript"/>
        </w:rPr>
        <w:t>1</w:t>
      </w:r>
      <w:r w:rsidRPr="004F604C">
        <w:rPr>
          <w:rFonts w:ascii="Calibri" w:hAnsi="Calibri"/>
          <w:sz w:val="20"/>
          <w:szCs w:val="20"/>
        </w:rPr>
        <w:t xml:space="preserve"> ;  </w:t>
      </w:r>
      <w:proofErr w:type="spellStart"/>
      <w:r w:rsidRPr="004F604C">
        <w:rPr>
          <w:rFonts w:ascii="Calibri" w:hAnsi="Calibri"/>
          <w:sz w:val="20"/>
          <w:szCs w:val="20"/>
        </w:rPr>
        <w:t>Moutsianas</w:t>
      </w:r>
      <w:proofErr w:type="spellEnd"/>
      <w:r w:rsidRPr="004F604C">
        <w:rPr>
          <w:rFonts w:ascii="Calibri" w:hAnsi="Calibri"/>
          <w:sz w:val="20"/>
          <w:szCs w:val="20"/>
        </w:rPr>
        <w:t xml:space="preserve">, L. </w:t>
      </w:r>
      <w:r w:rsidRPr="004F604C">
        <w:rPr>
          <w:rFonts w:ascii="Calibri" w:hAnsi="Calibri"/>
          <w:sz w:val="20"/>
          <w:szCs w:val="20"/>
          <w:vertAlign w:val="superscript"/>
        </w:rPr>
        <w:t xml:space="preserve">1,2  </w:t>
      </w:r>
      <w:r w:rsidRPr="004F604C">
        <w:rPr>
          <w:rFonts w:ascii="Calibri" w:hAnsi="Calibri"/>
          <w:sz w:val="20"/>
          <w:szCs w:val="20"/>
        </w:rPr>
        <w:t xml:space="preserve">; Mueller, M. </w:t>
      </w:r>
      <w:r w:rsidRPr="004F604C">
        <w:rPr>
          <w:rFonts w:ascii="Calibri" w:hAnsi="Calibri"/>
          <w:sz w:val="20"/>
          <w:szCs w:val="20"/>
          <w:vertAlign w:val="superscript"/>
        </w:rPr>
        <w:t xml:space="preserve">1,2  </w:t>
      </w:r>
      <w:r w:rsidRPr="004F604C">
        <w:rPr>
          <w:rFonts w:ascii="Calibri" w:hAnsi="Calibri"/>
          <w:sz w:val="20"/>
          <w:szCs w:val="20"/>
        </w:rPr>
        <w:t xml:space="preserve">; </w:t>
      </w:r>
      <w:proofErr w:type="spellStart"/>
      <w:r w:rsidRPr="004F604C">
        <w:rPr>
          <w:rFonts w:ascii="Calibri" w:hAnsi="Calibri"/>
          <w:sz w:val="20"/>
          <w:szCs w:val="20"/>
        </w:rPr>
        <w:t>Murugaesu</w:t>
      </w:r>
      <w:proofErr w:type="spellEnd"/>
      <w:r w:rsidRPr="004F604C">
        <w:rPr>
          <w:rFonts w:ascii="Calibri" w:hAnsi="Calibri"/>
          <w:sz w:val="20"/>
          <w:szCs w:val="20"/>
        </w:rPr>
        <w:t xml:space="preserve">, N. </w:t>
      </w:r>
      <w:r w:rsidRPr="004F604C">
        <w:rPr>
          <w:rFonts w:ascii="Calibri" w:hAnsi="Calibri"/>
          <w:sz w:val="20"/>
          <w:szCs w:val="20"/>
          <w:vertAlign w:val="superscript"/>
        </w:rPr>
        <w:t>1</w:t>
      </w:r>
      <w:r w:rsidRPr="004F604C">
        <w:rPr>
          <w:rFonts w:ascii="Calibri" w:hAnsi="Calibri"/>
          <w:sz w:val="20"/>
          <w:szCs w:val="20"/>
        </w:rPr>
        <w:t xml:space="preserve">; Need, A. C. </w:t>
      </w:r>
      <w:r w:rsidRPr="004F604C">
        <w:rPr>
          <w:rFonts w:ascii="Calibri" w:hAnsi="Calibri"/>
          <w:sz w:val="20"/>
          <w:szCs w:val="20"/>
          <w:vertAlign w:val="superscript"/>
        </w:rPr>
        <w:t xml:space="preserve">1,2 </w:t>
      </w:r>
      <w:r w:rsidRPr="004F604C">
        <w:rPr>
          <w:rFonts w:ascii="Calibri" w:hAnsi="Calibri"/>
          <w:sz w:val="20"/>
          <w:szCs w:val="20"/>
        </w:rPr>
        <w:t xml:space="preserve">; O‘Donovan P. </w:t>
      </w:r>
      <w:r w:rsidRPr="004F604C">
        <w:rPr>
          <w:rFonts w:ascii="Calibri" w:hAnsi="Calibri"/>
          <w:sz w:val="20"/>
          <w:szCs w:val="20"/>
          <w:vertAlign w:val="superscript"/>
        </w:rPr>
        <w:t>1</w:t>
      </w:r>
      <w:r w:rsidRPr="004F604C">
        <w:rPr>
          <w:rFonts w:ascii="Calibri" w:hAnsi="Calibri"/>
          <w:sz w:val="20"/>
          <w:szCs w:val="20"/>
        </w:rPr>
        <w:t xml:space="preserve">; </w:t>
      </w:r>
      <w:proofErr w:type="spellStart"/>
      <w:r w:rsidRPr="004F604C">
        <w:rPr>
          <w:rFonts w:ascii="Calibri" w:hAnsi="Calibri"/>
          <w:sz w:val="20"/>
          <w:szCs w:val="20"/>
        </w:rPr>
        <w:t>Odhams</w:t>
      </w:r>
      <w:proofErr w:type="spellEnd"/>
      <w:r w:rsidRPr="004F604C">
        <w:rPr>
          <w:rFonts w:ascii="Calibri" w:hAnsi="Calibri"/>
          <w:sz w:val="20"/>
          <w:szCs w:val="20"/>
        </w:rPr>
        <w:t xml:space="preserve">, C. A. </w:t>
      </w:r>
      <w:r w:rsidRPr="004F604C">
        <w:rPr>
          <w:rFonts w:ascii="Calibri" w:hAnsi="Calibri"/>
          <w:sz w:val="20"/>
          <w:szCs w:val="20"/>
          <w:vertAlign w:val="superscript"/>
        </w:rPr>
        <w:t>1</w:t>
      </w:r>
      <w:r w:rsidRPr="004F604C">
        <w:rPr>
          <w:rFonts w:ascii="Calibri" w:hAnsi="Calibri"/>
          <w:sz w:val="20"/>
          <w:szCs w:val="20"/>
        </w:rPr>
        <w:t xml:space="preserve">  ; Patch, C. </w:t>
      </w:r>
      <w:r w:rsidRPr="004F604C">
        <w:rPr>
          <w:rFonts w:ascii="Calibri" w:hAnsi="Calibri"/>
          <w:sz w:val="20"/>
          <w:szCs w:val="20"/>
          <w:vertAlign w:val="superscript"/>
        </w:rPr>
        <w:t xml:space="preserve">1,2  </w:t>
      </w:r>
      <w:r w:rsidRPr="004F604C">
        <w:rPr>
          <w:rFonts w:ascii="Calibri" w:hAnsi="Calibri"/>
          <w:sz w:val="20"/>
          <w:szCs w:val="20"/>
        </w:rPr>
        <w:t xml:space="preserve">; Perez-Gil, D. </w:t>
      </w:r>
      <w:r w:rsidRPr="004F604C">
        <w:rPr>
          <w:rFonts w:ascii="Calibri" w:hAnsi="Calibri"/>
          <w:sz w:val="20"/>
          <w:szCs w:val="20"/>
          <w:vertAlign w:val="superscript"/>
        </w:rPr>
        <w:t>1</w:t>
      </w:r>
      <w:r w:rsidRPr="004F604C">
        <w:rPr>
          <w:rFonts w:ascii="Calibri" w:hAnsi="Calibri"/>
          <w:sz w:val="20"/>
          <w:szCs w:val="20"/>
        </w:rPr>
        <w:t xml:space="preserve"> ; Pereira, M. B.</w:t>
      </w:r>
      <w:r w:rsidRPr="004F604C">
        <w:rPr>
          <w:rFonts w:ascii="Calibri" w:hAnsi="Calibri"/>
          <w:sz w:val="20"/>
          <w:szCs w:val="20"/>
          <w:vertAlign w:val="superscript"/>
        </w:rPr>
        <w:t>1</w:t>
      </w:r>
      <w:r w:rsidRPr="004F604C">
        <w:rPr>
          <w:rFonts w:ascii="Calibri" w:hAnsi="Calibri"/>
          <w:sz w:val="20"/>
          <w:szCs w:val="20"/>
        </w:rPr>
        <w:t xml:space="preserve"> ; </w:t>
      </w:r>
      <w:proofErr w:type="spellStart"/>
      <w:r w:rsidRPr="004F604C">
        <w:rPr>
          <w:rFonts w:ascii="Calibri" w:hAnsi="Calibri"/>
          <w:sz w:val="20"/>
          <w:szCs w:val="20"/>
        </w:rPr>
        <w:t>Pullinger</w:t>
      </w:r>
      <w:proofErr w:type="spellEnd"/>
      <w:r w:rsidRPr="004F604C">
        <w:rPr>
          <w:rFonts w:ascii="Calibri" w:hAnsi="Calibri"/>
          <w:sz w:val="20"/>
          <w:szCs w:val="20"/>
        </w:rPr>
        <w:t xml:space="preserve">, J. </w:t>
      </w:r>
      <w:r w:rsidRPr="004F604C">
        <w:rPr>
          <w:rFonts w:ascii="Calibri" w:hAnsi="Calibri"/>
          <w:sz w:val="20"/>
          <w:szCs w:val="20"/>
          <w:vertAlign w:val="superscript"/>
        </w:rPr>
        <w:t>1</w:t>
      </w:r>
      <w:r w:rsidRPr="004F604C">
        <w:rPr>
          <w:rFonts w:ascii="Calibri" w:hAnsi="Calibri"/>
          <w:sz w:val="20"/>
          <w:szCs w:val="20"/>
        </w:rPr>
        <w:t xml:space="preserve"> ; Rahim, T. </w:t>
      </w:r>
      <w:r w:rsidRPr="004F604C">
        <w:rPr>
          <w:rFonts w:ascii="Calibri" w:hAnsi="Calibri"/>
          <w:sz w:val="20"/>
          <w:szCs w:val="20"/>
          <w:vertAlign w:val="superscript"/>
        </w:rPr>
        <w:t>1</w:t>
      </w:r>
      <w:r w:rsidRPr="004F604C">
        <w:rPr>
          <w:rFonts w:ascii="Calibri" w:hAnsi="Calibri"/>
          <w:sz w:val="20"/>
          <w:szCs w:val="20"/>
        </w:rPr>
        <w:t xml:space="preserve"> ; Rendon, A. </w:t>
      </w:r>
      <w:r w:rsidRPr="004F604C">
        <w:rPr>
          <w:rFonts w:ascii="Calibri" w:hAnsi="Calibri"/>
          <w:sz w:val="20"/>
          <w:szCs w:val="20"/>
          <w:vertAlign w:val="superscript"/>
        </w:rPr>
        <w:t>1</w:t>
      </w:r>
      <w:r w:rsidRPr="004F604C">
        <w:rPr>
          <w:rFonts w:ascii="Calibri" w:hAnsi="Calibri"/>
          <w:sz w:val="20"/>
          <w:szCs w:val="20"/>
        </w:rPr>
        <w:t xml:space="preserve"> ; Rogers, T. </w:t>
      </w:r>
      <w:r w:rsidRPr="004F604C">
        <w:rPr>
          <w:rFonts w:ascii="Calibri" w:hAnsi="Calibri"/>
          <w:sz w:val="20"/>
          <w:szCs w:val="20"/>
          <w:vertAlign w:val="superscript"/>
        </w:rPr>
        <w:t>1</w:t>
      </w:r>
      <w:r w:rsidRPr="004F604C">
        <w:rPr>
          <w:rFonts w:ascii="Calibri" w:hAnsi="Calibri"/>
          <w:sz w:val="20"/>
          <w:szCs w:val="20"/>
        </w:rPr>
        <w:t xml:space="preserve"> ; Savage, K. </w:t>
      </w:r>
      <w:r w:rsidRPr="004F604C">
        <w:rPr>
          <w:rFonts w:ascii="Calibri" w:hAnsi="Calibri"/>
          <w:sz w:val="20"/>
          <w:szCs w:val="20"/>
          <w:vertAlign w:val="superscript"/>
        </w:rPr>
        <w:t>1</w:t>
      </w:r>
      <w:r w:rsidRPr="004F604C">
        <w:rPr>
          <w:rFonts w:ascii="Calibri" w:hAnsi="Calibri"/>
          <w:sz w:val="20"/>
          <w:szCs w:val="20"/>
        </w:rPr>
        <w:t xml:space="preserve"> ; Sawant, K. </w:t>
      </w:r>
      <w:r w:rsidRPr="004F604C">
        <w:rPr>
          <w:rFonts w:ascii="Calibri" w:hAnsi="Calibri"/>
          <w:sz w:val="20"/>
          <w:szCs w:val="20"/>
          <w:vertAlign w:val="superscript"/>
        </w:rPr>
        <w:t>1</w:t>
      </w:r>
      <w:r w:rsidRPr="004F604C">
        <w:rPr>
          <w:rFonts w:ascii="Calibri" w:hAnsi="Calibri"/>
          <w:sz w:val="20"/>
          <w:szCs w:val="20"/>
        </w:rPr>
        <w:t xml:space="preserve">; Scott, R. H. </w:t>
      </w:r>
      <w:r w:rsidRPr="004F604C">
        <w:rPr>
          <w:rFonts w:ascii="Calibri" w:hAnsi="Calibri"/>
          <w:sz w:val="20"/>
          <w:szCs w:val="20"/>
          <w:vertAlign w:val="superscript"/>
        </w:rPr>
        <w:t>1</w:t>
      </w:r>
      <w:r w:rsidRPr="004F604C">
        <w:rPr>
          <w:rFonts w:ascii="Calibri" w:hAnsi="Calibri"/>
          <w:sz w:val="20"/>
          <w:szCs w:val="20"/>
        </w:rPr>
        <w:t xml:space="preserve"> ; Siddiq, A. </w:t>
      </w:r>
      <w:r w:rsidRPr="004F604C">
        <w:rPr>
          <w:rFonts w:ascii="Calibri" w:hAnsi="Calibri"/>
          <w:sz w:val="20"/>
          <w:szCs w:val="20"/>
          <w:vertAlign w:val="superscript"/>
        </w:rPr>
        <w:t>1</w:t>
      </w:r>
      <w:r w:rsidRPr="004F604C">
        <w:rPr>
          <w:rFonts w:ascii="Calibri" w:hAnsi="Calibri"/>
          <w:sz w:val="20"/>
          <w:szCs w:val="20"/>
        </w:rPr>
        <w:t xml:space="preserve"> ; </w:t>
      </w:r>
      <w:proofErr w:type="spellStart"/>
      <w:r w:rsidRPr="004F604C">
        <w:rPr>
          <w:rFonts w:ascii="Calibri" w:hAnsi="Calibri"/>
          <w:sz w:val="20"/>
          <w:szCs w:val="20"/>
        </w:rPr>
        <w:lastRenderedPageBreak/>
        <w:t>Sieghart</w:t>
      </w:r>
      <w:proofErr w:type="spellEnd"/>
      <w:r w:rsidRPr="004F604C">
        <w:rPr>
          <w:rFonts w:ascii="Calibri" w:hAnsi="Calibri"/>
          <w:sz w:val="20"/>
          <w:szCs w:val="20"/>
        </w:rPr>
        <w:t xml:space="preserve">, A. </w:t>
      </w:r>
      <w:r w:rsidRPr="004F604C">
        <w:rPr>
          <w:rFonts w:ascii="Calibri" w:hAnsi="Calibri"/>
          <w:sz w:val="20"/>
          <w:szCs w:val="20"/>
          <w:vertAlign w:val="superscript"/>
        </w:rPr>
        <w:t>1</w:t>
      </w:r>
      <w:r w:rsidRPr="004F604C">
        <w:rPr>
          <w:rFonts w:ascii="Calibri" w:hAnsi="Calibri"/>
          <w:sz w:val="20"/>
          <w:szCs w:val="20"/>
        </w:rPr>
        <w:t xml:space="preserve"> ; Smith, S. C. </w:t>
      </w:r>
      <w:r w:rsidRPr="004F604C">
        <w:rPr>
          <w:rFonts w:ascii="Calibri" w:hAnsi="Calibri"/>
          <w:sz w:val="20"/>
          <w:szCs w:val="20"/>
          <w:vertAlign w:val="superscript"/>
        </w:rPr>
        <w:t>1</w:t>
      </w:r>
      <w:r w:rsidRPr="004F604C">
        <w:rPr>
          <w:rFonts w:ascii="Calibri" w:hAnsi="Calibri"/>
          <w:sz w:val="20"/>
          <w:szCs w:val="20"/>
        </w:rPr>
        <w:t xml:space="preserve">; </w:t>
      </w:r>
      <w:proofErr w:type="spellStart"/>
      <w:r w:rsidRPr="004F604C">
        <w:rPr>
          <w:rFonts w:ascii="Calibri" w:hAnsi="Calibri"/>
          <w:sz w:val="20"/>
          <w:szCs w:val="20"/>
        </w:rPr>
        <w:t>Sosinsky</w:t>
      </w:r>
      <w:proofErr w:type="spellEnd"/>
      <w:r w:rsidRPr="004F604C">
        <w:rPr>
          <w:rFonts w:ascii="Calibri" w:hAnsi="Calibri"/>
          <w:sz w:val="20"/>
          <w:szCs w:val="20"/>
        </w:rPr>
        <w:t xml:space="preserve">, A. </w:t>
      </w:r>
      <w:r w:rsidRPr="004F604C">
        <w:rPr>
          <w:rFonts w:ascii="Calibri" w:hAnsi="Calibri"/>
          <w:sz w:val="20"/>
          <w:szCs w:val="20"/>
          <w:vertAlign w:val="superscript"/>
        </w:rPr>
        <w:t>1,2</w:t>
      </w:r>
      <w:r w:rsidRPr="004F604C">
        <w:rPr>
          <w:rFonts w:ascii="Calibri" w:hAnsi="Calibri"/>
          <w:sz w:val="20"/>
          <w:szCs w:val="20"/>
        </w:rPr>
        <w:t xml:space="preserve"> ; Stuckey, A. </w:t>
      </w:r>
      <w:r w:rsidRPr="004F604C">
        <w:rPr>
          <w:rFonts w:ascii="Calibri" w:hAnsi="Calibri"/>
          <w:sz w:val="20"/>
          <w:szCs w:val="20"/>
          <w:vertAlign w:val="superscript"/>
        </w:rPr>
        <w:t>1</w:t>
      </w:r>
      <w:r w:rsidRPr="004F604C">
        <w:rPr>
          <w:rFonts w:ascii="Calibri" w:hAnsi="Calibri"/>
          <w:sz w:val="20"/>
          <w:szCs w:val="20"/>
        </w:rPr>
        <w:t xml:space="preserve"> ; Tanguy M. </w:t>
      </w:r>
      <w:r w:rsidRPr="004F604C">
        <w:rPr>
          <w:rFonts w:ascii="Calibri" w:hAnsi="Calibri"/>
          <w:sz w:val="20"/>
          <w:szCs w:val="20"/>
          <w:vertAlign w:val="superscript"/>
        </w:rPr>
        <w:t>1</w:t>
      </w:r>
      <w:r w:rsidRPr="004F604C">
        <w:rPr>
          <w:rFonts w:ascii="Calibri" w:hAnsi="Calibri"/>
          <w:sz w:val="20"/>
          <w:szCs w:val="20"/>
        </w:rPr>
        <w:t xml:space="preserve"> ; Taylor Tavares, A. L.</w:t>
      </w:r>
      <w:r w:rsidRPr="004F604C">
        <w:rPr>
          <w:rFonts w:ascii="Calibri" w:hAnsi="Calibri"/>
          <w:sz w:val="20"/>
          <w:szCs w:val="20"/>
          <w:vertAlign w:val="superscript"/>
        </w:rPr>
        <w:t>1</w:t>
      </w:r>
      <w:r w:rsidRPr="004F604C">
        <w:rPr>
          <w:rFonts w:ascii="Calibri" w:hAnsi="Calibri"/>
          <w:sz w:val="20"/>
          <w:szCs w:val="20"/>
        </w:rPr>
        <w:t xml:space="preserve">; Thomas, E. R. A. </w:t>
      </w:r>
      <w:r w:rsidRPr="004F604C">
        <w:rPr>
          <w:rFonts w:ascii="Calibri" w:hAnsi="Calibri"/>
          <w:sz w:val="20"/>
          <w:szCs w:val="20"/>
          <w:vertAlign w:val="superscript"/>
        </w:rPr>
        <w:t>1,2</w:t>
      </w:r>
      <w:r w:rsidRPr="004F604C">
        <w:rPr>
          <w:rFonts w:ascii="Calibri" w:hAnsi="Calibri"/>
          <w:sz w:val="20"/>
          <w:szCs w:val="20"/>
        </w:rPr>
        <w:t xml:space="preserve"> ; Thompson, S. R. </w:t>
      </w:r>
      <w:r w:rsidRPr="004F604C">
        <w:rPr>
          <w:rFonts w:ascii="Calibri" w:hAnsi="Calibri"/>
          <w:sz w:val="20"/>
          <w:szCs w:val="20"/>
          <w:vertAlign w:val="superscript"/>
        </w:rPr>
        <w:t>1</w:t>
      </w:r>
      <w:r w:rsidRPr="004F604C">
        <w:rPr>
          <w:rFonts w:ascii="Calibri" w:hAnsi="Calibri"/>
          <w:sz w:val="20"/>
          <w:szCs w:val="20"/>
        </w:rPr>
        <w:t xml:space="preserve"> ; Tucci, A. </w:t>
      </w:r>
      <w:r w:rsidRPr="004F604C">
        <w:rPr>
          <w:rFonts w:ascii="Calibri" w:hAnsi="Calibri"/>
          <w:sz w:val="20"/>
          <w:szCs w:val="20"/>
          <w:vertAlign w:val="superscript"/>
        </w:rPr>
        <w:t>1,2</w:t>
      </w:r>
      <w:r w:rsidRPr="004F604C">
        <w:rPr>
          <w:rFonts w:ascii="Calibri" w:hAnsi="Calibri"/>
          <w:sz w:val="20"/>
          <w:szCs w:val="20"/>
        </w:rPr>
        <w:t xml:space="preserve"> ; </w:t>
      </w:r>
      <w:proofErr w:type="spellStart"/>
      <w:r w:rsidRPr="004F604C">
        <w:rPr>
          <w:rFonts w:ascii="Calibri" w:hAnsi="Calibri"/>
          <w:sz w:val="20"/>
          <w:szCs w:val="20"/>
        </w:rPr>
        <w:t>Welland</w:t>
      </w:r>
      <w:proofErr w:type="spellEnd"/>
      <w:r w:rsidRPr="004F604C">
        <w:rPr>
          <w:rFonts w:ascii="Calibri" w:hAnsi="Calibri"/>
          <w:sz w:val="20"/>
          <w:szCs w:val="20"/>
        </w:rPr>
        <w:t xml:space="preserve">, M. J. </w:t>
      </w:r>
      <w:r w:rsidRPr="004F604C">
        <w:rPr>
          <w:rFonts w:ascii="Calibri" w:hAnsi="Calibri"/>
          <w:sz w:val="20"/>
          <w:szCs w:val="20"/>
          <w:vertAlign w:val="superscript"/>
        </w:rPr>
        <w:t>1</w:t>
      </w:r>
      <w:r w:rsidRPr="004F604C">
        <w:rPr>
          <w:rFonts w:ascii="Calibri" w:hAnsi="Calibri"/>
          <w:sz w:val="20"/>
          <w:szCs w:val="20"/>
        </w:rPr>
        <w:t xml:space="preserve"> ; Williams, E. </w:t>
      </w:r>
      <w:r w:rsidRPr="004F604C">
        <w:rPr>
          <w:rFonts w:ascii="Calibri" w:hAnsi="Calibri"/>
          <w:sz w:val="20"/>
          <w:szCs w:val="20"/>
          <w:vertAlign w:val="superscript"/>
        </w:rPr>
        <w:t>1</w:t>
      </w:r>
      <w:r w:rsidRPr="004F604C">
        <w:rPr>
          <w:rFonts w:ascii="Calibri" w:hAnsi="Calibri"/>
          <w:sz w:val="20"/>
          <w:szCs w:val="20"/>
        </w:rPr>
        <w:t xml:space="preserve"> ; </w:t>
      </w:r>
      <w:proofErr w:type="spellStart"/>
      <w:r w:rsidRPr="004F604C">
        <w:rPr>
          <w:rFonts w:ascii="Calibri" w:hAnsi="Calibri"/>
          <w:sz w:val="20"/>
          <w:szCs w:val="20"/>
        </w:rPr>
        <w:t>Witkowska</w:t>
      </w:r>
      <w:proofErr w:type="spellEnd"/>
      <w:r w:rsidRPr="004F604C">
        <w:rPr>
          <w:rFonts w:ascii="Calibri" w:hAnsi="Calibri"/>
          <w:sz w:val="20"/>
          <w:szCs w:val="20"/>
        </w:rPr>
        <w:t xml:space="preserve">, K. </w:t>
      </w:r>
      <w:r w:rsidRPr="004F604C">
        <w:rPr>
          <w:rFonts w:ascii="Calibri" w:hAnsi="Calibri"/>
          <w:sz w:val="20"/>
          <w:szCs w:val="20"/>
          <w:vertAlign w:val="superscript"/>
        </w:rPr>
        <w:t>1,2</w:t>
      </w:r>
      <w:r w:rsidRPr="004F604C">
        <w:rPr>
          <w:rFonts w:ascii="Calibri" w:hAnsi="Calibri"/>
          <w:sz w:val="20"/>
          <w:szCs w:val="20"/>
        </w:rPr>
        <w:t xml:space="preserve"> ; Wood, S. M. </w:t>
      </w:r>
      <w:r w:rsidRPr="004F604C">
        <w:rPr>
          <w:rFonts w:ascii="Calibri" w:hAnsi="Calibri"/>
          <w:sz w:val="20"/>
          <w:szCs w:val="20"/>
          <w:vertAlign w:val="superscript"/>
        </w:rPr>
        <w:t>1,2</w:t>
      </w:r>
      <w:r w:rsidRPr="004F604C">
        <w:rPr>
          <w:rFonts w:ascii="Calibri" w:hAnsi="Calibri"/>
          <w:sz w:val="20"/>
          <w:szCs w:val="20"/>
        </w:rPr>
        <w:t xml:space="preserve">.   </w:t>
      </w:r>
    </w:p>
    <w:p w14:paraId="1C158932" w14:textId="77777777" w:rsidR="004F604C" w:rsidRDefault="004F604C">
      <w:pPr>
        <w:rPr>
          <w:rFonts w:ascii="Calibri" w:hAnsi="Calibri"/>
          <w:sz w:val="20"/>
          <w:szCs w:val="20"/>
        </w:rPr>
      </w:pPr>
    </w:p>
    <w:p w14:paraId="013D05B4" w14:textId="77777777" w:rsidR="004F604C" w:rsidRDefault="004F604C">
      <w:pPr>
        <w:rPr>
          <w:rFonts w:ascii="Calibri" w:hAnsi="Calibri"/>
          <w:sz w:val="20"/>
          <w:szCs w:val="20"/>
        </w:rPr>
      </w:pPr>
      <w:r w:rsidRPr="004F604C">
        <w:rPr>
          <w:rFonts w:ascii="Calibri" w:hAnsi="Calibri"/>
          <w:sz w:val="20"/>
          <w:szCs w:val="20"/>
        </w:rPr>
        <w:t xml:space="preserve">1. Genomics England, London, UK </w:t>
      </w:r>
    </w:p>
    <w:p w14:paraId="424957AF" w14:textId="77777777" w:rsidR="006D7419" w:rsidRDefault="004F604C">
      <w:pPr>
        <w:rPr>
          <w:rFonts w:ascii="Calibri" w:hAnsi="Calibri"/>
          <w:sz w:val="20"/>
          <w:szCs w:val="20"/>
        </w:rPr>
      </w:pPr>
      <w:r w:rsidRPr="004F604C">
        <w:rPr>
          <w:rFonts w:ascii="Calibri" w:hAnsi="Calibri"/>
          <w:sz w:val="20"/>
          <w:szCs w:val="20"/>
        </w:rPr>
        <w:t>2. William Harvey Research Institute, Queen Mary University of London, London, EC1M 6BQ, UK.</w:t>
      </w:r>
    </w:p>
    <w:p w14:paraId="61410F89" w14:textId="77777777" w:rsidR="006D7419" w:rsidRDefault="006D7419">
      <w:pPr>
        <w:rPr>
          <w:rFonts w:ascii="Calibri" w:hAnsi="Calibri"/>
          <w:sz w:val="20"/>
          <w:szCs w:val="20"/>
        </w:rPr>
      </w:pPr>
    </w:p>
    <w:p w14:paraId="085D5E70" w14:textId="275C792A" w:rsidR="00195220" w:rsidRPr="007D0C3F" w:rsidRDefault="006D7419">
      <w:pPr>
        <w:rPr>
          <w:rFonts w:ascii="Calibri" w:hAnsi="Calibri"/>
          <w:sz w:val="20"/>
        </w:rPr>
      </w:pPr>
      <w:r>
        <w:rPr>
          <w:rFonts w:ascii="Calibri" w:hAnsi="Calibri"/>
          <w:sz w:val="20"/>
        </w:rPr>
        <w:fldChar w:fldCharType="begin"/>
      </w:r>
      <w:r>
        <w:rPr>
          <w:rFonts w:ascii="Calibri" w:hAnsi="Calibri"/>
          <w:sz w:val="20"/>
        </w:rPr>
        <w:instrText xml:space="preserve"> ADDIN EN.REFLIST </w:instrText>
      </w:r>
      <w:r w:rsidR="006C2E81">
        <w:rPr>
          <w:rFonts w:ascii="Calibri" w:hAnsi="Calibri"/>
          <w:sz w:val="20"/>
        </w:rPr>
        <w:fldChar w:fldCharType="separate"/>
      </w:r>
      <w:r>
        <w:rPr>
          <w:rFonts w:ascii="Calibri" w:hAnsi="Calibri"/>
          <w:sz w:val="20"/>
        </w:rPr>
        <w:fldChar w:fldCharType="end"/>
      </w:r>
    </w:p>
    <w:sectPr w:rsidR="00195220" w:rsidRPr="007D0C3F" w:rsidSect="00F1787C">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1DDF" w14:textId="77777777" w:rsidR="006C2E81" w:rsidRDefault="006C2E81">
      <w:r>
        <w:separator/>
      </w:r>
    </w:p>
  </w:endnote>
  <w:endnote w:type="continuationSeparator" w:id="0">
    <w:p w14:paraId="1C11C741" w14:textId="77777777" w:rsidR="006C2E81" w:rsidRDefault="006C2E81">
      <w:r>
        <w:continuationSeparator/>
      </w:r>
    </w:p>
  </w:endnote>
  <w:endnote w:type="continuationNotice" w:id="1">
    <w:p w14:paraId="6EBFF7C5" w14:textId="77777777" w:rsidR="006C2E81" w:rsidRDefault="006C2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2590887"/>
      <w:docPartObj>
        <w:docPartGallery w:val="Page Numbers (Bottom of Page)"/>
        <w:docPartUnique/>
      </w:docPartObj>
    </w:sdtPr>
    <w:sdtEndPr>
      <w:rPr>
        <w:rStyle w:val="PageNumber"/>
      </w:rPr>
    </w:sdtEndPr>
    <w:sdtContent>
      <w:p w14:paraId="5125C26F" w14:textId="77777777" w:rsidR="001454E9" w:rsidRDefault="00F25969" w:rsidP="004351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A106B9" w14:textId="77777777" w:rsidR="001454E9" w:rsidRDefault="001454E9" w:rsidP="001454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6152482"/>
      <w:docPartObj>
        <w:docPartGallery w:val="Page Numbers (Bottom of Page)"/>
        <w:docPartUnique/>
      </w:docPartObj>
    </w:sdtPr>
    <w:sdtEndPr>
      <w:rPr>
        <w:rStyle w:val="PageNumber"/>
      </w:rPr>
    </w:sdtEndPr>
    <w:sdtContent>
      <w:p w14:paraId="08123FB1" w14:textId="77777777" w:rsidR="001454E9" w:rsidRDefault="00F25969" w:rsidP="004351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22173B" w14:textId="77777777" w:rsidR="001454E9" w:rsidRDefault="001454E9" w:rsidP="001454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18FE" w14:textId="77777777" w:rsidR="006C2E81" w:rsidRDefault="006C2E81">
      <w:r>
        <w:separator/>
      </w:r>
    </w:p>
  </w:footnote>
  <w:footnote w:type="continuationSeparator" w:id="0">
    <w:p w14:paraId="39AB81AD" w14:textId="77777777" w:rsidR="006C2E81" w:rsidRDefault="006C2E81">
      <w:r>
        <w:continuationSeparator/>
      </w:r>
    </w:p>
  </w:footnote>
  <w:footnote w:type="continuationNotice" w:id="1">
    <w:p w14:paraId="6049B44E" w14:textId="77777777" w:rsidR="006C2E81" w:rsidRDefault="006C2E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182"/>
    <w:multiLevelType w:val="hybridMultilevel"/>
    <w:tmpl w:val="0B7AA060"/>
    <w:lvl w:ilvl="0" w:tplc="5420AA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50513"/>
    <w:multiLevelType w:val="hybridMultilevel"/>
    <w:tmpl w:val="67F22B8E"/>
    <w:lvl w:ilvl="0" w:tplc="1B04AD3C">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763714"/>
    <w:multiLevelType w:val="hybridMultilevel"/>
    <w:tmpl w:val="C4D808D4"/>
    <w:lvl w:ilvl="0" w:tplc="FA38D4A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F0080"/>
    <w:multiLevelType w:val="hybridMultilevel"/>
    <w:tmpl w:val="86E47E6E"/>
    <w:lvl w:ilvl="0" w:tplc="12FE1BD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D00C2"/>
    <w:multiLevelType w:val="hybridMultilevel"/>
    <w:tmpl w:val="E122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D7989"/>
    <w:multiLevelType w:val="multilevel"/>
    <w:tmpl w:val="9C96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07931"/>
    <w:multiLevelType w:val="hybridMultilevel"/>
    <w:tmpl w:val="B0BA78F4"/>
    <w:lvl w:ilvl="0" w:tplc="B5E0E7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95687"/>
    <w:multiLevelType w:val="multilevel"/>
    <w:tmpl w:val="62304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1751C37"/>
    <w:multiLevelType w:val="multilevel"/>
    <w:tmpl w:val="5A5AAC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6A1C0ADC"/>
    <w:multiLevelType w:val="multilevel"/>
    <w:tmpl w:val="B9822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76F40C5"/>
    <w:multiLevelType w:val="hybridMultilevel"/>
    <w:tmpl w:val="1A687270"/>
    <w:lvl w:ilvl="0" w:tplc="826284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489349">
    <w:abstractNumId w:val="3"/>
  </w:num>
  <w:num w:numId="2" w16cid:durableId="527790656">
    <w:abstractNumId w:val="6"/>
  </w:num>
  <w:num w:numId="3" w16cid:durableId="958294299">
    <w:abstractNumId w:val="1"/>
  </w:num>
  <w:num w:numId="4" w16cid:durableId="1088966360">
    <w:abstractNumId w:val="0"/>
  </w:num>
  <w:num w:numId="5" w16cid:durableId="1893420940">
    <w:abstractNumId w:val="4"/>
  </w:num>
  <w:num w:numId="6" w16cid:durableId="901675494">
    <w:abstractNumId w:val="5"/>
  </w:num>
  <w:num w:numId="7" w16cid:durableId="199443593">
    <w:abstractNumId w:val="10"/>
  </w:num>
  <w:num w:numId="8" w16cid:durableId="83109328">
    <w:abstractNumId w:val="9"/>
  </w:num>
  <w:num w:numId="9" w16cid:durableId="2098556099">
    <w:abstractNumId w:val="7"/>
  </w:num>
  <w:num w:numId="10" w16cid:durableId="283393225">
    <w:abstractNumId w:val="2"/>
  </w:num>
  <w:num w:numId="11" w16cid:durableId="1541354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et M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vstffei2ze5sew5fwxp0dq9zxs5pvvsxpv&quot;&gt;My EndNote Library&lt;record-ids&gt;&lt;item&gt;1180&lt;/item&gt;&lt;/record-ids&gt;&lt;/item&gt;&lt;/Libraries&gt;"/>
  </w:docVars>
  <w:rsids>
    <w:rsidRoot w:val="00F52E06"/>
    <w:rsid w:val="000005D6"/>
    <w:rsid w:val="00005D93"/>
    <w:rsid w:val="00006C23"/>
    <w:rsid w:val="00013F2F"/>
    <w:rsid w:val="00014CE3"/>
    <w:rsid w:val="000152DE"/>
    <w:rsid w:val="00020F5F"/>
    <w:rsid w:val="00023296"/>
    <w:rsid w:val="00024777"/>
    <w:rsid w:val="00025C66"/>
    <w:rsid w:val="0002679E"/>
    <w:rsid w:val="00030F9B"/>
    <w:rsid w:val="00031D22"/>
    <w:rsid w:val="00033418"/>
    <w:rsid w:val="00050055"/>
    <w:rsid w:val="00051A09"/>
    <w:rsid w:val="00051AE8"/>
    <w:rsid w:val="00052F2D"/>
    <w:rsid w:val="00056852"/>
    <w:rsid w:val="00060B01"/>
    <w:rsid w:val="00062A51"/>
    <w:rsid w:val="00065880"/>
    <w:rsid w:val="00072F66"/>
    <w:rsid w:val="00073F6A"/>
    <w:rsid w:val="00075EF2"/>
    <w:rsid w:val="00084BE9"/>
    <w:rsid w:val="000852BE"/>
    <w:rsid w:val="00085D21"/>
    <w:rsid w:val="000926B1"/>
    <w:rsid w:val="000940AB"/>
    <w:rsid w:val="000A2FEC"/>
    <w:rsid w:val="000A46C9"/>
    <w:rsid w:val="000B11C6"/>
    <w:rsid w:val="000C037B"/>
    <w:rsid w:val="000C3C11"/>
    <w:rsid w:val="000C5BC8"/>
    <w:rsid w:val="000D08BC"/>
    <w:rsid w:val="000D0E90"/>
    <w:rsid w:val="000E1B28"/>
    <w:rsid w:val="000E236D"/>
    <w:rsid w:val="000F13C5"/>
    <w:rsid w:val="000F7A93"/>
    <w:rsid w:val="00101940"/>
    <w:rsid w:val="00102FA2"/>
    <w:rsid w:val="0010605A"/>
    <w:rsid w:val="00113B9B"/>
    <w:rsid w:val="001161AB"/>
    <w:rsid w:val="00122179"/>
    <w:rsid w:val="00122ED8"/>
    <w:rsid w:val="00123A5B"/>
    <w:rsid w:val="0012569C"/>
    <w:rsid w:val="00134E8E"/>
    <w:rsid w:val="0013580B"/>
    <w:rsid w:val="00140528"/>
    <w:rsid w:val="001454E9"/>
    <w:rsid w:val="00145596"/>
    <w:rsid w:val="00151E02"/>
    <w:rsid w:val="00153733"/>
    <w:rsid w:val="00165F28"/>
    <w:rsid w:val="001676C2"/>
    <w:rsid w:val="00176C3A"/>
    <w:rsid w:val="00180E3D"/>
    <w:rsid w:val="00183F75"/>
    <w:rsid w:val="00187A05"/>
    <w:rsid w:val="001902CD"/>
    <w:rsid w:val="001A0620"/>
    <w:rsid w:val="001A1751"/>
    <w:rsid w:val="001A181D"/>
    <w:rsid w:val="001A1BD9"/>
    <w:rsid w:val="001A3F0A"/>
    <w:rsid w:val="001A5577"/>
    <w:rsid w:val="001A7277"/>
    <w:rsid w:val="001A79F9"/>
    <w:rsid w:val="001B05C2"/>
    <w:rsid w:val="001B2EE2"/>
    <w:rsid w:val="001B301C"/>
    <w:rsid w:val="001B6589"/>
    <w:rsid w:val="001C52A4"/>
    <w:rsid w:val="001C6A55"/>
    <w:rsid w:val="001C7694"/>
    <w:rsid w:val="001C7938"/>
    <w:rsid w:val="001D153B"/>
    <w:rsid w:val="001D57DA"/>
    <w:rsid w:val="001E138C"/>
    <w:rsid w:val="001E2B83"/>
    <w:rsid w:val="001E7A60"/>
    <w:rsid w:val="001F27D0"/>
    <w:rsid w:val="00200C4B"/>
    <w:rsid w:val="00207232"/>
    <w:rsid w:val="00207EC9"/>
    <w:rsid w:val="002105B8"/>
    <w:rsid w:val="00212EB7"/>
    <w:rsid w:val="002213A0"/>
    <w:rsid w:val="002230BD"/>
    <w:rsid w:val="002265A5"/>
    <w:rsid w:val="00226B0B"/>
    <w:rsid w:val="00226CF7"/>
    <w:rsid w:val="002274C9"/>
    <w:rsid w:val="00240749"/>
    <w:rsid w:val="00250187"/>
    <w:rsid w:val="00250DE7"/>
    <w:rsid w:val="00251923"/>
    <w:rsid w:val="002519DE"/>
    <w:rsid w:val="00257DD1"/>
    <w:rsid w:val="00264015"/>
    <w:rsid w:val="00264F83"/>
    <w:rsid w:val="00270625"/>
    <w:rsid w:val="00272FBB"/>
    <w:rsid w:val="00274295"/>
    <w:rsid w:val="0027517A"/>
    <w:rsid w:val="0027796A"/>
    <w:rsid w:val="002842E2"/>
    <w:rsid w:val="00284756"/>
    <w:rsid w:val="00293AE2"/>
    <w:rsid w:val="002A0661"/>
    <w:rsid w:val="002A2DA8"/>
    <w:rsid w:val="002B2F08"/>
    <w:rsid w:val="002B4851"/>
    <w:rsid w:val="002B578C"/>
    <w:rsid w:val="002C170A"/>
    <w:rsid w:val="002C270D"/>
    <w:rsid w:val="002C38D3"/>
    <w:rsid w:val="002C5DA0"/>
    <w:rsid w:val="002C62BA"/>
    <w:rsid w:val="002C7F6A"/>
    <w:rsid w:val="002D0046"/>
    <w:rsid w:val="002E20B4"/>
    <w:rsid w:val="002E4B7B"/>
    <w:rsid w:val="002E4DF8"/>
    <w:rsid w:val="002E7E06"/>
    <w:rsid w:val="00301660"/>
    <w:rsid w:val="00302F9E"/>
    <w:rsid w:val="00316F39"/>
    <w:rsid w:val="00316F8E"/>
    <w:rsid w:val="00325F47"/>
    <w:rsid w:val="003263D3"/>
    <w:rsid w:val="00330E85"/>
    <w:rsid w:val="003311E7"/>
    <w:rsid w:val="00331505"/>
    <w:rsid w:val="00331C3A"/>
    <w:rsid w:val="00332BD5"/>
    <w:rsid w:val="003370F8"/>
    <w:rsid w:val="00337347"/>
    <w:rsid w:val="00337785"/>
    <w:rsid w:val="00337990"/>
    <w:rsid w:val="003403F2"/>
    <w:rsid w:val="003426A5"/>
    <w:rsid w:val="0034317D"/>
    <w:rsid w:val="003444B4"/>
    <w:rsid w:val="00345AE3"/>
    <w:rsid w:val="00347ACD"/>
    <w:rsid w:val="003535A6"/>
    <w:rsid w:val="0035393A"/>
    <w:rsid w:val="00355773"/>
    <w:rsid w:val="00357C62"/>
    <w:rsid w:val="00360C28"/>
    <w:rsid w:val="00365D08"/>
    <w:rsid w:val="00366A0F"/>
    <w:rsid w:val="00374138"/>
    <w:rsid w:val="0037795A"/>
    <w:rsid w:val="00377A8A"/>
    <w:rsid w:val="00381954"/>
    <w:rsid w:val="00383BC1"/>
    <w:rsid w:val="00386018"/>
    <w:rsid w:val="00395715"/>
    <w:rsid w:val="00395F5B"/>
    <w:rsid w:val="003A205D"/>
    <w:rsid w:val="003A353B"/>
    <w:rsid w:val="003A5049"/>
    <w:rsid w:val="003A5A63"/>
    <w:rsid w:val="003B1BB0"/>
    <w:rsid w:val="003B43DB"/>
    <w:rsid w:val="003B47C8"/>
    <w:rsid w:val="003B49BE"/>
    <w:rsid w:val="003B5E49"/>
    <w:rsid w:val="003C39E7"/>
    <w:rsid w:val="003C74F2"/>
    <w:rsid w:val="003D30E8"/>
    <w:rsid w:val="003D3319"/>
    <w:rsid w:val="003D5646"/>
    <w:rsid w:val="003E0ACA"/>
    <w:rsid w:val="003E2A51"/>
    <w:rsid w:val="003E3898"/>
    <w:rsid w:val="003E3D0B"/>
    <w:rsid w:val="003E5AAB"/>
    <w:rsid w:val="003E664E"/>
    <w:rsid w:val="003E78ED"/>
    <w:rsid w:val="003F172C"/>
    <w:rsid w:val="003F5F32"/>
    <w:rsid w:val="003F7932"/>
    <w:rsid w:val="00401345"/>
    <w:rsid w:val="00412169"/>
    <w:rsid w:val="00412BA4"/>
    <w:rsid w:val="00413AF4"/>
    <w:rsid w:val="0041651D"/>
    <w:rsid w:val="0041673C"/>
    <w:rsid w:val="0041742E"/>
    <w:rsid w:val="004207A9"/>
    <w:rsid w:val="00421D48"/>
    <w:rsid w:val="0042545C"/>
    <w:rsid w:val="00425753"/>
    <w:rsid w:val="00431091"/>
    <w:rsid w:val="00433AE8"/>
    <w:rsid w:val="004343B7"/>
    <w:rsid w:val="00435488"/>
    <w:rsid w:val="00437C3B"/>
    <w:rsid w:val="00440131"/>
    <w:rsid w:val="00442B28"/>
    <w:rsid w:val="00442C77"/>
    <w:rsid w:val="00445816"/>
    <w:rsid w:val="00445A9D"/>
    <w:rsid w:val="004479F7"/>
    <w:rsid w:val="004505DA"/>
    <w:rsid w:val="00452A6B"/>
    <w:rsid w:val="00453D17"/>
    <w:rsid w:val="00454491"/>
    <w:rsid w:val="00454BD0"/>
    <w:rsid w:val="00461C59"/>
    <w:rsid w:val="00462CAC"/>
    <w:rsid w:val="00462D7E"/>
    <w:rsid w:val="0046770A"/>
    <w:rsid w:val="00470778"/>
    <w:rsid w:val="004718DB"/>
    <w:rsid w:val="00472BA7"/>
    <w:rsid w:val="00473D07"/>
    <w:rsid w:val="00474C1D"/>
    <w:rsid w:val="004757D7"/>
    <w:rsid w:val="00480833"/>
    <w:rsid w:val="00484309"/>
    <w:rsid w:val="00493B80"/>
    <w:rsid w:val="00494D3E"/>
    <w:rsid w:val="00495165"/>
    <w:rsid w:val="004A19AD"/>
    <w:rsid w:val="004A32D1"/>
    <w:rsid w:val="004A3394"/>
    <w:rsid w:val="004A5E8A"/>
    <w:rsid w:val="004B27E5"/>
    <w:rsid w:val="004B299E"/>
    <w:rsid w:val="004B59FB"/>
    <w:rsid w:val="004C502A"/>
    <w:rsid w:val="004C692F"/>
    <w:rsid w:val="004D1C87"/>
    <w:rsid w:val="004D20A8"/>
    <w:rsid w:val="004D270E"/>
    <w:rsid w:val="004D2C90"/>
    <w:rsid w:val="004D7042"/>
    <w:rsid w:val="004E00AF"/>
    <w:rsid w:val="004E37C8"/>
    <w:rsid w:val="004E60A2"/>
    <w:rsid w:val="004F604C"/>
    <w:rsid w:val="00503EFC"/>
    <w:rsid w:val="0050679A"/>
    <w:rsid w:val="00511A8E"/>
    <w:rsid w:val="005161DD"/>
    <w:rsid w:val="005201A3"/>
    <w:rsid w:val="005203F4"/>
    <w:rsid w:val="00522EBA"/>
    <w:rsid w:val="005231C6"/>
    <w:rsid w:val="00523E2D"/>
    <w:rsid w:val="00524623"/>
    <w:rsid w:val="0052790B"/>
    <w:rsid w:val="005313B8"/>
    <w:rsid w:val="00536FFE"/>
    <w:rsid w:val="00544B7E"/>
    <w:rsid w:val="00547A72"/>
    <w:rsid w:val="0055039C"/>
    <w:rsid w:val="00552A87"/>
    <w:rsid w:val="00553210"/>
    <w:rsid w:val="00553D16"/>
    <w:rsid w:val="005540BA"/>
    <w:rsid w:val="00556C9B"/>
    <w:rsid w:val="00561B13"/>
    <w:rsid w:val="00561E14"/>
    <w:rsid w:val="0056254A"/>
    <w:rsid w:val="00562C7C"/>
    <w:rsid w:val="00565BFC"/>
    <w:rsid w:val="005807E4"/>
    <w:rsid w:val="00580A65"/>
    <w:rsid w:val="00582118"/>
    <w:rsid w:val="00583D32"/>
    <w:rsid w:val="00584969"/>
    <w:rsid w:val="0058636A"/>
    <w:rsid w:val="0059283B"/>
    <w:rsid w:val="005968AC"/>
    <w:rsid w:val="00596A6E"/>
    <w:rsid w:val="00597670"/>
    <w:rsid w:val="005A278C"/>
    <w:rsid w:val="005A2951"/>
    <w:rsid w:val="005B0657"/>
    <w:rsid w:val="005B2A5C"/>
    <w:rsid w:val="005B3F31"/>
    <w:rsid w:val="005B6415"/>
    <w:rsid w:val="005B7249"/>
    <w:rsid w:val="005C1BED"/>
    <w:rsid w:val="005C2329"/>
    <w:rsid w:val="005D2693"/>
    <w:rsid w:val="005E2BA7"/>
    <w:rsid w:val="005E30BD"/>
    <w:rsid w:val="005E3AD7"/>
    <w:rsid w:val="005E59CD"/>
    <w:rsid w:val="005E5C9C"/>
    <w:rsid w:val="005E7F17"/>
    <w:rsid w:val="005F3BDA"/>
    <w:rsid w:val="005F6F7E"/>
    <w:rsid w:val="00600126"/>
    <w:rsid w:val="0061104D"/>
    <w:rsid w:val="00624A99"/>
    <w:rsid w:val="00625887"/>
    <w:rsid w:val="00627306"/>
    <w:rsid w:val="006303F9"/>
    <w:rsid w:val="00632D2E"/>
    <w:rsid w:val="006342DA"/>
    <w:rsid w:val="00635933"/>
    <w:rsid w:val="00642909"/>
    <w:rsid w:val="00644D46"/>
    <w:rsid w:val="00652158"/>
    <w:rsid w:val="00657457"/>
    <w:rsid w:val="00660B2D"/>
    <w:rsid w:val="00661765"/>
    <w:rsid w:val="0066468B"/>
    <w:rsid w:val="00664DC9"/>
    <w:rsid w:val="00665530"/>
    <w:rsid w:val="006669BA"/>
    <w:rsid w:val="0066744D"/>
    <w:rsid w:val="00667785"/>
    <w:rsid w:val="00671907"/>
    <w:rsid w:val="00673C39"/>
    <w:rsid w:val="0068208C"/>
    <w:rsid w:val="0068228E"/>
    <w:rsid w:val="00683A3C"/>
    <w:rsid w:val="00690AAD"/>
    <w:rsid w:val="00692A5C"/>
    <w:rsid w:val="00694238"/>
    <w:rsid w:val="00696A54"/>
    <w:rsid w:val="006A1F87"/>
    <w:rsid w:val="006A5C32"/>
    <w:rsid w:val="006B2181"/>
    <w:rsid w:val="006B2907"/>
    <w:rsid w:val="006B4BA9"/>
    <w:rsid w:val="006B6095"/>
    <w:rsid w:val="006C03C0"/>
    <w:rsid w:val="006C2E81"/>
    <w:rsid w:val="006C3A91"/>
    <w:rsid w:val="006C6639"/>
    <w:rsid w:val="006D09FE"/>
    <w:rsid w:val="006D0D19"/>
    <w:rsid w:val="006D287E"/>
    <w:rsid w:val="006D7419"/>
    <w:rsid w:val="006E1ED1"/>
    <w:rsid w:val="006E41DE"/>
    <w:rsid w:val="006E797D"/>
    <w:rsid w:val="006F0A5A"/>
    <w:rsid w:val="006F1D44"/>
    <w:rsid w:val="006F62DE"/>
    <w:rsid w:val="006F65D2"/>
    <w:rsid w:val="00702AD9"/>
    <w:rsid w:val="00704547"/>
    <w:rsid w:val="00717E68"/>
    <w:rsid w:val="0072379B"/>
    <w:rsid w:val="00723810"/>
    <w:rsid w:val="007258D1"/>
    <w:rsid w:val="00727FCA"/>
    <w:rsid w:val="00733963"/>
    <w:rsid w:val="00741FE8"/>
    <w:rsid w:val="00745FA0"/>
    <w:rsid w:val="0075520E"/>
    <w:rsid w:val="007560D6"/>
    <w:rsid w:val="007563EC"/>
    <w:rsid w:val="00761008"/>
    <w:rsid w:val="00761B43"/>
    <w:rsid w:val="00762D21"/>
    <w:rsid w:val="0076424A"/>
    <w:rsid w:val="007701E9"/>
    <w:rsid w:val="00774F36"/>
    <w:rsid w:val="00775779"/>
    <w:rsid w:val="0077666A"/>
    <w:rsid w:val="00782FF5"/>
    <w:rsid w:val="00784E63"/>
    <w:rsid w:val="0079365B"/>
    <w:rsid w:val="00796C53"/>
    <w:rsid w:val="007A1D33"/>
    <w:rsid w:val="007A57D6"/>
    <w:rsid w:val="007B1321"/>
    <w:rsid w:val="007B15C5"/>
    <w:rsid w:val="007B623C"/>
    <w:rsid w:val="007C09E3"/>
    <w:rsid w:val="007C1886"/>
    <w:rsid w:val="007C24EA"/>
    <w:rsid w:val="007C3E80"/>
    <w:rsid w:val="007C54DE"/>
    <w:rsid w:val="007D0C3F"/>
    <w:rsid w:val="007D2EB4"/>
    <w:rsid w:val="007D36C6"/>
    <w:rsid w:val="007D43AC"/>
    <w:rsid w:val="007E0A9B"/>
    <w:rsid w:val="007E2975"/>
    <w:rsid w:val="007E512B"/>
    <w:rsid w:val="008006D0"/>
    <w:rsid w:val="0080096D"/>
    <w:rsid w:val="00803268"/>
    <w:rsid w:val="008049A7"/>
    <w:rsid w:val="00814C01"/>
    <w:rsid w:val="00815B64"/>
    <w:rsid w:val="008168CF"/>
    <w:rsid w:val="00821800"/>
    <w:rsid w:val="008237C2"/>
    <w:rsid w:val="00826EA7"/>
    <w:rsid w:val="00831035"/>
    <w:rsid w:val="00831952"/>
    <w:rsid w:val="008330DE"/>
    <w:rsid w:val="00843B4A"/>
    <w:rsid w:val="00845D79"/>
    <w:rsid w:val="00846165"/>
    <w:rsid w:val="008501AB"/>
    <w:rsid w:val="00851617"/>
    <w:rsid w:val="00851EA1"/>
    <w:rsid w:val="0085455E"/>
    <w:rsid w:val="0085664B"/>
    <w:rsid w:val="008571D8"/>
    <w:rsid w:val="008631FA"/>
    <w:rsid w:val="00872655"/>
    <w:rsid w:val="0087416A"/>
    <w:rsid w:val="0087424B"/>
    <w:rsid w:val="008763C5"/>
    <w:rsid w:val="008777F2"/>
    <w:rsid w:val="00880C3D"/>
    <w:rsid w:val="008814B7"/>
    <w:rsid w:val="008823AD"/>
    <w:rsid w:val="00883372"/>
    <w:rsid w:val="00885259"/>
    <w:rsid w:val="008908A0"/>
    <w:rsid w:val="00892CC3"/>
    <w:rsid w:val="008948BA"/>
    <w:rsid w:val="0089495C"/>
    <w:rsid w:val="0089553B"/>
    <w:rsid w:val="008A2AC2"/>
    <w:rsid w:val="008A7C29"/>
    <w:rsid w:val="008B08CB"/>
    <w:rsid w:val="008B1855"/>
    <w:rsid w:val="008B2F40"/>
    <w:rsid w:val="008B6ED8"/>
    <w:rsid w:val="008C06E2"/>
    <w:rsid w:val="008C5B5E"/>
    <w:rsid w:val="008C6695"/>
    <w:rsid w:val="008C7484"/>
    <w:rsid w:val="008C7C6B"/>
    <w:rsid w:val="008D30D2"/>
    <w:rsid w:val="008D3406"/>
    <w:rsid w:val="008D5EF1"/>
    <w:rsid w:val="008D73E4"/>
    <w:rsid w:val="008E62EC"/>
    <w:rsid w:val="008F3A9C"/>
    <w:rsid w:val="008F53DD"/>
    <w:rsid w:val="008F5DF0"/>
    <w:rsid w:val="009040A1"/>
    <w:rsid w:val="009044B5"/>
    <w:rsid w:val="009076C8"/>
    <w:rsid w:val="00915F6E"/>
    <w:rsid w:val="009222C0"/>
    <w:rsid w:val="00924C53"/>
    <w:rsid w:val="00927175"/>
    <w:rsid w:val="00930DC8"/>
    <w:rsid w:val="00932C69"/>
    <w:rsid w:val="00934093"/>
    <w:rsid w:val="0094055D"/>
    <w:rsid w:val="00940975"/>
    <w:rsid w:val="00943EB2"/>
    <w:rsid w:val="00947EF2"/>
    <w:rsid w:val="00951EC3"/>
    <w:rsid w:val="009624E6"/>
    <w:rsid w:val="009658C6"/>
    <w:rsid w:val="009677A4"/>
    <w:rsid w:val="009714A3"/>
    <w:rsid w:val="00972D24"/>
    <w:rsid w:val="009730C3"/>
    <w:rsid w:val="009754ED"/>
    <w:rsid w:val="00976EF8"/>
    <w:rsid w:val="00982713"/>
    <w:rsid w:val="009843D2"/>
    <w:rsid w:val="0098495E"/>
    <w:rsid w:val="0098711B"/>
    <w:rsid w:val="00991808"/>
    <w:rsid w:val="009930AA"/>
    <w:rsid w:val="009978B3"/>
    <w:rsid w:val="009A539B"/>
    <w:rsid w:val="009B2337"/>
    <w:rsid w:val="009B30C2"/>
    <w:rsid w:val="009B52E5"/>
    <w:rsid w:val="009B7CBC"/>
    <w:rsid w:val="009C158C"/>
    <w:rsid w:val="009C22D6"/>
    <w:rsid w:val="009C49FC"/>
    <w:rsid w:val="009C7600"/>
    <w:rsid w:val="009D3D90"/>
    <w:rsid w:val="009D623F"/>
    <w:rsid w:val="009E223F"/>
    <w:rsid w:val="009E7022"/>
    <w:rsid w:val="009F15FA"/>
    <w:rsid w:val="009F1CEB"/>
    <w:rsid w:val="009F368C"/>
    <w:rsid w:val="00A1269B"/>
    <w:rsid w:val="00A14743"/>
    <w:rsid w:val="00A32673"/>
    <w:rsid w:val="00A40182"/>
    <w:rsid w:val="00A41B71"/>
    <w:rsid w:val="00A4408B"/>
    <w:rsid w:val="00A442E5"/>
    <w:rsid w:val="00A456C9"/>
    <w:rsid w:val="00A53053"/>
    <w:rsid w:val="00A5403D"/>
    <w:rsid w:val="00A65441"/>
    <w:rsid w:val="00A666CD"/>
    <w:rsid w:val="00A6732F"/>
    <w:rsid w:val="00A71FCE"/>
    <w:rsid w:val="00A7507F"/>
    <w:rsid w:val="00A75EA1"/>
    <w:rsid w:val="00A81F91"/>
    <w:rsid w:val="00A85EC8"/>
    <w:rsid w:val="00A90AC8"/>
    <w:rsid w:val="00A914E8"/>
    <w:rsid w:val="00A93711"/>
    <w:rsid w:val="00A95AC7"/>
    <w:rsid w:val="00AA39D1"/>
    <w:rsid w:val="00AA4190"/>
    <w:rsid w:val="00AA4265"/>
    <w:rsid w:val="00AA57B1"/>
    <w:rsid w:val="00AA69E0"/>
    <w:rsid w:val="00AB0B45"/>
    <w:rsid w:val="00AB3303"/>
    <w:rsid w:val="00AB4FDB"/>
    <w:rsid w:val="00AB5998"/>
    <w:rsid w:val="00AB6C4E"/>
    <w:rsid w:val="00AC0176"/>
    <w:rsid w:val="00AC3EF9"/>
    <w:rsid w:val="00AD5259"/>
    <w:rsid w:val="00AD6722"/>
    <w:rsid w:val="00AE0D48"/>
    <w:rsid w:val="00AE6A7C"/>
    <w:rsid w:val="00B0278F"/>
    <w:rsid w:val="00B037A9"/>
    <w:rsid w:val="00B201CC"/>
    <w:rsid w:val="00B26465"/>
    <w:rsid w:val="00B35247"/>
    <w:rsid w:val="00B404D1"/>
    <w:rsid w:val="00B4110C"/>
    <w:rsid w:val="00B44959"/>
    <w:rsid w:val="00B501FF"/>
    <w:rsid w:val="00B51567"/>
    <w:rsid w:val="00B55B51"/>
    <w:rsid w:val="00B55BF9"/>
    <w:rsid w:val="00B610A2"/>
    <w:rsid w:val="00B663EF"/>
    <w:rsid w:val="00B66C0F"/>
    <w:rsid w:val="00B70B8A"/>
    <w:rsid w:val="00B71616"/>
    <w:rsid w:val="00B7428A"/>
    <w:rsid w:val="00B83D5F"/>
    <w:rsid w:val="00B85A96"/>
    <w:rsid w:val="00B87BB3"/>
    <w:rsid w:val="00B94D5C"/>
    <w:rsid w:val="00B9536D"/>
    <w:rsid w:val="00BA0355"/>
    <w:rsid w:val="00BB63C1"/>
    <w:rsid w:val="00BC0D18"/>
    <w:rsid w:val="00BC1E55"/>
    <w:rsid w:val="00BC63EF"/>
    <w:rsid w:val="00BD28B3"/>
    <w:rsid w:val="00BD3285"/>
    <w:rsid w:val="00BD682E"/>
    <w:rsid w:val="00BD6DF7"/>
    <w:rsid w:val="00BD7DB6"/>
    <w:rsid w:val="00BE27AB"/>
    <w:rsid w:val="00BE4DE2"/>
    <w:rsid w:val="00BE5A15"/>
    <w:rsid w:val="00BF0506"/>
    <w:rsid w:val="00BF257F"/>
    <w:rsid w:val="00C000B6"/>
    <w:rsid w:val="00C0089D"/>
    <w:rsid w:val="00C03364"/>
    <w:rsid w:val="00C13B6B"/>
    <w:rsid w:val="00C14723"/>
    <w:rsid w:val="00C1544C"/>
    <w:rsid w:val="00C2271F"/>
    <w:rsid w:val="00C23373"/>
    <w:rsid w:val="00C252E0"/>
    <w:rsid w:val="00C26D75"/>
    <w:rsid w:val="00C354F7"/>
    <w:rsid w:val="00C36A1B"/>
    <w:rsid w:val="00C37EBF"/>
    <w:rsid w:val="00C456BC"/>
    <w:rsid w:val="00C51840"/>
    <w:rsid w:val="00C56A06"/>
    <w:rsid w:val="00C60CEA"/>
    <w:rsid w:val="00C62D89"/>
    <w:rsid w:val="00C64A97"/>
    <w:rsid w:val="00C65515"/>
    <w:rsid w:val="00C67B34"/>
    <w:rsid w:val="00C7199A"/>
    <w:rsid w:val="00C73C12"/>
    <w:rsid w:val="00C74516"/>
    <w:rsid w:val="00C75F39"/>
    <w:rsid w:val="00C77555"/>
    <w:rsid w:val="00C84859"/>
    <w:rsid w:val="00C85FBC"/>
    <w:rsid w:val="00C8704B"/>
    <w:rsid w:val="00C91453"/>
    <w:rsid w:val="00C9739E"/>
    <w:rsid w:val="00CA5E54"/>
    <w:rsid w:val="00CA7209"/>
    <w:rsid w:val="00CB0671"/>
    <w:rsid w:val="00CB244A"/>
    <w:rsid w:val="00CB2E8E"/>
    <w:rsid w:val="00CB44E1"/>
    <w:rsid w:val="00CB52DB"/>
    <w:rsid w:val="00CB74C6"/>
    <w:rsid w:val="00CB7983"/>
    <w:rsid w:val="00CB7B64"/>
    <w:rsid w:val="00CC0FC8"/>
    <w:rsid w:val="00CC2897"/>
    <w:rsid w:val="00CC5CE8"/>
    <w:rsid w:val="00CC7F6B"/>
    <w:rsid w:val="00CD197F"/>
    <w:rsid w:val="00CD3397"/>
    <w:rsid w:val="00CD3AF4"/>
    <w:rsid w:val="00CD5D42"/>
    <w:rsid w:val="00CD6BE5"/>
    <w:rsid w:val="00CF77A8"/>
    <w:rsid w:val="00D01D72"/>
    <w:rsid w:val="00D01E6C"/>
    <w:rsid w:val="00D0242F"/>
    <w:rsid w:val="00D21C41"/>
    <w:rsid w:val="00D2573A"/>
    <w:rsid w:val="00D25E37"/>
    <w:rsid w:val="00D3656E"/>
    <w:rsid w:val="00D36D33"/>
    <w:rsid w:val="00D40841"/>
    <w:rsid w:val="00D5201F"/>
    <w:rsid w:val="00D54CF8"/>
    <w:rsid w:val="00D57B35"/>
    <w:rsid w:val="00D62CAC"/>
    <w:rsid w:val="00D62CB7"/>
    <w:rsid w:val="00D6680C"/>
    <w:rsid w:val="00D71233"/>
    <w:rsid w:val="00D75371"/>
    <w:rsid w:val="00D76A30"/>
    <w:rsid w:val="00D8180F"/>
    <w:rsid w:val="00D87614"/>
    <w:rsid w:val="00D90BE4"/>
    <w:rsid w:val="00D90FC7"/>
    <w:rsid w:val="00D93E7F"/>
    <w:rsid w:val="00D94B64"/>
    <w:rsid w:val="00D95C62"/>
    <w:rsid w:val="00DA76BF"/>
    <w:rsid w:val="00DB28DB"/>
    <w:rsid w:val="00DB6F96"/>
    <w:rsid w:val="00DC0EBB"/>
    <w:rsid w:val="00DC11BF"/>
    <w:rsid w:val="00DC18A3"/>
    <w:rsid w:val="00DC2EEC"/>
    <w:rsid w:val="00DC3F9C"/>
    <w:rsid w:val="00DC47B6"/>
    <w:rsid w:val="00DC6145"/>
    <w:rsid w:val="00DC7292"/>
    <w:rsid w:val="00DD2914"/>
    <w:rsid w:val="00DD2BB3"/>
    <w:rsid w:val="00DD486B"/>
    <w:rsid w:val="00DE0D0D"/>
    <w:rsid w:val="00DE2A3B"/>
    <w:rsid w:val="00DE5C78"/>
    <w:rsid w:val="00DE5D87"/>
    <w:rsid w:val="00DF379D"/>
    <w:rsid w:val="00DF5FDF"/>
    <w:rsid w:val="00DF6438"/>
    <w:rsid w:val="00E04A48"/>
    <w:rsid w:val="00E077AC"/>
    <w:rsid w:val="00E205E3"/>
    <w:rsid w:val="00E3430F"/>
    <w:rsid w:val="00E3433F"/>
    <w:rsid w:val="00E34519"/>
    <w:rsid w:val="00E3711E"/>
    <w:rsid w:val="00E4170E"/>
    <w:rsid w:val="00E4266E"/>
    <w:rsid w:val="00E428B6"/>
    <w:rsid w:val="00E42C34"/>
    <w:rsid w:val="00E472CA"/>
    <w:rsid w:val="00E5184E"/>
    <w:rsid w:val="00E52FB4"/>
    <w:rsid w:val="00E556F3"/>
    <w:rsid w:val="00E60E84"/>
    <w:rsid w:val="00E66AEC"/>
    <w:rsid w:val="00E674AE"/>
    <w:rsid w:val="00E67D07"/>
    <w:rsid w:val="00E67E1C"/>
    <w:rsid w:val="00E752E1"/>
    <w:rsid w:val="00E754B8"/>
    <w:rsid w:val="00E75D14"/>
    <w:rsid w:val="00E80E80"/>
    <w:rsid w:val="00E83AF2"/>
    <w:rsid w:val="00E865FF"/>
    <w:rsid w:val="00E87E51"/>
    <w:rsid w:val="00E91CB9"/>
    <w:rsid w:val="00E97D92"/>
    <w:rsid w:val="00EA03B6"/>
    <w:rsid w:val="00EA10F9"/>
    <w:rsid w:val="00EA25A3"/>
    <w:rsid w:val="00EA2707"/>
    <w:rsid w:val="00EA372B"/>
    <w:rsid w:val="00EA7E35"/>
    <w:rsid w:val="00EB200C"/>
    <w:rsid w:val="00EB2DC9"/>
    <w:rsid w:val="00EB5227"/>
    <w:rsid w:val="00EC2B63"/>
    <w:rsid w:val="00EC6105"/>
    <w:rsid w:val="00EC6115"/>
    <w:rsid w:val="00EC6E82"/>
    <w:rsid w:val="00ED4D2F"/>
    <w:rsid w:val="00EE26F7"/>
    <w:rsid w:val="00EE61CE"/>
    <w:rsid w:val="00EF0F42"/>
    <w:rsid w:val="00EF3CCE"/>
    <w:rsid w:val="00F01BBF"/>
    <w:rsid w:val="00F03C75"/>
    <w:rsid w:val="00F0616B"/>
    <w:rsid w:val="00F1787C"/>
    <w:rsid w:val="00F220E3"/>
    <w:rsid w:val="00F2508D"/>
    <w:rsid w:val="00F25969"/>
    <w:rsid w:val="00F262FC"/>
    <w:rsid w:val="00F32F10"/>
    <w:rsid w:val="00F3467F"/>
    <w:rsid w:val="00F346F7"/>
    <w:rsid w:val="00F35BE3"/>
    <w:rsid w:val="00F37278"/>
    <w:rsid w:val="00F402C6"/>
    <w:rsid w:val="00F4241B"/>
    <w:rsid w:val="00F4338F"/>
    <w:rsid w:val="00F43E4B"/>
    <w:rsid w:val="00F454DB"/>
    <w:rsid w:val="00F5166D"/>
    <w:rsid w:val="00F52E06"/>
    <w:rsid w:val="00F64693"/>
    <w:rsid w:val="00F657B2"/>
    <w:rsid w:val="00F73BD8"/>
    <w:rsid w:val="00F8291D"/>
    <w:rsid w:val="00F83802"/>
    <w:rsid w:val="00F83CB5"/>
    <w:rsid w:val="00F90A83"/>
    <w:rsid w:val="00F95D45"/>
    <w:rsid w:val="00F96AF6"/>
    <w:rsid w:val="00F979F6"/>
    <w:rsid w:val="00FA1001"/>
    <w:rsid w:val="00FA13B1"/>
    <w:rsid w:val="00FA19DB"/>
    <w:rsid w:val="00FB28FA"/>
    <w:rsid w:val="00FB5543"/>
    <w:rsid w:val="00FB6825"/>
    <w:rsid w:val="00FC0473"/>
    <w:rsid w:val="00FC10D9"/>
    <w:rsid w:val="00FC5F9A"/>
    <w:rsid w:val="00FD209F"/>
    <w:rsid w:val="00FD44FD"/>
    <w:rsid w:val="00FE45A6"/>
    <w:rsid w:val="00FE4AB5"/>
    <w:rsid w:val="00FF03F9"/>
    <w:rsid w:val="00FF2F31"/>
    <w:rsid w:val="00F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9CDC"/>
  <w15:chartTrackingRefBased/>
  <w15:docId w15:val="{900897E4-8117-1F49-9C98-878025EA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2E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E06"/>
    <w:rPr>
      <w:rFonts w:ascii="Segoe UI" w:eastAsia="Times New Roman" w:hAnsi="Segoe UI" w:cs="Segoe UI"/>
      <w:sz w:val="18"/>
      <w:szCs w:val="18"/>
    </w:rPr>
  </w:style>
  <w:style w:type="paragraph" w:styleId="ListParagraph">
    <w:name w:val="List Paragraph"/>
    <w:basedOn w:val="Normal"/>
    <w:uiPriority w:val="34"/>
    <w:qFormat/>
    <w:rsid w:val="00F52E06"/>
    <w:pPr>
      <w:ind w:left="720"/>
      <w:contextualSpacing/>
    </w:pPr>
  </w:style>
  <w:style w:type="character" w:styleId="Hyperlink">
    <w:name w:val="Hyperlink"/>
    <w:basedOn w:val="DefaultParagraphFont"/>
    <w:uiPriority w:val="99"/>
    <w:unhideWhenUsed/>
    <w:rsid w:val="00F52E06"/>
    <w:rPr>
      <w:color w:val="0563C1"/>
      <w:u w:val="single"/>
    </w:rPr>
  </w:style>
  <w:style w:type="table" w:styleId="TableGrid">
    <w:name w:val="Table Grid"/>
    <w:basedOn w:val="TableNormal"/>
    <w:uiPriority w:val="39"/>
    <w:rsid w:val="00F5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F52E06"/>
    <w:rPr>
      <w:color w:val="605E5C"/>
      <w:shd w:val="clear" w:color="auto" w:fill="E1DFDD"/>
    </w:rPr>
  </w:style>
  <w:style w:type="paragraph" w:customStyle="1" w:styleId="mb15">
    <w:name w:val="mb15"/>
    <w:basedOn w:val="Normal"/>
    <w:rsid w:val="00F52E06"/>
    <w:pPr>
      <w:spacing w:before="100" w:beforeAutospacing="1" w:after="100" w:afterAutospacing="1"/>
    </w:pPr>
  </w:style>
  <w:style w:type="paragraph" w:customStyle="1" w:styleId="mb0">
    <w:name w:val="mb0"/>
    <w:basedOn w:val="Normal"/>
    <w:rsid w:val="00F52E06"/>
    <w:pPr>
      <w:spacing w:before="100" w:beforeAutospacing="1" w:after="100" w:afterAutospacing="1"/>
    </w:pPr>
  </w:style>
  <w:style w:type="paragraph" w:customStyle="1" w:styleId="EndNoteBibliographyTitle">
    <w:name w:val="EndNote Bibliography Title"/>
    <w:basedOn w:val="Normal"/>
    <w:link w:val="EndNoteBibliographyTitleChar"/>
    <w:rsid w:val="00F52E06"/>
    <w:pPr>
      <w:jc w:val="center"/>
    </w:pPr>
    <w:rPr>
      <w:rFonts w:eastAsiaTheme="minorHAnsi"/>
    </w:rPr>
  </w:style>
  <w:style w:type="character" w:customStyle="1" w:styleId="EndNoteBibliographyTitleChar">
    <w:name w:val="EndNote Bibliography Title Char"/>
    <w:basedOn w:val="DefaultParagraphFont"/>
    <w:link w:val="EndNoteBibliographyTitle"/>
    <w:rsid w:val="00F52E06"/>
    <w:rPr>
      <w:rFonts w:ascii="Times New Roman" w:hAnsi="Times New Roman" w:cs="Times New Roman"/>
    </w:rPr>
  </w:style>
  <w:style w:type="paragraph" w:customStyle="1" w:styleId="EndNoteBibliography">
    <w:name w:val="EndNote Bibliography"/>
    <w:basedOn w:val="Normal"/>
    <w:link w:val="EndNoteBibliographyChar"/>
    <w:rsid w:val="00F52E06"/>
    <w:rPr>
      <w:rFonts w:eastAsiaTheme="minorHAnsi"/>
    </w:rPr>
  </w:style>
  <w:style w:type="character" w:customStyle="1" w:styleId="EndNoteBibliographyChar">
    <w:name w:val="EndNote Bibliography Char"/>
    <w:basedOn w:val="DefaultParagraphFont"/>
    <w:link w:val="EndNoteBibliography"/>
    <w:rsid w:val="00F52E06"/>
    <w:rPr>
      <w:rFonts w:ascii="Times New Roman" w:hAnsi="Times New Roman" w:cs="Times New Roman"/>
    </w:rPr>
  </w:style>
  <w:style w:type="paragraph" w:styleId="Header">
    <w:name w:val="header"/>
    <w:basedOn w:val="Normal"/>
    <w:link w:val="HeaderChar"/>
    <w:uiPriority w:val="99"/>
    <w:unhideWhenUsed/>
    <w:rsid w:val="00F52E06"/>
    <w:pPr>
      <w:tabs>
        <w:tab w:val="center" w:pos="4680"/>
        <w:tab w:val="right" w:pos="9360"/>
      </w:tabs>
    </w:pPr>
  </w:style>
  <w:style w:type="character" w:customStyle="1" w:styleId="HeaderChar">
    <w:name w:val="Header Char"/>
    <w:basedOn w:val="DefaultParagraphFont"/>
    <w:link w:val="Header"/>
    <w:uiPriority w:val="99"/>
    <w:rsid w:val="00F52E06"/>
    <w:rPr>
      <w:rFonts w:ascii="Times New Roman" w:eastAsia="Times New Roman" w:hAnsi="Times New Roman" w:cs="Times New Roman"/>
    </w:rPr>
  </w:style>
  <w:style w:type="paragraph" w:styleId="Footer">
    <w:name w:val="footer"/>
    <w:basedOn w:val="Normal"/>
    <w:link w:val="FooterChar"/>
    <w:uiPriority w:val="99"/>
    <w:unhideWhenUsed/>
    <w:rsid w:val="00F52E06"/>
    <w:pPr>
      <w:tabs>
        <w:tab w:val="center" w:pos="4680"/>
        <w:tab w:val="right" w:pos="9360"/>
      </w:tabs>
    </w:pPr>
  </w:style>
  <w:style w:type="character" w:customStyle="1" w:styleId="FooterChar">
    <w:name w:val="Footer Char"/>
    <w:basedOn w:val="DefaultParagraphFont"/>
    <w:link w:val="Footer"/>
    <w:uiPriority w:val="99"/>
    <w:rsid w:val="00F52E06"/>
    <w:rPr>
      <w:rFonts w:ascii="Times New Roman" w:eastAsia="Times New Roman" w:hAnsi="Times New Roman" w:cs="Times New Roman"/>
    </w:rPr>
  </w:style>
  <w:style w:type="character" w:styleId="Strong">
    <w:name w:val="Strong"/>
    <w:basedOn w:val="DefaultParagraphFont"/>
    <w:uiPriority w:val="22"/>
    <w:qFormat/>
    <w:rsid w:val="00F52E06"/>
    <w:rPr>
      <w:b/>
      <w:bCs/>
    </w:rPr>
  </w:style>
  <w:style w:type="character" w:styleId="CommentReference">
    <w:name w:val="annotation reference"/>
    <w:basedOn w:val="DefaultParagraphFont"/>
    <w:uiPriority w:val="99"/>
    <w:semiHidden/>
    <w:unhideWhenUsed/>
    <w:rsid w:val="00F52E06"/>
    <w:rPr>
      <w:sz w:val="16"/>
      <w:szCs w:val="16"/>
    </w:rPr>
  </w:style>
  <w:style w:type="paragraph" w:styleId="CommentText">
    <w:name w:val="annotation text"/>
    <w:basedOn w:val="Normal"/>
    <w:link w:val="CommentTextChar"/>
    <w:uiPriority w:val="99"/>
    <w:semiHidden/>
    <w:unhideWhenUsed/>
    <w:rsid w:val="00F52E06"/>
    <w:rPr>
      <w:sz w:val="20"/>
      <w:szCs w:val="20"/>
    </w:rPr>
  </w:style>
  <w:style w:type="character" w:customStyle="1" w:styleId="CommentTextChar">
    <w:name w:val="Comment Text Char"/>
    <w:basedOn w:val="DefaultParagraphFont"/>
    <w:link w:val="CommentText"/>
    <w:uiPriority w:val="99"/>
    <w:semiHidden/>
    <w:rsid w:val="00F52E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2E06"/>
    <w:rPr>
      <w:b/>
      <w:bCs/>
    </w:rPr>
  </w:style>
  <w:style w:type="character" w:customStyle="1" w:styleId="CommentSubjectChar">
    <w:name w:val="Comment Subject Char"/>
    <w:basedOn w:val="CommentTextChar"/>
    <w:link w:val="CommentSubject"/>
    <w:uiPriority w:val="99"/>
    <w:semiHidden/>
    <w:rsid w:val="00F52E06"/>
    <w:rPr>
      <w:rFonts w:ascii="Times New Roman" w:eastAsia="Times New Roman" w:hAnsi="Times New Roman" w:cs="Times New Roman"/>
      <w:b/>
      <w:bCs/>
      <w:sz w:val="20"/>
      <w:szCs w:val="20"/>
    </w:rPr>
  </w:style>
  <w:style w:type="paragraph" w:styleId="Revision">
    <w:name w:val="Revision"/>
    <w:hidden/>
    <w:uiPriority w:val="99"/>
    <w:semiHidden/>
    <w:rsid w:val="00F52E06"/>
  </w:style>
  <w:style w:type="character" w:styleId="FollowedHyperlink">
    <w:name w:val="FollowedHyperlink"/>
    <w:basedOn w:val="DefaultParagraphFont"/>
    <w:uiPriority w:val="99"/>
    <w:semiHidden/>
    <w:unhideWhenUsed/>
    <w:rsid w:val="00F52E06"/>
    <w:rPr>
      <w:color w:val="954F72" w:themeColor="followedHyperlink"/>
      <w:u w:val="single"/>
    </w:rPr>
  </w:style>
  <w:style w:type="character" w:styleId="Emphasis">
    <w:name w:val="Emphasis"/>
    <w:basedOn w:val="DefaultParagraphFont"/>
    <w:uiPriority w:val="20"/>
    <w:qFormat/>
    <w:rsid w:val="00F52E06"/>
    <w:rPr>
      <w:i/>
      <w:iCs/>
    </w:rPr>
  </w:style>
  <w:style w:type="character" w:customStyle="1" w:styleId="normaltextrun">
    <w:name w:val="normaltextrun"/>
    <w:basedOn w:val="DefaultParagraphFont"/>
    <w:rsid w:val="00F52E06"/>
  </w:style>
  <w:style w:type="paragraph" w:customStyle="1" w:styleId="Default">
    <w:name w:val="Default"/>
    <w:rsid w:val="00F52E06"/>
    <w:pPr>
      <w:autoSpaceDE w:val="0"/>
      <w:autoSpaceDN w:val="0"/>
      <w:adjustRightInd w:val="0"/>
    </w:pPr>
    <w:rPr>
      <w:rFonts w:ascii="Arial" w:hAnsi="Arial" w:cs="Arial"/>
      <w:color w:val="000000"/>
    </w:rPr>
  </w:style>
  <w:style w:type="character" w:styleId="PageNumber">
    <w:name w:val="page number"/>
    <w:basedOn w:val="DefaultParagraphFont"/>
    <w:uiPriority w:val="99"/>
    <w:semiHidden/>
    <w:unhideWhenUsed/>
    <w:rsid w:val="00F52E06"/>
  </w:style>
  <w:style w:type="character" w:styleId="LineNumber">
    <w:name w:val="line number"/>
    <w:basedOn w:val="DefaultParagraphFont"/>
    <w:uiPriority w:val="99"/>
    <w:semiHidden/>
    <w:unhideWhenUsed/>
    <w:rsid w:val="00F52E06"/>
  </w:style>
  <w:style w:type="character" w:customStyle="1" w:styleId="apple-converted-space">
    <w:name w:val="apple-converted-space"/>
    <w:basedOn w:val="DefaultParagraphFont"/>
    <w:rsid w:val="00F52E06"/>
  </w:style>
  <w:style w:type="paragraph" w:styleId="EndnoteText">
    <w:name w:val="endnote text"/>
    <w:basedOn w:val="Normal"/>
    <w:link w:val="EndnoteTextChar"/>
    <w:uiPriority w:val="99"/>
    <w:semiHidden/>
    <w:unhideWhenUsed/>
    <w:rsid w:val="00F52E06"/>
    <w:rPr>
      <w:sz w:val="20"/>
      <w:szCs w:val="20"/>
    </w:rPr>
  </w:style>
  <w:style w:type="character" w:customStyle="1" w:styleId="EndnoteTextChar">
    <w:name w:val="Endnote Text Char"/>
    <w:basedOn w:val="DefaultParagraphFont"/>
    <w:link w:val="EndnoteText"/>
    <w:uiPriority w:val="99"/>
    <w:semiHidden/>
    <w:rsid w:val="00F52E0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52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7325">
      <w:bodyDiv w:val="1"/>
      <w:marLeft w:val="0"/>
      <w:marRight w:val="0"/>
      <w:marTop w:val="0"/>
      <w:marBottom w:val="0"/>
      <w:divBdr>
        <w:top w:val="none" w:sz="0" w:space="0" w:color="auto"/>
        <w:left w:val="none" w:sz="0" w:space="0" w:color="auto"/>
        <w:bottom w:val="none" w:sz="0" w:space="0" w:color="auto"/>
        <w:right w:val="none" w:sz="0" w:space="0" w:color="auto"/>
      </w:divBdr>
    </w:div>
    <w:div w:id="89357535">
      <w:bodyDiv w:val="1"/>
      <w:marLeft w:val="0"/>
      <w:marRight w:val="0"/>
      <w:marTop w:val="0"/>
      <w:marBottom w:val="0"/>
      <w:divBdr>
        <w:top w:val="none" w:sz="0" w:space="0" w:color="auto"/>
        <w:left w:val="none" w:sz="0" w:space="0" w:color="auto"/>
        <w:bottom w:val="none" w:sz="0" w:space="0" w:color="auto"/>
        <w:right w:val="none" w:sz="0" w:space="0" w:color="auto"/>
      </w:divBdr>
    </w:div>
    <w:div w:id="170068495">
      <w:bodyDiv w:val="1"/>
      <w:marLeft w:val="0"/>
      <w:marRight w:val="0"/>
      <w:marTop w:val="0"/>
      <w:marBottom w:val="0"/>
      <w:divBdr>
        <w:top w:val="none" w:sz="0" w:space="0" w:color="auto"/>
        <w:left w:val="none" w:sz="0" w:space="0" w:color="auto"/>
        <w:bottom w:val="none" w:sz="0" w:space="0" w:color="auto"/>
        <w:right w:val="none" w:sz="0" w:space="0" w:color="auto"/>
      </w:divBdr>
    </w:div>
    <w:div w:id="224799787">
      <w:bodyDiv w:val="1"/>
      <w:marLeft w:val="0"/>
      <w:marRight w:val="0"/>
      <w:marTop w:val="0"/>
      <w:marBottom w:val="0"/>
      <w:divBdr>
        <w:top w:val="none" w:sz="0" w:space="0" w:color="auto"/>
        <w:left w:val="none" w:sz="0" w:space="0" w:color="auto"/>
        <w:bottom w:val="none" w:sz="0" w:space="0" w:color="auto"/>
        <w:right w:val="none" w:sz="0" w:space="0" w:color="auto"/>
      </w:divBdr>
    </w:div>
    <w:div w:id="225721873">
      <w:bodyDiv w:val="1"/>
      <w:marLeft w:val="0"/>
      <w:marRight w:val="0"/>
      <w:marTop w:val="0"/>
      <w:marBottom w:val="0"/>
      <w:divBdr>
        <w:top w:val="none" w:sz="0" w:space="0" w:color="auto"/>
        <w:left w:val="none" w:sz="0" w:space="0" w:color="auto"/>
        <w:bottom w:val="none" w:sz="0" w:space="0" w:color="auto"/>
        <w:right w:val="none" w:sz="0" w:space="0" w:color="auto"/>
      </w:divBdr>
    </w:div>
    <w:div w:id="237600580">
      <w:bodyDiv w:val="1"/>
      <w:marLeft w:val="0"/>
      <w:marRight w:val="0"/>
      <w:marTop w:val="0"/>
      <w:marBottom w:val="0"/>
      <w:divBdr>
        <w:top w:val="none" w:sz="0" w:space="0" w:color="auto"/>
        <w:left w:val="none" w:sz="0" w:space="0" w:color="auto"/>
        <w:bottom w:val="none" w:sz="0" w:space="0" w:color="auto"/>
        <w:right w:val="none" w:sz="0" w:space="0" w:color="auto"/>
      </w:divBdr>
    </w:div>
    <w:div w:id="255795758">
      <w:bodyDiv w:val="1"/>
      <w:marLeft w:val="0"/>
      <w:marRight w:val="0"/>
      <w:marTop w:val="0"/>
      <w:marBottom w:val="0"/>
      <w:divBdr>
        <w:top w:val="none" w:sz="0" w:space="0" w:color="auto"/>
        <w:left w:val="none" w:sz="0" w:space="0" w:color="auto"/>
        <w:bottom w:val="none" w:sz="0" w:space="0" w:color="auto"/>
        <w:right w:val="none" w:sz="0" w:space="0" w:color="auto"/>
      </w:divBdr>
    </w:div>
    <w:div w:id="361396798">
      <w:bodyDiv w:val="1"/>
      <w:marLeft w:val="0"/>
      <w:marRight w:val="0"/>
      <w:marTop w:val="0"/>
      <w:marBottom w:val="0"/>
      <w:divBdr>
        <w:top w:val="none" w:sz="0" w:space="0" w:color="auto"/>
        <w:left w:val="none" w:sz="0" w:space="0" w:color="auto"/>
        <w:bottom w:val="none" w:sz="0" w:space="0" w:color="auto"/>
        <w:right w:val="none" w:sz="0" w:space="0" w:color="auto"/>
      </w:divBdr>
    </w:div>
    <w:div w:id="466238854">
      <w:bodyDiv w:val="1"/>
      <w:marLeft w:val="0"/>
      <w:marRight w:val="0"/>
      <w:marTop w:val="0"/>
      <w:marBottom w:val="0"/>
      <w:divBdr>
        <w:top w:val="none" w:sz="0" w:space="0" w:color="auto"/>
        <w:left w:val="none" w:sz="0" w:space="0" w:color="auto"/>
        <w:bottom w:val="none" w:sz="0" w:space="0" w:color="auto"/>
        <w:right w:val="none" w:sz="0" w:space="0" w:color="auto"/>
      </w:divBdr>
    </w:div>
    <w:div w:id="713236496">
      <w:bodyDiv w:val="1"/>
      <w:marLeft w:val="0"/>
      <w:marRight w:val="0"/>
      <w:marTop w:val="0"/>
      <w:marBottom w:val="0"/>
      <w:divBdr>
        <w:top w:val="none" w:sz="0" w:space="0" w:color="auto"/>
        <w:left w:val="none" w:sz="0" w:space="0" w:color="auto"/>
        <w:bottom w:val="none" w:sz="0" w:space="0" w:color="auto"/>
        <w:right w:val="none" w:sz="0" w:space="0" w:color="auto"/>
      </w:divBdr>
    </w:div>
    <w:div w:id="761796848">
      <w:bodyDiv w:val="1"/>
      <w:marLeft w:val="0"/>
      <w:marRight w:val="0"/>
      <w:marTop w:val="0"/>
      <w:marBottom w:val="0"/>
      <w:divBdr>
        <w:top w:val="none" w:sz="0" w:space="0" w:color="auto"/>
        <w:left w:val="none" w:sz="0" w:space="0" w:color="auto"/>
        <w:bottom w:val="none" w:sz="0" w:space="0" w:color="auto"/>
        <w:right w:val="none" w:sz="0" w:space="0" w:color="auto"/>
      </w:divBdr>
    </w:div>
    <w:div w:id="764031588">
      <w:bodyDiv w:val="1"/>
      <w:marLeft w:val="0"/>
      <w:marRight w:val="0"/>
      <w:marTop w:val="0"/>
      <w:marBottom w:val="0"/>
      <w:divBdr>
        <w:top w:val="none" w:sz="0" w:space="0" w:color="auto"/>
        <w:left w:val="none" w:sz="0" w:space="0" w:color="auto"/>
        <w:bottom w:val="none" w:sz="0" w:space="0" w:color="auto"/>
        <w:right w:val="none" w:sz="0" w:space="0" w:color="auto"/>
      </w:divBdr>
    </w:div>
    <w:div w:id="887179071">
      <w:bodyDiv w:val="1"/>
      <w:marLeft w:val="0"/>
      <w:marRight w:val="0"/>
      <w:marTop w:val="0"/>
      <w:marBottom w:val="0"/>
      <w:divBdr>
        <w:top w:val="none" w:sz="0" w:space="0" w:color="auto"/>
        <w:left w:val="none" w:sz="0" w:space="0" w:color="auto"/>
        <w:bottom w:val="none" w:sz="0" w:space="0" w:color="auto"/>
        <w:right w:val="none" w:sz="0" w:space="0" w:color="auto"/>
      </w:divBdr>
    </w:div>
    <w:div w:id="910848962">
      <w:bodyDiv w:val="1"/>
      <w:marLeft w:val="0"/>
      <w:marRight w:val="0"/>
      <w:marTop w:val="0"/>
      <w:marBottom w:val="0"/>
      <w:divBdr>
        <w:top w:val="none" w:sz="0" w:space="0" w:color="auto"/>
        <w:left w:val="none" w:sz="0" w:space="0" w:color="auto"/>
        <w:bottom w:val="none" w:sz="0" w:space="0" w:color="auto"/>
        <w:right w:val="none" w:sz="0" w:space="0" w:color="auto"/>
      </w:divBdr>
    </w:div>
    <w:div w:id="980890829">
      <w:bodyDiv w:val="1"/>
      <w:marLeft w:val="0"/>
      <w:marRight w:val="0"/>
      <w:marTop w:val="0"/>
      <w:marBottom w:val="0"/>
      <w:divBdr>
        <w:top w:val="none" w:sz="0" w:space="0" w:color="auto"/>
        <w:left w:val="none" w:sz="0" w:space="0" w:color="auto"/>
        <w:bottom w:val="none" w:sz="0" w:space="0" w:color="auto"/>
        <w:right w:val="none" w:sz="0" w:space="0" w:color="auto"/>
      </w:divBdr>
    </w:div>
    <w:div w:id="1107700841">
      <w:bodyDiv w:val="1"/>
      <w:marLeft w:val="0"/>
      <w:marRight w:val="0"/>
      <w:marTop w:val="0"/>
      <w:marBottom w:val="0"/>
      <w:divBdr>
        <w:top w:val="none" w:sz="0" w:space="0" w:color="auto"/>
        <w:left w:val="none" w:sz="0" w:space="0" w:color="auto"/>
        <w:bottom w:val="none" w:sz="0" w:space="0" w:color="auto"/>
        <w:right w:val="none" w:sz="0" w:space="0" w:color="auto"/>
      </w:divBdr>
    </w:div>
    <w:div w:id="1110662674">
      <w:bodyDiv w:val="1"/>
      <w:marLeft w:val="0"/>
      <w:marRight w:val="0"/>
      <w:marTop w:val="0"/>
      <w:marBottom w:val="0"/>
      <w:divBdr>
        <w:top w:val="none" w:sz="0" w:space="0" w:color="auto"/>
        <w:left w:val="none" w:sz="0" w:space="0" w:color="auto"/>
        <w:bottom w:val="none" w:sz="0" w:space="0" w:color="auto"/>
        <w:right w:val="none" w:sz="0" w:space="0" w:color="auto"/>
      </w:divBdr>
    </w:div>
    <w:div w:id="1192959669">
      <w:bodyDiv w:val="1"/>
      <w:marLeft w:val="0"/>
      <w:marRight w:val="0"/>
      <w:marTop w:val="0"/>
      <w:marBottom w:val="0"/>
      <w:divBdr>
        <w:top w:val="none" w:sz="0" w:space="0" w:color="auto"/>
        <w:left w:val="none" w:sz="0" w:space="0" w:color="auto"/>
        <w:bottom w:val="none" w:sz="0" w:space="0" w:color="auto"/>
        <w:right w:val="none" w:sz="0" w:space="0" w:color="auto"/>
      </w:divBdr>
    </w:div>
    <w:div w:id="1270700955">
      <w:bodyDiv w:val="1"/>
      <w:marLeft w:val="0"/>
      <w:marRight w:val="0"/>
      <w:marTop w:val="0"/>
      <w:marBottom w:val="0"/>
      <w:divBdr>
        <w:top w:val="none" w:sz="0" w:space="0" w:color="auto"/>
        <w:left w:val="none" w:sz="0" w:space="0" w:color="auto"/>
        <w:bottom w:val="none" w:sz="0" w:space="0" w:color="auto"/>
        <w:right w:val="none" w:sz="0" w:space="0" w:color="auto"/>
      </w:divBdr>
    </w:div>
    <w:div w:id="1308851292">
      <w:bodyDiv w:val="1"/>
      <w:marLeft w:val="0"/>
      <w:marRight w:val="0"/>
      <w:marTop w:val="0"/>
      <w:marBottom w:val="0"/>
      <w:divBdr>
        <w:top w:val="none" w:sz="0" w:space="0" w:color="auto"/>
        <w:left w:val="none" w:sz="0" w:space="0" w:color="auto"/>
        <w:bottom w:val="none" w:sz="0" w:space="0" w:color="auto"/>
        <w:right w:val="none" w:sz="0" w:space="0" w:color="auto"/>
      </w:divBdr>
    </w:div>
    <w:div w:id="1372994625">
      <w:bodyDiv w:val="1"/>
      <w:marLeft w:val="0"/>
      <w:marRight w:val="0"/>
      <w:marTop w:val="0"/>
      <w:marBottom w:val="0"/>
      <w:divBdr>
        <w:top w:val="none" w:sz="0" w:space="0" w:color="auto"/>
        <w:left w:val="none" w:sz="0" w:space="0" w:color="auto"/>
        <w:bottom w:val="none" w:sz="0" w:space="0" w:color="auto"/>
        <w:right w:val="none" w:sz="0" w:space="0" w:color="auto"/>
      </w:divBdr>
    </w:div>
    <w:div w:id="1416199779">
      <w:bodyDiv w:val="1"/>
      <w:marLeft w:val="0"/>
      <w:marRight w:val="0"/>
      <w:marTop w:val="0"/>
      <w:marBottom w:val="0"/>
      <w:divBdr>
        <w:top w:val="none" w:sz="0" w:space="0" w:color="auto"/>
        <w:left w:val="none" w:sz="0" w:space="0" w:color="auto"/>
        <w:bottom w:val="none" w:sz="0" w:space="0" w:color="auto"/>
        <w:right w:val="none" w:sz="0" w:space="0" w:color="auto"/>
      </w:divBdr>
    </w:div>
    <w:div w:id="1513105557">
      <w:bodyDiv w:val="1"/>
      <w:marLeft w:val="0"/>
      <w:marRight w:val="0"/>
      <w:marTop w:val="0"/>
      <w:marBottom w:val="0"/>
      <w:divBdr>
        <w:top w:val="none" w:sz="0" w:space="0" w:color="auto"/>
        <w:left w:val="none" w:sz="0" w:space="0" w:color="auto"/>
        <w:bottom w:val="none" w:sz="0" w:space="0" w:color="auto"/>
        <w:right w:val="none" w:sz="0" w:space="0" w:color="auto"/>
      </w:divBdr>
    </w:div>
    <w:div w:id="1594850075">
      <w:bodyDiv w:val="1"/>
      <w:marLeft w:val="0"/>
      <w:marRight w:val="0"/>
      <w:marTop w:val="0"/>
      <w:marBottom w:val="0"/>
      <w:divBdr>
        <w:top w:val="none" w:sz="0" w:space="0" w:color="auto"/>
        <w:left w:val="none" w:sz="0" w:space="0" w:color="auto"/>
        <w:bottom w:val="none" w:sz="0" w:space="0" w:color="auto"/>
        <w:right w:val="none" w:sz="0" w:space="0" w:color="auto"/>
      </w:divBdr>
    </w:div>
    <w:div w:id="1643343475">
      <w:bodyDiv w:val="1"/>
      <w:marLeft w:val="0"/>
      <w:marRight w:val="0"/>
      <w:marTop w:val="0"/>
      <w:marBottom w:val="0"/>
      <w:divBdr>
        <w:top w:val="none" w:sz="0" w:space="0" w:color="auto"/>
        <w:left w:val="none" w:sz="0" w:space="0" w:color="auto"/>
        <w:bottom w:val="none" w:sz="0" w:space="0" w:color="auto"/>
        <w:right w:val="none" w:sz="0" w:space="0" w:color="auto"/>
      </w:divBdr>
    </w:div>
    <w:div w:id="1692220776">
      <w:bodyDiv w:val="1"/>
      <w:marLeft w:val="0"/>
      <w:marRight w:val="0"/>
      <w:marTop w:val="0"/>
      <w:marBottom w:val="0"/>
      <w:divBdr>
        <w:top w:val="none" w:sz="0" w:space="0" w:color="auto"/>
        <w:left w:val="none" w:sz="0" w:space="0" w:color="auto"/>
        <w:bottom w:val="none" w:sz="0" w:space="0" w:color="auto"/>
        <w:right w:val="none" w:sz="0" w:space="0" w:color="auto"/>
      </w:divBdr>
    </w:div>
    <w:div w:id="1860653561">
      <w:bodyDiv w:val="1"/>
      <w:marLeft w:val="0"/>
      <w:marRight w:val="0"/>
      <w:marTop w:val="0"/>
      <w:marBottom w:val="0"/>
      <w:divBdr>
        <w:top w:val="none" w:sz="0" w:space="0" w:color="auto"/>
        <w:left w:val="none" w:sz="0" w:space="0" w:color="auto"/>
        <w:bottom w:val="none" w:sz="0" w:space="0" w:color="auto"/>
        <w:right w:val="none" w:sz="0" w:space="0" w:color="auto"/>
      </w:divBdr>
    </w:div>
    <w:div w:id="1918975794">
      <w:bodyDiv w:val="1"/>
      <w:marLeft w:val="0"/>
      <w:marRight w:val="0"/>
      <w:marTop w:val="0"/>
      <w:marBottom w:val="0"/>
      <w:divBdr>
        <w:top w:val="none" w:sz="0" w:space="0" w:color="auto"/>
        <w:left w:val="none" w:sz="0" w:space="0" w:color="auto"/>
        <w:bottom w:val="none" w:sz="0" w:space="0" w:color="auto"/>
        <w:right w:val="none" w:sz="0" w:space="0" w:color="auto"/>
      </w:divBdr>
    </w:div>
    <w:div w:id="1966695698">
      <w:bodyDiv w:val="1"/>
      <w:marLeft w:val="0"/>
      <w:marRight w:val="0"/>
      <w:marTop w:val="0"/>
      <w:marBottom w:val="0"/>
      <w:divBdr>
        <w:top w:val="none" w:sz="0" w:space="0" w:color="auto"/>
        <w:left w:val="none" w:sz="0" w:space="0" w:color="auto"/>
        <w:bottom w:val="none" w:sz="0" w:space="0" w:color="auto"/>
        <w:right w:val="none" w:sz="0" w:space="0" w:color="auto"/>
      </w:divBdr>
    </w:div>
    <w:div w:id="1968509407">
      <w:bodyDiv w:val="1"/>
      <w:marLeft w:val="0"/>
      <w:marRight w:val="0"/>
      <w:marTop w:val="0"/>
      <w:marBottom w:val="0"/>
      <w:divBdr>
        <w:top w:val="none" w:sz="0" w:space="0" w:color="auto"/>
        <w:left w:val="none" w:sz="0" w:space="0" w:color="auto"/>
        <w:bottom w:val="none" w:sz="0" w:space="0" w:color="auto"/>
        <w:right w:val="none" w:sz="0" w:space="0" w:color="auto"/>
      </w:divBdr>
    </w:div>
    <w:div w:id="1978754586">
      <w:bodyDiv w:val="1"/>
      <w:marLeft w:val="0"/>
      <w:marRight w:val="0"/>
      <w:marTop w:val="0"/>
      <w:marBottom w:val="0"/>
      <w:divBdr>
        <w:top w:val="none" w:sz="0" w:space="0" w:color="auto"/>
        <w:left w:val="none" w:sz="0" w:space="0" w:color="auto"/>
        <w:bottom w:val="none" w:sz="0" w:space="0" w:color="auto"/>
        <w:right w:val="none" w:sz="0" w:space="0" w:color="auto"/>
      </w:divBdr>
    </w:div>
    <w:div w:id="1984965762">
      <w:bodyDiv w:val="1"/>
      <w:marLeft w:val="0"/>
      <w:marRight w:val="0"/>
      <w:marTop w:val="0"/>
      <w:marBottom w:val="0"/>
      <w:divBdr>
        <w:top w:val="none" w:sz="0" w:space="0" w:color="auto"/>
        <w:left w:val="none" w:sz="0" w:space="0" w:color="auto"/>
        <w:bottom w:val="none" w:sz="0" w:space="0" w:color="auto"/>
        <w:right w:val="none" w:sz="0" w:space="0" w:color="auto"/>
      </w:divBdr>
    </w:div>
    <w:div w:id="2016885112">
      <w:bodyDiv w:val="1"/>
      <w:marLeft w:val="0"/>
      <w:marRight w:val="0"/>
      <w:marTop w:val="0"/>
      <w:marBottom w:val="0"/>
      <w:divBdr>
        <w:top w:val="none" w:sz="0" w:space="0" w:color="auto"/>
        <w:left w:val="none" w:sz="0" w:space="0" w:color="auto"/>
        <w:bottom w:val="none" w:sz="0" w:space="0" w:color="auto"/>
        <w:right w:val="none" w:sz="0" w:space="0" w:color="auto"/>
      </w:divBdr>
    </w:div>
    <w:div w:id="20335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eciphergenomic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ithub.com/konradjk/loft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nomad.broadinstitute.org/downloa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Seaby@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enomicsengland.co.uk/about-gecip/for-gecip-members/data-and-data-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7" ma:contentTypeDescription="Create a new document." ma:contentTypeScope="" ma:versionID="6bd2ce282227449bb39953bca40f5dc3">
  <xsd:schema xmlns:xsd="http://www.w3.org/2001/XMLSchema" xmlns:xs="http://www.w3.org/2001/XMLSchema" xmlns:p="http://schemas.microsoft.com/office/2006/metadata/properties" xmlns:ns2="9f8affc1-1773-451c-8f00-5d38c91816ea" targetNamespace="http://schemas.microsoft.com/office/2006/metadata/properties" ma:root="true" ma:fieldsID="1491f4fada96d26e193eb5a93609453e" ns2:_="">
    <xsd:import namespace="9f8affc1-1773-451c-8f00-5d38c91816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88246-E0F5-49CC-A1F8-CBDE63DBEE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8190B8-3ADB-4741-B1BB-D0197FA19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affc1-1773-451c-8f00-5d38c9181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F9EE3-DB77-446F-9CE6-542AB5D27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6700</Words>
  <Characters>38191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Seaby</dc:creator>
  <cp:keywords/>
  <dc:description/>
  <cp:lastModifiedBy>Eleanor Seaby</cp:lastModifiedBy>
  <cp:revision>7</cp:revision>
  <dcterms:created xsi:type="dcterms:W3CDTF">2022-04-14T13:00:00Z</dcterms:created>
  <dcterms:modified xsi:type="dcterms:W3CDTF">2022-04-14T13:17:00Z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ies>
</file>