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32AC8" w14:textId="45AECB4A" w:rsidR="00E42F55" w:rsidRPr="004A2775" w:rsidRDefault="00E42F55" w:rsidP="00470CA3">
      <w:pPr>
        <w:spacing w:before="4000"/>
        <w:jc w:val="center"/>
        <w:rPr>
          <w:rFonts w:cstheme="minorHAnsi"/>
          <w:b/>
          <w:sz w:val="28"/>
          <w:szCs w:val="28"/>
        </w:rPr>
      </w:pPr>
      <w:bookmarkStart w:id="0" w:name="_GoBack"/>
      <w:bookmarkEnd w:id="0"/>
      <w:r w:rsidRPr="004A2775">
        <w:rPr>
          <w:rFonts w:cstheme="minorHAnsi"/>
          <w:b/>
          <w:sz w:val="28"/>
          <w:szCs w:val="28"/>
        </w:rPr>
        <w:t xml:space="preserve">Relationships </w:t>
      </w:r>
      <w:r w:rsidR="00685E6C" w:rsidRPr="004A2775">
        <w:rPr>
          <w:rFonts w:cstheme="minorHAnsi"/>
          <w:b/>
          <w:sz w:val="28"/>
          <w:szCs w:val="28"/>
        </w:rPr>
        <w:t xml:space="preserve">between muscle </w:t>
      </w:r>
      <w:r w:rsidR="00B33239">
        <w:rPr>
          <w:rFonts w:cstheme="minorHAnsi"/>
          <w:b/>
          <w:sz w:val="28"/>
          <w:szCs w:val="28"/>
        </w:rPr>
        <w:t xml:space="preserve">parameters </w:t>
      </w:r>
      <w:r w:rsidR="00CC31F7">
        <w:rPr>
          <w:rFonts w:cstheme="minorHAnsi"/>
          <w:b/>
          <w:sz w:val="28"/>
          <w:szCs w:val="28"/>
        </w:rPr>
        <w:t>and</w:t>
      </w:r>
      <w:r w:rsidRPr="004A2775">
        <w:rPr>
          <w:rFonts w:cstheme="minorHAnsi"/>
          <w:b/>
          <w:sz w:val="28"/>
          <w:szCs w:val="28"/>
        </w:rPr>
        <w:t xml:space="preserve"> </w:t>
      </w:r>
      <w:r w:rsidR="00C74028" w:rsidRPr="004A2775">
        <w:rPr>
          <w:rFonts w:cstheme="minorHAnsi"/>
          <w:b/>
          <w:sz w:val="28"/>
          <w:szCs w:val="28"/>
        </w:rPr>
        <w:t xml:space="preserve">history of </w:t>
      </w:r>
      <w:r w:rsidRPr="004A2775">
        <w:rPr>
          <w:rFonts w:cstheme="minorHAnsi"/>
          <w:b/>
          <w:sz w:val="28"/>
          <w:szCs w:val="28"/>
        </w:rPr>
        <w:t xml:space="preserve">falls and </w:t>
      </w:r>
      <w:r w:rsidR="00B33239" w:rsidRPr="004A2775">
        <w:rPr>
          <w:rFonts w:cstheme="minorHAnsi"/>
          <w:b/>
          <w:sz w:val="28"/>
          <w:szCs w:val="28"/>
        </w:rPr>
        <w:t>fractures in</w:t>
      </w:r>
      <w:r w:rsidRPr="004A2775">
        <w:rPr>
          <w:rFonts w:cstheme="minorHAnsi"/>
          <w:b/>
          <w:sz w:val="28"/>
          <w:szCs w:val="28"/>
        </w:rPr>
        <w:t xml:space="preserve"> the Hertfordshire Cohort Study</w:t>
      </w:r>
      <w:r w:rsidR="00C24D4F">
        <w:rPr>
          <w:rFonts w:cstheme="minorHAnsi"/>
          <w:b/>
          <w:sz w:val="28"/>
          <w:szCs w:val="28"/>
        </w:rPr>
        <w:t>: do all muscle components relate equally to clinical outcomes?</w:t>
      </w:r>
    </w:p>
    <w:p w14:paraId="3BCD2894" w14:textId="0825B0BF" w:rsidR="00E42F55" w:rsidRPr="004A2775" w:rsidRDefault="00554616" w:rsidP="00051BA5">
      <w:pPr>
        <w:jc w:val="center"/>
        <w:rPr>
          <w:rFonts w:cstheme="minorHAnsi"/>
          <w:b/>
        </w:rPr>
      </w:pPr>
      <w:r w:rsidRPr="004A2775">
        <w:rPr>
          <w:rFonts w:cstheme="minorHAnsi"/>
          <w:b/>
        </w:rPr>
        <w:t>Faidra Laskou</w:t>
      </w:r>
      <w:r w:rsidR="00E653B4" w:rsidRPr="004A2775">
        <w:rPr>
          <w:rFonts w:cstheme="minorHAnsi"/>
          <w:b/>
          <w:vertAlign w:val="superscript"/>
        </w:rPr>
        <w:t>1</w:t>
      </w:r>
      <w:r w:rsidR="00DF533B" w:rsidRPr="004A2775">
        <w:rPr>
          <w:rFonts w:cstheme="minorHAnsi"/>
          <w:b/>
          <w:vertAlign w:val="superscript"/>
        </w:rPr>
        <w:t>,2</w:t>
      </w:r>
      <w:r w:rsidRPr="004A2775">
        <w:rPr>
          <w:rFonts w:cstheme="minorHAnsi"/>
          <w:b/>
        </w:rPr>
        <w:t xml:space="preserve">, </w:t>
      </w:r>
      <w:r w:rsidR="00D604FA" w:rsidRPr="004A2775">
        <w:rPr>
          <w:rFonts w:cstheme="minorHAnsi"/>
          <w:b/>
        </w:rPr>
        <w:t>Leo D Westbury</w:t>
      </w:r>
      <w:r w:rsidR="00D604FA" w:rsidRPr="004A2775">
        <w:rPr>
          <w:rFonts w:cstheme="minorHAnsi"/>
          <w:b/>
          <w:vertAlign w:val="superscript"/>
        </w:rPr>
        <w:t>1</w:t>
      </w:r>
      <w:r w:rsidR="00D604FA" w:rsidRPr="004A2775">
        <w:rPr>
          <w:rFonts w:cstheme="minorHAnsi"/>
          <w:b/>
        </w:rPr>
        <w:t xml:space="preserve">, </w:t>
      </w:r>
      <w:r w:rsidR="00E42F55" w:rsidRPr="004A2775">
        <w:rPr>
          <w:rFonts w:cstheme="minorHAnsi"/>
          <w:b/>
        </w:rPr>
        <w:t>N</w:t>
      </w:r>
      <w:r w:rsidR="00D604FA" w:rsidRPr="004A2775">
        <w:rPr>
          <w:rFonts w:cstheme="minorHAnsi"/>
          <w:b/>
        </w:rPr>
        <w:t xml:space="preserve">icholas </w:t>
      </w:r>
      <w:r w:rsidR="00E42F55" w:rsidRPr="004A2775">
        <w:rPr>
          <w:rFonts w:cstheme="minorHAnsi"/>
          <w:b/>
        </w:rPr>
        <w:t>R Fuggle</w:t>
      </w:r>
      <w:r w:rsidR="00E42F55" w:rsidRPr="004A2775">
        <w:rPr>
          <w:rFonts w:cstheme="minorHAnsi"/>
          <w:b/>
          <w:vertAlign w:val="superscript"/>
        </w:rPr>
        <w:t>1</w:t>
      </w:r>
      <w:r w:rsidR="00DF533B" w:rsidRPr="004A2775">
        <w:rPr>
          <w:rFonts w:cstheme="minorHAnsi"/>
          <w:b/>
          <w:vertAlign w:val="superscript"/>
        </w:rPr>
        <w:t>,3</w:t>
      </w:r>
      <w:r w:rsidR="00E42F55" w:rsidRPr="004A2775">
        <w:rPr>
          <w:rFonts w:cstheme="minorHAnsi"/>
          <w:b/>
        </w:rPr>
        <w:t xml:space="preserve">, </w:t>
      </w:r>
      <w:r w:rsidRPr="004A2775">
        <w:rPr>
          <w:rFonts w:cstheme="minorHAnsi"/>
          <w:b/>
        </w:rPr>
        <w:t>M</w:t>
      </w:r>
      <w:r w:rsidR="00D604FA" w:rsidRPr="004A2775">
        <w:rPr>
          <w:rFonts w:cstheme="minorHAnsi"/>
          <w:b/>
        </w:rPr>
        <w:t xml:space="preserve">ark </w:t>
      </w:r>
      <w:r w:rsidRPr="004A2775">
        <w:rPr>
          <w:rFonts w:cstheme="minorHAnsi"/>
          <w:b/>
        </w:rPr>
        <w:t>H Edwards</w:t>
      </w:r>
      <w:r w:rsidR="00DF533B" w:rsidRPr="004A2775">
        <w:rPr>
          <w:rFonts w:cstheme="minorHAnsi"/>
          <w:b/>
          <w:vertAlign w:val="superscript"/>
        </w:rPr>
        <w:t>4</w:t>
      </w:r>
      <w:r w:rsidRPr="004A2775">
        <w:rPr>
          <w:rFonts w:cstheme="minorHAnsi"/>
          <w:b/>
        </w:rPr>
        <w:t xml:space="preserve">, </w:t>
      </w:r>
      <w:r w:rsidR="00E42F55" w:rsidRPr="004A2775">
        <w:rPr>
          <w:rFonts w:cstheme="minorHAnsi"/>
          <w:b/>
        </w:rPr>
        <w:t>C</w:t>
      </w:r>
      <w:r w:rsidR="00D604FA" w:rsidRPr="004A2775">
        <w:rPr>
          <w:rFonts w:cstheme="minorHAnsi"/>
          <w:b/>
        </w:rPr>
        <w:t>yrus</w:t>
      </w:r>
      <w:r w:rsidR="00E42F55" w:rsidRPr="004A2775">
        <w:rPr>
          <w:rFonts w:cstheme="minorHAnsi"/>
          <w:b/>
        </w:rPr>
        <w:t xml:space="preserve"> Cooper</w:t>
      </w:r>
      <w:r w:rsidR="00E42F55" w:rsidRPr="004A2775">
        <w:rPr>
          <w:rFonts w:cstheme="minorHAnsi"/>
          <w:b/>
          <w:vertAlign w:val="superscript"/>
        </w:rPr>
        <w:t>1</w:t>
      </w:r>
      <w:r w:rsidR="00DF533B" w:rsidRPr="004A2775">
        <w:rPr>
          <w:rFonts w:cstheme="minorHAnsi"/>
          <w:b/>
          <w:vertAlign w:val="superscript"/>
        </w:rPr>
        <w:t>,</w:t>
      </w:r>
      <w:r w:rsidR="00BD4DDF">
        <w:rPr>
          <w:rFonts w:cstheme="minorHAnsi"/>
          <w:b/>
          <w:vertAlign w:val="superscript"/>
        </w:rPr>
        <w:t>2</w:t>
      </w:r>
      <w:r w:rsidR="00DF533B" w:rsidRPr="004A2775">
        <w:rPr>
          <w:rFonts w:cstheme="minorHAnsi"/>
          <w:b/>
          <w:vertAlign w:val="superscript"/>
        </w:rPr>
        <w:t>,</w:t>
      </w:r>
      <w:r w:rsidR="00BD4DDF">
        <w:rPr>
          <w:rFonts w:cstheme="minorHAnsi"/>
          <w:b/>
          <w:vertAlign w:val="superscript"/>
        </w:rPr>
        <w:t>5</w:t>
      </w:r>
      <w:r w:rsidRPr="004A2775">
        <w:rPr>
          <w:rFonts w:cstheme="minorHAnsi"/>
          <w:b/>
        </w:rPr>
        <w:t>, E</w:t>
      </w:r>
      <w:r w:rsidR="00D604FA" w:rsidRPr="004A2775">
        <w:rPr>
          <w:rFonts w:cstheme="minorHAnsi"/>
          <w:b/>
        </w:rPr>
        <w:t xml:space="preserve">laine </w:t>
      </w:r>
      <w:r w:rsidRPr="004A2775">
        <w:rPr>
          <w:rFonts w:cstheme="minorHAnsi"/>
          <w:b/>
        </w:rPr>
        <w:t>M Dennison</w:t>
      </w:r>
      <w:r w:rsidRPr="004A2775">
        <w:rPr>
          <w:rFonts w:cstheme="minorHAnsi"/>
          <w:b/>
          <w:vertAlign w:val="superscript"/>
        </w:rPr>
        <w:t>1</w:t>
      </w:r>
      <w:r w:rsidR="00DF533B" w:rsidRPr="004A2775">
        <w:rPr>
          <w:rFonts w:cstheme="minorHAnsi"/>
          <w:b/>
          <w:vertAlign w:val="superscript"/>
        </w:rPr>
        <w:t>,</w:t>
      </w:r>
      <w:r w:rsidR="00BD4DDF">
        <w:rPr>
          <w:rFonts w:cstheme="minorHAnsi"/>
          <w:b/>
          <w:vertAlign w:val="superscript"/>
        </w:rPr>
        <w:t>6</w:t>
      </w:r>
    </w:p>
    <w:p w14:paraId="489A7B26" w14:textId="30668BCD" w:rsidR="00E42F55" w:rsidRPr="004A2775" w:rsidRDefault="00E42F55" w:rsidP="00DF533B">
      <w:pPr>
        <w:rPr>
          <w:rFonts w:cstheme="minorHAnsi"/>
        </w:rPr>
      </w:pPr>
      <w:r w:rsidRPr="004A2775">
        <w:rPr>
          <w:rFonts w:cstheme="minorHAnsi"/>
          <w:vertAlign w:val="superscript"/>
        </w:rPr>
        <w:t>1</w:t>
      </w:r>
      <w:r w:rsidRPr="004A2775">
        <w:rPr>
          <w:rFonts w:cstheme="minorHAnsi"/>
        </w:rPr>
        <w:t xml:space="preserve">MRC Lifecourse Epidemiology </w:t>
      </w:r>
      <w:r w:rsidR="00E653B4" w:rsidRPr="004A2775">
        <w:rPr>
          <w:rFonts w:cstheme="minorHAnsi"/>
        </w:rPr>
        <w:t>Centre</w:t>
      </w:r>
      <w:r w:rsidRPr="004A2775">
        <w:rPr>
          <w:rFonts w:cstheme="minorHAnsi"/>
        </w:rPr>
        <w:t xml:space="preserve">, University of Southampton, </w:t>
      </w:r>
      <w:r w:rsidR="00E653B4" w:rsidRPr="004A2775">
        <w:rPr>
          <w:rFonts w:cstheme="minorHAnsi"/>
        </w:rPr>
        <w:t xml:space="preserve">Southampton, </w:t>
      </w:r>
      <w:r w:rsidRPr="004A2775">
        <w:rPr>
          <w:rFonts w:cstheme="minorHAnsi"/>
        </w:rPr>
        <w:t>UK</w:t>
      </w:r>
    </w:p>
    <w:p w14:paraId="01F3F282" w14:textId="77777777" w:rsidR="00DF533B" w:rsidRPr="004A2775" w:rsidRDefault="00DF533B" w:rsidP="00DF533B">
      <w:pPr>
        <w:rPr>
          <w:rFonts w:cstheme="minorHAnsi"/>
          <w:vertAlign w:val="superscript"/>
        </w:rPr>
      </w:pPr>
      <w:r w:rsidRPr="004A2775">
        <w:rPr>
          <w:rFonts w:cstheme="minorHAnsi"/>
          <w:iCs/>
          <w:color w:val="212121"/>
          <w:shd w:val="clear" w:color="auto" w:fill="FFFFFF"/>
          <w:vertAlign w:val="superscript"/>
        </w:rPr>
        <w:t>2</w:t>
      </w:r>
      <w:r w:rsidRPr="004A2775">
        <w:rPr>
          <w:rFonts w:cstheme="minorHAnsi"/>
          <w:vertAlign w:val="superscript"/>
        </w:rPr>
        <w:t xml:space="preserve"> </w:t>
      </w:r>
      <w:r w:rsidRPr="004A2775">
        <w:rPr>
          <w:rFonts w:cstheme="minorHAnsi"/>
        </w:rPr>
        <w:t>NIHR Southampton Biomedical Research Centre, University of Southampton</w:t>
      </w:r>
    </w:p>
    <w:p w14:paraId="642318EC" w14:textId="3890FEB4" w:rsidR="00DF533B" w:rsidRPr="004A2775" w:rsidRDefault="00DF533B" w:rsidP="00DF533B">
      <w:pPr>
        <w:rPr>
          <w:rFonts w:cstheme="minorHAnsi"/>
          <w:iCs/>
          <w:color w:val="212121"/>
          <w:shd w:val="clear" w:color="auto" w:fill="FFFFFF"/>
        </w:rPr>
      </w:pPr>
      <w:r w:rsidRPr="004A2775">
        <w:rPr>
          <w:rFonts w:cstheme="minorHAnsi"/>
          <w:iCs/>
          <w:vertAlign w:val="superscript"/>
        </w:rPr>
        <w:t xml:space="preserve">3 </w:t>
      </w:r>
      <w:r w:rsidRPr="004A2775">
        <w:rPr>
          <w:rFonts w:cstheme="minorHAnsi"/>
        </w:rPr>
        <w:t>The Alan Turing Institute, London, UK</w:t>
      </w:r>
    </w:p>
    <w:p w14:paraId="2D8817CF" w14:textId="5E82DDE6" w:rsidR="00DF533B" w:rsidRPr="004A2775" w:rsidRDefault="00DF533B" w:rsidP="00DF533B">
      <w:pPr>
        <w:rPr>
          <w:rFonts w:cstheme="minorHAnsi"/>
          <w:iCs/>
          <w:color w:val="212121"/>
          <w:shd w:val="clear" w:color="auto" w:fill="FFFFFF"/>
        </w:rPr>
      </w:pPr>
      <w:r w:rsidRPr="004A2775">
        <w:rPr>
          <w:rFonts w:eastAsia="Times New Roman" w:cstheme="minorHAnsi"/>
          <w:iCs/>
          <w:color w:val="333333"/>
          <w:szCs w:val="24"/>
          <w:vertAlign w:val="superscript"/>
          <w:lang w:eastAsia="en-GB"/>
        </w:rPr>
        <w:t>4</w:t>
      </w:r>
      <w:r w:rsidRPr="004A2775">
        <w:rPr>
          <w:rFonts w:eastAsia="Times New Roman" w:cstheme="minorHAnsi"/>
          <w:iCs/>
          <w:color w:val="333333"/>
          <w:szCs w:val="24"/>
          <w:lang w:eastAsia="en-GB"/>
        </w:rPr>
        <w:t xml:space="preserve"> </w:t>
      </w:r>
      <w:r w:rsidRPr="004A2775">
        <w:rPr>
          <w:rFonts w:cstheme="minorHAnsi"/>
        </w:rPr>
        <w:t>Queen Alexandra Hospital, Portsmouth, UK</w:t>
      </w:r>
    </w:p>
    <w:p w14:paraId="71B1AA6A" w14:textId="25B7260D" w:rsidR="00DF533B" w:rsidRPr="004A2775" w:rsidRDefault="00BD4DDF" w:rsidP="00DF533B">
      <w:pPr>
        <w:rPr>
          <w:rFonts w:cstheme="minorHAnsi"/>
        </w:rPr>
      </w:pPr>
      <w:r>
        <w:rPr>
          <w:rFonts w:cstheme="minorHAnsi"/>
          <w:vertAlign w:val="superscript"/>
        </w:rPr>
        <w:t>5</w:t>
      </w:r>
      <w:r w:rsidR="00DF533B" w:rsidRPr="004A2775">
        <w:rPr>
          <w:rFonts w:cstheme="minorHAnsi"/>
          <w:vertAlign w:val="superscript"/>
        </w:rPr>
        <w:t xml:space="preserve"> </w:t>
      </w:r>
      <w:r w:rsidR="00DF533B" w:rsidRPr="004A2775">
        <w:rPr>
          <w:rFonts w:cstheme="minorHAnsi"/>
        </w:rPr>
        <w:t>NIHR Oxford Biomedical Research Centre, University of Oxford, Oxford, UK</w:t>
      </w:r>
    </w:p>
    <w:p w14:paraId="718D7059" w14:textId="4ECAE1D0" w:rsidR="00DF533B" w:rsidRDefault="00BD4DDF" w:rsidP="00DF533B">
      <w:pPr>
        <w:rPr>
          <w:rFonts w:cstheme="minorHAnsi"/>
        </w:rPr>
      </w:pPr>
      <w:r>
        <w:rPr>
          <w:rFonts w:cstheme="minorHAnsi"/>
          <w:bCs/>
          <w:iCs/>
          <w:vertAlign w:val="superscript"/>
        </w:rPr>
        <w:t>6</w:t>
      </w:r>
      <w:r w:rsidR="00DF533B" w:rsidRPr="004A2775">
        <w:rPr>
          <w:rFonts w:cstheme="minorHAnsi"/>
          <w:bCs/>
          <w:iCs/>
          <w:vertAlign w:val="superscript"/>
        </w:rPr>
        <w:t xml:space="preserve"> </w:t>
      </w:r>
      <w:r w:rsidR="00DF533B" w:rsidRPr="004A2775">
        <w:rPr>
          <w:rFonts w:cstheme="minorHAnsi"/>
        </w:rPr>
        <w:t>Victoria University of Wellington, Wellington, New Zealand</w:t>
      </w:r>
    </w:p>
    <w:p w14:paraId="45F429DD" w14:textId="17B22D4A" w:rsidR="00E21C00" w:rsidRDefault="00E21C00" w:rsidP="00E21C00">
      <w:pPr>
        <w:pStyle w:val="Heading1"/>
      </w:pPr>
      <w:r>
        <w:t>Corresponding author:</w:t>
      </w:r>
    </w:p>
    <w:p w14:paraId="11ACB75E" w14:textId="40C857F7" w:rsidR="00371144" w:rsidRPr="00E21C00" w:rsidRDefault="00371144" w:rsidP="00E21C00">
      <w:r>
        <w:t xml:space="preserve">Prof. Elaine Dennison, </w:t>
      </w:r>
      <w:hyperlink r:id="rId8" w:history="1">
        <w:r w:rsidRPr="004F4696">
          <w:rPr>
            <w:rStyle w:val="Hyperlink"/>
          </w:rPr>
          <w:t>emd@mrc.soton.ac.uk</w:t>
        </w:r>
      </w:hyperlink>
      <w:r>
        <w:t xml:space="preserve"> </w:t>
      </w:r>
    </w:p>
    <w:p w14:paraId="1BFF7ABD" w14:textId="33147728" w:rsidR="00051BA5" w:rsidRPr="004A2775" w:rsidRDefault="00051BA5">
      <w:pPr>
        <w:spacing w:after="160" w:line="259" w:lineRule="auto"/>
        <w:rPr>
          <w:rFonts w:cstheme="minorHAnsi"/>
          <w:i/>
        </w:rPr>
      </w:pPr>
      <w:r w:rsidRPr="004A2775">
        <w:rPr>
          <w:rFonts w:cstheme="minorHAnsi"/>
          <w:i/>
        </w:rPr>
        <w:br w:type="page"/>
      </w:r>
    </w:p>
    <w:p w14:paraId="61F79153" w14:textId="2695AD76" w:rsidR="004C4A84" w:rsidRPr="006C4CDD" w:rsidRDefault="004C4A84" w:rsidP="00797CED">
      <w:pPr>
        <w:pStyle w:val="Heading1"/>
        <w:jc w:val="both"/>
        <w:rPr>
          <w:rFonts w:cstheme="minorHAnsi"/>
          <w:szCs w:val="22"/>
          <w:lang w:val="en-US"/>
        </w:rPr>
      </w:pPr>
      <w:r w:rsidRPr="006C4CDD">
        <w:rPr>
          <w:rFonts w:cstheme="minorHAnsi"/>
          <w:szCs w:val="22"/>
          <w:lang w:val="en-US"/>
        </w:rPr>
        <w:lastRenderedPageBreak/>
        <w:t>Abstract</w:t>
      </w:r>
    </w:p>
    <w:p w14:paraId="3E9C1845" w14:textId="33E2E85B" w:rsidR="00793FB2" w:rsidRDefault="00793FB2" w:rsidP="00797CED">
      <w:pPr>
        <w:jc w:val="both"/>
        <w:rPr>
          <w:rFonts w:cstheme="minorHAnsi"/>
          <w:lang w:val="en-US"/>
        </w:rPr>
      </w:pPr>
      <w:r>
        <w:rPr>
          <w:rFonts w:cstheme="minorHAnsi"/>
          <w:lang w:val="en-US"/>
        </w:rPr>
        <w:t>Purpose</w:t>
      </w:r>
    </w:p>
    <w:p w14:paraId="572C477B" w14:textId="1A2763BB" w:rsidR="004C4A84" w:rsidRPr="009E1AC5" w:rsidRDefault="00CC31F7" w:rsidP="00797CED">
      <w:pPr>
        <w:jc w:val="both"/>
        <w:rPr>
          <w:rFonts w:cstheme="minorHAnsi"/>
          <w:lang w:val="en-US"/>
        </w:rPr>
      </w:pPr>
      <w:r>
        <w:rPr>
          <w:rFonts w:cstheme="minorHAnsi"/>
          <w:lang w:val="en-US"/>
        </w:rPr>
        <w:t>In previous work, r</w:t>
      </w:r>
      <w:r w:rsidR="00605AFE" w:rsidRPr="009E1AC5">
        <w:rPr>
          <w:rFonts w:cstheme="minorHAnsi"/>
          <w:lang w:val="en-US"/>
        </w:rPr>
        <w:t xml:space="preserve">elationships between muscle </w:t>
      </w:r>
      <w:r>
        <w:rPr>
          <w:rFonts w:cstheme="minorHAnsi"/>
          <w:lang w:val="en-US"/>
        </w:rPr>
        <w:t>and</w:t>
      </w:r>
      <w:r w:rsidR="00802053" w:rsidRPr="009E1AC5">
        <w:rPr>
          <w:rFonts w:cstheme="minorHAnsi"/>
          <w:lang w:val="en-US"/>
        </w:rPr>
        <w:t xml:space="preserve"> bone </w:t>
      </w:r>
      <w:r w:rsidR="00605AFE" w:rsidRPr="009E1AC5">
        <w:rPr>
          <w:rFonts w:cstheme="minorHAnsi"/>
          <w:lang w:val="en-US"/>
        </w:rPr>
        <w:t xml:space="preserve">size and strength </w:t>
      </w:r>
      <w:r>
        <w:rPr>
          <w:rFonts w:cstheme="minorHAnsi"/>
          <w:lang w:val="en-US"/>
        </w:rPr>
        <w:t>have been</w:t>
      </w:r>
      <w:r w:rsidR="00802053" w:rsidRPr="009E1AC5">
        <w:rPr>
          <w:rFonts w:cstheme="minorHAnsi"/>
          <w:lang w:val="en-US"/>
        </w:rPr>
        <w:t xml:space="preserve"> demonstrated</w:t>
      </w:r>
      <w:r w:rsidR="00F606AC" w:rsidRPr="009E1AC5">
        <w:rPr>
          <w:rFonts w:cstheme="minorHAnsi"/>
          <w:lang w:val="en-US"/>
        </w:rPr>
        <w:t xml:space="preserve"> and </w:t>
      </w:r>
      <w:r w:rsidR="00802053" w:rsidRPr="009E1AC5">
        <w:rPr>
          <w:rFonts w:cstheme="minorHAnsi"/>
          <w:lang w:val="en-US"/>
        </w:rPr>
        <w:t xml:space="preserve">were </w:t>
      </w:r>
      <w:r w:rsidR="00605AFE" w:rsidRPr="009E1AC5">
        <w:rPr>
          <w:rFonts w:cstheme="minorHAnsi"/>
          <w:lang w:val="en-US"/>
        </w:rPr>
        <w:t xml:space="preserve">stronger in </w:t>
      </w:r>
      <w:r w:rsidR="00802053" w:rsidRPr="009E1AC5">
        <w:rPr>
          <w:rFonts w:cstheme="minorHAnsi"/>
          <w:lang w:val="en-US"/>
        </w:rPr>
        <w:t>females</w:t>
      </w:r>
      <w:r w:rsidR="00605AFE" w:rsidRPr="009E1AC5">
        <w:rPr>
          <w:rFonts w:cstheme="minorHAnsi"/>
          <w:lang w:val="en-US"/>
        </w:rPr>
        <w:t xml:space="preserve">, suggesting possible sexual dimorphism. </w:t>
      </w:r>
      <w:r w:rsidR="00C24D4F">
        <w:rPr>
          <w:rFonts w:cstheme="minorHAnsi"/>
          <w:lang w:val="en-US"/>
        </w:rPr>
        <w:t>Here w</w:t>
      </w:r>
      <w:r w:rsidR="00802053" w:rsidRPr="009E1AC5">
        <w:rPr>
          <w:rFonts w:cstheme="minorHAnsi"/>
          <w:lang w:val="en-US"/>
        </w:rPr>
        <w:t xml:space="preserve">e </w:t>
      </w:r>
      <w:r w:rsidR="00605AFE" w:rsidRPr="009E1AC5">
        <w:rPr>
          <w:rFonts w:cstheme="minorHAnsi"/>
          <w:lang w:val="en-US"/>
        </w:rPr>
        <w:t xml:space="preserve">examine </w:t>
      </w:r>
      <w:r w:rsidR="00F606AC" w:rsidRPr="009E1AC5">
        <w:rPr>
          <w:rFonts w:cstheme="minorHAnsi"/>
          <w:lang w:val="en-US"/>
        </w:rPr>
        <w:t>sex-specific</w:t>
      </w:r>
      <w:r w:rsidR="00605AFE" w:rsidRPr="009E1AC5">
        <w:rPr>
          <w:rFonts w:cstheme="minorHAnsi"/>
          <w:lang w:val="en-US"/>
        </w:rPr>
        <w:t xml:space="preserve"> associations between </w:t>
      </w:r>
      <w:r w:rsidR="00C24D4F">
        <w:rPr>
          <w:rFonts w:cstheme="minorHAnsi"/>
          <w:lang w:val="en-US"/>
        </w:rPr>
        <w:t xml:space="preserve">individual </w:t>
      </w:r>
      <w:r w:rsidR="00802053" w:rsidRPr="009E1AC5">
        <w:rPr>
          <w:rFonts w:cstheme="minorHAnsi"/>
          <w:lang w:val="en-US"/>
        </w:rPr>
        <w:t xml:space="preserve">muscle </w:t>
      </w:r>
      <w:r w:rsidR="00C24D4F">
        <w:rPr>
          <w:rFonts w:cstheme="minorHAnsi"/>
          <w:lang w:val="en-US"/>
        </w:rPr>
        <w:t xml:space="preserve">sarcopenia components </w:t>
      </w:r>
      <w:r w:rsidR="00797CED" w:rsidRPr="009E1AC5">
        <w:rPr>
          <w:rFonts w:cstheme="minorHAnsi"/>
          <w:lang w:val="en-US"/>
        </w:rPr>
        <w:t xml:space="preserve">with clinical outcomes </w:t>
      </w:r>
      <w:r w:rsidR="00C24D4F">
        <w:rPr>
          <w:rFonts w:cstheme="minorHAnsi"/>
          <w:lang w:val="en-US"/>
        </w:rPr>
        <w:t>(</w:t>
      </w:r>
      <w:r w:rsidR="00797CED" w:rsidRPr="009E1AC5">
        <w:rPr>
          <w:rFonts w:cstheme="minorHAnsi"/>
          <w:lang w:val="en-US"/>
        </w:rPr>
        <w:t>falls and fractures</w:t>
      </w:r>
      <w:r w:rsidR="00C24D4F">
        <w:rPr>
          <w:rFonts w:cstheme="minorHAnsi"/>
          <w:lang w:val="en-US"/>
        </w:rPr>
        <w:t>)</w:t>
      </w:r>
      <w:r w:rsidR="00802053" w:rsidRPr="009E1AC5">
        <w:rPr>
          <w:rFonts w:cstheme="minorHAnsi"/>
          <w:lang w:val="en-US"/>
        </w:rPr>
        <w:t>.</w:t>
      </w:r>
    </w:p>
    <w:p w14:paraId="01A91A06" w14:textId="77777777" w:rsidR="00793FB2" w:rsidRDefault="00793FB2" w:rsidP="00797CED">
      <w:pPr>
        <w:jc w:val="both"/>
        <w:rPr>
          <w:rFonts w:cstheme="minorHAnsi"/>
          <w:lang w:val="en-US"/>
        </w:rPr>
      </w:pPr>
      <w:r>
        <w:rPr>
          <w:rFonts w:cstheme="minorHAnsi"/>
          <w:lang w:val="en-US"/>
        </w:rPr>
        <w:t>Methods</w:t>
      </w:r>
    </w:p>
    <w:p w14:paraId="027AFDD2" w14:textId="755410E9" w:rsidR="00605AFE" w:rsidRPr="009E1AC5" w:rsidRDefault="00605AFE" w:rsidP="00797CED">
      <w:pPr>
        <w:jc w:val="both"/>
        <w:rPr>
          <w:rFonts w:cstheme="minorHAnsi"/>
          <w:lang w:val="en-US"/>
        </w:rPr>
      </w:pPr>
      <w:r w:rsidRPr="009E1AC5">
        <w:rPr>
          <w:rFonts w:cstheme="minorHAnsi"/>
          <w:lang w:val="en-US"/>
        </w:rPr>
        <w:t>64</w:t>
      </w:r>
      <w:r w:rsidR="00F606AC" w:rsidRPr="009E1AC5">
        <w:rPr>
          <w:rFonts w:cstheme="minorHAnsi"/>
          <w:lang w:val="en-US"/>
        </w:rPr>
        <w:t>1</w:t>
      </w:r>
      <w:r w:rsidRPr="009E1AC5">
        <w:rPr>
          <w:rFonts w:cstheme="minorHAnsi"/>
          <w:lang w:val="en-US"/>
        </w:rPr>
        <w:t xml:space="preserve"> participants were </w:t>
      </w:r>
      <w:r w:rsidR="00CC31F7">
        <w:rPr>
          <w:rFonts w:cstheme="minorHAnsi"/>
          <w:lang w:val="en-US"/>
        </w:rPr>
        <w:t>recruite</w:t>
      </w:r>
      <w:r w:rsidR="00F606AC" w:rsidRPr="009E1AC5">
        <w:rPr>
          <w:rFonts w:cstheme="minorHAnsi"/>
          <w:lang w:val="en-US"/>
        </w:rPr>
        <w:t>d</w:t>
      </w:r>
      <w:r w:rsidRPr="009E1AC5">
        <w:rPr>
          <w:rFonts w:cstheme="minorHAnsi"/>
          <w:lang w:val="en-US"/>
        </w:rPr>
        <w:t>. Muscle mass was assessed as cross-sectional area</w:t>
      </w:r>
      <w:r w:rsidR="00802053" w:rsidRPr="009E1AC5">
        <w:rPr>
          <w:rFonts w:cstheme="minorHAnsi"/>
          <w:lang w:val="en-US"/>
        </w:rPr>
        <w:t xml:space="preserve"> (CSA)</w:t>
      </w:r>
      <w:r w:rsidRPr="009E1AC5">
        <w:rPr>
          <w:rFonts w:cstheme="minorHAnsi"/>
          <w:lang w:val="en-US"/>
        </w:rPr>
        <w:t xml:space="preserve"> by peripheral quantitative computed tomography of the calf</w:t>
      </w:r>
      <w:r w:rsidR="00E21C00" w:rsidRPr="009E1AC5">
        <w:rPr>
          <w:rFonts w:cstheme="minorHAnsi"/>
          <w:lang w:val="en-US"/>
        </w:rPr>
        <w:t>,</w:t>
      </w:r>
      <w:r w:rsidRPr="009E1AC5">
        <w:rPr>
          <w:rFonts w:cstheme="minorHAnsi"/>
          <w:lang w:val="en-US"/>
        </w:rPr>
        <w:t xml:space="preserve"> </w:t>
      </w:r>
      <w:r w:rsidR="00786859">
        <w:rPr>
          <w:rFonts w:cstheme="minorHAnsi"/>
          <w:lang w:val="en-US"/>
        </w:rPr>
        <w:t>grip</w:t>
      </w:r>
      <w:r w:rsidR="00F606AC" w:rsidRPr="009E1AC5">
        <w:rPr>
          <w:rFonts w:cstheme="minorHAnsi"/>
          <w:lang w:val="en-US"/>
        </w:rPr>
        <w:t xml:space="preserve"> </w:t>
      </w:r>
      <w:r w:rsidRPr="009E1AC5">
        <w:rPr>
          <w:rFonts w:cstheme="minorHAnsi"/>
          <w:lang w:val="en-US"/>
        </w:rPr>
        <w:t>strength</w:t>
      </w:r>
      <w:r w:rsidR="00802053" w:rsidRPr="009E1AC5">
        <w:rPr>
          <w:rFonts w:cstheme="minorHAnsi"/>
          <w:lang w:val="en-US"/>
        </w:rPr>
        <w:t xml:space="preserve"> (</w:t>
      </w:r>
      <w:r w:rsidR="00786859">
        <w:rPr>
          <w:rFonts w:cstheme="minorHAnsi"/>
          <w:lang w:val="en-US"/>
        </w:rPr>
        <w:t>Gp</w:t>
      </w:r>
      <w:r w:rsidR="00802053" w:rsidRPr="009E1AC5">
        <w:rPr>
          <w:rFonts w:cstheme="minorHAnsi"/>
          <w:lang w:val="en-US"/>
        </w:rPr>
        <w:t>S)</w:t>
      </w:r>
      <w:r w:rsidRPr="009E1AC5">
        <w:rPr>
          <w:rFonts w:cstheme="minorHAnsi"/>
          <w:lang w:val="en-US"/>
        </w:rPr>
        <w:t xml:space="preserve"> by J</w:t>
      </w:r>
      <w:r w:rsidR="004A2775" w:rsidRPr="009E1AC5">
        <w:rPr>
          <w:rFonts w:cstheme="minorHAnsi"/>
          <w:lang w:val="en-US"/>
        </w:rPr>
        <w:t>amar</w:t>
      </w:r>
      <w:r w:rsidRPr="009E1AC5">
        <w:rPr>
          <w:rFonts w:cstheme="minorHAnsi"/>
          <w:lang w:val="en-US"/>
        </w:rPr>
        <w:t xml:space="preserve"> dynamometry and function </w:t>
      </w:r>
      <w:r w:rsidR="004A2775" w:rsidRPr="009E1AC5">
        <w:rPr>
          <w:rFonts w:cstheme="minorHAnsi"/>
          <w:lang w:val="en-US"/>
        </w:rPr>
        <w:t>by</w:t>
      </w:r>
      <w:r w:rsidRPr="009E1AC5">
        <w:rPr>
          <w:rFonts w:cstheme="minorHAnsi"/>
          <w:lang w:val="en-US"/>
        </w:rPr>
        <w:t xml:space="preserve"> gait speed</w:t>
      </w:r>
      <w:r w:rsidR="00802053" w:rsidRPr="009E1AC5">
        <w:rPr>
          <w:rFonts w:cstheme="minorHAnsi"/>
          <w:lang w:val="en-US"/>
        </w:rPr>
        <w:t xml:space="preserve"> (G</w:t>
      </w:r>
      <w:r w:rsidR="00786859">
        <w:rPr>
          <w:rFonts w:cstheme="minorHAnsi"/>
          <w:lang w:val="en-US"/>
        </w:rPr>
        <w:t>t</w:t>
      </w:r>
      <w:r w:rsidR="00802053" w:rsidRPr="009E1AC5">
        <w:rPr>
          <w:rFonts w:cstheme="minorHAnsi"/>
          <w:lang w:val="en-US"/>
        </w:rPr>
        <w:t>S). Falls</w:t>
      </w:r>
      <w:r w:rsidRPr="009E1AC5">
        <w:rPr>
          <w:rFonts w:cstheme="minorHAnsi"/>
          <w:lang w:val="en-US"/>
        </w:rPr>
        <w:t xml:space="preserve"> and fractures</w:t>
      </w:r>
      <w:r w:rsidR="00C74028" w:rsidRPr="009E1AC5">
        <w:rPr>
          <w:rFonts w:cstheme="minorHAnsi"/>
          <w:lang w:val="en-US"/>
        </w:rPr>
        <w:t xml:space="preserve"> </w:t>
      </w:r>
      <w:r w:rsidRPr="009E1AC5">
        <w:rPr>
          <w:rFonts w:cstheme="minorHAnsi"/>
          <w:lang w:val="en-US"/>
        </w:rPr>
        <w:t>w</w:t>
      </w:r>
      <w:r w:rsidR="00C74028" w:rsidRPr="009E1AC5">
        <w:rPr>
          <w:rFonts w:cstheme="minorHAnsi"/>
          <w:lang w:val="en-US"/>
        </w:rPr>
        <w:t>ere</w:t>
      </w:r>
      <w:r w:rsidRPr="009E1AC5">
        <w:rPr>
          <w:rFonts w:cstheme="minorHAnsi"/>
          <w:lang w:val="en-US"/>
        </w:rPr>
        <w:t xml:space="preserve"> self-reported. </w:t>
      </w:r>
      <w:r w:rsidR="00F606AC" w:rsidRPr="009E1AC5">
        <w:rPr>
          <w:rFonts w:cstheme="minorHAnsi"/>
          <w:lang w:val="en-US"/>
        </w:rPr>
        <w:t xml:space="preserve">Ordinal and </w:t>
      </w:r>
      <w:r w:rsidR="006E00A0" w:rsidRPr="009E1AC5">
        <w:rPr>
          <w:rFonts w:cstheme="minorHAnsi"/>
          <w:lang w:val="en-US"/>
        </w:rPr>
        <w:t>logistic</w:t>
      </w:r>
      <w:r w:rsidR="00F606AC" w:rsidRPr="009E1AC5">
        <w:rPr>
          <w:rFonts w:cstheme="minorHAnsi"/>
          <w:lang w:val="en-US"/>
        </w:rPr>
        <w:t xml:space="preserve"> </w:t>
      </w:r>
      <w:r w:rsidRPr="009E1AC5">
        <w:rPr>
          <w:rFonts w:cstheme="minorHAnsi"/>
          <w:lang w:val="en-US"/>
        </w:rPr>
        <w:t xml:space="preserve">regression </w:t>
      </w:r>
      <w:r w:rsidR="006E00A0" w:rsidRPr="009E1AC5">
        <w:rPr>
          <w:rFonts w:cstheme="minorHAnsi"/>
          <w:lang w:val="en-US"/>
        </w:rPr>
        <w:t xml:space="preserve">were </w:t>
      </w:r>
      <w:r w:rsidRPr="009E1AC5">
        <w:rPr>
          <w:rFonts w:cstheme="minorHAnsi"/>
          <w:lang w:val="en-US"/>
        </w:rPr>
        <w:t>used to examine the associations between muscle measure</w:t>
      </w:r>
      <w:r w:rsidR="00802053" w:rsidRPr="009E1AC5">
        <w:rPr>
          <w:rFonts w:cstheme="minorHAnsi"/>
          <w:lang w:val="en-US"/>
        </w:rPr>
        <w:t>ment</w:t>
      </w:r>
      <w:r w:rsidRPr="009E1AC5">
        <w:rPr>
          <w:rFonts w:cstheme="minorHAnsi"/>
          <w:lang w:val="en-US"/>
        </w:rPr>
        <w:t xml:space="preserve">s and outcomes with and without adjustment for </w:t>
      </w:r>
      <w:r w:rsidR="00C74028" w:rsidRPr="009E1AC5">
        <w:rPr>
          <w:rFonts w:cstheme="minorHAnsi"/>
          <w:lang w:val="en-US"/>
        </w:rPr>
        <w:t>confounders</w:t>
      </w:r>
      <w:r w:rsidRPr="009E1AC5">
        <w:rPr>
          <w:rFonts w:cstheme="minorHAnsi"/>
          <w:lang w:val="en-US"/>
        </w:rPr>
        <w:t>.</w:t>
      </w:r>
    </w:p>
    <w:p w14:paraId="6F99F3A3" w14:textId="77777777" w:rsidR="00793FB2" w:rsidRDefault="00793FB2" w:rsidP="00797CED">
      <w:pPr>
        <w:jc w:val="both"/>
        <w:rPr>
          <w:rFonts w:cstheme="minorHAnsi"/>
          <w:lang w:val="en-US"/>
        </w:rPr>
      </w:pPr>
      <w:r>
        <w:rPr>
          <w:rFonts w:cstheme="minorHAnsi"/>
          <w:lang w:val="en-US"/>
        </w:rPr>
        <w:t>Results</w:t>
      </w:r>
    </w:p>
    <w:p w14:paraId="61DD02DF" w14:textId="0C3B2C21" w:rsidR="00605AFE" w:rsidRPr="009E1AC5" w:rsidRDefault="00802053" w:rsidP="00797CED">
      <w:pPr>
        <w:jc w:val="both"/>
        <w:rPr>
          <w:rFonts w:cstheme="minorHAnsi"/>
          <w:lang w:val="en-US"/>
        </w:rPr>
      </w:pPr>
      <w:r w:rsidRPr="009E1AC5">
        <w:rPr>
          <w:rFonts w:cstheme="minorHAnsi"/>
          <w:lang w:val="en-US"/>
        </w:rPr>
        <w:t>Mean (SD) age was 69.3 (2.6) years</w:t>
      </w:r>
      <w:r w:rsidR="00605AFE" w:rsidRPr="009E1AC5">
        <w:rPr>
          <w:rFonts w:cstheme="minorHAnsi"/>
          <w:lang w:val="en-US"/>
        </w:rPr>
        <w:t xml:space="preserve">. </w:t>
      </w:r>
      <w:r w:rsidRPr="009E1AC5">
        <w:rPr>
          <w:rFonts w:cstheme="minorHAnsi"/>
          <w:lang w:val="en-US"/>
        </w:rPr>
        <w:t>CSA</w:t>
      </w:r>
      <w:r w:rsidR="00605AFE" w:rsidRPr="009E1AC5">
        <w:rPr>
          <w:rFonts w:cstheme="minorHAnsi"/>
          <w:lang w:val="en-US"/>
        </w:rPr>
        <w:t xml:space="preserve">, </w:t>
      </w:r>
      <w:r w:rsidR="00786859">
        <w:rPr>
          <w:rFonts w:cstheme="minorHAnsi"/>
          <w:lang w:val="en-US"/>
        </w:rPr>
        <w:t>GpS</w:t>
      </w:r>
      <w:r w:rsidRPr="009E1AC5">
        <w:rPr>
          <w:rFonts w:cstheme="minorHAnsi"/>
          <w:lang w:val="en-US"/>
        </w:rPr>
        <w:t>,</w:t>
      </w:r>
      <w:r w:rsidR="00605AFE" w:rsidRPr="009E1AC5">
        <w:rPr>
          <w:rFonts w:cstheme="minorHAnsi"/>
          <w:lang w:val="en-US"/>
        </w:rPr>
        <w:t xml:space="preserve"> and </w:t>
      </w:r>
      <w:r w:rsidRPr="009E1AC5">
        <w:rPr>
          <w:rFonts w:cstheme="minorHAnsi"/>
          <w:lang w:val="en-US"/>
        </w:rPr>
        <w:t>G</w:t>
      </w:r>
      <w:r w:rsidR="00786859">
        <w:rPr>
          <w:rFonts w:cstheme="minorHAnsi"/>
          <w:lang w:val="en-US"/>
        </w:rPr>
        <w:t>t</w:t>
      </w:r>
      <w:r w:rsidRPr="009E1AC5">
        <w:rPr>
          <w:rFonts w:cstheme="minorHAnsi"/>
          <w:lang w:val="en-US"/>
        </w:rPr>
        <w:t>S</w:t>
      </w:r>
      <w:r w:rsidR="00605AFE" w:rsidRPr="009E1AC5">
        <w:rPr>
          <w:rFonts w:cstheme="minorHAnsi"/>
          <w:lang w:val="en-US"/>
        </w:rPr>
        <w:t xml:space="preserve"> were greater among males (p&lt;0.002). </w:t>
      </w:r>
      <w:bookmarkStart w:id="1" w:name="_Hlk94081049"/>
      <w:r w:rsidR="00605AFE" w:rsidRPr="009E1AC5">
        <w:rPr>
          <w:rFonts w:cstheme="minorHAnsi"/>
          <w:lang w:val="en-US"/>
        </w:rPr>
        <w:t xml:space="preserve">A </w:t>
      </w:r>
      <w:r w:rsidR="00CC31F7">
        <w:rPr>
          <w:rFonts w:cstheme="minorHAnsi"/>
          <w:lang w:val="en-US"/>
        </w:rPr>
        <w:t>high</w:t>
      </w:r>
      <w:r w:rsidR="00605AFE" w:rsidRPr="009E1AC5">
        <w:rPr>
          <w:rFonts w:cstheme="minorHAnsi"/>
          <w:lang w:val="en-US"/>
        </w:rPr>
        <w:t>er proportion of females had fallen since age 45 (61.3% vs 40.2%, p&lt;0.001)</w:t>
      </w:r>
      <w:r w:rsidRPr="009E1AC5">
        <w:rPr>
          <w:rFonts w:cstheme="minorHAnsi"/>
          <w:lang w:val="en-US"/>
        </w:rPr>
        <w:t>;</w:t>
      </w:r>
      <w:r w:rsidR="00605AFE" w:rsidRPr="009E1AC5">
        <w:rPr>
          <w:rFonts w:cstheme="minorHAnsi"/>
          <w:lang w:val="en-US"/>
        </w:rPr>
        <w:t xml:space="preserve"> </w:t>
      </w:r>
      <w:r w:rsidRPr="009E1AC5">
        <w:rPr>
          <w:rFonts w:cstheme="minorHAnsi"/>
          <w:lang w:val="en-US"/>
        </w:rPr>
        <w:t>i</w:t>
      </w:r>
      <w:r w:rsidR="00605AFE" w:rsidRPr="009E1AC5">
        <w:rPr>
          <w:rFonts w:cstheme="minorHAnsi"/>
          <w:lang w:val="en-US"/>
        </w:rPr>
        <w:t xml:space="preserve">n the last year (19.9% vs 14.1%, p=0.053); and </w:t>
      </w:r>
      <w:r w:rsidR="00CC31F7">
        <w:rPr>
          <w:rFonts w:cstheme="minorHAnsi"/>
          <w:lang w:val="en-US"/>
        </w:rPr>
        <w:t>reported</w:t>
      </w:r>
      <w:r w:rsidR="00605AFE" w:rsidRPr="009E1AC5">
        <w:rPr>
          <w:rFonts w:cstheme="minorHAnsi"/>
          <w:lang w:val="en-US"/>
        </w:rPr>
        <w:t xml:space="preserve"> a previous fracture since age 45 (21.8% vs 18.5%, p=0.302)</w:t>
      </w:r>
      <w:r w:rsidR="00793FB2">
        <w:rPr>
          <w:rFonts w:cstheme="minorHAnsi"/>
          <w:lang w:val="en-US"/>
        </w:rPr>
        <w:t>,</w:t>
      </w:r>
      <w:r w:rsidR="00605AFE" w:rsidRPr="009E1AC5">
        <w:rPr>
          <w:rFonts w:cstheme="minorHAnsi"/>
          <w:lang w:val="en-US"/>
        </w:rPr>
        <w:t xml:space="preserve"> </w:t>
      </w:r>
      <w:r w:rsidRPr="009E1AC5">
        <w:rPr>
          <w:rFonts w:cstheme="minorHAnsi"/>
          <w:lang w:val="en-US"/>
        </w:rPr>
        <w:t>than</w:t>
      </w:r>
      <w:r w:rsidR="00605AFE" w:rsidRPr="009E1AC5">
        <w:rPr>
          <w:rFonts w:cstheme="minorHAnsi"/>
          <w:lang w:val="en-US"/>
        </w:rPr>
        <w:t xml:space="preserve"> males. </w:t>
      </w:r>
      <w:bookmarkStart w:id="2" w:name="_Hlk94081555"/>
      <w:bookmarkEnd w:id="1"/>
      <w:r w:rsidR="00605AFE" w:rsidRPr="009E1AC5">
        <w:rPr>
          <w:rFonts w:cstheme="minorHAnsi"/>
          <w:lang w:val="en-US"/>
        </w:rPr>
        <w:t>Among females</w:t>
      </w:r>
      <w:r w:rsidR="004A2775" w:rsidRPr="009E1AC5">
        <w:rPr>
          <w:rFonts w:cstheme="minorHAnsi"/>
          <w:lang w:val="en-US"/>
        </w:rPr>
        <w:t>,</w:t>
      </w:r>
      <w:r w:rsidR="00605AFE" w:rsidRPr="009E1AC5">
        <w:rPr>
          <w:rFonts w:cstheme="minorHAnsi"/>
          <w:lang w:val="en-US"/>
        </w:rPr>
        <w:t xml:space="preserve"> greater </w:t>
      </w:r>
      <w:r w:rsidRPr="009E1AC5">
        <w:rPr>
          <w:rFonts w:cstheme="minorHAnsi"/>
          <w:lang w:val="en-US"/>
        </w:rPr>
        <w:t>CSA</w:t>
      </w:r>
      <w:r w:rsidR="00605AFE" w:rsidRPr="009E1AC5">
        <w:rPr>
          <w:rFonts w:cstheme="minorHAnsi"/>
          <w:lang w:val="en-US"/>
        </w:rPr>
        <w:t xml:space="preserve"> was </w:t>
      </w:r>
      <w:r w:rsidR="00793FB2" w:rsidRPr="009E1AC5">
        <w:rPr>
          <w:rFonts w:cstheme="minorHAnsi"/>
          <w:lang w:val="en-US"/>
        </w:rPr>
        <w:t>related to</w:t>
      </w:r>
      <w:r w:rsidR="00605AFE" w:rsidRPr="009E1AC5">
        <w:rPr>
          <w:rFonts w:cstheme="minorHAnsi"/>
          <w:lang w:val="en-US"/>
        </w:rPr>
        <w:t xml:space="preserve"> reduced risk of falling and fewer falls in the previous year</w:t>
      </w:r>
      <w:r w:rsidR="006C4CDD" w:rsidRPr="009E1AC5">
        <w:rPr>
          <w:rFonts w:cstheme="minorHAnsi"/>
          <w:lang w:val="en-US"/>
        </w:rPr>
        <w:t xml:space="preserve"> in fully</w:t>
      </w:r>
      <w:r w:rsidR="006C4CDD" w:rsidRPr="006C4CDD">
        <w:rPr>
          <w:rFonts w:cstheme="minorHAnsi"/>
          <w:lang w:val="en-US"/>
        </w:rPr>
        <w:t xml:space="preserve"> adjusted analysis</w:t>
      </w:r>
      <w:r w:rsidR="00793FB2">
        <w:rPr>
          <w:rFonts w:cstheme="minorHAnsi"/>
          <w:lang w:val="en-US"/>
        </w:rPr>
        <w:t xml:space="preserve"> only </w:t>
      </w:r>
      <w:r w:rsidR="00793FB2" w:rsidRPr="009E1AC5">
        <w:rPr>
          <w:rFonts w:cstheme="minorHAnsi"/>
          <w:lang w:val="en-US"/>
        </w:rPr>
        <w:t>(p&lt;0.05)</w:t>
      </w:r>
      <w:r w:rsidR="004A2775" w:rsidRPr="006C4CDD">
        <w:rPr>
          <w:rFonts w:cstheme="minorHAnsi"/>
          <w:lang w:val="en-US"/>
        </w:rPr>
        <w:t>;</w:t>
      </w:r>
      <w:r w:rsidR="00605AFE" w:rsidRPr="006C4CDD">
        <w:rPr>
          <w:rFonts w:cstheme="minorHAnsi"/>
          <w:lang w:val="en-US"/>
        </w:rPr>
        <w:t xml:space="preserve"> higher </w:t>
      </w:r>
      <w:r w:rsidR="00786859">
        <w:rPr>
          <w:rFonts w:cstheme="minorHAnsi"/>
          <w:lang w:val="en-US"/>
        </w:rPr>
        <w:t>G</w:t>
      </w:r>
      <w:r w:rsidR="00D34141">
        <w:rPr>
          <w:rFonts w:cstheme="minorHAnsi"/>
          <w:lang w:val="en-US"/>
        </w:rPr>
        <w:t>p</w:t>
      </w:r>
      <w:r w:rsidR="00786859">
        <w:rPr>
          <w:rFonts w:cstheme="minorHAnsi"/>
          <w:lang w:val="en-US"/>
        </w:rPr>
        <w:t>S</w:t>
      </w:r>
      <w:r w:rsidR="00605AFE" w:rsidRPr="006C4CDD">
        <w:rPr>
          <w:rFonts w:cstheme="minorHAnsi"/>
          <w:lang w:val="en-US"/>
        </w:rPr>
        <w:t xml:space="preserve"> was related to lower risk of falls since </w:t>
      </w:r>
      <w:r w:rsidR="00793FB2">
        <w:rPr>
          <w:rFonts w:cstheme="minorHAnsi"/>
          <w:lang w:val="en-US"/>
        </w:rPr>
        <w:t xml:space="preserve">age </w:t>
      </w:r>
      <w:r w:rsidR="00605AFE" w:rsidRPr="006C4CDD">
        <w:rPr>
          <w:rFonts w:cstheme="minorHAnsi"/>
          <w:lang w:val="en-US"/>
        </w:rPr>
        <w:t xml:space="preserve">45 in unadjusted analysis </w:t>
      </w:r>
      <w:r w:rsidR="006C1948" w:rsidRPr="006C1948">
        <w:rPr>
          <w:rFonts w:cstheme="minorHAnsi"/>
          <w:lang w:val="en-US"/>
        </w:rPr>
        <w:t>(p=</w:t>
      </w:r>
      <w:r w:rsidR="006C1948" w:rsidRPr="006C1948">
        <w:rPr>
          <w:rFonts w:eastAsia="Times New Roman" w:cstheme="minorHAnsi"/>
          <w:lang w:eastAsia="en-GB"/>
        </w:rPr>
        <w:t>0.045)</w:t>
      </w:r>
      <w:r w:rsidR="006C1948">
        <w:rPr>
          <w:rFonts w:eastAsia="Times New Roman" w:cstheme="minorHAnsi"/>
          <w:b/>
          <w:bCs/>
          <w:lang w:eastAsia="en-GB"/>
        </w:rPr>
        <w:t xml:space="preserve"> </w:t>
      </w:r>
      <w:r w:rsidR="00605AFE" w:rsidRPr="006C4CDD">
        <w:rPr>
          <w:rFonts w:cstheme="minorHAnsi"/>
          <w:lang w:val="en-US"/>
        </w:rPr>
        <w:t xml:space="preserve">and lower risk of fracture since </w:t>
      </w:r>
      <w:r w:rsidR="00793FB2">
        <w:rPr>
          <w:rFonts w:cstheme="minorHAnsi"/>
          <w:lang w:val="en-US"/>
        </w:rPr>
        <w:t xml:space="preserve">age </w:t>
      </w:r>
      <w:r w:rsidR="00605AFE" w:rsidRPr="006C4CDD">
        <w:rPr>
          <w:rFonts w:cstheme="minorHAnsi"/>
          <w:lang w:val="en-US"/>
        </w:rPr>
        <w:t>45 in bo</w:t>
      </w:r>
      <w:r w:rsidR="00605AFE" w:rsidRPr="009E1AC5">
        <w:rPr>
          <w:rFonts w:cstheme="minorHAnsi"/>
          <w:lang w:val="en-US"/>
        </w:rPr>
        <w:t>th unadjusted</w:t>
      </w:r>
      <w:r w:rsidR="00793FB2">
        <w:rPr>
          <w:rFonts w:cstheme="minorHAnsi"/>
          <w:lang w:val="en-US"/>
        </w:rPr>
        <w:t xml:space="preserve"> </w:t>
      </w:r>
      <w:r w:rsidR="00605AFE" w:rsidRPr="006C1948">
        <w:rPr>
          <w:rFonts w:cstheme="minorHAnsi"/>
          <w:lang w:val="en-US"/>
        </w:rPr>
        <w:t>and</w:t>
      </w:r>
      <w:r w:rsidR="00605AFE" w:rsidRPr="009E1AC5">
        <w:rPr>
          <w:rFonts w:cstheme="minorHAnsi"/>
          <w:lang w:val="en-US"/>
        </w:rPr>
        <w:t xml:space="preserve"> fully adjusted analysis</w:t>
      </w:r>
      <w:r w:rsidR="006C1948">
        <w:rPr>
          <w:rFonts w:cstheme="minorHAnsi"/>
          <w:lang w:val="en-US"/>
        </w:rPr>
        <w:t xml:space="preserve"> (p</w:t>
      </w:r>
      <w:r w:rsidR="00793FB2">
        <w:rPr>
          <w:rFonts w:cstheme="minorHAnsi"/>
          <w:lang w:val="en-US"/>
        </w:rPr>
        <w:t>&lt;</w:t>
      </w:r>
      <w:r w:rsidR="006C1948">
        <w:rPr>
          <w:rFonts w:cstheme="minorHAnsi"/>
          <w:lang w:val="en-US"/>
        </w:rPr>
        <w:t>0.04</w:t>
      </w:r>
      <w:r w:rsidR="008A2C19">
        <w:rPr>
          <w:rFonts w:cstheme="minorHAnsi"/>
          <w:lang w:val="en-US"/>
        </w:rPr>
        <w:t>5</w:t>
      </w:r>
      <w:r w:rsidR="006C1948">
        <w:rPr>
          <w:rFonts w:cstheme="minorHAnsi"/>
          <w:lang w:val="en-US"/>
        </w:rPr>
        <w:t>)</w:t>
      </w:r>
      <w:r w:rsidR="00605AFE" w:rsidRPr="009E1AC5">
        <w:rPr>
          <w:rFonts w:cstheme="minorHAnsi"/>
          <w:lang w:val="en-US"/>
        </w:rPr>
        <w:t xml:space="preserve">. No statistically significant associations were observed for </w:t>
      </w:r>
      <w:r w:rsidR="00786859">
        <w:rPr>
          <w:rFonts w:cstheme="minorHAnsi"/>
          <w:lang w:val="en-US"/>
        </w:rPr>
        <w:t>G</w:t>
      </w:r>
      <w:r w:rsidR="00D34141">
        <w:rPr>
          <w:rFonts w:cstheme="minorHAnsi"/>
          <w:lang w:val="en-US"/>
        </w:rPr>
        <w:t>t</w:t>
      </w:r>
      <w:r w:rsidR="00786859">
        <w:rPr>
          <w:rFonts w:cstheme="minorHAnsi"/>
          <w:lang w:val="en-US"/>
        </w:rPr>
        <w:t>S</w:t>
      </w:r>
      <w:r w:rsidR="00605AFE" w:rsidRPr="009E1AC5">
        <w:rPr>
          <w:rFonts w:cstheme="minorHAnsi"/>
          <w:lang w:val="en-US"/>
        </w:rPr>
        <w:t xml:space="preserve"> among </w:t>
      </w:r>
      <w:r w:rsidR="008A2C19">
        <w:rPr>
          <w:rFonts w:cstheme="minorHAnsi"/>
          <w:lang w:val="en-US"/>
        </w:rPr>
        <w:t xml:space="preserve">either </w:t>
      </w:r>
      <w:r w:rsidR="006C1948">
        <w:rPr>
          <w:rFonts w:cstheme="minorHAnsi"/>
          <w:lang w:val="en-US"/>
        </w:rPr>
        <w:t>sex</w:t>
      </w:r>
      <w:r w:rsidR="00605AFE" w:rsidRPr="009E1AC5">
        <w:rPr>
          <w:rFonts w:cstheme="minorHAnsi"/>
          <w:lang w:val="en-US"/>
        </w:rPr>
        <w:t xml:space="preserve"> for any</w:t>
      </w:r>
      <w:r w:rsidR="00797CED" w:rsidRPr="009E1AC5">
        <w:rPr>
          <w:rFonts w:cstheme="minorHAnsi"/>
          <w:lang w:val="en-US"/>
        </w:rPr>
        <w:t xml:space="preserve"> relationships </w:t>
      </w:r>
      <w:r w:rsidR="00C74028" w:rsidRPr="009E1AC5">
        <w:rPr>
          <w:rFonts w:cstheme="minorHAnsi"/>
          <w:lang w:val="en-US"/>
        </w:rPr>
        <w:t xml:space="preserve">between muscle measurements and clinical outcomes </w:t>
      </w:r>
      <w:r w:rsidR="00797CED" w:rsidRPr="009E1AC5">
        <w:rPr>
          <w:rFonts w:cstheme="minorHAnsi"/>
          <w:lang w:val="en-US"/>
        </w:rPr>
        <w:t>studied</w:t>
      </w:r>
      <w:r w:rsidR="00605AFE" w:rsidRPr="009E1AC5">
        <w:rPr>
          <w:rFonts w:cstheme="minorHAnsi"/>
          <w:lang w:val="en-US"/>
        </w:rPr>
        <w:t>.</w:t>
      </w:r>
      <w:bookmarkEnd w:id="2"/>
    </w:p>
    <w:p w14:paraId="21A50619" w14:textId="77777777" w:rsidR="00793FB2" w:rsidRDefault="00793FB2" w:rsidP="00797CED">
      <w:pPr>
        <w:jc w:val="both"/>
        <w:rPr>
          <w:rFonts w:cstheme="minorHAnsi"/>
          <w:lang w:val="en-US"/>
        </w:rPr>
      </w:pPr>
      <w:r>
        <w:rPr>
          <w:rFonts w:cstheme="minorHAnsi"/>
          <w:lang w:val="en-US"/>
        </w:rPr>
        <w:t>Conclusion</w:t>
      </w:r>
    </w:p>
    <w:p w14:paraId="051F5C60" w14:textId="29C264E2" w:rsidR="00605AFE" w:rsidRDefault="00802053" w:rsidP="00797CED">
      <w:pPr>
        <w:jc w:val="both"/>
        <w:rPr>
          <w:rFonts w:cstheme="minorHAnsi"/>
          <w:lang w:val="en-US"/>
        </w:rPr>
      </w:pPr>
      <w:r w:rsidRPr="009E1AC5">
        <w:rPr>
          <w:rFonts w:cstheme="minorHAnsi"/>
          <w:lang w:val="en-US"/>
        </w:rPr>
        <w:t>W</w:t>
      </w:r>
      <w:r w:rsidR="00605AFE" w:rsidRPr="009E1AC5">
        <w:rPr>
          <w:rFonts w:cstheme="minorHAnsi"/>
          <w:lang w:val="en-US"/>
        </w:rPr>
        <w:t xml:space="preserve">e </w:t>
      </w:r>
      <w:r w:rsidR="00C74028" w:rsidRPr="009E1AC5">
        <w:rPr>
          <w:rFonts w:cstheme="minorHAnsi"/>
          <w:lang w:val="en-US"/>
        </w:rPr>
        <w:t>observed</w:t>
      </w:r>
      <w:r w:rsidR="00605AFE" w:rsidRPr="009E1AC5">
        <w:rPr>
          <w:rFonts w:cstheme="minorHAnsi"/>
          <w:lang w:val="en-US"/>
        </w:rPr>
        <w:t xml:space="preserve"> relationships between muscle mass</w:t>
      </w:r>
      <w:r w:rsidR="004A2775" w:rsidRPr="009E1AC5">
        <w:rPr>
          <w:rFonts w:cstheme="minorHAnsi"/>
          <w:lang w:val="en-US"/>
        </w:rPr>
        <w:t xml:space="preserve"> and</w:t>
      </w:r>
      <w:r w:rsidR="00605AFE" w:rsidRPr="009E1AC5">
        <w:rPr>
          <w:rFonts w:cstheme="minorHAnsi"/>
          <w:lang w:val="en-US"/>
        </w:rPr>
        <w:t xml:space="preserve"> strength </w:t>
      </w:r>
      <w:r w:rsidR="004A2775" w:rsidRPr="009E1AC5">
        <w:rPr>
          <w:rFonts w:cstheme="minorHAnsi"/>
          <w:lang w:val="en-US"/>
        </w:rPr>
        <w:t>but not</w:t>
      </w:r>
      <w:r w:rsidR="00605AFE" w:rsidRPr="009E1AC5">
        <w:rPr>
          <w:rFonts w:cstheme="minorHAnsi"/>
          <w:lang w:val="en-US"/>
        </w:rPr>
        <w:t xml:space="preserve"> function with falls and fractures in </w:t>
      </w:r>
      <w:r w:rsidR="0082379B" w:rsidRPr="009E1AC5">
        <w:rPr>
          <w:rFonts w:cstheme="minorHAnsi"/>
          <w:lang w:val="en-US"/>
        </w:rPr>
        <w:t>females</w:t>
      </w:r>
      <w:r w:rsidR="00C74028" w:rsidRPr="009E1AC5">
        <w:rPr>
          <w:rFonts w:cstheme="minorHAnsi"/>
          <w:lang w:val="en-US"/>
        </w:rPr>
        <w:t xml:space="preserve"> </w:t>
      </w:r>
      <w:r w:rsidRPr="009E1AC5">
        <w:rPr>
          <w:rFonts w:cstheme="minorHAnsi"/>
          <w:lang w:val="en-US"/>
        </w:rPr>
        <w:t>only</w:t>
      </w:r>
      <w:r w:rsidR="00605AFE" w:rsidRPr="009E1AC5">
        <w:rPr>
          <w:rFonts w:cstheme="minorHAnsi"/>
          <w:lang w:val="en-US"/>
        </w:rPr>
        <w:t>; further longitudinal studies are required to reproduce these results.</w:t>
      </w:r>
    </w:p>
    <w:p w14:paraId="313E09B1" w14:textId="28BE303C" w:rsidR="00E21C00" w:rsidRPr="004A2775" w:rsidRDefault="00E21C00" w:rsidP="00797CED">
      <w:pPr>
        <w:jc w:val="both"/>
        <w:rPr>
          <w:rFonts w:cstheme="minorHAnsi"/>
          <w:lang w:val="en-US"/>
        </w:rPr>
      </w:pPr>
      <w:r>
        <w:rPr>
          <w:rFonts w:cstheme="minorHAnsi"/>
          <w:lang w:val="en-US"/>
        </w:rPr>
        <w:t>Keywords: Sarcopenia, falls, fractures, muscle mass, muscle strength, gait speed</w:t>
      </w:r>
    </w:p>
    <w:p w14:paraId="51CDD7D2" w14:textId="38D1C176" w:rsidR="004C4A84" w:rsidRPr="004A2775" w:rsidRDefault="004C4A84" w:rsidP="00797CED">
      <w:pPr>
        <w:jc w:val="both"/>
        <w:rPr>
          <w:rFonts w:cstheme="minorHAnsi"/>
          <w:lang w:val="en-US"/>
        </w:rPr>
      </w:pPr>
      <w:r w:rsidRPr="004A2775">
        <w:rPr>
          <w:rFonts w:cstheme="minorHAnsi"/>
          <w:lang w:val="en-US"/>
        </w:rPr>
        <w:br w:type="page"/>
      </w:r>
    </w:p>
    <w:p w14:paraId="1F2EA8C9" w14:textId="5D02DC64" w:rsidR="00051BA5" w:rsidRPr="004A2775" w:rsidRDefault="00051BA5" w:rsidP="00797CED">
      <w:pPr>
        <w:pStyle w:val="Heading1"/>
        <w:jc w:val="both"/>
        <w:rPr>
          <w:rFonts w:cstheme="minorHAnsi"/>
          <w:szCs w:val="22"/>
          <w:lang w:val="en-US"/>
        </w:rPr>
      </w:pPr>
      <w:r w:rsidRPr="004A2775">
        <w:rPr>
          <w:rFonts w:cstheme="minorHAnsi"/>
          <w:szCs w:val="22"/>
          <w:lang w:val="en-US"/>
        </w:rPr>
        <w:lastRenderedPageBreak/>
        <w:t>Introduction</w:t>
      </w:r>
    </w:p>
    <w:p w14:paraId="05C2D06D" w14:textId="0E034BC8" w:rsidR="00E42F55" w:rsidRPr="004A2775" w:rsidRDefault="005F43FF" w:rsidP="00797CED">
      <w:pPr>
        <w:jc w:val="both"/>
        <w:rPr>
          <w:rFonts w:cstheme="minorHAnsi"/>
          <w:lang w:val="en-US"/>
        </w:rPr>
      </w:pPr>
      <w:r w:rsidRPr="004A2775">
        <w:rPr>
          <w:rFonts w:cstheme="minorHAnsi"/>
          <w:lang w:val="en-US"/>
        </w:rPr>
        <w:t>Falls constitute a major risk factor for fracture</w:t>
      </w:r>
      <w:r w:rsidR="004C4A84" w:rsidRPr="004A2775">
        <w:rPr>
          <w:rFonts w:cstheme="minorHAnsi"/>
          <w:lang w:val="en-US"/>
        </w:rPr>
        <w:t xml:space="preserve"> </w:t>
      </w:r>
      <w:r w:rsidR="00B102DC" w:rsidRPr="004A2775">
        <w:rPr>
          <w:rFonts w:cstheme="minorHAnsi"/>
          <w:lang w:val="en-US"/>
        </w:rPr>
        <w:t xml:space="preserve">and associated </w:t>
      </w:r>
      <w:r w:rsidR="004C4A84" w:rsidRPr="004A2775">
        <w:rPr>
          <w:rFonts w:cstheme="minorHAnsi"/>
          <w:lang w:val="en-US"/>
        </w:rPr>
        <w:t>morbidity, mortality and economic costs</w:t>
      </w:r>
      <w:r w:rsidR="00414374">
        <w:rPr>
          <w:rFonts w:cstheme="minorHAnsi"/>
          <w:lang w:val="en-US"/>
        </w:rPr>
        <w:t xml:space="preserve"> </w:t>
      </w:r>
      <w:r w:rsidR="004C4A84" w:rsidRPr="004A2775">
        <w:rPr>
          <w:rFonts w:cstheme="minorHAnsi"/>
          <w:lang w:val="en-US"/>
        </w:rPr>
        <w:fldChar w:fldCharType="begin" w:fldLock="1"/>
      </w:r>
      <w:r w:rsidR="009D41B2">
        <w:rPr>
          <w:rFonts w:cstheme="minorHAnsi"/>
          <w:lang w:val="en-US"/>
        </w:rPr>
        <w:instrText>ADDIN CSL_CITATION {"citationItems":[{"id":"ITEM-1","itemData":{"DOI":"10.1007/s00198-006-0172-4","ISSN":"0937941X","PMID":"16983459","abstract":"Objective: The aim of this study was to quantify the global burden of osteoporotic fracture worldwide. Methods: The incidence of hip fractures was identified by systematic review and the incidence of osteoporotic fractures was imputed from the incidence of hip fractures in different regions of the world. Excess mortality and disability weights used age- and sex-specific data from Sweden to calculate the Disability Adjusted Life Years (DALYs) lost due to osteoporotic fracture. Results: In the year 2000 there were an estimated 9.0 million osteoporotic fractures of which 1.6 million were at the hip, 1.7 million at the forearm and 1.4 million were clinical vertebral fractures. The greatest number of osteoporotic fractures occurred in Europe (34.8%). The total DALYs lost was 5.8 million of which 51% were accounted for by fractures that occurred in Europe and the Americas. World-wide, osteoporotic fractures accounted for 0.83% of the global burden of non-communicable disease and was 1.75% of the global burden in Europe. In Europe, osteoporotic fractures accounted for more DALYs lost than common cancers with the exception of lung cancer. For chronic musculo-skeletal disorders the DALYs lost in Europe due to osteoporosis (2.0 million) were less than for osteoarthrosis (3.1 million) but greater than for rheumatoid arthritis (1.0 million). Conclusion: We conclude that osteoporotic fractures are a significant cause of morbidity and mortality, particularly in the developed countries. © 2006 International Osteoporosis Foundation and National Osteoporosis Foundation.","author":[{"dropping-particle":"","family":"Johnell","given":"O.","non-dropping-particle":"","parse-names":false,"suffix":""},{"dropping-particle":"","family":"Kanis","given":"J. A.","non-dropping-particle":"","parse-names":false,"suffix":""}],"container-title":"Osteoporosis International","id":"ITEM-1","issue":"12","issued":{"date-parts":[["2006","12","16"]]},"page":"1726-1733","publisher":"Springer","title":"An estimate of the worldwide prevalence and disability associated with osteoporotic fractures","type":"article-journal","volume":"17"},"uris":["http://www.mendeley.com/documents/?uuid=c989edb3-9fa7-3fae-8c37-b0c8611ecb26"]}],"mendeley":{"formattedCitation":"[1]","plainTextFormattedCitation":"[1]","previouslyFormattedCitation":"[1]"},"properties":{"noteIndex":0},"schema":"https://github.com/citation-style-language/schema/raw/master/csl-citation.json"}</w:instrText>
      </w:r>
      <w:r w:rsidR="004C4A84" w:rsidRPr="004A2775">
        <w:rPr>
          <w:rFonts w:cstheme="minorHAnsi"/>
          <w:lang w:val="en-US"/>
        </w:rPr>
        <w:fldChar w:fldCharType="separate"/>
      </w:r>
      <w:r w:rsidR="00087AF8" w:rsidRPr="00087AF8">
        <w:rPr>
          <w:rFonts w:cstheme="minorHAnsi"/>
          <w:noProof/>
          <w:lang w:val="en-US"/>
        </w:rPr>
        <w:t>[1]</w:t>
      </w:r>
      <w:r w:rsidR="004C4A84" w:rsidRPr="004A2775">
        <w:rPr>
          <w:rFonts w:cstheme="minorHAnsi"/>
          <w:lang w:val="en-US"/>
        </w:rPr>
        <w:fldChar w:fldCharType="end"/>
      </w:r>
      <w:r w:rsidRPr="004A2775">
        <w:rPr>
          <w:rFonts w:cstheme="minorHAnsi"/>
          <w:lang w:val="en-US"/>
        </w:rPr>
        <w:t xml:space="preserve">. </w:t>
      </w:r>
      <w:r w:rsidR="00C24D4F">
        <w:rPr>
          <w:rFonts w:cstheme="minorHAnsi"/>
          <w:lang w:val="en-US"/>
        </w:rPr>
        <w:t>S</w:t>
      </w:r>
      <w:r w:rsidR="00685E6C" w:rsidRPr="004A2775">
        <w:rPr>
          <w:rFonts w:cstheme="minorHAnsi"/>
          <w:lang w:val="en-US"/>
        </w:rPr>
        <w:t xml:space="preserve">arcopenia </w:t>
      </w:r>
      <w:r w:rsidR="00C24D4F">
        <w:rPr>
          <w:rFonts w:cstheme="minorHAnsi"/>
          <w:lang w:val="en-US"/>
        </w:rPr>
        <w:t>is</w:t>
      </w:r>
      <w:r w:rsidR="00725E2B" w:rsidRPr="004A2775">
        <w:rPr>
          <w:rFonts w:cstheme="minorHAnsi"/>
          <w:lang w:val="en-US"/>
        </w:rPr>
        <w:t xml:space="preserve"> an important contributor to falls risk, and hence fractures</w:t>
      </w:r>
      <w:r w:rsidR="004A6AF6">
        <w:rPr>
          <w:rFonts w:cstheme="minorHAnsi"/>
          <w:lang w:val="en-US"/>
        </w:rPr>
        <w:t xml:space="preserve"> </w:t>
      </w:r>
      <w:r w:rsidR="004C4A84" w:rsidRPr="004A2775">
        <w:rPr>
          <w:rFonts w:cstheme="minorHAnsi"/>
          <w:lang w:val="en-US"/>
        </w:rPr>
        <w:fldChar w:fldCharType="begin" w:fldLock="1"/>
      </w:r>
      <w:r w:rsidR="009D41B2">
        <w:rPr>
          <w:rFonts w:cstheme="minorHAnsi"/>
          <w:lang w:val="en-US"/>
        </w:rPr>
        <w:instrText>ADDIN CSL_CITATION {"citationItems":[{"id":"ITEM-1","itemData":{"DOI":"10.1007/978-3-030-78128-6_10","author":[{"dropping-particle":"","family":"Laskou","given":"Faidra","non-dropping-particle":"","parse-names":false,"suffix":""},{"dropping-particle":"","family":"Dennison","given":"Elaine","non-dropping-particle":"","parse-names":false,"suffix":""},{"dropping-particle":"","family":"Patel","given":"Harnish","non-dropping-particle":"","parse-names":false,"suffix":""}],"id":"ITEM-1","issued":{"date-parts":[["2021"]]},"title":"The Interplay of Muscle and Bone in Later Life","type":"article-journal"},"uris":["http://www.mendeley.com/documents/?uuid=07561c66-082f-39a5-b2a4-bee0e64dfb9b"]}],"mendeley":{"formattedCitation":"[2]","plainTextFormattedCitation":"[2]","previouslyFormattedCitation":"[2]"},"properties":{"noteIndex":0},"schema":"https://github.com/citation-style-language/schema/raw/master/csl-citation.json"}</w:instrText>
      </w:r>
      <w:r w:rsidR="004C4A84" w:rsidRPr="004A2775">
        <w:rPr>
          <w:rFonts w:cstheme="minorHAnsi"/>
          <w:lang w:val="en-US"/>
        </w:rPr>
        <w:fldChar w:fldCharType="separate"/>
      </w:r>
      <w:r w:rsidR="00087AF8" w:rsidRPr="00087AF8">
        <w:rPr>
          <w:rFonts w:cstheme="minorHAnsi"/>
          <w:noProof/>
          <w:lang w:val="en-US"/>
        </w:rPr>
        <w:t>[2]</w:t>
      </w:r>
      <w:r w:rsidR="004C4A84" w:rsidRPr="004A2775">
        <w:rPr>
          <w:rFonts w:cstheme="minorHAnsi"/>
          <w:lang w:val="en-US"/>
        </w:rPr>
        <w:fldChar w:fldCharType="end"/>
      </w:r>
      <w:r w:rsidR="00725E2B" w:rsidRPr="004A2775">
        <w:rPr>
          <w:rFonts w:cstheme="minorHAnsi"/>
          <w:lang w:val="en-US"/>
        </w:rPr>
        <w:t xml:space="preserve">. </w:t>
      </w:r>
      <w:r w:rsidR="00C24D4F">
        <w:rPr>
          <w:rFonts w:cstheme="minorHAnsi"/>
          <w:lang w:val="en-US"/>
        </w:rPr>
        <w:t>We have previously</w:t>
      </w:r>
      <w:r w:rsidR="00554616" w:rsidRPr="004A2775">
        <w:rPr>
          <w:rFonts w:cstheme="minorHAnsi"/>
          <w:lang w:val="en-US"/>
        </w:rPr>
        <w:t xml:space="preserve"> demonstrated relationships between muscle size and grip strength</w:t>
      </w:r>
      <w:r w:rsidR="00E653B4" w:rsidRPr="004A2775">
        <w:rPr>
          <w:rFonts w:cstheme="minorHAnsi"/>
          <w:lang w:val="en-US"/>
        </w:rPr>
        <w:t>,</w:t>
      </w:r>
      <w:r w:rsidR="00554616" w:rsidRPr="004A2775">
        <w:rPr>
          <w:rFonts w:cstheme="minorHAnsi"/>
          <w:lang w:val="en-US"/>
        </w:rPr>
        <w:t xml:space="preserve"> </w:t>
      </w:r>
      <w:r w:rsidR="00B102DC" w:rsidRPr="004A2775">
        <w:rPr>
          <w:rFonts w:cstheme="minorHAnsi"/>
          <w:lang w:val="en-US"/>
        </w:rPr>
        <w:t>and</w:t>
      </w:r>
      <w:r w:rsidR="00554616" w:rsidRPr="004A2775">
        <w:rPr>
          <w:rFonts w:cstheme="minorHAnsi"/>
          <w:lang w:val="en-US"/>
        </w:rPr>
        <w:t xml:space="preserve"> bone size and strength, supporting a role for the muscle-bone unit</w:t>
      </w:r>
      <w:r w:rsidR="004A6AF6">
        <w:rPr>
          <w:rFonts w:cstheme="minorHAnsi"/>
          <w:lang w:val="en-US"/>
        </w:rPr>
        <w:t xml:space="preserve"> </w:t>
      </w:r>
      <w:r w:rsidR="00E22BE1" w:rsidRPr="004A2775">
        <w:rPr>
          <w:rFonts w:cstheme="minorHAnsi"/>
          <w:lang w:val="en-US"/>
        </w:rPr>
        <w:fldChar w:fldCharType="begin" w:fldLock="1"/>
      </w:r>
      <w:r w:rsidR="009D41B2">
        <w:rPr>
          <w:rFonts w:cstheme="minorHAnsi"/>
          <w:lang w:val="en-US"/>
        </w:rPr>
        <w:instrText>ADDIN CSL_CITATION {"citationItems":[{"id":"ITEM-1","itemData":{"DOI":"10.1002/jbmr.1972","ISSN":"08840431","PMID":"23633238","abstract":"Sarcopenia is associated with a greater fracture risk. This relationship was originally thought to be explained by an increased risk of falls in sarcopenic individuals. However, in addition, there is growing evidence of a functional muscle-bone unit in which bone health may be directly influenced by muscle function. Because a definition of sarcopenia encompasses muscle size, strength, and physical performance, we investigated relationships for each of these with bone size, bone density, and bone strength to interrogate these hypotheses further in participants from the Hertfordshire Cohort Study. A total of 313 men and 318 women underwent baseline assessment of health and detailed anthropometric measurements. Muscle strength was measured by grip strength, and physical performance was determined by gait speed. Peripheral quantitative computed tomography (pQCT) examination of the calf and forearm was performed to assess muscle cross-sectional area (mCSA) at the 66% level and bone structure (radius 4% and 66% levels; tibia 4% and 38% levels). Muscle size was positively associated with bone size (distal radius total bone area β = 17.5 mm 2/SD [12.0, 22.9]) and strength (strength strain index (β = 23.3 mm3/SD [18.2, 28.4]) amongst women (p &lt; 0.001). These associations were also seen in men and were maintained after adjustment for age, height, weight-adjusted-for-height, limb-length-adjusted-for-height, social class, smoking status, alcohol consumption, calcium intake, physical activity, diabetes mellitus, and in women, years since menopause and estrogen replacement therapy. Although grip strength showed similar associations with bone size and strength in both sexes, these were substantially attenuated after similar adjustment. Consistent relationships between gait speed and bone structure were not seen. We conclude that although muscle size and grip strength are associated with bone size and strength, relationships between gait speed and bone structure and strength were not apparent in this cohort, supporting a role for the muscle-bone unit. © 2013 American Society for Bone and Mineral Research.","author":[{"dropping-particle":"","family":"Edwards","given":"Mark H.","non-dropping-particle":"","parse-names":false,"suffix":""},{"dropping-particle":"","family":"Gregson","given":"Celia L.","non-dropping-particle":"","parse-names":false,"suffix":""},{"dropping-particle":"","family":"Patel","given":"Harnish P.","non-dropping-particle":"","parse-names":false,"suffix":""},{"dropping-particle":"","family":"Jameson","given":"Karen A.","non-dropping-particle":"","parse-names":false,"suffix":""},{"dropping-particle":"","family":"Harvey","given":"Nicholas C.","non-dropping-particle":"","parse-names":false,"suffix":""},{"dropping-particle":"","family":"Sayer","given":"Avan Aihie","non-dropping-particle":"","parse-names":false,"suffix":""},{"dropping-particle":"","family":"Dennison","given":"Elaine M.","non-dropping-particle":"","parse-names":false,"suffix":""},{"dropping-particle":"","family":"Cooper","given":"Cyrus","non-dropping-particle":"","parse-names":false,"suffix":""}],"container-title":"Journal of Bone and Mineral Research","id":"ITEM-1","issue":"11","issued":{"date-parts":[["2013","11"]]},"page":"2295-2304","publisher":"J Bone Miner Res","title":"Muscle size, strength, and physical performance and their associations with bone structure in the Hertfordshire Cohort Study","type":"article-journal","volume":"28"},"uris":["http://www.mendeley.com/documents/?uuid=8434d573-b6da-4ebc-b82a-c23ebeeb7524"]}],"mendeley":{"formattedCitation":"[3]","plainTextFormattedCitation":"[3]","previouslyFormattedCitation":"[3]"},"properties":{"noteIndex":0},"schema":"https://github.com/citation-style-language/schema/raw/master/csl-citation.json"}</w:instrText>
      </w:r>
      <w:r w:rsidR="00E22BE1" w:rsidRPr="004A2775">
        <w:rPr>
          <w:rFonts w:cstheme="minorHAnsi"/>
          <w:lang w:val="en-US"/>
        </w:rPr>
        <w:fldChar w:fldCharType="separate"/>
      </w:r>
      <w:r w:rsidR="00087AF8" w:rsidRPr="00087AF8">
        <w:rPr>
          <w:rFonts w:cstheme="minorHAnsi"/>
          <w:noProof/>
          <w:lang w:val="en-US"/>
        </w:rPr>
        <w:t>[3]</w:t>
      </w:r>
      <w:r w:rsidR="00E22BE1" w:rsidRPr="004A2775">
        <w:rPr>
          <w:rFonts w:cstheme="minorHAnsi"/>
          <w:lang w:val="en-US"/>
        </w:rPr>
        <w:fldChar w:fldCharType="end"/>
      </w:r>
      <w:r w:rsidR="00C24D4F">
        <w:rPr>
          <w:rFonts w:cstheme="minorHAnsi"/>
          <w:lang w:val="en-US"/>
        </w:rPr>
        <w:t>,</w:t>
      </w:r>
      <w:r w:rsidR="00554616" w:rsidRPr="004A2775">
        <w:rPr>
          <w:rFonts w:cstheme="minorHAnsi"/>
          <w:lang w:val="en-US"/>
        </w:rPr>
        <w:t xml:space="preserve"> </w:t>
      </w:r>
      <w:r w:rsidR="00C24D4F">
        <w:rPr>
          <w:rFonts w:cstheme="minorHAnsi"/>
          <w:lang w:val="en-US"/>
        </w:rPr>
        <w:t>with</w:t>
      </w:r>
      <w:r w:rsidR="00554616" w:rsidRPr="004A2775">
        <w:rPr>
          <w:rFonts w:cstheme="minorHAnsi"/>
          <w:lang w:val="en-US"/>
        </w:rPr>
        <w:t xml:space="preserve"> stronger </w:t>
      </w:r>
      <w:r w:rsidR="00C24D4F">
        <w:rPr>
          <w:rFonts w:cstheme="minorHAnsi"/>
          <w:lang w:val="en-US"/>
        </w:rPr>
        <w:t xml:space="preserve">relationships </w:t>
      </w:r>
      <w:r w:rsidR="00554616" w:rsidRPr="004A2775">
        <w:rPr>
          <w:rFonts w:cstheme="minorHAnsi"/>
          <w:lang w:val="en-US"/>
        </w:rPr>
        <w:t xml:space="preserve">in </w:t>
      </w:r>
      <w:r w:rsidR="002A2685" w:rsidRPr="004A2775">
        <w:rPr>
          <w:rFonts w:cstheme="minorHAnsi"/>
          <w:lang w:val="en-US"/>
        </w:rPr>
        <w:t>females</w:t>
      </w:r>
      <w:r w:rsidR="00C24D4F">
        <w:rPr>
          <w:rFonts w:cstheme="minorHAnsi"/>
          <w:lang w:val="en-US"/>
        </w:rPr>
        <w:t xml:space="preserve"> as it has been observed elsewhere</w:t>
      </w:r>
      <w:r w:rsidR="00B33239">
        <w:rPr>
          <w:rFonts w:cstheme="minorHAnsi"/>
          <w:lang w:val="en-US"/>
        </w:rPr>
        <w:t xml:space="preserve"> </w:t>
      </w:r>
      <w:r w:rsidR="00AC5C7F">
        <w:rPr>
          <w:rFonts w:cstheme="minorHAnsi"/>
        </w:rPr>
        <w:fldChar w:fldCharType="begin" w:fldLock="1"/>
      </w:r>
      <w:r w:rsidR="00C24D4F">
        <w:rPr>
          <w:rFonts w:cstheme="minorHAnsi"/>
        </w:rPr>
        <w:instrText>ADDIN CSL_CITATION {"citationItems":[{"id":"ITEM-1","itemData":{"DOI":"10.1186/S12877-021-02688-8","ISSN":"1471-2318","abstract":"Falls are one of the most serious health problems among older adults. Sarcopenia is characterized by a decrease in muscle mass, strength, and physical function. Due to potentially age-related conditions, both falls and sarcopenia have common risk factors. However, the association between sarcopenia and falls is controversial. Moreover, the sex differences in the impact of sarcopenia on falls is not yet clear. This study aimed to investigate the sex differences in the impact of sarcopenia, defined by the Asian Working Group for Sarcopenia (AWGS), on falls in Korean older adults. In this cross-sectional study, we used data from the Korean Frailty and Aging Cohort Study; 2323 community-dwelling older adults (1111 males and 1212 females) aged 70–84 years were recruited in this cross-sectional study. To evaluate sarcopenia, the AWGS diagnostic algorithm was used. We compared the faller and non-faller groups. We performed unadjusted and fully adjusted logistic regression analyses to evaluate the relationship between sarcopenia, falls, and fall-related fractures. A total of 239 (24.1%) females in the faller group had a history of falls in the past year, which was statistically higher than that in males (176, 15.8%). In the fully adjusted model, handgrip strength (odds ratio [OR] = 1.508, 95% confidence interval [CI] = 1.028–2.211), and short physical performance battery (OR = 2.068, 95% CI = 1.308–3.271) were significantly lower in the male faller group. However, in the fully adjusted model, the female faller group only showed a significantly low appendicular skeletal muscle mass index (OR = 1.419, 95% CI = 1.058–1.903). This large cohort study aimed to identify the sex differences in the incidence of sarcopenia in the older Korean population, using the AWGS diagnostic algorithm, and its correlation with falls and fall-related fractures. The incidence of falls did not increase in the sarcopenia group. Among the sarcopenia components, sex differences affect the history of falls. Therefore, when studying the risk of falls in old age, sex differences should be considered.","author":[{"dropping-particle":"","family":"Soh","given":"Yunsoo","non-dropping-particle":"","parse-names":false,"suffix":""},{"dropping-particle":"","family":"Won","given":"Chang Won","non-dropping-particle":"","parse-names":false,"suffix":""}],"container-title":"BMC Geriatrics 2021 21:1","id":"ITEM-1","issue":"1","issued":{"date-parts":[["2021","12","18"]]},"page":"1-9","publisher":"BioMed Central","title":"Sex differences in impact of sarcopenia on falls in community-dwelling Korean older adults","type":"article-journal","volume":"21"},"uris":["http://www.mendeley.com/documents/?uuid=1e68a16f-5d57-3a85-a407-396e889c5f66"]},{"id":"ITEM-2","itemData":{"DOI":"10.1002/jcsm.12411","ISSN":"21906009","PMID":"30993881","abstract":"Sarcopenia is a potentially modifiable risk factor for falls and fractures in older adults, but the strength of the association between sarcopenia, falls, and fractures is unclear. This study aims to systematically assess the literature and perform a meta-analysis of the association between sarcopenia with falls and fractures among older adults. A literature search was performed using MEDLINE, EMBASE, Cochrane, and CINAHL from inception to May 2018. Inclusion criteria were the following: published in English, mean/median age ≥ 65 years, sarcopenia diagnosis (based on definitions used by the original studies' authors), falls and/or fractures outcomes, and any study population. Pooled analyses were conducted of the associations of sarcopenia with falls and fractures, expressed in odds ratios (OR) and 95% confidence intervals (CIs). Subgroup analyses were performed by study design, population, sex, sarcopenia definition, continent, and study quality. Heterogeneity was assessed using the I2 statistics. The search identified 2771 studies. Thirty-six studies (52 838 individuals, 48.8% females, and mean age of the study populations ranging from 65.0 to 86.7 years) were included in the systematic review. Four studies reported on both falls and fractures. Ten out of 22 studies reported a significantly higher risk of falls in sarcopenic compared with non-sarcopenic individuals; 11 out of 19 studies showed a significant positive association with fractures. Thirty-three studies (45 926 individuals) were included in the meta-analysis. Sarcopenic individuals had a significant higher risk of falls (cross-sectional studies: OR 1.60; 95% CI 1.37–1.86, P &lt; 0.001, I2 = 34%; prospective studies: OR 1.89; 95% CI 1.33–2.68, P &lt; 0.001, I2 = 37%) and fractures (cross-sectional studies: OR 1.84; 95% CI 1.30–2.62, P = 0.001, I2 = 91%; prospective studies: OR 1.71; 95% CI 1.44–2.03, P = 0.011, I2 = 0%) compared with non-sarcopenic individuals. This was independent of study design, population, sex, sarcopenia definition, continent, and study quality. The positive association between sarcopenia with falls and fractures in older adults strengthens the need to invest in sarcopenia prevention and interventions to evaluate its effect on falls and fractures.","author":[{"dropping-particle":"","family":"Yeung","given":"Suey S.Y.","non-dropping-particle":"","parse-names":false,"suffix":""},{"dropping-particle":"","family":"Reijnierse","given":"Esmee M.","non-dropping-particle":"","parse-names":false,"suffix":""},{"dropping-particle":"","family":"Pham","given":"Vivien K.","non-dropping-particle":"","parse-names":false,"suffix":""},{"dropping-particle":"","family":"Trappenburg","given":"Marijke C.","non-dropping-particle":"","parse-names":false,"suffix":""},{"dropping-particle":"","family":"Lim","given":"Wen Kwang","non-dropping-particle":"","parse-names":false,"suffix":""},{"dropping-particle":"","family":"Meskers","given":"Carel G.M.","non-dropping-particle":"","parse-names":false,"suffix":""},{"dropping-particle":"","family":"Maier","given":"Andrea B.","non-dropping-particle":"","parse-names":false,"suffix":""}],"container-title":"Journal of Cachexia, Sarcopenia and Muscle","id":"ITEM-2","issue":"3","issued":{"date-parts":[["2019","6","1"]]},"page":"485-500","publisher":"Wiley Blackwell","title":"Sarcopenia and its association with falls and fractures in older adults: A systematic review and meta-analysis","type":"article","volume":"10"},"uris":["http://www.mendeley.com/documents/?uuid=b60c5e6d-501a-3ed4-b49b-b0d1636c8d9d"]}],"mendeley":{"formattedCitation":"[4,5]","plainTextFormattedCitation":"[4,5]","previouslyFormattedCitation":"[4,5]"},"properties":{"noteIndex":0},"schema":"https://github.com/citation-style-language/schema/raw/master/csl-citation.json"}</w:instrText>
      </w:r>
      <w:r w:rsidR="00AC5C7F">
        <w:rPr>
          <w:rFonts w:cstheme="minorHAnsi"/>
        </w:rPr>
        <w:fldChar w:fldCharType="separate"/>
      </w:r>
      <w:r w:rsidR="00C24D4F" w:rsidRPr="00C24D4F">
        <w:rPr>
          <w:rFonts w:cstheme="minorHAnsi"/>
          <w:noProof/>
        </w:rPr>
        <w:t>[4,5]</w:t>
      </w:r>
      <w:r w:rsidR="00AC5C7F">
        <w:rPr>
          <w:rFonts w:cstheme="minorHAnsi"/>
        </w:rPr>
        <w:fldChar w:fldCharType="end"/>
      </w:r>
      <w:r w:rsidR="00AC5C7F">
        <w:rPr>
          <w:rFonts w:cstheme="minorHAnsi"/>
        </w:rPr>
        <w:t xml:space="preserve">. </w:t>
      </w:r>
      <w:r w:rsidR="00C24D4F">
        <w:rPr>
          <w:rFonts w:cstheme="minorHAnsi"/>
        </w:rPr>
        <w:t>In 2019, the revised E</w:t>
      </w:r>
      <w:r w:rsidR="00991F46">
        <w:rPr>
          <w:rFonts w:cstheme="minorHAnsi"/>
        </w:rPr>
        <w:t>uropean Working Group on Sarcopenia in Older People 2</w:t>
      </w:r>
      <w:r w:rsidR="00C24D4F">
        <w:rPr>
          <w:rFonts w:cstheme="minorHAnsi"/>
        </w:rPr>
        <w:t xml:space="preserve"> guidelines were published </w:t>
      </w:r>
      <w:r w:rsidR="00B33239">
        <w:rPr>
          <w:rFonts w:cstheme="minorHAnsi"/>
        </w:rPr>
        <w:t xml:space="preserve">emphasising </w:t>
      </w:r>
      <w:r w:rsidR="00C24D4F">
        <w:rPr>
          <w:rFonts w:cstheme="minorHAnsi"/>
        </w:rPr>
        <w:t>muscle strength, relative to muscle mass and function</w:t>
      </w:r>
      <w:r w:rsidR="00B33239">
        <w:rPr>
          <w:rFonts w:cstheme="minorHAnsi"/>
        </w:rPr>
        <w:t xml:space="preserve"> </w:t>
      </w:r>
      <w:r w:rsidR="00B33239">
        <w:rPr>
          <w:rFonts w:cstheme="minorHAnsi"/>
        </w:rPr>
        <w:fldChar w:fldCharType="begin" w:fldLock="1"/>
      </w:r>
      <w:r w:rsidR="00B33239">
        <w:rPr>
          <w:rFonts w:cstheme="minorHAnsi"/>
        </w:rPr>
        <w:instrText>ADDIN CSL_CITATION {"citationItems":[{"id":"ITEM-1","itemData":{"DOI":"10.1093/ageing/afy169","ISSN":"14682834","PMID":"30312372","abstract":"Background in 2010, the European Working Group on Sarcopenia in Older People (EWGSOP) published a sarcopenia definition that aimed to foster advances in identifying and caring for people with sarcopenia. In early 2018, the Working Group met again (EWGSOP2) to update the original definition in order to reflect scientific and clinical evidence that has built over the last decade. This paper presents our updated findings. Objectives to increase consistency of research design, clinical diagnoses and ultimately, care for people with sarcopenia. Recommendations sarcopenia is a muscle disease (muscle failure) rooted in adverse muscle changes that accrue across a lifetime; sarcopenia is common among adults of older age but can also occur earlier in life. In this updated consensus paper on sarcopenia, EWGSOP2: (1) focuses on low muscle strength as a key characteristic of sarcopenia, uses detection of low muscle quantity and quality to confirm the sarcopenia diagnosis, and identifies poor physical performance as indicative of severe sarcopenia; (2) updates the clinical algorithm that can be used for sarcopenia case-finding, diagnosis and confirmation, and severity determination and (3) provides clear cut-off points for measurements of variables that identify and characterise sarcopenia. Conclusions EWGSOP2's updated recommendations aim to increase awareness of sarcopenia and its risk. With these new recommendations, EWGSOP2 calls for healthcare professionals who treat patients at risk for sarcopenia to take actions that will promote early detection and treatment. We also encourage more research in the field of sarcopenia in order to prevent or delay adverse health outcomes that incur a heavy burden for patients and healthcare systems.","author":[{"dropping-particle":"","family":"Cruz-Jentoft","given":"Alfonso J.","non-dropping-particle":"","parse-names":false,"suffix":""},{"dropping-particle":"","family":"Bahat","given":"Gülistan","non-dropping-particle":"","parse-names":false,"suffix":""},{"dropping-particle":"","family":"Bauer","given":"Jürgen","non-dropping-particle":"","parse-names":false,"suffix":""},{"dropping-particle":"","family":"Boirie","given":"Yves","non-dropping-particle":"","parse-names":false,"suffix":""},{"dropping-particle":"","family":"Bruyère","given":"Olivier","non-dropping-particle":"","parse-names":false,"suffix":""},{"dropping-particle":"","family":"Cederholm","given":"Tommy","non-dropping-particle":"","parse-names":false,"suffix":""},{"dropping-particle":"","family":"Cooper","given":"Cyrus","non-dropping-particle":"","parse-names":false,"suffix":""},{"dropping-particle":"","family":"Landi","given":"Francesco","non-dropping-particle":"","parse-names":false,"suffix":""},{"dropping-particle":"","family":"Rolland","given":"Yves","non-dropping-particle":"","parse-names":false,"suffix":""},{"dropping-particle":"","family":"Sayer","given":"Avan Aihie","non-dropping-particle":"","parse-names":false,"suffix":""},{"dropping-particle":"","family":"Schneider","given":"Stéphane M.","non-dropping-particle":"","parse-names":false,"suffix":""},{"dropping-particle":"","family":"Sieber","given":"Cornel C.","non-dropping-particle":"","parse-names":false,"suffix":""},{"dropping-particle":"","family":"Topinkova","given":"Eva","non-dropping-particle":"","parse-names":false,"suffix":""},{"dropping-particle":"","family":"Vandewoude","given":"Maurits","non-dropping-particle":"","parse-names":false,"suffix":""},{"dropping-particle":"","family":"Visser","given":"Marjolein","non-dropping-particle":"","parse-names":false,"suffix":""},{"dropping-particle":"","family":"Zamboni","given":"Mauro","non-dropping-particle":"","parse-names":false,"suffix":""},{"dropping-particle":"","family":"Bautmans","given":"Ivan","non-dropping-particle":"","parse-names":false,"suffix":""},{"dropping-particle":"","family":"Baeyens","given":"Jean Pierre","non-dropping-particle":"","parse-names":false,"suffix":""},{"dropping-particle":"","family":"Cesari","given":"Matteo","non-dropping-particle":"","parse-names":false,"suffix":""},{"dropping-particle":"","family":"Cherubini","given":"Antonio","non-dropping-particle":"","parse-names":false,"suffix":""},{"dropping-particle":"","family":"Kanis","given":"John","non-dropping-particle":"","parse-names":false,"suffix":""},{"dropping-particle":"","family":"Maggio","given":"Marcello","non-dropping-particle":"","parse-names":false,"suffix":""},{"dropping-particle":"","family":"Martin","given":"Finbarr","non-dropping-particle":"","parse-names":false,"suffix":""},{"dropping-particle":"","family":"Michel","given":"Jean Pierre","non-dropping-particle":"","parse-names":false,"suffix":""},{"dropping-particle":"","family":"Pitkala","given":"Kaisu","non-dropping-particle":"","parse-names":false,"suffix":""},{"dropping-particle":"","family":"Reginster","given":"Jean Yves","non-dropping-particle":"","parse-names":false,"suffix":""},{"dropping-particle":"","family":"Rizzoli","given":"René","non-dropping-particle":"","parse-names":false,"suffix":""},{"dropping-particle":"","family":"Sánchez-Rodríguez","given":"Dolores","non-dropping-particle":"","parse-names":false,"suffix":""},{"dropping-particle":"","family":"Schols","given":"Jos","non-dropping-particle":"","parse-names":false,"suffix":""}],"container-title":"Age and Ageing","id":"ITEM-1","issue":"1","issued":{"date-parts":[["2019","1","1"]]},"page":"16-31","publisher":"Oxford University Press","title":"Sarcopenia: Revised European consensus on definition and diagnosis","type":"article-journal","volume":"48"},"uris":["http://www.mendeley.com/documents/?uuid=3dfcd8ad-f877-3147-98c9-b07664c15a64"]}],"mendeley":{"formattedCitation":"[6]","plainTextFormattedCitation":"[6]","previouslyFormattedCitation":"[6]"},"properties":{"noteIndex":0},"schema":"https://github.com/citation-style-language/schema/raw/master/csl-citation.json"}</w:instrText>
      </w:r>
      <w:r w:rsidR="00B33239">
        <w:rPr>
          <w:rFonts w:cstheme="minorHAnsi"/>
        </w:rPr>
        <w:fldChar w:fldCharType="separate"/>
      </w:r>
      <w:r w:rsidR="00B33239" w:rsidRPr="00C24D4F">
        <w:rPr>
          <w:rFonts w:cstheme="minorHAnsi"/>
          <w:noProof/>
        </w:rPr>
        <w:t>[6]</w:t>
      </w:r>
      <w:r w:rsidR="00B33239">
        <w:rPr>
          <w:rFonts w:cstheme="minorHAnsi"/>
        </w:rPr>
        <w:fldChar w:fldCharType="end"/>
      </w:r>
      <w:r w:rsidR="00C24D4F">
        <w:rPr>
          <w:rFonts w:cstheme="minorHAnsi"/>
        </w:rPr>
        <w:t>. T</w:t>
      </w:r>
      <w:r w:rsidR="00E42F55" w:rsidRPr="004A2775">
        <w:rPr>
          <w:rFonts w:cstheme="minorHAnsi"/>
        </w:rPr>
        <w:t xml:space="preserve">he aim of this study was to examine </w:t>
      </w:r>
      <w:r w:rsidR="00C24D4F">
        <w:rPr>
          <w:rFonts w:cstheme="minorHAnsi"/>
        </w:rPr>
        <w:t xml:space="preserve">the strength of </w:t>
      </w:r>
      <w:r w:rsidR="0038138B" w:rsidRPr="004A2775">
        <w:rPr>
          <w:rFonts w:cstheme="minorHAnsi"/>
        </w:rPr>
        <w:t>sex-specific</w:t>
      </w:r>
      <w:r w:rsidR="00A827AE" w:rsidRPr="004A2775">
        <w:rPr>
          <w:rFonts w:cstheme="minorHAnsi"/>
        </w:rPr>
        <w:t xml:space="preserve"> </w:t>
      </w:r>
      <w:r w:rsidR="00E42F55" w:rsidRPr="004A2775">
        <w:rPr>
          <w:rFonts w:cstheme="minorHAnsi"/>
        </w:rPr>
        <w:t xml:space="preserve">associations between </w:t>
      </w:r>
      <w:r w:rsidR="00C24D4F">
        <w:rPr>
          <w:rFonts w:cstheme="minorHAnsi"/>
        </w:rPr>
        <w:t xml:space="preserve">each of the key individual </w:t>
      </w:r>
      <w:r w:rsidR="00435513" w:rsidRPr="004A2775">
        <w:rPr>
          <w:rFonts w:cstheme="minorHAnsi"/>
        </w:rPr>
        <w:t>sarcopenia components</w:t>
      </w:r>
      <w:r w:rsidR="00C24D4F">
        <w:rPr>
          <w:rFonts w:cstheme="minorHAnsi"/>
        </w:rPr>
        <w:t xml:space="preserve"> (</w:t>
      </w:r>
      <w:r w:rsidR="00E42F55" w:rsidRPr="004A2775">
        <w:rPr>
          <w:rFonts w:cstheme="minorHAnsi"/>
        </w:rPr>
        <w:t xml:space="preserve">muscle mass, </w:t>
      </w:r>
      <w:r w:rsidR="003E7EF8" w:rsidRPr="004A2775">
        <w:rPr>
          <w:rFonts w:cstheme="minorHAnsi"/>
        </w:rPr>
        <w:t>strength,</w:t>
      </w:r>
      <w:r w:rsidR="00E42F55" w:rsidRPr="004A2775">
        <w:rPr>
          <w:rFonts w:cstheme="minorHAnsi"/>
        </w:rPr>
        <w:t xml:space="preserve"> and</w:t>
      </w:r>
      <w:r w:rsidR="00E42F55" w:rsidRPr="004A2775">
        <w:rPr>
          <w:rFonts w:cstheme="minorHAnsi"/>
          <w:lang w:val="en-US"/>
        </w:rPr>
        <w:t xml:space="preserve"> function</w:t>
      </w:r>
      <w:r w:rsidR="00C24D4F">
        <w:rPr>
          <w:rFonts w:cstheme="minorHAnsi"/>
          <w:lang w:val="en-US"/>
        </w:rPr>
        <w:t>)</w:t>
      </w:r>
      <w:r w:rsidR="00E42F55" w:rsidRPr="004A2775">
        <w:rPr>
          <w:rFonts w:cstheme="minorHAnsi"/>
          <w:lang w:val="en-US"/>
        </w:rPr>
        <w:t xml:space="preserve"> </w:t>
      </w:r>
      <w:r w:rsidR="00C24D4F">
        <w:rPr>
          <w:rFonts w:cstheme="minorHAnsi"/>
          <w:lang w:val="en-US"/>
        </w:rPr>
        <w:t xml:space="preserve">with the clinically important </w:t>
      </w:r>
      <w:r w:rsidR="00B33239">
        <w:rPr>
          <w:rFonts w:cstheme="minorHAnsi"/>
          <w:lang w:val="en-US"/>
        </w:rPr>
        <w:t xml:space="preserve">outcomes </w:t>
      </w:r>
      <w:r w:rsidR="00C24D4F">
        <w:rPr>
          <w:rFonts w:cstheme="minorHAnsi"/>
          <w:lang w:val="en-US"/>
        </w:rPr>
        <w:t>of</w:t>
      </w:r>
      <w:r w:rsidR="00ED4DC0" w:rsidRPr="004A2775">
        <w:rPr>
          <w:rFonts w:cstheme="minorHAnsi"/>
          <w:lang w:val="en-US"/>
        </w:rPr>
        <w:t xml:space="preserve"> </w:t>
      </w:r>
      <w:r w:rsidR="0038138B" w:rsidRPr="004A2775">
        <w:rPr>
          <w:rFonts w:cstheme="minorHAnsi"/>
          <w:lang w:val="en-US"/>
        </w:rPr>
        <w:t xml:space="preserve">falls and fractures </w:t>
      </w:r>
      <w:r w:rsidR="00E42F55" w:rsidRPr="004A2775">
        <w:rPr>
          <w:rFonts w:cstheme="minorHAnsi"/>
          <w:lang w:val="en-US"/>
        </w:rPr>
        <w:t xml:space="preserve">in </w:t>
      </w:r>
      <w:r w:rsidR="00435513" w:rsidRPr="004A2775">
        <w:rPr>
          <w:rFonts w:cstheme="minorHAnsi"/>
          <w:lang w:val="en-US"/>
        </w:rPr>
        <w:t xml:space="preserve">a </w:t>
      </w:r>
      <w:r w:rsidR="00E42F55" w:rsidRPr="004A2775">
        <w:rPr>
          <w:rFonts w:cstheme="minorHAnsi"/>
          <w:lang w:val="en-US"/>
        </w:rPr>
        <w:t>population-based cohort of older adults</w:t>
      </w:r>
      <w:r w:rsidR="00C24D4F">
        <w:rPr>
          <w:rFonts w:cstheme="minorHAnsi"/>
          <w:lang w:val="en-US"/>
        </w:rPr>
        <w:t>.</w:t>
      </w:r>
    </w:p>
    <w:p w14:paraId="1DC29A46" w14:textId="50A0A7CF" w:rsidR="00E42F55" w:rsidRPr="004A2775" w:rsidRDefault="00F211F2" w:rsidP="00797CED">
      <w:pPr>
        <w:pStyle w:val="Heading1"/>
        <w:jc w:val="both"/>
        <w:rPr>
          <w:rFonts w:cstheme="minorHAnsi"/>
          <w:szCs w:val="22"/>
          <w:lang w:val="en-US"/>
        </w:rPr>
      </w:pPr>
      <w:r w:rsidRPr="004A2775">
        <w:rPr>
          <w:rFonts w:cstheme="minorHAnsi"/>
          <w:szCs w:val="22"/>
          <w:lang w:val="en-US"/>
        </w:rPr>
        <w:t>Methods</w:t>
      </w:r>
    </w:p>
    <w:p w14:paraId="5FA90261" w14:textId="02997737" w:rsidR="00E21C26" w:rsidRPr="004A2775" w:rsidRDefault="00E21C26" w:rsidP="00797CED">
      <w:pPr>
        <w:pStyle w:val="Heading2"/>
        <w:jc w:val="both"/>
        <w:rPr>
          <w:rFonts w:cstheme="minorHAnsi"/>
          <w:sz w:val="22"/>
          <w:szCs w:val="22"/>
        </w:rPr>
      </w:pPr>
      <w:r w:rsidRPr="004A2775">
        <w:rPr>
          <w:rFonts w:cstheme="minorHAnsi"/>
          <w:sz w:val="22"/>
          <w:szCs w:val="22"/>
        </w:rPr>
        <w:t xml:space="preserve">The Hertfordshire Cohort Study </w:t>
      </w:r>
    </w:p>
    <w:p w14:paraId="4DE1008E" w14:textId="31923864" w:rsidR="00F211F2" w:rsidRPr="004A2775" w:rsidRDefault="00F211F2" w:rsidP="00797CED">
      <w:pPr>
        <w:jc w:val="both"/>
        <w:rPr>
          <w:rFonts w:cstheme="minorHAnsi"/>
          <w:lang w:val="en-US"/>
        </w:rPr>
      </w:pPr>
      <w:r w:rsidRPr="004A2775">
        <w:rPr>
          <w:rFonts w:cstheme="minorHAnsi"/>
          <w:lang w:val="en-US"/>
        </w:rPr>
        <w:t xml:space="preserve">The Hertfordshire Cohort Study (HCS) comprises 2997 individuals born in Hertfordshire from 1931-1939 who lived there in 1998-2004 where they completed a home interview and clinic visit for a detailed health assessment. In 2004, of the 966 participants from </w:t>
      </w:r>
      <w:r w:rsidR="00B102DC" w:rsidRPr="004A2775">
        <w:rPr>
          <w:rFonts w:cstheme="minorHAnsi"/>
          <w:lang w:val="en-US"/>
        </w:rPr>
        <w:t xml:space="preserve">the geographic region of </w:t>
      </w:r>
      <w:r w:rsidRPr="004A2775">
        <w:rPr>
          <w:rFonts w:cstheme="minorHAnsi"/>
          <w:lang w:val="en-US"/>
        </w:rPr>
        <w:t>East Hertfordshire</w:t>
      </w:r>
      <w:r w:rsidR="00F0071C" w:rsidRPr="004A2775">
        <w:rPr>
          <w:rFonts w:cstheme="minorHAnsi"/>
          <w:lang w:val="en-US"/>
        </w:rPr>
        <w:t xml:space="preserve"> who formed the in-depth musculoskeletal subgroup</w:t>
      </w:r>
      <w:r w:rsidRPr="004A2775">
        <w:rPr>
          <w:rFonts w:cstheme="minorHAnsi"/>
          <w:lang w:val="en-US"/>
        </w:rPr>
        <w:t xml:space="preserve">, 642 </w:t>
      </w:r>
      <w:r w:rsidR="00B102DC" w:rsidRPr="004A2775">
        <w:rPr>
          <w:rFonts w:cstheme="minorHAnsi"/>
          <w:lang w:val="en-US"/>
        </w:rPr>
        <w:t>attended a clinic visit as part of</w:t>
      </w:r>
      <w:r w:rsidRPr="004A2775">
        <w:rPr>
          <w:rFonts w:cstheme="minorHAnsi"/>
          <w:lang w:val="en-US"/>
        </w:rPr>
        <w:t xml:space="preserve"> a musculoskeletal follow-up study. </w:t>
      </w:r>
      <w:r w:rsidR="00704A3B" w:rsidRPr="004A2775">
        <w:rPr>
          <w:rFonts w:cstheme="minorHAnsi"/>
          <w:lang w:val="en-US"/>
        </w:rPr>
        <w:t xml:space="preserve">The HCS </w:t>
      </w:r>
      <w:r w:rsidR="00ED4DC0">
        <w:rPr>
          <w:rFonts w:cstheme="minorHAnsi"/>
          <w:lang w:val="en-US"/>
        </w:rPr>
        <w:t xml:space="preserve">baseline </w:t>
      </w:r>
      <w:r w:rsidR="00704A3B" w:rsidRPr="004A2775">
        <w:rPr>
          <w:rFonts w:cstheme="minorHAnsi"/>
          <w:lang w:val="en-US"/>
        </w:rPr>
        <w:t>investigations had ethical approval from the Hertfordshire and Bedfordshire Local Research Ethics Committee and all participants provided written informed consent</w:t>
      </w:r>
      <w:r w:rsidR="00F0071C" w:rsidRPr="004A2775">
        <w:rPr>
          <w:rFonts w:cstheme="minorHAnsi"/>
          <w:lang w:val="en-US"/>
        </w:rPr>
        <w:t xml:space="preserve"> </w:t>
      </w:r>
      <w:r w:rsidR="00D65ADD">
        <w:rPr>
          <w:rFonts w:cstheme="minorHAnsi"/>
          <w:lang w:val="en-US"/>
        </w:rPr>
        <w:fldChar w:fldCharType="begin" w:fldLock="1"/>
      </w:r>
      <w:r w:rsidR="00C24D4F">
        <w:rPr>
          <w:rFonts w:cstheme="minorHAnsi"/>
          <w:lang w:val="en-US"/>
        </w:rPr>
        <w:instrText>ADDIN CSL_CITATION {"citationItems":[{"id":"ITEM-1","itemData":{"DOI":"10.12688/F1000RESEARCH.17457.1","ISSN":"1759796X","PMID":"30828442","abstract":"The Hertfordshire Cohort Study is a nationally unique study of men and women born in the English county of Hertfordshire in the early part of the 20 th century. Records that detail their health in infancy and childhood have been preserved, their sociodemographic, lifestyle, medical and biological attributes have been characterised in later life, and routinely collected data on their hospital use and mortality have been acquired. This paper provides an overview of the study since its inception in the 1980s, including its methods, findings, and plans for its future.","author":[{"dropping-particle":"","family":"Syddall","given":"Holly E.","non-dropping-particle":"","parse-names":false,"suffix":""},{"dropping-particle":"","family":"Simmonds","given":"Shirley J.","non-dropping-particle":"","parse-names":false,"suffix":""},{"dropping-particle":"","family":"Carter","given":"Sarah A.","non-dropping-particle":"","parse-names":false,"suffix":""},{"dropping-particle":"","family":"Robinson","given":"Sian M.","non-dropping-particle":"","parse-names":false,"suffix":""},{"dropping-particle":"","family":"Dennison","given":"Elaine M.","non-dropping-particle":"","parse-names":false,"suffix":""},{"dropping-particle":"","family":"Cooper","given":"Cyrus","non-dropping-particle":"","parse-names":false,"suffix":""},{"dropping-particle":"","family":"Bevilacqua","given":"Gregorio","non-dropping-particle":"","parse-names":false,"suffix":""},{"dropping-particle":"","family":"Bloom","given":"Ilse","non-dropping-particle":"","parse-names":false,"suffix":""},{"dropping-particle":"","family":"Clynes","given":"Michael","non-dropping-particle":"","parse-names":false,"suffix":""},{"dropping-particle":"","family":"Cox","given":"Ken","non-dropping-particle":"","parse-names":false,"suffix":""},{"dropping-particle":"","family":"Cox","given":"Vanessa","non-dropping-particle":"","parse-names":false,"suffix":""},{"dropping-particle":"","family":"Fuggle","given":"Nicholas","non-dropping-particle":"","parse-names":false,"suffix":""},{"dropping-particle":"","family":"Gale","given":"Catharine","non-dropping-particle":"","parse-names":false,"suffix":""},{"dropping-particle":"","family":"Holloway","given":"John","non-dropping-particle":"","parse-names":false,"suffix":""},{"dropping-particle":"","family":"Jameson","given":"Karen","non-dropping-particle":"","parse-names":false,"suffix":""},{"dropping-particle":"","family":"Parsons","given":"Camille","non-dropping-particle":"","parse-names":false,"suffix":""},{"dropping-particle":"","family":"Patel","given":"Harnish","non-dropping-particle":"","parse-names":false,"suffix":""},{"dropping-particle":"","family":"Ward","given":"Kate","non-dropping-particle":"","parse-names":false,"suffix":""},{"dropping-particle":"","family":"Westbury","given":"Leo","non-dropping-particle":"","parse-names":false,"suffix":""}],"container-title":"F1000Research","id":"ITEM-1","issued":{"date-parts":[["2019"]]},"publisher":"Faculty of 1000 Ltd","title":"The Hertfordshire Cohort Study: an overview","type":"article-journal","volume":"8"},"uris":["http://www.mendeley.com/documents/?uuid=0fe59414-3d54-39af-a0e9-ea2d5c765d90"]}],"mendeley":{"formattedCitation":"[7]","plainTextFormattedCitation":"[7]","previouslyFormattedCitation":"[7]"},"properties":{"noteIndex":0},"schema":"https://github.com/citation-style-language/schema/raw/master/csl-citation.json"}</w:instrText>
      </w:r>
      <w:r w:rsidR="00D65ADD">
        <w:rPr>
          <w:rFonts w:cstheme="minorHAnsi"/>
          <w:lang w:val="en-US"/>
        </w:rPr>
        <w:fldChar w:fldCharType="separate"/>
      </w:r>
      <w:r w:rsidR="00C24D4F" w:rsidRPr="00C24D4F">
        <w:rPr>
          <w:rFonts w:cstheme="minorHAnsi"/>
          <w:noProof/>
          <w:lang w:val="en-US"/>
        </w:rPr>
        <w:t>[7]</w:t>
      </w:r>
      <w:r w:rsidR="00D65ADD">
        <w:rPr>
          <w:rFonts w:cstheme="minorHAnsi"/>
          <w:lang w:val="en-US"/>
        </w:rPr>
        <w:fldChar w:fldCharType="end"/>
      </w:r>
      <w:r w:rsidR="00D65ADD">
        <w:rPr>
          <w:rFonts w:cstheme="minorHAnsi"/>
          <w:lang w:val="en-US"/>
        </w:rPr>
        <w:t xml:space="preserve"> </w:t>
      </w:r>
      <w:r w:rsidR="00ED4DC0">
        <w:rPr>
          <w:rFonts w:cstheme="minorHAnsi"/>
          <w:lang w:val="en-US"/>
        </w:rPr>
        <w:t>; ethical approval was also obtained for all HCS follow-up studies</w:t>
      </w:r>
      <w:r w:rsidR="00704A3B" w:rsidRPr="004A2775">
        <w:rPr>
          <w:rFonts w:cstheme="minorHAnsi"/>
          <w:lang w:val="en-US"/>
        </w:rPr>
        <w:t xml:space="preserve">. </w:t>
      </w:r>
      <w:r w:rsidRPr="004A2775">
        <w:rPr>
          <w:rFonts w:cstheme="minorHAnsi"/>
          <w:lang w:val="en-US"/>
        </w:rPr>
        <w:t>Further details of HCS have been described previously</w:t>
      </w:r>
      <w:r w:rsidR="00605AFE" w:rsidRPr="004A2775">
        <w:rPr>
          <w:rFonts w:cstheme="minorHAnsi"/>
          <w:lang w:val="en-US"/>
        </w:rPr>
        <w:t xml:space="preserve"> </w:t>
      </w:r>
      <w:r w:rsidR="00F96971" w:rsidRPr="004A2775">
        <w:rPr>
          <w:rFonts w:cstheme="minorHAnsi"/>
          <w:lang w:val="en-US"/>
        </w:rPr>
        <w:fldChar w:fldCharType="begin" w:fldLock="1"/>
      </w:r>
      <w:r w:rsidR="00C24D4F">
        <w:rPr>
          <w:rFonts w:cstheme="minorHAnsi"/>
          <w:lang w:val="en-US"/>
        </w:rPr>
        <w:instrText>ADDIN CSL_CITATION {"citationItems":[{"id":"ITEM-1","itemData":{"DOI":"10.12688/F1000RESEARCH.17457.1","ISSN":"1759796X","PMID":"30828442","abstract":"The Hertfordshire Cohort Study is a nationally unique study of men and women born in the English county of Hertfordshire in the early part of the 20 th century. Records that detail their health in infancy and childhood have been preserved, their sociodemographic, lifestyle, medical and biological attributes have been characterised in later life, and routinely collected data on their hospital use and mortality have been acquired. This paper provides an overview of the study since its inception in the 1980s, including its methods, findings, and plans for its future.","author":[{"dropping-particle":"","family":"Syddall","given":"Holly E.","non-dropping-particle":"","parse-names":false,"suffix":""},{"dropping-particle":"","family":"Simmonds","given":"Shirley J.","non-dropping-particle":"","parse-names":false,"suffix":""},{"dropping-particle":"","family":"Carter","given":"Sarah A.","non-dropping-particle":"","parse-names":false,"suffix":""},{"dropping-particle":"","family":"Robinson","given":"Sian M.","non-dropping-particle":"","parse-names":false,"suffix":""},{"dropping-particle":"","family":"Dennison","given":"Elaine M.","non-dropping-particle":"","parse-names":false,"suffix":""},{"dropping-particle":"","family":"Cooper","given":"Cyrus","non-dropping-particle":"","parse-names":false,"suffix":""},{"dropping-particle":"","family":"Bevilacqua","given":"Gregorio","non-dropping-particle":"","parse-names":false,"suffix":""},{"dropping-particle":"","family":"Bloom","given":"Ilse","non-dropping-particle":"","parse-names":false,"suffix":""},{"dropping-particle":"","family":"Clynes","given":"Michael","non-dropping-particle":"","parse-names":false,"suffix":""},{"dropping-particle":"","family":"Cox","given":"Ken","non-dropping-particle":"","parse-names":false,"suffix":""},{"dropping-particle":"","family":"Cox","given":"Vanessa","non-dropping-particle":"","parse-names":false,"suffix":""},{"dropping-particle":"","family":"Fuggle","given":"Nicholas","non-dropping-particle":"","parse-names":false,"suffix":""},{"dropping-particle":"","family":"Gale","given":"Catharine","non-dropping-particle":"","parse-names":false,"suffix":""},{"dropping-particle":"","family":"Holloway","given":"John","non-dropping-particle":"","parse-names":false,"suffix":""},{"dropping-particle":"","family":"Jameson","given":"Karen","non-dropping-particle":"","parse-names":false,"suffix":""},{"dropping-particle":"","family":"Parsons","given":"Camille","non-dropping-particle":"","parse-names":false,"suffix":""},{"dropping-particle":"","family":"Patel","given":"Harnish","non-dropping-particle":"","parse-names":false,"suffix":""},{"dropping-particle":"","family":"Ward","given":"Kate","non-dropping-particle":"","parse-names":false,"suffix":""},{"dropping-particle":"","family":"Westbury","given":"Leo","non-dropping-particle":"","parse-names":false,"suffix":""}],"container-title":"F1000Research","id":"ITEM-1","issued":{"date-parts":[["2019"]]},"publisher":"Faculty of 1000 Ltd","title":"The Hertfordshire Cohort Study: an overview","type":"article-journal","volume":"8"},"uris":["http://www.mendeley.com/documents/?uuid=0fe59414-3d54-39af-a0e9-ea2d5c765d90"]}],"mendeley":{"formattedCitation":"[7]","plainTextFormattedCitation":"[7]","previouslyFormattedCitation":"[7]"},"properties":{"noteIndex":0},"schema":"https://github.com/citation-style-language/schema/raw/master/csl-citation.json"}</w:instrText>
      </w:r>
      <w:r w:rsidR="00F96971" w:rsidRPr="004A2775">
        <w:rPr>
          <w:rFonts w:cstheme="minorHAnsi"/>
          <w:lang w:val="en-US"/>
        </w:rPr>
        <w:fldChar w:fldCharType="separate"/>
      </w:r>
      <w:r w:rsidR="00C24D4F" w:rsidRPr="00C24D4F">
        <w:rPr>
          <w:rFonts w:cstheme="minorHAnsi"/>
          <w:noProof/>
          <w:lang w:val="en-US"/>
        </w:rPr>
        <w:t>[7]</w:t>
      </w:r>
      <w:r w:rsidR="00F96971" w:rsidRPr="004A2775">
        <w:rPr>
          <w:rFonts w:cstheme="minorHAnsi"/>
          <w:lang w:val="en-US"/>
        </w:rPr>
        <w:fldChar w:fldCharType="end"/>
      </w:r>
      <w:r w:rsidRPr="004A2775">
        <w:rPr>
          <w:rFonts w:cstheme="minorHAnsi"/>
          <w:lang w:val="en-US"/>
        </w:rPr>
        <w:t>.</w:t>
      </w:r>
    </w:p>
    <w:p w14:paraId="3B22A694" w14:textId="05D8166D" w:rsidR="00F211F2" w:rsidRPr="004A2775" w:rsidRDefault="00F211F2" w:rsidP="00797CED">
      <w:pPr>
        <w:pStyle w:val="Heading2"/>
        <w:jc w:val="both"/>
        <w:rPr>
          <w:rFonts w:cstheme="minorHAnsi"/>
          <w:sz w:val="22"/>
          <w:szCs w:val="22"/>
          <w:lang w:val="en-US"/>
        </w:rPr>
      </w:pPr>
      <w:r w:rsidRPr="004A2775">
        <w:rPr>
          <w:rFonts w:cstheme="minorHAnsi"/>
          <w:sz w:val="22"/>
          <w:szCs w:val="22"/>
          <w:lang w:val="en-US"/>
        </w:rPr>
        <w:t xml:space="preserve">Ascertainment of participant information in 1998-2004 </w:t>
      </w:r>
    </w:p>
    <w:p w14:paraId="2798FC1F" w14:textId="7C63D707" w:rsidR="00F211F2" w:rsidRPr="004A2775" w:rsidRDefault="00F211F2" w:rsidP="00797CED">
      <w:pPr>
        <w:jc w:val="both"/>
        <w:rPr>
          <w:rFonts w:cstheme="minorHAnsi"/>
          <w:lang w:val="en-US"/>
        </w:rPr>
      </w:pPr>
      <w:r w:rsidRPr="004A2775">
        <w:rPr>
          <w:rFonts w:cstheme="minorHAnsi"/>
          <w:lang w:val="en-US"/>
        </w:rPr>
        <w:t>Physical activity (Dallosso questionnaire) was ascertained by a nurse-administered questionnaire</w:t>
      </w:r>
      <w:r w:rsidR="00F96971" w:rsidRPr="004A2775">
        <w:rPr>
          <w:rFonts w:cstheme="minorHAnsi"/>
          <w:lang w:val="en-US"/>
        </w:rPr>
        <w:t xml:space="preserve"> </w:t>
      </w:r>
      <w:r w:rsidR="00F96971" w:rsidRPr="004A2775">
        <w:rPr>
          <w:rFonts w:cstheme="minorHAnsi"/>
          <w:lang w:val="en-US"/>
        </w:rPr>
        <w:fldChar w:fldCharType="begin" w:fldLock="1"/>
      </w:r>
      <w:r w:rsidR="00C24D4F">
        <w:rPr>
          <w:rFonts w:cstheme="minorHAnsi"/>
          <w:lang w:val="en-US"/>
        </w:rPr>
        <w:instrText>ADDIN CSL_CITATION {"citationItems":[{"id":"ITEM-1","itemData":{"DOI":"10.1136/JECH.42.2.121","PMID":"3221161","abstract":"With an activity inventory designed specifically for use among elderly people, detailed profiles of customary physical activity were obtained from 507 old (aged 65-74 years) and 535 very old (aged 75 years and over) individuals randomly sampled from the community. Participation in four categories of activity was assessed: outdoor productive activities; indoor productive activities; leisure activities; and walking. Customary engagement in many activities was found to be low, age (old versus very old) and sex being among the most important determinants of participation. The method of assessment is described, and activity profiles normative for older age groups are presented.","author":[{"dropping-particle":"","family":"Dallosso","given":"H M","non-dropping-particle":"","parse-names":false,"suffix":""},{"dropping-particle":"","family":"Morgan","given":"K","non-dropping-particle":"","parse-names":false,"suffix":""},{"dropping-particle":"","family":"Bassey","given":"E J","non-dropping-particle":"","parse-names":false,"suffix":""},{"dropping-particle":"","family":"Ebrahim","given":"S B","non-dropping-particle":"","parse-names":false,"suffix":""},{"dropping-particle":"","family":"Fentem","given":"P H","non-dropping-particle":"","parse-names":false,"suffix":""},{"dropping-particle":"","family":"Arie","given":"T H","non-dropping-particle":"","parse-names":false,"suffix":""}],"container-title":"Journal of Epidemiology and Community Health","id":"ITEM-1","issue":"2","issued":{"date-parts":[["1988"]]},"page":"121","publisher":"BMJ Publishing Group","title":"Levels of customary physical activity among the old and the very old living at home.","type":"article-journal","volume":"42"},"uris":["http://www.mendeley.com/documents/?uuid=b6562db0-57f4-33ee-87da-75bc7d523572"]}],"mendeley":{"formattedCitation":"[8]","plainTextFormattedCitation":"[8]","previouslyFormattedCitation":"[8]"},"properties":{"noteIndex":0},"schema":"https://github.com/citation-style-language/schema/raw/master/csl-citation.json"}</w:instrText>
      </w:r>
      <w:r w:rsidR="00F96971" w:rsidRPr="004A2775">
        <w:rPr>
          <w:rFonts w:cstheme="minorHAnsi"/>
          <w:lang w:val="en-US"/>
        </w:rPr>
        <w:fldChar w:fldCharType="separate"/>
      </w:r>
      <w:r w:rsidR="00C24D4F" w:rsidRPr="00C24D4F">
        <w:rPr>
          <w:rFonts w:cstheme="minorHAnsi"/>
          <w:noProof/>
          <w:lang w:val="en-US"/>
        </w:rPr>
        <w:t>[8]</w:t>
      </w:r>
      <w:r w:rsidR="00F96971" w:rsidRPr="004A2775">
        <w:rPr>
          <w:rFonts w:cstheme="minorHAnsi"/>
          <w:lang w:val="en-US"/>
        </w:rPr>
        <w:fldChar w:fldCharType="end"/>
      </w:r>
      <w:r w:rsidRPr="004A2775">
        <w:rPr>
          <w:rFonts w:cstheme="minorHAnsi"/>
          <w:lang w:val="en-US"/>
        </w:rPr>
        <w:t>. Dietary calcium intake was determined using a food-frequency questionnaire</w:t>
      </w:r>
      <w:r w:rsidR="00F96971" w:rsidRPr="004A2775">
        <w:rPr>
          <w:rFonts w:cstheme="minorHAnsi"/>
          <w:lang w:val="en-US"/>
        </w:rPr>
        <w:t xml:space="preserve"> </w:t>
      </w:r>
      <w:r w:rsidR="00F96971" w:rsidRPr="004A2775">
        <w:rPr>
          <w:rFonts w:cstheme="minorHAnsi"/>
          <w:lang w:val="en-US"/>
        </w:rPr>
        <w:fldChar w:fldCharType="begin" w:fldLock="1"/>
      </w:r>
      <w:r w:rsidR="00C24D4F">
        <w:rPr>
          <w:rFonts w:cstheme="minorHAnsi"/>
          <w:lang w:val="en-US"/>
        </w:rPr>
        <w:instrText>ADDIN CSL_CITATION {"citationItems":[{"id":"ITEM-1","itemData":{"DOI":"10.1093/AGEING/AFP121","abstract":"Background: dietary patterns analysis takes account of the combined effects of foods and may be a more meaningful way of assessing dietary exposure than considering individual nutrients. Little is known about the dietary patterns of older adults in the UK. Objective: to describe the dietary patterns of a population of community-dwelling older men and women and to examine factors associated with compliance with these patterns. Setting and Participants: 3,217 men and women aged 59-73 years who were participants in the Hertfordshire Cohort Study. Methods: diet was assessed using an administered food frequency questionnaire; dietary patterns were identified using principal component analysis. Results: two dietary patterns were identified. The first was characterised by high consumption of fruit, vegetables, oily fish and wholemeal cereals ('prudent' pattern); the second was characterised by high consumption of vegetables, processed and red meat, fish and puddings ('traditional' pattern). High 'prudent' diet scores were more common in women, in men and women in non-manual classes and in non-smokers (all P &lt; 0.05), whilst high 'traditional' diet scores were more common in men, in men and women who had partners and were associated with higher alcohol consumption (all P &lt; 0.05). Conclusions: we have described large variations in food consumption and nutrient intake amongst older adults that are likely to have implications for future health. The specific socio-demographic correlates of the dietary patterns provide insights into the contexts within which good and poor diets exist, and may help in the identification of opportunities for dietary intervention. © The Author 2009. Published by Oxford University Press on behalf of the British Geriatrics Society. All rights reserved.","author":[{"dropping-particle":"","family":"Robinson","given":"Siân","non-dropping-particle":"","parse-names":false,"suffix":""},{"dropping-particle":"","family":"Syddall","given":"Holly","non-dropping-particle":"","parse-names":false,"suffix":""},{"dropping-particle":"","family":"Jameson","given":"Karen","non-dropping-particle":"","parse-names":false,"suffix":""},{"dropping-particle":"","family":"Batelaan","given":"Sue","non-dropping-particle":"","parse-names":false,"suffix":""},{"dropping-particle":"","family":"Martin","given":"Helen","non-dropping-particle":"","parse-names":false,"suffix":""},{"dropping-particle":"","family":"Dennison","given":"Elaine M.","non-dropping-particle":"","parse-names":false,"suffix":""},{"dropping-particle":"","family":"Cooper","given":"Cyrus","non-dropping-particle":"","parse-names":false,"suffix":""},{"dropping-particle":"","family":"Sayer","given":"Avan Aihie","non-dropping-particle":"","parse-names":false,"suffix":""}],"container-title":"Age and Ageing","id":"ITEM-1","issue":"5","issued":{"date-parts":[["2009"]]},"page":"594-599","title":"Current patterns of diet in community-dwelling older men and women: Results from the Hertfordshire Cohort Study","type":"article-journal","volume":"38"},"uris":["http://www.mendeley.com/documents/?uuid=8a200a2e-e11a-3601-910e-3fabf18f39dc"]}],"mendeley":{"formattedCitation":"[9]","plainTextFormattedCitation":"[9]","previouslyFormattedCitation":"[9]"},"properties":{"noteIndex":0},"schema":"https://github.com/citation-style-language/schema/raw/master/csl-citation.json"}</w:instrText>
      </w:r>
      <w:r w:rsidR="00F96971" w:rsidRPr="004A2775">
        <w:rPr>
          <w:rFonts w:cstheme="minorHAnsi"/>
          <w:lang w:val="en-US"/>
        </w:rPr>
        <w:fldChar w:fldCharType="separate"/>
      </w:r>
      <w:r w:rsidR="00C24D4F" w:rsidRPr="00C24D4F">
        <w:rPr>
          <w:rFonts w:cstheme="minorHAnsi"/>
          <w:noProof/>
          <w:lang w:val="en-US"/>
        </w:rPr>
        <w:t>[9]</w:t>
      </w:r>
      <w:r w:rsidR="00F96971" w:rsidRPr="004A2775">
        <w:rPr>
          <w:rFonts w:cstheme="minorHAnsi"/>
          <w:lang w:val="en-US"/>
        </w:rPr>
        <w:fldChar w:fldCharType="end"/>
      </w:r>
      <w:r w:rsidRPr="004A2775">
        <w:rPr>
          <w:rFonts w:cstheme="minorHAnsi"/>
          <w:lang w:val="en-US"/>
        </w:rPr>
        <w:t xml:space="preserve">. </w:t>
      </w:r>
      <w:bookmarkStart w:id="3" w:name="_Hlk99363072"/>
      <w:r w:rsidRPr="004A2775">
        <w:rPr>
          <w:rFonts w:cstheme="minorHAnsi"/>
          <w:lang w:val="en-US"/>
        </w:rPr>
        <w:t xml:space="preserve">Current or most recent full-time occupation (husband’s for ever-married </w:t>
      </w:r>
      <w:r w:rsidR="002A2685" w:rsidRPr="004A2775">
        <w:rPr>
          <w:rFonts w:cstheme="minorHAnsi"/>
          <w:lang w:val="en-US"/>
        </w:rPr>
        <w:t>females</w:t>
      </w:r>
      <w:r w:rsidRPr="004A2775">
        <w:rPr>
          <w:rFonts w:cstheme="minorHAnsi"/>
          <w:lang w:val="en-US"/>
        </w:rPr>
        <w:t>) was ascertained</w:t>
      </w:r>
      <w:r w:rsidR="00470CA3">
        <w:rPr>
          <w:rFonts w:cstheme="minorHAnsi"/>
          <w:lang w:val="en-US"/>
        </w:rPr>
        <w:t>. Social</w:t>
      </w:r>
      <w:r w:rsidRPr="004A2775">
        <w:rPr>
          <w:rFonts w:cstheme="minorHAnsi"/>
          <w:lang w:val="en-US"/>
        </w:rPr>
        <w:t xml:space="preserve"> class was coded from the </w:t>
      </w:r>
      <w:bookmarkStart w:id="4" w:name="_Hlk99362425"/>
      <w:r w:rsidRPr="004A2775">
        <w:rPr>
          <w:rFonts w:cstheme="minorHAnsi"/>
          <w:lang w:val="en-US"/>
        </w:rPr>
        <w:t>1990 OPCS Standard Occupational Classification (SOC90) unit group for occupation</w:t>
      </w:r>
      <w:bookmarkEnd w:id="4"/>
      <w:r w:rsidR="00605AFE" w:rsidRPr="004A2775">
        <w:rPr>
          <w:rFonts w:cstheme="minorHAnsi"/>
          <w:lang w:val="en-US"/>
        </w:rPr>
        <w:t xml:space="preserve"> </w:t>
      </w:r>
      <w:r w:rsidR="00F96971" w:rsidRPr="004A2775">
        <w:rPr>
          <w:rFonts w:cstheme="minorHAnsi"/>
          <w:lang w:val="en-US"/>
        </w:rPr>
        <w:fldChar w:fldCharType="begin" w:fldLock="1"/>
      </w:r>
      <w:r w:rsidR="00C24D4F">
        <w:rPr>
          <w:rFonts w:cstheme="minorHAnsi"/>
          <w:lang w:val="en-US"/>
        </w:rPr>
        <w:instrText>ADDIN CSL_CITATION {"citationItems":[{"id":"ITEM-1","itemData":{"ISBN":"9780116912848","abstract":"1st ed. At head of title: Employment Department Group, Office of Population Censuses and Surveys. \"A publication of the Government Statistical Service; SOC\"--Cover. \"February 1990.\" Vol. 1. Structure and definition of major, minor and unit groups -- Vol. 2. Coding index. -- Vol. 3. Social classifications and coding methodology.","author":[{"dropping-particle":"","family":"Office of Population Censuses and Surveys.","given":"","non-dropping-particle":"","parse-names":false,"suffix":""}],"id":"ITEM-1","issued":{"date-parts":[["1990"]]},"publisher":"HMSO,","publisher-place":"London :","title":"Standard occupational classification, Vol 1. Structure and definition of major, Minor and unit groups.","type":"book"},"uris":["http://www.mendeley.com/documents/?uuid=5e8d2c3b-3a0f-3b5b-9275-990fdc789733"]}],"mendeley":{"formattedCitation":"[10]","plainTextFormattedCitation":"[10]","previouslyFormattedCitation":"[10]"},"properties":{"noteIndex":0},"schema":"https://github.com/citation-style-language/schema/raw/master/csl-citation.json"}</w:instrText>
      </w:r>
      <w:r w:rsidR="00F96971" w:rsidRPr="004A2775">
        <w:rPr>
          <w:rFonts w:cstheme="minorHAnsi"/>
          <w:lang w:val="en-US"/>
        </w:rPr>
        <w:fldChar w:fldCharType="separate"/>
      </w:r>
      <w:r w:rsidR="00C24D4F" w:rsidRPr="00C24D4F">
        <w:rPr>
          <w:rFonts w:cstheme="minorHAnsi"/>
          <w:noProof/>
          <w:lang w:val="en-US"/>
        </w:rPr>
        <w:t>[10]</w:t>
      </w:r>
      <w:r w:rsidR="00F96971" w:rsidRPr="004A2775">
        <w:rPr>
          <w:rFonts w:cstheme="minorHAnsi"/>
          <w:lang w:val="en-US"/>
        </w:rPr>
        <w:fldChar w:fldCharType="end"/>
      </w:r>
      <w:bookmarkEnd w:id="3"/>
      <w:r w:rsidR="00470CA3">
        <w:rPr>
          <w:rFonts w:cstheme="minorHAnsi"/>
          <w:lang w:val="en-US"/>
        </w:rPr>
        <w:t>, using computer-assisted standard occupational coding</w:t>
      </w:r>
      <w:r w:rsidR="00470CA3">
        <w:t xml:space="preserve"> </w:t>
      </w:r>
      <w:r w:rsidR="00470CA3">
        <w:rPr>
          <w:rFonts w:cstheme="minorHAnsi"/>
          <w:lang w:val="en-US"/>
        </w:rPr>
        <w:t xml:space="preserve">to generate the following occupational classes: I (Professional); II (Managerial and technical); IIINM (Skilled non-manual); </w:t>
      </w:r>
      <w:bookmarkStart w:id="5" w:name="_Hlk99362441"/>
      <w:r w:rsidR="00470CA3">
        <w:rPr>
          <w:rFonts w:cstheme="minorHAnsi"/>
          <w:lang w:val="en-US"/>
        </w:rPr>
        <w:t>IIIM (Skilled manual); IV (Partly skilled); V (Unskilled)</w:t>
      </w:r>
      <w:bookmarkEnd w:id="5"/>
      <w:r w:rsidR="00470CA3">
        <w:rPr>
          <w:rFonts w:cstheme="minorHAnsi"/>
          <w:lang w:val="en-US"/>
        </w:rPr>
        <w:t xml:space="preserve"> </w:t>
      </w:r>
      <w:r w:rsidR="00470CA3">
        <w:rPr>
          <w:rFonts w:cstheme="minorHAnsi"/>
          <w:lang w:val="en-US"/>
        </w:rPr>
        <w:fldChar w:fldCharType="begin" w:fldLock="1"/>
      </w:r>
      <w:r w:rsidR="00470CA3">
        <w:rPr>
          <w:rFonts w:cstheme="minorHAnsi"/>
          <w:lang w:val="en-US"/>
        </w:rPr>
        <w:instrText>ADDIN CSL_CITATION {"citationItems":[{"id":"ITEM-1","itemData":{"author":[{"dropping-particle":"","family":"Peter Elias,Keith Halstead","given":"Kenneth Prandy","non-dropping-particle":"","parse-names":false,"suffix":""}],"id":"ITEM-1","issued":{"date-parts":[["1993"]]},"title":"CASOC: Computer Assisted Standard Occupational Coding","type":"book"},"uris":["http://www.mendeley.com/documents/?uuid=f79fc356-34b7-42a3-9303-74bcb70087ce"]}],"mendeley":{"formattedCitation":"[11]","plainTextFormattedCitation":"[11]","previouslyFormattedCitation":"[11]"},"properties":{"noteIndex":0},"schema":"https://github.com/citation-style-language/schema/raw/master/csl-citation.json"}</w:instrText>
      </w:r>
      <w:r w:rsidR="00470CA3">
        <w:rPr>
          <w:rFonts w:cstheme="minorHAnsi"/>
          <w:lang w:val="en-US"/>
        </w:rPr>
        <w:fldChar w:fldCharType="separate"/>
      </w:r>
      <w:r w:rsidR="00470CA3" w:rsidRPr="00470CA3">
        <w:rPr>
          <w:rFonts w:cstheme="minorHAnsi"/>
          <w:noProof/>
          <w:lang w:val="en-US"/>
        </w:rPr>
        <w:t>[11]</w:t>
      </w:r>
      <w:r w:rsidR="00470CA3">
        <w:rPr>
          <w:rFonts w:cstheme="minorHAnsi"/>
          <w:lang w:val="en-US"/>
        </w:rPr>
        <w:fldChar w:fldCharType="end"/>
      </w:r>
      <w:r w:rsidR="00470CA3">
        <w:rPr>
          <w:rFonts w:cstheme="minorHAnsi"/>
          <w:lang w:val="en-US"/>
        </w:rPr>
        <w:t>. These were dichotomised as follows: ‘Non-manual’ (I, II and IIINM) and ‘Manual’ (IIIM, IV and V).</w:t>
      </w:r>
      <w:r w:rsidRPr="004A2775">
        <w:rPr>
          <w:rFonts w:cstheme="minorHAnsi"/>
          <w:lang w:val="en-US"/>
        </w:rPr>
        <w:t xml:space="preserve"> Fractures since age 45 years were self-reported. Among </w:t>
      </w:r>
      <w:r w:rsidR="002A2685" w:rsidRPr="004A2775">
        <w:rPr>
          <w:rFonts w:cstheme="minorHAnsi"/>
          <w:lang w:val="en-US"/>
        </w:rPr>
        <w:t>females</w:t>
      </w:r>
      <w:r w:rsidRPr="004A2775">
        <w:rPr>
          <w:rFonts w:cstheme="minorHAnsi"/>
          <w:lang w:val="en-US"/>
        </w:rPr>
        <w:t xml:space="preserve">, information on hormone replacement therapy (HRT) use, the age at which they had their last menstrual cycle and whether they had undergone a hysterectomy was also collected. </w:t>
      </w:r>
    </w:p>
    <w:p w14:paraId="6F4B0183" w14:textId="77777777" w:rsidR="00F211F2" w:rsidRPr="004A2775" w:rsidRDefault="00F211F2" w:rsidP="00797CED">
      <w:pPr>
        <w:pStyle w:val="Heading2"/>
        <w:jc w:val="both"/>
        <w:rPr>
          <w:rFonts w:cstheme="minorHAnsi"/>
          <w:sz w:val="22"/>
          <w:szCs w:val="22"/>
          <w:lang w:val="en-US"/>
        </w:rPr>
      </w:pPr>
      <w:r w:rsidRPr="004A2775">
        <w:rPr>
          <w:rFonts w:cstheme="minorHAnsi"/>
          <w:sz w:val="22"/>
          <w:szCs w:val="22"/>
          <w:lang w:val="en-US"/>
        </w:rPr>
        <w:t xml:space="preserve">Ascertainment of participant information in 2004-2005 </w:t>
      </w:r>
    </w:p>
    <w:p w14:paraId="559A7350" w14:textId="15C8D736" w:rsidR="00F211F2" w:rsidRPr="007431AB" w:rsidRDefault="00F211F2" w:rsidP="00797CED">
      <w:pPr>
        <w:jc w:val="both"/>
        <w:rPr>
          <w:rFonts w:cstheme="minorHAnsi"/>
          <w:lang w:val="en-US"/>
        </w:rPr>
      </w:pPr>
      <w:r w:rsidRPr="004A2775">
        <w:rPr>
          <w:rFonts w:cstheme="minorHAnsi"/>
          <w:lang w:val="en-US"/>
        </w:rPr>
        <w:t xml:space="preserve">Information on </w:t>
      </w:r>
      <w:r w:rsidR="00707AF1">
        <w:rPr>
          <w:rFonts w:cstheme="minorHAnsi"/>
          <w:lang w:val="en-US"/>
        </w:rPr>
        <w:t xml:space="preserve">fractures since baseline, </w:t>
      </w:r>
      <w:r w:rsidRPr="004A2775">
        <w:rPr>
          <w:rFonts w:cstheme="minorHAnsi"/>
          <w:lang w:val="en-US"/>
        </w:rPr>
        <w:t xml:space="preserve">whether participants had fallen since age 45 years, the number of falls in the last year, smoking status and alcohol consumption was ascertained by a nurse-administered questionnaire. </w:t>
      </w:r>
      <w:r w:rsidR="00F0071C" w:rsidRPr="004A2775">
        <w:rPr>
          <w:rFonts w:cstheme="minorHAnsi"/>
          <w:lang w:val="en-US"/>
        </w:rPr>
        <w:t>History of</w:t>
      </w:r>
      <w:r w:rsidRPr="004A2775">
        <w:rPr>
          <w:rFonts w:cstheme="minorHAnsi"/>
          <w:lang w:val="en-US"/>
        </w:rPr>
        <w:t xml:space="preserve"> fracture since age 45</w:t>
      </w:r>
      <w:r w:rsidR="00F0071C" w:rsidRPr="004A2775">
        <w:rPr>
          <w:rFonts w:cstheme="minorHAnsi"/>
          <w:lang w:val="en-US"/>
        </w:rPr>
        <w:t xml:space="preserve"> was determined from questionnaire </w:t>
      </w:r>
      <w:r w:rsidR="00C74028" w:rsidRPr="004A2775">
        <w:rPr>
          <w:rFonts w:cstheme="minorHAnsi"/>
          <w:lang w:val="en-US"/>
        </w:rPr>
        <w:t xml:space="preserve">data </w:t>
      </w:r>
      <w:r w:rsidR="00F0071C" w:rsidRPr="004A2775">
        <w:rPr>
          <w:rFonts w:cstheme="minorHAnsi"/>
          <w:lang w:val="en-US"/>
        </w:rPr>
        <w:t>here and at baseline</w:t>
      </w:r>
      <w:r w:rsidRPr="004A2775">
        <w:rPr>
          <w:rFonts w:cstheme="minorHAnsi"/>
          <w:lang w:val="en-US"/>
        </w:rPr>
        <w:t xml:space="preserve">. Among </w:t>
      </w:r>
      <w:r w:rsidR="002A2685" w:rsidRPr="004A2775">
        <w:rPr>
          <w:rFonts w:cstheme="minorHAnsi"/>
          <w:lang w:val="en-US"/>
        </w:rPr>
        <w:t>females</w:t>
      </w:r>
      <w:r w:rsidRPr="004A2775">
        <w:rPr>
          <w:rFonts w:cstheme="minorHAnsi"/>
          <w:lang w:val="en-US"/>
        </w:rPr>
        <w:t xml:space="preserve">, information on HRT use was </w:t>
      </w:r>
      <w:r w:rsidR="00F0071C" w:rsidRPr="004A2775">
        <w:rPr>
          <w:rFonts w:cstheme="minorHAnsi"/>
          <w:lang w:val="en-US"/>
        </w:rPr>
        <w:t xml:space="preserve">updated. </w:t>
      </w:r>
      <w:r w:rsidRPr="004A2775">
        <w:rPr>
          <w:rFonts w:cstheme="minorHAnsi"/>
          <w:lang w:val="en-US"/>
        </w:rPr>
        <w:t>Height was measured (Harpenden pocket stadiometer, Chasmors Ltd, London, UK) along with weight (SECA floor scale, Chasmors Ltd, London, UK) and used to derive BMI (kg/m</w:t>
      </w:r>
      <w:r w:rsidRPr="004A2775">
        <w:rPr>
          <w:rFonts w:cstheme="minorHAnsi"/>
          <w:vertAlign w:val="superscript"/>
          <w:lang w:val="en-US"/>
        </w:rPr>
        <w:t>2</w:t>
      </w:r>
      <w:r w:rsidRPr="004A2775">
        <w:rPr>
          <w:rFonts w:cstheme="minorHAnsi"/>
          <w:lang w:val="en-US"/>
        </w:rPr>
        <w:t xml:space="preserve">). Grip strength was measured three times for each hand using a Jamar dynamometer; the highest measurement was used for analysis. Customary gait speed in metres per second was calculated using a 3m walk test. Radial </w:t>
      </w:r>
      <w:r w:rsidR="00CD016A" w:rsidRPr="004A2775">
        <w:rPr>
          <w:rFonts w:cstheme="minorHAnsi"/>
          <w:lang w:val="en-US"/>
        </w:rPr>
        <w:t xml:space="preserve">and tibial </w:t>
      </w:r>
      <w:r w:rsidRPr="004A2775">
        <w:rPr>
          <w:rFonts w:cstheme="minorHAnsi"/>
          <w:lang w:val="en-US"/>
        </w:rPr>
        <w:t>(non-dominant side) p</w:t>
      </w:r>
      <w:r w:rsidR="00786859">
        <w:rPr>
          <w:rFonts w:cstheme="minorHAnsi"/>
          <w:lang w:val="en-US"/>
        </w:rPr>
        <w:t>eripheral qualitative computed tomography (p</w:t>
      </w:r>
      <w:r w:rsidRPr="004A2775">
        <w:rPr>
          <w:rFonts w:cstheme="minorHAnsi"/>
          <w:lang w:val="en-US"/>
        </w:rPr>
        <w:t>QCT</w:t>
      </w:r>
      <w:r w:rsidR="00786859">
        <w:rPr>
          <w:rFonts w:cstheme="minorHAnsi"/>
          <w:lang w:val="en-US"/>
        </w:rPr>
        <w:t>)</w:t>
      </w:r>
      <w:r w:rsidRPr="004A2775">
        <w:rPr>
          <w:rFonts w:cstheme="minorHAnsi"/>
          <w:lang w:val="en-US"/>
        </w:rPr>
        <w:t xml:space="preserve"> scans (Stratec 2000XL instrument, version 6.00) were performed; the other side was scanned if the non-dominant side had sustained a fracture. Calf muscle area was derived using default procedures, </w:t>
      </w:r>
      <w:r w:rsidR="002A2685" w:rsidRPr="004A2775">
        <w:rPr>
          <w:rFonts w:cstheme="minorHAnsi"/>
          <w:lang w:val="en-US"/>
        </w:rPr>
        <w:t>thresholds,</w:t>
      </w:r>
      <w:r w:rsidRPr="004A2775">
        <w:rPr>
          <w:rFonts w:cstheme="minorHAnsi"/>
          <w:lang w:val="en-US"/>
        </w:rPr>
        <w:t xml:space="preserve"> and edge tracking settings to segment muscle from subcutaneous fat.</w:t>
      </w:r>
      <w:r w:rsidR="00CD016A" w:rsidRPr="004A2775">
        <w:rPr>
          <w:rFonts w:cstheme="minorHAnsi"/>
          <w:lang w:val="en-US"/>
        </w:rPr>
        <w:t xml:space="preserve"> Additional details relating to the pQCT scans have been published previously</w:t>
      </w:r>
      <w:r w:rsidR="00F96971" w:rsidRPr="004A2775">
        <w:rPr>
          <w:rFonts w:cstheme="minorHAnsi"/>
          <w:lang w:val="en-US"/>
        </w:rPr>
        <w:t xml:space="preserve"> </w:t>
      </w:r>
      <w:r w:rsidR="00F96971" w:rsidRPr="007431AB">
        <w:rPr>
          <w:rFonts w:cstheme="minorHAnsi"/>
          <w:lang w:val="en-US"/>
        </w:rPr>
        <w:fldChar w:fldCharType="begin" w:fldLock="1"/>
      </w:r>
      <w:r w:rsidR="00C24D4F" w:rsidRPr="007431AB">
        <w:rPr>
          <w:rFonts w:cstheme="minorHAnsi"/>
          <w:lang w:val="en-US"/>
        </w:rPr>
        <w:instrText>ADDIN CSL_CITATION {"citationItems":[{"id":"ITEM-1","itemData":{"DOI":"10.1007/s00223-018-0442-0","ISSN":"14320827","PMID":"29931460","abstract":"There are few longitudinal data on change in bone structure and muscle mass, strength and function in later life. We report these, and consider bone–muscle interrelationships in older men and women. We studied 188 men and 166 women from the Hertfordshire Cohort Study, who underwent peripheral quantitative computed tomography (pQCT) of the radius and tibia in 2004–2005 and then again in 2011–2012. Grip strength and gait speed were also assessed at both timepoints. Percentage change per year was calculated for grip strength, gait speed, muscle cross-sectional area (mCSA), fat cross-sectional area (fCSA) and diaphyseal bone parameters [total area (Tt.Ar), cortical area (Ct.Ar), cortical density (cBMD) and trabecular density (tBMD)]. The mean (SD) age of men and women at baseline was 68.9 (2.5) and 69.2 (2.6) years, respectively. Rates of muscle area and strength loss did not differ by sex. Tt.Ar increased with age and faster in men [mean (SD) 1.78 (1.64) %/year] than women [mean (SD) 1.03 (1.69) %/year] in the radius (p &lt; 0.001). In both the radius (p = 0.006) and tibia (p &lt; 0.001), Ct.Ar reduced more rapidly in women than men. Change in Ct.Ar was associated with change in muscle area in the corresponding limb (radius; men: regression coefficient 0.36, 95% CI 0.20–0.52, p &lt; 0.001; tibia; men: regression coefficient 0.14, 95% CI 0.00–0.27, p = 0.043, women: regression coefficient 0.16, 95% CI 0.01–0.30, p = 0.032). We have demonstrated that muscle strength and function decrease faster than muscle mass and have provided further evidence that changes in bone structure with age differ by sex.","author":[{"dropping-particle":"","family":"Patel","given":"A.","non-dropping-particle":"","parse-names":false,"suffix":""},{"dropping-particle":"","family":"Edwards","given":"M. H.","non-dropping-particle":"","parse-names":false,"suffix":""},{"dropping-particle":"","family":"Jameson","given":"K. A.","non-dropping-particle":"","parse-names":false,"suffix":""},{"dropping-particle":"","family":"Ward","given":"K. A.","non-dropping-particle":"","parse-names":false,"suffix":""},{"dropping-particle":"","family":"Fuggle","given":"Nicholas","non-dropping-particle":"","parse-names":false,"suffix":""},{"dropping-particle":"","family":"Cooper","given":"C.","non-dropping-particle":"","parse-names":false,"suffix":""},{"dropping-particle":"","family":"Dennison","given":"E. M.","non-dropping-particle":"","parse-names":false,"suffix":""}],"container-title":"Calcified Tissue International","id":"ITEM-1","issue":"5","issued":{"date-parts":[["2018","11","1"]]},"page":"476-482","publisher":"Springer New York LLC","title":"Longitudinal Change in Peripheral Quantitative Computed Tomography Assessment in Older Adults: The Hertfordshire Cohort Study","type":"article-journal","volume":"103"},"uris":["http://www.mendeley.com/documents/?uuid=114efecb-07de-4807-b099-5735d31b8b0d"]}],"mendeley":{"formattedCitation":"[12]","plainTextFormattedCitation":"[12]","previouslyFormattedCitation":"[12]"},"properties":{"noteIndex":0},"schema":"https://github.com/citation-style-language/schema/raw/master/csl-citation.json"}</w:instrText>
      </w:r>
      <w:r w:rsidR="00F96971" w:rsidRPr="007431AB">
        <w:rPr>
          <w:rFonts w:cstheme="minorHAnsi"/>
          <w:lang w:val="en-US"/>
        </w:rPr>
        <w:fldChar w:fldCharType="separate"/>
      </w:r>
      <w:r w:rsidR="00C24D4F" w:rsidRPr="007431AB">
        <w:rPr>
          <w:rFonts w:cstheme="minorHAnsi"/>
          <w:noProof/>
          <w:lang w:val="en-US"/>
        </w:rPr>
        <w:t>[12]</w:t>
      </w:r>
      <w:r w:rsidR="00F96971" w:rsidRPr="007431AB">
        <w:rPr>
          <w:rFonts w:cstheme="minorHAnsi"/>
          <w:lang w:val="en-US"/>
        </w:rPr>
        <w:fldChar w:fldCharType="end"/>
      </w:r>
      <w:r w:rsidR="00CD016A" w:rsidRPr="007431AB">
        <w:rPr>
          <w:rFonts w:cstheme="minorHAnsi"/>
          <w:lang w:val="en-US"/>
        </w:rPr>
        <w:t>.</w:t>
      </w:r>
      <w:r w:rsidR="007431AB" w:rsidRPr="007431AB">
        <w:rPr>
          <w:rFonts w:eastAsia="Times New Roman"/>
        </w:rPr>
        <w:t xml:space="preserve"> At time of assessment of the muscle size, strength, and function measures in this study (2004-2005), 33 (5%) participants were taking bisphosphonates and 113 (18%) were taking medications for the endocrine system. Associations of interest were similar if binary variables for current use of bisphosphonates and medications for the endocrine system were included as additional adjustments as shown in </w:t>
      </w:r>
      <w:r w:rsidR="007431AB">
        <w:rPr>
          <w:rFonts w:eastAsia="Times New Roman"/>
        </w:rPr>
        <w:fldChar w:fldCharType="begin"/>
      </w:r>
      <w:r w:rsidR="007431AB">
        <w:rPr>
          <w:rFonts w:eastAsia="Times New Roman"/>
        </w:rPr>
        <w:instrText xml:space="preserve"> REF _Ref93920745 \h </w:instrText>
      </w:r>
      <w:r w:rsidR="007431AB">
        <w:rPr>
          <w:rFonts w:eastAsia="Times New Roman"/>
        </w:rPr>
      </w:r>
      <w:r w:rsidR="007431AB">
        <w:rPr>
          <w:rFonts w:eastAsia="Times New Roman"/>
        </w:rPr>
        <w:fldChar w:fldCharType="separate"/>
      </w:r>
      <w:r w:rsidR="007431AB">
        <w:t xml:space="preserve">Table </w:t>
      </w:r>
      <w:r w:rsidR="007431AB">
        <w:rPr>
          <w:noProof/>
        </w:rPr>
        <w:t>2</w:t>
      </w:r>
      <w:r w:rsidR="007431AB">
        <w:rPr>
          <w:rFonts w:eastAsia="Times New Roman"/>
        </w:rPr>
        <w:fldChar w:fldCharType="end"/>
      </w:r>
      <w:r w:rsidR="007431AB">
        <w:rPr>
          <w:rFonts w:eastAsia="Times New Roman"/>
        </w:rPr>
        <w:t xml:space="preserve">. </w:t>
      </w:r>
    </w:p>
    <w:p w14:paraId="675D165F" w14:textId="0D5458D7" w:rsidR="00E21C26" w:rsidRPr="004A2775" w:rsidRDefault="00E21C26" w:rsidP="00797CED">
      <w:pPr>
        <w:pStyle w:val="Heading2"/>
        <w:jc w:val="both"/>
        <w:rPr>
          <w:rFonts w:cstheme="minorHAnsi"/>
          <w:sz w:val="22"/>
          <w:szCs w:val="22"/>
          <w:lang w:val="en-US"/>
        </w:rPr>
      </w:pPr>
      <w:bookmarkStart w:id="6" w:name="_Hlk94080159"/>
      <w:bookmarkStart w:id="7" w:name="_Hlk94083176"/>
      <w:r w:rsidRPr="004A2775">
        <w:rPr>
          <w:rFonts w:cstheme="minorHAnsi"/>
          <w:sz w:val="22"/>
          <w:szCs w:val="22"/>
          <w:lang w:val="en-US"/>
        </w:rPr>
        <w:t>Statistical methods</w:t>
      </w:r>
    </w:p>
    <w:p w14:paraId="47D593A1" w14:textId="59A29887" w:rsidR="007B4335" w:rsidRPr="004A2775" w:rsidRDefault="00E21C26" w:rsidP="00797CED">
      <w:pPr>
        <w:jc w:val="both"/>
        <w:rPr>
          <w:rFonts w:cstheme="minorHAnsi"/>
          <w:lang w:val="en-US"/>
        </w:rPr>
      </w:pPr>
      <w:r w:rsidRPr="004A2775">
        <w:rPr>
          <w:rFonts w:cstheme="minorHAnsi"/>
          <w:lang w:val="en-US"/>
        </w:rPr>
        <w:t xml:space="preserve">Participant characteristics were described using summary statistics. Associations between calf muscle area, grip strength and gait speed in relation to binary outcomes were examined using logistic regression with and without adjustment for </w:t>
      </w:r>
      <w:bookmarkStart w:id="8" w:name="_Hlk94083963"/>
      <w:r w:rsidRPr="004A2775">
        <w:rPr>
          <w:rFonts w:cstheme="minorHAnsi"/>
          <w:lang w:val="en-US"/>
        </w:rPr>
        <w:t>age, BMI, social class, smoker status, alcohol consumption, physical activity, dietary calcium intake, hormone replacement therapy use (</w:t>
      </w:r>
      <w:r w:rsidR="002A2685" w:rsidRPr="004A2775">
        <w:rPr>
          <w:rFonts w:cstheme="minorHAnsi"/>
          <w:lang w:val="en-US"/>
        </w:rPr>
        <w:t>females</w:t>
      </w:r>
      <w:r w:rsidRPr="004A2775">
        <w:rPr>
          <w:rFonts w:cstheme="minorHAnsi"/>
          <w:lang w:val="en-US"/>
        </w:rPr>
        <w:t xml:space="preserve"> only) and time since menopause (</w:t>
      </w:r>
      <w:r w:rsidR="002A2685" w:rsidRPr="004A2775">
        <w:rPr>
          <w:rFonts w:cstheme="minorHAnsi"/>
          <w:lang w:val="en-US"/>
        </w:rPr>
        <w:t>females</w:t>
      </w:r>
      <w:r w:rsidRPr="004A2775">
        <w:rPr>
          <w:rFonts w:cstheme="minorHAnsi"/>
          <w:lang w:val="en-US"/>
        </w:rPr>
        <w:t xml:space="preserve"> only)</w:t>
      </w:r>
      <w:r w:rsidR="00B33239">
        <w:rPr>
          <w:rFonts w:cstheme="minorHAnsi"/>
          <w:lang w:val="en-US"/>
        </w:rPr>
        <w:t>, use of bisphosphonates and use of medications for the endocrine system</w:t>
      </w:r>
      <w:r w:rsidRPr="004A2775">
        <w:rPr>
          <w:rFonts w:cstheme="minorHAnsi"/>
          <w:lang w:val="en-US"/>
        </w:rPr>
        <w:t xml:space="preserve">. </w:t>
      </w:r>
      <w:bookmarkEnd w:id="8"/>
      <w:r w:rsidRPr="004A2775">
        <w:rPr>
          <w:rFonts w:cstheme="minorHAnsi"/>
          <w:lang w:val="en-US"/>
        </w:rPr>
        <w:t>Relationships between predictors and number of falls in the last year</w:t>
      </w:r>
      <w:r w:rsidR="007B4335" w:rsidRPr="004A2775">
        <w:rPr>
          <w:rFonts w:cstheme="minorHAnsi"/>
          <w:lang w:val="en-US"/>
        </w:rPr>
        <w:t xml:space="preserve"> (0, 1, &gt;1)</w:t>
      </w:r>
      <w:r w:rsidRPr="004A2775">
        <w:rPr>
          <w:rFonts w:cstheme="minorHAnsi"/>
          <w:lang w:val="en-US"/>
        </w:rPr>
        <w:t xml:space="preserve"> </w:t>
      </w:r>
      <w:r w:rsidR="007B4335" w:rsidRPr="004A2775">
        <w:rPr>
          <w:rFonts w:cstheme="minorHAnsi"/>
          <w:lang w:val="en-US"/>
        </w:rPr>
        <w:t>were</w:t>
      </w:r>
      <w:r w:rsidRPr="004A2775">
        <w:rPr>
          <w:rFonts w:cstheme="minorHAnsi"/>
          <w:lang w:val="en-US"/>
        </w:rPr>
        <w:t xml:space="preserve"> examined using ordinal regression with the same set of adjustments. Sex-stratified analyses were performed; p&lt;0.05 was regarded as statistically significant. Analyses were conducted using Stata, release 17.0. </w:t>
      </w:r>
      <w:bookmarkStart w:id="9" w:name="_Hlk99360064"/>
      <w:r w:rsidRPr="004A2775">
        <w:rPr>
          <w:rFonts w:cstheme="minorHAnsi"/>
          <w:lang w:val="en-US"/>
        </w:rPr>
        <w:t>The analysis sample comprised 641 participants with data on at least one predictor and at least one outcome</w:t>
      </w:r>
      <w:r w:rsidR="00470CA3">
        <w:rPr>
          <w:rFonts w:cstheme="minorHAnsi"/>
          <w:lang w:val="en-US"/>
        </w:rPr>
        <w:t>;</w:t>
      </w:r>
      <w:bookmarkEnd w:id="9"/>
      <w:r w:rsidR="00470CA3">
        <w:rPr>
          <w:rFonts w:cstheme="minorHAnsi"/>
          <w:lang w:val="en-US"/>
        </w:rPr>
        <w:t xml:space="preserve"> of the 642 participants who attended the 2004-2005 follow-up stage, one participant had missing values for grip strength, gait speed and calf muscle area so they were excluded from the analysis sample.</w:t>
      </w:r>
    </w:p>
    <w:p w14:paraId="4F864951" w14:textId="75292DF9" w:rsidR="007B4335" w:rsidRPr="004A2775" w:rsidRDefault="007B4335" w:rsidP="00797CED">
      <w:pPr>
        <w:pStyle w:val="Heading1"/>
        <w:jc w:val="both"/>
        <w:rPr>
          <w:rFonts w:cstheme="minorHAnsi"/>
          <w:szCs w:val="22"/>
          <w:lang w:val="en-US"/>
        </w:rPr>
      </w:pPr>
      <w:bookmarkStart w:id="10" w:name="_Hlk94079864"/>
      <w:bookmarkStart w:id="11" w:name="_Hlk94084240"/>
      <w:bookmarkEnd w:id="6"/>
      <w:r w:rsidRPr="004A2775">
        <w:rPr>
          <w:rFonts w:cstheme="minorHAnsi"/>
          <w:szCs w:val="22"/>
          <w:lang w:val="en-US"/>
        </w:rPr>
        <w:t>Results</w:t>
      </w:r>
    </w:p>
    <w:p w14:paraId="270E33E0" w14:textId="75CF8217" w:rsidR="00AF13BF" w:rsidRPr="004A2775" w:rsidRDefault="00AF13BF" w:rsidP="00797CED">
      <w:pPr>
        <w:pStyle w:val="Heading2"/>
        <w:jc w:val="both"/>
        <w:rPr>
          <w:rFonts w:cstheme="minorHAnsi"/>
          <w:sz w:val="22"/>
          <w:szCs w:val="22"/>
          <w:lang w:val="en-US"/>
        </w:rPr>
      </w:pPr>
      <w:r w:rsidRPr="004A2775">
        <w:rPr>
          <w:rFonts w:cstheme="minorHAnsi"/>
          <w:sz w:val="22"/>
          <w:szCs w:val="22"/>
          <w:lang w:val="en-US"/>
        </w:rPr>
        <w:t>Descriptive statistics</w:t>
      </w:r>
    </w:p>
    <w:p w14:paraId="7A504D01" w14:textId="3B07008A" w:rsidR="00AF13BF" w:rsidRPr="004A2775" w:rsidRDefault="00AF13BF" w:rsidP="00797CED">
      <w:pPr>
        <w:jc w:val="both"/>
        <w:rPr>
          <w:rFonts w:cstheme="minorHAnsi"/>
          <w:lang w:val="en-US"/>
        </w:rPr>
      </w:pPr>
      <w:bookmarkStart w:id="12" w:name="_Hlk94085508"/>
      <w:r w:rsidRPr="004C0001">
        <w:rPr>
          <w:rFonts w:cstheme="minorHAnsi"/>
          <w:lang w:val="en-US"/>
        </w:rPr>
        <w:t xml:space="preserve">Participant characteristics of the analysis sample are presented in </w:t>
      </w:r>
      <w:r w:rsidR="00E21C00" w:rsidRPr="004C0001">
        <w:rPr>
          <w:rFonts w:cstheme="minorHAnsi"/>
          <w:lang w:val="en-US"/>
        </w:rPr>
        <w:fldChar w:fldCharType="begin"/>
      </w:r>
      <w:r w:rsidR="00E21C00" w:rsidRPr="004C0001">
        <w:rPr>
          <w:rFonts w:cstheme="minorHAnsi"/>
          <w:lang w:val="en-US"/>
        </w:rPr>
        <w:instrText xml:space="preserve"> REF _Ref93920760 \h </w:instrText>
      </w:r>
      <w:r w:rsidR="00E62B45">
        <w:rPr>
          <w:rFonts w:cstheme="minorHAnsi"/>
          <w:highlight w:val="yellow"/>
          <w:lang w:val="en-US"/>
        </w:rPr>
        <w:instrText xml:space="preserve"> \* MERGEFORMAT </w:instrText>
      </w:r>
      <w:r w:rsidR="00E21C00" w:rsidRPr="004C0001">
        <w:rPr>
          <w:rFonts w:cstheme="minorHAnsi"/>
          <w:lang w:val="en-US"/>
        </w:rPr>
      </w:r>
      <w:r w:rsidR="00E21C00" w:rsidRPr="004C0001">
        <w:rPr>
          <w:rFonts w:cstheme="minorHAnsi"/>
          <w:lang w:val="en-US"/>
        </w:rPr>
        <w:fldChar w:fldCharType="separate"/>
      </w:r>
      <w:r w:rsidR="00EA251C">
        <w:t xml:space="preserve">Table </w:t>
      </w:r>
      <w:r w:rsidR="00EA251C">
        <w:rPr>
          <w:noProof/>
        </w:rPr>
        <w:t>1</w:t>
      </w:r>
      <w:r w:rsidR="00E21C00" w:rsidRPr="004C0001">
        <w:rPr>
          <w:rFonts w:cstheme="minorHAnsi"/>
          <w:lang w:val="en-US"/>
        </w:rPr>
        <w:fldChar w:fldCharType="end"/>
      </w:r>
      <w:r w:rsidRPr="004C0001">
        <w:rPr>
          <w:rFonts w:cstheme="minorHAnsi"/>
          <w:lang w:val="en-US"/>
        </w:rPr>
        <w:t xml:space="preserve">. Mean (SD) age was 69.3 (2.6) years. Calf muscle area, grip strength and gait speed were greater among </w:t>
      </w:r>
      <w:r w:rsidR="002A2685" w:rsidRPr="004C0001">
        <w:rPr>
          <w:rFonts w:cstheme="minorHAnsi"/>
          <w:lang w:val="en-US"/>
        </w:rPr>
        <w:t>males</w:t>
      </w:r>
      <w:r w:rsidRPr="004C0001">
        <w:rPr>
          <w:rFonts w:cstheme="minorHAnsi"/>
          <w:lang w:val="en-US"/>
        </w:rPr>
        <w:t xml:space="preserve"> than </w:t>
      </w:r>
      <w:r w:rsidR="002A2685" w:rsidRPr="004C0001">
        <w:rPr>
          <w:rFonts w:cstheme="minorHAnsi"/>
          <w:lang w:val="en-US"/>
        </w:rPr>
        <w:t>females</w:t>
      </w:r>
      <w:r w:rsidRPr="004C0001">
        <w:rPr>
          <w:rFonts w:cstheme="minorHAnsi"/>
          <w:lang w:val="en-US"/>
        </w:rPr>
        <w:t xml:space="preserve"> (p&lt;0.002 for all associations). Compared to </w:t>
      </w:r>
      <w:r w:rsidR="002A2685" w:rsidRPr="004C0001">
        <w:rPr>
          <w:rFonts w:cstheme="minorHAnsi"/>
          <w:lang w:val="en-US"/>
        </w:rPr>
        <w:t>males</w:t>
      </w:r>
      <w:r w:rsidRPr="004C0001">
        <w:rPr>
          <w:rFonts w:cstheme="minorHAnsi"/>
          <w:lang w:val="en-US"/>
        </w:rPr>
        <w:t xml:space="preserve">, a greater proportion of </w:t>
      </w:r>
      <w:r w:rsidR="002A2685" w:rsidRPr="004C0001">
        <w:rPr>
          <w:rFonts w:cstheme="minorHAnsi"/>
          <w:lang w:val="en-US"/>
        </w:rPr>
        <w:t>females</w:t>
      </w:r>
      <w:r w:rsidRPr="004C0001">
        <w:rPr>
          <w:rFonts w:cstheme="minorHAnsi"/>
          <w:lang w:val="en-US"/>
        </w:rPr>
        <w:t xml:space="preserve"> </w:t>
      </w:r>
      <w:r w:rsidR="00DF5753" w:rsidRPr="004C0001">
        <w:rPr>
          <w:rFonts w:cstheme="minorHAnsi"/>
          <w:lang w:val="en-US"/>
        </w:rPr>
        <w:t>had</w:t>
      </w:r>
      <w:r w:rsidRPr="004C0001">
        <w:rPr>
          <w:rFonts w:cstheme="minorHAnsi"/>
          <w:lang w:val="en-US"/>
        </w:rPr>
        <w:t xml:space="preserve"> fallen since age 45 years (61.3% vs 40.2%, p&lt;0.001); fallen in the last year (19.9% vs 14.1%, p=0.053); and had a previous fracture since age 45 years (21.8% vs 18.5%, p=0.302). However, these latter two sex-differences were not statistically significant.</w:t>
      </w:r>
      <w:r w:rsidRPr="004A2775" w:rsidDel="00AF13BF">
        <w:rPr>
          <w:rFonts w:cstheme="minorHAnsi"/>
          <w:lang w:val="en-US"/>
        </w:rPr>
        <w:t xml:space="preserve"> </w:t>
      </w:r>
    </w:p>
    <w:bookmarkEnd w:id="12"/>
    <w:p w14:paraId="24DD8F54" w14:textId="3C1C0B9D" w:rsidR="00E21C26" w:rsidRPr="004A2775" w:rsidRDefault="00E21C26" w:rsidP="00797CED">
      <w:pPr>
        <w:pStyle w:val="Heading2"/>
        <w:jc w:val="both"/>
        <w:rPr>
          <w:rFonts w:cstheme="minorHAnsi"/>
          <w:sz w:val="22"/>
          <w:szCs w:val="22"/>
          <w:lang w:val="en-US"/>
        </w:rPr>
      </w:pPr>
      <w:r w:rsidRPr="004A2775">
        <w:rPr>
          <w:rFonts w:cstheme="minorHAnsi"/>
          <w:sz w:val="22"/>
          <w:szCs w:val="22"/>
        </w:rPr>
        <w:t xml:space="preserve">Relationships between muscle size, </w:t>
      </w:r>
      <w:r w:rsidR="00E56126" w:rsidRPr="004A2775">
        <w:rPr>
          <w:rFonts w:cstheme="minorHAnsi"/>
          <w:sz w:val="22"/>
          <w:szCs w:val="22"/>
        </w:rPr>
        <w:t>strength,</w:t>
      </w:r>
      <w:r w:rsidRPr="004A2775">
        <w:rPr>
          <w:rFonts w:cstheme="minorHAnsi"/>
          <w:sz w:val="22"/>
          <w:szCs w:val="22"/>
        </w:rPr>
        <w:t xml:space="preserve"> and function in relation to </w:t>
      </w:r>
      <w:r w:rsidR="007B4335" w:rsidRPr="004A2775">
        <w:rPr>
          <w:rFonts w:cstheme="minorHAnsi"/>
          <w:sz w:val="22"/>
          <w:szCs w:val="22"/>
        </w:rPr>
        <w:t>falls and fractures</w:t>
      </w:r>
      <w:r w:rsidRPr="004A2775">
        <w:rPr>
          <w:rFonts w:cstheme="minorHAnsi"/>
          <w:sz w:val="22"/>
          <w:szCs w:val="22"/>
        </w:rPr>
        <w:t xml:space="preserve"> </w:t>
      </w:r>
    </w:p>
    <w:p w14:paraId="528293FD" w14:textId="0FA2214B" w:rsidR="00BB6D3E" w:rsidRPr="004A2775" w:rsidRDefault="00E21C26" w:rsidP="00797CED">
      <w:pPr>
        <w:jc w:val="both"/>
        <w:rPr>
          <w:rFonts w:cstheme="minorHAnsi"/>
          <w:lang w:val="en-US"/>
        </w:rPr>
      </w:pPr>
      <w:bookmarkStart w:id="13" w:name="_Hlk94085722"/>
      <w:r w:rsidRPr="004A2775">
        <w:rPr>
          <w:rFonts w:cstheme="minorHAnsi"/>
          <w:lang w:val="en-US"/>
        </w:rPr>
        <w:t>Associations between predictors (calf muscle area, grip strength, gait speed) and outcomes (fallen since age 45, fallen in last year, number of falls in last year, fracture since age 45) are presented in</w:t>
      </w:r>
      <w:r w:rsidR="00E21C00">
        <w:rPr>
          <w:rFonts w:cstheme="minorHAnsi"/>
          <w:lang w:val="en-US"/>
        </w:rPr>
        <w:t xml:space="preserve"> </w:t>
      </w:r>
      <w:r w:rsidR="00E21C00">
        <w:rPr>
          <w:rFonts w:cstheme="minorHAnsi"/>
          <w:lang w:val="en-US"/>
        </w:rPr>
        <w:fldChar w:fldCharType="begin"/>
      </w:r>
      <w:r w:rsidR="00E21C00">
        <w:rPr>
          <w:rFonts w:cstheme="minorHAnsi"/>
          <w:lang w:val="en-US"/>
        </w:rPr>
        <w:instrText xml:space="preserve"> REF _Ref93920745 \h </w:instrText>
      </w:r>
      <w:r w:rsidR="00E21C00">
        <w:rPr>
          <w:rFonts w:cstheme="minorHAnsi"/>
          <w:lang w:val="en-US"/>
        </w:rPr>
      </w:r>
      <w:r w:rsidR="00E21C00">
        <w:rPr>
          <w:rFonts w:cstheme="minorHAnsi"/>
          <w:lang w:val="en-US"/>
        </w:rPr>
        <w:fldChar w:fldCharType="separate"/>
      </w:r>
      <w:r w:rsidR="00EA251C">
        <w:t xml:space="preserve">Table </w:t>
      </w:r>
      <w:r w:rsidR="00EA251C">
        <w:rPr>
          <w:noProof/>
        </w:rPr>
        <w:t>2</w:t>
      </w:r>
      <w:r w:rsidR="00E21C00">
        <w:rPr>
          <w:rFonts w:cstheme="minorHAnsi"/>
          <w:lang w:val="en-US"/>
        </w:rPr>
        <w:fldChar w:fldCharType="end"/>
      </w:r>
      <w:r w:rsidRPr="004A2775">
        <w:rPr>
          <w:rFonts w:cstheme="minorHAnsi"/>
          <w:lang w:val="en-US"/>
        </w:rPr>
        <w:t xml:space="preserve">. Among </w:t>
      </w:r>
      <w:r w:rsidR="00A723DD" w:rsidRPr="004A2775">
        <w:rPr>
          <w:rFonts w:cstheme="minorHAnsi"/>
          <w:lang w:val="en-US"/>
        </w:rPr>
        <w:t>females</w:t>
      </w:r>
      <w:r w:rsidR="003E7EF8">
        <w:rPr>
          <w:rFonts w:cstheme="minorHAnsi"/>
          <w:lang w:val="en-US"/>
        </w:rPr>
        <w:t>,</w:t>
      </w:r>
      <w:r w:rsidRPr="004A2775">
        <w:rPr>
          <w:rFonts w:cstheme="minorHAnsi"/>
          <w:lang w:val="en-US"/>
        </w:rPr>
        <w:t xml:space="preserve"> greater calf muscle area was related to reduced risk of falling in the previous year and fewer falls in the previous year </w:t>
      </w:r>
      <w:r w:rsidR="00786859" w:rsidRPr="004A2775">
        <w:rPr>
          <w:rFonts w:cstheme="minorHAnsi"/>
          <w:lang w:val="en-US"/>
        </w:rPr>
        <w:t xml:space="preserve">(p&lt;0.05) </w:t>
      </w:r>
      <w:r w:rsidRPr="004A2775">
        <w:rPr>
          <w:rFonts w:cstheme="minorHAnsi"/>
          <w:lang w:val="en-US"/>
        </w:rPr>
        <w:t xml:space="preserve">but only in </w:t>
      </w:r>
      <w:r w:rsidR="00DF533B" w:rsidRPr="004A2775">
        <w:rPr>
          <w:rFonts w:cstheme="minorHAnsi"/>
          <w:lang w:val="en-US"/>
        </w:rPr>
        <w:t>fully adjusted</w:t>
      </w:r>
      <w:r w:rsidRPr="004A2775">
        <w:rPr>
          <w:rFonts w:cstheme="minorHAnsi"/>
          <w:lang w:val="en-US"/>
        </w:rPr>
        <w:t xml:space="preserve"> analysis; higher grip strength was related to lower risk of falls since </w:t>
      </w:r>
      <w:r w:rsidR="0097107B">
        <w:rPr>
          <w:rFonts w:cstheme="minorHAnsi"/>
          <w:lang w:val="en-US"/>
        </w:rPr>
        <w:t xml:space="preserve">age </w:t>
      </w:r>
      <w:r w:rsidRPr="004A2775">
        <w:rPr>
          <w:rFonts w:cstheme="minorHAnsi"/>
          <w:lang w:val="en-US"/>
        </w:rPr>
        <w:t xml:space="preserve">45 in unadjusted analysis only </w:t>
      </w:r>
      <w:r w:rsidR="00786859">
        <w:rPr>
          <w:rFonts w:cstheme="minorHAnsi"/>
          <w:lang w:val="en-US"/>
        </w:rPr>
        <w:t>(</w:t>
      </w:r>
      <w:r w:rsidR="00470CA3">
        <w:rPr>
          <w:rFonts w:cstheme="minorHAnsi"/>
          <w:lang w:val="en-US"/>
        </w:rPr>
        <w:t xml:space="preserve">odds ratio per SD greater grip strength: </w:t>
      </w:r>
      <w:r w:rsidR="00786859" w:rsidRPr="00786859">
        <w:rPr>
          <w:rFonts w:cstheme="minorHAnsi"/>
          <w:lang w:val="en-US"/>
        </w:rPr>
        <w:t>0.79 (0.63, 0.99)</w:t>
      </w:r>
      <w:r w:rsidR="00786859">
        <w:rPr>
          <w:rFonts w:cstheme="minorHAnsi"/>
          <w:lang w:val="en-US"/>
        </w:rPr>
        <w:t>, p=</w:t>
      </w:r>
      <w:r w:rsidR="00786859" w:rsidRPr="00786859">
        <w:rPr>
          <w:rFonts w:cstheme="minorHAnsi"/>
          <w:lang w:val="en-US"/>
        </w:rPr>
        <w:t>0.045</w:t>
      </w:r>
      <w:r w:rsidR="00786859">
        <w:rPr>
          <w:rFonts w:cstheme="minorHAnsi"/>
          <w:lang w:val="en-US"/>
        </w:rPr>
        <w:t xml:space="preserve">) </w:t>
      </w:r>
      <w:r w:rsidRPr="004A2775">
        <w:rPr>
          <w:rFonts w:cstheme="minorHAnsi"/>
          <w:lang w:val="en-US"/>
        </w:rPr>
        <w:t xml:space="preserve">and lower risk of fracture since </w:t>
      </w:r>
      <w:r w:rsidR="0097107B">
        <w:rPr>
          <w:rFonts w:cstheme="minorHAnsi"/>
          <w:lang w:val="en-US"/>
        </w:rPr>
        <w:t xml:space="preserve">age </w:t>
      </w:r>
      <w:r w:rsidRPr="004A2775">
        <w:rPr>
          <w:rFonts w:cstheme="minorHAnsi"/>
          <w:lang w:val="en-US"/>
        </w:rPr>
        <w:t xml:space="preserve">45 in both unadjusted </w:t>
      </w:r>
      <w:r w:rsidR="00786859">
        <w:rPr>
          <w:rFonts w:cstheme="minorHAnsi"/>
          <w:lang w:val="en-US"/>
        </w:rPr>
        <w:t>(</w:t>
      </w:r>
      <w:r w:rsidR="00786859" w:rsidRPr="00786859">
        <w:rPr>
          <w:rFonts w:cstheme="minorHAnsi"/>
          <w:lang w:val="en-US"/>
        </w:rPr>
        <w:t>0.74 (0.56, 0.97)</w:t>
      </w:r>
      <w:r w:rsidR="00786859">
        <w:rPr>
          <w:rFonts w:cstheme="minorHAnsi"/>
          <w:lang w:val="en-US"/>
        </w:rPr>
        <w:t>, p=</w:t>
      </w:r>
      <w:r w:rsidR="00786859" w:rsidRPr="00786859">
        <w:rPr>
          <w:rFonts w:cstheme="minorHAnsi"/>
          <w:lang w:val="en-US"/>
        </w:rPr>
        <w:t>0.030</w:t>
      </w:r>
      <w:r w:rsidR="00786859">
        <w:rPr>
          <w:rFonts w:cstheme="minorHAnsi"/>
          <w:lang w:val="en-US"/>
        </w:rPr>
        <w:t xml:space="preserve">) </w:t>
      </w:r>
      <w:r w:rsidRPr="004A2775">
        <w:rPr>
          <w:rFonts w:cstheme="minorHAnsi"/>
          <w:lang w:val="en-US"/>
        </w:rPr>
        <w:t xml:space="preserve">and </w:t>
      </w:r>
      <w:r w:rsidR="00804E93" w:rsidRPr="004A2775">
        <w:rPr>
          <w:rFonts w:cstheme="minorHAnsi"/>
          <w:lang w:val="en-US"/>
        </w:rPr>
        <w:t>fully adjusted</w:t>
      </w:r>
      <w:r w:rsidRPr="004A2775">
        <w:rPr>
          <w:rFonts w:cstheme="minorHAnsi"/>
          <w:lang w:val="en-US"/>
        </w:rPr>
        <w:t xml:space="preserve"> analysis</w:t>
      </w:r>
      <w:r w:rsidR="00786859">
        <w:rPr>
          <w:rFonts w:cstheme="minorHAnsi"/>
          <w:lang w:val="en-US"/>
        </w:rPr>
        <w:t xml:space="preserve"> (</w:t>
      </w:r>
      <w:r w:rsidR="00786859" w:rsidRPr="00786859">
        <w:rPr>
          <w:rFonts w:cstheme="minorHAnsi"/>
          <w:lang w:val="en-US"/>
        </w:rPr>
        <w:t>0.74 (0.56, 0.99)</w:t>
      </w:r>
      <w:r w:rsidR="00786859">
        <w:rPr>
          <w:rFonts w:cstheme="minorHAnsi"/>
          <w:lang w:val="en-US"/>
        </w:rPr>
        <w:t>, p=</w:t>
      </w:r>
      <w:r w:rsidR="00786859" w:rsidRPr="00786859">
        <w:rPr>
          <w:rFonts w:cstheme="minorHAnsi"/>
          <w:lang w:val="en-US"/>
        </w:rPr>
        <w:t>0.044</w:t>
      </w:r>
      <w:r w:rsidR="00786859">
        <w:rPr>
          <w:rFonts w:cstheme="minorHAnsi"/>
          <w:lang w:val="en-US"/>
        </w:rPr>
        <w:t>)</w:t>
      </w:r>
      <w:r w:rsidRPr="004A2775">
        <w:rPr>
          <w:rFonts w:cstheme="minorHAnsi"/>
          <w:lang w:val="en-US"/>
        </w:rPr>
        <w:t xml:space="preserve">. No statistically significant associations were observed for gait speed among </w:t>
      </w:r>
      <w:r w:rsidR="00A723DD" w:rsidRPr="004A2775">
        <w:rPr>
          <w:rFonts w:cstheme="minorHAnsi"/>
          <w:lang w:val="en-US"/>
        </w:rPr>
        <w:t>females</w:t>
      </w:r>
      <w:r w:rsidRPr="004A2775">
        <w:rPr>
          <w:rFonts w:cstheme="minorHAnsi"/>
          <w:lang w:val="en-US"/>
        </w:rPr>
        <w:t xml:space="preserve">, or among </w:t>
      </w:r>
      <w:r w:rsidR="00A723DD" w:rsidRPr="004A2775">
        <w:rPr>
          <w:rFonts w:cstheme="minorHAnsi"/>
          <w:lang w:val="en-US"/>
        </w:rPr>
        <w:t>males</w:t>
      </w:r>
      <w:r w:rsidRPr="004A2775">
        <w:rPr>
          <w:rFonts w:cstheme="minorHAnsi"/>
          <w:lang w:val="en-US"/>
        </w:rPr>
        <w:t xml:space="preserve"> for any of the predictors in relation to any of the outcomes.</w:t>
      </w:r>
    </w:p>
    <w:bookmarkEnd w:id="13"/>
    <w:p w14:paraId="6489F789" w14:textId="05CDC12C" w:rsidR="00BB6D3E" w:rsidRPr="004A2775" w:rsidRDefault="00BB6D3E" w:rsidP="00797CED">
      <w:pPr>
        <w:pStyle w:val="Heading1"/>
        <w:jc w:val="both"/>
        <w:rPr>
          <w:rFonts w:cstheme="minorHAnsi"/>
          <w:szCs w:val="22"/>
          <w:lang w:val="en-US"/>
        </w:rPr>
      </w:pPr>
      <w:r w:rsidRPr="004A2775">
        <w:rPr>
          <w:rFonts w:cstheme="minorHAnsi"/>
          <w:szCs w:val="22"/>
          <w:lang w:val="en-US"/>
        </w:rPr>
        <w:t>Discussion</w:t>
      </w:r>
    </w:p>
    <w:p w14:paraId="61B20B2D" w14:textId="1AAA66C8" w:rsidR="00C24D4F" w:rsidRDefault="00C24D4F" w:rsidP="00797CED">
      <w:pPr>
        <w:jc w:val="both"/>
        <w:rPr>
          <w:rFonts w:cstheme="minorHAnsi"/>
          <w:shd w:val="clear" w:color="auto" w:fill="FFFFFF"/>
        </w:rPr>
      </w:pPr>
      <w:r>
        <w:rPr>
          <w:rFonts w:cstheme="minorHAnsi"/>
          <w:lang w:val="en-US"/>
        </w:rPr>
        <w:t>In this study</w:t>
      </w:r>
      <w:r w:rsidR="005F43FF" w:rsidRPr="004A2775">
        <w:rPr>
          <w:rFonts w:cstheme="minorHAnsi"/>
          <w:lang w:val="en-US"/>
        </w:rPr>
        <w:t xml:space="preserve">, </w:t>
      </w:r>
      <w:r w:rsidR="00581ADE" w:rsidRPr="004A2775">
        <w:rPr>
          <w:rFonts w:cstheme="minorHAnsi"/>
          <w:lang w:val="en-US"/>
        </w:rPr>
        <w:t>higher grip strength was related to lower risk of</w:t>
      </w:r>
      <w:r w:rsidR="00B95347" w:rsidRPr="004A2775">
        <w:rPr>
          <w:rFonts w:cstheme="minorHAnsi"/>
          <w:lang w:val="en-US"/>
        </w:rPr>
        <w:t xml:space="preserve"> falls </w:t>
      </w:r>
      <w:r w:rsidR="00E6121C" w:rsidRPr="004A2775">
        <w:rPr>
          <w:rFonts w:cstheme="minorHAnsi"/>
          <w:lang w:val="en-US"/>
        </w:rPr>
        <w:t xml:space="preserve">and fractures </w:t>
      </w:r>
      <w:r w:rsidR="00B95347" w:rsidRPr="004A2775">
        <w:rPr>
          <w:rFonts w:cstheme="minorHAnsi"/>
          <w:lang w:val="en-US"/>
        </w:rPr>
        <w:t>since age 45</w:t>
      </w:r>
      <w:r w:rsidR="00DF5FA8" w:rsidRPr="004A2775">
        <w:rPr>
          <w:rFonts w:cstheme="minorHAnsi"/>
          <w:lang w:val="en-US"/>
        </w:rPr>
        <w:t xml:space="preserve"> </w:t>
      </w:r>
      <w:r w:rsidR="006576B8">
        <w:rPr>
          <w:rFonts w:cstheme="minorHAnsi"/>
          <w:lang w:val="en-US"/>
        </w:rPr>
        <w:t xml:space="preserve">years </w:t>
      </w:r>
      <w:r w:rsidR="00E6121C" w:rsidRPr="004A2775">
        <w:rPr>
          <w:rFonts w:cstheme="minorHAnsi"/>
          <w:lang w:val="en-US"/>
        </w:rPr>
        <w:t xml:space="preserve">and </w:t>
      </w:r>
      <w:r w:rsidR="00785C00" w:rsidRPr="004A2775">
        <w:rPr>
          <w:rFonts w:cstheme="minorHAnsi"/>
          <w:lang w:val="en-US"/>
        </w:rPr>
        <w:t xml:space="preserve">greater muscle size was associated with </w:t>
      </w:r>
      <w:r w:rsidR="006576B8">
        <w:rPr>
          <w:rFonts w:cstheme="minorHAnsi"/>
          <w:lang w:val="en-US"/>
        </w:rPr>
        <w:t xml:space="preserve">both </w:t>
      </w:r>
      <w:r w:rsidR="00785C00" w:rsidRPr="004A2775">
        <w:rPr>
          <w:rFonts w:cstheme="minorHAnsi"/>
          <w:lang w:val="en-US"/>
        </w:rPr>
        <w:t>reduced risk of falling</w:t>
      </w:r>
      <w:r w:rsidR="004F3943" w:rsidRPr="004A2775">
        <w:rPr>
          <w:rFonts w:cstheme="minorHAnsi"/>
          <w:lang w:val="en-US"/>
        </w:rPr>
        <w:t xml:space="preserve"> and </w:t>
      </w:r>
      <w:r w:rsidR="006576B8">
        <w:rPr>
          <w:rFonts w:cstheme="minorHAnsi"/>
          <w:lang w:val="en-US"/>
        </w:rPr>
        <w:t>fewer</w:t>
      </w:r>
      <w:r w:rsidR="004F3943" w:rsidRPr="004A2775">
        <w:rPr>
          <w:rFonts w:cstheme="minorHAnsi"/>
          <w:lang w:val="en-US"/>
        </w:rPr>
        <w:t xml:space="preserve"> falls</w:t>
      </w:r>
      <w:r w:rsidR="006576B8">
        <w:rPr>
          <w:rFonts w:cstheme="minorHAnsi"/>
          <w:lang w:val="en-US"/>
        </w:rPr>
        <w:t xml:space="preserve"> in the previous year</w:t>
      </w:r>
      <w:r w:rsidR="00553C92" w:rsidRPr="004A2775">
        <w:rPr>
          <w:rFonts w:cstheme="minorHAnsi"/>
          <w:lang w:val="en-US"/>
        </w:rPr>
        <w:t>. The association</w:t>
      </w:r>
      <w:r w:rsidR="006869D4" w:rsidRPr="004A2775">
        <w:rPr>
          <w:rFonts w:cstheme="minorHAnsi"/>
          <w:lang w:val="en-US"/>
        </w:rPr>
        <w:t xml:space="preserve"> between m</w:t>
      </w:r>
      <w:r w:rsidR="0066774A" w:rsidRPr="004A2775">
        <w:rPr>
          <w:rFonts w:cstheme="minorHAnsi"/>
          <w:lang w:val="en-US"/>
        </w:rPr>
        <w:t>uscle strength and risk of fractures</w:t>
      </w:r>
      <w:r w:rsidR="00553C92" w:rsidRPr="004A2775">
        <w:rPr>
          <w:rFonts w:cstheme="minorHAnsi"/>
          <w:lang w:val="en-US"/>
        </w:rPr>
        <w:t xml:space="preserve"> remained </w:t>
      </w:r>
      <w:r w:rsidR="00094267" w:rsidRPr="004A2775">
        <w:rPr>
          <w:rFonts w:cstheme="minorHAnsi"/>
          <w:lang w:val="en-US"/>
        </w:rPr>
        <w:t>robust</w:t>
      </w:r>
      <w:r w:rsidR="00553C92" w:rsidRPr="004A2775">
        <w:rPr>
          <w:rFonts w:cstheme="minorHAnsi"/>
          <w:lang w:val="en-US"/>
        </w:rPr>
        <w:t xml:space="preserve"> after </w:t>
      </w:r>
      <w:r w:rsidR="006869D4" w:rsidRPr="004A2775">
        <w:rPr>
          <w:rFonts w:cstheme="minorHAnsi"/>
          <w:lang w:val="en-US"/>
        </w:rPr>
        <w:t>adjustments</w:t>
      </w:r>
      <w:r w:rsidR="00FC1817" w:rsidRPr="004A2775">
        <w:rPr>
          <w:rFonts w:cstheme="minorHAnsi"/>
          <w:lang w:val="en-US"/>
        </w:rPr>
        <w:t xml:space="preserve">. </w:t>
      </w:r>
      <w:r w:rsidR="00425058" w:rsidRPr="004A2775">
        <w:rPr>
          <w:rFonts w:cstheme="minorHAnsi"/>
          <w:lang w:val="en-US"/>
        </w:rPr>
        <w:t xml:space="preserve">Conversely, </w:t>
      </w:r>
      <w:r w:rsidR="002056B5" w:rsidRPr="004A2775">
        <w:rPr>
          <w:rFonts w:cstheme="minorHAnsi"/>
          <w:lang w:val="en-US"/>
        </w:rPr>
        <w:t xml:space="preserve">associations </w:t>
      </w:r>
      <w:r w:rsidR="006576B8">
        <w:rPr>
          <w:rFonts w:cstheme="minorHAnsi"/>
          <w:lang w:val="en-US"/>
        </w:rPr>
        <w:t>regarding</w:t>
      </w:r>
      <w:r w:rsidR="006576B8" w:rsidRPr="004A2775">
        <w:rPr>
          <w:rFonts w:cstheme="minorHAnsi"/>
          <w:lang w:val="en-US"/>
        </w:rPr>
        <w:t xml:space="preserve"> </w:t>
      </w:r>
      <w:r w:rsidR="002056B5" w:rsidRPr="004A2775">
        <w:rPr>
          <w:rFonts w:cstheme="minorHAnsi"/>
          <w:lang w:val="en-US"/>
        </w:rPr>
        <w:t xml:space="preserve">muscle size </w:t>
      </w:r>
      <w:r w:rsidR="000E662D" w:rsidRPr="004A2775">
        <w:rPr>
          <w:rFonts w:cstheme="minorHAnsi"/>
          <w:lang w:val="en-US"/>
        </w:rPr>
        <w:t>were</w:t>
      </w:r>
      <w:r w:rsidR="00CA5E87" w:rsidRPr="004A2775">
        <w:rPr>
          <w:rFonts w:cstheme="minorHAnsi"/>
          <w:lang w:val="en-US"/>
        </w:rPr>
        <w:t xml:space="preserve"> only significant in adjusted models</w:t>
      </w:r>
      <w:r w:rsidR="00686833" w:rsidRPr="004A2775">
        <w:rPr>
          <w:rFonts w:cstheme="minorHAnsi"/>
          <w:lang w:val="en-US"/>
        </w:rPr>
        <w:t xml:space="preserve">. </w:t>
      </w:r>
      <w:r w:rsidR="00D10020" w:rsidRPr="004A2775">
        <w:rPr>
          <w:rFonts w:cstheme="minorHAnsi"/>
          <w:lang w:val="en-US"/>
        </w:rPr>
        <w:t xml:space="preserve">Our findings support previous evidence that muscle strength is a key characteristic in detecting older adults at risk of adverse outcomes </w:t>
      </w:r>
      <w:r w:rsidR="0040692C" w:rsidRPr="004A2775">
        <w:rPr>
          <w:rFonts w:cstheme="minorHAnsi"/>
          <w:lang w:val="en-US"/>
        </w:rPr>
        <w:t>including</w:t>
      </w:r>
      <w:r w:rsidR="00D10020" w:rsidRPr="004A2775">
        <w:rPr>
          <w:rFonts w:cstheme="minorHAnsi"/>
          <w:lang w:val="en-US"/>
        </w:rPr>
        <w:t xml:space="preserve"> falls and </w:t>
      </w:r>
      <w:r w:rsidR="00D10020" w:rsidRPr="00952462">
        <w:rPr>
          <w:rFonts w:cstheme="minorHAnsi"/>
          <w:lang w:val="en-US"/>
        </w:rPr>
        <w:t>fractures</w:t>
      </w:r>
      <w:r w:rsidR="0040692C" w:rsidRPr="00952462">
        <w:rPr>
          <w:rFonts w:cstheme="minorHAnsi"/>
          <w:lang w:val="en-US"/>
        </w:rPr>
        <w:t xml:space="preserve"> </w:t>
      </w:r>
      <w:r w:rsidR="00D10020" w:rsidRPr="00952462">
        <w:rPr>
          <w:rFonts w:cstheme="minorHAnsi"/>
          <w:lang w:val="en-US"/>
        </w:rPr>
        <w:fldChar w:fldCharType="begin" w:fldLock="1"/>
      </w:r>
      <w:r>
        <w:rPr>
          <w:rFonts w:cstheme="minorHAnsi"/>
          <w:lang w:val="en-US"/>
        </w:rPr>
        <w:instrText>ADDIN CSL_CITATION {"citationItems":[{"id":"ITEM-1","itemData":{"DOI":"10.1093/ageing/afy169","ISSN":"14682834","PMID":"30312372","abstract":"Background in 2010, the European Working Group on Sarcopenia in Older People (EWGSOP) published a sarcopenia definition that aimed to foster advances in identifying and caring for people with sarcopenia. In early 2018, the Working Group met again (EWGSOP2) to update the original definition in order to reflect scientific and clinical evidence that has built over the last decade. This paper presents our updated findings. Objectives to increase consistency of research design, clinical diagnoses and ultimately, care for people with sarcopenia. Recommendations sarcopenia is a muscle disease (muscle failure) rooted in adverse muscle changes that accrue across a lifetime; sarcopenia is common among adults of older age but can also occur earlier in life. In this updated consensus paper on sarcopenia, EWGSOP2: (1) focuses on low muscle strength as a key characteristic of sarcopenia, uses detection of low muscle quantity and quality to confirm the sarcopenia diagnosis, and identifies poor physical performance as indicative of severe sarcopenia; (2) updates the clinical algorithm that can be used for sarcopenia case-finding, diagnosis and confirmation, and severity determination and (3) provides clear cut-off points for measurements of variables that identify and characterise sarcopenia. Conclusions EWGSOP2's updated recommendations aim to increase awareness of sarcopenia and its risk. With these new recommendations, EWGSOP2 calls for healthcare professionals who treat patients at risk for sarcopenia to take actions that will promote early detection and treatment. We also encourage more research in the field of sarcopenia in order to prevent or delay adverse health outcomes that incur a heavy burden for patients and healthcare systems.","author":[{"dropping-particle":"","family":"Cruz-Jentoft","given":"Alfonso J.","non-dropping-particle":"","parse-names":false,"suffix":""},{"dropping-particle":"","family":"Bahat","given":"Gülistan","non-dropping-particle":"","parse-names":false,"suffix":""},{"dropping-particle":"","family":"Bauer","given":"Jürgen","non-dropping-particle":"","parse-names":false,"suffix":""},{"dropping-particle":"","family":"Boirie","given":"Yves","non-dropping-particle":"","parse-names":false,"suffix":""},{"dropping-particle":"","family":"Bruyère","given":"Olivier","non-dropping-particle":"","parse-names":false,"suffix":""},{"dropping-particle":"","family":"Cederholm","given":"Tommy","non-dropping-particle":"","parse-names":false,"suffix":""},{"dropping-particle":"","family":"Cooper","given":"Cyrus","non-dropping-particle":"","parse-names":false,"suffix":""},{"dropping-particle":"","family":"Landi","given":"Francesco","non-dropping-particle":"","parse-names":false,"suffix":""},{"dropping-particle":"","family":"Rolland","given":"Yves","non-dropping-particle":"","parse-names":false,"suffix":""},{"dropping-particle":"","family":"Sayer","given":"Avan Aihie","non-dropping-particle":"","parse-names":false,"suffix":""},{"dropping-particle":"","family":"Schneider","given":"Stéphane M.","non-dropping-particle":"","parse-names":false,"suffix":""},{"dropping-particle":"","family":"Sieber","given":"Cornel C.","non-dropping-particle":"","parse-names":false,"suffix":""},{"dropping-particle":"","family":"Topinkova","given":"Eva","non-dropping-particle":"","parse-names":false,"suffix":""},{"dropping-particle":"","family":"Vandewoude","given":"Maurits","non-dropping-particle":"","parse-names":false,"suffix":""},{"dropping-particle":"","family":"Visser","given":"Marjolein","non-dropping-particle":"","parse-names":false,"suffix":""},{"dropping-particle":"","family":"Zamboni","given":"Mauro","non-dropping-particle":"","parse-names":false,"suffix":""},{"dropping-particle":"","family":"Bautmans","given":"Ivan","non-dropping-particle":"","parse-names":false,"suffix":""},{"dropping-particle":"","family":"Baeyens","given":"Jean Pierre","non-dropping-particle":"","parse-names":false,"suffix":""},{"dropping-particle":"","family":"Cesari","given":"Matteo","non-dropping-particle":"","parse-names":false,"suffix":""},{"dropping-particle":"","family":"Cherubini","given":"Antonio","non-dropping-particle":"","parse-names":false,"suffix":""},{"dropping-particle":"","family":"Kanis","given":"John","non-dropping-particle":"","parse-names":false,"suffix":""},{"dropping-particle":"","family":"Maggio","given":"Marcello","non-dropping-particle":"","parse-names":false,"suffix":""},{"dropping-particle":"","family":"Martin","given":"Finbarr","non-dropping-particle":"","parse-names":false,"suffix":""},{"dropping-particle":"","family":"Michel","given":"Jean Pierre","non-dropping-particle":"","parse-names":false,"suffix":""},{"dropping-particle":"","family":"Pitkala","given":"Kaisu","non-dropping-particle":"","parse-names":false,"suffix":""},{"dropping-particle":"","family":"Reginster","given":"Jean Yves","non-dropping-particle":"","parse-names":false,"suffix":""},{"dropping-particle":"","family":"Rizzoli","given":"René","non-dropping-particle":"","parse-names":false,"suffix":""},{"dropping-particle":"","family":"Sánchez-Rodríguez","given":"Dolores","non-dropping-particle":"","parse-names":false,"suffix":""},{"dropping-particle":"","family":"Schols","given":"Jos","non-dropping-particle":"","parse-names":false,"suffix":""}],"container-title":"Age and Ageing","id":"ITEM-1","issue":"1","issued":{"date-parts":[["2019","1","1"]]},"page":"16-31","publisher":"Oxford University Press","title":"Sarcopenia: Revised European consensus on definition and diagnosis","type":"article-journal","volume":"48"},"uris":["http://www.mendeley.com/documents/?uuid=3dfcd8ad-f877-3147-98c9-b07664c15a64"]}],"mendeley":{"formattedCitation":"[6]","plainTextFormattedCitation":"[6]","previouslyFormattedCitation":"[6]"},"properties":{"noteIndex":0},"schema":"https://github.com/citation-style-language/schema/raw/master/csl-citation.json"}</w:instrText>
      </w:r>
      <w:r w:rsidR="00D10020" w:rsidRPr="00952462">
        <w:rPr>
          <w:rFonts w:cstheme="minorHAnsi"/>
          <w:lang w:val="en-US"/>
        </w:rPr>
        <w:fldChar w:fldCharType="separate"/>
      </w:r>
      <w:r w:rsidRPr="00C24D4F">
        <w:rPr>
          <w:rFonts w:cstheme="minorHAnsi"/>
          <w:noProof/>
          <w:lang w:val="en-US"/>
        </w:rPr>
        <w:t>[6]</w:t>
      </w:r>
      <w:r w:rsidR="00D10020" w:rsidRPr="00952462">
        <w:rPr>
          <w:rFonts w:cstheme="minorHAnsi"/>
          <w:lang w:val="en-US"/>
        </w:rPr>
        <w:fldChar w:fldCharType="end"/>
      </w:r>
      <w:r w:rsidR="00D10020" w:rsidRPr="00952462">
        <w:rPr>
          <w:rFonts w:cstheme="minorHAnsi"/>
          <w:lang w:val="en-US"/>
        </w:rPr>
        <w:t>.</w:t>
      </w:r>
      <w:r w:rsidR="00C74028" w:rsidRPr="00952462">
        <w:rPr>
          <w:rFonts w:cstheme="minorHAnsi"/>
          <w:lang w:val="en-US"/>
        </w:rPr>
        <w:t xml:space="preserve"> </w:t>
      </w:r>
      <w:r w:rsidR="0040692C" w:rsidRPr="004A2775">
        <w:rPr>
          <w:rFonts w:cstheme="minorHAnsi"/>
          <w:shd w:val="clear" w:color="auto" w:fill="FFFFFF"/>
        </w:rPr>
        <w:t xml:space="preserve">Our study </w:t>
      </w:r>
      <w:r w:rsidR="00F0071C" w:rsidRPr="004A2775">
        <w:rPr>
          <w:rFonts w:cstheme="minorHAnsi"/>
          <w:shd w:val="clear" w:color="auto" w:fill="FFFFFF"/>
        </w:rPr>
        <w:t xml:space="preserve">once again </w:t>
      </w:r>
      <w:r w:rsidR="0040692C" w:rsidRPr="004A2775">
        <w:rPr>
          <w:rFonts w:cstheme="minorHAnsi"/>
          <w:shd w:val="clear" w:color="auto" w:fill="FFFFFF"/>
        </w:rPr>
        <w:t xml:space="preserve">demonstrated sexual dimorphism in </w:t>
      </w:r>
      <w:r w:rsidR="00F0071C" w:rsidRPr="004A2775">
        <w:rPr>
          <w:rFonts w:cstheme="minorHAnsi"/>
          <w:shd w:val="clear" w:color="auto" w:fill="FFFFFF"/>
        </w:rPr>
        <w:t>relationships observed</w:t>
      </w:r>
      <w:r>
        <w:rPr>
          <w:rFonts w:cstheme="minorHAnsi"/>
          <w:shd w:val="clear" w:color="auto" w:fill="FFFFFF"/>
        </w:rPr>
        <w:t xml:space="preserve"> and in general accord with</w:t>
      </w:r>
      <w:r w:rsidR="0040692C" w:rsidRPr="004A2775">
        <w:rPr>
          <w:rFonts w:cstheme="minorHAnsi"/>
          <w:shd w:val="clear" w:color="auto" w:fill="FFFFFF"/>
        </w:rPr>
        <w:t xml:space="preserve"> </w:t>
      </w:r>
      <w:r>
        <w:rPr>
          <w:rFonts w:cstheme="minorHAnsi"/>
          <w:shd w:val="clear" w:color="auto" w:fill="FFFFFF"/>
        </w:rPr>
        <w:t>p</w:t>
      </w:r>
      <w:r w:rsidR="00AA3AAD">
        <w:rPr>
          <w:rFonts w:cstheme="minorHAnsi"/>
          <w:shd w:val="clear" w:color="auto" w:fill="FFFFFF"/>
        </w:rPr>
        <w:t xml:space="preserve">revious </w:t>
      </w:r>
      <w:r>
        <w:rPr>
          <w:rFonts w:cstheme="minorHAnsi"/>
          <w:shd w:val="clear" w:color="auto" w:fill="FFFFFF"/>
        </w:rPr>
        <w:t xml:space="preserve">literature, although previous studies have also suggested important relationships between muscle measures and bone outcomes in men </w:t>
      </w:r>
      <w:r>
        <w:rPr>
          <w:rFonts w:cstheme="minorHAnsi"/>
          <w:shd w:val="clear" w:color="auto" w:fill="FFFFFF"/>
        </w:rPr>
        <w:fldChar w:fldCharType="begin" w:fldLock="1"/>
      </w:r>
      <w:r w:rsidR="00470CA3">
        <w:rPr>
          <w:rFonts w:cstheme="minorHAnsi"/>
          <w:shd w:val="clear" w:color="auto" w:fill="FFFFFF"/>
        </w:rPr>
        <w:instrText>ADDIN CSL_CITATION {"citationItems":[{"id":"ITEM-1","itemData":{"DOI":"10.1002/jcsm.12411","ISSN":"21906009","PMID":"30993881","abstract":"Sarcopenia is a potentially modifiable risk factor for falls and fractures in older adults, but the strength of the association between sarcopenia, falls, and fractures is unclear. This study aims to systematically assess the literature and perform a meta-analysis of the association between sarcopenia with falls and fractures among older adults. A literature search was performed using MEDLINE, EMBASE, Cochrane, and CINAHL from inception to May 2018. Inclusion criteria were the following: published in English, mean/median age ≥ 65 years, sarcopenia diagnosis (based on definitions used by the original studies' authors), falls and/or fractures outcomes, and any study population. Pooled analyses were conducted of the associations of sarcopenia with falls and fractures, expressed in odds ratios (OR) and 95% confidence intervals (CIs). Subgroup analyses were performed by study design, population, sex, sarcopenia definition, continent, and study quality. Heterogeneity was assessed using the I2 statistics. The search identified 2771 studies. Thirty-six studies (52 838 individuals, 48.8% females, and mean age of the study populations ranging from 65.0 to 86.7 years) were included in the systematic review. Four studies reported on both falls and fractures. Ten out of 22 studies reported a significantly higher risk of falls in sarcopenic compared with non-sarcopenic individuals; 11 out of 19 studies showed a significant positive association with fractures. Thirty-three studies (45 926 individuals) were included in the meta-analysis. Sarcopenic individuals had a significant higher risk of falls (cross-sectional studies: OR 1.60; 95% CI 1.37–1.86, P &lt; 0.001, I2 = 34%; prospective studies: OR 1.89; 95% CI 1.33–2.68, P &lt; 0.001, I2 = 37%) and fractures (cross-sectional studies: OR 1.84; 95% CI 1.30–2.62, P = 0.001, I2 = 91%; prospective studies: OR 1.71; 95% CI 1.44–2.03, P = 0.011, I2 = 0%) compared with non-sarcopenic individuals. This was independent of study design, population, sex, sarcopenia definition, continent, and study quality. The positive association between sarcopenia with falls and fractures in older adults strengthens the need to invest in sarcopenia prevention and interventions to evaluate its effect on falls and fractures.","author":[{"dropping-particle":"","family":"Yeung","given":"Suey S.Y.","non-dropping-particle":"","parse-names":false,"suffix":""},{"dropping-particle":"","family":"Reijnierse","given":"Esmee M.","non-dropping-particle":"","parse-names":false,"suffix":""},{"dropping-particle":"","family":"Pham","given":"Vivien K.","non-dropping-particle":"","parse-names":false,"suffix":""},{"dropping-particle":"","family":"Trappenburg","given":"Marijke C.","non-dropping-particle":"","parse-names":false,"suffix":""},{"dropping-particle":"","family":"Lim","given":"Wen Kwang","non-dropping-particle":"","parse-names":false,"suffix":""},{"dropping-particle":"","family":"Meskers","given":"Carel G.M.","non-dropping-particle":"","parse-names":false,"suffix":""},{"dropping-particle":"","family":"Maier","given":"Andrea B.","non-dropping-particle":"","parse-names":false,"suffix":""}],"container-title":"Journal of Cachexia, Sarcopenia and Muscle","id":"ITEM-1","issue":"3","issued":{"date-parts":[["2019","6","1"]]},"page":"485-500","publisher":"Wiley Blackwell","title":"Sarcopenia and its association with falls and fractures in older adults: A systematic review and meta-analysis","type":"article","volume":"10"},"uris":["http://www.mendeley.com/documents/?uuid=b60c5e6d-501a-3ed4-b49b-b0d1636c8d9d"]}],"mendeley":{"formattedCitation":"[5]","plainTextFormattedCitation":"[5]","previouslyFormattedCitation":"[5]"},"properties":{"noteIndex":0},"schema":"https://github.com/citation-style-language/schema/raw/master/csl-citation.json"}</w:instrText>
      </w:r>
      <w:r>
        <w:rPr>
          <w:rFonts w:cstheme="minorHAnsi"/>
          <w:shd w:val="clear" w:color="auto" w:fill="FFFFFF"/>
        </w:rPr>
        <w:fldChar w:fldCharType="separate"/>
      </w:r>
      <w:r w:rsidRPr="00C24D4F">
        <w:rPr>
          <w:rFonts w:cstheme="minorHAnsi"/>
          <w:noProof/>
          <w:shd w:val="clear" w:color="auto" w:fill="FFFFFF"/>
        </w:rPr>
        <w:t>[5]</w:t>
      </w:r>
      <w:r>
        <w:rPr>
          <w:rFonts w:cstheme="minorHAnsi"/>
          <w:shd w:val="clear" w:color="auto" w:fill="FFFFFF"/>
        </w:rPr>
        <w:fldChar w:fldCharType="end"/>
      </w:r>
      <w:r>
        <w:rPr>
          <w:rFonts w:cstheme="minorHAnsi"/>
          <w:shd w:val="clear" w:color="auto" w:fill="FFFFFF"/>
        </w:rPr>
        <w:t>.</w:t>
      </w:r>
    </w:p>
    <w:p w14:paraId="54C00471" w14:textId="2691B33A" w:rsidR="00BB6D3E" w:rsidRPr="004A2775" w:rsidRDefault="00C24D4F" w:rsidP="00797CED">
      <w:pPr>
        <w:jc w:val="both"/>
        <w:rPr>
          <w:rFonts w:cstheme="minorHAnsi"/>
          <w:lang w:val="en-US"/>
        </w:rPr>
      </w:pPr>
      <w:r>
        <w:rPr>
          <w:rFonts w:cstheme="minorHAnsi"/>
          <w:lang w:val="en-US"/>
        </w:rPr>
        <w:t>G</w:t>
      </w:r>
      <w:r w:rsidR="002A2685" w:rsidRPr="004A2775">
        <w:rPr>
          <w:rFonts w:cstheme="minorHAnsi"/>
          <w:lang w:val="en-US"/>
        </w:rPr>
        <w:t>ait speed was not associated with prevalent falls and fractures in th</w:t>
      </w:r>
      <w:r>
        <w:rPr>
          <w:rFonts w:cstheme="minorHAnsi"/>
          <w:lang w:val="en-US"/>
        </w:rPr>
        <w:t>is study</w:t>
      </w:r>
      <w:r w:rsidR="002A2685" w:rsidRPr="004A2775">
        <w:rPr>
          <w:rFonts w:cstheme="minorHAnsi"/>
          <w:lang w:val="en-US"/>
        </w:rPr>
        <w:t xml:space="preserve">. </w:t>
      </w:r>
      <w:r w:rsidR="005F43FF" w:rsidRPr="004A2775">
        <w:rPr>
          <w:rFonts w:cstheme="minorHAnsi"/>
          <w:lang w:val="en-US"/>
        </w:rPr>
        <w:t xml:space="preserve">Gait speed has </w:t>
      </w:r>
      <w:r w:rsidR="005F43FF" w:rsidRPr="004A2775">
        <w:rPr>
          <w:rFonts w:cstheme="minorHAnsi"/>
          <w:color w:val="000000"/>
          <w:shd w:val="clear" w:color="auto" w:fill="FFFFFF"/>
        </w:rPr>
        <w:t>been shown to reflect health and functional status,</w:t>
      </w:r>
      <w:r w:rsidR="005F43FF" w:rsidRPr="004A2775">
        <w:rPr>
          <w:rFonts w:cstheme="minorHAnsi"/>
          <w:lang w:val="en-US"/>
        </w:rPr>
        <w:t xml:space="preserve"> and to be associated with survival in older </w:t>
      </w:r>
      <w:r w:rsidR="005F43FF" w:rsidRPr="00952462">
        <w:rPr>
          <w:rFonts w:cstheme="minorHAnsi"/>
          <w:lang w:val="en-US"/>
        </w:rPr>
        <w:t xml:space="preserve">adults </w:t>
      </w:r>
      <w:r w:rsidR="005F43FF" w:rsidRPr="00952462">
        <w:rPr>
          <w:rFonts w:cstheme="minorHAnsi"/>
          <w:lang w:val="en-US"/>
        </w:rPr>
        <w:fldChar w:fldCharType="begin" w:fldLock="1"/>
      </w:r>
      <w:r w:rsidR="000539F2">
        <w:rPr>
          <w:rFonts w:cstheme="minorHAnsi"/>
          <w:lang w:val="en-US"/>
        </w:rPr>
        <w:instrText>ADDIN CSL_CITATION {"citationItems":[{"id":"ITEM-1","itemData":{"DOI":"10.1001/JAMA.2010.1923","ISSN":"00987484","PMID":"21205966","abstract":"Context: Survival estimates help individualize goals of care for geriatric patients, but life tables fail to account for the great variability in survival. Physical performance measures, such as gait speed, might help account for variability, allowing clinicians to make more individualized estimates. Objective: To evaluate the relationship between gait speed and survival. Design, Setting, and Participants: Pooled analysis of 9 cohort studies (collected between 1986 and 2000), using individual data from 34 485 community-dwelling older adults aged 65 years or older with baseline gait speed data, followed up for 6 to 21 years. Participants were a mean (SD) age of 73.5 (5.9) years; 59.6%, women; and 79.8%, white; and had a mean (SD) gait speed of 0.92 (0.27) m/s. Main Outcome Measures: Survival rates and life expectancy. Results: There were 17 528 deaths; the overall 5-year survival rate was 84.8% (confidence interval [CI],79.6%-88.8%)and 10-year survival ratewas59.7%(95%CI,46.5%-70.6%). Gait speed was associated with survival in all studies (pooled hazard ratio per 0.1 m/s, 0.88; 95% CI, 0.87-0.90; P&lt;.001). Survival increased across the full range of gait speeds, with significant increments per 0.1 m/s. At age 75, predicted 10-year survival across the range of gait speeds ranged from 19% to 87% in menand from35% to 91% in women. Predicted survival based on age, sex, and gait speed was as accurate as predicted based on age, sex, use of mobility aids, and self-reported function or as age, sex, chronic conditions, smoking history, blood pressure, body mass index, and hospitalization. Conclusion: In this pooled analysis of individual data from 9 selected cohorts, gait speed was associated with survival in older adults. ©2011 American Medical Association. All rights reserved.","author":[{"dropping-particle":"","family":"Studenski","given":"Stephanie","non-dropping-particle":"","parse-names":false,"suffix":""},{"dropping-particle":"","family":"Perera","given":"Subashan","non-dropping-particle":"","parse-names":false,"suffix":""},{"dropping-particle":"","family":"Patel","given":"Kushang","non-dropping-particle":"","parse-names":false,"suffix":""},{"dropping-particle":"","family":"Rosano","given":"Caterina","non-dropping-particle":"","parse-names":false,"suffix":""},{"dropping-particle":"","family":"Faulkner","given":"Kimberly","non-dropping-particle":"","parse-names":false,"suffix":""},{"dropping-particle":"","family":"Inzitari","given":"Marco","non-dropping-particle":"","parse-names":false,"suffix":""},{"dropping-particle":"","family":"Brach","given":"Jennifer","non-dropping-particle":"","parse-names":false,"suffix":""},{"dropping-particle":"","family":"Chandler","given":"Julie","non-dropping-particle":"","parse-names":false,"suffix":""},{"dropping-particle":"","family":"Cawthon","given":"Peggy","non-dropping-particle":"","parse-names":false,"suffix":""},{"dropping-particle":"","family":"Connor","given":"Elizabeth Barrett","non-dropping-particle":"","parse-names":false,"suffix":""},{"dropping-particle":"","family":"Nevitt","given":"Michael","non-dropping-particle":"","parse-names":false,"suffix":""},{"dropping-particle":"","family":"Visser","given":"Marjolein","non-dropping-particle":"","parse-names":false,"suffix":""},{"dropping-particle":"","family":"Kritchevsky","given":"Stephen","non-dropping-particle":"","parse-names":false,"suffix":""},{"dropping-particle":"","family":"Badinelli","given":"Stefania","non-dropping-particle":"","parse-names":false,"suffix":""},{"dropping-particle":"","family":"Harris","given":"Tamara","non-dropping-particle":"","parse-names":false,"suffix":""},{"dropping-particle":"","family":"Newman","given":"Anne B.","non-dropping-particle":"","parse-names":false,"suffix":""},{"dropping-particle":"","family":"Cauley","given":"Jane","non-dropping-particle":"","parse-names":false,"suffix":""},{"dropping-particle":"","family":"Ferrucci","given":"Luigi","non-dropping-particle":"","parse-names":false,"suffix":""},{"dropping-particle":"","family":"Guralnik","given":"Jack","non-dropping-particle":"","parse-names":false,"suffix":""}],"container-title":"JAMA : the journal of the American Medical Association","id":"ITEM-1","issue":"1","issued":{"date-parts":[["2011","1","5"]]},"page":"50","publisher":"NIH Public Access","title":"Gait Speed and Survival in Older Adults","type":"article-journal","volume":"305"},"uris":["http://www.mendeley.com/documents/?uuid=2c4e1105-5be0-354b-9b3a-38dd3fd8c216"]},{"id":"ITEM-2","itemData":{"DOI":"10.1002/JBMR.3556","ISSN":"15234681","PMID":"30011086","abstract":"Measures of muscle mass, strength, and function predict risk of incident fractures, but it is not known whether this risk information is additive to that from FRAX (fracture risk assessment tool) probability. In the Osteoporotic Fractures in Men (MrOS) Study cohorts (Sweden, Hong Kong, United States), we investigated whether measures of physical performance/appendicular lean mass (ALM) by DXA predicted incident fractures in older men, independently of FRAX probability. Baseline information included falls history, clinical risk factors for falls and fractures, femoral neck aBMD, and calculated FRAX probabilities. An extension of Poisson regression was used to investigate the relationship between time for five chair stands, walking speed over a 6 m distance, grip strength, ALM adjusted for body size (ALM/height2), FRAX probability (major osteoporotic fracture [MOF]) with or without femoral neck aBMD, available in a subset of n = 7531), and incident MOF (hip, clinical vertebral, wrist, or proximal humerus). Associations were adjusted for age and time since baseline, and are reported as hazard ratios (HRs) for first incident fracture per SD increment in predictor using meta-analysis. 5660 men in the United States (mean age 73.5 years), 2764 men in Sweden (75.4 years), and 1987 men in Hong Kong (72.4 years) were studied. Mean follow-up time was 8.7 to 10.9 years. Greater time for five chair stands was associated with greater risk of MOF (HR 1.26; 95% CI, 1.19 to 1.34), whereas greater walking speed (HR 0.85; 95% CI, 0.79 to 0.90), grip strength (HR 0.77; 95% CI, 0.72 to 0.82), and ALM/height2 (HR 0.85; 95% CI, 0.80 to 0.90) were associated with lower risk of incident MOF. Associations remained largely similar after adjustment for FRAX, but associations between ALM/height2 and MOF were weakened (HR 0.92; 95% CI, 0.85 to 0.99). Inclusion of femoral neck aBMD markedly attenuated the association between ALM/height2 and MOF (HR 1.02; 95% CI, 0.96 to 1.10). Measures of physical performance predicted incident fractures independently of FRAX probability. Whilst the predictive value of ALM/height2 was substantially reduced by inclusion of aBMD requires further study, these findings support the consideration of physical performance in fracture risk assessment. © 2018 The Authors. Journal of Bone and Mineral Research Published by Wiley Periodicals Inc.","author":[{"dropping-particle":"","family":"Harvey","given":"Nicholas C.","non-dropping-particle":"","parse-names":false,"suffix":""},{"dropping-particle":"","family":"Odén","given":"Anders","non-dropping-particle":"","parse-names":false,"suffix":""},{"dropping-particle":"","family":"Orwoll","given":"Eric","non-dropping-particle":"","parse-names":false,"suffix":""},{"dropping-particle":"","family":"Lapidus","given":"Jodi","non-dropping-particle":"","parse-names":false,"suffix":""},{"dropping-particle":"","family":"Kwok","given":"Timothy","non-dropping-particle":"","parse-names":false,"suffix":""},{"dropping-particle":"","family":"Karlsson","given":"Magnus K.","non-dropping-particle":"","parse-names":false,"suffix":""},{"dropping-particle":"","family":"Rosengren","given":"Björn E.","non-dropping-particle":"","parse-names":false,"suffix":""},{"dropping-particle":"","family":"Ribom","given":"Eva","non-dropping-particle":"","parse-names":false,"suffix":""},{"dropping-particle":"","family":"Cooper","given":"Cyrus","non-dropping-particle":"","parse-names":false,"suffix":""},{"dropping-particle":"","family":"Cawthon","given":"Peggy M.","non-dropping-particle":"","parse-names":false,"suffix":""},{"dropping-particle":"","family":"Kanis","given":"John A.","non-dropping-particle":"","parse-names":false,"suffix":""},{"dropping-particle":"","family":"Ohlsson","given":"Claes","non-dropping-particle":"","parse-names":false,"suffix":""},{"dropping-particle":"","family":"Mellström","given":"Dan","non-dropping-particle":"","parse-names":false,"suffix":""},{"dropping-particle":"","family":"Johansson","given":"Helena","non-dropping-particle":"","parse-names":false,"suffix":""},{"dropping-particle":"","family":"McCloskey","given":"Eugene","non-dropping-particle":"","parse-names":false,"suffix":""}],"container-title":"Journal of Bone and Mineral Research","id":"ITEM-2","issue":"12","issued":{"date-parts":[["2018","12","1"]]},"page":"2150","publisher":"Wiley-Blackwell","title":"Measures of Physical Performance and Muscle Strength as Predictors of Fracture Risk Independent of FRAX, Falls, and aBMD: A Meta‐Analysis of the Osteoporotic Fractures in Men (MrOS) Study","type":"article-journal","volume":"33"},"uris":["http://www.mendeley.com/documents/?uuid=53fae2ed-72e2-3ad4-a822-95f45ce45f5a"]},{"id":"ITEM-3","itemData":{"DOI":"10.1002/JBMR.4293","ISSN":"15234681","PMID":"33831257","abstract":"Dual-energy X-ray absorptiometry (DXA)-derived appendicular lean mass/height2 (ALM/ht2) is the most commonly used estimate of muscle mass in the assessment of sarcopenia, but its predictive value for fracture is substantially attenuated by femoral neck (fn) bone mineral density (BMD). We investigated predictive value of 11 sarcopenia definitions for incident fracture, independent of fnBMD, fracture risk assessment tool (FRAX®) probability, and prior falls, using an extension of Poisson regression in US, Sweden, and Hong Kong Osteoporois Fractures in Men Study (MrOS) cohorts. Definitions tested were those of Baumgartner and Delmonico (ALM/ht2 only), Morley, the International Working Group on Sarcopenia, European Working Group on Sarcopenia in Older People (EWGSOP1 and 2), Asian Working Group on Sarcopenia, Foundation for the National Institutes of Health (FNIH) 1 and 2 (using ALM/body mass index [BMI], incorporating muscle strength and/or physical performance measures plus ALM/ht2), and Sarcopenia Definitions and Outcomes Consortium (gait speed and grip strength). Associations were adjusted for age and time since baseline and reported as hazard ratio (HR) for first incident fracture, here major osteoporotic fracture (MOF; clinical vertebral, hip, distal forearm, proximal humerus). Further analyses adjusted additionally for FRAX-MOF probability (n = 7531; calculated ± fnBMD), prior falls (y/n), or fnBMD T-score. Results were synthesized by meta-analysis. In 5660 men in USA, 2764 Sweden and 1987 Hong Kong (mean ages 73.5, 75.4, and 72.4 years, respectively), sarcopenia prevalence ranged from 0.5% to 35%. Sarcopenia status, by all definitions except those of FNIH, was associated with incident MOF (HR = 1.39 to 2.07). Associations were robust to adjustment for prior falls or FRAX probability (without fnBMD); adjustment for fnBMD T-score attenuated associations. EWGSOP2 severe sarcopenia (incorporating chair stand time, gait speed, and grip strength plus ALM) was most predictive, albeit at low prevalence, and appeared only modestly influenced by inclusion of fnBMD. In conclusion, the predictive value for fracture of sarcopenia definitions based on ALM is reduced by adjustment for fnBMD but strengthened by additional inclusion of physical performance measures. © 2021 The Authors. Journal of Bone and Mineral Research published by Wiley Periodicals LLC on behalf of American Society for Bone and Mineral Research (ASBMR).","author":[{"dropping-particle":"","family":"Harvey","given":"Nicholas C.","non-dropping-particle":"","parse-names":false,"suffix":""},{"dropping-particle":"","family":"Orwoll","given":"Eric","non-dropping-particle":"","parse-names":false,"suffix":""},{"dropping-particle":"","family":"Kwok","given":"Timothy","non-dropping-particle":"","parse-names":false,"suffix":""},{"dropping-particle":"","family":"Karlsson","given":"Magnus K.","non-dropping-particle":"","parse-names":false,"suffix":""},{"dropping-particle":"","family":"Rosengren","given":"Björn E.","non-dropping-particle":"","parse-names":false,"suffix":""},{"dropping-particle":"","family":"Ribom","given":"Eva","non-dropping-particle":"","parse-names":false,"suffix":""},{"dropping-particle":"","family":"Cauley","given":"Jane A.","non-dropping-particle":"","parse-names":false,"suffix":""},{"dropping-particle":"","family":"Cawthon","given":"Peggy M.","non-dropping-particle":"","parse-names":false,"suffix":""},{"dropping-particle":"","family":"Ensrud","given":"Kristine","non-dropping-particle":"","parse-names":false,"suffix":""},{"dropping-particle":"","family":"Liu","given":"Enwu","non-dropping-particle":"","parse-names":false,"suffix":""},{"dropping-particle":"","family":"Cruz-Jentoft","given":"Alfonso J.","non-dropping-particle":"","parse-names":false,"suffix":""},{"dropping-particle":"","family":"Fielding","given":"Roger A.","non-dropping-particle":"","parse-names":false,"suffix":""},{"dropping-particle":"","family":"Cooper","given":"Cyrus","non-dropping-particle":"","parse-names":false,"suffix":""},{"dropping-particle":"","family":"Kanis","given":"John A.","non-dropping-particle":"","parse-names":false,"suffix":""},{"dropping-particle":"","family":"Lorentzon","given":"Mattias","non-dropping-particle":"","parse-names":false,"suffix":""},{"dropping-particle":"","family":"Ohlsson","given":"Claes","non-dropping-particle":"","parse-names":false,"suffix":""},{"dropping-particle":"","family":"Mellström","given":"Dan","non-dropping-particle":"","parse-names":false,"suffix":""},{"dropping-particle":"","family":"Johansson","given":"Helena","non-dropping-particle":"","parse-names":false,"suffix":""},{"dropping-particle":"","family":"McCloskey","given":"Eugene","non-dropping-particle":"","parse-names":false,"suffix":""}],"container-title":"Journal of bone and mineral research : the official journal of the American Society for Bone and Mineral Research","id":"ITEM-3","issue":"7","issued":{"date-parts":[["2021","7","1"]]},"page":"1235","publisher":"Europe PMC Funders","title":"Sarcopenia definitions as predictors of fracture risk independent of FRAX, falls and BMD in the Osteoporotic Fractures in Men (MrOS) Study: A meta-analysis","type":"article-journal","volume":"36"},"uris":["http://www.mendeley.com/documents/?uuid=7e0ae6b7-6f99-3bf7-8a21-d3367925dba5"]}],"mendeley":{"formattedCitation":"[13–15]","plainTextFormattedCitation":"[13–15]","previouslyFormattedCitation":"[13–15]"},"properties":{"noteIndex":0},"schema":"https://github.com/citation-style-language/schema/raw/master/csl-citation.json"}</w:instrText>
      </w:r>
      <w:r w:rsidR="005F43FF" w:rsidRPr="00952462">
        <w:rPr>
          <w:rFonts w:cstheme="minorHAnsi"/>
          <w:lang w:val="en-US"/>
        </w:rPr>
        <w:fldChar w:fldCharType="separate"/>
      </w:r>
      <w:r w:rsidR="002E3EB2" w:rsidRPr="002E3EB2">
        <w:rPr>
          <w:rFonts w:cstheme="minorHAnsi"/>
          <w:noProof/>
          <w:lang w:val="en-US"/>
        </w:rPr>
        <w:t>[13–15]</w:t>
      </w:r>
      <w:r w:rsidR="005F43FF" w:rsidRPr="00952462">
        <w:rPr>
          <w:rFonts w:cstheme="minorHAnsi"/>
          <w:lang w:val="en-US"/>
        </w:rPr>
        <w:fldChar w:fldCharType="end"/>
      </w:r>
      <w:r w:rsidR="005F43FF" w:rsidRPr="00952462">
        <w:rPr>
          <w:rFonts w:cstheme="minorHAnsi"/>
          <w:lang w:val="en-US"/>
        </w:rPr>
        <w:t xml:space="preserve">. </w:t>
      </w:r>
      <w:r>
        <w:rPr>
          <w:rFonts w:cstheme="minorHAnsi"/>
          <w:lang w:val="en-US"/>
        </w:rPr>
        <w:t>We previously found no</w:t>
      </w:r>
      <w:r w:rsidR="005F43FF" w:rsidRPr="004A2775">
        <w:rPr>
          <w:rFonts w:cstheme="minorHAnsi"/>
          <w:lang w:val="en-US"/>
        </w:rPr>
        <w:t xml:space="preserve"> associations of g</w:t>
      </w:r>
      <w:r w:rsidR="005F43FF" w:rsidRPr="004A2775">
        <w:rPr>
          <w:rFonts w:cstheme="minorHAnsi"/>
          <w:color w:val="000000"/>
          <w:shd w:val="clear" w:color="auto" w:fill="FFFFFF"/>
        </w:rPr>
        <w:t xml:space="preserve">ait speed with measures of bone size, strength </w:t>
      </w:r>
      <w:r w:rsidR="00664CF9">
        <w:rPr>
          <w:rFonts w:cstheme="minorHAnsi"/>
          <w:color w:val="000000"/>
          <w:shd w:val="clear" w:color="auto" w:fill="FFFFFF"/>
        </w:rPr>
        <w:t>and</w:t>
      </w:r>
      <w:r w:rsidR="00664CF9" w:rsidRPr="004A2775">
        <w:rPr>
          <w:rFonts w:cstheme="minorHAnsi"/>
          <w:color w:val="000000"/>
          <w:shd w:val="clear" w:color="auto" w:fill="FFFFFF"/>
        </w:rPr>
        <w:t xml:space="preserve"> </w:t>
      </w:r>
      <w:r w:rsidR="005F43FF" w:rsidRPr="004A2775">
        <w:rPr>
          <w:rFonts w:cstheme="minorHAnsi"/>
          <w:color w:val="000000"/>
          <w:shd w:val="clear" w:color="auto" w:fill="FFFFFF"/>
        </w:rPr>
        <w:t>density in the same cohort</w:t>
      </w:r>
      <w:r w:rsidR="002A2685" w:rsidRPr="004A2775">
        <w:rPr>
          <w:rFonts w:cstheme="minorHAnsi"/>
          <w:color w:val="000000"/>
          <w:shd w:val="clear" w:color="auto" w:fill="FFFFFF"/>
        </w:rPr>
        <w:t xml:space="preserve"> </w:t>
      </w:r>
      <w:r w:rsidR="005F43FF" w:rsidRPr="004A2775">
        <w:rPr>
          <w:rFonts w:cstheme="minorHAnsi"/>
          <w:color w:val="000000"/>
          <w:shd w:val="clear" w:color="auto" w:fill="FFFFFF"/>
        </w:rPr>
        <w:fldChar w:fldCharType="begin" w:fldLock="1"/>
      </w:r>
      <w:r w:rsidR="009D41B2">
        <w:rPr>
          <w:rFonts w:cstheme="minorHAnsi"/>
          <w:color w:val="000000"/>
          <w:shd w:val="clear" w:color="auto" w:fill="FFFFFF"/>
        </w:rPr>
        <w:instrText>ADDIN CSL_CITATION {"citationItems":[{"id":"ITEM-1","itemData":{"DOI":"10.1002/jbmr.1972","ISSN":"08840431","PMID":"23633238","abstract":"Sarcopenia is associated with a greater fracture risk. This relationship was originally thought to be explained by an increased risk of falls in sarcopenic individuals. However, in addition, there is growing evidence of a functional muscle-bone unit in which bone health may be directly influenced by muscle function. Because a definition of sarcopenia encompasses muscle size, strength, and physical performance, we investigated relationships for each of these with bone size, bone density, and bone strength to interrogate these hypotheses further in participants from the Hertfordshire Cohort Study. A total of 313 men and 318 women underwent baseline assessment of health and detailed anthropometric measurements. Muscle strength was measured by grip strength, and physical performance was determined by gait speed. Peripheral quantitative computed tomography (pQCT) examination of the calf and forearm was performed to assess muscle cross-sectional area (mCSA) at the 66% level and bone structure (radius 4% and 66% levels; tibia 4% and 38% levels). Muscle size was positively associated with bone size (distal radius total bone area β = 17.5 mm 2/SD [12.0, 22.9]) and strength (strength strain index (β = 23.3 mm3/SD [18.2, 28.4]) amongst women (p &lt; 0.001). These associations were also seen in men and were maintained after adjustment for age, height, weight-adjusted-for-height, limb-length-adjusted-for-height, social class, smoking status, alcohol consumption, calcium intake, physical activity, diabetes mellitus, and in women, years since menopause and estrogen replacement therapy. Although grip strength showed similar associations with bone size and strength in both sexes, these were substantially attenuated after similar adjustment. Consistent relationships between gait speed and bone structure were not seen. We conclude that although muscle size and grip strength are associated with bone size and strength, relationships between gait speed and bone structure and strength were not apparent in this cohort, supporting a role for the muscle-bone unit. © 2013 American Society for Bone and Mineral Research.","author":[{"dropping-particle":"","family":"Edwards","given":"Mark H.","non-dropping-particle":"","parse-names":false,"suffix":""},{"dropping-particle":"","family":"Gregson","given":"Celia L.","non-dropping-particle":"","parse-names":false,"suffix":""},{"dropping-particle":"","family":"Patel","given":"Harnish P.","non-dropping-particle":"","parse-names":false,"suffix":""},{"dropping-particle":"","family":"Jameson","given":"Karen A.","non-dropping-particle":"","parse-names":false,"suffix":""},{"dropping-particle":"","family":"Harvey","given":"Nicholas C.","non-dropping-particle":"","parse-names":false,"suffix":""},{"dropping-particle":"","family":"Sayer","given":"Avan Aihie","non-dropping-particle":"","parse-names":false,"suffix":""},{"dropping-particle":"","family":"Dennison","given":"Elaine M.","non-dropping-particle":"","parse-names":false,"suffix":""},{"dropping-particle":"","family":"Cooper","given":"Cyrus","non-dropping-particle":"","parse-names":false,"suffix":""}],"container-title":"Journal of Bone and Mineral Research","id":"ITEM-1","issue":"11","issued":{"date-parts":[["2013","11"]]},"page":"2295-2304","publisher":"J Bone Miner Res","title":"Muscle size, strength, and physical performance and their associations with bone structure in the Hertfordshire Cohort Study","type":"article-journal","volume":"28"},"uris":["http://www.mendeley.com/documents/?uuid=8434d573-b6da-4ebc-b82a-c23ebeeb7524"]}],"mendeley":{"formattedCitation":"[3]","plainTextFormattedCitation":"[3]","previouslyFormattedCitation":"[3]"},"properties":{"noteIndex":0},"schema":"https://github.com/citation-style-language/schema/raw/master/csl-citation.json"}</w:instrText>
      </w:r>
      <w:r w:rsidR="005F43FF" w:rsidRPr="004A2775">
        <w:rPr>
          <w:rFonts w:cstheme="minorHAnsi"/>
          <w:color w:val="000000"/>
          <w:shd w:val="clear" w:color="auto" w:fill="FFFFFF"/>
        </w:rPr>
        <w:fldChar w:fldCharType="separate"/>
      </w:r>
      <w:r w:rsidR="00087AF8" w:rsidRPr="00087AF8">
        <w:rPr>
          <w:rFonts w:cstheme="minorHAnsi"/>
          <w:noProof/>
          <w:color w:val="000000"/>
          <w:shd w:val="clear" w:color="auto" w:fill="FFFFFF"/>
        </w:rPr>
        <w:t>[3]</w:t>
      </w:r>
      <w:r w:rsidR="005F43FF" w:rsidRPr="004A2775">
        <w:rPr>
          <w:rFonts w:cstheme="minorHAnsi"/>
          <w:color w:val="000000"/>
          <w:shd w:val="clear" w:color="auto" w:fill="FFFFFF"/>
        </w:rPr>
        <w:fldChar w:fldCharType="end"/>
      </w:r>
      <w:r w:rsidR="0082379B" w:rsidRPr="004A2775">
        <w:rPr>
          <w:rFonts w:cstheme="minorHAnsi"/>
          <w:color w:val="000000"/>
          <w:shd w:val="clear" w:color="auto" w:fill="FFFFFF"/>
        </w:rPr>
        <w:t>. A</w:t>
      </w:r>
      <w:r w:rsidR="005F43FF" w:rsidRPr="004A2775">
        <w:rPr>
          <w:rFonts w:cstheme="minorHAnsi"/>
          <w:color w:val="000000"/>
          <w:shd w:val="clear" w:color="auto" w:fill="FFFFFF"/>
        </w:rPr>
        <w:t>mongst other physical performance tests</w:t>
      </w:r>
      <w:r w:rsidR="0046611F" w:rsidRPr="004A2775">
        <w:rPr>
          <w:rFonts w:cstheme="minorHAnsi"/>
          <w:color w:val="000000"/>
          <w:shd w:val="clear" w:color="auto" w:fill="FFFFFF"/>
        </w:rPr>
        <w:t xml:space="preserve">, </w:t>
      </w:r>
      <w:r w:rsidR="0097107B">
        <w:rPr>
          <w:rFonts w:cstheme="minorHAnsi"/>
          <w:color w:val="000000"/>
          <w:shd w:val="clear" w:color="auto" w:fill="FFFFFF"/>
        </w:rPr>
        <w:t>gait speed</w:t>
      </w:r>
      <w:r w:rsidR="005F43FF" w:rsidRPr="004A2775">
        <w:rPr>
          <w:rFonts w:cstheme="minorHAnsi"/>
          <w:color w:val="000000"/>
          <w:shd w:val="clear" w:color="auto" w:fill="FFFFFF"/>
        </w:rPr>
        <w:t xml:space="preserve"> has </w:t>
      </w:r>
      <w:r w:rsidR="0097107B">
        <w:rPr>
          <w:rFonts w:cstheme="minorHAnsi"/>
          <w:color w:val="000000"/>
          <w:shd w:val="clear" w:color="auto" w:fill="FFFFFF"/>
        </w:rPr>
        <w:t xml:space="preserve">previously </w:t>
      </w:r>
      <w:r w:rsidR="005F43FF" w:rsidRPr="004A2775">
        <w:rPr>
          <w:rFonts w:cstheme="minorHAnsi"/>
          <w:color w:val="000000"/>
          <w:shd w:val="clear" w:color="auto" w:fill="FFFFFF"/>
        </w:rPr>
        <w:t>been shown to be weakly associated with risk of hip fractures</w:t>
      </w:r>
      <w:r w:rsidR="002A2685" w:rsidRPr="004A2775">
        <w:rPr>
          <w:rFonts w:cstheme="minorHAnsi"/>
          <w:color w:val="000000"/>
          <w:shd w:val="clear" w:color="auto" w:fill="FFFFFF"/>
        </w:rPr>
        <w:t xml:space="preserve"> in participants without walking difficulties </w:t>
      </w:r>
      <w:r w:rsidR="002A2685" w:rsidRPr="004A2775">
        <w:rPr>
          <w:rFonts w:cstheme="minorHAnsi"/>
          <w:color w:val="000000"/>
          <w:shd w:val="clear" w:color="auto" w:fill="FFFFFF"/>
        </w:rPr>
        <w:fldChar w:fldCharType="begin" w:fldLock="1"/>
      </w:r>
      <w:r w:rsidR="000539F2">
        <w:rPr>
          <w:rFonts w:cstheme="minorHAnsi"/>
          <w:color w:val="000000"/>
          <w:shd w:val="clear" w:color="auto" w:fill="FFFFFF"/>
        </w:rPr>
        <w:instrText>ADDIN CSL_CITATION {"citationItems":[{"id":"ITEM-1","itemData":{"DOI":"10.1359/JBMR.080227","ISSN":"08840431","PMID":"18302496","abstract":"The aim of these analyses was to describe the association between physical performance and risk of hip fractures in older men. Performance on five physical function exams (leg power, grip strength, usual walking pace, narrow walk balance test, and five repeated chair stands) was assessed in 5902 men ≥65 yr of age. Performance (time to complete or strength) was analyzed as quartiles, with an additional category for unable to complete the measure, in proportional hazards models. Follow-up averaged 5.3 yr; 77 incident hip fractures were confirmed by physician review of radiology reports. Poor physical performance was associated with an increased risk of hip fracture. In particular, repeated chair stand performance was strongly related to hip fracture risk. Men unable to complete this exam were much more likely to experience a hip fracture than men in the fastest quartile of this test (multivariate hazard ratio [MHR]: 8.15; 95% CI: 2.65, 25.03). Men with the worst performance (weakest/slowest quartile or unable) on at least three exams had an increased risk of hip fracture compared with men with higher functioning (MHR: 3.14, 95% CI: 1.46, 6.73). Nearly two thirds of the hip fractures (N = 49, 64%) occurred in men with poor performance on at least three exams. Poor physical function is independently associated with an increased risk of hip fracture in older men. The repeated chair stands exam should be considered in clinical settings for evaluation of hip fracture risk. Concurrent poor performance on multiple physical function exams is associated with an increased risk of hip fractures. © 2008 American Society for Bone and Mineral Research.","author":[{"dropping-particle":"","family":"Cawthon","given":"Peggy Mannen","non-dropping-particle":"","parse-names":false,"suffix":""},{"dropping-particle":"","family":"Fullman","given":"Robin L.","non-dropping-particle":"","parse-names":false,"suffix":""},{"dropping-particle":"","family":"Marshall","given":"Lynn","non-dropping-particle":"","parse-names":false,"suffix":""},{"dropping-particle":"","family":"Mackey","given":"Dawn C.","non-dropping-particle":"","parse-names":false,"suffix":""},{"dropping-particle":"","family":"Fink","given":"Howard A.","non-dropping-particle":"","parse-names":false,"suffix":""},{"dropping-particle":"","family":"Cauley","given":"Jane A.","non-dropping-particle":"","parse-names":false,"suffix":""},{"dropping-particle":"","family":"Cummings","given":"Steven R.","non-dropping-particle":"","parse-names":false,"suffix":""},{"dropping-particle":"","family":"Orwoll","given":"Eric S.","non-dropping-particle":"","parse-names":false,"suffix":""},{"dropping-particle":"","family":"Ensrud","given":"Kristine E.","non-dropping-particle":"","parse-names":false,"suffix":""}],"container-title":"Journal of Bone and Mineral Research","id":"ITEM-1","issue":"7","issued":{"date-parts":[["2008","7"]]},"page":"1037","publisher":"American Society for Bone and Mineral Research","title":"Physical Performance and Risk of Hip Fractures in Older Men","type":"article-journal","volume":"23"},"uris":["http://www.mendeley.com/documents/?uuid=eb23ece3-23dc-3881-91d7-3d09af2dac18"]}],"mendeley":{"formattedCitation":"[16]","plainTextFormattedCitation":"[16]","previouslyFormattedCitation":"[16]"},"properties":{"noteIndex":0},"schema":"https://github.com/citation-style-language/schema/raw/master/csl-citation.json"}</w:instrText>
      </w:r>
      <w:r w:rsidR="002A2685" w:rsidRPr="004A2775">
        <w:rPr>
          <w:rFonts w:cstheme="minorHAnsi"/>
          <w:color w:val="000000"/>
          <w:shd w:val="clear" w:color="auto" w:fill="FFFFFF"/>
        </w:rPr>
        <w:fldChar w:fldCharType="separate"/>
      </w:r>
      <w:r w:rsidR="002E3EB2" w:rsidRPr="002E3EB2">
        <w:rPr>
          <w:rFonts w:cstheme="minorHAnsi"/>
          <w:noProof/>
          <w:color w:val="000000"/>
          <w:shd w:val="clear" w:color="auto" w:fill="FFFFFF"/>
        </w:rPr>
        <w:t>[16]</w:t>
      </w:r>
      <w:r w:rsidR="002A2685" w:rsidRPr="004A2775">
        <w:rPr>
          <w:rFonts w:cstheme="minorHAnsi"/>
          <w:color w:val="000000"/>
          <w:shd w:val="clear" w:color="auto" w:fill="FFFFFF"/>
        </w:rPr>
        <w:fldChar w:fldCharType="end"/>
      </w:r>
      <w:r w:rsidR="005F43FF" w:rsidRPr="004A2775">
        <w:rPr>
          <w:rFonts w:cstheme="minorHAnsi"/>
          <w:color w:val="000000"/>
          <w:shd w:val="clear" w:color="auto" w:fill="FFFFFF"/>
        </w:rPr>
        <w:t xml:space="preserve">. </w:t>
      </w:r>
      <w:bookmarkStart w:id="14" w:name="_Hlk94087478"/>
      <w:r w:rsidR="005F43FF" w:rsidRPr="004A2775">
        <w:rPr>
          <w:rFonts w:cstheme="minorHAnsi"/>
          <w:color w:val="000000"/>
          <w:shd w:val="clear" w:color="auto" w:fill="FFFFFF"/>
        </w:rPr>
        <w:t>G</w:t>
      </w:r>
      <w:r w:rsidR="005F43FF" w:rsidRPr="004A2775">
        <w:rPr>
          <w:rFonts w:cstheme="minorHAnsi"/>
          <w:lang w:val="en-US"/>
        </w:rPr>
        <w:t xml:space="preserve">ait speed </w:t>
      </w:r>
      <w:r w:rsidR="0040692C" w:rsidRPr="004A2775">
        <w:rPr>
          <w:rFonts w:cstheme="minorHAnsi"/>
          <w:lang w:val="en-US"/>
        </w:rPr>
        <w:t>is suitable</w:t>
      </w:r>
      <w:r w:rsidR="005F43FF" w:rsidRPr="004A2775">
        <w:rPr>
          <w:rFonts w:cstheme="minorHAnsi"/>
          <w:lang w:val="en-US"/>
        </w:rPr>
        <w:t xml:space="preserve"> for screening of poor physical performance</w:t>
      </w:r>
      <w:r w:rsidR="0040692C" w:rsidRPr="004A2775">
        <w:rPr>
          <w:rFonts w:cstheme="minorHAnsi"/>
          <w:lang w:val="en-US"/>
        </w:rPr>
        <w:t xml:space="preserve"> a</w:t>
      </w:r>
      <w:r w:rsidR="002A2685" w:rsidRPr="004A2775">
        <w:rPr>
          <w:rFonts w:cstheme="minorHAnsi"/>
          <w:lang w:val="en-US"/>
        </w:rPr>
        <w:t>n</w:t>
      </w:r>
      <w:r w:rsidR="0040692C" w:rsidRPr="004A2775">
        <w:rPr>
          <w:rFonts w:cstheme="minorHAnsi"/>
          <w:lang w:val="en-US"/>
        </w:rPr>
        <w:t xml:space="preserve">d </w:t>
      </w:r>
      <w:r w:rsidR="00380825">
        <w:rPr>
          <w:rFonts w:cstheme="minorHAnsi"/>
          <w:lang w:val="en-US"/>
        </w:rPr>
        <w:t xml:space="preserve">is </w:t>
      </w:r>
      <w:r w:rsidR="002A0ECF">
        <w:rPr>
          <w:rFonts w:cstheme="minorHAnsi"/>
          <w:lang w:val="en-US"/>
        </w:rPr>
        <w:t xml:space="preserve">used to </w:t>
      </w:r>
      <w:r w:rsidR="002A2685" w:rsidRPr="004A2775">
        <w:rPr>
          <w:rFonts w:cstheme="minorHAnsi"/>
          <w:lang w:val="en-US"/>
        </w:rPr>
        <w:t xml:space="preserve">identify cases of </w:t>
      </w:r>
      <w:r w:rsidR="0040692C" w:rsidRPr="004A2775">
        <w:rPr>
          <w:rFonts w:cstheme="minorHAnsi"/>
          <w:lang w:val="en-US"/>
        </w:rPr>
        <w:t>severe sarcopenia</w:t>
      </w:r>
      <w:r w:rsidR="00FE362A">
        <w:rPr>
          <w:rFonts w:cstheme="minorHAnsi"/>
          <w:lang w:val="en-US"/>
        </w:rPr>
        <w:t>,</w:t>
      </w:r>
      <w:r w:rsidR="000D7751">
        <w:rPr>
          <w:rFonts w:cstheme="minorHAnsi"/>
          <w:lang w:val="en-US"/>
        </w:rPr>
        <w:t xml:space="preserve"> as </w:t>
      </w:r>
      <w:r w:rsidR="002B6E4A">
        <w:rPr>
          <w:rFonts w:cstheme="minorHAnsi"/>
          <w:lang w:val="en-US"/>
        </w:rPr>
        <w:t xml:space="preserve">defined by the European Working </w:t>
      </w:r>
      <w:r w:rsidR="000E745A">
        <w:rPr>
          <w:rFonts w:cstheme="minorHAnsi"/>
          <w:lang w:val="en-US"/>
        </w:rPr>
        <w:t>G</w:t>
      </w:r>
      <w:r w:rsidR="002B6E4A">
        <w:rPr>
          <w:rFonts w:cstheme="minorHAnsi"/>
          <w:lang w:val="en-US"/>
        </w:rPr>
        <w:t>roup o</w:t>
      </w:r>
      <w:r w:rsidR="00FB7C55">
        <w:rPr>
          <w:rFonts w:cstheme="minorHAnsi"/>
          <w:lang w:val="en-US"/>
        </w:rPr>
        <w:t>n</w:t>
      </w:r>
      <w:r w:rsidR="002B6E4A">
        <w:rPr>
          <w:rFonts w:cstheme="minorHAnsi"/>
          <w:lang w:val="en-US"/>
        </w:rPr>
        <w:t xml:space="preserve"> Sarcopenia </w:t>
      </w:r>
      <w:r w:rsidR="000E745A">
        <w:rPr>
          <w:rFonts w:cstheme="minorHAnsi"/>
          <w:lang w:val="en-US"/>
        </w:rPr>
        <w:t xml:space="preserve">in older adults </w:t>
      </w:r>
      <w:r w:rsidR="002B6E4A">
        <w:rPr>
          <w:rFonts w:cstheme="minorHAnsi"/>
          <w:lang w:val="en-US"/>
        </w:rPr>
        <w:t>(EWSGOP2)</w:t>
      </w:r>
      <w:r w:rsidR="00FE362A">
        <w:rPr>
          <w:rFonts w:cstheme="minorHAnsi"/>
          <w:lang w:val="en-US"/>
        </w:rPr>
        <w:t xml:space="preserve"> </w:t>
      </w:r>
      <w:r w:rsidR="009D41B2">
        <w:rPr>
          <w:rFonts w:cstheme="minorHAnsi"/>
          <w:lang w:val="en-US"/>
        </w:rPr>
        <w:fldChar w:fldCharType="begin" w:fldLock="1"/>
      </w:r>
      <w:r>
        <w:rPr>
          <w:rFonts w:cstheme="minorHAnsi"/>
          <w:lang w:val="en-US"/>
        </w:rPr>
        <w:instrText>ADDIN CSL_CITATION {"citationItems":[{"id":"ITEM-1","itemData":{"DOI":"10.1093/ageing/afy169","ISSN":"14682834","PMID":"30312372","abstract":"Background in 2010, the European Working Group on Sarcopenia in Older People (EWGSOP) published a sarcopenia definition that aimed to foster advances in identifying and caring for people with sarcopenia. In early 2018, the Working Group met again (EWGSOP2) to update the original definition in order to reflect scientific and clinical evidence that has built over the last decade. This paper presents our updated findings. Objectives to increase consistency of research design, clinical diagnoses and ultimately, care for people with sarcopenia. Recommendations sarcopenia is a muscle disease (muscle failure) rooted in adverse muscle changes that accrue across a lifetime; sarcopenia is common among adults of older age but can also occur earlier in life. In this updated consensus paper on sarcopenia, EWGSOP2: (1) focuses on low muscle strength as a key characteristic of sarcopenia, uses detection of low muscle quantity and quality to confirm the sarcopenia diagnosis, and identifies poor physical performance as indicative of severe sarcopenia; (2) updates the clinical algorithm that can be used for sarcopenia case-finding, diagnosis and confirmation, and severity determination and (3) provides clear cut-off points for measurements of variables that identify and characterise sarcopenia. Conclusions EWGSOP2's updated recommendations aim to increase awareness of sarcopenia and its risk. With these new recommendations, EWGSOP2 calls for healthcare professionals who treat patients at risk for sarcopenia to take actions that will promote early detection and treatment. We also encourage more research in the field of sarcopenia in order to prevent or delay adverse health outcomes that incur a heavy burden for patients and healthcare systems.","author":[{"dropping-particle":"","family":"Cruz-Jentoft","given":"Alfonso J.","non-dropping-particle":"","parse-names":false,"suffix":""},{"dropping-particle":"","family":"Bahat","given":"Gülistan","non-dropping-particle":"","parse-names":false,"suffix":""},{"dropping-particle":"","family":"Bauer","given":"Jürgen","non-dropping-particle":"","parse-names":false,"suffix":""},{"dropping-particle":"","family":"Boirie","given":"Yves","non-dropping-particle":"","parse-names":false,"suffix":""},{"dropping-particle":"","family":"Bruyère","given":"Olivier","non-dropping-particle":"","parse-names":false,"suffix":""},{"dropping-particle":"","family":"Cederholm","given":"Tommy","non-dropping-particle":"","parse-names":false,"suffix":""},{"dropping-particle":"","family":"Cooper","given":"Cyrus","non-dropping-particle":"","parse-names":false,"suffix":""},{"dropping-particle":"","family":"Landi","given":"Francesco","non-dropping-particle":"","parse-names":false,"suffix":""},{"dropping-particle":"","family":"Rolland","given":"Yves","non-dropping-particle":"","parse-names":false,"suffix":""},{"dropping-particle":"","family":"Sayer","given":"Avan Aihie","non-dropping-particle":"","parse-names":false,"suffix":""},{"dropping-particle":"","family":"Schneider","given":"Stéphane M.","non-dropping-particle":"","parse-names":false,"suffix":""},{"dropping-particle":"","family":"Sieber","given":"Cornel C.","non-dropping-particle":"","parse-names":false,"suffix":""},{"dropping-particle":"","family":"Topinkova","given":"Eva","non-dropping-particle":"","parse-names":false,"suffix":""},{"dropping-particle":"","family":"Vandewoude","given":"Maurits","non-dropping-particle":"","parse-names":false,"suffix":""},{"dropping-particle":"","family":"Visser","given":"Marjolein","non-dropping-particle":"","parse-names":false,"suffix":""},{"dropping-particle":"","family":"Zamboni","given":"Mauro","non-dropping-particle":"","parse-names":false,"suffix":""},{"dropping-particle":"","family":"Bautmans","given":"Ivan","non-dropping-particle":"","parse-names":false,"suffix":""},{"dropping-particle":"","family":"Baeyens","given":"Jean Pierre","non-dropping-particle":"","parse-names":false,"suffix":""},{"dropping-particle":"","family":"Cesari","given":"Matteo","non-dropping-particle":"","parse-names":false,"suffix":""},{"dropping-particle":"","family":"Cherubini","given":"Antonio","non-dropping-particle":"","parse-names":false,"suffix":""},{"dropping-particle":"","family":"Kanis","given":"John","non-dropping-particle":"","parse-names":false,"suffix":""},{"dropping-particle":"","family":"Maggio","given":"Marcello","non-dropping-particle":"","parse-names":false,"suffix":""},{"dropping-particle":"","family":"Martin","given":"Finbarr","non-dropping-particle":"","parse-names":false,"suffix":""},{"dropping-particle":"","family":"Michel","given":"Jean Pierre","non-dropping-particle":"","parse-names":false,"suffix":""},{"dropping-particle":"","family":"Pitkala","given":"Kaisu","non-dropping-particle":"","parse-names":false,"suffix":""},{"dropping-particle":"","family":"Reginster","given":"Jean Yves","non-dropping-particle":"","parse-names":false,"suffix":""},{"dropping-particle":"","family":"Rizzoli","given":"René","non-dropping-particle":"","parse-names":false,"suffix":""},{"dropping-particle":"","family":"Sánchez-Rodríguez","given":"Dolores","non-dropping-particle":"","parse-names":false,"suffix":""},{"dropping-particle":"","family":"Schols","given":"Jos","non-dropping-particle":"","parse-names":false,"suffix":""}],"container-title":"Age and Ageing","id":"ITEM-1","issue":"1","issued":{"date-parts":[["2019","1","1"]]},"page":"16-31","publisher":"Oxford University Press","title":"Sarcopenia: Revised European consensus on definition and diagnosis","type":"article-journal","volume":"48"},"uris":["http://www.mendeley.com/documents/?uuid=3dfcd8ad-f877-3147-98c9-b07664c15a64"]}],"mendeley":{"formattedCitation":"[6]","plainTextFormattedCitation":"[6]","previouslyFormattedCitation":"[6]"},"properties":{"noteIndex":0},"schema":"https://github.com/citation-style-language/schema/raw/master/csl-citation.json"}</w:instrText>
      </w:r>
      <w:r w:rsidR="009D41B2">
        <w:rPr>
          <w:rFonts w:cstheme="minorHAnsi"/>
          <w:lang w:val="en-US"/>
        </w:rPr>
        <w:fldChar w:fldCharType="separate"/>
      </w:r>
      <w:r w:rsidRPr="00C24D4F">
        <w:rPr>
          <w:rFonts w:cstheme="minorHAnsi"/>
          <w:noProof/>
          <w:lang w:val="en-US"/>
        </w:rPr>
        <w:t>[6]</w:t>
      </w:r>
      <w:r w:rsidR="009D41B2">
        <w:rPr>
          <w:rFonts w:cstheme="minorHAnsi"/>
          <w:lang w:val="en-US"/>
        </w:rPr>
        <w:fldChar w:fldCharType="end"/>
      </w:r>
      <w:r w:rsidR="0040692C" w:rsidRPr="004A2775">
        <w:rPr>
          <w:rFonts w:cstheme="minorHAnsi"/>
          <w:lang w:val="en-US"/>
        </w:rPr>
        <w:t xml:space="preserve">, </w:t>
      </w:r>
      <w:r w:rsidR="000E745A">
        <w:rPr>
          <w:rFonts w:cstheme="minorHAnsi"/>
          <w:lang w:val="en-US"/>
        </w:rPr>
        <w:t>but</w:t>
      </w:r>
      <w:r w:rsidR="005F43FF" w:rsidRPr="004A2775">
        <w:rPr>
          <w:rFonts w:cstheme="minorHAnsi"/>
          <w:lang w:val="en-US"/>
        </w:rPr>
        <w:t xml:space="preserve"> it is possible </w:t>
      </w:r>
      <w:r w:rsidR="004A2775">
        <w:rPr>
          <w:rFonts w:cstheme="minorHAnsi"/>
          <w:lang w:val="en-US"/>
        </w:rPr>
        <w:t xml:space="preserve">that it is </w:t>
      </w:r>
      <w:r w:rsidR="005F43FF" w:rsidRPr="004A2775">
        <w:rPr>
          <w:rFonts w:cstheme="minorHAnsi"/>
          <w:lang w:val="en-US"/>
        </w:rPr>
        <w:t xml:space="preserve">more adversely affected by </w:t>
      </w:r>
      <w:r w:rsidR="00D10020" w:rsidRPr="004A2775">
        <w:rPr>
          <w:rFonts w:cstheme="minorHAnsi"/>
          <w:lang w:val="en-US"/>
        </w:rPr>
        <w:t xml:space="preserve">gait ability and/or </w:t>
      </w:r>
      <w:r w:rsidR="005F43FF" w:rsidRPr="004A2775">
        <w:rPr>
          <w:rFonts w:cstheme="minorHAnsi"/>
          <w:lang w:val="en-US"/>
        </w:rPr>
        <w:t>severe weakness that lead</w:t>
      </w:r>
      <w:r w:rsidR="00AD594C">
        <w:rPr>
          <w:rFonts w:cstheme="minorHAnsi"/>
          <w:lang w:val="en-US"/>
        </w:rPr>
        <w:t>s</w:t>
      </w:r>
      <w:r w:rsidR="005F43FF" w:rsidRPr="004A2775">
        <w:rPr>
          <w:rFonts w:cstheme="minorHAnsi"/>
          <w:lang w:val="en-US"/>
        </w:rPr>
        <w:t xml:space="preserve"> to falls and fractures</w:t>
      </w:r>
      <w:r w:rsidR="00437D67">
        <w:rPr>
          <w:rFonts w:cstheme="minorHAnsi"/>
          <w:lang w:val="en-US"/>
        </w:rPr>
        <w:t xml:space="preserve"> </w:t>
      </w:r>
      <w:bookmarkEnd w:id="14"/>
      <w:r w:rsidR="00435513" w:rsidRPr="004A2775">
        <w:rPr>
          <w:rFonts w:cstheme="minorHAnsi"/>
          <w:lang w:val="en-US"/>
        </w:rPr>
        <w:fldChar w:fldCharType="begin" w:fldLock="1"/>
      </w:r>
      <w:r w:rsidR="000539F2">
        <w:rPr>
          <w:rFonts w:cstheme="minorHAnsi"/>
          <w:lang w:val="en-US"/>
        </w:rPr>
        <w:instrText>ADDIN CSL_CITATION {"citationItems":[{"id":"ITEM-1","itemData":{"DOI":"10.1093/ageing/afs197","ISSN":"00020729","PMID":"23384705","abstract":"Introduction: sarcopenia is associated with adverse health outcomes. The aim of this study was to describe the prevalence of sarcopenia in community-dwelling older people in the UK using the European Working Group on Sarcopenia in Older People (EWGSOP) consensus definition.Methods: we applied the EWGSOP definition to 103 community-dwelling men participating in the Hertfordshire Sarcopenia Study (HSS) using both the lowest third of dual-energy X-ray absorptiometry (DXA) lean mass (LM) and the lowest third of skin-fold-based fat-free mass (FFM) as markers of low muscle mass. We also used the FFM approach among 765 male and 1,022 female participants in the Hertfordshire Cohort Study (HCS). Body size, physical performance and self-reported health were compared in participants with and without sarcopenia.Results: the prevalence of sarcopenia in HSS men (mean age 73 years) was 6.8% and 7.8% when using the lowest third of DXA LM and FFM, respectively. DXA LM and FFM were highly correlated (0.91, P &lt; 0.001). The prevalence of sarcopenia among the HCS men and women (mean age 67 years) was 4.6% and 7.9%, respectively. HSS and HCS participants with sarcopenia were shorter, weighed less and had worse physical performance. HCS men and women with sarcopenia had poorer self-reported general health and physical functioning scores.Conclusions: this is one of the first studies to describe the prevalence of sarcopenia in UK community-dwelling older people. The EWGSOP consensus definition was of practical use for sarcopenia case finding. The next step is to use this consensus definition in other ageing cohorts and among older people in a range of health-care settings. © The Author 2013. Published by Oxford University Press on behalf of the British Geriatrics Society.","author":[{"dropping-particle":"","family":"Patel","given":"Harnish P.","non-dropping-particle":"","parse-names":false,"suffix":""},{"dropping-particle":"","family":"Syddall","given":"Holly Emma","non-dropping-particle":"","parse-names":false,"suffix":""},{"dropping-particle":"","family":"Jameson","given":"Karen","non-dropping-particle":"","parse-names":false,"suffix":""},{"dropping-particle":"","family":"Robinson","given":"Sian","non-dropping-particle":"","parse-names":false,"suffix":""},{"dropping-particle":"","family":"Denison","given":"Hayley","non-dropping-particle":"","parse-names":false,"suffix":""},{"dropping-particle":"","family":"Roberts","given":"Helen C.","non-dropping-particle":"","parse-names":false,"suffix":""},{"dropping-particle":"","family":"Edwards","given":"Mark","non-dropping-particle":"","parse-names":false,"suffix":""},{"dropping-particle":"","family":"Dennison","given":"Elaine","non-dropping-particle":"","parse-names":false,"suffix":""},{"dropping-particle":"","family":"Cooper","given":"Cyrus","non-dropping-particle":"","parse-names":false,"suffix":""},{"dropping-particle":"","family":"Sayer","given":"Avan Aihie","non-dropping-particle":"","parse-names":false,"suffix":""}],"container-title":"Age and Ageing","id":"ITEM-1","issue":"3","issued":{"date-parts":[["2013","5","1"]]},"page":"378-384","publisher":"Oxford Academic","title":"Prevalence of sarcopenia in community-dwelling older people in the UK using the European Working Group on Sarcopenia in Older People (EWGSOP) definition: Findings from the Hertfordshire Cohort Study (HCS)","type":"article-journal","volume":"42"},"uris":["http://www.mendeley.com/documents/?uuid=3e3cb400-57ca-3bc1-b723-fc9f06a0727f"]}],"mendeley":{"formattedCitation":"[17]","plainTextFormattedCitation":"[17]","previouslyFormattedCitation":"[17]"},"properties":{"noteIndex":0},"schema":"https://github.com/citation-style-language/schema/raw/master/csl-citation.json"}</w:instrText>
      </w:r>
      <w:r w:rsidR="00435513" w:rsidRPr="004A2775">
        <w:rPr>
          <w:rFonts w:cstheme="minorHAnsi"/>
          <w:lang w:val="en-US"/>
        </w:rPr>
        <w:fldChar w:fldCharType="separate"/>
      </w:r>
      <w:r w:rsidR="002E3EB2" w:rsidRPr="002E3EB2">
        <w:rPr>
          <w:rFonts w:cstheme="minorHAnsi"/>
          <w:noProof/>
          <w:lang w:val="en-US"/>
        </w:rPr>
        <w:t>[17]</w:t>
      </w:r>
      <w:r w:rsidR="00435513" w:rsidRPr="004A2775">
        <w:rPr>
          <w:rFonts w:cstheme="minorHAnsi"/>
          <w:lang w:val="en-US"/>
        </w:rPr>
        <w:fldChar w:fldCharType="end"/>
      </w:r>
      <w:r w:rsidR="005F43FF" w:rsidRPr="004A2775">
        <w:rPr>
          <w:rFonts w:cstheme="minorHAnsi"/>
          <w:lang w:val="en-US"/>
        </w:rPr>
        <w:t>.</w:t>
      </w:r>
      <w:r w:rsidR="00CE4D33">
        <w:rPr>
          <w:rFonts w:cstheme="minorHAnsi"/>
          <w:lang w:val="en-US"/>
        </w:rPr>
        <w:t xml:space="preserve"> Two main types of gait speed assessment </w:t>
      </w:r>
      <w:r w:rsidR="00CE3EFC">
        <w:rPr>
          <w:rFonts w:cstheme="minorHAnsi"/>
          <w:lang w:val="en-US"/>
        </w:rPr>
        <w:t>exist:</w:t>
      </w:r>
      <w:r w:rsidR="00CE4D33">
        <w:rPr>
          <w:rFonts w:cstheme="minorHAnsi"/>
          <w:lang w:val="en-US"/>
        </w:rPr>
        <w:t xml:space="preserve"> the short-and long-distance gait test. </w:t>
      </w:r>
      <w:r w:rsidR="003D3BE9" w:rsidRPr="003D3BE9">
        <w:t xml:space="preserve">Some groups favour the use of long distance gait speed for its established relationship to mobility disability and public health relevance </w:t>
      </w:r>
      <w:r w:rsidR="003D3BE9" w:rsidRPr="003D3BE9">
        <w:fldChar w:fldCharType="begin" w:fldLock="1"/>
      </w:r>
      <w:r w:rsidR="000539F2">
        <w:instrText>ADDIN CSL_CITATION {"citationItems":[{"id":"ITEM-1","itemData":{"ISSN":"2260-1341","PMID":"26568949","abstract":"Major mobility disability (MMD) (1, 2), defined as inability to walk ¼ mile or 400 m, is a relevant definite outcome in clinical trials. MMD is of major public health significance. Ability to walk ¼ mile is measured in the US census (3) and in most epidemiologic surveys (4). The MMD outcome based on the 400 m walk test is a feasible, objective, reliable (5), well-validated and important clinical and public health outcome in older people (1, 2, 6), which has been successfully implemented in the LIFE-Pilot and LIFE (7, 8). We have shown it to be a more efficient outcome for clinical trials than self-reported disability or the Short Physical Performance Battery (SPPB) (9). Public health agencies use ability to walk ¼ mile or 400 m to define need and policy impact of interventions (4). Finally, people reporting the inability to walk 400 m incur higher health care costs of $4,000 per person per year, compared with those not reporting inability to walk 400 m (4, 6, 10-12) MMD is operationalized as the inability to complete a 400 m walk test within 15 min without sitting or help of another person or walker (2). Completing the walk in &gt;15 min would be in an extremely slow pace (&lt;0.45 m/sec), which is of little utility in daily life (13). A higher cut point (30 or 60 min), makes the assessment impractical and does not add to the clinical significance of the outcome. The time to walk 400 meters and the ability to complete the test will provide data to test effects of the interventions resulting from both attenuation of decline and increase in walking speed. Non-completion of this test can be addressed by adjudicating MMD based on objective inability to walk 4 m in &lt; 10 sec, or self-, proxy-, or medical record-reported inability to walk across a room. We have developed a detailed manual of procedures to define specific criteria for meeting this endpoint with great specificity. In LIFE, only 13.8% of MMD cases were determined by these alternative measures. Meaningful change in speed and time to cover 400 m was assessed in LIFE Pilot using anchor and distributional methods: 0.095 m/sec was a substantial change (from 490±57/2 sec, a 57 sec difference), and 0.038 m/sec was a small change (from 490±23/2 sec, a 23 sec","author":[{"dropping-particle":"","family":"Pahor","given":"M","non-dropping-particle":"","parse-names":false,"suffix":""},{"dropping-particle":"","family":"Pahor","given":"Marco","non-dropping-particle":"","parse-names":false,"suffix":""}],"container-title":"The Journal of frailty &amp; aging","id":"ITEM-1","issue":"3","issued":{"date-parts":[["2015"]]},"page":"123","publisher":"NIH Public Access","title":"MOBILITY AND FUNCTIONAL OUTCOMES FOR SARCOPENIA TRIALS","type":"article-journal","volume":"4"},"uris":["http://www.mendeley.com/documents/?uuid=debc6f71-6834-3696-b6df-726d2a6c8731"]},{"id":"ITEM-2","itemData":{"DOI":"10.1519/JPT.0b013e318248e20d","ISSN":"15398412","PMID":"22415358","abstract":"Background and Purpose: Walking speed is associated with several health-related outcomes. Research examining how differences in test walking distance affect walking speed reliability and validity is limited. The primary purpose of this study was to examine the reliability and concurrent validity of gait speed measurements obtained from a 4-Meter Walk Test compared with the commonly used 10-Meter Walk Test. A second objective was to similarly examine 2 different timing methods: stopwatch and automatic timers. Methods: Forty-three healthy, older adults (mean age = 84.3 ± 6. 9 years) performed 3 consecu tive walking trials on the 4- and 10-Meter Walk Tests at their self-selected walking speed. Results: Gait speed measurements for both tests were shown to have excellent test-retest reliability (ICC values of 0.96-0.98), with simila r results for stopwatch and automatic timer assessments (ICC values of 0.99-1.00). Standard error o f the measurement (SEM) values were small (0.004-0.008 m/s) across measurement methods. While the ICC value for gait speed measurements between the 2 walk tests was 0.93, the Bland-Altman analysis revealed a discrepancy of ±0.15 to ±0.17 m/s between measurement methods. Discussion: Both 4- and 10-m gait speed assessments had excellent test-retest reliability with similar SEM and minimal detectable change values. There was little difference in SEM values between the 2 timing methods. While the mean difference in gait speed between the 4- and 10-Meter Walk Tests was small, the range of the measurement differences was large enough to potentially mask meaningful changes in gait speed over time if both methods were used interchangeably. Conclusions: While the reliability of both walking tests is excellent, the 4-Meter Walk Test does not exhibit a high enough degree of concurrent validity with the 10-Meter Walk Test to be used interchangeably for gait speed assessments in healthy, older adults. We therefore recommend using the 10-Meter Walk Test to obtain the most valid clinical assessment of walking speed when using it as a 1-time indicator of health status. Copyright © 2013 The Section on Geriatrics of the American Physical Therapy Association.","author":[{"dropping-particle":"","family":"Peters","given":"Denise M.","non-dropping-particle":"","parse-names":false,"suffix":""},{"dropping-particle":"","family":"Fritz","given":"Stacy L.","non-dropping-particle":"","parse-names":false,"suffix":""},{"dropping-particle":"","family":"Krotish","given":"Debra E.","non-dropping-particle":"","parse-names":false,"suffix":""}],"container-title":"Journal of Geriatric Physical Therapy","id":"ITEM-2","issue":"1","issued":{"date-parts":[["2013"]]},"page":"24-30","title":"Assessing the reliability and validity of a shorter walk test compared with the 10-Meter Walk Test for measurements of gait speed in healthy, older adults","type":"article-journal","volume":"36"},"uris":["http://www.mendeley.com/documents/?uuid=4861ccd8-e318-4270-b350-cf605acb593f"]}],"mendeley":{"formattedCitation":"[18,19]","plainTextFormattedCitation":"[18,19]","previouslyFormattedCitation":"[18,19]"},"properties":{"noteIndex":0},"schema":"https://github.com/citation-style-language/schema/raw/master/csl-citation.json"}</w:instrText>
      </w:r>
      <w:r w:rsidR="003D3BE9" w:rsidRPr="003D3BE9">
        <w:fldChar w:fldCharType="separate"/>
      </w:r>
      <w:r w:rsidR="002E3EB2" w:rsidRPr="002E3EB2">
        <w:rPr>
          <w:noProof/>
        </w:rPr>
        <w:t>[18,19]</w:t>
      </w:r>
      <w:r w:rsidR="003D3BE9" w:rsidRPr="003D3BE9">
        <w:fldChar w:fldCharType="end"/>
      </w:r>
      <w:r w:rsidR="003D3BE9" w:rsidRPr="003D3BE9">
        <w:t>.</w:t>
      </w:r>
      <w:r w:rsidR="00D10020" w:rsidRPr="004A2775">
        <w:rPr>
          <w:rFonts w:cstheme="minorHAnsi"/>
          <w:lang w:val="en-US"/>
        </w:rPr>
        <w:t xml:space="preserve"> </w:t>
      </w:r>
      <w:r w:rsidR="00CE3EFC">
        <w:t>Conversely, s</w:t>
      </w:r>
      <w:r w:rsidR="00CE3EFC">
        <w:rPr>
          <w:rFonts w:cstheme="minorHAnsi"/>
          <w:lang w:val="en-US"/>
        </w:rPr>
        <w:t>hort</w:t>
      </w:r>
      <w:r w:rsidR="00CE3EFC">
        <w:t xml:space="preserve"> gait tests can be used as surrogates for long-distance speed tests for the assessment of functional status in older adults, and are easily implemented into clinical practice </w:t>
      </w:r>
      <w:r w:rsidR="00CE3EFC">
        <w:fldChar w:fldCharType="begin" w:fldLock="1"/>
      </w:r>
      <w:r w:rsidR="000539F2">
        <w:instrText>ADDIN CSL_CITATION {"citationItems":[{"id":"ITEM-1","itemData":{"DOI":"10.1007/s00223-019-00545-w","ISBN":"0123456789","abstract":"It is well recognized that poor muscle function and poor physical performance are strong predictors of clinically relevant adverse events in older people. Given the large number of approaches to measure muscle function and physical performance, clinicians often struggle to choose a tool that is appropriate and validated for the population of older people they deal with. In this paper, an overview of different methods available and applicable in clinical settings is proposed. This paper is based on literature reviews performed by members of the European Society for Clinical and Economic Aspects of Osteoporosis and Osteoarthritis (ESCEO) working group on frailty and sarcopenia. Face-to-face meetings were organized afterwards where the whole group could amend and discuss the recommendations further. Several characteristics should be considered when choosing a tool: (1) purpose of the assessment (intervention, screening, diagnosis); (2) patient characteristics (population, settings, functional ability, etc.); (3) psychometric properties of the tool (test-retest reliability, inter-rater reliability, responsiveness, floor and ceiling effects, etc.); (4) applicability of the tool in clinical settings (overall cost, time required for the examination, level of training, equipment, patient acceptance, etc.); (5) prognostic reliability for relevant clinical outcomes. Based on these criteria and the available evidence, the expert group advises the use of grip strength to measure muscle strength and the use of 4-m gait speed or the Short Physical Performance Battery test to measure physical performance in daily practice. The tools proposed are relevant for the assessment of muscle weakness and physical performance. Subjects with low values should receive additional diagnostic workups to achieve a full diagnosis of the underlying condition responsible (sarcopenia, frailty or other).","author":[{"dropping-particle":"","family":"Beaudart","given":"Charlotte","non-dropping-particle":"","parse-names":false,"suffix":""},{"dropping-particle":"","family":"Rolland","given":"Yves","non-dropping-particle":"","parse-names":false,"suffix":""},{"dropping-particle":"","family":"Cruz-Jentoft","given":"Alfonso J","non-dropping-particle":"","parse-names":false,"suffix":""},{"dropping-particle":"","family":"Bauer","given":"Jürgen M","non-dropping-particle":"","parse-names":false,"suffix":""},{"dropping-particle":"","family":"Sieber","given":"Cornel","non-dropping-particle":"","parse-names":false,"suffix":""},{"dropping-particle":"","family":"Cooper","given":"Cyrus","non-dropping-particle":"","parse-names":false,"suffix":""},{"dropping-particle":"","family":"Al-Daghri","given":"Nasser","non-dropping-particle":"","parse-names":false,"suffix":""},{"dropping-particle":"","family":"Araujo de Carvalho","given":"Islene","non-dropping-particle":"","parse-names":false,"suffix":""},{"dropping-particle":"","family":"Bautmans","given":"Ivan","non-dropping-particle":"","parse-names":false,"suffix":""},{"dropping-particle":"","family":"Bernabei","given":"Roberto","non-dropping-particle":"","parse-names":false,"suffix":""},{"dropping-particle":"","family":"Bruyère","given":"Olivier","non-dropping-particle":"","parse-names":false,"suffix":""},{"dropping-particle":"","family":"Cesari","given":"Matteo","non-dropping-particle":"","parse-names":false,"suffix":""},{"dropping-particle":"","family":"Cherubini","given":"Antonio","non-dropping-particle":"","parse-names":false,"suffix":""},{"dropping-particle":"","family":"Dawson-Hughes","given":"Bess","non-dropping-particle":"","parse-names":false,"suffix":""},{"dropping-particle":"","family":"Kanis","given":"John A","non-dropping-particle":"","parse-names":false,"suffix":""},{"dropping-particle":"","family":"Kaufman","given":"Jean-Marc","non-dropping-particle":"","parse-names":false,"suffix":""},{"dropping-particle":"","family":"Landi","given":"Francesco","non-dropping-particle":"","parse-names":false,"suffix":""},{"dropping-particle":"","family":"Maggi","given":"Stefania","non-dropping-particle":"","parse-names":false,"suffix":""},{"dropping-particle":"","family":"McCloskey","given":"Eugene","non-dropping-particle":"","parse-names":false,"suffix":""},{"dropping-particle":"","family":"Petermans","given":"Jean","non-dropping-particle":"","parse-names":false,"suffix":""},{"dropping-particle":"","family":"Rodriguez Mañas","given":"Leocadio","non-dropping-particle":"","parse-names":false,"suffix":""},{"dropping-particle":"","family":"Reginster","given":"Jean-Yves","non-dropping-particle":"","parse-names":false,"suffix":""},{"dropping-particle":"","family":"Roller-Wirnsberger","given":"Regina","non-dropping-particle":"","parse-names":false,"suffix":""},{"dropping-particle":"","family":"Schaap","given":"Laura A","non-dropping-particle":"","parse-names":false,"suffix":""},{"dropping-particle":"","family":"Uebelhart","given":"Daniel","non-dropping-particle":"","parse-names":false,"suffix":""},{"dropping-particle":"","family":"Rizzoli","given":"René","non-dropping-particle":"","parse-names":false,"suffix":""},{"dropping-particle":"","family":"Fielding","given":"Roger A","non-dropping-particle":"","parse-names":false,"suffix":""}],"container-title":"Calcified Tissue International","id":"ITEM-1","issued":{"date-parts":[["2019"]]},"page":"1-14","title":"Assessment of Muscle Function and Physical Performance in Daily Clinical Practice A position paper endorsed by the European Society for Clinical and Economic Aspects of Osteoporosis, Osteoarthritis and Musculoskeletal Diseases (ESCEO)","type":"article-journal","volume":"105"},"uris":["http://www.mendeley.com/documents/?uuid=d5e79bdb-9210-3a2f-8920-251515e241eb"]},{"id":"ITEM-2","itemData":{"DOI":"10.1093/ageing/afy169","ISSN":"14682834","PMID":"30312372","abstract":"Background in 2010, the European Working Group on Sarcopenia in Older People (EWGSOP) published a sarcopenia definition that aimed to foster advances in identifying and caring for people with sarcopenia. In early 2018, the Working Group met again (EWGSOP2) to update the original definition in order to reflect scientific and clinical evidence that has built over the last decade. This paper presents our updated findings. Objectives to increase consistency of research design, clinical diagnoses and ultimately, care for people with sarcopenia. Recommendations sarcopenia is a muscle disease (muscle failure) rooted in adverse muscle changes that accrue across a lifetime; sarcopenia is common among adults of older age but can also occur earlier in life. In this updated consensus paper on sarcopenia, EWGSOP2: (1) focuses on low muscle strength as a key characteristic of sarcopenia, uses detection of low muscle quantity and quality to confirm the sarcopenia diagnosis, and identifies poor physical performance as indicative of severe sarcopenia; (2) updates the clinical algorithm that can be used for sarcopenia case-finding, diagnosis and confirmation, and severity determination and (3) provides clear cut-off points for measurements of variables that identify and characterise sarcopenia. Conclusions EWGSOP2's updated recommendations aim to increase awareness of sarcopenia and its risk. With these new recommendations, EWGSOP2 calls for healthcare professionals who treat patients at risk for sarcopenia to take actions that will promote early detection and treatment. We also encourage more research in the field of sarcopenia in order to prevent or delay adverse health outcomes that incur a heavy burden for patients and healthcare systems.","author":[{"dropping-particle":"","family":"Cruz-Jentoft","given":"Alfonso J.","non-dropping-particle":"","parse-names":false,"suffix":""},{"dropping-particle":"","family":"Bahat","given":"Gülistan","non-dropping-particle":"","parse-names":false,"suffix":""},{"dropping-particle":"","family":"Bauer","given":"Jürgen","non-dropping-particle":"","parse-names":false,"suffix":""},{"dropping-particle":"","family":"Boirie","given":"Yves","non-dropping-particle":"","parse-names":false,"suffix":""},{"dropping-particle":"","family":"Bruyère","given":"Olivier","non-dropping-particle":"","parse-names":false,"suffix":""},{"dropping-particle":"","family":"Cederholm","given":"Tommy","non-dropping-particle":"","parse-names":false,"suffix":""},{"dropping-particle":"","family":"Cooper","given":"Cyrus","non-dropping-particle":"","parse-names":false,"suffix":""},{"dropping-particle":"","family":"Landi","given":"Francesco","non-dropping-particle":"","parse-names":false,"suffix":""},{"dropping-particle":"","family":"Rolland","given":"Yves","non-dropping-particle":"","parse-names":false,"suffix":""},{"dropping-particle":"","family":"Sayer","given":"Avan Aihie","non-dropping-particle":"","parse-names":false,"suffix":""},{"dropping-particle":"","family":"Schneider","given":"Stéphane M.","non-dropping-particle":"","parse-names":false,"suffix":""},{"dropping-particle":"","family":"Sieber","given":"Cornel C.","non-dropping-particle":"","parse-names":false,"suffix":""},{"dropping-particle":"","family":"Topinkova","given":"Eva","non-dropping-particle":"","parse-names":false,"suffix":""},{"dropping-particle":"","family":"Vandewoude","given":"Maurits","non-dropping-particle":"","parse-names":false,"suffix":""},{"dropping-particle":"","family":"Visser","given":"Marjolein","non-dropping-particle":"","parse-names":false,"suffix":""},{"dropping-particle":"","family":"Zamboni","given":"Mauro","non-dropping-particle":"","parse-names":false,"suffix":""},{"dropping-particle":"","family":"Bautmans","given":"Ivan","non-dropping-particle":"","parse-names":false,"suffix":""},{"dropping-particle":"","family":"Baeyens","given":"Jean Pierre","non-dropping-particle":"","parse-names":false,"suffix":""},{"dropping-particle":"","family":"Cesari","given":"Matteo","non-dropping-particle":"","parse-names":false,"suffix":""},{"dropping-particle":"","family":"Cherubini","given":"Antonio","non-dropping-particle":"","parse-names":false,"suffix":""},{"dropping-particle":"","family":"Kanis","given":"John","non-dropping-particle":"","parse-names":false,"suffix":""},{"dropping-particle":"","family":"Maggio","given":"Marcello","non-dropping-particle":"","parse-names":false,"suffix":""},{"dropping-particle":"","family":"Martin","given":"Finbarr","non-dropping-particle":"","parse-names":false,"suffix":""},{"dropping-particle":"","family":"Michel","given":"Jean Pierre","non-dropping-particle":"","parse-names":false,"suffix":""},{"dropping-particle":"","family":"Pitkala","given":"Kaisu","non-dropping-particle":"","parse-names":false,"suffix":""},{"dropping-particle":"","family":"Reginster","given":"Jean Yves","non-dropping-particle":"","parse-names":false,"suffix":""},{"dropping-particle":"","family":"Rizzoli","given":"René","non-dropping-particle":"","parse-names":false,"suffix":""},{"dropping-particle":"","family":"Sánchez-Rodríguez","given":"Dolores","non-dropping-particle":"","parse-names":false,"suffix":""},{"dropping-particle":"","family":"Schols","given":"Jos","non-dropping-particle":"","parse-names":false,"suffix":""}],"container-title":"Age and Ageing","id":"ITEM-2","issue":"1","issued":{"date-parts":[["2019","1","1"]]},"page":"16-31","publisher":"Oxford University Press","title":"Sarcopenia: Revised European consensus on definition and diagnosis","type":"article-journal","volume":"48"},"uris":["http://www.mendeley.com/documents/?uuid=3dfcd8ad-f877-3147-98c9-b07664c15a64"]}],"mendeley":{"formattedCitation":"[6,20]","plainTextFormattedCitation":"[6,20]","previouslyFormattedCitation":"[6,20]"},"properties":{"noteIndex":0},"schema":"https://github.com/citation-style-language/schema/raw/master/csl-citation.json"}</w:instrText>
      </w:r>
      <w:r w:rsidR="00CE3EFC">
        <w:fldChar w:fldCharType="separate"/>
      </w:r>
      <w:r w:rsidR="002E3EB2" w:rsidRPr="002E3EB2">
        <w:rPr>
          <w:noProof/>
        </w:rPr>
        <w:t>[6,20]</w:t>
      </w:r>
      <w:r w:rsidR="00CE3EFC">
        <w:fldChar w:fldCharType="end"/>
      </w:r>
      <w:r w:rsidR="00CE3EFC">
        <w:t xml:space="preserve">. </w:t>
      </w:r>
      <w:r w:rsidR="002A2685" w:rsidRPr="004A2775">
        <w:rPr>
          <w:rFonts w:cstheme="minorHAnsi"/>
          <w:lang w:val="en-US"/>
        </w:rPr>
        <w:t xml:space="preserve">Thus, we </w:t>
      </w:r>
      <w:r w:rsidR="004A2775">
        <w:rPr>
          <w:rFonts w:cstheme="minorHAnsi"/>
          <w:lang w:val="en-US"/>
        </w:rPr>
        <w:t>suggest</w:t>
      </w:r>
      <w:r w:rsidR="002A2685" w:rsidRPr="004A2775">
        <w:rPr>
          <w:rFonts w:cstheme="minorHAnsi"/>
          <w:lang w:val="en-US"/>
        </w:rPr>
        <w:t xml:space="preserve"> that gait speed </w:t>
      </w:r>
      <w:r w:rsidR="004A2775">
        <w:rPr>
          <w:rFonts w:cstheme="minorHAnsi"/>
          <w:lang w:val="en-US"/>
        </w:rPr>
        <w:t>combined</w:t>
      </w:r>
      <w:r w:rsidR="002A2685" w:rsidRPr="004A2775">
        <w:rPr>
          <w:rFonts w:cstheme="minorHAnsi"/>
          <w:lang w:val="en-US"/>
        </w:rPr>
        <w:t xml:space="preserve"> with o</w:t>
      </w:r>
      <w:r w:rsidR="00D10020" w:rsidRPr="004A2775">
        <w:rPr>
          <w:rFonts w:cstheme="minorHAnsi"/>
          <w:lang w:val="en-US"/>
        </w:rPr>
        <w:t>ther physical performance measures</w:t>
      </w:r>
      <w:r w:rsidR="002A2685" w:rsidRPr="004A2775">
        <w:rPr>
          <w:rFonts w:cstheme="minorHAnsi"/>
          <w:lang w:val="en-US"/>
        </w:rPr>
        <w:t>, such as chair stand</w:t>
      </w:r>
      <w:r w:rsidR="00664CF9">
        <w:rPr>
          <w:rFonts w:cstheme="minorHAnsi"/>
          <w:lang w:val="en-US"/>
        </w:rPr>
        <w:t xml:space="preserve"> test</w:t>
      </w:r>
      <w:r w:rsidR="002A2685" w:rsidRPr="004A2775">
        <w:rPr>
          <w:rFonts w:cstheme="minorHAnsi"/>
          <w:lang w:val="en-US"/>
        </w:rPr>
        <w:t>,</w:t>
      </w:r>
      <w:r w:rsidR="00D10020" w:rsidRPr="004A2775">
        <w:rPr>
          <w:rFonts w:cstheme="minorHAnsi"/>
          <w:lang w:val="en-US"/>
        </w:rPr>
        <w:t xml:space="preserve"> </w:t>
      </w:r>
      <w:r w:rsidR="0057330E">
        <w:rPr>
          <w:rFonts w:cstheme="minorHAnsi"/>
          <w:lang w:val="en-US"/>
        </w:rPr>
        <w:t>might</w:t>
      </w:r>
      <w:r w:rsidR="00D10020" w:rsidRPr="004A2775">
        <w:rPr>
          <w:rFonts w:cstheme="minorHAnsi"/>
          <w:lang w:val="en-US"/>
        </w:rPr>
        <w:t xml:space="preserve"> perform better as </w:t>
      </w:r>
      <w:r w:rsidR="004A2775">
        <w:rPr>
          <w:rFonts w:cstheme="minorHAnsi"/>
          <w:lang w:val="en-US"/>
        </w:rPr>
        <w:t xml:space="preserve">a </w:t>
      </w:r>
      <w:r w:rsidR="00D10020" w:rsidRPr="004A2775">
        <w:rPr>
          <w:rFonts w:cstheme="minorHAnsi"/>
          <w:lang w:val="en-US"/>
        </w:rPr>
        <w:t>predictor of falls and fractures</w:t>
      </w:r>
      <w:r w:rsidR="0040692C" w:rsidRPr="004A2775">
        <w:rPr>
          <w:rFonts w:cstheme="minorHAnsi"/>
          <w:lang w:val="en-US"/>
        </w:rPr>
        <w:t xml:space="preserve"> when assessing</w:t>
      </w:r>
      <w:r w:rsidR="00A01BF4">
        <w:rPr>
          <w:rFonts w:cstheme="minorHAnsi"/>
          <w:lang w:val="en-US"/>
        </w:rPr>
        <w:t xml:space="preserve"> </w:t>
      </w:r>
      <w:r w:rsidR="00435513" w:rsidRPr="004A2775">
        <w:rPr>
          <w:rFonts w:cstheme="minorHAnsi"/>
          <w:lang w:val="en-US"/>
        </w:rPr>
        <w:t>community</w:t>
      </w:r>
      <w:r w:rsidR="0040692C" w:rsidRPr="004A2775">
        <w:rPr>
          <w:rFonts w:cstheme="minorHAnsi"/>
          <w:lang w:val="en-US"/>
        </w:rPr>
        <w:t xml:space="preserve"> dwelling older adults</w:t>
      </w:r>
      <w:r w:rsidR="00D10020" w:rsidRPr="004A2775">
        <w:rPr>
          <w:rFonts w:cstheme="minorHAnsi"/>
          <w:lang w:val="en-US"/>
        </w:rPr>
        <w:t xml:space="preserve"> </w:t>
      </w:r>
      <w:r w:rsidR="00D10020" w:rsidRPr="004A2775">
        <w:rPr>
          <w:rFonts w:cstheme="minorHAnsi"/>
          <w:lang w:val="en-US"/>
        </w:rPr>
        <w:fldChar w:fldCharType="begin" w:fldLock="1"/>
      </w:r>
      <w:r w:rsidR="000539F2">
        <w:rPr>
          <w:rFonts w:cstheme="minorHAnsi"/>
          <w:lang w:val="en-US"/>
        </w:rPr>
        <w:instrText>ADDIN CSL_CITATION {"citationItems":[{"id":"ITEM-1","itemData":{"DOI":"10.1359/JBMR.080227","ISSN":"08840431","PMID":"18302496","abstract":"The aim of these analyses was to describe the association between physical performance and risk of hip fractures in older men. Performance on five physical function exams (leg power, grip strength, usual walking pace, narrow walk balance test, and five repeated chair stands) was assessed in 5902 men ≥65 yr of age. Performance (time to complete or strength) was analyzed as quartiles, with an additional category for unable to complete the measure, in proportional hazards models. Follow-up averaged 5.3 yr; 77 incident hip fractures were confirmed by physician review of radiology reports. Poor physical performance was associated with an increased risk of hip fracture. In particular, repeated chair stand performance was strongly related to hip fracture risk. Men unable to complete this exam were much more likely to experience a hip fracture than men in the fastest quartile of this test (multivariate hazard ratio [MHR]: 8.15; 95% CI: 2.65, 25.03). Men with the worst performance (weakest/slowest quartile or unable) on at least three exams had an increased risk of hip fracture compared with men with higher functioning (MHR: 3.14, 95% CI: 1.46, 6.73). Nearly two thirds of the hip fractures (N = 49, 64%) occurred in men with poor performance on at least three exams. Poor physical function is independently associated with an increased risk of hip fracture in older men. The repeated chair stands exam should be considered in clinical settings for evaluation of hip fracture risk. Concurrent poor performance on multiple physical function exams is associated with an increased risk of hip fractures. © 2008 American Society for Bone and Mineral Research.","author":[{"dropping-particle":"","family":"Cawthon","given":"Peggy Mannen","non-dropping-particle":"","parse-names":false,"suffix":""},{"dropping-particle":"","family":"Fullman","given":"Robin L.","non-dropping-particle":"","parse-names":false,"suffix":""},{"dropping-particle":"","family":"Marshall","given":"Lynn","non-dropping-particle":"","parse-names":false,"suffix":""},{"dropping-particle":"","family":"Mackey","given":"Dawn C.","non-dropping-particle":"","parse-names":false,"suffix":""},{"dropping-particle":"","family":"Fink","given":"Howard A.","non-dropping-particle":"","parse-names":false,"suffix":""},{"dropping-particle":"","family":"Cauley","given":"Jane A.","non-dropping-particle":"","parse-names":false,"suffix":""},{"dropping-particle":"","family":"Cummings","given":"Steven R.","non-dropping-particle":"","parse-names":false,"suffix":""},{"dropping-particle":"","family":"Orwoll","given":"Eric S.","non-dropping-particle":"","parse-names":false,"suffix":""},{"dropping-particle":"","family":"Ensrud","given":"Kristine E.","non-dropping-particle":"","parse-names":false,"suffix":""}],"container-title":"Journal of Bone and Mineral Research","id":"ITEM-1","issue":"7","issued":{"date-parts":[["2008","7"]]},"page":"1037","publisher":"American Society for Bone and Mineral Research","title":"Physical Performance and Risk of Hip Fractures in Older Men","type":"article-journal","volume":"23"},"uris":["http://www.mendeley.com/documents/?uuid=eb23ece3-23dc-3881-91d7-3d09af2dac18"]}],"mendeley":{"formattedCitation":"[16]","plainTextFormattedCitation":"[16]","previouslyFormattedCitation":"[16]"},"properties":{"noteIndex":0},"schema":"https://github.com/citation-style-language/schema/raw/master/csl-citation.json"}</w:instrText>
      </w:r>
      <w:r w:rsidR="00D10020" w:rsidRPr="004A2775">
        <w:rPr>
          <w:rFonts w:cstheme="minorHAnsi"/>
          <w:lang w:val="en-US"/>
        </w:rPr>
        <w:fldChar w:fldCharType="separate"/>
      </w:r>
      <w:r w:rsidR="002E3EB2" w:rsidRPr="002E3EB2">
        <w:rPr>
          <w:rFonts w:cstheme="minorHAnsi"/>
          <w:noProof/>
          <w:lang w:val="en-US"/>
        </w:rPr>
        <w:t>[16]</w:t>
      </w:r>
      <w:r w:rsidR="00D10020" w:rsidRPr="004A2775">
        <w:rPr>
          <w:rFonts w:cstheme="minorHAnsi"/>
          <w:lang w:val="en-US"/>
        </w:rPr>
        <w:fldChar w:fldCharType="end"/>
      </w:r>
      <w:r w:rsidR="00D10020" w:rsidRPr="004A2775">
        <w:rPr>
          <w:rFonts w:cstheme="minorHAnsi"/>
          <w:lang w:val="en-US"/>
        </w:rPr>
        <w:t xml:space="preserve">. </w:t>
      </w:r>
    </w:p>
    <w:p w14:paraId="0F105489" w14:textId="3062A33F" w:rsidR="002A2685" w:rsidRPr="004A2775" w:rsidRDefault="00797CED" w:rsidP="00797CED">
      <w:pPr>
        <w:jc w:val="both"/>
        <w:rPr>
          <w:rFonts w:cstheme="minorHAnsi"/>
          <w:lang w:val="en-US"/>
        </w:rPr>
      </w:pPr>
      <w:r w:rsidRPr="004A2775">
        <w:rPr>
          <w:rFonts w:cstheme="minorHAnsi"/>
          <w:lang w:val="en-US"/>
        </w:rPr>
        <w:t xml:space="preserve">There are </w:t>
      </w:r>
      <w:r w:rsidR="00126FBD" w:rsidRPr="004A2775">
        <w:rPr>
          <w:rFonts w:cstheme="minorHAnsi"/>
          <w:lang w:val="en-US"/>
        </w:rPr>
        <w:t>several</w:t>
      </w:r>
      <w:r w:rsidRPr="004A2775">
        <w:rPr>
          <w:rFonts w:cstheme="minorHAnsi"/>
          <w:lang w:val="en-US"/>
        </w:rPr>
        <w:t xml:space="preserve"> strengths and limitations to this work which was undertaken in a very </w:t>
      </w:r>
      <w:r w:rsidR="002A2685" w:rsidRPr="004A2775">
        <w:rPr>
          <w:rFonts w:cstheme="minorHAnsi"/>
          <w:lang w:val="en-US"/>
        </w:rPr>
        <w:t>well characterised cohort</w:t>
      </w:r>
      <w:r w:rsidRPr="004A2775">
        <w:rPr>
          <w:rFonts w:cstheme="minorHAnsi"/>
          <w:lang w:val="en-US"/>
        </w:rPr>
        <w:t xml:space="preserve"> that has previously been shown to be representative of the UK population </w:t>
      </w:r>
      <w:r w:rsidR="00362657">
        <w:rPr>
          <w:rFonts w:cstheme="minorHAnsi"/>
          <w:lang w:val="en-US"/>
        </w:rPr>
        <w:fldChar w:fldCharType="begin" w:fldLock="1"/>
      </w:r>
      <w:r w:rsidR="00C24D4F">
        <w:rPr>
          <w:rFonts w:cstheme="minorHAnsi"/>
          <w:lang w:val="en-US"/>
        </w:rPr>
        <w:instrText>ADDIN CSL_CITATION {"citationItems":[{"id":"ITEM-1","itemData":{"DOI":"10.12688/F1000RESEARCH.17457.1","ISSN":"1759796X","PMID":"30828442","abstract":"The Hertfordshire Cohort Study is a nationally unique study of men and women born in the English county of Hertfordshire in the early part of the 20 th century. Records that detail their health in infancy and childhood have been preserved, their sociodemographic, lifestyle, medical and biological attributes have been characterised in later life, and routinely collected data on their hospital use and mortality have been acquired. This paper provides an overview of the study since its inception in the 1980s, including its methods, findings, and plans for its future.","author":[{"dropping-particle":"","family":"Syddall","given":"Holly E.","non-dropping-particle":"","parse-names":false,"suffix":""},{"dropping-particle":"","family":"Simmonds","given":"Shirley J.","non-dropping-particle":"","parse-names":false,"suffix":""},{"dropping-particle":"","family":"Carter","given":"Sarah A.","non-dropping-particle":"","parse-names":false,"suffix":""},{"dropping-particle":"","family":"Robinson","given":"Sian M.","non-dropping-particle":"","parse-names":false,"suffix":""},{"dropping-particle":"","family":"Dennison","given":"Elaine M.","non-dropping-particle":"","parse-names":false,"suffix":""},{"dropping-particle":"","family":"Cooper","given":"Cyrus","non-dropping-particle":"","parse-names":false,"suffix":""},{"dropping-particle":"","family":"Bevilacqua","given":"Gregorio","non-dropping-particle":"","parse-names":false,"suffix":""},{"dropping-particle":"","family":"Bloom","given":"Ilse","non-dropping-particle":"","parse-names":false,"suffix":""},{"dropping-particle":"","family":"Clynes","given":"Michael","non-dropping-particle":"","parse-names":false,"suffix":""},{"dropping-particle":"","family":"Cox","given":"Ken","non-dropping-particle":"","parse-names":false,"suffix":""},{"dropping-particle":"","family":"Cox","given":"Vanessa","non-dropping-particle":"","parse-names":false,"suffix":""},{"dropping-particle":"","family":"Fuggle","given":"Nicholas","non-dropping-particle":"","parse-names":false,"suffix":""},{"dropping-particle":"","family":"Gale","given":"Catharine","non-dropping-particle":"","parse-names":false,"suffix":""},{"dropping-particle":"","family":"Holloway","given":"John","non-dropping-particle":"","parse-names":false,"suffix":""},{"dropping-particle":"","family":"Jameson","given":"Karen","non-dropping-particle":"","parse-names":false,"suffix":""},{"dropping-particle":"","family":"Parsons","given":"Camille","non-dropping-particle":"","parse-names":false,"suffix":""},{"dropping-particle":"","family":"Patel","given":"Harnish","non-dropping-particle":"","parse-names":false,"suffix":""},{"dropping-particle":"","family":"Ward","given":"Kate","non-dropping-particle":"","parse-names":false,"suffix":""},{"dropping-particle":"","family":"Westbury","given":"Leo","non-dropping-particle":"","parse-names":false,"suffix":""}],"container-title":"F1000Research","id":"ITEM-1","issued":{"date-parts":[["2019"]]},"publisher":"Faculty of 1000 Ltd","title":"The Hertfordshire Cohort Study: an overview","type":"article-journal","volume":"8"},"uris":["http://www.mendeley.com/documents/?uuid=0fe59414-3d54-39af-a0e9-ea2d5c765d90"]}],"mendeley":{"formattedCitation":"[7]","plainTextFormattedCitation":"[7]","previouslyFormattedCitation":"[7]"},"properties":{"noteIndex":0},"schema":"https://github.com/citation-style-language/schema/raw/master/csl-citation.json"}</w:instrText>
      </w:r>
      <w:r w:rsidR="00362657">
        <w:rPr>
          <w:rFonts w:cstheme="minorHAnsi"/>
          <w:lang w:val="en-US"/>
        </w:rPr>
        <w:fldChar w:fldCharType="separate"/>
      </w:r>
      <w:r w:rsidR="00C24D4F" w:rsidRPr="00C24D4F">
        <w:rPr>
          <w:rFonts w:cstheme="minorHAnsi"/>
          <w:noProof/>
          <w:lang w:val="en-US"/>
        </w:rPr>
        <w:t>[7]</w:t>
      </w:r>
      <w:r w:rsidR="00362657">
        <w:rPr>
          <w:rFonts w:cstheme="minorHAnsi"/>
          <w:lang w:val="en-US"/>
        </w:rPr>
        <w:fldChar w:fldCharType="end"/>
      </w:r>
      <w:r w:rsidR="006074A7">
        <w:rPr>
          <w:rFonts w:cstheme="minorHAnsi"/>
          <w:lang w:val="en-US"/>
        </w:rPr>
        <w:t>.</w:t>
      </w:r>
      <w:r w:rsidR="00AC5C7F">
        <w:rPr>
          <w:rFonts w:cstheme="minorHAnsi"/>
          <w:lang w:val="en-US"/>
        </w:rPr>
        <w:t xml:space="preserve"> </w:t>
      </w:r>
      <w:r w:rsidR="00AC5C7F" w:rsidRPr="00AC5C7F">
        <w:t>While the sex differences noted in our study insights into potential differential sex-specific mechanisms</w:t>
      </w:r>
      <w:r w:rsidR="00AC5C7F">
        <w:t xml:space="preserve"> </w:t>
      </w:r>
      <w:r w:rsidR="008B15D3">
        <w:t>, a healthy bias in males, as indicated by the relatively higher mean of grip strength and gait speed, and the use of specific cut-off points to define each sarcopenia components</w:t>
      </w:r>
      <w:r w:rsidR="00AC5C7F">
        <w:t xml:space="preserve"> should </w:t>
      </w:r>
      <w:r w:rsidR="008B15D3">
        <w:t xml:space="preserve">also </w:t>
      </w:r>
      <w:r w:rsidR="00AC5C7F">
        <w:t xml:space="preserve">be </w:t>
      </w:r>
      <w:r w:rsidR="008B15D3">
        <w:t>considered</w:t>
      </w:r>
      <w:r w:rsidR="00AC5C7F">
        <w:t xml:space="preserve"> </w:t>
      </w:r>
      <w:r w:rsidR="008B15D3">
        <w:t xml:space="preserve">as a contributing factor to the absence of associations between sarcopenia and falls and/or fractures in males. </w:t>
      </w:r>
      <w:r w:rsidR="002A2685" w:rsidRPr="004A2775">
        <w:rPr>
          <w:rFonts w:cstheme="minorHAnsi"/>
          <w:lang w:val="en-US"/>
        </w:rPr>
        <w:t xml:space="preserve">However, </w:t>
      </w:r>
      <w:r w:rsidRPr="004A2775">
        <w:rPr>
          <w:rFonts w:cstheme="minorHAnsi"/>
          <w:lang w:val="en-US"/>
        </w:rPr>
        <w:t>since the cohort is made up of community dwelling individuals</w:t>
      </w:r>
      <w:r w:rsidR="00041CD4">
        <w:rPr>
          <w:rFonts w:cstheme="minorHAnsi"/>
          <w:lang w:val="en-US"/>
        </w:rPr>
        <w:t>,</w:t>
      </w:r>
      <w:r w:rsidR="0046611F" w:rsidRPr="004A2775">
        <w:rPr>
          <w:rFonts w:cstheme="minorHAnsi"/>
          <w:lang w:val="en-US"/>
        </w:rPr>
        <w:t xml:space="preserve"> </w:t>
      </w:r>
      <w:r w:rsidR="002A2685" w:rsidRPr="004A2775">
        <w:rPr>
          <w:rFonts w:cstheme="minorHAnsi"/>
          <w:color w:val="000000"/>
          <w:shd w:val="clear" w:color="auto" w:fill="FFFFFF"/>
        </w:rPr>
        <w:t xml:space="preserve">generalisability of these findings </w:t>
      </w:r>
      <w:r w:rsidR="00041CD4">
        <w:rPr>
          <w:rFonts w:cstheme="minorHAnsi"/>
          <w:color w:val="000000"/>
          <w:shd w:val="clear" w:color="auto" w:fill="FFFFFF"/>
        </w:rPr>
        <w:t xml:space="preserve">to </w:t>
      </w:r>
      <w:r w:rsidR="002A2685" w:rsidRPr="004A2775">
        <w:rPr>
          <w:rFonts w:cstheme="minorHAnsi"/>
          <w:color w:val="000000"/>
          <w:shd w:val="clear" w:color="auto" w:fill="FFFFFF"/>
        </w:rPr>
        <w:t xml:space="preserve">less healthy or institutionalized groups may be limited. </w:t>
      </w:r>
      <w:r w:rsidR="0046611F" w:rsidRPr="004A2775">
        <w:rPr>
          <w:rFonts w:cstheme="minorHAnsi"/>
          <w:color w:val="000000"/>
          <w:shd w:val="clear" w:color="auto" w:fill="FFFFFF"/>
        </w:rPr>
        <w:t>Specifically</w:t>
      </w:r>
      <w:r w:rsidR="00041CD4">
        <w:rPr>
          <w:rFonts w:cstheme="minorHAnsi"/>
          <w:color w:val="000000"/>
          <w:shd w:val="clear" w:color="auto" w:fill="FFFFFF"/>
        </w:rPr>
        <w:t>,</w:t>
      </w:r>
      <w:r w:rsidR="0046611F" w:rsidRPr="004A2775">
        <w:rPr>
          <w:rFonts w:cstheme="minorHAnsi"/>
          <w:color w:val="000000"/>
          <w:shd w:val="clear" w:color="auto" w:fill="FFFFFF"/>
        </w:rPr>
        <w:t xml:space="preserve"> w</w:t>
      </w:r>
      <w:r w:rsidR="002A2685" w:rsidRPr="004A2775">
        <w:rPr>
          <w:rFonts w:cstheme="minorHAnsi"/>
          <w:color w:val="000000"/>
          <w:shd w:val="clear" w:color="auto" w:fill="FFFFFF"/>
        </w:rPr>
        <w:t xml:space="preserve">e also </w:t>
      </w:r>
      <w:r w:rsidR="0046611F" w:rsidRPr="004A2775">
        <w:rPr>
          <w:rFonts w:cstheme="minorHAnsi"/>
          <w:color w:val="000000"/>
          <w:shd w:val="clear" w:color="auto" w:fill="FFFFFF"/>
        </w:rPr>
        <w:t xml:space="preserve">acknowledge </w:t>
      </w:r>
      <w:r w:rsidR="002A2685" w:rsidRPr="004A2775">
        <w:rPr>
          <w:rFonts w:cstheme="minorHAnsi"/>
          <w:color w:val="000000"/>
          <w:shd w:val="clear" w:color="auto" w:fill="FFFFFF"/>
        </w:rPr>
        <w:t>the limitations associated with self-reported outcomes</w:t>
      </w:r>
      <w:r w:rsidR="0046611F" w:rsidRPr="004A2775">
        <w:rPr>
          <w:rFonts w:cstheme="minorHAnsi"/>
          <w:color w:val="000000"/>
          <w:shd w:val="clear" w:color="auto" w:fill="FFFFFF"/>
        </w:rPr>
        <w:t xml:space="preserve"> and the need for prospective data</w:t>
      </w:r>
      <w:r w:rsidR="002A2685" w:rsidRPr="004A2775">
        <w:rPr>
          <w:rFonts w:cstheme="minorHAnsi"/>
          <w:color w:val="000000"/>
          <w:shd w:val="clear" w:color="auto" w:fill="FFFFFF"/>
        </w:rPr>
        <w:t xml:space="preserve">. </w:t>
      </w:r>
    </w:p>
    <w:p w14:paraId="13F9CC03" w14:textId="77777777" w:rsidR="0082379B" w:rsidRPr="004A2775" w:rsidRDefault="0082379B" w:rsidP="00797CED">
      <w:pPr>
        <w:pStyle w:val="Heading1"/>
        <w:jc w:val="both"/>
        <w:rPr>
          <w:rFonts w:cstheme="minorHAnsi"/>
          <w:szCs w:val="22"/>
          <w:lang w:val="en-US"/>
        </w:rPr>
      </w:pPr>
      <w:r w:rsidRPr="004A2775">
        <w:rPr>
          <w:rFonts w:cstheme="minorHAnsi"/>
          <w:szCs w:val="22"/>
          <w:lang w:val="en-US"/>
        </w:rPr>
        <w:t>Conclusion</w:t>
      </w:r>
    </w:p>
    <w:p w14:paraId="1145F6BE" w14:textId="10FA5562" w:rsidR="00285390" w:rsidRDefault="00BB6D3E" w:rsidP="00797CED">
      <w:pPr>
        <w:jc w:val="both"/>
        <w:rPr>
          <w:rFonts w:cstheme="minorHAnsi"/>
          <w:color w:val="000000"/>
          <w:shd w:val="clear" w:color="auto" w:fill="FFFFFF"/>
        </w:rPr>
      </w:pPr>
      <w:r w:rsidRPr="004A2775">
        <w:rPr>
          <w:rFonts w:cstheme="minorHAnsi"/>
          <w:lang w:val="en-US"/>
        </w:rPr>
        <w:t>In conclusion w</w:t>
      </w:r>
      <w:r w:rsidR="00975A2C" w:rsidRPr="004A2775">
        <w:rPr>
          <w:rFonts w:cstheme="minorHAnsi"/>
          <w:lang w:val="en-US"/>
        </w:rPr>
        <w:t xml:space="preserve">e </w:t>
      </w:r>
      <w:r w:rsidR="0046611F" w:rsidRPr="004A2775">
        <w:rPr>
          <w:rFonts w:cstheme="minorHAnsi"/>
          <w:lang w:val="en-US"/>
        </w:rPr>
        <w:t xml:space="preserve">have observed </w:t>
      </w:r>
      <w:r w:rsidR="00975A2C" w:rsidRPr="004A2775">
        <w:rPr>
          <w:rFonts w:cstheme="minorHAnsi"/>
          <w:lang w:val="en-US"/>
        </w:rPr>
        <w:t>relationships between muscle mass</w:t>
      </w:r>
      <w:r w:rsidR="0046611F" w:rsidRPr="004A2775">
        <w:rPr>
          <w:rFonts w:cstheme="minorHAnsi"/>
          <w:lang w:val="en-US"/>
        </w:rPr>
        <w:t xml:space="preserve"> and </w:t>
      </w:r>
      <w:r w:rsidR="00975A2C" w:rsidRPr="004A2775">
        <w:rPr>
          <w:rFonts w:cstheme="minorHAnsi"/>
          <w:lang w:val="en-US"/>
        </w:rPr>
        <w:t xml:space="preserve">strength </w:t>
      </w:r>
      <w:r w:rsidR="0046611F" w:rsidRPr="004A2775">
        <w:rPr>
          <w:rFonts w:cstheme="minorHAnsi"/>
          <w:lang w:val="en-US"/>
        </w:rPr>
        <w:t xml:space="preserve">but not </w:t>
      </w:r>
      <w:r w:rsidR="00975A2C" w:rsidRPr="004A2775">
        <w:rPr>
          <w:rFonts w:cstheme="minorHAnsi"/>
          <w:lang w:val="en-US"/>
        </w:rPr>
        <w:t xml:space="preserve">function with falls and fractures in </w:t>
      </w:r>
      <w:r w:rsidR="002A2685" w:rsidRPr="004A2775">
        <w:rPr>
          <w:rFonts w:cstheme="minorHAnsi"/>
          <w:lang w:val="en-US"/>
        </w:rPr>
        <w:t>females</w:t>
      </w:r>
      <w:r w:rsidR="0046611F" w:rsidRPr="004A2775">
        <w:rPr>
          <w:rFonts w:cstheme="minorHAnsi"/>
          <w:lang w:val="en-US"/>
        </w:rPr>
        <w:t xml:space="preserve"> but not males</w:t>
      </w:r>
      <w:r w:rsidR="0082379B" w:rsidRPr="004A2775">
        <w:rPr>
          <w:rFonts w:cstheme="minorHAnsi"/>
          <w:lang w:val="en-US"/>
        </w:rPr>
        <w:t>.</w:t>
      </w:r>
      <w:r w:rsidR="006F24C8" w:rsidRPr="004A2775">
        <w:rPr>
          <w:rFonts w:cstheme="minorHAnsi"/>
          <w:lang w:val="en-US"/>
        </w:rPr>
        <w:t xml:space="preserve"> </w:t>
      </w:r>
      <w:r w:rsidR="002A2685" w:rsidRPr="004A2775">
        <w:rPr>
          <w:rFonts w:cstheme="minorHAnsi"/>
          <w:color w:val="000000"/>
          <w:shd w:val="clear" w:color="auto" w:fill="FFFFFF"/>
        </w:rPr>
        <w:t>Large prospective studies are needed to confirm the above-mentioned relationships</w:t>
      </w:r>
      <w:r w:rsidR="0082379B" w:rsidRPr="004A2775">
        <w:rPr>
          <w:rFonts w:cstheme="minorHAnsi"/>
          <w:color w:val="000000"/>
          <w:shd w:val="clear" w:color="auto" w:fill="FFFFFF"/>
        </w:rPr>
        <w:t xml:space="preserve">, </w:t>
      </w:r>
      <w:r w:rsidR="0046611F" w:rsidRPr="004A2775">
        <w:rPr>
          <w:rFonts w:cstheme="minorHAnsi"/>
          <w:color w:val="000000"/>
          <w:shd w:val="clear" w:color="auto" w:fill="FFFFFF"/>
        </w:rPr>
        <w:t xml:space="preserve">and to </w:t>
      </w:r>
      <w:r w:rsidR="00B33239">
        <w:rPr>
          <w:rFonts w:cstheme="minorHAnsi"/>
          <w:color w:val="000000"/>
          <w:shd w:val="clear" w:color="auto" w:fill="FFFFFF"/>
        </w:rPr>
        <w:t xml:space="preserve">further </w:t>
      </w:r>
      <w:r w:rsidR="002A2685" w:rsidRPr="004A2775">
        <w:rPr>
          <w:rFonts w:cstheme="minorHAnsi"/>
          <w:color w:val="000000"/>
          <w:shd w:val="clear" w:color="auto" w:fill="FFFFFF"/>
        </w:rPr>
        <w:t xml:space="preserve">explore the sexual </w:t>
      </w:r>
      <w:r w:rsidR="0082379B" w:rsidRPr="004A2775">
        <w:rPr>
          <w:rFonts w:cstheme="minorHAnsi"/>
          <w:color w:val="000000"/>
          <w:shd w:val="clear" w:color="auto" w:fill="FFFFFF"/>
        </w:rPr>
        <w:t>dimorphism</w:t>
      </w:r>
      <w:r w:rsidR="0046611F" w:rsidRPr="004A2775">
        <w:rPr>
          <w:rFonts w:cstheme="minorHAnsi"/>
          <w:color w:val="000000"/>
          <w:shd w:val="clear" w:color="auto" w:fill="FFFFFF"/>
        </w:rPr>
        <w:t xml:space="preserve"> observed</w:t>
      </w:r>
      <w:r w:rsidR="00470CA3">
        <w:rPr>
          <w:rFonts w:cstheme="minorHAnsi"/>
          <w:color w:val="000000"/>
          <w:shd w:val="clear" w:color="auto" w:fill="FFFFFF"/>
        </w:rPr>
        <w:t>.</w:t>
      </w:r>
    </w:p>
    <w:p w14:paraId="28C3FB2F" w14:textId="0ECD7EC2" w:rsidR="00E21C00" w:rsidRDefault="00E21C00" w:rsidP="00E21C00">
      <w:pPr>
        <w:pStyle w:val="Heading1"/>
        <w:rPr>
          <w:shd w:val="clear" w:color="auto" w:fill="FFFFFF"/>
        </w:rPr>
      </w:pPr>
      <w:r>
        <w:rPr>
          <w:shd w:val="clear" w:color="auto" w:fill="FFFFFF"/>
        </w:rPr>
        <w:t xml:space="preserve">Ethical approval </w:t>
      </w:r>
    </w:p>
    <w:p w14:paraId="0B840757" w14:textId="35E4E0D1" w:rsidR="00E21C00" w:rsidRDefault="00E21C00" w:rsidP="00E21C00">
      <w:pPr>
        <w:rPr>
          <w:shd w:val="clear" w:color="auto" w:fill="FFFFFF"/>
        </w:rPr>
      </w:pPr>
      <w:r>
        <w:t xml:space="preserve">All procedures performed in studies involving human participants were in accordance with the ethical standards of the institutional and /or national research committee and with the 1964 Helsinki declaration and its later amendments or comparable ethical standards. All study participants provided written informed consent and </w:t>
      </w:r>
      <w:r>
        <w:rPr>
          <w:shd w:val="clear" w:color="auto" w:fill="FFFFFF"/>
        </w:rPr>
        <w:t xml:space="preserve">Ethical approval was obtained from the Hertfordshire </w:t>
      </w:r>
      <w:r w:rsidR="00087AF8">
        <w:rPr>
          <w:shd w:val="clear" w:color="auto" w:fill="FFFFFF"/>
        </w:rPr>
        <w:t xml:space="preserve">and Bedfordshire Local </w:t>
      </w:r>
      <w:r>
        <w:rPr>
          <w:shd w:val="clear" w:color="auto" w:fill="FFFFFF"/>
        </w:rPr>
        <w:t xml:space="preserve">Research Ethics Committee. </w:t>
      </w:r>
    </w:p>
    <w:p w14:paraId="2AAD1DD6" w14:textId="33AD9C6B" w:rsidR="00E21C00" w:rsidRDefault="00E21C00" w:rsidP="00E21C00">
      <w:pPr>
        <w:pStyle w:val="Heading1"/>
        <w:rPr>
          <w:shd w:val="clear" w:color="auto" w:fill="FFFFFF"/>
        </w:rPr>
      </w:pPr>
      <w:r>
        <w:rPr>
          <w:shd w:val="clear" w:color="auto" w:fill="FFFFFF"/>
        </w:rPr>
        <w:t>Informed consent</w:t>
      </w:r>
    </w:p>
    <w:p w14:paraId="2656941B" w14:textId="20BB26A4" w:rsidR="00E21C00" w:rsidRPr="00E21C00" w:rsidRDefault="00E21C00" w:rsidP="00E21C00">
      <w:r>
        <w:t>Informed consent was obtained from all participants included in the study</w:t>
      </w:r>
    </w:p>
    <w:p w14:paraId="2BF23349" w14:textId="77777777" w:rsidR="00E21C00" w:rsidRDefault="00E21C00" w:rsidP="00E21C00">
      <w:pPr>
        <w:pStyle w:val="Heading1"/>
      </w:pPr>
      <w:r>
        <w:rPr>
          <w:shd w:val="clear" w:color="auto" w:fill="FFFFFF"/>
        </w:rPr>
        <w:t>Funding</w:t>
      </w:r>
      <w:r w:rsidRPr="00E21C00">
        <w:t xml:space="preserve"> </w:t>
      </w:r>
    </w:p>
    <w:p w14:paraId="6579C559" w14:textId="3B5042C8" w:rsidR="00E21C00" w:rsidRDefault="00E21C00" w:rsidP="00E21C00">
      <w:pPr>
        <w:rPr>
          <w:rFonts w:cstheme="minorHAnsi"/>
          <w:color w:val="000000"/>
          <w:shd w:val="clear" w:color="auto" w:fill="FFFFFF"/>
        </w:rPr>
      </w:pPr>
      <w:r>
        <w:t>FL is supported by the NIHR Southampton Biomedical Research Centre, and the University of Southampton. This report is independent research and the views expressed in this publication are those of the authors and not necessarily those of the NHS, the NIHR or the Department of Health. These funding bodies had no role in writing of the manuscript or decision to submit for publication.</w:t>
      </w:r>
    </w:p>
    <w:p w14:paraId="05D7528E" w14:textId="77777777" w:rsidR="00E21C00" w:rsidRDefault="00E21C00" w:rsidP="00E21C00">
      <w:pPr>
        <w:pStyle w:val="Heading1"/>
        <w:rPr>
          <w:shd w:val="clear" w:color="auto" w:fill="FFFFFF"/>
        </w:rPr>
      </w:pPr>
      <w:r>
        <w:rPr>
          <w:shd w:val="clear" w:color="auto" w:fill="FFFFFF"/>
        </w:rPr>
        <w:t xml:space="preserve">Conflict of interest </w:t>
      </w:r>
    </w:p>
    <w:p w14:paraId="5719C0B0" w14:textId="3A078CEF" w:rsidR="00371144" w:rsidRDefault="00E21C00" w:rsidP="00E21C00">
      <w:r>
        <w:t>E</w:t>
      </w:r>
      <w:r w:rsidR="004807A0">
        <w:t>M</w:t>
      </w:r>
      <w:r>
        <w:t>D declares consultancy and speaker fees from Pfizer, UCB</w:t>
      </w:r>
      <w:r w:rsidR="0097107B">
        <w:t>, Viatris</w:t>
      </w:r>
      <w:r>
        <w:t xml:space="preserve"> and Lilly.</w:t>
      </w:r>
    </w:p>
    <w:p w14:paraId="13663E49" w14:textId="3819F6B1" w:rsidR="00E21C00" w:rsidRDefault="00E21C00" w:rsidP="00E21C00">
      <w:r>
        <w:t xml:space="preserve">CC has received lecture fees and honoraria from Amgen, Danone, Eli Lilly, GSK, </w:t>
      </w:r>
      <w:r>
        <w:rPr>
          <w:color w:val="000000"/>
        </w:rPr>
        <w:t xml:space="preserve">Kyowa Kirin, </w:t>
      </w:r>
      <w:r>
        <w:t>Medtronic, Merck, Nestlé, Novartis, Pfizer, Roche, Servier, Shire, Takeda and UCB outside of the submitted work.</w:t>
      </w:r>
    </w:p>
    <w:p w14:paraId="2F45E853" w14:textId="2728E28C" w:rsidR="004807A0" w:rsidRPr="00DA11A0" w:rsidRDefault="004807A0" w:rsidP="004807A0">
      <w:pPr>
        <w:rPr>
          <w:rFonts w:cstheme="minorHAnsi"/>
        </w:rPr>
      </w:pPr>
      <w:r w:rsidRPr="00DA11A0">
        <w:rPr>
          <w:rFonts w:cstheme="minorHAnsi"/>
        </w:rPr>
        <w:t xml:space="preserve">MHE declares conference and course attendance funding from Eli Lilly, other from UCB, other from Pfizer, other from Chugai, other from </w:t>
      </w:r>
      <w:r w:rsidR="000208AC" w:rsidRPr="00DA11A0">
        <w:rPr>
          <w:rFonts w:cstheme="minorHAnsi"/>
        </w:rPr>
        <w:t>AbbVie</w:t>
      </w:r>
      <w:r w:rsidRPr="00DA11A0">
        <w:rPr>
          <w:rFonts w:cstheme="minorHAnsi"/>
        </w:rPr>
        <w:t xml:space="preserve"> and an unrestricted project grant from Servier.</w:t>
      </w:r>
    </w:p>
    <w:p w14:paraId="547038FB" w14:textId="15B41EA0" w:rsidR="00E21C00" w:rsidRDefault="00E21C00" w:rsidP="00E21C00">
      <w:r>
        <w:t>N</w:t>
      </w:r>
      <w:r w:rsidR="004807A0">
        <w:t>R</w:t>
      </w:r>
      <w:r>
        <w:t>F declares travel bursaries from Pfizer and Eli Lilly.</w:t>
      </w:r>
    </w:p>
    <w:p w14:paraId="057A993B" w14:textId="4EB67820" w:rsidR="001D0D66" w:rsidRDefault="008F65C8" w:rsidP="00E21C00">
      <w:r>
        <w:t>L</w:t>
      </w:r>
      <w:r w:rsidR="004807A0">
        <w:t>D</w:t>
      </w:r>
      <w:r>
        <w:t xml:space="preserve">W </w:t>
      </w:r>
      <w:r w:rsidR="001D0D66">
        <w:t xml:space="preserve">and LF </w:t>
      </w:r>
      <w:r>
        <w:t>declare no conflicts of interest.</w:t>
      </w:r>
    </w:p>
    <w:p w14:paraId="336BAE6F" w14:textId="77777777" w:rsidR="00E21C00" w:rsidRDefault="00E21C00" w:rsidP="00E21C00">
      <w:pPr>
        <w:pStyle w:val="Heading2"/>
      </w:pPr>
      <w:r>
        <w:t>Author’s contributions</w:t>
      </w:r>
    </w:p>
    <w:p w14:paraId="714C4610" w14:textId="3A43EFBF" w:rsidR="00E21C00" w:rsidRPr="00E21C00" w:rsidRDefault="00E21C00" w:rsidP="00470CA3">
      <w:r>
        <w:rPr>
          <w:shd w:val="clear" w:color="auto" w:fill="FFFFFF"/>
        </w:rPr>
        <w:t>FL, N</w:t>
      </w:r>
      <w:r w:rsidR="004807A0">
        <w:rPr>
          <w:shd w:val="clear" w:color="auto" w:fill="FFFFFF"/>
        </w:rPr>
        <w:t>R</w:t>
      </w:r>
      <w:r>
        <w:rPr>
          <w:shd w:val="clear" w:color="auto" w:fill="FFFFFF"/>
        </w:rPr>
        <w:t>F, M</w:t>
      </w:r>
      <w:r w:rsidR="004807A0">
        <w:rPr>
          <w:shd w:val="clear" w:color="auto" w:fill="FFFFFF"/>
        </w:rPr>
        <w:t>H</w:t>
      </w:r>
      <w:r>
        <w:rPr>
          <w:shd w:val="clear" w:color="auto" w:fill="FFFFFF"/>
        </w:rPr>
        <w:t>E, CC, and E</w:t>
      </w:r>
      <w:r w:rsidR="00F10073">
        <w:rPr>
          <w:shd w:val="clear" w:color="auto" w:fill="FFFFFF"/>
        </w:rPr>
        <w:t>M</w:t>
      </w:r>
      <w:r>
        <w:rPr>
          <w:shd w:val="clear" w:color="auto" w:fill="FFFFFF"/>
        </w:rPr>
        <w:t>D participated in the conception, design and conduct of the study. L</w:t>
      </w:r>
      <w:r w:rsidR="00F10073">
        <w:rPr>
          <w:shd w:val="clear" w:color="auto" w:fill="FFFFFF"/>
        </w:rPr>
        <w:t>D</w:t>
      </w:r>
      <w:r>
        <w:rPr>
          <w:shd w:val="clear" w:color="auto" w:fill="FFFFFF"/>
        </w:rPr>
        <w:t xml:space="preserve">W conducted </w:t>
      </w:r>
      <w:r w:rsidR="008F65C8">
        <w:rPr>
          <w:shd w:val="clear" w:color="auto" w:fill="FFFFFF"/>
        </w:rPr>
        <w:t xml:space="preserve">the </w:t>
      </w:r>
      <w:r>
        <w:rPr>
          <w:shd w:val="clear" w:color="auto" w:fill="FFFFFF"/>
        </w:rPr>
        <w:t>statistical analyses. FL drafted the first version of the manuscript. All authors read and approved the final manuscript.</w:t>
      </w:r>
    </w:p>
    <w:p w14:paraId="107F8A37" w14:textId="3B50EA80" w:rsidR="0043473D" w:rsidRPr="004A2775" w:rsidRDefault="00285390" w:rsidP="00797CED">
      <w:pPr>
        <w:spacing w:after="160" w:line="259" w:lineRule="auto"/>
        <w:jc w:val="both"/>
        <w:rPr>
          <w:rFonts w:cstheme="minorHAnsi"/>
          <w:lang w:val="en-US"/>
        </w:rPr>
      </w:pPr>
      <w:r w:rsidRPr="004A2775">
        <w:rPr>
          <w:rFonts w:cstheme="minorHAnsi"/>
          <w:lang w:val="en-US"/>
        </w:rPr>
        <w:br w:type="page"/>
      </w:r>
    </w:p>
    <w:p w14:paraId="7EE9B534" w14:textId="61A1E7D0" w:rsidR="00953DAD" w:rsidRDefault="00953DAD" w:rsidP="00953DAD">
      <w:pPr>
        <w:pStyle w:val="Caption"/>
        <w:keepNext/>
      </w:pPr>
      <w:bookmarkStart w:id="15" w:name="_Ref93920760"/>
      <w:bookmarkStart w:id="16" w:name="_Hlk99364883"/>
      <w:r>
        <w:t xml:space="preserve">Table </w:t>
      </w:r>
      <w:r>
        <w:fldChar w:fldCharType="begin"/>
      </w:r>
      <w:r>
        <w:instrText xml:space="preserve"> SEQ Table \* ARABIC </w:instrText>
      </w:r>
      <w:r>
        <w:fldChar w:fldCharType="separate"/>
      </w:r>
      <w:r w:rsidR="00EA251C">
        <w:rPr>
          <w:noProof/>
        </w:rPr>
        <w:t>1</w:t>
      </w:r>
      <w:r>
        <w:fldChar w:fldCharType="end"/>
      </w:r>
      <w:bookmarkEnd w:id="15"/>
      <w:r>
        <w:t>:</w:t>
      </w:r>
      <w:r w:rsidR="008F65C8">
        <w:t xml:space="preserve"> </w:t>
      </w:r>
      <w:r>
        <w:t>Participant characteristics of the analysis sample</w:t>
      </w:r>
    </w:p>
    <w:tbl>
      <w:tblPr>
        <w:tblW w:w="10206" w:type="dxa"/>
        <w:jc w:val="center"/>
        <w:tblLayout w:type="fixed"/>
        <w:tblCellMar>
          <w:top w:w="15" w:type="dxa"/>
        </w:tblCellMar>
        <w:tblLook w:val="04A0" w:firstRow="1" w:lastRow="0" w:firstColumn="1" w:lastColumn="0" w:noHBand="0" w:noVBand="1"/>
      </w:tblPr>
      <w:tblGrid>
        <w:gridCol w:w="2691"/>
        <w:gridCol w:w="986"/>
        <w:gridCol w:w="918"/>
        <w:gridCol w:w="1135"/>
        <w:gridCol w:w="239"/>
        <w:gridCol w:w="977"/>
        <w:gridCol w:w="992"/>
        <w:gridCol w:w="1035"/>
        <w:gridCol w:w="241"/>
        <w:gridCol w:w="992"/>
      </w:tblGrid>
      <w:tr w:rsidR="00AF13BF" w:rsidRPr="004A2775" w14:paraId="629D8796" w14:textId="77777777" w:rsidTr="00572D73">
        <w:trPr>
          <w:trHeight w:val="20"/>
          <w:jc w:val="center"/>
        </w:trPr>
        <w:tc>
          <w:tcPr>
            <w:tcW w:w="2691" w:type="dxa"/>
            <w:tcBorders>
              <w:top w:val="single" w:sz="4" w:space="0" w:color="auto"/>
              <w:left w:val="nil"/>
              <w:bottom w:val="single" w:sz="4" w:space="0" w:color="auto"/>
              <w:right w:val="nil"/>
            </w:tcBorders>
            <w:shd w:val="clear" w:color="auto" w:fill="auto"/>
            <w:noWrap/>
            <w:vAlign w:val="center"/>
            <w:hideMark/>
          </w:tcPr>
          <w:p w14:paraId="0C4FB052" w14:textId="77777777" w:rsidR="00AF13BF" w:rsidRPr="004A2775" w:rsidRDefault="00AF13BF" w:rsidP="00AF13BF">
            <w:pPr>
              <w:spacing w:after="0" w:line="240" w:lineRule="auto"/>
              <w:rPr>
                <w:rFonts w:eastAsia="Times New Roman" w:cstheme="minorHAnsi"/>
                <w:b/>
                <w:bCs/>
                <w:color w:val="000000"/>
                <w:lang w:eastAsia="en-GB"/>
              </w:rPr>
            </w:pPr>
            <w:bookmarkStart w:id="17" w:name="_Hlk92089560"/>
            <w:r w:rsidRPr="004A2775">
              <w:rPr>
                <w:rFonts w:eastAsia="Times New Roman" w:cstheme="minorHAnsi"/>
                <w:b/>
                <w:bCs/>
                <w:color w:val="000000"/>
                <w:lang w:eastAsia="en-GB"/>
              </w:rPr>
              <w:t>Characteristic</w:t>
            </w:r>
          </w:p>
        </w:tc>
        <w:tc>
          <w:tcPr>
            <w:tcW w:w="3039" w:type="dxa"/>
            <w:gridSpan w:val="3"/>
            <w:tcBorders>
              <w:top w:val="single" w:sz="4" w:space="0" w:color="auto"/>
              <w:left w:val="nil"/>
              <w:bottom w:val="single" w:sz="4" w:space="0" w:color="auto"/>
              <w:right w:val="nil"/>
            </w:tcBorders>
            <w:shd w:val="clear" w:color="auto" w:fill="auto"/>
            <w:noWrap/>
            <w:vAlign w:val="center"/>
            <w:hideMark/>
          </w:tcPr>
          <w:p w14:paraId="682C017E" w14:textId="7DF892CA" w:rsidR="00AF13BF" w:rsidRPr="004A2775" w:rsidRDefault="002A2685"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Males</w:t>
            </w:r>
            <w:r w:rsidR="00AF13BF" w:rsidRPr="004A2775">
              <w:rPr>
                <w:rFonts w:eastAsia="Times New Roman" w:cstheme="minorHAnsi"/>
                <w:b/>
                <w:bCs/>
                <w:color w:val="000000"/>
                <w:lang w:eastAsia="en-GB"/>
              </w:rPr>
              <w:t xml:space="preserve"> (n=322)</w:t>
            </w:r>
          </w:p>
        </w:tc>
        <w:tc>
          <w:tcPr>
            <w:tcW w:w="239" w:type="dxa"/>
            <w:tcBorders>
              <w:top w:val="single" w:sz="4" w:space="0" w:color="auto"/>
              <w:left w:val="nil"/>
              <w:bottom w:val="single" w:sz="4" w:space="0" w:color="auto"/>
              <w:right w:val="nil"/>
            </w:tcBorders>
            <w:shd w:val="clear" w:color="auto" w:fill="auto"/>
            <w:noWrap/>
            <w:vAlign w:val="center"/>
            <w:hideMark/>
          </w:tcPr>
          <w:p w14:paraId="7B423874" w14:textId="01C3AF88" w:rsidR="00AF13BF" w:rsidRPr="004A2775" w:rsidRDefault="00AF13BF" w:rsidP="00AF13BF">
            <w:pPr>
              <w:spacing w:after="0" w:line="240" w:lineRule="auto"/>
              <w:jc w:val="center"/>
              <w:rPr>
                <w:rFonts w:eastAsia="Times New Roman" w:cstheme="minorHAnsi"/>
                <w:b/>
                <w:bCs/>
                <w:color w:val="000000"/>
                <w:lang w:eastAsia="en-GB"/>
              </w:rPr>
            </w:pPr>
          </w:p>
        </w:tc>
        <w:tc>
          <w:tcPr>
            <w:tcW w:w="3004" w:type="dxa"/>
            <w:gridSpan w:val="3"/>
            <w:tcBorders>
              <w:top w:val="single" w:sz="4" w:space="0" w:color="auto"/>
              <w:left w:val="nil"/>
              <w:bottom w:val="single" w:sz="4" w:space="0" w:color="auto"/>
              <w:right w:val="nil"/>
            </w:tcBorders>
            <w:shd w:val="clear" w:color="auto" w:fill="auto"/>
            <w:noWrap/>
            <w:vAlign w:val="center"/>
            <w:hideMark/>
          </w:tcPr>
          <w:p w14:paraId="367CB9BF" w14:textId="414FC3F3" w:rsidR="00AF13BF" w:rsidRPr="004A2775" w:rsidRDefault="002A2685"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Females</w:t>
            </w:r>
            <w:r w:rsidR="00AF13BF" w:rsidRPr="004A2775">
              <w:rPr>
                <w:rFonts w:eastAsia="Times New Roman" w:cstheme="minorHAnsi"/>
                <w:b/>
                <w:bCs/>
                <w:color w:val="000000"/>
                <w:lang w:eastAsia="en-GB"/>
              </w:rPr>
              <w:t xml:space="preserve"> (n=319)</w:t>
            </w:r>
          </w:p>
        </w:tc>
        <w:tc>
          <w:tcPr>
            <w:tcW w:w="241" w:type="dxa"/>
            <w:tcBorders>
              <w:top w:val="single" w:sz="4" w:space="0" w:color="auto"/>
              <w:left w:val="nil"/>
              <w:bottom w:val="single" w:sz="4" w:space="0" w:color="auto"/>
              <w:right w:val="nil"/>
            </w:tcBorders>
            <w:shd w:val="clear" w:color="auto" w:fill="auto"/>
            <w:noWrap/>
            <w:vAlign w:val="center"/>
            <w:hideMark/>
          </w:tcPr>
          <w:p w14:paraId="69EE94BF" w14:textId="4B31A629" w:rsidR="00AF13BF" w:rsidRPr="004A2775" w:rsidRDefault="00AF13BF" w:rsidP="00AF13BF">
            <w:pPr>
              <w:spacing w:after="0" w:line="240" w:lineRule="auto"/>
              <w:jc w:val="center"/>
              <w:rPr>
                <w:rFonts w:eastAsia="Times New Roman" w:cstheme="minorHAnsi"/>
                <w:b/>
                <w:bCs/>
                <w:color w:val="000000"/>
                <w:lang w:eastAsia="en-GB"/>
              </w:rPr>
            </w:pPr>
          </w:p>
        </w:tc>
        <w:tc>
          <w:tcPr>
            <w:tcW w:w="992" w:type="dxa"/>
            <w:tcBorders>
              <w:top w:val="single" w:sz="4" w:space="0" w:color="auto"/>
              <w:left w:val="nil"/>
              <w:bottom w:val="single" w:sz="4" w:space="0" w:color="auto"/>
              <w:right w:val="nil"/>
            </w:tcBorders>
            <w:shd w:val="clear" w:color="auto" w:fill="auto"/>
            <w:noWrap/>
            <w:vAlign w:val="center"/>
            <w:hideMark/>
          </w:tcPr>
          <w:p w14:paraId="00CD64B8" w14:textId="23F97847" w:rsidR="00AF13BF" w:rsidRPr="004A2775" w:rsidRDefault="00566271"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P-value</w:t>
            </w:r>
          </w:p>
        </w:tc>
      </w:tr>
      <w:tr w:rsidR="00AF13BF" w:rsidRPr="004A2775" w14:paraId="5012629F"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50676DCB" w14:textId="77777777" w:rsidR="00AF13BF" w:rsidRPr="004A2775" w:rsidRDefault="00AF13BF" w:rsidP="00AF13BF">
            <w:pPr>
              <w:spacing w:after="0" w:line="240" w:lineRule="auto"/>
              <w:rPr>
                <w:rFonts w:eastAsia="Times New Roman" w:cstheme="minorHAnsi"/>
                <w:b/>
                <w:bCs/>
                <w:color w:val="000000"/>
                <w:lang w:eastAsia="en-GB"/>
              </w:rPr>
            </w:pPr>
          </w:p>
        </w:tc>
        <w:tc>
          <w:tcPr>
            <w:tcW w:w="986" w:type="dxa"/>
            <w:tcBorders>
              <w:top w:val="nil"/>
              <w:left w:val="nil"/>
              <w:bottom w:val="nil"/>
              <w:right w:val="nil"/>
            </w:tcBorders>
            <w:shd w:val="clear" w:color="auto" w:fill="auto"/>
            <w:noWrap/>
            <w:vAlign w:val="center"/>
            <w:hideMark/>
          </w:tcPr>
          <w:p w14:paraId="2AEBE40E" w14:textId="77777777" w:rsidR="00AF13BF" w:rsidRPr="004A2775" w:rsidRDefault="00AF13BF"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Total N</w:t>
            </w:r>
          </w:p>
        </w:tc>
        <w:tc>
          <w:tcPr>
            <w:tcW w:w="918" w:type="dxa"/>
            <w:tcBorders>
              <w:top w:val="nil"/>
              <w:left w:val="nil"/>
              <w:bottom w:val="nil"/>
              <w:right w:val="nil"/>
            </w:tcBorders>
            <w:shd w:val="clear" w:color="auto" w:fill="auto"/>
            <w:noWrap/>
            <w:vAlign w:val="center"/>
            <w:hideMark/>
          </w:tcPr>
          <w:p w14:paraId="3698C8B9" w14:textId="77777777" w:rsidR="00AF13BF" w:rsidRPr="004A2775" w:rsidRDefault="00AF13BF"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Mean</w:t>
            </w:r>
          </w:p>
        </w:tc>
        <w:tc>
          <w:tcPr>
            <w:tcW w:w="1135" w:type="dxa"/>
            <w:tcBorders>
              <w:top w:val="nil"/>
              <w:left w:val="nil"/>
              <w:bottom w:val="nil"/>
              <w:right w:val="nil"/>
            </w:tcBorders>
            <w:shd w:val="clear" w:color="auto" w:fill="auto"/>
            <w:noWrap/>
            <w:vAlign w:val="center"/>
            <w:hideMark/>
          </w:tcPr>
          <w:p w14:paraId="1E5940AB" w14:textId="77777777" w:rsidR="00AF13BF" w:rsidRPr="004A2775" w:rsidRDefault="00AF13BF"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SD</w:t>
            </w:r>
          </w:p>
        </w:tc>
        <w:tc>
          <w:tcPr>
            <w:tcW w:w="239" w:type="dxa"/>
            <w:tcBorders>
              <w:top w:val="nil"/>
              <w:left w:val="nil"/>
              <w:bottom w:val="nil"/>
              <w:right w:val="nil"/>
            </w:tcBorders>
            <w:shd w:val="clear" w:color="auto" w:fill="auto"/>
            <w:noWrap/>
            <w:vAlign w:val="center"/>
            <w:hideMark/>
          </w:tcPr>
          <w:p w14:paraId="6112A355" w14:textId="77777777" w:rsidR="00AF13BF" w:rsidRPr="004A2775" w:rsidRDefault="00AF13BF" w:rsidP="00AF13BF">
            <w:pPr>
              <w:spacing w:after="0" w:line="240" w:lineRule="auto"/>
              <w:jc w:val="center"/>
              <w:rPr>
                <w:rFonts w:eastAsia="Times New Roman" w:cstheme="minorHAnsi"/>
                <w:b/>
                <w:bCs/>
                <w:color w:val="000000"/>
                <w:lang w:eastAsia="en-GB"/>
              </w:rPr>
            </w:pPr>
          </w:p>
        </w:tc>
        <w:tc>
          <w:tcPr>
            <w:tcW w:w="977" w:type="dxa"/>
            <w:tcBorders>
              <w:top w:val="nil"/>
              <w:left w:val="nil"/>
              <w:bottom w:val="nil"/>
              <w:right w:val="nil"/>
            </w:tcBorders>
            <w:shd w:val="clear" w:color="auto" w:fill="auto"/>
            <w:noWrap/>
            <w:vAlign w:val="center"/>
            <w:hideMark/>
          </w:tcPr>
          <w:p w14:paraId="2310CB19" w14:textId="77777777" w:rsidR="00AF13BF" w:rsidRPr="004A2775" w:rsidRDefault="00AF13BF"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Total N</w:t>
            </w:r>
          </w:p>
        </w:tc>
        <w:tc>
          <w:tcPr>
            <w:tcW w:w="992" w:type="dxa"/>
            <w:tcBorders>
              <w:top w:val="nil"/>
              <w:left w:val="nil"/>
              <w:bottom w:val="nil"/>
              <w:right w:val="nil"/>
            </w:tcBorders>
            <w:shd w:val="clear" w:color="auto" w:fill="auto"/>
            <w:noWrap/>
            <w:vAlign w:val="center"/>
            <w:hideMark/>
          </w:tcPr>
          <w:p w14:paraId="564C420A" w14:textId="77777777" w:rsidR="00AF13BF" w:rsidRPr="004A2775" w:rsidRDefault="00AF13BF"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Mean</w:t>
            </w:r>
          </w:p>
        </w:tc>
        <w:tc>
          <w:tcPr>
            <w:tcW w:w="1035" w:type="dxa"/>
            <w:tcBorders>
              <w:top w:val="nil"/>
              <w:left w:val="nil"/>
              <w:bottom w:val="nil"/>
              <w:right w:val="nil"/>
            </w:tcBorders>
            <w:shd w:val="clear" w:color="auto" w:fill="auto"/>
            <w:noWrap/>
            <w:vAlign w:val="center"/>
            <w:hideMark/>
          </w:tcPr>
          <w:p w14:paraId="468E702B" w14:textId="77777777" w:rsidR="00AF13BF" w:rsidRPr="004A2775" w:rsidRDefault="00AF13BF"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SD</w:t>
            </w:r>
          </w:p>
        </w:tc>
        <w:tc>
          <w:tcPr>
            <w:tcW w:w="241" w:type="dxa"/>
            <w:tcBorders>
              <w:top w:val="nil"/>
              <w:left w:val="nil"/>
              <w:bottom w:val="nil"/>
              <w:right w:val="nil"/>
            </w:tcBorders>
            <w:shd w:val="clear" w:color="auto" w:fill="auto"/>
            <w:noWrap/>
            <w:vAlign w:val="center"/>
            <w:hideMark/>
          </w:tcPr>
          <w:p w14:paraId="61720918" w14:textId="77777777" w:rsidR="00AF13BF" w:rsidRPr="004A2775" w:rsidRDefault="00AF13BF" w:rsidP="00AF13BF">
            <w:pPr>
              <w:spacing w:after="0" w:line="240" w:lineRule="auto"/>
              <w:jc w:val="center"/>
              <w:rPr>
                <w:rFonts w:eastAsia="Times New Roman" w:cstheme="minorHAnsi"/>
                <w:b/>
                <w:bCs/>
                <w:color w:val="000000"/>
                <w:lang w:eastAsia="en-GB"/>
              </w:rPr>
            </w:pPr>
          </w:p>
        </w:tc>
        <w:tc>
          <w:tcPr>
            <w:tcW w:w="992" w:type="dxa"/>
            <w:tcBorders>
              <w:top w:val="nil"/>
              <w:left w:val="nil"/>
              <w:bottom w:val="nil"/>
              <w:right w:val="nil"/>
            </w:tcBorders>
            <w:shd w:val="clear" w:color="auto" w:fill="auto"/>
            <w:noWrap/>
            <w:vAlign w:val="center"/>
            <w:hideMark/>
          </w:tcPr>
          <w:p w14:paraId="6ED3D800" w14:textId="2BC79DB2" w:rsidR="00AF13BF" w:rsidRPr="004A2775" w:rsidRDefault="00AF13BF" w:rsidP="00AF13BF">
            <w:pPr>
              <w:spacing w:after="0" w:line="240" w:lineRule="auto"/>
              <w:jc w:val="center"/>
              <w:rPr>
                <w:rFonts w:eastAsia="Times New Roman" w:cstheme="minorHAnsi"/>
                <w:b/>
                <w:bCs/>
                <w:color w:val="000000"/>
                <w:lang w:eastAsia="en-GB"/>
              </w:rPr>
            </w:pPr>
          </w:p>
        </w:tc>
      </w:tr>
      <w:tr w:rsidR="00AF13BF" w:rsidRPr="004A2775" w14:paraId="503CAAD5"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6C5E59E2" w14:textId="77777777" w:rsidR="00AF13BF" w:rsidRPr="004A2775" w:rsidRDefault="00AF13BF" w:rsidP="00AF13BF">
            <w:pPr>
              <w:spacing w:after="0" w:line="240" w:lineRule="auto"/>
              <w:rPr>
                <w:rFonts w:eastAsia="Times New Roman" w:cstheme="minorHAnsi"/>
                <w:color w:val="000000"/>
                <w:lang w:eastAsia="en-GB"/>
              </w:rPr>
            </w:pPr>
            <w:r w:rsidRPr="004A2775">
              <w:rPr>
                <w:rFonts w:eastAsia="Times New Roman" w:cstheme="minorHAnsi"/>
                <w:color w:val="000000"/>
                <w:lang w:eastAsia="en-GB"/>
              </w:rPr>
              <w:t>Age (years)</w:t>
            </w:r>
          </w:p>
        </w:tc>
        <w:tc>
          <w:tcPr>
            <w:tcW w:w="986" w:type="dxa"/>
            <w:tcBorders>
              <w:top w:val="nil"/>
              <w:left w:val="nil"/>
              <w:bottom w:val="nil"/>
              <w:right w:val="nil"/>
            </w:tcBorders>
            <w:shd w:val="clear" w:color="auto" w:fill="auto"/>
            <w:noWrap/>
            <w:vAlign w:val="center"/>
            <w:hideMark/>
          </w:tcPr>
          <w:p w14:paraId="7AAB110F"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322</w:t>
            </w:r>
          </w:p>
        </w:tc>
        <w:tc>
          <w:tcPr>
            <w:tcW w:w="918" w:type="dxa"/>
            <w:tcBorders>
              <w:top w:val="nil"/>
              <w:left w:val="nil"/>
              <w:bottom w:val="nil"/>
              <w:right w:val="nil"/>
            </w:tcBorders>
            <w:shd w:val="clear" w:color="auto" w:fill="auto"/>
            <w:noWrap/>
            <w:vAlign w:val="center"/>
            <w:hideMark/>
          </w:tcPr>
          <w:p w14:paraId="0FBA6443"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69.2</w:t>
            </w:r>
          </w:p>
        </w:tc>
        <w:tc>
          <w:tcPr>
            <w:tcW w:w="1135" w:type="dxa"/>
            <w:tcBorders>
              <w:top w:val="nil"/>
              <w:left w:val="nil"/>
              <w:bottom w:val="nil"/>
              <w:right w:val="nil"/>
            </w:tcBorders>
            <w:shd w:val="clear" w:color="auto" w:fill="auto"/>
            <w:noWrap/>
            <w:vAlign w:val="center"/>
            <w:hideMark/>
          </w:tcPr>
          <w:p w14:paraId="7CA522E5"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2.5</w:t>
            </w:r>
          </w:p>
        </w:tc>
        <w:tc>
          <w:tcPr>
            <w:tcW w:w="239" w:type="dxa"/>
            <w:tcBorders>
              <w:top w:val="nil"/>
              <w:left w:val="nil"/>
              <w:bottom w:val="nil"/>
              <w:right w:val="nil"/>
            </w:tcBorders>
            <w:shd w:val="clear" w:color="auto" w:fill="auto"/>
            <w:noWrap/>
            <w:vAlign w:val="center"/>
            <w:hideMark/>
          </w:tcPr>
          <w:p w14:paraId="6638B31C" w14:textId="77777777" w:rsidR="00AF13BF" w:rsidRPr="004A2775" w:rsidRDefault="00AF13BF" w:rsidP="00AF13BF">
            <w:pPr>
              <w:spacing w:after="0" w:line="240" w:lineRule="auto"/>
              <w:jc w:val="center"/>
              <w:rPr>
                <w:rFonts w:eastAsia="Times New Roman" w:cstheme="minorHAnsi"/>
                <w:color w:val="000000"/>
                <w:lang w:eastAsia="en-GB"/>
              </w:rPr>
            </w:pPr>
          </w:p>
        </w:tc>
        <w:tc>
          <w:tcPr>
            <w:tcW w:w="977" w:type="dxa"/>
            <w:tcBorders>
              <w:top w:val="nil"/>
              <w:left w:val="nil"/>
              <w:bottom w:val="nil"/>
              <w:right w:val="nil"/>
            </w:tcBorders>
            <w:shd w:val="clear" w:color="auto" w:fill="auto"/>
            <w:noWrap/>
            <w:vAlign w:val="center"/>
            <w:hideMark/>
          </w:tcPr>
          <w:p w14:paraId="283C2632"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319</w:t>
            </w:r>
          </w:p>
        </w:tc>
        <w:tc>
          <w:tcPr>
            <w:tcW w:w="992" w:type="dxa"/>
            <w:tcBorders>
              <w:top w:val="nil"/>
              <w:left w:val="nil"/>
              <w:bottom w:val="nil"/>
              <w:right w:val="nil"/>
            </w:tcBorders>
            <w:shd w:val="clear" w:color="auto" w:fill="auto"/>
            <w:noWrap/>
            <w:vAlign w:val="center"/>
            <w:hideMark/>
          </w:tcPr>
          <w:p w14:paraId="26920AA8"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69.5</w:t>
            </w:r>
          </w:p>
        </w:tc>
        <w:tc>
          <w:tcPr>
            <w:tcW w:w="1035" w:type="dxa"/>
            <w:tcBorders>
              <w:top w:val="nil"/>
              <w:left w:val="nil"/>
              <w:bottom w:val="nil"/>
              <w:right w:val="nil"/>
            </w:tcBorders>
            <w:shd w:val="clear" w:color="auto" w:fill="auto"/>
            <w:noWrap/>
            <w:vAlign w:val="center"/>
            <w:hideMark/>
          </w:tcPr>
          <w:p w14:paraId="4BAF953D"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2.6</w:t>
            </w:r>
          </w:p>
        </w:tc>
        <w:tc>
          <w:tcPr>
            <w:tcW w:w="241" w:type="dxa"/>
            <w:tcBorders>
              <w:top w:val="nil"/>
              <w:left w:val="nil"/>
              <w:bottom w:val="nil"/>
              <w:right w:val="nil"/>
            </w:tcBorders>
            <w:shd w:val="clear" w:color="auto" w:fill="auto"/>
            <w:noWrap/>
            <w:vAlign w:val="center"/>
            <w:hideMark/>
          </w:tcPr>
          <w:p w14:paraId="29FD2692"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6FBD679B" w14:textId="77777777" w:rsidR="00AF13BF" w:rsidRPr="004A2775" w:rsidRDefault="00AF13BF" w:rsidP="00AF13BF">
            <w:pPr>
              <w:spacing w:after="0" w:line="240" w:lineRule="auto"/>
              <w:jc w:val="center"/>
              <w:rPr>
                <w:rFonts w:eastAsia="Times New Roman" w:cstheme="minorHAnsi"/>
                <w:lang w:eastAsia="en-GB"/>
              </w:rPr>
            </w:pPr>
            <w:r w:rsidRPr="004A2775">
              <w:rPr>
                <w:rFonts w:eastAsia="Times New Roman" w:cstheme="minorHAnsi"/>
                <w:lang w:eastAsia="en-GB"/>
              </w:rPr>
              <w:t>0.127</w:t>
            </w:r>
          </w:p>
        </w:tc>
      </w:tr>
      <w:tr w:rsidR="00AF13BF" w:rsidRPr="004A2775" w14:paraId="251F47D3"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42727B3B" w14:textId="4C0DCAD6" w:rsidR="00AF13BF" w:rsidRPr="004A2775" w:rsidRDefault="00AF13BF" w:rsidP="00AF13BF">
            <w:pPr>
              <w:spacing w:after="0" w:line="240" w:lineRule="auto"/>
              <w:rPr>
                <w:rFonts w:eastAsia="Times New Roman" w:cstheme="minorHAnsi"/>
                <w:color w:val="000000"/>
                <w:lang w:eastAsia="en-GB"/>
              </w:rPr>
            </w:pPr>
            <w:r w:rsidRPr="004A2775">
              <w:rPr>
                <w:rFonts w:eastAsia="Times New Roman" w:cstheme="minorHAnsi"/>
                <w:color w:val="000000"/>
                <w:lang w:eastAsia="en-GB"/>
              </w:rPr>
              <w:t>Height (cm)</w:t>
            </w:r>
          </w:p>
        </w:tc>
        <w:tc>
          <w:tcPr>
            <w:tcW w:w="986" w:type="dxa"/>
            <w:tcBorders>
              <w:top w:val="nil"/>
              <w:left w:val="nil"/>
              <w:bottom w:val="nil"/>
              <w:right w:val="nil"/>
            </w:tcBorders>
            <w:shd w:val="clear" w:color="auto" w:fill="auto"/>
            <w:noWrap/>
            <w:vAlign w:val="center"/>
            <w:hideMark/>
          </w:tcPr>
          <w:p w14:paraId="3CEE55B5"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322</w:t>
            </w:r>
          </w:p>
        </w:tc>
        <w:tc>
          <w:tcPr>
            <w:tcW w:w="918" w:type="dxa"/>
            <w:tcBorders>
              <w:top w:val="nil"/>
              <w:left w:val="nil"/>
              <w:bottom w:val="nil"/>
              <w:right w:val="nil"/>
            </w:tcBorders>
            <w:shd w:val="clear" w:color="auto" w:fill="auto"/>
            <w:noWrap/>
            <w:vAlign w:val="center"/>
            <w:hideMark/>
          </w:tcPr>
          <w:p w14:paraId="1E5AE157"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173.7</w:t>
            </w:r>
          </w:p>
        </w:tc>
        <w:tc>
          <w:tcPr>
            <w:tcW w:w="1135" w:type="dxa"/>
            <w:tcBorders>
              <w:top w:val="nil"/>
              <w:left w:val="nil"/>
              <w:bottom w:val="nil"/>
              <w:right w:val="nil"/>
            </w:tcBorders>
            <w:shd w:val="clear" w:color="auto" w:fill="auto"/>
            <w:noWrap/>
            <w:vAlign w:val="center"/>
            <w:hideMark/>
          </w:tcPr>
          <w:p w14:paraId="1F837F41"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6.7</w:t>
            </w:r>
          </w:p>
        </w:tc>
        <w:tc>
          <w:tcPr>
            <w:tcW w:w="239" w:type="dxa"/>
            <w:tcBorders>
              <w:top w:val="nil"/>
              <w:left w:val="nil"/>
              <w:bottom w:val="nil"/>
              <w:right w:val="nil"/>
            </w:tcBorders>
            <w:shd w:val="clear" w:color="auto" w:fill="auto"/>
            <w:noWrap/>
            <w:vAlign w:val="center"/>
            <w:hideMark/>
          </w:tcPr>
          <w:p w14:paraId="12B5A061" w14:textId="77777777" w:rsidR="00AF13BF" w:rsidRPr="004A2775" w:rsidRDefault="00AF13BF" w:rsidP="00AF13BF">
            <w:pPr>
              <w:spacing w:after="0" w:line="240" w:lineRule="auto"/>
              <w:jc w:val="center"/>
              <w:rPr>
                <w:rFonts w:eastAsia="Times New Roman" w:cstheme="minorHAnsi"/>
                <w:color w:val="000000"/>
                <w:lang w:eastAsia="en-GB"/>
              </w:rPr>
            </w:pPr>
          </w:p>
        </w:tc>
        <w:tc>
          <w:tcPr>
            <w:tcW w:w="977" w:type="dxa"/>
            <w:tcBorders>
              <w:top w:val="nil"/>
              <w:left w:val="nil"/>
              <w:bottom w:val="nil"/>
              <w:right w:val="nil"/>
            </w:tcBorders>
            <w:shd w:val="clear" w:color="auto" w:fill="auto"/>
            <w:noWrap/>
            <w:vAlign w:val="center"/>
            <w:hideMark/>
          </w:tcPr>
          <w:p w14:paraId="5CD672D1"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319</w:t>
            </w:r>
          </w:p>
        </w:tc>
        <w:tc>
          <w:tcPr>
            <w:tcW w:w="992" w:type="dxa"/>
            <w:tcBorders>
              <w:top w:val="nil"/>
              <w:left w:val="nil"/>
              <w:bottom w:val="nil"/>
              <w:right w:val="nil"/>
            </w:tcBorders>
            <w:shd w:val="clear" w:color="auto" w:fill="auto"/>
            <w:noWrap/>
            <w:vAlign w:val="center"/>
            <w:hideMark/>
          </w:tcPr>
          <w:p w14:paraId="29FFA401"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160.5</w:t>
            </w:r>
          </w:p>
        </w:tc>
        <w:tc>
          <w:tcPr>
            <w:tcW w:w="1035" w:type="dxa"/>
            <w:tcBorders>
              <w:top w:val="nil"/>
              <w:left w:val="nil"/>
              <w:bottom w:val="nil"/>
              <w:right w:val="nil"/>
            </w:tcBorders>
            <w:shd w:val="clear" w:color="auto" w:fill="auto"/>
            <w:noWrap/>
            <w:vAlign w:val="center"/>
            <w:hideMark/>
          </w:tcPr>
          <w:p w14:paraId="4F43794D"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6.1</w:t>
            </w:r>
          </w:p>
        </w:tc>
        <w:tc>
          <w:tcPr>
            <w:tcW w:w="241" w:type="dxa"/>
            <w:tcBorders>
              <w:top w:val="nil"/>
              <w:left w:val="nil"/>
              <w:bottom w:val="nil"/>
              <w:right w:val="nil"/>
            </w:tcBorders>
            <w:shd w:val="clear" w:color="auto" w:fill="auto"/>
            <w:noWrap/>
            <w:vAlign w:val="center"/>
            <w:hideMark/>
          </w:tcPr>
          <w:p w14:paraId="6A916EFD"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685BCEF4" w14:textId="77777777" w:rsidR="00AF13BF" w:rsidRPr="004A2775" w:rsidRDefault="00AF13BF" w:rsidP="00AF13BF">
            <w:pPr>
              <w:spacing w:after="0" w:line="240" w:lineRule="auto"/>
              <w:jc w:val="center"/>
              <w:rPr>
                <w:rFonts w:eastAsia="Times New Roman" w:cstheme="minorHAnsi"/>
                <w:lang w:eastAsia="en-GB"/>
              </w:rPr>
            </w:pPr>
            <w:r w:rsidRPr="004A2775">
              <w:rPr>
                <w:rFonts w:eastAsia="Times New Roman" w:cstheme="minorHAnsi"/>
                <w:lang w:eastAsia="en-GB"/>
              </w:rPr>
              <w:t>&lt;0.001</w:t>
            </w:r>
          </w:p>
        </w:tc>
      </w:tr>
      <w:tr w:rsidR="00AF13BF" w:rsidRPr="004A2775" w14:paraId="25B90E97"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3C1333AF" w14:textId="482B56A6" w:rsidR="00AF13BF" w:rsidRPr="004A2775" w:rsidRDefault="00AF13BF" w:rsidP="00AF13BF">
            <w:pPr>
              <w:spacing w:after="0" w:line="240" w:lineRule="auto"/>
              <w:rPr>
                <w:rFonts w:eastAsia="Times New Roman" w:cstheme="minorHAnsi"/>
                <w:color w:val="000000"/>
                <w:lang w:eastAsia="en-GB"/>
              </w:rPr>
            </w:pPr>
            <w:r w:rsidRPr="004A2775">
              <w:rPr>
                <w:rFonts w:eastAsia="Times New Roman" w:cstheme="minorHAnsi"/>
                <w:color w:val="000000"/>
                <w:lang w:eastAsia="en-GB"/>
              </w:rPr>
              <w:t>Weight (kg)</w:t>
            </w:r>
          </w:p>
        </w:tc>
        <w:tc>
          <w:tcPr>
            <w:tcW w:w="986" w:type="dxa"/>
            <w:tcBorders>
              <w:top w:val="nil"/>
              <w:left w:val="nil"/>
              <w:bottom w:val="nil"/>
              <w:right w:val="nil"/>
            </w:tcBorders>
            <w:shd w:val="clear" w:color="auto" w:fill="auto"/>
            <w:noWrap/>
            <w:vAlign w:val="center"/>
            <w:hideMark/>
          </w:tcPr>
          <w:p w14:paraId="47B285BC"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322</w:t>
            </w:r>
          </w:p>
        </w:tc>
        <w:tc>
          <w:tcPr>
            <w:tcW w:w="918" w:type="dxa"/>
            <w:tcBorders>
              <w:top w:val="nil"/>
              <w:left w:val="nil"/>
              <w:bottom w:val="nil"/>
              <w:right w:val="nil"/>
            </w:tcBorders>
            <w:shd w:val="clear" w:color="auto" w:fill="auto"/>
            <w:noWrap/>
            <w:vAlign w:val="center"/>
            <w:hideMark/>
          </w:tcPr>
          <w:p w14:paraId="26C149E0"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82.3</w:t>
            </w:r>
          </w:p>
        </w:tc>
        <w:tc>
          <w:tcPr>
            <w:tcW w:w="1135" w:type="dxa"/>
            <w:tcBorders>
              <w:top w:val="nil"/>
              <w:left w:val="nil"/>
              <w:bottom w:val="nil"/>
              <w:right w:val="nil"/>
            </w:tcBorders>
            <w:shd w:val="clear" w:color="auto" w:fill="auto"/>
            <w:noWrap/>
            <w:vAlign w:val="center"/>
            <w:hideMark/>
          </w:tcPr>
          <w:p w14:paraId="603BE247"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12.4</w:t>
            </w:r>
          </w:p>
        </w:tc>
        <w:tc>
          <w:tcPr>
            <w:tcW w:w="239" w:type="dxa"/>
            <w:tcBorders>
              <w:top w:val="nil"/>
              <w:left w:val="nil"/>
              <w:bottom w:val="nil"/>
              <w:right w:val="nil"/>
            </w:tcBorders>
            <w:shd w:val="clear" w:color="auto" w:fill="auto"/>
            <w:noWrap/>
            <w:vAlign w:val="center"/>
            <w:hideMark/>
          </w:tcPr>
          <w:p w14:paraId="746497B4" w14:textId="77777777" w:rsidR="00AF13BF" w:rsidRPr="004A2775" w:rsidRDefault="00AF13BF" w:rsidP="00AF13BF">
            <w:pPr>
              <w:spacing w:after="0" w:line="240" w:lineRule="auto"/>
              <w:jc w:val="center"/>
              <w:rPr>
                <w:rFonts w:eastAsia="Times New Roman" w:cstheme="minorHAnsi"/>
                <w:color w:val="000000"/>
                <w:lang w:eastAsia="en-GB"/>
              </w:rPr>
            </w:pPr>
          </w:p>
        </w:tc>
        <w:tc>
          <w:tcPr>
            <w:tcW w:w="977" w:type="dxa"/>
            <w:tcBorders>
              <w:top w:val="nil"/>
              <w:left w:val="nil"/>
              <w:bottom w:val="nil"/>
              <w:right w:val="nil"/>
            </w:tcBorders>
            <w:shd w:val="clear" w:color="auto" w:fill="auto"/>
            <w:noWrap/>
            <w:vAlign w:val="center"/>
            <w:hideMark/>
          </w:tcPr>
          <w:p w14:paraId="521CD365"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319</w:t>
            </w:r>
          </w:p>
        </w:tc>
        <w:tc>
          <w:tcPr>
            <w:tcW w:w="992" w:type="dxa"/>
            <w:tcBorders>
              <w:top w:val="nil"/>
              <w:left w:val="nil"/>
              <w:bottom w:val="nil"/>
              <w:right w:val="nil"/>
            </w:tcBorders>
            <w:shd w:val="clear" w:color="auto" w:fill="auto"/>
            <w:noWrap/>
            <w:vAlign w:val="center"/>
            <w:hideMark/>
          </w:tcPr>
          <w:p w14:paraId="36E69F09"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71.7</w:t>
            </w:r>
          </w:p>
        </w:tc>
        <w:tc>
          <w:tcPr>
            <w:tcW w:w="1035" w:type="dxa"/>
            <w:tcBorders>
              <w:top w:val="nil"/>
              <w:left w:val="nil"/>
              <w:bottom w:val="nil"/>
              <w:right w:val="nil"/>
            </w:tcBorders>
            <w:shd w:val="clear" w:color="auto" w:fill="auto"/>
            <w:noWrap/>
            <w:vAlign w:val="center"/>
            <w:hideMark/>
          </w:tcPr>
          <w:p w14:paraId="486FF1D6"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13.8</w:t>
            </w:r>
          </w:p>
        </w:tc>
        <w:tc>
          <w:tcPr>
            <w:tcW w:w="241" w:type="dxa"/>
            <w:tcBorders>
              <w:top w:val="nil"/>
              <w:left w:val="nil"/>
              <w:bottom w:val="nil"/>
              <w:right w:val="nil"/>
            </w:tcBorders>
            <w:shd w:val="clear" w:color="auto" w:fill="auto"/>
            <w:noWrap/>
            <w:vAlign w:val="center"/>
            <w:hideMark/>
          </w:tcPr>
          <w:p w14:paraId="099D8938"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7BA5E116" w14:textId="77777777" w:rsidR="00AF13BF" w:rsidRPr="004A2775" w:rsidRDefault="00AF13BF" w:rsidP="00AF13BF">
            <w:pPr>
              <w:spacing w:after="0" w:line="240" w:lineRule="auto"/>
              <w:jc w:val="center"/>
              <w:rPr>
                <w:rFonts w:eastAsia="Times New Roman" w:cstheme="minorHAnsi"/>
                <w:lang w:eastAsia="en-GB"/>
              </w:rPr>
            </w:pPr>
            <w:r w:rsidRPr="004A2775">
              <w:rPr>
                <w:rFonts w:eastAsia="Times New Roman" w:cstheme="minorHAnsi"/>
                <w:lang w:eastAsia="en-GB"/>
              </w:rPr>
              <w:t>&lt;0.001</w:t>
            </w:r>
          </w:p>
        </w:tc>
      </w:tr>
      <w:tr w:rsidR="00AF13BF" w:rsidRPr="004A2775" w14:paraId="292123AD"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47718B99" w14:textId="77777777" w:rsidR="00AF13BF" w:rsidRPr="004A2775" w:rsidRDefault="00AF13BF" w:rsidP="00AF13BF">
            <w:pPr>
              <w:spacing w:after="0" w:line="240" w:lineRule="auto"/>
              <w:rPr>
                <w:rFonts w:eastAsia="Times New Roman" w:cstheme="minorHAnsi"/>
                <w:color w:val="000000"/>
                <w:lang w:eastAsia="en-GB"/>
              </w:rPr>
            </w:pPr>
            <w:r w:rsidRPr="004A2775">
              <w:rPr>
                <w:rFonts w:eastAsia="Times New Roman" w:cstheme="minorHAnsi"/>
                <w:color w:val="000000"/>
                <w:lang w:eastAsia="en-GB"/>
              </w:rPr>
              <w:t>BMI (kg/m</w:t>
            </w:r>
            <w:r w:rsidRPr="004A2775">
              <w:rPr>
                <w:rFonts w:eastAsia="Times New Roman" w:cstheme="minorHAnsi"/>
                <w:color w:val="000000"/>
                <w:vertAlign w:val="superscript"/>
                <w:lang w:eastAsia="en-GB"/>
              </w:rPr>
              <w:t>2</w:t>
            </w:r>
            <w:r w:rsidRPr="004A2775">
              <w:rPr>
                <w:rFonts w:eastAsia="Times New Roman" w:cstheme="minorHAnsi"/>
                <w:color w:val="000000"/>
                <w:lang w:eastAsia="en-GB"/>
              </w:rPr>
              <w:t>)</w:t>
            </w:r>
          </w:p>
        </w:tc>
        <w:tc>
          <w:tcPr>
            <w:tcW w:w="986" w:type="dxa"/>
            <w:tcBorders>
              <w:top w:val="nil"/>
              <w:left w:val="nil"/>
              <w:bottom w:val="nil"/>
              <w:right w:val="nil"/>
            </w:tcBorders>
            <w:shd w:val="clear" w:color="auto" w:fill="auto"/>
            <w:noWrap/>
            <w:vAlign w:val="center"/>
            <w:hideMark/>
          </w:tcPr>
          <w:p w14:paraId="6A055721"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322</w:t>
            </w:r>
          </w:p>
        </w:tc>
        <w:tc>
          <w:tcPr>
            <w:tcW w:w="918" w:type="dxa"/>
            <w:tcBorders>
              <w:top w:val="nil"/>
              <w:left w:val="nil"/>
              <w:bottom w:val="nil"/>
              <w:right w:val="nil"/>
            </w:tcBorders>
            <w:shd w:val="clear" w:color="auto" w:fill="auto"/>
            <w:noWrap/>
            <w:vAlign w:val="center"/>
            <w:hideMark/>
          </w:tcPr>
          <w:p w14:paraId="69EC7210"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27.3</w:t>
            </w:r>
          </w:p>
        </w:tc>
        <w:tc>
          <w:tcPr>
            <w:tcW w:w="1135" w:type="dxa"/>
            <w:tcBorders>
              <w:top w:val="nil"/>
              <w:left w:val="nil"/>
              <w:bottom w:val="nil"/>
              <w:right w:val="nil"/>
            </w:tcBorders>
            <w:shd w:val="clear" w:color="auto" w:fill="auto"/>
            <w:noWrap/>
            <w:vAlign w:val="center"/>
            <w:hideMark/>
          </w:tcPr>
          <w:p w14:paraId="2EE0D14A"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3.8</w:t>
            </w:r>
          </w:p>
        </w:tc>
        <w:tc>
          <w:tcPr>
            <w:tcW w:w="239" w:type="dxa"/>
            <w:tcBorders>
              <w:top w:val="nil"/>
              <w:left w:val="nil"/>
              <w:bottom w:val="nil"/>
              <w:right w:val="nil"/>
            </w:tcBorders>
            <w:shd w:val="clear" w:color="auto" w:fill="auto"/>
            <w:noWrap/>
            <w:vAlign w:val="center"/>
            <w:hideMark/>
          </w:tcPr>
          <w:p w14:paraId="01C9D8EE" w14:textId="77777777" w:rsidR="00AF13BF" w:rsidRPr="004A2775" w:rsidRDefault="00AF13BF" w:rsidP="00AF13BF">
            <w:pPr>
              <w:spacing w:after="0" w:line="240" w:lineRule="auto"/>
              <w:jc w:val="center"/>
              <w:rPr>
                <w:rFonts w:eastAsia="Times New Roman" w:cstheme="minorHAnsi"/>
                <w:color w:val="000000"/>
                <w:lang w:eastAsia="en-GB"/>
              </w:rPr>
            </w:pPr>
          </w:p>
        </w:tc>
        <w:tc>
          <w:tcPr>
            <w:tcW w:w="977" w:type="dxa"/>
            <w:tcBorders>
              <w:top w:val="nil"/>
              <w:left w:val="nil"/>
              <w:bottom w:val="nil"/>
              <w:right w:val="nil"/>
            </w:tcBorders>
            <w:shd w:val="clear" w:color="auto" w:fill="auto"/>
            <w:noWrap/>
            <w:vAlign w:val="center"/>
            <w:hideMark/>
          </w:tcPr>
          <w:p w14:paraId="3793DC28"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319</w:t>
            </w:r>
          </w:p>
        </w:tc>
        <w:tc>
          <w:tcPr>
            <w:tcW w:w="992" w:type="dxa"/>
            <w:tcBorders>
              <w:top w:val="nil"/>
              <w:left w:val="nil"/>
              <w:bottom w:val="nil"/>
              <w:right w:val="nil"/>
            </w:tcBorders>
            <w:shd w:val="clear" w:color="auto" w:fill="auto"/>
            <w:noWrap/>
            <w:vAlign w:val="center"/>
            <w:hideMark/>
          </w:tcPr>
          <w:p w14:paraId="3E71BF21"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27.8</w:t>
            </w:r>
          </w:p>
        </w:tc>
        <w:tc>
          <w:tcPr>
            <w:tcW w:w="1035" w:type="dxa"/>
            <w:tcBorders>
              <w:top w:val="nil"/>
              <w:left w:val="nil"/>
              <w:bottom w:val="nil"/>
              <w:right w:val="nil"/>
            </w:tcBorders>
            <w:shd w:val="clear" w:color="auto" w:fill="auto"/>
            <w:noWrap/>
            <w:vAlign w:val="center"/>
            <w:hideMark/>
          </w:tcPr>
          <w:p w14:paraId="2CBE223E"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4.9</w:t>
            </w:r>
          </w:p>
        </w:tc>
        <w:tc>
          <w:tcPr>
            <w:tcW w:w="241" w:type="dxa"/>
            <w:tcBorders>
              <w:top w:val="nil"/>
              <w:left w:val="nil"/>
              <w:bottom w:val="nil"/>
              <w:right w:val="nil"/>
            </w:tcBorders>
            <w:shd w:val="clear" w:color="auto" w:fill="auto"/>
            <w:noWrap/>
            <w:vAlign w:val="center"/>
            <w:hideMark/>
          </w:tcPr>
          <w:p w14:paraId="1534626B"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15B057B3" w14:textId="77777777" w:rsidR="00AF13BF" w:rsidRPr="004A2775" w:rsidRDefault="00AF13BF" w:rsidP="00AF13BF">
            <w:pPr>
              <w:spacing w:after="0" w:line="240" w:lineRule="auto"/>
              <w:jc w:val="center"/>
              <w:rPr>
                <w:rFonts w:eastAsia="Times New Roman" w:cstheme="minorHAnsi"/>
                <w:lang w:eastAsia="en-GB"/>
              </w:rPr>
            </w:pPr>
            <w:r w:rsidRPr="004A2775">
              <w:rPr>
                <w:rFonts w:eastAsia="Times New Roman" w:cstheme="minorHAnsi"/>
                <w:lang w:eastAsia="en-GB"/>
              </w:rPr>
              <w:t>0.106</w:t>
            </w:r>
          </w:p>
        </w:tc>
      </w:tr>
      <w:tr w:rsidR="00AF13BF" w:rsidRPr="004A2775" w14:paraId="3C2E6FCB"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77627FC8" w14:textId="5EE3ADF4" w:rsidR="00AF13BF" w:rsidRPr="004A2775" w:rsidRDefault="00AF13BF" w:rsidP="00AF13BF">
            <w:pPr>
              <w:spacing w:after="0" w:line="240" w:lineRule="auto"/>
              <w:rPr>
                <w:rFonts w:eastAsia="Times New Roman" w:cstheme="minorHAnsi"/>
                <w:color w:val="000000"/>
                <w:lang w:eastAsia="en-GB"/>
              </w:rPr>
            </w:pPr>
            <w:r w:rsidRPr="004A2775">
              <w:rPr>
                <w:rFonts w:eastAsia="Times New Roman" w:cstheme="minorHAnsi"/>
                <w:color w:val="000000"/>
                <w:lang w:eastAsia="en-GB"/>
              </w:rPr>
              <w:t>Dallosso activity score*</w:t>
            </w:r>
          </w:p>
        </w:tc>
        <w:tc>
          <w:tcPr>
            <w:tcW w:w="986" w:type="dxa"/>
            <w:tcBorders>
              <w:top w:val="nil"/>
              <w:left w:val="nil"/>
              <w:bottom w:val="nil"/>
              <w:right w:val="nil"/>
            </w:tcBorders>
            <w:shd w:val="clear" w:color="auto" w:fill="auto"/>
            <w:noWrap/>
            <w:vAlign w:val="center"/>
            <w:hideMark/>
          </w:tcPr>
          <w:p w14:paraId="18CD16FE"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322</w:t>
            </w:r>
          </w:p>
        </w:tc>
        <w:tc>
          <w:tcPr>
            <w:tcW w:w="918" w:type="dxa"/>
            <w:tcBorders>
              <w:top w:val="nil"/>
              <w:left w:val="nil"/>
              <w:bottom w:val="nil"/>
              <w:right w:val="nil"/>
            </w:tcBorders>
            <w:shd w:val="clear" w:color="auto" w:fill="auto"/>
            <w:noWrap/>
            <w:vAlign w:val="center"/>
            <w:hideMark/>
          </w:tcPr>
          <w:p w14:paraId="0EF7C127"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63.9</w:t>
            </w:r>
          </w:p>
        </w:tc>
        <w:tc>
          <w:tcPr>
            <w:tcW w:w="1135" w:type="dxa"/>
            <w:tcBorders>
              <w:top w:val="nil"/>
              <w:left w:val="nil"/>
              <w:bottom w:val="nil"/>
              <w:right w:val="nil"/>
            </w:tcBorders>
            <w:shd w:val="clear" w:color="auto" w:fill="auto"/>
            <w:noWrap/>
            <w:vAlign w:val="center"/>
            <w:hideMark/>
          </w:tcPr>
          <w:p w14:paraId="51B9B575"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14.3</w:t>
            </w:r>
          </w:p>
        </w:tc>
        <w:tc>
          <w:tcPr>
            <w:tcW w:w="239" w:type="dxa"/>
            <w:tcBorders>
              <w:top w:val="nil"/>
              <w:left w:val="nil"/>
              <w:bottom w:val="nil"/>
              <w:right w:val="nil"/>
            </w:tcBorders>
            <w:shd w:val="clear" w:color="auto" w:fill="auto"/>
            <w:noWrap/>
            <w:vAlign w:val="center"/>
            <w:hideMark/>
          </w:tcPr>
          <w:p w14:paraId="5C731D7F" w14:textId="77777777" w:rsidR="00AF13BF" w:rsidRPr="004A2775" w:rsidRDefault="00AF13BF" w:rsidP="00AF13BF">
            <w:pPr>
              <w:spacing w:after="0" w:line="240" w:lineRule="auto"/>
              <w:jc w:val="center"/>
              <w:rPr>
                <w:rFonts w:eastAsia="Times New Roman" w:cstheme="minorHAnsi"/>
                <w:color w:val="000000"/>
                <w:lang w:eastAsia="en-GB"/>
              </w:rPr>
            </w:pPr>
          </w:p>
        </w:tc>
        <w:tc>
          <w:tcPr>
            <w:tcW w:w="977" w:type="dxa"/>
            <w:tcBorders>
              <w:top w:val="nil"/>
              <w:left w:val="nil"/>
              <w:bottom w:val="nil"/>
              <w:right w:val="nil"/>
            </w:tcBorders>
            <w:shd w:val="clear" w:color="auto" w:fill="auto"/>
            <w:noWrap/>
            <w:vAlign w:val="center"/>
            <w:hideMark/>
          </w:tcPr>
          <w:p w14:paraId="473F82BA"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319</w:t>
            </w:r>
          </w:p>
        </w:tc>
        <w:tc>
          <w:tcPr>
            <w:tcW w:w="992" w:type="dxa"/>
            <w:tcBorders>
              <w:top w:val="nil"/>
              <w:left w:val="nil"/>
              <w:bottom w:val="nil"/>
              <w:right w:val="nil"/>
            </w:tcBorders>
            <w:shd w:val="clear" w:color="auto" w:fill="auto"/>
            <w:noWrap/>
            <w:vAlign w:val="center"/>
            <w:hideMark/>
          </w:tcPr>
          <w:p w14:paraId="6A87017E"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61.8</w:t>
            </w:r>
          </w:p>
        </w:tc>
        <w:tc>
          <w:tcPr>
            <w:tcW w:w="1035" w:type="dxa"/>
            <w:tcBorders>
              <w:top w:val="nil"/>
              <w:left w:val="nil"/>
              <w:bottom w:val="nil"/>
              <w:right w:val="nil"/>
            </w:tcBorders>
            <w:shd w:val="clear" w:color="auto" w:fill="auto"/>
            <w:noWrap/>
            <w:vAlign w:val="center"/>
            <w:hideMark/>
          </w:tcPr>
          <w:p w14:paraId="58513C80"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14.3</w:t>
            </w:r>
          </w:p>
        </w:tc>
        <w:tc>
          <w:tcPr>
            <w:tcW w:w="241" w:type="dxa"/>
            <w:tcBorders>
              <w:top w:val="nil"/>
              <w:left w:val="nil"/>
              <w:bottom w:val="nil"/>
              <w:right w:val="nil"/>
            </w:tcBorders>
            <w:shd w:val="clear" w:color="auto" w:fill="auto"/>
            <w:noWrap/>
            <w:vAlign w:val="center"/>
            <w:hideMark/>
          </w:tcPr>
          <w:p w14:paraId="3F8AF2C3"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508FEAC5" w14:textId="77777777" w:rsidR="00AF13BF" w:rsidRPr="004A2775" w:rsidRDefault="00AF13BF" w:rsidP="00AF13BF">
            <w:pPr>
              <w:spacing w:after="0" w:line="240" w:lineRule="auto"/>
              <w:jc w:val="center"/>
              <w:rPr>
                <w:rFonts w:eastAsia="Times New Roman" w:cstheme="minorHAnsi"/>
                <w:lang w:eastAsia="en-GB"/>
              </w:rPr>
            </w:pPr>
            <w:r w:rsidRPr="004A2775">
              <w:rPr>
                <w:rFonts w:eastAsia="Times New Roman" w:cstheme="minorHAnsi"/>
                <w:lang w:eastAsia="en-GB"/>
              </w:rPr>
              <w:t>0.060</w:t>
            </w:r>
          </w:p>
        </w:tc>
      </w:tr>
      <w:tr w:rsidR="00AF13BF" w:rsidRPr="004A2775" w14:paraId="0DD01C4D"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5C838B9F" w14:textId="41A7EF27" w:rsidR="00AF13BF" w:rsidRPr="004A2775" w:rsidRDefault="00AF13BF" w:rsidP="00AF13BF">
            <w:pPr>
              <w:spacing w:after="0" w:line="240" w:lineRule="auto"/>
              <w:rPr>
                <w:rFonts w:eastAsia="Times New Roman" w:cstheme="minorHAnsi"/>
                <w:color w:val="000000"/>
                <w:lang w:eastAsia="en-GB"/>
              </w:rPr>
            </w:pPr>
            <w:r w:rsidRPr="004A2775">
              <w:rPr>
                <w:rFonts w:eastAsia="Times New Roman" w:cstheme="minorHAnsi"/>
                <w:color w:val="000000"/>
                <w:lang w:eastAsia="en-GB"/>
              </w:rPr>
              <w:t>Calf muscle area (mm</w:t>
            </w:r>
            <w:r w:rsidRPr="004A2775">
              <w:rPr>
                <w:rFonts w:eastAsia="Times New Roman" w:cstheme="minorHAnsi"/>
                <w:color w:val="000000"/>
                <w:vertAlign w:val="superscript"/>
                <w:lang w:eastAsia="en-GB"/>
              </w:rPr>
              <w:t>2</w:t>
            </w:r>
            <w:r w:rsidRPr="004A2775">
              <w:rPr>
                <w:rFonts w:eastAsia="Times New Roman" w:cstheme="minorHAnsi"/>
                <w:color w:val="000000"/>
                <w:lang w:eastAsia="en-GB"/>
              </w:rPr>
              <w:t>)</w:t>
            </w:r>
          </w:p>
        </w:tc>
        <w:tc>
          <w:tcPr>
            <w:tcW w:w="986" w:type="dxa"/>
            <w:tcBorders>
              <w:top w:val="nil"/>
              <w:left w:val="nil"/>
              <w:bottom w:val="nil"/>
              <w:right w:val="nil"/>
            </w:tcBorders>
            <w:shd w:val="clear" w:color="auto" w:fill="auto"/>
            <w:noWrap/>
            <w:vAlign w:val="center"/>
            <w:hideMark/>
          </w:tcPr>
          <w:p w14:paraId="3D903A8A"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293</w:t>
            </w:r>
          </w:p>
        </w:tc>
        <w:tc>
          <w:tcPr>
            <w:tcW w:w="918" w:type="dxa"/>
            <w:tcBorders>
              <w:top w:val="nil"/>
              <w:left w:val="nil"/>
              <w:bottom w:val="nil"/>
              <w:right w:val="nil"/>
            </w:tcBorders>
            <w:shd w:val="clear" w:color="auto" w:fill="auto"/>
            <w:noWrap/>
            <w:vAlign w:val="center"/>
            <w:hideMark/>
          </w:tcPr>
          <w:p w14:paraId="61228990"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8035</w:t>
            </w:r>
          </w:p>
        </w:tc>
        <w:tc>
          <w:tcPr>
            <w:tcW w:w="1135" w:type="dxa"/>
            <w:tcBorders>
              <w:top w:val="nil"/>
              <w:left w:val="nil"/>
              <w:bottom w:val="nil"/>
              <w:right w:val="nil"/>
            </w:tcBorders>
            <w:shd w:val="clear" w:color="auto" w:fill="auto"/>
            <w:noWrap/>
            <w:vAlign w:val="center"/>
            <w:hideMark/>
          </w:tcPr>
          <w:p w14:paraId="05043375"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1204</w:t>
            </w:r>
          </w:p>
        </w:tc>
        <w:tc>
          <w:tcPr>
            <w:tcW w:w="239" w:type="dxa"/>
            <w:tcBorders>
              <w:top w:val="nil"/>
              <w:left w:val="nil"/>
              <w:bottom w:val="nil"/>
              <w:right w:val="nil"/>
            </w:tcBorders>
            <w:shd w:val="clear" w:color="auto" w:fill="auto"/>
            <w:noWrap/>
            <w:vAlign w:val="center"/>
            <w:hideMark/>
          </w:tcPr>
          <w:p w14:paraId="0D36B053" w14:textId="77777777" w:rsidR="00AF13BF" w:rsidRPr="004A2775" w:rsidRDefault="00AF13BF" w:rsidP="00AF13BF">
            <w:pPr>
              <w:spacing w:after="0" w:line="240" w:lineRule="auto"/>
              <w:jc w:val="center"/>
              <w:rPr>
                <w:rFonts w:eastAsia="Times New Roman" w:cstheme="minorHAnsi"/>
                <w:color w:val="000000"/>
                <w:lang w:eastAsia="en-GB"/>
              </w:rPr>
            </w:pPr>
          </w:p>
        </w:tc>
        <w:tc>
          <w:tcPr>
            <w:tcW w:w="977" w:type="dxa"/>
            <w:tcBorders>
              <w:top w:val="nil"/>
              <w:left w:val="nil"/>
              <w:bottom w:val="nil"/>
              <w:right w:val="nil"/>
            </w:tcBorders>
            <w:shd w:val="clear" w:color="auto" w:fill="auto"/>
            <w:noWrap/>
            <w:vAlign w:val="center"/>
            <w:hideMark/>
          </w:tcPr>
          <w:p w14:paraId="06172910"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295</w:t>
            </w:r>
          </w:p>
        </w:tc>
        <w:tc>
          <w:tcPr>
            <w:tcW w:w="992" w:type="dxa"/>
            <w:tcBorders>
              <w:top w:val="nil"/>
              <w:left w:val="nil"/>
              <w:bottom w:val="nil"/>
              <w:right w:val="nil"/>
            </w:tcBorders>
            <w:shd w:val="clear" w:color="auto" w:fill="auto"/>
            <w:noWrap/>
            <w:vAlign w:val="center"/>
            <w:hideMark/>
          </w:tcPr>
          <w:p w14:paraId="418EF42C"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6212</w:t>
            </w:r>
          </w:p>
        </w:tc>
        <w:tc>
          <w:tcPr>
            <w:tcW w:w="1035" w:type="dxa"/>
            <w:tcBorders>
              <w:top w:val="nil"/>
              <w:left w:val="nil"/>
              <w:bottom w:val="nil"/>
              <w:right w:val="nil"/>
            </w:tcBorders>
            <w:shd w:val="clear" w:color="auto" w:fill="auto"/>
            <w:noWrap/>
            <w:vAlign w:val="center"/>
            <w:hideMark/>
          </w:tcPr>
          <w:p w14:paraId="243A2004"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981</w:t>
            </w:r>
          </w:p>
        </w:tc>
        <w:tc>
          <w:tcPr>
            <w:tcW w:w="241" w:type="dxa"/>
            <w:tcBorders>
              <w:top w:val="nil"/>
              <w:left w:val="nil"/>
              <w:bottom w:val="nil"/>
              <w:right w:val="nil"/>
            </w:tcBorders>
            <w:shd w:val="clear" w:color="auto" w:fill="auto"/>
            <w:noWrap/>
            <w:vAlign w:val="center"/>
            <w:hideMark/>
          </w:tcPr>
          <w:p w14:paraId="64EAFFBC"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2661B7AD" w14:textId="77777777" w:rsidR="00AF13BF" w:rsidRPr="004A2775" w:rsidRDefault="00AF13BF" w:rsidP="00AF13BF">
            <w:pPr>
              <w:spacing w:after="0" w:line="240" w:lineRule="auto"/>
              <w:jc w:val="center"/>
              <w:rPr>
                <w:rFonts w:eastAsia="Times New Roman" w:cstheme="minorHAnsi"/>
                <w:lang w:eastAsia="en-GB"/>
              </w:rPr>
            </w:pPr>
            <w:r w:rsidRPr="004A2775">
              <w:rPr>
                <w:rFonts w:eastAsia="Times New Roman" w:cstheme="minorHAnsi"/>
                <w:lang w:eastAsia="en-GB"/>
              </w:rPr>
              <w:t>&lt;0.001</w:t>
            </w:r>
          </w:p>
        </w:tc>
      </w:tr>
      <w:tr w:rsidR="00AF13BF" w:rsidRPr="004A2775" w14:paraId="712D3748"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03DA6F26" w14:textId="77777777" w:rsidR="00AF13BF" w:rsidRPr="004A2775" w:rsidRDefault="00AF13BF" w:rsidP="00AF13BF">
            <w:pPr>
              <w:spacing w:after="0" w:line="240" w:lineRule="auto"/>
              <w:rPr>
                <w:rFonts w:eastAsia="Times New Roman" w:cstheme="minorHAnsi"/>
                <w:color w:val="000000"/>
                <w:lang w:eastAsia="en-GB"/>
              </w:rPr>
            </w:pPr>
            <w:r w:rsidRPr="004A2775">
              <w:rPr>
                <w:rFonts w:eastAsia="Times New Roman" w:cstheme="minorHAnsi"/>
                <w:color w:val="000000"/>
                <w:lang w:eastAsia="en-GB"/>
              </w:rPr>
              <w:t>Grip strength (kg)</w:t>
            </w:r>
          </w:p>
        </w:tc>
        <w:tc>
          <w:tcPr>
            <w:tcW w:w="986" w:type="dxa"/>
            <w:tcBorders>
              <w:top w:val="nil"/>
              <w:left w:val="nil"/>
              <w:bottom w:val="nil"/>
              <w:right w:val="nil"/>
            </w:tcBorders>
            <w:shd w:val="clear" w:color="auto" w:fill="auto"/>
            <w:noWrap/>
            <w:vAlign w:val="center"/>
            <w:hideMark/>
          </w:tcPr>
          <w:p w14:paraId="6DE6A89E"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321</w:t>
            </w:r>
          </w:p>
        </w:tc>
        <w:tc>
          <w:tcPr>
            <w:tcW w:w="918" w:type="dxa"/>
            <w:tcBorders>
              <w:top w:val="nil"/>
              <w:left w:val="nil"/>
              <w:bottom w:val="nil"/>
              <w:right w:val="nil"/>
            </w:tcBorders>
            <w:shd w:val="clear" w:color="auto" w:fill="auto"/>
            <w:noWrap/>
            <w:vAlign w:val="center"/>
            <w:hideMark/>
          </w:tcPr>
          <w:p w14:paraId="44DFAEDB"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42.2</w:t>
            </w:r>
          </w:p>
        </w:tc>
        <w:tc>
          <w:tcPr>
            <w:tcW w:w="1135" w:type="dxa"/>
            <w:tcBorders>
              <w:top w:val="nil"/>
              <w:left w:val="nil"/>
              <w:bottom w:val="nil"/>
              <w:right w:val="nil"/>
            </w:tcBorders>
            <w:shd w:val="clear" w:color="auto" w:fill="auto"/>
            <w:noWrap/>
            <w:vAlign w:val="center"/>
            <w:hideMark/>
          </w:tcPr>
          <w:p w14:paraId="5443F255"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7.6</w:t>
            </w:r>
          </w:p>
        </w:tc>
        <w:tc>
          <w:tcPr>
            <w:tcW w:w="239" w:type="dxa"/>
            <w:tcBorders>
              <w:top w:val="nil"/>
              <w:left w:val="nil"/>
              <w:bottom w:val="nil"/>
              <w:right w:val="nil"/>
            </w:tcBorders>
            <w:shd w:val="clear" w:color="auto" w:fill="auto"/>
            <w:noWrap/>
            <w:vAlign w:val="center"/>
            <w:hideMark/>
          </w:tcPr>
          <w:p w14:paraId="4DB47A80" w14:textId="77777777" w:rsidR="00AF13BF" w:rsidRPr="004A2775" w:rsidRDefault="00AF13BF" w:rsidP="00AF13BF">
            <w:pPr>
              <w:spacing w:after="0" w:line="240" w:lineRule="auto"/>
              <w:jc w:val="center"/>
              <w:rPr>
                <w:rFonts w:eastAsia="Times New Roman" w:cstheme="minorHAnsi"/>
                <w:color w:val="000000"/>
                <w:lang w:eastAsia="en-GB"/>
              </w:rPr>
            </w:pPr>
          </w:p>
        </w:tc>
        <w:tc>
          <w:tcPr>
            <w:tcW w:w="977" w:type="dxa"/>
            <w:tcBorders>
              <w:top w:val="nil"/>
              <w:left w:val="nil"/>
              <w:bottom w:val="nil"/>
              <w:right w:val="nil"/>
            </w:tcBorders>
            <w:shd w:val="clear" w:color="auto" w:fill="auto"/>
            <w:noWrap/>
            <w:vAlign w:val="center"/>
            <w:hideMark/>
          </w:tcPr>
          <w:p w14:paraId="1FCC4F40"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318</w:t>
            </w:r>
          </w:p>
        </w:tc>
        <w:tc>
          <w:tcPr>
            <w:tcW w:w="992" w:type="dxa"/>
            <w:tcBorders>
              <w:top w:val="nil"/>
              <w:left w:val="nil"/>
              <w:bottom w:val="nil"/>
              <w:right w:val="nil"/>
            </w:tcBorders>
            <w:shd w:val="clear" w:color="auto" w:fill="auto"/>
            <w:noWrap/>
            <w:vAlign w:val="center"/>
            <w:hideMark/>
          </w:tcPr>
          <w:p w14:paraId="7C09206A"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24.9</w:t>
            </w:r>
          </w:p>
        </w:tc>
        <w:tc>
          <w:tcPr>
            <w:tcW w:w="1035" w:type="dxa"/>
            <w:tcBorders>
              <w:top w:val="nil"/>
              <w:left w:val="nil"/>
              <w:bottom w:val="nil"/>
              <w:right w:val="nil"/>
            </w:tcBorders>
            <w:shd w:val="clear" w:color="auto" w:fill="auto"/>
            <w:noWrap/>
            <w:vAlign w:val="center"/>
            <w:hideMark/>
          </w:tcPr>
          <w:p w14:paraId="052D7E5E"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5.8</w:t>
            </w:r>
          </w:p>
        </w:tc>
        <w:tc>
          <w:tcPr>
            <w:tcW w:w="241" w:type="dxa"/>
            <w:tcBorders>
              <w:top w:val="nil"/>
              <w:left w:val="nil"/>
              <w:bottom w:val="nil"/>
              <w:right w:val="nil"/>
            </w:tcBorders>
            <w:shd w:val="clear" w:color="auto" w:fill="auto"/>
            <w:noWrap/>
            <w:vAlign w:val="center"/>
            <w:hideMark/>
          </w:tcPr>
          <w:p w14:paraId="3D55995E"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17E96DFD" w14:textId="77777777" w:rsidR="00AF13BF" w:rsidRPr="004A2775" w:rsidRDefault="00AF13BF" w:rsidP="00AF13BF">
            <w:pPr>
              <w:spacing w:after="0" w:line="240" w:lineRule="auto"/>
              <w:jc w:val="center"/>
              <w:rPr>
                <w:rFonts w:eastAsia="Times New Roman" w:cstheme="minorHAnsi"/>
                <w:lang w:eastAsia="en-GB"/>
              </w:rPr>
            </w:pPr>
            <w:r w:rsidRPr="004A2775">
              <w:rPr>
                <w:rFonts w:eastAsia="Times New Roman" w:cstheme="minorHAnsi"/>
                <w:lang w:eastAsia="en-GB"/>
              </w:rPr>
              <w:t>&lt;0.001</w:t>
            </w:r>
          </w:p>
        </w:tc>
      </w:tr>
      <w:tr w:rsidR="00AF13BF" w:rsidRPr="004A2775" w14:paraId="5969F7BA"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6EAEC415" w14:textId="77777777" w:rsidR="00AF13BF" w:rsidRPr="004A2775" w:rsidRDefault="00AF13BF" w:rsidP="00AF13BF">
            <w:pPr>
              <w:spacing w:after="0" w:line="240" w:lineRule="auto"/>
              <w:rPr>
                <w:rFonts w:eastAsia="Times New Roman" w:cstheme="minorHAnsi"/>
                <w:color w:val="000000"/>
                <w:lang w:eastAsia="en-GB"/>
              </w:rPr>
            </w:pPr>
            <w:r w:rsidRPr="004A2775">
              <w:rPr>
                <w:rFonts w:eastAsia="Times New Roman" w:cstheme="minorHAnsi"/>
                <w:color w:val="000000"/>
                <w:lang w:eastAsia="en-GB"/>
              </w:rPr>
              <w:t>Gait speed (m/s)</w:t>
            </w:r>
          </w:p>
        </w:tc>
        <w:tc>
          <w:tcPr>
            <w:tcW w:w="986" w:type="dxa"/>
            <w:tcBorders>
              <w:top w:val="nil"/>
              <w:left w:val="nil"/>
              <w:bottom w:val="nil"/>
              <w:right w:val="nil"/>
            </w:tcBorders>
            <w:shd w:val="clear" w:color="auto" w:fill="auto"/>
            <w:noWrap/>
            <w:vAlign w:val="center"/>
            <w:hideMark/>
          </w:tcPr>
          <w:p w14:paraId="41A54E71"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320</w:t>
            </w:r>
          </w:p>
        </w:tc>
        <w:tc>
          <w:tcPr>
            <w:tcW w:w="918" w:type="dxa"/>
            <w:tcBorders>
              <w:top w:val="nil"/>
              <w:left w:val="nil"/>
              <w:bottom w:val="nil"/>
              <w:right w:val="nil"/>
            </w:tcBorders>
            <w:shd w:val="clear" w:color="auto" w:fill="auto"/>
            <w:noWrap/>
            <w:vAlign w:val="center"/>
            <w:hideMark/>
          </w:tcPr>
          <w:p w14:paraId="7DBF25C8"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0.92</w:t>
            </w:r>
          </w:p>
        </w:tc>
        <w:tc>
          <w:tcPr>
            <w:tcW w:w="1135" w:type="dxa"/>
            <w:tcBorders>
              <w:top w:val="nil"/>
              <w:left w:val="nil"/>
              <w:bottom w:val="nil"/>
              <w:right w:val="nil"/>
            </w:tcBorders>
            <w:shd w:val="clear" w:color="auto" w:fill="auto"/>
            <w:noWrap/>
            <w:vAlign w:val="center"/>
            <w:hideMark/>
          </w:tcPr>
          <w:p w14:paraId="2919569B"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0.17</w:t>
            </w:r>
          </w:p>
        </w:tc>
        <w:tc>
          <w:tcPr>
            <w:tcW w:w="239" w:type="dxa"/>
            <w:tcBorders>
              <w:top w:val="nil"/>
              <w:left w:val="nil"/>
              <w:bottom w:val="nil"/>
              <w:right w:val="nil"/>
            </w:tcBorders>
            <w:shd w:val="clear" w:color="auto" w:fill="auto"/>
            <w:noWrap/>
            <w:vAlign w:val="center"/>
            <w:hideMark/>
          </w:tcPr>
          <w:p w14:paraId="4C1C2FFB" w14:textId="77777777" w:rsidR="00AF13BF" w:rsidRPr="004A2775" w:rsidRDefault="00AF13BF" w:rsidP="00AF13BF">
            <w:pPr>
              <w:spacing w:after="0" w:line="240" w:lineRule="auto"/>
              <w:jc w:val="center"/>
              <w:rPr>
                <w:rFonts w:eastAsia="Times New Roman" w:cstheme="minorHAnsi"/>
                <w:color w:val="000000"/>
                <w:lang w:eastAsia="en-GB"/>
              </w:rPr>
            </w:pPr>
          </w:p>
        </w:tc>
        <w:tc>
          <w:tcPr>
            <w:tcW w:w="977" w:type="dxa"/>
            <w:tcBorders>
              <w:top w:val="nil"/>
              <w:left w:val="nil"/>
              <w:bottom w:val="nil"/>
              <w:right w:val="nil"/>
            </w:tcBorders>
            <w:shd w:val="clear" w:color="auto" w:fill="auto"/>
            <w:noWrap/>
            <w:vAlign w:val="center"/>
            <w:hideMark/>
          </w:tcPr>
          <w:p w14:paraId="70698872"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317</w:t>
            </w:r>
          </w:p>
        </w:tc>
        <w:tc>
          <w:tcPr>
            <w:tcW w:w="992" w:type="dxa"/>
            <w:tcBorders>
              <w:top w:val="nil"/>
              <w:left w:val="nil"/>
              <w:bottom w:val="nil"/>
              <w:right w:val="nil"/>
            </w:tcBorders>
            <w:shd w:val="clear" w:color="auto" w:fill="auto"/>
            <w:noWrap/>
            <w:vAlign w:val="center"/>
            <w:hideMark/>
          </w:tcPr>
          <w:p w14:paraId="1BA47C92"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0.88</w:t>
            </w:r>
          </w:p>
        </w:tc>
        <w:tc>
          <w:tcPr>
            <w:tcW w:w="1035" w:type="dxa"/>
            <w:tcBorders>
              <w:top w:val="nil"/>
              <w:left w:val="nil"/>
              <w:bottom w:val="nil"/>
              <w:right w:val="nil"/>
            </w:tcBorders>
            <w:shd w:val="clear" w:color="auto" w:fill="auto"/>
            <w:noWrap/>
            <w:vAlign w:val="center"/>
            <w:hideMark/>
          </w:tcPr>
          <w:p w14:paraId="104BA9F6"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0.16</w:t>
            </w:r>
          </w:p>
        </w:tc>
        <w:tc>
          <w:tcPr>
            <w:tcW w:w="241" w:type="dxa"/>
            <w:tcBorders>
              <w:top w:val="nil"/>
              <w:left w:val="nil"/>
              <w:bottom w:val="nil"/>
              <w:right w:val="nil"/>
            </w:tcBorders>
            <w:shd w:val="clear" w:color="auto" w:fill="auto"/>
            <w:noWrap/>
            <w:vAlign w:val="center"/>
            <w:hideMark/>
          </w:tcPr>
          <w:p w14:paraId="41C3E955"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13DB26BE" w14:textId="77777777" w:rsidR="00AF13BF" w:rsidRPr="004A2775" w:rsidRDefault="00AF13BF" w:rsidP="00AF13BF">
            <w:pPr>
              <w:spacing w:after="0" w:line="240" w:lineRule="auto"/>
              <w:jc w:val="center"/>
              <w:rPr>
                <w:rFonts w:eastAsia="Times New Roman" w:cstheme="minorHAnsi"/>
                <w:lang w:eastAsia="en-GB"/>
              </w:rPr>
            </w:pPr>
            <w:r w:rsidRPr="004A2775">
              <w:rPr>
                <w:rFonts w:eastAsia="Times New Roman" w:cstheme="minorHAnsi"/>
                <w:lang w:eastAsia="en-GB"/>
              </w:rPr>
              <w:t>0.001</w:t>
            </w:r>
          </w:p>
        </w:tc>
      </w:tr>
      <w:tr w:rsidR="00AF13BF" w:rsidRPr="004A2775" w14:paraId="6AB5871C"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515176F5" w14:textId="77777777" w:rsidR="00AF13BF" w:rsidRPr="00E21C00" w:rsidRDefault="00AF13BF" w:rsidP="00AF13BF">
            <w:pPr>
              <w:spacing w:after="0" w:line="240" w:lineRule="auto"/>
              <w:rPr>
                <w:rFonts w:eastAsia="Times New Roman" w:cstheme="minorHAnsi"/>
                <w:b/>
                <w:bCs/>
                <w:lang w:eastAsia="en-GB"/>
              </w:rPr>
            </w:pPr>
          </w:p>
        </w:tc>
        <w:tc>
          <w:tcPr>
            <w:tcW w:w="986" w:type="dxa"/>
            <w:tcBorders>
              <w:top w:val="nil"/>
              <w:left w:val="nil"/>
              <w:bottom w:val="nil"/>
              <w:right w:val="nil"/>
            </w:tcBorders>
            <w:shd w:val="clear" w:color="auto" w:fill="auto"/>
            <w:noWrap/>
            <w:vAlign w:val="center"/>
            <w:hideMark/>
          </w:tcPr>
          <w:p w14:paraId="3D4D6D6B"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18" w:type="dxa"/>
            <w:tcBorders>
              <w:top w:val="nil"/>
              <w:left w:val="nil"/>
              <w:bottom w:val="nil"/>
              <w:right w:val="nil"/>
            </w:tcBorders>
            <w:shd w:val="clear" w:color="auto" w:fill="auto"/>
            <w:noWrap/>
            <w:vAlign w:val="center"/>
            <w:hideMark/>
          </w:tcPr>
          <w:p w14:paraId="5E6B8899"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bottom w:val="nil"/>
              <w:right w:val="nil"/>
            </w:tcBorders>
            <w:shd w:val="clear" w:color="auto" w:fill="auto"/>
            <w:noWrap/>
            <w:vAlign w:val="center"/>
            <w:hideMark/>
          </w:tcPr>
          <w:p w14:paraId="5E64308B"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44A731F7"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5D34B907"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4AAB3BC0"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035" w:type="dxa"/>
            <w:tcBorders>
              <w:top w:val="nil"/>
              <w:left w:val="nil"/>
              <w:bottom w:val="nil"/>
              <w:right w:val="nil"/>
            </w:tcBorders>
            <w:shd w:val="clear" w:color="auto" w:fill="auto"/>
            <w:noWrap/>
            <w:vAlign w:val="center"/>
            <w:hideMark/>
          </w:tcPr>
          <w:p w14:paraId="26201868"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41" w:type="dxa"/>
            <w:tcBorders>
              <w:top w:val="nil"/>
              <w:left w:val="nil"/>
              <w:bottom w:val="nil"/>
              <w:right w:val="nil"/>
            </w:tcBorders>
            <w:shd w:val="clear" w:color="auto" w:fill="auto"/>
            <w:noWrap/>
            <w:vAlign w:val="center"/>
            <w:hideMark/>
          </w:tcPr>
          <w:p w14:paraId="38551796"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3376AC1C"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0FE52466"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510D2E50" w14:textId="77777777" w:rsidR="00AF13BF" w:rsidRPr="004A2775" w:rsidRDefault="00AF13BF" w:rsidP="00AF13BF">
            <w:pPr>
              <w:spacing w:after="0" w:line="240" w:lineRule="auto"/>
              <w:rPr>
                <w:rFonts w:eastAsia="Times New Roman" w:cstheme="minorHAnsi"/>
                <w:sz w:val="20"/>
                <w:szCs w:val="20"/>
                <w:lang w:eastAsia="en-GB"/>
              </w:rPr>
            </w:pPr>
          </w:p>
        </w:tc>
        <w:tc>
          <w:tcPr>
            <w:tcW w:w="986" w:type="dxa"/>
            <w:tcBorders>
              <w:top w:val="nil"/>
              <w:left w:val="nil"/>
              <w:bottom w:val="nil"/>
              <w:right w:val="nil"/>
            </w:tcBorders>
            <w:shd w:val="clear" w:color="auto" w:fill="auto"/>
            <w:noWrap/>
            <w:vAlign w:val="center"/>
            <w:hideMark/>
          </w:tcPr>
          <w:p w14:paraId="01B6978C" w14:textId="77777777" w:rsidR="00AF13BF" w:rsidRPr="004A2775" w:rsidRDefault="00AF13BF"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Total N</w:t>
            </w:r>
          </w:p>
        </w:tc>
        <w:tc>
          <w:tcPr>
            <w:tcW w:w="918" w:type="dxa"/>
            <w:tcBorders>
              <w:top w:val="nil"/>
              <w:left w:val="nil"/>
              <w:bottom w:val="nil"/>
              <w:right w:val="nil"/>
            </w:tcBorders>
            <w:shd w:val="clear" w:color="auto" w:fill="auto"/>
            <w:noWrap/>
            <w:vAlign w:val="center"/>
            <w:hideMark/>
          </w:tcPr>
          <w:p w14:paraId="54E07939" w14:textId="77777777" w:rsidR="00AF13BF" w:rsidRPr="004A2775" w:rsidRDefault="00AF13BF"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Median</w:t>
            </w:r>
          </w:p>
        </w:tc>
        <w:tc>
          <w:tcPr>
            <w:tcW w:w="1135" w:type="dxa"/>
            <w:tcBorders>
              <w:top w:val="nil"/>
              <w:left w:val="nil"/>
              <w:bottom w:val="nil"/>
              <w:right w:val="nil"/>
            </w:tcBorders>
            <w:shd w:val="clear" w:color="auto" w:fill="auto"/>
            <w:noWrap/>
            <w:vAlign w:val="center"/>
            <w:hideMark/>
          </w:tcPr>
          <w:p w14:paraId="429775B9" w14:textId="77777777" w:rsidR="00AF13BF" w:rsidRPr="004A2775" w:rsidRDefault="00AF13BF"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IQR</w:t>
            </w:r>
          </w:p>
        </w:tc>
        <w:tc>
          <w:tcPr>
            <w:tcW w:w="239" w:type="dxa"/>
            <w:tcBorders>
              <w:top w:val="nil"/>
              <w:left w:val="nil"/>
              <w:bottom w:val="nil"/>
              <w:right w:val="nil"/>
            </w:tcBorders>
            <w:shd w:val="clear" w:color="auto" w:fill="auto"/>
            <w:noWrap/>
            <w:vAlign w:val="center"/>
            <w:hideMark/>
          </w:tcPr>
          <w:p w14:paraId="478C07E8" w14:textId="77777777" w:rsidR="00AF13BF" w:rsidRPr="004A2775" w:rsidRDefault="00AF13BF" w:rsidP="00AF13BF">
            <w:pPr>
              <w:spacing w:after="0" w:line="240" w:lineRule="auto"/>
              <w:jc w:val="center"/>
              <w:rPr>
                <w:rFonts w:eastAsia="Times New Roman" w:cstheme="minorHAnsi"/>
                <w:b/>
                <w:bCs/>
                <w:color w:val="000000"/>
                <w:lang w:eastAsia="en-GB"/>
              </w:rPr>
            </w:pPr>
          </w:p>
        </w:tc>
        <w:tc>
          <w:tcPr>
            <w:tcW w:w="977" w:type="dxa"/>
            <w:tcBorders>
              <w:top w:val="nil"/>
              <w:left w:val="nil"/>
              <w:bottom w:val="nil"/>
              <w:right w:val="nil"/>
            </w:tcBorders>
            <w:shd w:val="clear" w:color="auto" w:fill="auto"/>
            <w:noWrap/>
            <w:vAlign w:val="center"/>
            <w:hideMark/>
          </w:tcPr>
          <w:p w14:paraId="621836FB" w14:textId="77777777" w:rsidR="00AF13BF" w:rsidRPr="004A2775" w:rsidRDefault="00AF13BF"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Total N</w:t>
            </w:r>
          </w:p>
        </w:tc>
        <w:tc>
          <w:tcPr>
            <w:tcW w:w="992" w:type="dxa"/>
            <w:tcBorders>
              <w:top w:val="nil"/>
              <w:left w:val="nil"/>
              <w:bottom w:val="nil"/>
              <w:right w:val="nil"/>
            </w:tcBorders>
            <w:shd w:val="clear" w:color="auto" w:fill="auto"/>
            <w:noWrap/>
            <w:vAlign w:val="center"/>
            <w:hideMark/>
          </w:tcPr>
          <w:p w14:paraId="56022402" w14:textId="77777777" w:rsidR="00AF13BF" w:rsidRPr="004A2775" w:rsidRDefault="00AF13BF"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Median</w:t>
            </w:r>
          </w:p>
        </w:tc>
        <w:tc>
          <w:tcPr>
            <w:tcW w:w="1035" w:type="dxa"/>
            <w:tcBorders>
              <w:top w:val="nil"/>
              <w:left w:val="nil"/>
              <w:bottom w:val="nil"/>
              <w:right w:val="nil"/>
            </w:tcBorders>
            <w:shd w:val="clear" w:color="auto" w:fill="auto"/>
            <w:noWrap/>
            <w:vAlign w:val="center"/>
            <w:hideMark/>
          </w:tcPr>
          <w:p w14:paraId="2B2C3EFD" w14:textId="77777777" w:rsidR="00AF13BF" w:rsidRPr="004A2775" w:rsidRDefault="00AF13BF"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IQR</w:t>
            </w:r>
          </w:p>
        </w:tc>
        <w:tc>
          <w:tcPr>
            <w:tcW w:w="241" w:type="dxa"/>
            <w:tcBorders>
              <w:top w:val="nil"/>
              <w:left w:val="nil"/>
              <w:bottom w:val="nil"/>
              <w:right w:val="nil"/>
            </w:tcBorders>
            <w:shd w:val="clear" w:color="auto" w:fill="auto"/>
            <w:noWrap/>
            <w:vAlign w:val="center"/>
            <w:hideMark/>
          </w:tcPr>
          <w:p w14:paraId="5B7936B7" w14:textId="77777777" w:rsidR="00AF13BF" w:rsidRPr="004A2775" w:rsidRDefault="00AF13BF" w:rsidP="00AF13BF">
            <w:pPr>
              <w:spacing w:after="0" w:line="240" w:lineRule="auto"/>
              <w:jc w:val="center"/>
              <w:rPr>
                <w:rFonts w:eastAsia="Times New Roman" w:cstheme="minorHAnsi"/>
                <w:b/>
                <w:bCs/>
                <w:color w:val="000000"/>
                <w:lang w:eastAsia="en-GB"/>
              </w:rPr>
            </w:pPr>
          </w:p>
        </w:tc>
        <w:tc>
          <w:tcPr>
            <w:tcW w:w="992" w:type="dxa"/>
            <w:tcBorders>
              <w:top w:val="nil"/>
              <w:left w:val="nil"/>
              <w:bottom w:val="nil"/>
              <w:right w:val="nil"/>
            </w:tcBorders>
            <w:shd w:val="clear" w:color="auto" w:fill="auto"/>
            <w:noWrap/>
            <w:vAlign w:val="center"/>
            <w:hideMark/>
          </w:tcPr>
          <w:p w14:paraId="5434FD45" w14:textId="348801A1" w:rsidR="00AF13BF" w:rsidRPr="004A2775" w:rsidRDefault="00AF13BF" w:rsidP="00AF13BF">
            <w:pPr>
              <w:spacing w:after="0" w:line="240" w:lineRule="auto"/>
              <w:jc w:val="center"/>
              <w:rPr>
                <w:rFonts w:eastAsia="Times New Roman" w:cstheme="minorHAnsi"/>
                <w:lang w:eastAsia="en-GB"/>
              </w:rPr>
            </w:pPr>
          </w:p>
        </w:tc>
      </w:tr>
      <w:tr w:rsidR="00AF13BF" w:rsidRPr="004A2775" w14:paraId="758DA581"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64B218D8" w14:textId="0603E7E3" w:rsidR="00AF13BF" w:rsidRPr="004A2775" w:rsidRDefault="00AF13BF" w:rsidP="00AF13BF">
            <w:pPr>
              <w:spacing w:after="0" w:line="240" w:lineRule="auto"/>
              <w:rPr>
                <w:rFonts w:eastAsia="Times New Roman" w:cstheme="minorHAnsi"/>
                <w:color w:val="000000"/>
                <w:lang w:eastAsia="en-GB"/>
              </w:rPr>
            </w:pPr>
            <w:r w:rsidRPr="004A2775">
              <w:rPr>
                <w:rFonts w:eastAsia="Times New Roman" w:cstheme="minorHAnsi"/>
                <w:color w:val="000000"/>
                <w:lang w:eastAsia="en-GB"/>
              </w:rPr>
              <w:t>Dietary calcium (g/day)*</w:t>
            </w:r>
          </w:p>
        </w:tc>
        <w:tc>
          <w:tcPr>
            <w:tcW w:w="986" w:type="dxa"/>
            <w:tcBorders>
              <w:top w:val="nil"/>
              <w:left w:val="nil"/>
              <w:bottom w:val="nil"/>
              <w:right w:val="nil"/>
            </w:tcBorders>
            <w:shd w:val="clear" w:color="auto" w:fill="auto"/>
            <w:noWrap/>
            <w:vAlign w:val="center"/>
            <w:hideMark/>
          </w:tcPr>
          <w:p w14:paraId="1F7014BA"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322</w:t>
            </w:r>
          </w:p>
        </w:tc>
        <w:tc>
          <w:tcPr>
            <w:tcW w:w="918" w:type="dxa"/>
            <w:tcBorders>
              <w:top w:val="nil"/>
              <w:left w:val="nil"/>
              <w:bottom w:val="nil"/>
              <w:right w:val="nil"/>
            </w:tcBorders>
            <w:shd w:val="clear" w:color="auto" w:fill="auto"/>
            <w:noWrap/>
            <w:vAlign w:val="center"/>
            <w:hideMark/>
          </w:tcPr>
          <w:p w14:paraId="29D7D985"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1.2</w:t>
            </w:r>
          </w:p>
        </w:tc>
        <w:tc>
          <w:tcPr>
            <w:tcW w:w="1135" w:type="dxa"/>
            <w:tcBorders>
              <w:top w:val="nil"/>
              <w:left w:val="nil"/>
              <w:bottom w:val="nil"/>
              <w:right w:val="nil"/>
            </w:tcBorders>
            <w:shd w:val="clear" w:color="auto" w:fill="auto"/>
            <w:noWrap/>
            <w:vAlign w:val="center"/>
            <w:hideMark/>
          </w:tcPr>
          <w:p w14:paraId="58C094C3" w14:textId="736D88C3"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1.0, 1.4</w:t>
            </w:r>
          </w:p>
        </w:tc>
        <w:tc>
          <w:tcPr>
            <w:tcW w:w="239" w:type="dxa"/>
            <w:tcBorders>
              <w:top w:val="nil"/>
              <w:left w:val="nil"/>
              <w:bottom w:val="nil"/>
              <w:right w:val="nil"/>
            </w:tcBorders>
            <w:shd w:val="clear" w:color="auto" w:fill="auto"/>
            <w:noWrap/>
            <w:vAlign w:val="center"/>
            <w:hideMark/>
          </w:tcPr>
          <w:p w14:paraId="6F17E7AF" w14:textId="77777777" w:rsidR="00AF13BF" w:rsidRPr="004A2775" w:rsidRDefault="00AF13BF" w:rsidP="00AF13BF">
            <w:pPr>
              <w:spacing w:after="0" w:line="240" w:lineRule="auto"/>
              <w:jc w:val="center"/>
              <w:rPr>
                <w:rFonts w:eastAsia="Times New Roman" w:cstheme="minorHAnsi"/>
                <w:color w:val="000000"/>
                <w:lang w:eastAsia="en-GB"/>
              </w:rPr>
            </w:pPr>
          </w:p>
        </w:tc>
        <w:tc>
          <w:tcPr>
            <w:tcW w:w="977" w:type="dxa"/>
            <w:tcBorders>
              <w:top w:val="nil"/>
              <w:left w:val="nil"/>
              <w:bottom w:val="nil"/>
              <w:right w:val="nil"/>
            </w:tcBorders>
            <w:shd w:val="clear" w:color="auto" w:fill="auto"/>
            <w:noWrap/>
            <w:vAlign w:val="center"/>
            <w:hideMark/>
          </w:tcPr>
          <w:p w14:paraId="03202588"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319</w:t>
            </w:r>
          </w:p>
        </w:tc>
        <w:tc>
          <w:tcPr>
            <w:tcW w:w="992" w:type="dxa"/>
            <w:tcBorders>
              <w:top w:val="nil"/>
              <w:left w:val="nil"/>
              <w:bottom w:val="nil"/>
              <w:right w:val="nil"/>
            </w:tcBorders>
            <w:shd w:val="clear" w:color="auto" w:fill="auto"/>
            <w:noWrap/>
            <w:vAlign w:val="center"/>
            <w:hideMark/>
          </w:tcPr>
          <w:p w14:paraId="034C76C0"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1.1</w:t>
            </w:r>
          </w:p>
        </w:tc>
        <w:tc>
          <w:tcPr>
            <w:tcW w:w="1035" w:type="dxa"/>
            <w:tcBorders>
              <w:top w:val="nil"/>
              <w:left w:val="nil"/>
              <w:bottom w:val="nil"/>
              <w:right w:val="nil"/>
            </w:tcBorders>
            <w:shd w:val="clear" w:color="auto" w:fill="auto"/>
            <w:noWrap/>
            <w:vAlign w:val="center"/>
            <w:hideMark/>
          </w:tcPr>
          <w:p w14:paraId="27745AE7" w14:textId="771B8F28"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0.9, 1.3</w:t>
            </w:r>
          </w:p>
        </w:tc>
        <w:tc>
          <w:tcPr>
            <w:tcW w:w="241" w:type="dxa"/>
            <w:tcBorders>
              <w:top w:val="nil"/>
              <w:left w:val="nil"/>
              <w:bottom w:val="nil"/>
              <w:right w:val="nil"/>
            </w:tcBorders>
            <w:shd w:val="clear" w:color="auto" w:fill="auto"/>
            <w:noWrap/>
            <w:vAlign w:val="center"/>
            <w:hideMark/>
          </w:tcPr>
          <w:p w14:paraId="35D00E68"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09C56A5A" w14:textId="77777777" w:rsidR="00AF13BF" w:rsidRPr="004A2775" w:rsidRDefault="00AF13BF" w:rsidP="00AF13BF">
            <w:pPr>
              <w:spacing w:after="0" w:line="240" w:lineRule="auto"/>
              <w:jc w:val="center"/>
              <w:rPr>
                <w:rFonts w:eastAsia="Times New Roman" w:cstheme="minorHAnsi"/>
                <w:lang w:eastAsia="en-GB"/>
              </w:rPr>
            </w:pPr>
            <w:r w:rsidRPr="004A2775">
              <w:rPr>
                <w:rFonts w:eastAsia="Times New Roman" w:cstheme="minorHAnsi"/>
                <w:lang w:eastAsia="en-GB"/>
              </w:rPr>
              <w:t>&lt;0.001</w:t>
            </w:r>
          </w:p>
        </w:tc>
      </w:tr>
      <w:tr w:rsidR="00AF13BF" w:rsidRPr="004A2775" w14:paraId="663AF591"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56134983" w14:textId="77777777" w:rsidR="00AF13BF" w:rsidRPr="004A2775" w:rsidRDefault="00AF13BF" w:rsidP="00AF13BF">
            <w:pPr>
              <w:spacing w:after="0" w:line="240" w:lineRule="auto"/>
              <w:rPr>
                <w:rFonts w:eastAsia="Times New Roman" w:cstheme="minorHAnsi"/>
                <w:color w:val="000000"/>
                <w:lang w:eastAsia="en-GB"/>
              </w:rPr>
            </w:pPr>
            <w:r w:rsidRPr="004A2775">
              <w:rPr>
                <w:rFonts w:eastAsia="Times New Roman" w:cstheme="minorHAnsi"/>
                <w:color w:val="000000"/>
                <w:lang w:eastAsia="en-GB"/>
              </w:rPr>
              <w:t>Alcohol intake (units/week)</w:t>
            </w:r>
          </w:p>
        </w:tc>
        <w:tc>
          <w:tcPr>
            <w:tcW w:w="986" w:type="dxa"/>
            <w:tcBorders>
              <w:top w:val="nil"/>
              <w:left w:val="nil"/>
              <w:bottom w:val="nil"/>
              <w:right w:val="nil"/>
            </w:tcBorders>
            <w:shd w:val="clear" w:color="auto" w:fill="auto"/>
            <w:noWrap/>
            <w:vAlign w:val="center"/>
            <w:hideMark/>
          </w:tcPr>
          <w:p w14:paraId="3CF805F9"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322</w:t>
            </w:r>
          </w:p>
        </w:tc>
        <w:tc>
          <w:tcPr>
            <w:tcW w:w="918" w:type="dxa"/>
            <w:tcBorders>
              <w:top w:val="nil"/>
              <w:left w:val="nil"/>
              <w:bottom w:val="nil"/>
              <w:right w:val="nil"/>
            </w:tcBorders>
            <w:shd w:val="clear" w:color="auto" w:fill="auto"/>
            <w:noWrap/>
            <w:vAlign w:val="center"/>
            <w:hideMark/>
          </w:tcPr>
          <w:p w14:paraId="120A0411"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7.6</w:t>
            </w:r>
          </w:p>
        </w:tc>
        <w:tc>
          <w:tcPr>
            <w:tcW w:w="1135" w:type="dxa"/>
            <w:tcBorders>
              <w:top w:val="nil"/>
              <w:left w:val="nil"/>
              <w:bottom w:val="nil"/>
              <w:right w:val="nil"/>
            </w:tcBorders>
            <w:shd w:val="clear" w:color="auto" w:fill="auto"/>
            <w:noWrap/>
            <w:vAlign w:val="center"/>
            <w:hideMark/>
          </w:tcPr>
          <w:p w14:paraId="254AB527" w14:textId="32DE84C8"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1.5, 16.5</w:t>
            </w:r>
          </w:p>
        </w:tc>
        <w:tc>
          <w:tcPr>
            <w:tcW w:w="239" w:type="dxa"/>
            <w:tcBorders>
              <w:top w:val="nil"/>
              <w:left w:val="nil"/>
              <w:bottom w:val="nil"/>
              <w:right w:val="nil"/>
            </w:tcBorders>
            <w:shd w:val="clear" w:color="auto" w:fill="auto"/>
            <w:noWrap/>
            <w:vAlign w:val="center"/>
            <w:hideMark/>
          </w:tcPr>
          <w:p w14:paraId="3E145CC1" w14:textId="77777777" w:rsidR="00AF13BF" w:rsidRPr="004A2775" w:rsidRDefault="00AF13BF" w:rsidP="00AF13BF">
            <w:pPr>
              <w:spacing w:after="0" w:line="240" w:lineRule="auto"/>
              <w:jc w:val="center"/>
              <w:rPr>
                <w:rFonts w:eastAsia="Times New Roman" w:cstheme="minorHAnsi"/>
                <w:color w:val="000000"/>
                <w:lang w:eastAsia="en-GB"/>
              </w:rPr>
            </w:pPr>
          </w:p>
        </w:tc>
        <w:tc>
          <w:tcPr>
            <w:tcW w:w="977" w:type="dxa"/>
            <w:tcBorders>
              <w:top w:val="nil"/>
              <w:left w:val="nil"/>
              <w:bottom w:val="nil"/>
              <w:right w:val="nil"/>
            </w:tcBorders>
            <w:shd w:val="clear" w:color="auto" w:fill="auto"/>
            <w:noWrap/>
            <w:vAlign w:val="center"/>
            <w:hideMark/>
          </w:tcPr>
          <w:p w14:paraId="2E372BCF"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317</w:t>
            </w:r>
          </w:p>
        </w:tc>
        <w:tc>
          <w:tcPr>
            <w:tcW w:w="992" w:type="dxa"/>
            <w:tcBorders>
              <w:top w:val="nil"/>
              <w:left w:val="nil"/>
              <w:bottom w:val="nil"/>
              <w:right w:val="nil"/>
            </w:tcBorders>
            <w:shd w:val="clear" w:color="auto" w:fill="auto"/>
            <w:noWrap/>
            <w:vAlign w:val="center"/>
            <w:hideMark/>
          </w:tcPr>
          <w:p w14:paraId="159879EC"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1.3</w:t>
            </w:r>
          </w:p>
        </w:tc>
        <w:tc>
          <w:tcPr>
            <w:tcW w:w="1035" w:type="dxa"/>
            <w:tcBorders>
              <w:top w:val="nil"/>
              <w:left w:val="nil"/>
              <w:bottom w:val="nil"/>
              <w:right w:val="nil"/>
            </w:tcBorders>
            <w:shd w:val="clear" w:color="auto" w:fill="auto"/>
            <w:noWrap/>
            <w:vAlign w:val="center"/>
            <w:hideMark/>
          </w:tcPr>
          <w:p w14:paraId="1589FE6C" w14:textId="4EA0DD13"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0.0, 4.8</w:t>
            </w:r>
          </w:p>
        </w:tc>
        <w:tc>
          <w:tcPr>
            <w:tcW w:w="241" w:type="dxa"/>
            <w:tcBorders>
              <w:top w:val="nil"/>
              <w:left w:val="nil"/>
              <w:bottom w:val="nil"/>
              <w:right w:val="nil"/>
            </w:tcBorders>
            <w:shd w:val="clear" w:color="auto" w:fill="auto"/>
            <w:noWrap/>
            <w:vAlign w:val="center"/>
            <w:hideMark/>
          </w:tcPr>
          <w:p w14:paraId="69F224BD"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097846A6" w14:textId="77777777" w:rsidR="00AF13BF" w:rsidRPr="004A2775" w:rsidRDefault="00AF13BF" w:rsidP="00AF13BF">
            <w:pPr>
              <w:spacing w:after="0" w:line="240" w:lineRule="auto"/>
              <w:jc w:val="center"/>
              <w:rPr>
                <w:rFonts w:eastAsia="Times New Roman" w:cstheme="minorHAnsi"/>
                <w:lang w:eastAsia="en-GB"/>
              </w:rPr>
            </w:pPr>
            <w:r w:rsidRPr="004A2775">
              <w:rPr>
                <w:rFonts w:eastAsia="Times New Roman" w:cstheme="minorHAnsi"/>
                <w:lang w:eastAsia="en-GB"/>
              </w:rPr>
              <w:t>&lt;0.001</w:t>
            </w:r>
          </w:p>
        </w:tc>
      </w:tr>
      <w:tr w:rsidR="00AF13BF" w:rsidRPr="004A2775" w14:paraId="3C23F50B"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7EEB9C68" w14:textId="77777777" w:rsidR="00AF13BF" w:rsidRPr="00E21C00" w:rsidRDefault="00AF13BF" w:rsidP="00AF13BF">
            <w:pPr>
              <w:spacing w:after="0" w:line="240" w:lineRule="auto"/>
              <w:rPr>
                <w:rFonts w:eastAsia="Times New Roman" w:cstheme="minorHAnsi"/>
                <w:b/>
                <w:bCs/>
                <w:lang w:eastAsia="en-GB"/>
              </w:rPr>
            </w:pPr>
          </w:p>
        </w:tc>
        <w:tc>
          <w:tcPr>
            <w:tcW w:w="986" w:type="dxa"/>
            <w:tcBorders>
              <w:top w:val="nil"/>
              <w:left w:val="nil"/>
              <w:bottom w:val="nil"/>
              <w:right w:val="nil"/>
            </w:tcBorders>
            <w:shd w:val="clear" w:color="auto" w:fill="auto"/>
            <w:noWrap/>
            <w:vAlign w:val="center"/>
            <w:hideMark/>
          </w:tcPr>
          <w:p w14:paraId="2FDC2EBA"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18" w:type="dxa"/>
            <w:tcBorders>
              <w:top w:val="nil"/>
              <w:left w:val="nil"/>
              <w:bottom w:val="nil"/>
              <w:right w:val="nil"/>
            </w:tcBorders>
            <w:shd w:val="clear" w:color="auto" w:fill="auto"/>
            <w:noWrap/>
            <w:vAlign w:val="center"/>
            <w:hideMark/>
          </w:tcPr>
          <w:p w14:paraId="2CF9739B"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bottom w:val="nil"/>
              <w:right w:val="nil"/>
            </w:tcBorders>
            <w:shd w:val="clear" w:color="auto" w:fill="auto"/>
            <w:noWrap/>
            <w:vAlign w:val="center"/>
            <w:hideMark/>
          </w:tcPr>
          <w:p w14:paraId="78D4D992"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18ABB532"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0E52FC16"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209D7EF5"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035" w:type="dxa"/>
            <w:tcBorders>
              <w:top w:val="nil"/>
              <w:left w:val="nil"/>
              <w:bottom w:val="nil"/>
              <w:right w:val="nil"/>
            </w:tcBorders>
            <w:shd w:val="clear" w:color="auto" w:fill="auto"/>
            <w:noWrap/>
            <w:vAlign w:val="center"/>
            <w:hideMark/>
          </w:tcPr>
          <w:p w14:paraId="551C41DD"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41" w:type="dxa"/>
            <w:tcBorders>
              <w:top w:val="nil"/>
              <w:left w:val="nil"/>
              <w:bottom w:val="nil"/>
              <w:right w:val="nil"/>
            </w:tcBorders>
            <w:shd w:val="clear" w:color="auto" w:fill="auto"/>
            <w:noWrap/>
            <w:vAlign w:val="center"/>
            <w:hideMark/>
          </w:tcPr>
          <w:p w14:paraId="3817925A"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7B566314"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2FF55493"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4A7C8DB9" w14:textId="77777777" w:rsidR="00AF13BF" w:rsidRPr="004A2775" w:rsidRDefault="00AF13BF" w:rsidP="00AF13BF">
            <w:pPr>
              <w:spacing w:after="0" w:line="240" w:lineRule="auto"/>
              <w:rPr>
                <w:rFonts w:eastAsia="Times New Roman" w:cstheme="minorHAnsi"/>
                <w:sz w:val="20"/>
                <w:szCs w:val="20"/>
                <w:lang w:eastAsia="en-GB"/>
              </w:rPr>
            </w:pPr>
          </w:p>
        </w:tc>
        <w:tc>
          <w:tcPr>
            <w:tcW w:w="986" w:type="dxa"/>
            <w:tcBorders>
              <w:top w:val="nil"/>
              <w:left w:val="nil"/>
              <w:bottom w:val="nil"/>
              <w:right w:val="nil"/>
            </w:tcBorders>
            <w:shd w:val="clear" w:color="auto" w:fill="auto"/>
            <w:noWrap/>
            <w:vAlign w:val="center"/>
            <w:hideMark/>
          </w:tcPr>
          <w:p w14:paraId="2755CD2C" w14:textId="77777777" w:rsidR="00AF13BF" w:rsidRPr="004A2775" w:rsidRDefault="00AF13BF"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Total N</w:t>
            </w:r>
          </w:p>
        </w:tc>
        <w:tc>
          <w:tcPr>
            <w:tcW w:w="918" w:type="dxa"/>
            <w:tcBorders>
              <w:top w:val="nil"/>
              <w:left w:val="nil"/>
              <w:bottom w:val="nil"/>
              <w:right w:val="nil"/>
            </w:tcBorders>
            <w:shd w:val="clear" w:color="auto" w:fill="auto"/>
            <w:noWrap/>
            <w:vAlign w:val="center"/>
            <w:hideMark/>
          </w:tcPr>
          <w:p w14:paraId="21ACD818" w14:textId="77777777" w:rsidR="00AF13BF" w:rsidRPr="004A2775" w:rsidRDefault="00AF13BF"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N</w:t>
            </w:r>
          </w:p>
        </w:tc>
        <w:tc>
          <w:tcPr>
            <w:tcW w:w="1135" w:type="dxa"/>
            <w:tcBorders>
              <w:top w:val="nil"/>
              <w:left w:val="nil"/>
              <w:bottom w:val="nil"/>
              <w:right w:val="nil"/>
            </w:tcBorders>
            <w:shd w:val="clear" w:color="auto" w:fill="auto"/>
            <w:noWrap/>
            <w:vAlign w:val="center"/>
            <w:hideMark/>
          </w:tcPr>
          <w:p w14:paraId="7EEAD2A7" w14:textId="77777777" w:rsidR="00AF13BF" w:rsidRPr="004A2775" w:rsidRDefault="00AF13BF"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w:t>
            </w:r>
          </w:p>
        </w:tc>
        <w:tc>
          <w:tcPr>
            <w:tcW w:w="239" w:type="dxa"/>
            <w:tcBorders>
              <w:top w:val="nil"/>
              <w:left w:val="nil"/>
              <w:bottom w:val="nil"/>
              <w:right w:val="nil"/>
            </w:tcBorders>
            <w:shd w:val="clear" w:color="auto" w:fill="auto"/>
            <w:noWrap/>
            <w:vAlign w:val="center"/>
            <w:hideMark/>
          </w:tcPr>
          <w:p w14:paraId="11A04AE1" w14:textId="77777777" w:rsidR="00AF13BF" w:rsidRPr="004A2775" w:rsidRDefault="00AF13BF" w:rsidP="00AF13BF">
            <w:pPr>
              <w:spacing w:after="0" w:line="240" w:lineRule="auto"/>
              <w:jc w:val="center"/>
              <w:rPr>
                <w:rFonts w:eastAsia="Times New Roman" w:cstheme="minorHAnsi"/>
                <w:b/>
                <w:bCs/>
                <w:color w:val="000000"/>
                <w:lang w:eastAsia="en-GB"/>
              </w:rPr>
            </w:pPr>
          </w:p>
        </w:tc>
        <w:tc>
          <w:tcPr>
            <w:tcW w:w="977" w:type="dxa"/>
            <w:tcBorders>
              <w:top w:val="nil"/>
              <w:left w:val="nil"/>
              <w:bottom w:val="nil"/>
              <w:right w:val="nil"/>
            </w:tcBorders>
            <w:shd w:val="clear" w:color="auto" w:fill="auto"/>
            <w:noWrap/>
            <w:vAlign w:val="center"/>
            <w:hideMark/>
          </w:tcPr>
          <w:p w14:paraId="4D65571B" w14:textId="77777777" w:rsidR="00AF13BF" w:rsidRPr="004A2775" w:rsidRDefault="00AF13BF"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Total N</w:t>
            </w:r>
          </w:p>
        </w:tc>
        <w:tc>
          <w:tcPr>
            <w:tcW w:w="992" w:type="dxa"/>
            <w:tcBorders>
              <w:top w:val="nil"/>
              <w:left w:val="nil"/>
              <w:bottom w:val="nil"/>
              <w:right w:val="nil"/>
            </w:tcBorders>
            <w:shd w:val="clear" w:color="auto" w:fill="auto"/>
            <w:noWrap/>
            <w:vAlign w:val="center"/>
            <w:hideMark/>
          </w:tcPr>
          <w:p w14:paraId="43CB7795" w14:textId="77777777" w:rsidR="00AF13BF" w:rsidRPr="004A2775" w:rsidRDefault="00AF13BF"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N</w:t>
            </w:r>
          </w:p>
        </w:tc>
        <w:tc>
          <w:tcPr>
            <w:tcW w:w="1035" w:type="dxa"/>
            <w:tcBorders>
              <w:top w:val="nil"/>
              <w:left w:val="nil"/>
              <w:bottom w:val="nil"/>
              <w:right w:val="nil"/>
            </w:tcBorders>
            <w:shd w:val="clear" w:color="auto" w:fill="auto"/>
            <w:noWrap/>
            <w:vAlign w:val="center"/>
            <w:hideMark/>
          </w:tcPr>
          <w:p w14:paraId="6FB7619F" w14:textId="77777777" w:rsidR="00AF13BF" w:rsidRPr="004A2775" w:rsidRDefault="00AF13BF" w:rsidP="00AF13BF">
            <w:pPr>
              <w:spacing w:after="0" w:line="240" w:lineRule="auto"/>
              <w:jc w:val="center"/>
              <w:rPr>
                <w:rFonts w:eastAsia="Times New Roman" w:cstheme="minorHAnsi"/>
                <w:b/>
                <w:bCs/>
                <w:color w:val="000000"/>
                <w:lang w:eastAsia="en-GB"/>
              </w:rPr>
            </w:pPr>
            <w:r w:rsidRPr="004A2775">
              <w:rPr>
                <w:rFonts w:eastAsia="Times New Roman" w:cstheme="minorHAnsi"/>
                <w:b/>
                <w:bCs/>
                <w:color w:val="000000"/>
                <w:lang w:eastAsia="en-GB"/>
              </w:rPr>
              <w:t>%</w:t>
            </w:r>
          </w:p>
        </w:tc>
        <w:tc>
          <w:tcPr>
            <w:tcW w:w="241" w:type="dxa"/>
            <w:tcBorders>
              <w:top w:val="nil"/>
              <w:left w:val="nil"/>
              <w:bottom w:val="nil"/>
              <w:right w:val="nil"/>
            </w:tcBorders>
            <w:shd w:val="clear" w:color="auto" w:fill="auto"/>
            <w:noWrap/>
            <w:vAlign w:val="center"/>
            <w:hideMark/>
          </w:tcPr>
          <w:p w14:paraId="69291070" w14:textId="77777777" w:rsidR="00AF13BF" w:rsidRPr="004A2775" w:rsidRDefault="00AF13BF" w:rsidP="00AF13BF">
            <w:pPr>
              <w:spacing w:after="0" w:line="240" w:lineRule="auto"/>
              <w:jc w:val="center"/>
              <w:rPr>
                <w:rFonts w:eastAsia="Times New Roman" w:cstheme="minorHAnsi"/>
                <w:b/>
                <w:bCs/>
                <w:color w:val="000000"/>
                <w:lang w:eastAsia="en-GB"/>
              </w:rPr>
            </w:pPr>
          </w:p>
        </w:tc>
        <w:tc>
          <w:tcPr>
            <w:tcW w:w="992" w:type="dxa"/>
            <w:tcBorders>
              <w:top w:val="nil"/>
              <w:left w:val="nil"/>
              <w:bottom w:val="nil"/>
              <w:right w:val="nil"/>
            </w:tcBorders>
            <w:shd w:val="clear" w:color="auto" w:fill="auto"/>
            <w:noWrap/>
            <w:vAlign w:val="center"/>
            <w:hideMark/>
          </w:tcPr>
          <w:p w14:paraId="6768864E" w14:textId="60B33C0D" w:rsidR="00AF13BF" w:rsidRPr="004A2775" w:rsidRDefault="00AF13BF" w:rsidP="00AF13BF">
            <w:pPr>
              <w:spacing w:after="0" w:line="240" w:lineRule="auto"/>
              <w:jc w:val="center"/>
              <w:rPr>
                <w:rFonts w:eastAsia="Times New Roman" w:cstheme="minorHAnsi"/>
                <w:lang w:eastAsia="en-GB"/>
              </w:rPr>
            </w:pPr>
          </w:p>
        </w:tc>
      </w:tr>
      <w:tr w:rsidR="00AF13BF" w:rsidRPr="004A2775" w14:paraId="46E49C19"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71BA5701" w14:textId="77777777" w:rsidR="00AF13BF" w:rsidRPr="004A2775" w:rsidRDefault="00AF13BF" w:rsidP="00AF13BF">
            <w:pPr>
              <w:spacing w:after="0" w:line="240" w:lineRule="auto"/>
              <w:rPr>
                <w:rFonts w:eastAsia="Times New Roman" w:cstheme="minorHAnsi"/>
                <w:color w:val="000000"/>
                <w:lang w:eastAsia="en-GB"/>
              </w:rPr>
            </w:pPr>
            <w:r w:rsidRPr="004A2775">
              <w:rPr>
                <w:rFonts w:eastAsia="Times New Roman" w:cstheme="minorHAnsi"/>
                <w:color w:val="000000"/>
                <w:lang w:eastAsia="en-GB"/>
              </w:rPr>
              <w:t>Smoker status</w:t>
            </w:r>
          </w:p>
        </w:tc>
        <w:tc>
          <w:tcPr>
            <w:tcW w:w="986" w:type="dxa"/>
            <w:tcBorders>
              <w:top w:val="nil"/>
              <w:left w:val="nil"/>
              <w:bottom w:val="nil"/>
              <w:right w:val="nil"/>
            </w:tcBorders>
            <w:shd w:val="clear" w:color="auto" w:fill="auto"/>
            <w:noWrap/>
            <w:vAlign w:val="center"/>
            <w:hideMark/>
          </w:tcPr>
          <w:p w14:paraId="14A8A5C5"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322</w:t>
            </w:r>
          </w:p>
        </w:tc>
        <w:tc>
          <w:tcPr>
            <w:tcW w:w="918" w:type="dxa"/>
            <w:tcBorders>
              <w:top w:val="nil"/>
              <w:left w:val="nil"/>
              <w:bottom w:val="nil"/>
              <w:right w:val="nil"/>
            </w:tcBorders>
            <w:shd w:val="clear" w:color="auto" w:fill="auto"/>
            <w:noWrap/>
            <w:vAlign w:val="center"/>
            <w:hideMark/>
          </w:tcPr>
          <w:p w14:paraId="24EC3954" w14:textId="77777777" w:rsidR="00AF13BF" w:rsidRPr="004A2775" w:rsidRDefault="00AF13BF" w:rsidP="00AF13BF">
            <w:pPr>
              <w:spacing w:after="0" w:line="240" w:lineRule="auto"/>
              <w:jc w:val="center"/>
              <w:rPr>
                <w:rFonts w:eastAsia="Times New Roman" w:cstheme="minorHAnsi"/>
                <w:color w:val="000000"/>
                <w:lang w:eastAsia="en-GB"/>
              </w:rPr>
            </w:pPr>
          </w:p>
        </w:tc>
        <w:tc>
          <w:tcPr>
            <w:tcW w:w="1135" w:type="dxa"/>
            <w:tcBorders>
              <w:top w:val="nil"/>
              <w:left w:val="nil"/>
              <w:bottom w:val="nil"/>
              <w:right w:val="nil"/>
            </w:tcBorders>
            <w:shd w:val="clear" w:color="auto" w:fill="auto"/>
            <w:noWrap/>
            <w:vAlign w:val="center"/>
            <w:hideMark/>
          </w:tcPr>
          <w:p w14:paraId="15601F4A"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239D1035"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5B838F2E"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316</w:t>
            </w:r>
          </w:p>
        </w:tc>
        <w:tc>
          <w:tcPr>
            <w:tcW w:w="992" w:type="dxa"/>
            <w:tcBorders>
              <w:top w:val="nil"/>
              <w:left w:val="nil"/>
              <w:bottom w:val="nil"/>
              <w:right w:val="nil"/>
            </w:tcBorders>
            <w:shd w:val="clear" w:color="auto" w:fill="auto"/>
            <w:noWrap/>
            <w:vAlign w:val="center"/>
            <w:hideMark/>
          </w:tcPr>
          <w:p w14:paraId="6118ADF4" w14:textId="77777777" w:rsidR="00AF13BF" w:rsidRPr="004A2775" w:rsidRDefault="00AF13BF" w:rsidP="00AF13BF">
            <w:pPr>
              <w:spacing w:after="0" w:line="240" w:lineRule="auto"/>
              <w:jc w:val="center"/>
              <w:rPr>
                <w:rFonts w:eastAsia="Times New Roman" w:cstheme="minorHAnsi"/>
                <w:color w:val="000000"/>
                <w:lang w:eastAsia="en-GB"/>
              </w:rPr>
            </w:pPr>
          </w:p>
        </w:tc>
        <w:tc>
          <w:tcPr>
            <w:tcW w:w="1035" w:type="dxa"/>
            <w:tcBorders>
              <w:top w:val="nil"/>
              <w:left w:val="nil"/>
              <w:bottom w:val="nil"/>
              <w:right w:val="nil"/>
            </w:tcBorders>
            <w:shd w:val="clear" w:color="auto" w:fill="auto"/>
            <w:noWrap/>
            <w:vAlign w:val="center"/>
            <w:hideMark/>
          </w:tcPr>
          <w:p w14:paraId="0AD6461B"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41" w:type="dxa"/>
            <w:tcBorders>
              <w:top w:val="nil"/>
              <w:left w:val="nil"/>
              <w:bottom w:val="nil"/>
              <w:right w:val="nil"/>
            </w:tcBorders>
            <w:shd w:val="clear" w:color="auto" w:fill="auto"/>
            <w:noWrap/>
            <w:vAlign w:val="center"/>
            <w:hideMark/>
          </w:tcPr>
          <w:p w14:paraId="594C32D4"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5B46D19F" w14:textId="77777777" w:rsidR="00AF13BF" w:rsidRPr="004A2775" w:rsidRDefault="00AF13BF" w:rsidP="00AF13BF">
            <w:pPr>
              <w:spacing w:after="0" w:line="240" w:lineRule="auto"/>
              <w:jc w:val="center"/>
              <w:rPr>
                <w:rFonts w:eastAsia="Times New Roman" w:cstheme="minorHAnsi"/>
                <w:lang w:eastAsia="en-GB"/>
              </w:rPr>
            </w:pPr>
            <w:r w:rsidRPr="004A2775">
              <w:rPr>
                <w:rFonts w:eastAsia="Times New Roman" w:cstheme="minorHAnsi"/>
                <w:lang w:eastAsia="en-GB"/>
              </w:rPr>
              <w:t>&lt;0.001</w:t>
            </w:r>
          </w:p>
        </w:tc>
      </w:tr>
      <w:tr w:rsidR="00AF13BF" w:rsidRPr="004A2775" w14:paraId="08B853F5"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4B455508" w14:textId="77777777" w:rsidR="00AF13BF" w:rsidRPr="004A2775" w:rsidRDefault="00AF13BF" w:rsidP="00AF13BF">
            <w:pPr>
              <w:spacing w:after="0" w:line="240" w:lineRule="auto"/>
              <w:ind w:firstLineChars="200" w:firstLine="440"/>
              <w:rPr>
                <w:rFonts w:eastAsia="Times New Roman" w:cstheme="minorHAnsi"/>
                <w:color w:val="000000"/>
                <w:lang w:eastAsia="en-GB"/>
              </w:rPr>
            </w:pPr>
            <w:r w:rsidRPr="004A2775">
              <w:rPr>
                <w:rFonts w:eastAsia="Times New Roman" w:cstheme="minorHAnsi"/>
                <w:color w:val="000000"/>
                <w:lang w:eastAsia="en-GB"/>
              </w:rPr>
              <w:t>Never</w:t>
            </w:r>
          </w:p>
        </w:tc>
        <w:tc>
          <w:tcPr>
            <w:tcW w:w="986" w:type="dxa"/>
            <w:tcBorders>
              <w:top w:val="nil"/>
              <w:left w:val="nil"/>
              <w:bottom w:val="nil"/>
              <w:right w:val="nil"/>
            </w:tcBorders>
            <w:shd w:val="clear" w:color="auto" w:fill="auto"/>
            <w:noWrap/>
            <w:vAlign w:val="center"/>
            <w:hideMark/>
          </w:tcPr>
          <w:p w14:paraId="3DDBE79A" w14:textId="77777777" w:rsidR="00AF13BF" w:rsidRPr="004A2775" w:rsidRDefault="00AF13BF" w:rsidP="00AF13BF">
            <w:pPr>
              <w:spacing w:after="0" w:line="240" w:lineRule="auto"/>
              <w:ind w:firstLineChars="200" w:firstLine="440"/>
              <w:jc w:val="center"/>
              <w:rPr>
                <w:rFonts w:eastAsia="Times New Roman" w:cstheme="minorHAnsi"/>
                <w:color w:val="000000"/>
                <w:lang w:eastAsia="en-GB"/>
              </w:rPr>
            </w:pPr>
          </w:p>
        </w:tc>
        <w:tc>
          <w:tcPr>
            <w:tcW w:w="918" w:type="dxa"/>
            <w:tcBorders>
              <w:top w:val="nil"/>
              <w:left w:val="nil"/>
              <w:bottom w:val="nil"/>
              <w:right w:val="nil"/>
            </w:tcBorders>
            <w:shd w:val="clear" w:color="auto" w:fill="auto"/>
            <w:noWrap/>
            <w:vAlign w:val="center"/>
            <w:hideMark/>
          </w:tcPr>
          <w:p w14:paraId="3850D4AA"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121</w:t>
            </w:r>
          </w:p>
        </w:tc>
        <w:tc>
          <w:tcPr>
            <w:tcW w:w="1135" w:type="dxa"/>
            <w:tcBorders>
              <w:top w:val="nil"/>
              <w:left w:val="nil"/>
              <w:bottom w:val="nil"/>
              <w:right w:val="nil"/>
            </w:tcBorders>
            <w:shd w:val="clear" w:color="auto" w:fill="auto"/>
            <w:noWrap/>
            <w:vAlign w:val="center"/>
            <w:hideMark/>
          </w:tcPr>
          <w:p w14:paraId="0FFB4FCF"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37.6</w:t>
            </w:r>
          </w:p>
        </w:tc>
        <w:tc>
          <w:tcPr>
            <w:tcW w:w="239" w:type="dxa"/>
            <w:tcBorders>
              <w:top w:val="nil"/>
              <w:left w:val="nil"/>
              <w:bottom w:val="nil"/>
              <w:right w:val="nil"/>
            </w:tcBorders>
            <w:shd w:val="clear" w:color="auto" w:fill="auto"/>
            <w:noWrap/>
            <w:vAlign w:val="center"/>
            <w:hideMark/>
          </w:tcPr>
          <w:p w14:paraId="373167B4" w14:textId="77777777" w:rsidR="00AF13BF" w:rsidRPr="004A2775" w:rsidRDefault="00AF13BF" w:rsidP="00AF13BF">
            <w:pPr>
              <w:spacing w:after="0" w:line="240" w:lineRule="auto"/>
              <w:jc w:val="center"/>
              <w:rPr>
                <w:rFonts w:eastAsia="Times New Roman" w:cstheme="minorHAnsi"/>
                <w:color w:val="000000"/>
                <w:lang w:eastAsia="en-GB"/>
              </w:rPr>
            </w:pPr>
          </w:p>
        </w:tc>
        <w:tc>
          <w:tcPr>
            <w:tcW w:w="977" w:type="dxa"/>
            <w:tcBorders>
              <w:top w:val="nil"/>
              <w:left w:val="nil"/>
              <w:bottom w:val="nil"/>
              <w:right w:val="nil"/>
            </w:tcBorders>
            <w:shd w:val="clear" w:color="auto" w:fill="auto"/>
            <w:noWrap/>
            <w:vAlign w:val="center"/>
            <w:hideMark/>
          </w:tcPr>
          <w:p w14:paraId="7D64445F"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0A9FE481"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200</w:t>
            </w:r>
          </w:p>
        </w:tc>
        <w:tc>
          <w:tcPr>
            <w:tcW w:w="1035" w:type="dxa"/>
            <w:tcBorders>
              <w:top w:val="nil"/>
              <w:left w:val="nil"/>
              <w:bottom w:val="nil"/>
              <w:right w:val="nil"/>
            </w:tcBorders>
            <w:shd w:val="clear" w:color="auto" w:fill="auto"/>
            <w:noWrap/>
            <w:vAlign w:val="center"/>
            <w:hideMark/>
          </w:tcPr>
          <w:p w14:paraId="330DE33C"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63.3</w:t>
            </w:r>
          </w:p>
        </w:tc>
        <w:tc>
          <w:tcPr>
            <w:tcW w:w="241" w:type="dxa"/>
            <w:tcBorders>
              <w:top w:val="nil"/>
              <w:left w:val="nil"/>
              <w:bottom w:val="nil"/>
              <w:right w:val="nil"/>
            </w:tcBorders>
            <w:shd w:val="clear" w:color="auto" w:fill="auto"/>
            <w:noWrap/>
            <w:vAlign w:val="center"/>
            <w:hideMark/>
          </w:tcPr>
          <w:p w14:paraId="36D33B61"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6099D61F"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66E117E0"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227998AD" w14:textId="77777777" w:rsidR="00AF13BF" w:rsidRPr="004A2775" w:rsidRDefault="00AF13BF" w:rsidP="00AF13BF">
            <w:pPr>
              <w:spacing w:after="0" w:line="240" w:lineRule="auto"/>
              <w:ind w:firstLineChars="200" w:firstLine="440"/>
              <w:rPr>
                <w:rFonts w:eastAsia="Times New Roman" w:cstheme="minorHAnsi"/>
                <w:color w:val="000000"/>
                <w:lang w:eastAsia="en-GB"/>
              </w:rPr>
            </w:pPr>
            <w:r w:rsidRPr="004A2775">
              <w:rPr>
                <w:rFonts w:eastAsia="Times New Roman" w:cstheme="minorHAnsi"/>
                <w:color w:val="000000"/>
                <w:lang w:eastAsia="en-GB"/>
              </w:rPr>
              <w:t>Ex</w:t>
            </w:r>
          </w:p>
        </w:tc>
        <w:tc>
          <w:tcPr>
            <w:tcW w:w="986" w:type="dxa"/>
            <w:tcBorders>
              <w:top w:val="nil"/>
              <w:left w:val="nil"/>
              <w:bottom w:val="nil"/>
              <w:right w:val="nil"/>
            </w:tcBorders>
            <w:shd w:val="clear" w:color="auto" w:fill="auto"/>
            <w:noWrap/>
            <w:vAlign w:val="center"/>
            <w:hideMark/>
          </w:tcPr>
          <w:p w14:paraId="2DE2E0F1" w14:textId="77777777" w:rsidR="00AF13BF" w:rsidRPr="004A2775" w:rsidRDefault="00AF13BF" w:rsidP="00AF13BF">
            <w:pPr>
              <w:spacing w:after="0" w:line="240" w:lineRule="auto"/>
              <w:ind w:firstLineChars="200" w:firstLine="440"/>
              <w:jc w:val="center"/>
              <w:rPr>
                <w:rFonts w:eastAsia="Times New Roman" w:cstheme="minorHAnsi"/>
                <w:color w:val="000000"/>
                <w:lang w:eastAsia="en-GB"/>
              </w:rPr>
            </w:pPr>
          </w:p>
        </w:tc>
        <w:tc>
          <w:tcPr>
            <w:tcW w:w="918" w:type="dxa"/>
            <w:tcBorders>
              <w:top w:val="nil"/>
              <w:left w:val="nil"/>
              <w:bottom w:val="nil"/>
              <w:right w:val="nil"/>
            </w:tcBorders>
            <w:shd w:val="clear" w:color="auto" w:fill="auto"/>
            <w:noWrap/>
            <w:vAlign w:val="center"/>
            <w:hideMark/>
          </w:tcPr>
          <w:p w14:paraId="73DC4AF3"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174</w:t>
            </w:r>
          </w:p>
        </w:tc>
        <w:tc>
          <w:tcPr>
            <w:tcW w:w="1135" w:type="dxa"/>
            <w:tcBorders>
              <w:top w:val="nil"/>
              <w:left w:val="nil"/>
              <w:bottom w:val="nil"/>
              <w:right w:val="nil"/>
            </w:tcBorders>
            <w:shd w:val="clear" w:color="auto" w:fill="auto"/>
            <w:noWrap/>
            <w:vAlign w:val="center"/>
            <w:hideMark/>
          </w:tcPr>
          <w:p w14:paraId="65343E77"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54</w:t>
            </w:r>
          </w:p>
        </w:tc>
        <w:tc>
          <w:tcPr>
            <w:tcW w:w="239" w:type="dxa"/>
            <w:tcBorders>
              <w:top w:val="nil"/>
              <w:left w:val="nil"/>
              <w:bottom w:val="nil"/>
              <w:right w:val="nil"/>
            </w:tcBorders>
            <w:shd w:val="clear" w:color="auto" w:fill="auto"/>
            <w:noWrap/>
            <w:vAlign w:val="center"/>
            <w:hideMark/>
          </w:tcPr>
          <w:p w14:paraId="204D548B" w14:textId="77777777" w:rsidR="00AF13BF" w:rsidRPr="004A2775" w:rsidRDefault="00AF13BF" w:rsidP="00AF13BF">
            <w:pPr>
              <w:spacing w:after="0" w:line="240" w:lineRule="auto"/>
              <w:jc w:val="center"/>
              <w:rPr>
                <w:rFonts w:eastAsia="Times New Roman" w:cstheme="minorHAnsi"/>
                <w:color w:val="000000"/>
                <w:lang w:eastAsia="en-GB"/>
              </w:rPr>
            </w:pPr>
          </w:p>
        </w:tc>
        <w:tc>
          <w:tcPr>
            <w:tcW w:w="977" w:type="dxa"/>
            <w:tcBorders>
              <w:top w:val="nil"/>
              <w:left w:val="nil"/>
              <w:bottom w:val="nil"/>
              <w:right w:val="nil"/>
            </w:tcBorders>
            <w:shd w:val="clear" w:color="auto" w:fill="auto"/>
            <w:noWrap/>
            <w:vAlign w:val="center"/>
            <w:hideMark/>
          </w:tcPr>
          <w:p w14:paraId="51B10EE5"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10953C17"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99</w:t>
            </w:r>
          </w:p>
        </w:tc>
        <w:tc>
          <w:tcPr>
            <w:tcW w:w="1035" w:type="dxa"/>
            <w:tcBorders>
              <w:top w:val="nil"/>
              <w:left w:val="nil"/>
              <w:bottom w:val="nil"/>
              <w:right w:val="nil"/>
            </w:tcBorders>
            <w:shd w:val="clear" w:color="auto" w:fill="auto"/>
            <w:noWrap/>
            <w:vAlign w:val="center"/>
            <w:hideMark/>
          </w:tcPr>
          <w:p w14:paraId="482EEA1D"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31.3</w:t>
            </w:r>
          </w:p>
        </w:tc>
        <w:tc>
          <w:tcPr>
            <w:tcW w:w="241" w:type="dxa"/>
            <w:tcBorders>
              <w:top w:val="nil"/>
              <w:left w:val="nil"/>
              <w:bottom w:val="nil"/>
              <w:right w:val="nil"/>
            </w:tcBorders>
            <w:shd w:val="clear" w:color="auto" w:fill="auto"/>
            <w:noWrap/>
            <w:vAlign w:val="center"/>
            <w:hideMark/>
          </w:tcPr>
          <w:p w14:paraId="4AD8375F"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63D1135F"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7F49F272"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645DC995" w14:textId="77777777" w:rsidR="00AF13BF" w:rsidRPr="004A2775" w:rsidRDefault="00AF13BF" w:rsidP="00AF13BF">
            <w:pPr>
              <w:spacing w:after="0" w:line="240" w:lineRule="auto"/>
              <w:ind w:firstLineChars="200" w:firstLine="440"/>
              <w:rPr>
                <w:rFonts w:eastAsia="Times New Roman" w:cstheme="minorHAnsi"/>
                <w:color w:val="000000"/>
                <w:lang w:eastAsia="en-GB"/>
              </w:rPr>
            </w:pPr>
            <w:r w:rsidRPr="004A2775">
              <w:rPr>
                <w:rFonts w:eastAsia="Times New Roman" w:cstheme="minorHAnsi"/>
                <w:color w:val="000000"/>
                <w:lang w:eastAsia="en-GB"/>
              </w:rPr>
              <w:t>Current</w:t>
            </w:r>
          </w:p>
        </w:tc>
        <w:tc>
          <w:tcPr>
            <w:tcW w:w="986" w:type="dxa"/>
            <w:tcBorders>
              <w:top w:val="nil"/>
              <w:left w:val="nil"/>
              <w:bottom w:val="nil"/>
              <w:right w:val="nil"/>
            </w:tcBorders>
            <w:shd w:val="clear" w:color="auto" w:fill="auto"/>
            <w:noWrap/>
            <w:vAlign w:val="center"/>
            <w:hideMark/>
          </w:tcPr>
          <w:p w14:paraId="7D0B57D4" w14:textId="77777777" w:rsidR="00AF13BF" w:rsidRPr="004A2775" w:rsidRDefault="00AF13BF" w:rsidP="00AF13BF">
            <w:pPr>
              <w:spacing w:after="0" w:line="240" w:lineRule="auto"/>
              <w:ind w:firstLineChars="200" w:firstLine="440"/>
              <w:jc w:val="center"/>
              <w:rPr>
                <w:rFonts w:eastAsia="Times New Roman" w:cstheme="minorHAnsi"/>
                <w:color w:val="000000"/>
                <w:lang w:eastAsia="en-GB"/>
              </w:rPr>
            </w:pPr>
          </w:p>
        </w:tc>
        <w:tc>
          <w:tcPr>
            <w:tcW w:w="918" w:type="dxa"/>
            <w:tcBorders>
              <w:top w:val="nil"/>
              <w:left w:val="nil"/>
              <w:bottom w:val="nil"/>
              <w:right w:val="nil"/>
            </w:tcBorders>
            <w:shd w:val="clear" w:color="auto" w:fill="auto"/>
            <w:noWrap/>
            <w:vAlign w:val="center"/>
            <w:hideMark/>
          </w:tcPr>
          <w:p w14:paraId="37356623"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27</w:t>
            </w:r>
          </w:p>
        </w:tc>
        <w:tc>
          <w:tcPr>
            <w:tcW w:w="1135" w:type="dxa"/>
            <w:tcBorders>
              <w:top w:val="nil"/>
              <w:left w:val="nil"/>
              <w:bottom w:val="nil"/>
              <w:right w:val="nil"/>
            </w:tcBorders>
            <w:shd w:val="clear" w:color="auto" w:fill="auto"/>
            <w:noWrap/>
            <w:vAlign w:val="center"/>
            <w:hideMark/>
          </w:tcPr>
          <w:p w14:paraId="169C2BF4"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8.4</w:t>
            </w:r>
          </w:p>
        </w:tc>
        <w:tc>
          <w:tcPr>
            <w:tcW w:w="239" w:type="dxa"/>
            <w:tcBorders>
              <w:top w:val="nil"/>
              <w:left w:val="nil"/>
              <w:bottom w:val="nil"/>
              <w:right w:val="nil"/>
            </w:tcBorders>
            <w:shd w:val="clear" w:color="auto" w:fill="auto"/>
            <w:noWrap/>
            <w:vAlign w:val="center"/>
            <w:hideMark/>
          </w:tcPr>
          <w:p w14:paraId="004EDDF3" w14:textId="77777777" w:rsidR="00AF13BF" w:rsidRPr="004A2775" w:rsidRDefault="00AF13BF" w:rsidP="00AF13BF">
            <w:pPr>
              <w:spacing w:after="0" w:line="240" w:lineRule="auto"/>
              <w:jc w:val="center"/>
              <w:rPr>
                <w:rFonts w:eastAsia="Times New Roman" w:cstheme="minorHAnsi"/>
                <w:color w:val="000000"/>
                <w:lang w:eastAsia="en-GB"/>
              </w:rPr>
            </w:pPr>
          </w:p>
        </w:tc>
        <w:tc>
          <w:tcPr>
            <w:tcW w:w="977" w:type="dxa"/>
            <w:tcBorders>
              <w:top w:val="nil"/>
              <w:left w:val="nil"/>
              <w:bottom w:val="nil"/>
              <w:right w:val="nil"/>
            </w:tcBorders>
            <w:shd w:val="clear" w:color="auto" w:fill="auto"/>
            <w:noWrap/>
            <w:vAlign w:val="center"/>
            <w:hideMark/>
          </w:tcPr>
          <w:p w14:paraId="6CA5707E"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21D97AFA"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17</w:t>
            </w:r>
          </w:p>
        </w:tc>
        <w:tc>
          <w:tcPr>
            <w:tcW w:w="1035" w:type="dxa"/>
            <w:tcBorders>
              <w:top w:val="nil"/>
              <w:left w:val="nil"/>
              <w:bottom w:val="nil"/>
              <w:right w:val="nil"/>
            </w:tcBorders>
            <w:shd w:val="clear" w:color="auto" w:fill="auto"/>
            <w:noWrap/>
            <w:vAlign w:val="center"/>
            <w:hideMark/>
          </w:tcPr>
          <w:p w14:paraId="2F4F8B95"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5.4</w:t>
            </w:r>
          </w:p>
        </w:tc>
        <w:tc>
          <w:tcPr>
            <w:tcW w:w="241" w:type="dxa"/>
            <w:tcBorders>
              <w:top w:val="nil"/>
              <w:left w:val="nil"/>
              <w:bottom w:val="nil"/>
              <w:right w:val="nil"/>
            </w:tcBorders>
            <w:shd w:val="clear" w:color="auto" w:fill="auto"/>
            <w:noWrap/>
            <w:vAlign w:val="center"/>
            <w:hideMark/>
          </w:tcPr>
          <w:p w14:paraId="19AAA6E7"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42D1A23E"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3DF2A83E"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52E6FC05" w14:textId="77777777" w:rsidR="00AF13BF" w:rsidRPr="004A2775" w:rsidRDefault="00AF13BF" w:rsidP="00AF13BF">
            <w:pPr>
              <w:spacing w:after="0" w:line="240" w:lineRule="auto"/>
              <w:rPr>
                <w:rFonts w:eastAsia="Times New Roman" w:cstheme="minorHAnsi"/>
                <w:sz w:val="20"/>
                <w:szCs w:val="20"/>
                <w:lang w:eastAsia="en-GB"/>
              </w:rPr>
            </w:pPr>
          </w:p>
        </w:tc>
        <w:tc>
          <w:tcPr>
            <w:tcW w:w="986" w:type="dxa"/>
            <w:tcBorders>
              <w:top w:val="nil"/>
              <w:left w:val="nil"/>
              <w:bottom w:val="nil"/>
              <w:right w:val="nil"/>
            </w:tcBorders>
            <w:shd w:val="clear" w:color="auto" w:fill="auto"/>
            <w:noWrap/>
            <w:vAlign w:val="center"/>
            <w:hideMark/>
          </w:tcPr>
          <w:p w14:paraId="025F285B"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18" w:type="dxa"/>
            <w:tcBorders>
              <w:top w:val="nil"/>
              <w:left w:val="nil"/>
              <w:bottom w:val="nil"/>
              <w:right w:val="nil"/>
            </w:tcBorders>
            <w:shd w:val="clear" w:color="auto" w:fill="auto"/>
            <w:noWrap/>
            <w:vAlign w:val="center"/>
            <w:hideMark/>
          </w:tcPr>
          <w:p w14:paraId="179BEB0D"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bottom w:val="nil"/>
              <w:right w:val="nil"/>
            </w:tcBorders>
            <w:shd w:val="clear" w:color="auto" w:fill="auto"/>
            <w:noWrap/>
            <w:vAlign w:val="center"/>
            <w:hideMark/>
          </w:tcPr>
          <w:p w14:paraId="539509D8"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17A79630"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13396670"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1C1B969B"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035" w:type="dxa"/>
            <w:tcBorders>
              <w:top w:val="nil"/>
              <w:left w:val="nil"/>
              <w:bottom w:val="nil"/>
              <w:right w:val="nil"/>
            </w:tcBorders>
            <w:shd w:val="clear" w:color="auto" w:fill="auto"/>
            <w:noWrap/>
            <w:vAlign w:val="center"/>
            <w:hideMark/>
          </w:tcPr>
          <w:p w14:paraId="696D6976"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41" w:type="dxa"/>
            <w:tcBorders>
              <w:top w:val="nil"/>
              <w:left w:val="nil"/>
              <w:bottom w:val="nil"/>
              <w:right w:val="nil"/>
            </w:tcBorders>
            <w:shd w:val="clear" w:color="auto" w:fill="auto"/>
            <w:noWrap/>
            <w:vAlign w:val="center"/>
            <w:hideMark/>
          </w:tcPr>
          <w:p w14:paraId="2573B3B4"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62C1C014"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0E02C326"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212D185C" w14:textId="241DFF86" w:rsidR="00AF13BF" w:rsidRPr="004A2775" w:rsidRDefault="00AF13BF" w:rsidP="00AF13BF">
            <w:pPr>
              <w:spacing w:after="0" w:line="240" w:lineRule="auto"/>
              <w:rPr>
                <w:rFonts w:eastAsia="Times New Roman" w:cstheme="minorHAnsi"/>
                <w:color w:val="000000"/>
                <w:lang w:eastAsia="en-GB"/>
              </w:rPr>
            </w:pPr>
            <w:r w:rsidRPr="004A2775">
              <w:rPr>
                <w:rFonts w:eastAsia="Times New Roman" w:cstheme="minorHAnsi"/>
                <w:color w:val="000000"/>
                <w:lang w:eastAsia="en-GB"/>
              </w:rPr>
              <w:t>Social class (manual)</w:t>
            </w:r>
            <w:r w:rsidR="00572D73" w:rsidRPr="00D26FE9">
              <w:rPr>
                <w:rFonts w:eastAsia="Times New Roman" w:cstheme="minorHAnsi"/>
                <w:color w:val="000000"/>
                <w:vertAlign w:val="superscript"/>
                <w:lang w:eastAsia="en-GB"/>
              </w:rPr>
              <w:t>+</w:t>
            </w:r>
          </w:p>
        </w:tc>
        <w:tc>
          <w:tcPr>
            <w:tcW w:w="986" w:type="dxa"/>
            <w:tcBorders>
              <w:top w:val="nil"/>
              <w:left w:val="nil"/>
              <w:bottom w:val="nil"/>
              <w:right w:val="nil"/>
            </w:tcBorders>
            <w:shd w:val="clear" w:color="auto" w:fill="auto"/>
            <w:noWrap/>
            <w:vAlign w:val="center"/>
            <w:hideMark/>
          </w:tcPr>
          <w:p w14:paraId="5A0C3FFC"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306</w:t>
            </w:r>
          </w:p>
        </w:tc>
        <w:tc>
          <w:tcPr>
            <w:tcW w:w="918" w:type="dxa"/>
            <w:tcBorders>
              <w:top w:val="nil"/>
              <w:left w:val="nil"/>
              <w:bottom w:val="nil"/>
              <w:right w:val="nil"/>
            </w:tcBorders>
            <w:shd w:val="clear" w:color="auto" w:fill="auto"/>
            <w:noWrap/>
            <w:vAlign w:val="center"/>
            <w:hideMark/>
          </w:tcPr>
          <w:p w14:paraId="22FF9A17"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175</w:t>
            </w:r>
          </w:p>
        </w:tc>
        <w:tc>
          <w:tcPr>
            <w:tcW w:w="1135" w:type="dxa"/>
            <w:tcBorders>
              <w:top w:val="nil"/>
              <w:left w:val="nil"/>
              <w:bottom w:val="nil"/>
              <w:right w:val="nil"/>
            </w:tcBorders>
            <w:shd w:val="clear" w:color="auto" w:fill="auto"/>
            <w:noWrap/>
            <w:vAlign w:val="center"/>
            <w:hideMark/>
          </w:tcPr>
          <w:p w14:paraId="42C71B47"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57.2</w:t>
            </w:r>
          </w:p>
        </w:tc>
        <w:tc>
          <w:tcPr>
            <w:tcW w:w="239" w:type="dxa"/>
            <w:tcBorders>
              <w:top w:val="nil"/>
              <w:left w:val="nil"/>
              <w:bottom w:val="nil"/>
              <w:right w:val="nil"/>
            </w:tcBorders>
            <w:shd w:val="clear" w:color="auto" w:fill="auto"/>
            <w:noWrap/>
            <w:vAlign w:val="center"/>
            <w:hideMark/>
          </w:tcPr>
          <w:p w14:paraId="6B6E5219" w14:textId="77777777" w:rsidR="00AF13BF" w:rsidRPr="004A2775" w:rsidRDefault="00AF13BF" w:rsidP="00AF13BF">
            <w:pPr>
              <w:spacing w:after="0" w:line="240" w:lineRule="auto"/>
              <w:jc w:val="center"/>
              <w:rPr>
                <w:rFonts w:eastAsia="Times New Roman" w:cstheme="minorHAnsi"/>
                <w:color w:val="000000"/>
                <w:lang w:eastAsia="en-GB"/>
              </w:rPr>
            </w:pPr>
          </w:p>
        </w:tc>
        <w:tc>
          <w:tcPr>
            <w:tcW w:w="977" w:type="dxa"/>
            <w:tcBorders>
              <w:top w:val="nil"/>
              <w:left w:val="nil"/>
              <w:bottom w:val="nil"/>
              <w:right w:val="nil"/>
            </w:tcBorders>
            <w:shd w:val="clear" w:color="auto" w:fill="auto"/>
            <w:noWrap/>
            <w:vAlign w:val="center"/>
            <w:hideMark/>
          </w:tcPr>
          <w:p w14:paraId="02508B16"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319</w:t>
            </w:r>
          </w:p>
        </w:tc>
        <w:tc>
          <w:tcPr>
            <w:tcW w:w="992" w:type="dxa"/>
            <w:tcBorders>
              <w:top w:val="nil"/>
              <w:left w:val="nil"/>
              <w:bottom w:val="nil"/>
              <w:right w:val="nil"/>
            </w:tcBorders>
            <w:shd w:val="clear" w:color="auto" w:fill="auto"/>
            <w:noWrap/>
            <w:vAlign w:val="center"/>
            <w:hideMark/>
          </w:tcPr>
          <w:p w14:paraId="66F48429"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182</w:t>
            </w:r>
          </w:p>
        </w:tc>
        <w:tc>
          <w:tcPr>
            <w:tcW w:w="1035" w:type="dxa"/>
            <w:tcBorders>
              <w:top w:val="nil"/>
              <w:left w:val="nil"/>
              <w:bottom w:val="nil"/>
              <w:right w:val="nil"/>
            </w:tcBorders>
            <w:shd w:val="clear" w:color="auto" w:fill="auto"/>
            <w:noWrap/>
            <w:vAlign w:val="center"/>
            <w:hideMark/>
          </w:tcPr>
          <w:p w14:paraId="4D7F0970"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57.1</w:t>
            </w:r>
          </w:p>
        </w:tc>
        <w:tc>
          <w:tcPr>
            <w:tcW w:w="241" w:type="dxa"/>
            <w:tcBorders>
              <w:top w:val="nil"/>
              <w:left w:val="nil"/>
              <w:bottom w:val="nil"/>
              <w:right w:val="nil"/>
            </w:tcBorders>
            <w:shd w:val="clear" w:color="auto" w:fill="auto"/>
            <w:noWrap/>
            <w:vAlign w:val="center"/>
            <w:hideMark/>
          </w:tcPr>
          <w:p w14:paraId="1D99F7CA"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36C3BBA7" w14:textId="77777777" w:rsidR="00AF13BF" w:rsidRPr="004A2775" w:rsidRDefault="00AF13BF" w:rsidP="00AF13BF">
            <w:pPr>
              <w:spacing w:after="0" w:line="240" w:lineRule="auto"/>
              <w:jc w:val="center"/>
              <w:rPr>
                <w:rFonts w:eastAsia="Times New Roman" w:cstheme="minorHAnsi"/>
                <w:lang w:eastAsia="en-GB"/>
              </w:rPr>
            </w:pPr>
            <w:r w:rsidRPr="004A2775">
              <w:rPr>
                <w:rFonts w:eastAsia="Times New Roman" w:cstheme="minorHAnsi"/>
                <w:lang w:eastAsia="en-GB"/>
              </w:rPr>
              <w:t>0.973</w:t>
            </w:r>
          </w:p>
        </w:tc>
      </w:tr>
      <w:tr w:rsidR="00AF13BF" w:rsidRPr="004A2775" w14:paraId="47E6ADCA"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1B05353D" w14:textId="77777777" w:rsidR="00AF13BF" w:rsidRPr="004A2775" w:rsidRDefault="00AF13BF" w:rsidP="00AF13BF">
            <w:pPr>
              <w:spacing w:after="0" w:line="240" w:lineRule="auto"/>
              <w:rPr>
                <w:rFonts w:eastAsia="Times New Roman" w:cstheme="minorHAnsi"/>
                <w:color w:val="000000"/>
                <w:lang w:eastAsia="en-GB"/>
              </w:rPr>
            </w:pPr>
          </w:p>
        </w:tc>
        <w:tc>
          <w:tcPr>
            <w:tcW w:w="986" w:type="dxa"/>
            <w:tcBorders>
              <w:top w:val="nil"/>
              <w:left w:val="nil"/>
              <w:bottom w:val="nil"/>
              <w:right w:val="nil"/>
            </w:tcBorders>
            <w:shd w:val="clear" w:color="auto" w:fill="auto"/>
            <w:noWrap/>
            <w:vAlign w:val="center"/>
            <w:hideMark/>
          </w:tcPr>
          <w:p w14:paraId="31D833FC"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18" w:type="dxa"/>
            <w:tcBorders>
              <w:top w:val="nil"/>
              <w:left w:val="nil"/>
              <w:bottom w:val="nil"/>
              <w:right w:val="nil"/>
            </w:tcBorders>
            <w:shd w:val="clear" w:color="auto" w:fill="auto"/>
            <w:noWrap/>
            <w:vAlign w:val="center"/>
            <w:hideMark/>
          </w:tcPr>
          <w:p w14:paraId="4E4F27AF"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bottom w:val="nil"/>
              <w:right w:val="nil"/>
            </w:tcBorders>
            <w:shd w:val="clear" w:color="auto" w:fill="auto"/>
            <w:noWrap/>
            <w:vAlign w:val="center"/>
            <w:hideMark/>
          </w:tcPr>
          <w:p w14:paraId="4DB235F2"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48CC68CB"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64DD1274"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1019DCC3"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035" w:type="dxa"/>
            <w:tcBorders>
              <w:top w:val="nil"/>
              <w:left w:val="nil"/>
              <w:bottom w:val="nil"/>
              <w:right w:val="nil"/>
            </w:tcBorders>
            <w:shd w:val="clear" w:color="auto" w:fill="auto"/>
            <w:noWrap/>
            <w:vAlign w:val="center"/>
            <w:hideMark/>
          </w:tcPr>
          <w:p w14:paraId="4B36D88A"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41" w:type="dxa"/>
            <w:tcBorders>
              <w:top w:val="nil"/>
              <w:left w:val="nil"/>
              <w:bottom w:val="nil"/>
              <w:right w:val="nil"/>
            </w:tcBorders>
            <w:shd w:val="clear" w:color="auto" w:fill="auto"/>
            <w:noWrap/>
            <w:vAlign w:val="center"/>
            <w:hideMark/>
          </w:tcPr>
          <w:p w14:paraId="121E0CB6"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25DA6F25"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08425E32"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77A605EE" w14:textId="77777777" w:rsidR="00AF13BF" w:rsidRPr="004A2775" w:rsidRDefault="00AF13BF" w:rsidP="00AF13BF">
            <w:pPr>
              <w:spacing w:after="0" w:line="240" w:lineRule="auto"/>
              <w:rPr>
                <w:rFonts w:eastAsia="Times New Roman" w:cstheme="minorHAnsi"/>
                <w:color w:val="000000"/>
                <w:lang w:eastAsia="en-GB"/>
              </w:rPr>
            </w:pPr>
            <w:r w:rsidRPr="004A2775">
              <w:rPr>
                <w:rFonts w:eastAsia="Times New Roman" w:cstheme="minorHAnsi"/>
                <w:color w:val="000000"/>
                <w:lang w:eastAsia="en-GB"/>
              </w:rPr>
              <w:t>HRT use</w:t>
            </w:r>
          </w:p>
        </w:tc>
        <w:tc>
          <w:tcPr>
            <w:tcW w:w="986" w:type="dxa"/>
            <w:tcBorders>
              <w:top w:val="nil"/>
              <w:left w:val="nil"/>
              <w:bottom w:val="nil"/>
              <w:right w:val="nil"/>
            </w:tcBorders>
            <w:shd w:val="clear" w:color="auto" w:fill="auto"/>
            <w:noWrap/>
            <w:vAlign w:val="center"/>
            <w:hideMark/>
          </w:tcPr>
          <w:p w14:paraId="373E7CB7" w14:textId="77777777" w:rsidR="00AF13BF" w:rsidRPr="004A2775" w:rsidRDefault="00AF13BF" w:rsidP="00AF13BF">
            <w:pPr>
              <w:spacing w:after="0" w:line="240" w:lineRule="auto"/>
              <w:jc w:val="center"/>
              <w:rPr>
                <w:rFonts w:eastAsia="Times New Roman" w:cstheme="minorHAnsi"/>
                <w:color w:val="000000"/>
                <w:lang w:eastAsia="en-GB"/>
              </w:rPr>
            </w:pPr>
          </w:p>
        </w:tc>
        <w:tc>
          <w:tcPr>
            <w:tcW w:w="918" w:type="dxa"/>
            <w:tcBorders>
              <w:top w:val="nil"/>
              <w:left w:val="nil"/>
              <w:bottom w:val="nil"/>
              <w:right w:val="nil"/>
            </w:tcBorders>
            <w:shd w:val="clear" w:color="auto" w:fill="auto"/>
            <w:noWrap/>
            <w:vAlign w:val="center"/>
            <w:hideMark/>
          </w:tcPr>
          <w:p w14:paraId="734338B1"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bottom w:val="nil"/>
              <w:right w:val="nil"/>
            </w:tcBorders>
            <w:shd w:val="clear" w:color="auto" w:fill="auto"/>
            <w:noWrap/>
            <w:vAlign w:val="center"/>
            <w:hideMark/>
          </w:tcPr>
          <w:p w14:paraId="74E2D1B0"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3C9342A6"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7870C1ED"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319</w:t>
            </w:r>
          </w:p>
        </w:tc>
        <w:tc>
          <w:tcPr>
            <w:tcW w:w="992" w:type="dxa"/>
            <w:tcBorders>
              <w:top w:val="nil"/>
              <w:left w:val="nil"/>
              <w:bottom w:val="nil"/>
              <w:right w:val="nil"/>
            </w:tcBorders>
            <w:shd w:val="clear" w:color="auto" w:fill="auto"/>
            <w:noWrap/>
            <w:vAlign w:val="center"/>
            <w:hideMark/>
          </w:tcPr>
          <w:p w14:paraId="18CCA952" w14:textId="77777777" w:rsidR="00AF13BF" w:rsidRPr="004A2775" w:rsidRDefault="00AF13BF" w:rsidP="00AF13BF">
            <w:pPr>
              <w:spacing w:after="0" w:line="240" w:lineRule="auto"/>
              <w:jc w:val="center"/>
              <w:rPr>
                <w:rFonts w:eastAsia="Times New Roman" w:cstheme="minorHAnsi"/>
                <w:color w:val="000000"/>
                <w:lang w:eastAsia="en-GB"/>
              </w:rPr>
            </w:pPr>
          </w:p>
        </w:tc>
        <w:tc>
          <w:tcPr>
            <w:tcW w:w="1035" w:type="dxa"/>
            <w:tcBorders>
              <w:top w:val="nil"/>
              <w:left w:val="nil"/>
              <w:bottom w:val="nil"/>
              <w:right w:val="nil"/>
            </w:tcBorders>
            <w:shd w:val="clear" w:color="auto" w:fill="auto"/>
            <w:noWrap/>
            <w:vAlign w:val="center"/>
            <w:hideMark/>
          </w:tcPr>
          <w:p w14:paraId="7E886AF4"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41" w:type="dxa"/>
            <w:tcBorders>
              <w:top w:val="nil"/>
              <w:left w:val="nil"/>
              <w:bottom w:val="nil"/>
              <w:right w:val="nil"/>
            </w:tcBorders>
            <w:shd w:val="clear" w:color="auto" w:fill="auto"/>
            <w:noWrap/>
            <w:vAlign w:val="center"/>
            <w:hideMark/>
          </w:tcPr>
          <w:p w14:paraId="527C0D5F"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7C19E3BA" w14:textId="77777777" w:rsidR="00AF13BF" w:rsidRPr="004A2775" w:rsidRDefault="00AF13BF" w:rsidP="00AF13BF">
            <w:pPr>
              <w:spacing w:after="0" w:line="240" w:lineRule="auto"/>
              <w:jc w:val="center"/>
              <w:rPr>
                <w:rFonts w:eastAsia="Times New Roman" w:cstheme="minorHAnsi"/>
                <w:lang w:eastAsia="en-GB"/>
              </w:rPr>
            </w:pPr>
            <w:r w:rsidRPr="004A2775">
              <w:rPr>
                <w:rFonts w:eastAsia="Times New Roman" w:cstheme="minorHAnsi"/>
                <w:lang w:eastAsia="en-GB"/>
              </w:rPr>
              <w:t>N/A</w:t>
            </w:r>
          </w:p>
        </w:tc>
      </w:tr>
      <w:tr w:rsidR="00AF13BF" w:rsidRPr="004A2775" w14:paraId="62F7A2E4"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75244EF2" w14:textId="77777777" w:rsidR="00AF13BF" w:rsidRPr="004A2775" w:rsidRDefault="00AF13BF" w:rsidP="00AF13BF">
            <w:pPr>
              <w:spacing w:after="0" w:line="240" w:lineRule="auto"/>
              <w:ind w:firstLineChars="200" w:firstLine="440"/>
              <w:rPr>
                <w:rFonts w:eastAsia="Times New Roman" w:cstheme="minorHAnsi"/>
                <w:color w:val="000000"/>
                <w:lang w:eastAsia="en-GB"/>
              </w:rPr>
            </w:pPr>
            <w:r w:rsidRPr="004A2775">
              <w:rPr>
                <w:rFonts w:eastAsia="Times New Roman" w:cstheme="minorHAnsi"/>
                <w:color w:val="000000"/>
                <w:lang w:eastAsia="en-GB"/>
              </w:rPr>
              <w:t>Never</w:t>
            </w:r>
          </w:p>
        </w:tc>
        <w:tc>
          <w:tcPr>
            <w:tcW w:w="986" w:type="dxa"/>
            <w:tcBorders>
              <w:top w:val="nil"/>
              <w:left w:val="nil"/>
              <w:bottom w:val="nil"/>
              <w:right w:val="nil"/>
            </w:tcBorders>
            <w:shd w:val="clear" w:color="auto" w:fill="auto"/>
            <w:noWrap/>
            <w:vAlign w:val="center"/>
            <w:hideMark/>
          </w:tcPr>
          <w:p w14:paraId="0CF58F41" w14:textId="77777777" w:rsidR="00AF13BF" w:rsidRPr="004A2775" w:rsidRDefault="00AF13BF" w:rsidP="00AF13BF">
            <w:pPr>
              <w:spacing w:after="0" w:line="240" w:lineRule="auto"/>
              <w:ind w:firstLineChars="200" w:firstLine="440"/>
              <w:jc w:val="center"/>
              <w:rPr>
                <w:rFonts w:eastAsia="Times New Roman" w:cstheme="minorHAnsi"/>
                <w:color w:val="000000"/>
                <w:lang w:eastAsia="en-GB"/>
              </w:rPr>
            </w:pPr>
          </w:p>
        </w:tc>
        <w:tc>
          <w:tcPr>
            <w:tcW w:w="918" w:type="dxa"/>
            <w:tcBorders>
              <w:top w:val="nil"/>
              <w:left w:val="nil"/>
              <w:bottom w:val="nil"/>
              <w:right w:val="nil"/>
            </w:tcBorders>
            <w:shd w:val="clear" w:color="auto" w:fill="auto"/>
            <w:noWrap/>
            <w:vAlign w:val="center"/>
            <w:hideMark/>
          </w:tcPr>
          <w:p w14:paraId="43857579"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bottom w:val="nil"/>
              <w:right w:val="nil"/>
            </w:tcBorders>
            <w:shd w:val="clear" w:color="auto" w:fill="auto"/>
            <w:noWrap/>
            <w:vAlign w:val="center"/>
            <w:hideMark/>
          </w:tcPr>
          <w:p w14:paraId="71F87A05"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646E1490"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6E17D72A"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23A653F4"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185</w:t>
            </w:r>
          </w:p>
        </w:tc>
        <w:tc>
          <w:tcPr>
            <w:tcW w:w="1035" w:type="dxa"/>
            <w:tcBorders>
              <w:top w:val="nil"/>
              <w:left w:val="nil"/>
              <w:bottom w:val="nil"/>
              <w:right w:val="nil"/>
            </w:tcBorders>
            <w:shd w:val="clear" w:color="auto" w:fill="auto"/>
            <w:noWrap/>
            <w:vAlign w:val="center"/>
            <w:hideMark/>
          </w:tcPr>
          <w:p w14:paraId="3EEF8E7C"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58</w:t>
            </w:r>
          </w:p>
        </w:tc>
        <w:tc>
          <w:tcPr>
            <w:tcW w:w="241" w:type="dxa"/>
            <w:tcBorders>
              <w:top w:val="nil"/>
              <w:left w:val="nil"/>
              <w:bottom w:val="nil"/>
              <w:right w:val="nil"/>
            </w:tcBorders>
            <w:shd w:val="clear" w:color="auto" w:fill="auto"/>
            <w:noWrap/>
            <w:vAlign w:val="center"/>
            <w:hideMark/>
          </w:tcPr>
          <w:p w14:paraId="0739F288"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551A09D2"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62DD2CEE"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5130EA5B" w14:textId="77777777" w:rsidR="00AF13BF" w:rsidRPr="004A2775" w:rsidRDefault="00AF13BF" w:rsidP="00AF13BF">
            <w:pPr>
              <w:spacing w:after="0" w:line="240" w:lineRule="auto"/>
              <w:ind w:firstLineChars="200" w:firstLine="440"/>
              <w:rPr>
                <w:rFonts w:eastAsia="Times New Roman" w:cstheme="minorHAnsi"/>
                <w:color w:val="000000"/>
                <w:lang w:eastAsia="en-GB"/>
              </w:rPr>
            </w:pPr>
            <w:r w:rsidRPr="004A2775">
              <w:rPr>
                <w:rFonts w:eastAsia="Times New Roman" w:cstheme="minorHAnsi"/>
                <w:color w:val="000000"/>
                <w:lang w:eastAsia="en-GB"/>
              </w:rPr>
              <w:t>At least 5 years ago</w:t>
            </w:r>
          </w:p>
        </w:tc>
        <w:tc>
          <w:tcPr>
            <w:tcW w:w="986" w:type="dxa"/>
            <w:tcBorders>
              <w:top w:val="nil"/>
              <w:left w:val="nil"/>
              <w:bottom w:val="nil"/>
              <w:right w:val="nil"/>
            </w:tcBorders>
            <w:shd w:val="clear" w:color="auto" w:fill="auto"/>
            <w:noWrap/>
            <w:vAlign w:val="center"/>
            <w:hideMark/>
          </w:tcPr>
          <w:p w14:paraId="5C9B839E" w14:textId="77777777" w:rsidR="00AF13BF" w:rsidRPr="004A2775" w:rsidRDefault="00AF13BF" w:rsidP="00AF13BF">
            <w:pPr>
              <w:spacing w:after="0" w:line="240" w:lineRule="auto"/>
              <w:ind w:firstLineChars="200" w:firstLine="440"/>
              <w:jc w:val="center"/>
              <w:rPr>
                <w:rFonts w:eastAsia="Times New Roman" w:cstheme="minorHAnsi"/>
                <w:color w:val="000000"/>
                <w:lang w:eastAsia="en-GB"/>
              </w:rPr>
            </w:pPr>
          </w:p>
        </w:tc>
        <w:tc>
          <w:tcPr>
            <w:tcW w:w="918" w:type="dxa"/>
            <w:tcBorders>
              <w:top w:val="nil"/>
              <w:left w:val="nil"/>
              <w:bottom w:val="nil"/>
              <w:right w:val="nil"/>
            </w:tcBorders>
            <w:shd w:val="clear" w:color="auto" w:fill="auto"/>
            <w:noWrap/>
            <w:vAlign w:val="center"/>
            <w:hideMark/>
          </w:tcPr>
          <w:p w14:paraId="55152714"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bottom w:val="nil"/>
              <w:right w:val="nil"/>
            </w:tcBorders>
            <w:shd w:val="clear" w:color="auto" w:fill="auto"/>
            <w:noWrap/>
            <w:vAlign w:val="center"/>
            <w:hideMark/>
          </w:tcPr>
          <w:p w14:paraId="27890C93"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4FB422DE"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4CAA72B8"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41FFCF0A"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74</w:t>
            </w:r>
          </w:p>
        </w:tc>
        <w:tc>
          <w:tcPr>
            <w:tcW w:w="1035" w:type="dxa"/>
            <w:tcBorders>
              <w:top w:val="nil"/>
              <w:left w:val="nil"/>
              <w:bottom w:val="nil"/>
              <w:right w:val="nil"/>
            </w:tcBorders>
            <w:shd w:val="clear" w:color="auto" w:fill="auto"/>
            <w:noWrap/>
            <w:vAlign w:val="center"/>
            <w:hideMark/>
          </w:tcPr>
          <w:p w14:paraId="0DB69671"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23.2</w:t>
            </w:r>
          </w:p>
        </w:tc>
        <w:tc>
          <w:tcPr>
            <w:tcW w:w="241" w:type="dxa"/>
            <w:tcBorders>
              <w:top w:val="nil"/>
              <w:left w:val="nil"/>
              <w:bottom w:val="nil"/>
              <w:right w:val="nil"/>
            </w:tcBorders>
            <w:shd w:val="clear" w:color="auto" w:fill="auto"/>
            <w:noWrap/>
            <w:vAlign w:val="center"/>
            <w:hideMark/>
          </w:tcPr>
          <w:p w14:paraId="30B61E6E"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55BA3056"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04C4536B"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5A11908F" w14:textId="77777777" w:rsidR="00AF13BF" w:rsidRPr="004A2775" w:rsidRDefault="00AF13BF" w:rsidP="00AF13BF">
            <w:pPr>
              <w:spacing w:after="0" w:line="240" w:lineRule="auto"/>
              <w:ind w:firstLineChars="200" w:firstLine="440"/>
              <w:rPr>
                <w:rFonts w:eastAsia="Times New Roman" w:cstheme="minorHAnsi"/>
                <w:color w:val="000000"/>
                <w:lang w:eastAsia="en-GB"/>
              </w:rPr>
            </w:pPr>
            <w:r w:rsidRPr="004A2775">
              <w:rPr>
                <w:rFonts w:eastAsia="Times New Roman" w:cstheme="minorHAnsi"/>
                <w:color w:val="000000"/>
                <w:lang w:eastAsia="en-GB"/>
              </w:rPr>
              <w:t>Within last 5 years</w:t>
            </w:r>
          </w:p>
        </w:tc>
        <w:tc>
          <w:tcPr>
            <w:tcW w:w="986" w:type="dxa"/>
            <w:tcBorders>
              <w:top w:val="nil"/>
              <w:left w:val="nil"/>
              <w:bottom w:val="nil"/>
              <w:right w:val="nil"/>
            </w:tcBorders>
            <w:shd w:val="clear" w:color="auto" w:fill="auto"/>
            <w:noWrap/>
            <w:vAlign w:val="center"/>
            <w:hideMark/>
          </w:tcPr>
          <w:p w14:paraId="6EE39F94" w14:textId="77777777" w:rsidR="00AF13BF" w:rsidRPr="004A2775" w:rsidRDefault="00AF13BF" w:rsidP="00AF13BF">
            <w:pPr>
              <w:spacing w:after="0" w:line="240" w:lineRule="auto"/>
              <w:ind w:firstLineChars="200" w:firstLine="440"/>
              <w:jc w:val="center"/>
              <w:rPr>
                <w:rFonts w:eastAsia="Times New Roman" w:cstheme="minorHAnsi"/>
                <w:color w:val="000000"/>
                <w:lang w:eastAsia="en-GB"/>
              </w:rPr>
            </w:pPr>
          </w:p>
        </w:tc>
        <w:tc>
          <w:tcPr>
            <w:tcW w:w="918" w:type="dxa"/>
            <w:tcBorders>
              <w:top w:val="nil"/>
              <w:left w:val="nil"/>
              <w:bottom w:val="nil"/>
              <w:right w:val="nil"/>
            </w:tcBorders>
            <w:shd w:val="clear" w:color="auto" w:fill="auto"/>
            <w:noWrap/>
            <w:vAlign w:val="center"/>
            <w:hideMark/>
          </w:tcPr>
          <w:p w14:paraId="2D6DE49B"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bottom w:val="nil"/>
              <w:right w:val="nil"/>
            </w:tcBorders>
            <w:shd w:val="clear" w:color="auto" w:fill="auto"/>
            <w:noWrap/>
            <w:vAlign w:val="center"/>
            <w:hideMark/>
          </w:tcPr>
          <w:p w14:paraId="6BE7E140"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39B95760"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1659D2EC"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0EFD616F"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47</w:t>
            </w:r>
          </w:p>
        </w:tc>
        <w:tc>
          <w:tcPr>
            <w:tcW w:w="1035" w:type="dxa"/>
            <w:tcBorders>
              <w:top w:val="nil"/>
              <w:left w:val="nil"/>
              <w:bottom w:val="nil"/>
              <w:right w:val="nil"/>
            </w:tcBorders>
            <w:shd w:val="clear" w:color="auto" w:fill="auto"/>
            <w:noWrap/>
            <w:vAlign w:val="center"/>
            <w:hideMark/>
          </w:tcPr>
          <w:p w14:paraId="298F8D8F"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14.7</w:t>
            </w:r>
          </w:p>
        </w:tc>
        <w:tc>
          <w:tcPr>
            <w:tcW w:w="241" w:type="dxa"/>
            <w:tcBorders>
              <w:top w:val="nil"/>
              <w:left w:val="nil"/>
              <w:bottom w:val="nil"/>
              <w:right w:val="nil"/>
            </w:tcBorders>
            <w:shd w:val="clear" w:color="auto" w:fill="auto"/>
            <w:noWrap/>
            <w:vAlign w:val="center"/>
            <w:hideMark/>
          </w:tcPr>
          <w:p w14:paraId="03365D34"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57A2347C"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35A91310"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7AC0D63B" w14:textId="77777777" w:rsidR="00AF13BF" w:rsidRPr="004A2775" w:rsidRDefault="00AF13BF" w:rsidP="00AF13BF">
            <w:pPr>
              <w:spacing w:after="0" w:line="240" w:lineRule="auto"/>
              <w:ind w:firstLineChars="200" w:firstLine="440"/>
              <w:rPr>
                <w:rFonts w:eastAsia="Times New Roman" w:cstheme="minorHAnsi"/>
                <w:color w:val="000000"/>
                <w:lang w:eastAsia="en-GB"/>
              </w:rPr>
            </w:pPr>
            <w:r w:rsidRPr="004A2775">
              <w:rPr>
                <w:rFonts w:eastAsia="Times New Roman" w:cstheme="minorHAnsi"/>
                <w:color w:val="000000"/>
                <w:lang w:eastAsia="en-GB"/>
              </w:rPr>
              <w:t>Current</w:t>
            </w:r>
          </w:p>
        </w:tc>
        <w:tc>
          <w:tcPr>
            <w:tcW w:w="986" w:type="dxa"/>
            <w:tcBorders>
              <w:top w:val="nil"/>
              <w:left w:val="nil"/>
              <w:bottom w:val="nil"/>
              <w:right w:val="nil"/>
            </w:tcBorders>
            <w:shd w:val="clear" w:color="auto" w:fill="auto"/>
            <w:noWrap/>
            <w:vAlign w:val="center"/>
            <w:hideMark/>
          </w:tcPr>
          <w:p w14:paraId="52E795A3" w14:textId="77777777" w:rsidR="00AF13BF" w:rsidRPr="004A2775" w:rsidRDefault="00AF13BF" w:rsidP="00AF13BF">
            <w:pPr>
              <w:spacing w:after="0" w:line="240" w:lineRule="auto"/>
              <w:ind w:firstLineChars="200" w:firstLine="440"/>
              <w:jc w:val="center"/>
              <w:rPr>
                <w:rFonts w:eastAsia="Times New Roman" w:cstheme="minorHAnsi"/>
                <w:color w:val="000000"/>
                <w:lang w:eastAsia="en-GB"/>
              </w:rPr>
            </w:pPr>
          </w:p>
        </w:tc>
        <w:tc>
          <w:tcPr>
            <w:tcW w:w="918" w:type="dxa"/>
            <w:tcBorders>
              <w:top w:val="nil"/>
              <w:left w:val="nil"/>
              <w:bottom w:val="nil"/>
              <w:right w:val="nil"/>
            </w:tcBorders>
            <w:shd w:val="clear" w:color="auto" w:fill="auto"/>
            <w:noWrap/>
            <w:vAlign w:val="center"/>
            <w:hideMark/>
          </w:tcPr>
          <w:p w14:paraId="19645FF7"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bottom w:val="nil"/>
              <w:right w:val="nil"/>
            </w:tcBorders>
            <w:shd w:val="clear" w:color="auto" w:fill="auto"/>
            <w:noWrap/>
            <w:vAlign w:val="center"/>
            <w:hideMark/>
          </w:tcPr>
          <w:p w14:paraId="3AC240BA"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4939E9AD"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4DC65DF9"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4E100847"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13</w:t>
            </w:r>
          </w:p>
        </w:tc>
        <w:tc>
          <w:tcPr>
            <w:tcW w:w="1035" w:type="dxa"/>
            <w:tcBorders>
              <w:top w:val="nil"/>
              <w:left w:val="nil"/>
              <w:bottom w:val="nil"/>
              <w:right w:val="nil"/>
            </w:tcBorders>
            <w:shd w:val="clear" w:color="auto" w:fill="auto"/>
            <w:noWrap/>
            <w:vAlign w:val="center"/>
            <w:hideMark/>
          </w:tcPr>
          <w:p w14:paraId="581A5812"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4.1</w:t>
            </w:r>
          </w:p>
        </w:tc>
        <w:tc>
          <w:tcPr>
            <w:tcW w:w="241" w:type="dxa"/>
            <w:tcBorders>
              <w:top w:val="nil"/>
              <w:left w:val="nil"/>
              <w:bottom w:val="nil"/>
              <w:right w:val="nil"/>
            </w:tcBorders>
            <w:shd w:val="clear" w:color="auto" w:fill="auto"/>
            <w:noWrap/>
            <w:vAlign w:val="center"/>
            <w:hideMark/>
          </w:tcPr>
          <w:p w14:paraId="05B180EF"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05AC14DD"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6EE03C00"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324D302B" w14:textId="77777777" w:rsidR="00AF13BF" w:rsidRPr="004A2775" w:rsidRDefault="00AF13BF" w:rsidP="00AF13BF">
            <w:pPr>
              <w:spacing w:after="0" w:line="240" w:lineRule="auto"/>
              <w:rPr>
                <w:rFonts w:eastAsia="Times New Roman" w:cstheme="minorHAnsi"/>
                <w:sz w:val="20"/>
                <w:szCs w:val="20"/>
                <w:lang w:eastAsia="en-GB"/>
              </w:rPr>
            </w:pPr>
          </w:p>
        </w:tc>
        <w:tc>
          <w:tcPr>
            <w:tcW w:w="986" w:type="dxa"/>
            <w:tcBorders>
              <w:top w:val="nil"/>
              <w:left w:val="nil"/>
              <w:bottom w:val="nil"/>
              <w:right w:val="nil"/>
            </w:tcBorders>
            <w:shd w:val="clear" w:color="auto" w:fill="auto"/>
            <w:noWrap/>
            <w:vAlign w:val="center"/>
            <w:hideMark/>
          </w:tcPr>
          <w:p w14:paraId="563DB5EA"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18" w:type="dxa"/>
            <w:tcBorders>
              <w:top w:val="nil"/>
              <w:left w:val="nil"/>
              <w:bottom w:val="nil"/>
              <w:right w:val="nil"/>
            </w:tcBorders>
            <w:shd w:val="clear" w:color="auto" w:fill="auto"/>
            <w:noWrap/>
            <w:vAlign w:val="center"/>
            <w:hideMark/>
          </w:tcPr>
          <w:p w14:paraId="1878B91D"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bottom w:val="nil"/>
              <w:right w:val="nil"/>
            </w:tcBorders>
            <w:shd w:val="clear" w:color="auto" w:fill="auto"/>
            <w:noWrap/>
            <w:vAlign w:val="center"/>
            <w:hideMark/>
          </w:tcPr>
          <w:p w14:paraId="6A623E9C"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5608E5E6"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2E6892BB"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7CD1D22B"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035" w:type="dxa"/>
            <w:tcBorders>
              <w:top w:val="nil"/>
              <w:left w:val="nil"/>
              <w:bottom w:val="nil"/>
              <w:right w:val="nil"/>
            </w:tcBorders>
            <w:shd w:val="clear" w:color="auto" w:fill="auto"/>
            <w:noWrap/>
            <w:vAlign w:val="center"/>
            <w:hideMark/>
          </w:tcPr>
          <w:p w14:paraId="1878AB58"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41" w:type="dxa"/>
            <w:tcBorders>
              <w:top w:val="nil"/>
              <w:left w:val="nil"/>
              <w:bottom w:val="nil"/>
              <w:right w:val="nil"/>
            </w:tcBorders>
            <w:shd w:val="clear" w:color="auto" w:fill="auto"/>
            <w:noWrap/>
            <w:vAlign w:val="center"/>
            <w:hideMark/>
          </w:tcPr>
          <w:p w14:paraId="6851FBD9"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2C37AC78"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40808CA8"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2B6AC5FC" w14:textId="77777777" w:rsidR="00AF13BF" w:rsidRPr="004A2775" w:rsidRDefault="00AF13BF" w:rsidP="00AF13BF">
            <w:pPr>
              <w:spacing w:after="0" w:line="240" w:lineRule="auto"/>
              <w:rPr>
                <w:rFonts w:eastAsia="Times New Roman" w:cstheme="minorHAnsi"/>
                <w:color w:val="000000"/>
                <w:lang w:eastAsia="en-GB"/>
              </w:rPr>
            </w:pPr>
            <w:r w:rsidRPr="004A2775">
              <w:rPr>
                <w:rFonts w:eastAsia="Times New Roman" w:cstheme="minorHAnsi"/>
                <w:color w:val="000000"/>
                <w:lang w:eastAsia="en-GB"/>
              </w:rPr>
              <w:t>Years since menopause</w:t>
            </w:r>
          </w:p>
        </w:tc>
        <w:tc>
          <w:tcPr>
            <w:tcW w:w="986" w:type="dxa"/>
            <w:tcBorders>
              <w:top w:val="nil"/>
              <w:left w:val="nil"/>
              <w:bottom w:val="nil"/>
              <w:right w:val="nil"/>
            </w:tcBorders>
            <w:shd w:val="clear" w:color="auto" w:fill="auto"/>
            <w:noWrap/>
            <w:vAlign w:val="center"/>
            <w:hideMark/>
          </w:tcPr>
          <w:p w14:paraId="3A3A234C" w14:textId="77777777" w:rsidR="00AF13BF" w:rsidRPr="004A2775" w:rsidRDefault="00AF13BF" w:rsidP="00AF13BF">
            <w:pPr>
              <w:spacing w:after="0" w:line="240" w:lineRule="auto"/>
              <w:jc w:val="center"/>
              <w:rPr>
                <w:rFonts w:eastAsia="Times New Roman" w:cstheme="minorHAnsi"/>
                <w:color w:val="000000"/>
                <w:lang w:eastAsia="en-GB"/>
              </w:rPr>
            </w:pPr>
          </w:p>
        </w:tc>
        <w:tc>
          <w:tcPr>
            <w:tcW w:w="918" w:type="dxa"/>
            <w:tcBorders>
              <w:top w:val="nil"/>
              <w:left w:val="nil"/>
              <w:bottom w:val="nil"/>
              <w:right w:val="nil"/>
            </w:tcBorders>
            <w:shd w:val="clear" w:color="auto" w:fill="auto"/>
            <w:noWrap/>
            <w:vAlign w:val="center"/>
            <w:hideMark/>
          </w:tcPr>
          <w:p w14:paraId="6368F0C6"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bottom w:val="nil"/>
              <w:right w:val="nil"/>
            </w:tcBorders>
            <w:shd w:val="clear" w:color="auto" w:fill="auto"/>
            <w:noWrap/>
            <w:vAlign w:val="center"/>
            <w:hideMark/>
          </w:tcPr>
          <w:p w14:paraId="4BE9D7C9"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65081D86"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03617FEA"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316</w:t>
            </w:r>
          </w:p>
        </w:tc>
        <w:tc>
          <w:tcPr>
            <w:tcW w:w="992" w:type="dxa"/>
            <w:tcBorders>
              <w:top w:val="nil"/>
              <w:left w:val="nil"/>
              <w:bottom w:val="nil"/>
              <w:right w:val="nil"/>
            </w:tcBorders>
            <w:shd w:val="clear" w:color="auto" w:fill="auto"/>
            <w:noWrap/>
            <w:vAlign w:val="center"/>
            <w:hideMark/>
          </w:tcPr>
          <w:p w14:paraId="4E74EC81" w14:textId="77777777" w:rsidR="00AF13BF" w:rsidRPr="004A2775" w:rsidRDefault="00AF13BF" w:rsidP="00AF13BF">
            <w:pPr>
              <w:spacing w:after="0" w:line="240" w:lineRule="auto"/>
              <w:jc w:val="center"/>
              <w:rPr>
                <w:rFonts w:eastAsia="Times New Roman" w:cstheme="minorHAnsi"/>
                <w:color w:val="000000"/>
                <w:lang w:eastAsia="en-GB"/>
              </w:rPr>
            </w:pPr>
          </w:p>
        </w:tc>
        <w:tc>
          <w:tcPr>
            <w:tcW w:w="1035" w:type="dxa"/>
            <w:tcBorders>
              <w:top w:val="nil"/>
              <w:left w:val="nil"/>
              <w:bottom w:val="nil"/>
              <w:right w:val="nil"/>
            </w:tcBorders>
            <w:shd w:val="clear" w:color="auto" w:fill="auto"/>
            <w:noWrap/>
            <w:vAlign w:val="center"/>
            <w:hideMark/>
          </w:tcPr>
          <w:p w14:paraId="76A1E90D"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41" w:type="dxa"/>
            <w:tcBorders>
              <w:top w:val="nil"/>
              <w:left w:val="nil"/>
              <w:bottom w:val="nil"/>
              <w:right w:val="nil"/>
            </w:tcBorders>
            <w:shd w:val="clear" w:color="auto" w:fill="auto"/>
            <w:noWrap/>
            <w:vAlign w:val="center"/>
            <w:hideMark/>
          </w:tcPr>
          <w:p w14:paraId="3C768FE8"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2B7B9E9C" w14:textId="77777777" w:rsidR="00AF13BF" w:rsidRPr="004A2775" w:rsidRDefault="00AF13BF" w:rsidP="00AF13BF">
            <w:pPr>
              <w:spacing w:after="0" w:line="240" w:lineRule="auto"/>
              <w:jc w:val="center"/>
              <w:rPr>
                <w:rFonts w:eastAsia="Times New Roman" w:cstheme="minorHAnsi"/>
                <w:lang w:eastAsia="en-GB"/>
              </w:rPr>
            </w:pPr>
            <w:r w:rsidRPr="004A2775">
              <w:rPr>
                <w:rFonts w:eastAsia="Times New Roman" w:cstheme="minorHAnsi"/>
                <w:lang w:eastAsia="en-GB"/>
              </w:rPr>
              <w:t>N/A</w:t>
            </w:r>
          </w:p>
        </w:tc>
      </w:tr>
      <w:tr w:rsidR="00AF13BF" w:rsidRPr="004A2775" w14:paraId="7FB10213"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1EA0D589" w14:textId="77777777" w:rsidR="00AF13BF" w:rsidRPr="004A2775" w:rsidRDefault="00AF13BF" w:rsidP="00AF13BF">
            <w:pPr>
              <w:spacing w:after="0" w:line="240" w:lineRule="auto"/>
              <w:ind w:firstLineChars="200" w:firstLine="440"/>
              <w:rPr>
                <w:rFonts w:eastAsia="Times New Roman" w:cstheme="minorHAnsi"/>
                <w:color w:val="000000"/>
                <w:lang w:eastAsia="en-GB"/>
              </w:rPr>
            </w:pPr>
            <w:r w:rsidRPr="004A2775">
              <w:rPr>
                <w:rFonts w:eastAsia="Times New Roman" w:cstheme="minorHAnsi"/>
                <w:color w:val="000000"/>
                <w:lang w:eastAsia="en-GB"/>
              </w:rPr>
              <w:t>&lt;10 years</w:t>
            </w:r>
          </w:p>
        </w:tc>
        <w:tc>
          <w:tcPr>
            <w:tcW w:w="986" w:type="dxa"/>
            <w:tcBorders>
              <w:top w:val="nil"/>
              <w:left w:val="nil"/>
              <w:bottom w:val="nil"/>
              <w:right w:val="nil"/>
            </w:tcBorders>
            <w:shd w:val="clear" w:color="auto" w:fill="auto"/>
            <w:noWrap/>
            <w:vAlign w:val="center"/>
            <w:hideMark/>
          </w:tcPr>
          <w:p w14:paraId="1B2CADB5" w14:textId="77777777" w:rsidR="00AF13BF" w:rsidRPr="004A2775" w:rsidRDefault="00AF13BF" w:rsidP="00AF13BF">
            <w:pPr>
              <w:spacing w:after="0" w:line="240" w:lineRule="auto"/>
              <w:ind w:firstLineChars="200" w:firstLine="440"/>
              <w:jc w:val="center"/>
              <w:rPr>
                <w:rFonts w:eastAsia="Times New Roman" w:cstheme="minorHAnsi"/>
                <w:color w:val="000000"/>
                <w:lang w:eastAsia="en-GB"/>
              </w:rPr>
            </w:pPr>
          </w:p>
        </w:tc>
        <w:tc>
          <w:tcPr>
            <w:tcW w:w="918" w:type="dxa"/>
            <w:tcBorders>
              <w:top w:val="nil"/>
              <w:left w:val="nil"/>
              <w:bottom w:val="nil"/>
              <w:right w:val="nil"/>
            </w:tcBorders>
            <w:shd w:val="clear" w:color="auto" w:fill="auto"/>
            <w:noWrap/>
            <w:vAlign w:val="center"/>
            <w:hideMark/>
          </w:tcPr>
          <w:p w14:paraId="1C10B06E"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bottom w:val="nil"/>
              <w:right w:val="nil"/>
            </w:tcBorders>
            <w:shd w:val="clear" w:color="auto" w:fill="auto"/>
            <w:noWrap/>
            <w:vAlign w:val="center"/>
            <w:hideMark/>
          </w:tcPr>
          <w:p w14:paraId="474D1DDD"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747F8013"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5A613C1B"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5F4BC487"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11</w:t>
            </w:r>
          </w:p>
        </w:tc>
        <w:tc>
          <w:tcPr>
            <w:tcW w:w="1035" w:type="dxa"/>
            <w:tcBorders>
              <w:top w:val="nil"/>
              <w:left w:val="nil"/>
              <w:bottom w:val="nil"/>
              <w:right w:val="nil"/>
            </w:tcBorders>
            <w:shd w:val="clear" w:color="auto" w:fill="auto"/>
            <w:noWrap/>
            <w:vAlign w:val="center"/>
            <w:hideMark/>
          </w:tcPr>
          <w:p w14:paraId="78BF5E62"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3.5</w:t>
            </w:r>
          </w:p>
        </w:tc>
        <w:tc>
          <w:tcPr>
            <w:tcW w:w="241" w:type="dxa"/>
            <w:tcBorders>
              <w:top w:val="nil"/>
              <w:left w:val="nil"/>
              <w:bottom w:val="nil"/>
              <w:right w:val="nil"/>
            </w:tcBorders>
            <w:shd w:val="clear" w:color="auto" w:fill="auto"/>
            <w:noWrap/>
            <w:vAlign w:val="center"/>
            <w:hideMark/>
          </w:tcPr>
          <w:p w14:paraId="6094D2A8"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48625704"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5C2B0AF3"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44A99A00" w14:textId="77777777" w:rsidR="00AF13BF" w:rsidRPr="004A2775" w:rsidRDefault="00AF13BF" w:rsidP="00AF13BF">
            <w:pPr>
              <w:spacing w:after="0" w:line="240" w:lineRule="auto"/>
              <w:ind w:firstLineChars="200" w:firstLine="440"/>
              <w:rPr>
                <w:rFonts w:eastAsia="Times New Roman" w:cstheme="minorHAnsi"/>
                <w:color w:val="000000"/>
                <w:lang w:eastAsia="en-GB"/>
              </w:rPr>
            </w:pPr>
            <w:r w:rsidRPr="004A2775">
              <w:rPr>
                <w:rFonts w:eastAsia="Times New Roman" w:cstheme="minorHAnsi"/>
                <w:color w:val="000000"/>
                <w:lang w:eastAsia="en-GB"/>
              </w:rPr>
              <w:t>≥10 and &lt;15 years</w:t>
            </w:r>
          </w:p>
        </w:tc>
        <w:tc>
          <w:tcPr>
            <w:tcW w:w="986" w:type="dxa"/>
            <w:tcBorders>
              <w:top w:val="nil"/>
              <w:left w:val="nil"/>
              <w:bottom w:val="nil"/>
              <w:right w:val="nil"/>
            </w:tcBorders>
            <w:shd w:val="clear" w:color="auto" w:fill="auto"/>
            <w:noWrap/>
            <w:vAlign w:val="center"/>
            <w:hideMark/>
          </w:tcPr>
          <w:p w14:paraId="3985B8A8" w14:textId="77777777" w:rsidR="00AF13BF" w:rsidRPr="004A2775" w:rsidRDefault="00AF13BF" w:rsidP="00AF13BF">
            <w:pPr>
              <w:spacing w:after="0" w:line="240" w:lineRule="auto"/>
              <w:ind w:firstLineChars="200" w:firstLine="440"/>
              <w:jc w:val="center"/>
              <w:rPr>
                <w:rFonts w:eastAsia="Times New Roman" w:cstheme="minorHAnsi"/>
                <w:color w:val="000000"/>
                <w:lang w:eastAsia="en-GB"/>
              </w:rPr>
            </w:pPr>
          </w:p>
        </w:tc>
        <w:tc>
          <w:tcPr>
            <w:tcW w:w="918" w:type="dxa"/>
            <w:tcBorders>
              <w:top w:val="nil"/>
              <w:left w:val="nil"/>
              <w:bottom w:val="nil"/>
              <w:right w:val="nil"/>
            </w:tcBorders>
            <w:shd w:val="clear" w:color="auto" w:fill="auto"/>
            <w:noWrap/>
            <w:vAlign w:val="center"/>
            <w:hideMark/>
          </w:tcPr>
          <w:p w14:paraId="5A09E9E2"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bottom w:val="nil"/>
              <w:right w:val="nil"/>
            </w:tcBorders>
            <w:shd w:val="clear" w:color="auto" w:fill="auto"/>
            <w:noWrap/>
            <w:vAlign w:val="center"/>
            <w:hideMark/>
          </w:tcPr>
          <w:p w14:paraId="495E6FAC"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46EEFAE4"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591BDBC3"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1CCAA700"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49</w:t>
            </w:r>
          </w:p>
        </w:tc>
        <w:tc>
          <w:tcPr>
            <w:tcW w:w="1035" w:type="dxa"/>
            <w:tcBorders>
              <w:top w:val="nil"/>
              <w:left w:val="nil"/>
              <w:bottom w:val="nil"/>
              <w:right w:val="nil"/>
            </w:tcBorders>
            <w:shd w:val="clear" w:color="auto" w:fill="auto"/>
            <w:noWrap/>
            <w:vAlign w:val="center"/>
            <w:hideMark/>
          </w:tcPr>
          <w:p w14:paraId="257578B4"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15.5</w:t>
            </w:r>
          </w:p>
        </w:tc>
        <w:tc>
          <w:tcPr>
            <w:tcW w:w="241" w:type="dxa"/>
            <w:tcBorders>
              <w:top w:val="nil"/>
              <w:left w:val="nil"/>
              <w:bottom w:val="nil"/>
              <w:right w:val="nil"/>
            </w:tcBorders>
            <w:shd w:val="clear" w:color="auto" w:fill="auto"/>
            <w:noWrap/>
            <w:vAlign w:val="center"/>
            <w:hideMark/>
          </w:tcPr>
          <w:p w14:paraId="26A452BB"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09069266"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7466DAB9"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7A4FF972" w14:textId="77777777" w:rsidR="00AF13BF" w:rsidRPr="004A2775" w:rsidRDefault="00AF13BF" w:rsidP="00AF13BF">
            <w:pPr>
              <w:spacing w:after="0" w:line="240" w:lineRule="auto"/>
              <w:ind w:firstLineChars="200" w:firstLine="440"/>
              <w:rPr>
                <w:rFonts w:eastAsia="Times New Roman" w:cstheme="minorHAnsi"/>
                <w:color w:val="000000"/>
                <w:lang w:eastAsia="en-GB"/>
              </w:rPr>
            </w:pPr>
            <w:r w:rsidRPr="004A2775">
              <w:rPr>
                <w:rFonts w:eastAsia="Times New Roman" w:cstheme="minorHAnsi"/>
                <w:color w:val="000000"/>
                <w:lang w:eastAsia="en-GB"/>
              </w:rPr>
              <w:t>≥15 and &lt;20 years</w:t>
            </w:r>
          </w:p>
        </w:tc>
        <w:tc>
          <w:tcPr>
            <w:tcW w:w="986" w:type="dxa"/>
            <w:tcBorders>
              <w:top w:val="nil"/>
              <w:left w:val="nil"/>
              <w:bottom w:val="nil"/>
              <w:right w:val="nil"/>
            </w:tcBorders>
            <w:shd w:val="clear" w:color="auto" w:fill="auto"/>
            <w:noWrap/>
            <w:vAlign w:val="center"/>
            <w:hideMark/>
          </w:tcPr>
          <w:p w14:paraId="69217D34" w14:textId="77777777" w:rsidR="00AF13BF" w:rsidRPr="004A2775" w:rsidRDefault="00AF13BF" w:rsidP="00AF13BF">
            <w:pPr>
              <w:spacing w:after="0" w:line="240" w:lineRule="auto"/>
              <w:ind w:firstLineChars="200" w:firstLine="440"/>
              <w:jc w:val="center"/>
              <w:rPr>
                <w:rFonts w:eastAsia="Times New Roman" w:cstheme="minorHAnsi"/>
                <w:color w:val="000000"/>
                <w:lang w:eastAsia="en-GB"/>
              </w:rPr>
            </w:pPr>
          </w:p>
        </w:tc>
        <w:tc>
          <w:tcPr>
            <w:tcW w:w="918" w:type="dxa"/>
            <w:tcBorders>
              <w:top w:val="nil"/>
              <w:left w:val="nil"/>
              <w:bottom w:val="nil"/>
              <w:right w:val="nil"/>
            </w:tcBorders>
            <w:shd w:val="clear" w:color="auto" w:fill="auto"/>
            <w:noWrap/>
            <w:vAlign w:val="center"/>
            <w:hideMark/>
          </w:tcPr>
          <w:p w14:paraId="44CD1838"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bottom w:val="nil"/>
              <w:right w:val="nil"/>
            </w:tcBorders>
            <w:shd w:val="clear" w:color="auto" w:fill="auto"/>
            <w:noWrap/>
            <w:vAlign w:val="center"/>
            <w:hideMark/>
          </w:tcPr>
          <w:p w14:paraId="0B26FE81"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71FE4C63"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43C574A4"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09188907"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75</w:t>
            </w:r>
          </w:p>
        </w:tc>
        <w:tc>
          <w:tcPr>
            <w:tcW w:w="1035" w:type="dxa"/>
            <w:tcBorders>
              <w:top w:val="nil"/>
              <w:left w:val="nil"/>
              <w:bottom w:val="nil"/>
              <w:right w:val="nil"/>
            </w:tcBorders>
            <w:shd w:val="clear" w:color="auto" w:fill="auto"/>
            <w:noWrap/>
            <w:vAlign w:val="center"/>
            <w:hideMark/>
          </w:tcPr>
          <w:p w14:paraId="0D4D9608"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23.7</w:t>
            </w:r>
          </w:p>
        </w:tc>
        <w:tc>
          <w:tcPr>
            <w:tcW w:w="241" w:type="dxa"/>
            <w:tcBorders>
              <w:top w:val="nil"/>
              <w:left w:val="nil"/>
              <w:bottom w:val="nil"/>
              <w:right w:val="nil"/>
            </w:tcBorders>
            <w:shd w:val="clear" w:color="auto" w:fill="auto"/>
            <w:noWrap/>
            <w:vAlign w:val="center"/>
            <w:hideMark/>
          </w:tcPr>
          <w:p w14:paraId="74816521"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231193FB"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1AF63E7B"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28E1E38B" w14:textId="77777777" w:rsidR="00AF13BF" w:rsidRPr="004A2775" w:rsidRDefault="00AF13BF" w:rsidP="00AF13BF">
            <w:pPr>
              <w:spacing w:after="0" w:line="240" w:lineRule="auto"/>
              <w:ind w:firstLineChars="200" w:firstLine="440"/>
              <w:rPr>
                <w:rFonts w:eastAsia="Times New Roman" w:cstheme="minorHAnsi"/>
                <w:color w:val="000000"/>
                <w:lang w:eastAsia="en-GB"/>
              </w:rPr>
            </w:pPr>
            <w:r w:rsidRPr="004A2775">
              <w:rPr>
                <w:rFonts w:eastAsia="Times New Roman" w:cstheme="minorHAnsi"/>
                <w:color w:val="000000"/>
                <w:lang w:eastAsia="en-GB"/>
              </w:rPr>
              <w:t>≥20 and &lt;25 years</w:t>
            </w:r>
          </w:p>
        </w:tc>
        <w:tc>
          <w:tcPr>
            <w:tcW w:w="986" w:type="dxa"/>
            <w:tcBorders>
              <w:top w:val="nil"/>
              <w:left w:val="nil"/>
              <w:bottom w:val="nil"/>
              <w:right w:val="nil"/>
            </w:tcBorders>
            <w:shd w:val="clear" w:color="auto" w:fill="auto"/>
            <w:noWrap/>
            <w:vAlign w:val="center"/>
            <w:hideMark/>
          </w:tcPr>
          <w:p w14:paraId="7CE31A8B" w14:textId="77777777" w:rsidR="00AF13BF" w:rsidRPr="004A2775" w:rsidRDefault="00AF13BF" w:rsidP="00AF13BF">
            <w:pPr>
              <w:spacing w:after="0" w:line="240" w:lineRule="auto"/>
              <w:ind w:firstLineChars="200" w:firstLine="440"/>
              <w:jc w:val="center"/>
              <w:rPr>
                <w:rFonts w:eastAsia="Times New Roman" w:cstheme="minorHAnsi"/>
                <w:color w:val="000000"/>
                <w:lang w:eastAsia="en-GB"/>
              </w:rPr>
            </w:pPr>
          </w:p>
        </w:tc>
        <w:tc>
          <w:tcPr>
            <w:tcW w:w="918" w:type="dxa"/>
            <w:tcBorders>
              <w:top w:val="nil"/>
              <w:left w:val="nil"/>
              <w:bottom w:val="nil"/>
              <w:right w:val="nil"/>
            </w:tcBorders>
            <w:shd w:val="clear" w:color="auto" w:fill="auto"/>
            <w:noWrap/>
            <w:vAlign w:val="center"/>
            <w:hideMark/>
          </w:tcPr>
          <w:p w14:paraId="2F7E388A"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bottom w:val="nil"/>
              <w:right w:val="nil"/>
            </w:tcBorders>
            <w:shd w:val="clear" w:color="auto" w:fill="auto"/>
            <w:noWrap/>
            <w:vAlign w:val="center"/>
            <w:hideMark/>
          </w:tcPr>
          <w:p w14:paraId="184BCB4B"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2EC2C8D3"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019F128F"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4E97AB80"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60</w:t>
            </w:r>
          </w:p>
        </w:tc>
        <w:tc>
          <w:tcPr>
            <w:tcW w:w="1035" w:type="dxa"/>
            <w:tcBorders>
              <w:top w:val="nil"/>
              <w:left w:val="nil"/>
              <w:bottom w:val="nil"/>
              <w:right w:val="nil"/>
            </w:tcBorders>
            <w:shd w:val="clear" w:color="auto" w:fill="auto"/>
            <w:noWrap/>
            <w:vAlign w:val="center"/>
            <w:hideMark/>
          </w:tcPr>
          <w:p w14:paraId="2B9B2625"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19</w:t>
            </w:r>
          </w:p>
        </w:tc>
        <w:tc>
          <w:tcPr>
            <w:tcW w:w="241" w:type="dxa"/>
            <w:tcBorders>
              <w:top w:val="nil"/>
              <w:left w:val="nil"/>
              <w:bottom w:val="nil"/>
              <w:right w:val="nil"/>
            </w:tcBorders>
            <w:shd w:val="clear" w:color="auto" w:fill="auto"/>
            <w:noWrap/>
            <w:vAlign w:val="center"/>
            <w:hideMark/>
          </w:tcPr>
          <w:p w14:paraId="7A1313CF"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48EBD925"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69F11786"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73C7A695" w14:textId="77777777" w:rsidR="00AF13BF" w:rsidRPr="004A2775" w:rsidRDefault="00AF13BF" w:rsidP="00AF13BF">
            <w:pPr>
              <w:spacing w:after="0" w:line="240" w:lineRule="auto"/>
              <w:ind w:firstLineChars="200" w:firstLine="440"/>
              <w:rPr>
                <w:rFonts w:eastAsia="Times New Roman" w:cstheme="minorHAnsi"/>
                <w:color w:val="000000"/>
                <w:lang w:eastAsia="en-GB"/>
              </w:rPr>
            </w:pPr>
            <w:r w:rsidRPr="004A2775">
              <w:rPr>
                <w:rFonts w:eastAsia="Times New Roman" w:cstheme="minorHAnsi"/>
                <w:color w:val="000000"/>
                <w:lang w:eastAsia="en-GB"/>
              </w:rPr>
              <w:t>≥25 and &lt;30 years</w:t>
            </w:r>
          </w:p>
        </w:tc>
        <w:tc>
          <w:tcPr>
            <w:tcW w:w="986" w:type="dxa"/>
            <w:tcBorders>
              <w:top w:val="nil"/>
              <w:left w:val="nil"/>
              <w:bottom w:val="nil"/>
              <w:right w:val="nil"/>
            </w:tcBorders>
            <w:shd w:val="clear" w:color="auto" w:fill="auto"/>
            <w:noWrap/>
            <w:vAlign w:val="center"/>
            <w:hideMark/>
          </w:tcPr>
          <w:p w14:paraId="4D4EA148" w14:textId="77777777" w:rsidR="00AF13BF" w:rsidRPr="004A2775" w:rsidRDefault="00AF13BF" w:rsidP="00AF13BF">
            <w:pPr>
              <w:spacing w:after="0" w:line="240" w:lineRule="auto"/>
              <w:ind w:firstLineChars="200" w:firstLine="440"/>
              <w:jc w:val="center"/>
              <w:rPr>
                <w:rFonts w:eastAsia="Times New Roman" w:cstheme="minorHAnsi"/>
                <w:color w:val="000000"/>
                <w:lang w:eastAsia="en-GB"/>
              </w:rPr>
            </w:pPr>
          </w:p>
        </w:tc>
        <w:tc>
          <w:tcPr>
            <w:tcW w:w="918" w:type="dxa"/>
            <w:tcBorders>
              <w:top w:val="nil"/>
              <w:left w:val="nil"/>
              <w:bottom w:val="nil"/>
              <w:right w:val="nil"/>
            </w:tcBorders>
            <w:shd w:val="clear" w:color="auto" w:fill="auto"/>
            <w:noWrap/>
            <w:vAlign w:val="center"/>
            <w:hideMark/>
          </w:tcPr>
          <w:p w14:paraId="5C8E2A6F"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bottom w:val="nil"/>
              <w:right w:val="nil"/>
            </w:tcBorders>
            <w:shd w:val="clear" w:color="auto" w:fill="auto"/>
            <w:noWrap/>
            <w:vAlign w:val="center"/>
            <w:hideMark/>
          </w:tcPr>
          <w:p w14:paraId="54FED803"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4FB1D650"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74779220"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2A2DD860"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33</w:t>
            </w:r>
          </w:p>
        </w:tc>
        <w:tc>
          <w:tcPr>
            <w:tcW w:w="1035" w:type="dxa"/>
            <w:tcBorders>
              <w:top w:val="nil"/>
              <w:left w:val="nil"/>
              <w:bottom w:val="nil"/>
              <w:right w:val="nil"/>
            </w:tcBorders>
            <w:shd w:val="clear" w:color="auto" w:fill="auto"/>
            <w:noWrap/>
            <w:vAlign w:val="center"/>
            <w:hideMark/>
          </w:tcPr>
          <w:p w14:paraId="3BD2B35E"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10.4</w:t>
            </w:r>
          </w:p>
        </w:tc>
        <w:tc>
          <w:tcPr>
            <w:tcW w:w="241" w:type="dxa"/>
            <w:tcBorders>
              <w:top w:val="nil"/>
              <w:left w:val="nil"/>
              <w:bottom w:val="nil"/>
              <w:right w:val="nil"/>
            </w:tcBorders>
            <w:shd w:val="clear" w:color="auto" w:fill="auto"/>
            <w:noWrap/>
            <w:vAlign w:val="center"/>
            <w:hideMark/>
          </w:tcPr>
          <w:p w14:paraId="1D37E47C"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04451988"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6DEB7448"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61205475" w14:textId="77777777" w:rsidR="00AF13BF" w:rsidRPr="004A2775" w:rsidRDefault="00AF13BF" w:rsidP="00AF13BF">
            <w:pPr>
              <w:spacing w:after="0" w:line="240" w:lineRule="auto"/>
              <w:ind w:firstLineChars="200" w:firstLine="440"/>
              <w:rPr>
                <w:rFonts w:eastAsia="Times New Roman" w:cstheme="minorHAnsi"/>
                <w:color w:val="000000"/>
                <w:lang w:eastAsia="en-GB"/>
              </w:rPr>
            </w:pPr>
            <w:r w:rsidRPr="004A2775">
              <w:rPr>
                <w:rFonts w:eastAsia="Times New Roman" w:cstheme="minorHAnsi"/>
                <w:color w:val="000000"/>
                <w:lang w:eastAsia="en-GB"/>
              </w:rPr>
              <w:t>≥30 years</w:t>
            </w:r>
          </w:p>
        </w:tc>
        <w:tc>
          <w:tcPr>
            <w:tcW w:w="986" w:type="dxa"/>
            <w:tcBorders>
              <w:top w:val="nil"/>
              <w:left w:val="nil"/>
              <w:bottom w:val="nil"/>
              <w:right w:val="nil"/>
            </w:tcBorders>
            <w:shd w:val="clear" w:color="auto" w:fill="auto"/>
            <w:noWrap/>
            <w:vAlign w:val="center"/>
            <w:hideMark/>
          </w:tcPr>
          <w:p w14:paraId="3054F21C" w14:textId="77777777" w:rsidR="00AF13BF" w:rsidRPr="004A2775" w:rsidRDefault="00AF13BF" w:rsidP="00AF13BF">
            <w:pPr>
              <w:spacing w:after="0" w:line="240" w:lineRule="auto"/>
              <w:ind w:firstLineChars="200" w:firstLine="440"/>
              <w:jc w:val="center"/>
              <w:rPr>
                <w:rFonts w:eastAsia="Times New Roman" w:cstheme="minorHAnsi"/>
                <w:color w:val="000000"/>
                <w:lang w:eastAsia="en-GB"/>
              </w:rPr>
            </w:pPr>
          </w:p>
        </w:tc>
        <w:tc>
          <w:tcPr>
            <w:tcW w:w="918" w:type="dxa"/>
            <w:tcBorders>
              <w:top w:val="nil"/>
              <w:left w:val="nil"/>
              <w:bottom w:val="nil"/>
              <w:right w:val="nil"/>
            </w:tcBorders>
            <w:shd w:val="clear" w:color="auto" w:fill="auto"/>
            <w:noWrap/>
            <w:vAlign w:val="center"/>
            <w:hideMark/>
          </w:tcPr>
          <w:p w14:paraId="45D8DB56"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bottom w:val="nil"/>
              <w:right w:val="nil"/>
            </w:tcBorders>
            <w:shd w:val="clear" w:color="auto" w:fill="auto"/>
            <w:noWrap/>
            <w:vAlign w:val="center"/>
            <w:hideMark/>
          </w:tcPr>
          <w:p w14:paraId="2B6350CE"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1C1FAB28"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05F5D97A"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43A4DCC9"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9</w:t>
            </w:r>
          </w:p>
        </w:tc>
        <w:tc>
          <w:tcPr>
            <w:tcW w:w="1035" w:type="dxa"/>
            <w:tcBorders>
              <w:top w:val="nil"/>
              <w:left w:val="nil"/>
              <w:bottom w:val="nil"/>
              <w:right w:val="nil"/>
            </w:tcBorders>
            <w:shd w:val="clear" w:color="auto" w:fill="auto"/>
            <w:noWrap/>
            <w:vAlign w:val="center"/>
            <w:hideMark/>
          </w:tcPr>
          <w:p w14:paraId="26B6DF17"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2.8</w:t>
            </w:r>
          </w:p>
        </w:tc>
        <w:tc>
          <w:tcPr>
            <w:tcW w:w="241" w:type="dxa"/>
            <w:tcBorders>
              <w:top w:val="nil"/>
              <w:left w:val="nil"/>
              <w:bottom w:val="nil"/>
              <w:right w:val="nil"/>
            </w:tcBorders>
            <w:shd w:val="clear" w:color="auto" w:fill="auto"/>
            <w:noWrap/>
            <w:vAlign w:val="center"/>
            <w:hideMark/>
          </w:tcPr>
          <w:p w14:paraId="5099478D"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235AD007"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3C2EFFA8"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7CD8E2E4" w14:textId="77777777" w:rsidR="00AF13BF" w:rsidRPr="004A2775" w:rsidRDefault="00AF13BF" w:rsidP="00AF13BF">
            <w:pPr>
              <w:spacing w:after="0" w:line="240" w:lineRule="auto"/>
              <w:ind w:firstLineChars="200" w:firstLine="440"/>
              <w:rPr>
                <w:rFonts w:eastAsia="Times New Roman" w:cstheme="minorHAnsi"/>
                <w:color w:val="000000"/>
                <w:lang w:eastAsia="en-GB"/>
              </w:rPr>
            </w:pPr>
            <w:r w:rsidRPr="004A2775">
              <w:rPr>
                <w:rFonts w:eastAsia="Times New Roman" w:cstheme="minorHAnsi"/>
                <w:color w:val="000000"/>
                <w:lang w:eastAsia="en-GB"/>
              </w:rPr>
              <w:t>Hysterectomy</w:t>
            </w:r>
          </w:p>
        </w:tc>
        <w:tc>
          <w:tcPr>
            <w:tcW w:w="986" w:type="dxa"/>
            <w:tcBorders>
              <w:top w:val="nil"/>
              <w:left w:val="nil"/>
              <w:bottom w:val="nil"/>
              <w:right w:val="nil"/>
            </w:tcBorders>
            <w:shd w:val="clear" w:color="auto" w:fill="auto"/>
            <w:noWrap/>
            <w:vAlign w:val="center"/>
            <w:hideMark/>
          </w:tcPr>
          <w:p w14:paraId="27854508" w14:textId="77777777" w:rsidR="00AF13BF" w:rsidRPr="004A2775" w:rsidRDefault="00AF13BF" w:rsidP="00AF13BF">
            <w:pPr>
              <w:spacing w:after="0" w:line="240" w:lineRule="auto"/>
              <w:ind w:firstLineChars="200" w:firstLine="440"/>
              <w:jc w:val="center"/>
              <w:rPr>
                <w:rFonts w:eastAsia="Times New Roman" w:cstheme="minorHAnsi"/>
                <w:color w:val="000000"/>
                <w:lang w:eastAsia="en-GB"/>
              </w:rPr>
            </w:pPr>
          </w:p>
        </w:tc>
        <w:tc>
          <w:tcPr>
            <w:tcW w:w="918" w:type="dxa"/>
            <w:tcBorders>
              <w:top w:val="nil"/>
              <w:left w:val="nil"/>
              <w:bottom w:val="nil"/>
              <w:right w:val="nil"/>
            </w:tcBorders>
            <w:shd w:val="clear" w:color="auto" w:fill="auto"/>
            <w:noWrap/>
            <w:vAlign w:val="center"/>
            <w:hideMark/>
          </w:tcPr>
          <w:p w14:paraId="3EB615A7"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bottom w:val="nil"/>
              <w:right w:val="nil"/>
            </w:tcBorders>
            <w:shd w:val="clear" w:color="auto" w:fill="auto"/>
            <w:noWrap/>
            <w:vAlign w:val="center"/>
            <w:hideMark/>
          </w:tcPr>
          <w:p w14:paraId="6A698806"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6D943EA5"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6B34326E"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4C7F94C8"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79</w:t>
            </w:r>
          </w:p>
        </w:tc>
        <w:tc>
          <w:tcPr>
            <w:tcW w:w="1035" w:type="dxa"/>
            <w:tcBorders>
              <w:top w:val="nil"/>
              <w:left w:val="nil"/>
              <w:bottom w:val="nil"/>
              <w:right w:val="nil"/>
            </w:tcBorders>
            <w:shd w:val="clear" w:color="auto" w:fill="auto"/>
            <w:noWrap/>
            <w:vAlign w:val="center"/>
            <w:hideMark/>
          </w:tcPr>
          <w:p w14:paraId="557B8902"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25</w:t>
            </w:r>
          </w:p>
        </w:tc>
        <w:tc>
          <w:tcPr>
            <w:tcW w:w="241" w:type="dxa"/>
            <w:tcBorders>
              <w:top w:val="nil"/>
              <w:left w:val="nil"/>
              <w:bottom w:val="nil"/>
              <w:right w:val="nil"/>
            </w:tcBorders>
            <w:shd w:val="clear" w:color="auto" w:fill="auto"/>
            <w:noWrap/>
            <w:vAlign w:val="center"/>
            <w:hideMark/>
          </w:tcPr>
          <w:p w14:paraId="7F43EF15"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6C380544"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4B247393"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7212B6E8" w14:textId="77777777" w:rsidR="00AF13BF" w:rsidRPr="004A2775" w:rsidRDefault="00AF13BF" w:rsidP="00AF13BF">
            <w:pPr>
              <w:spacing w:after="0" w:line="240" w:lineRule="auto"/>
              <w:rPr>
                <w:rFonts w:eastAsia="Times New Roman" w:cstheme="minorHAnsi"/>
                <w:sz w:val="20"/>
                <w:szCs w:val="20"/>
                <w:lang w:eastAsia="en-GB"/>
              </w:rPr>
            </w:pPr>
          </w:p>
        </w:tc>
        <w:tc>
          <w:tcPr>
            <w:tcW w:w="986" w:type="dxa"/>
            <w:tcBorders>
              <w:top w:val="nil"/>
              <w:left w:val="nil"/>
              <w:bottom w:val="nil"/>
              <w:right w:val="nil"/>
            </w:tcBorders>
            <w:shd w:val="clear" w:color="auto" w:fill="auto"/>
            <w:noWrap/>
            <w:vAlign w:val="center"/>
            <w:hideMark/>
          </w:tcPr>
          <w:p w14:paraId="52FFCB2E"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18" w:type="dxa"/>
            <w:tcBorders>
              <w:top w:val="nil"/>
              <w:left w:val="nil"/>
              <w:bottom w:val="nil"/>
              <w:right w:val="nil"/>
            </w:tcBorders>
            <w:shd w:val="clear" w:color="auto" w:fill="auto"/>
            <w:noWrap/>
            <w:vAlign w:val="center"/>
            <w:hideMark/>
          </w:tcPr>
          <w:p w14:paraId="3A2288F1"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bottom w:val="nil"/>
              <w:right w:val="nil"/>
            </w:tcBorders>
            <w:shd w:val="clear" w:color="auto" w:fill="auto"/>
            <w:noWrap/>
            <w:vAlign w:val="center"/>
            <w:hideMark/>
          </w:tcPr>
          <w:p w14:paraId="59EC483C"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589C18F6"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7776762C"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16A069E7"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035" w:type="dxa"/>
            <w:tcBorders>
              <w:top w:val="nil"/>
              <w:left w:val="nil"/>
              <w:bottom w:val="nil"/>
              <w:right w:val="nil"/>
            </w:tcBorders>
            <w:shd w:val="clear" w:color="auto" w:fill="auto"/>
            <w:noWrap/>
            <w:vAlign w:val="center"/>
            <w:hideMark/>
          </w:tcPr>
          <w:p w14:paraId="230B7665"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41" w:type="dxa"/>
            <w:tcBorders>
              <w:top w:val="nil"/>
              <w:left w:val="nil"/>
              <w:bottom w:val="nil"/>
              <w:right w:val="nil"/>
            </w:tcBorders>
            <w:shd w:val="clear" w:color="auto" w:fill="auto"/>
            <w:noWrap/>
            <w:vAlign w:val="center"/>
            <w:hideMark/>
          </w:tcPr>
          <w:p w14:paraId="09C9D25E"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1E98132D"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21C41951"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50729A27" w14:textId="628E84A1" w:rsidR="00AF13BF" w:rsidRPr="004A2775" w:rsidRDefault="00AF13BF" w:rsidP="00AF13BF">
            <w:pPr>
              <w:spacing w:after="0" w:line="240" w:lineRule="auto"/>
              <w:rPr>
                <w:rFonts w:eastAsia="Times New Roman" w:cstheme="minorHAnsi"/>
                <w:color w:val="000000"/>
                <w:lang w:eastAsia="en-GB"/>
              </w:rPr>
            </w:pPr>
            <w:r w:rsidRPr="004A2775">
              <w:rPr>
                <w:rFonts w:eastAsia="Times New Roman" w:cstheme="minorHAnsi"/>
                <w:color w:val="000000"/>
                <w:lang w:eastAsia="en-GB"/>
              </w:rPr>
              <w:t>Fallen since age 45 years</w:t>
            </w:r>
          </w:p>
        </w:tc>
        <w:tc>
          <w:tcPr>
            <w:tcW w:w="986" w:type="dxa"/>
            <w:tcBorders>
              <w:top w:val="nil"/>
              <w:left w:val="nil"/>
              <w:bottom w:val="nil"/>
              <w:right w:val="nil"/>
            </w:tcBorders>
            <w:shd w:val="clear" w:color="auto" w:fill="auto"/>
            <w:noWrap/>
            <w:vAlign w:val="center"/>
            <w:hideMark/>
          </w:tcPr>
          <w:p w14:paraId="5790BC82"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321</w:t>
            </w:r>
          </w:p>
        </w:tc>
        <w:tc>
          <w:tcPr>
            <w:tcW w:w="918" w:type="dxa"/>
            <w:tcBorders>
              <w:top w:val="nil"/>
              <w:left w:val="nil"/>
              <w:bottom w:val="nil"/>
              <w:right w:val="nil"/>
            </w:tcBorders>
            <w:shd w:val="clear" w:color="auto" w:fill="auto"/>
            <w:noWrap/>
            <w:vAlign w:val="center"/>
            <w:hideMark/>
          </w:tcPr>
          <w:p w14:paraId="669CA81B"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129</w:t>
            </w:r>
          </w:p>
        </w:tc>
        <w:tc>
          <w:tcPr>
            <w:tcW w:w="1135" w:type="dxa"/>
            <w:tcBorders>
              <w:top w:val="nil"/>
              <w:left w:val="nil"/>
              <w:bottom w:val="nil"/>
              <w:right w:val="nil"/>
            </w:tcBorders>
            <w:shd w:val="clear" w:color="auto" w:fill="auto"/>
            <w:noWrap/>
            <w:vAlign w:val="center"/>
            <w:hideMark/>
          </w:tcPr>
          <w:p w14:paraId="22EA0EB1"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40.2</w:t>
            </w:r>
          </w:p>
        </w:tc>
        <w:tc>
          <w:tcPr>
            <w:tcW w:w="239" w:type="dxa"/>
            <w:tcBorders>
              <w:top w:val="nil"/>
              <w:left w:val="nil"/>
              <w:bottom w:val="nil"/>
              <w:right w:val="nil"/>
            </w:tcBorders>
            <w:shd w:val="clear" w:color="auto" w:fill="auto"/>
            <w:noWrap/>
            <w:vAlign w:val="center"/>
            <w:hideMark/>
          </w:tcPr>
          <w:p w14:paraId="084271F3" w14:textId="77777777" w:rsidR="00AF13BF" w:rsidRPr="004A2775" w:rsidRDefault="00AF13BF" w:rsidP="00AF13BF">
            <w:pPr>
              <w:spacing w:after="0" w:line="240" w:lineRule="auto"/>
              <w:jc w:val="center"/>
              <w:rPr>
                <w:rFonts w:eastAsia="Times New Roman" w:cstheme="minorHAnsi"/>
                <w:color w:val="000000"/>
                <w:lang w:eastAsia="en-GB"/>
              </w:rPr>
            </w:pPr>
          </w:p>
        </w:tc>
        <w:tc>
          <w:tcPr>
            <w:tcW w:w="977" w:type="dxa"/>
            <w:tcBorders>
              <w:top w:val="nil"/>
              <w:left w:val="nil"/>
              <w:bottom w:val="nil"/>
              <w:right w:val="nil"/>
            </w:tcBorders>
            <w:shd w:val="clear" w:color="auto" w:fill="auto"/>
            <w:noWrap/>
            <w:vAlign w:val="center"/>
            <w:hideMark/>
          </w:tcPr>
          <w:p w14:paraId="781A1BFD"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318</w:t>
            </w:r>
          </w:p>
        </w:tc>
        <w:tc>
          <w:tcPr>
            <w:tcW w:w="992" w:type="dxa"/>
            <w:tcBorders>
              <w:top w:val="nil"/>
              <w:left w:val="nil"/>
              <w:bottom w:val="nil"/>
              <w:right w:val="nil"/>
            </w:tcBorders>
            <w:shd w:val="clear" w:color="auto" w:fill="auto"/>
            <w:noWrap/>
            <w:vAlign w:val="center"/>
            <w:hideMark/>
          </w:tcPr>
          <w:p w14:paraId="1CB0B944"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195</w:t>
            </w:r>
          </w:p>
        </w:tc>
        <w:tc>
          <w:tcPr>
            <w:tcW w:w="1035" w:type="dxa"/>
            <w:tcBorders>
              <w:top w:val="nil"/>
              <w:left w:val="nil"/>
              <w:bottom w:val="nil"/>
              <w:right w:val="nil"/>
            </w:tcBorders>
            <w:shd w:val="clear" w:color="auto" w:fill="auto"/>
            <w:noWrap/>
            <w:vAlign w:val="center"/>
            <w:hideMark/>
          </w:tcPr>
          <w:p w14:paraId="42C01F06"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61.3</w:t>
            </w:r>
          </w:p>
        </w:tc>
        <w:tc>
          <w:tcPr>
            <w:tcW w:w="241" w:type="dxa"/>
            <w:tcBorders>
              <w:top w:val="nil"/>
              <w:left w:val="nil"/>
              <w:bottom w:val="nil"/>
              <w:right w:val="nil"/>
            </w:tcBorders>
            <w:shd w:val="clear" w:color="auto" w:fill="auto"/>
            <w:noWrap/>
            <w:vAlign w:val="center"/>
            <w:hideMark/>
          </w:tcPr>
          <w:p w14:paraId="5F73014B"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5A058B76" w14:textId="77777777" w:rsidR="00AF13BF" w:rsidRPr="004A2775" w:rsidRDefault="00AF13BF" w:rsidP="00AF13BF">
            <w:pPr>
              <w:spacing w:after="0" w:line="240" w:lineRule="auto"/>
              <w:jc w:val="center"/>
              <w:rPr>
                <w:rFonts w:eastAsia="Times New Roman" w:cstheme="minorHAnsi"/>
                <w:lang w:eastAsia="en-GB"/>
              </w:rPr>
            </w:pPr>
            <w:r w:rsidRPr="004A2775">
              <w:rPr>
                <w:rFonts w:eastAsia="Times New Roman" w:cstheme="minorHAnsi"/>
                <w:lang w:eastAsia="en-GB"/>
              </w:rPr>
              <w:t>&lt;0.001</w:t>
            </w:r>
          </w:p>
        </w:tc>
      </w:tr>
      <w:tr w:rsidR="00AF13BF" w:rsidRPr="004A2775" w14:paraId="3F6051C1"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7B0BFE08" w14:textId="77777777" w:rsidR="00AF13BF" w:rsidRPr="004A2775" w:rsidRDefault="00AF13BF" w:rsidP="00AF13BF">
            <w:pPr>
              <w:spacing w:after="0" w:line="240" w:lineRule="auto"/>
              <w:rPr>
                <w:rFonts w:eastAsia="Times New Roman" w:cstheme="minorHAnsi"/>
                <w:color w:val="000000"/>
                <w:lang w:eastAsia="en-GB"/>
              </w:rPr>
            </w:pPr>
            <w:r w:rsidRPr="004A2775">
              <w:rPr>
                <w:rFonts w:eastAsia="Times New Roman" w:cstheme="minorHAnsi"/>
                <w:color w:val="000000"/>
                <w:lang w:eastAsia="en-GB"/>
              </w:rPr>
              <w:t>Fallen in last year</w:t>
            </w:r>
          </w:p>
        </w:tc>
        <w:tc>
          <w:tcPr>
            <w:tcW w:w="986" w:type="dxa"/>
            <w:tcBorders>
              <w:top w:val="nil"/>
              <w:left w:val="nil"/>
              <w:bottom w:val="nil"/>
              <w:right w:val="nil"/>
            </w:tcBorders>
            <w:shd w:val="clear" w:color="auto" w:fill="auto"/>
            <w:noWrap/>
            <w:vAlign w:val="center"/>
            <w:hideMark/>
          </w:tcPr>
          <w:p w14:paraId="161D6F4C"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319</w:t>
            </w:r>
          </w:p>
        </w:tc>
        <w:tc>
          <w:tcPr>
            <w:tcW w:w="918" w:type="dxa"/>
            <w:tcBorders>
              <w:top w:val="nil"/>
              <w:left w:val="nil"/>
              <w:bottom w:val="nil"/>
              <w:right w:val="nil"/>
            </w:tcBorders>
            <w:shd w:val="clear" w:color="auto" w:fill="auto"/>
            <w:noWrap/>
            <w:vAlign w:val="center"/>
            <w:hideMark/>
          </w:tcPr>
          <w:p w14:paraId="024369CA"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45</w:t>
            </w:r>
          </w:p>
        </w:tc>
        <w:tc>
          <w:tcPr>
            <w:tcW w:w="1135" w:type="dxa"/>
            <w:tcBorders>
              <w:top w:val="nil"/>
              <w:left w:val="nil"/>
              <w:bottom w:val="nil"/>
              <w:right w:val="nil"/>
            </w:tcBorders>
            <w:shd w:val="clear" w:color="auto" w:fill="auto"/>
            <w:noWrap/>
            <w:vAlign w:val="center"/>
            <w:hideMark/>
          </w:tcPr>
          <w:p w14:paraId="6F3E202E"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14.1</w:t>
            </w:r>
          </w:p>
        </w:tc>
        <w:tc>
          <w:tcPr>
            <w:tcW w:w="239" w:type="dxa"/>
            <w:tcBorders>
              <w:top w:val="nil"/>
              <w:left w:val="nil"/>
              <w:bottom w:val="nil"/>
              <w:right w:val="nil"/>
            </w:tcBorders>
            <w:shd w:val="clear" w:color="auto" w:fill="auto"/>
            <w:noWrap/>
            <w:vAlign w:val="center"/>
            <w:hideMark/>
          </w:tcPr>
          <w:p w14:paraId="3D656E96" w14:textId="77777777" w:rsidR="00AF13BF" w:rsidRPr="004A2775" w:rsidRDefault="00AF13BF" w:rsidP="00AF13BF">
            <w:pPr>
              <w:spacing w:after="0" w:line="240" w:lineRule="auto"/>
              <w:jc w:val="center"/>
              <w:rPr>
                <w:rFonts w:eastAsia="Times New Roman" w:cstheme="minorHAnsi"/>
                <w:color w:val="000000"/>
                <w:lang w:eastAsia="en-GB"/>
              </w:rPr>
            </w:pPr>
          </w:p>
        </w:tc>
        <w:tc>
          <w:tcPr>
            <w:tcW w:w="977" w:type="dxa"/>
            <w:tcBorders>
              <w:top w:val="nil"/>
              <w:left w:val="nil"/>
              <w:bottom w:val="nil"/>
              <w:right w:val="nil"/>
            </w:tcBorders>
            <w:shd w:val="clear" w:color="auto" w:fill="auto"/>
            <w:noWrap/>
            <w:vAlign w:val="center"/>
            <w:hideMark/>
          </w:tcPr>
          <w:p w14:paraId="77505438"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317</w:t>
            </w:r>
          </w:p>
        </w:tc>
        <w:tc>
          <w:tcPr>
            <w:tcW w:w="992" w:type="dxa"/>
            <w:tcBorders>
              <w:top w:val="nil"/>
              <w:left w:val="nil"/>
              <w:bottom w:val="nil"/>
              <w:right w:val="nil"/>
            </w:tcBorders>
            <w:shd w:val="clear" w:color="auto" w:fill="auto"/>
            <w:noWrap/>
            <w:vAlign w:val="center"/>
            <w:hideMark/>
          </w:tcPr>
          <w:p w14:paraId="5FBBDF7A"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63</w:t>
            </w:r>
          </w:p>
        </w:tc>
        <w:tc>
          <w:tcPr>
            <w:tcW w:w="1035" w:type="dxa"/>
            <w:tcBorders>
              <w:top w:val="nil"/>
              <w:left w:val="nil"/>
              <w:bottom w:val="nil"/>
              <w:right w:val="nil"/>
            </w:tcBorders>
            <w:shd w:val="clear" w:color="auto" w:fill="auto"/>
            <w:noWrap/>
            <w:vAlign w:val="center"/>
            <w:hideMark/>
          </w:tcPr>
          <w:p w14:paraId="45794454"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19.9</w:t>
            </w:r>
          </w:p>
        </w:tc>
        <w:tc>
          <w:tcPr>
            <w:tcW w:w="241" w:type="dxa"/>
            <w:tcBorders>
              <w:top w:val="nil"/>
              <w:left w:val="nil"/>
              <w:bottom w:val="nil"/>
              <w:right w:val="nil"/>
            </w:tcBorders>
            <w:shd w:val="clear" w:color="auto" w:fill="auto"/>
            <w:noWrap/>
            <w:vAlign w:val="center"/>
            <w:hideMark/>
          </w:tcPr>
          <w:p w14:paraId="583F31C4"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0B651196" w14:textId="77777777" w:rsidR="00AF13BF" w:rsidRPr="004A2775" w:rsidRDefault="00AF13BF" w:rsidP="00AF13BF">
            <w:pPr>
              <w:spacing w:after="0" w:line="240" w:lineRule="auto"/>
              <w:jc w:val="center"/>
              <w:rPr>
                <w:rFonts w:eastAsia="Times New Roman" w:cstheme="minorHAnsi"/>
                <w:lang w:eastAsia="en-GB"/>
              </w:rPr>
            </w:pPr>
            <w:r w:rsidRPr="004A2775">
              <w:rPr>
                <w:rFonts w:eastAsia="Times New Roman" w:cstheme="minorHAnsi"/>
                <w:lang w:eastAsia="en-GB"/>
              </w:rPr>
              <w:t>0.053</w:t>
            </w:r>
          </w:p>
        </w:tc>
      </w:tr>
      <w:tr w:rsidR="00AF13BF" w:rsidRPr="004A2775" w14:paraId="2583F195"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6D2D1DAC" w14:textId="77777777" w:rsidR="00AF13BF" w:rsidRPr="004A2775" w:rsidRDefault="00AF13BF" w:rsidP="00AF13BF">
            <w:pPr>
              <w:spacing w:after="0" w:line="240" w:lineRule="auto"/>
              <w:rPr>
                <w:rFonts w:eastAsia="Times New Roman" w:cstheme="minorHAnsi"/>
                <w:color w:val="000000"/>
                <w:lang w:eastAsia="en-GB"/>
              </w:rPr>
            </w:pPr>
          </w:p>
        </w:tc>
        <w:tc>
          <w:tcPr>
            <w:tcW w:w="986" w:type="dxa"/>
            <w:tcBorders>
              <w:top w:val="nil"/>
              <w:left w:val="nil"/>
              <w:bottom w:val="nil"/>
              <w:right w:val="nil"/>
            </w:tcBorders>
            <w:shd w:val="clear" w:color="auto" w:fill="auto"/>
            <w:noWrap/>
            <w:vAlign w:val="center"/>
            <w:hideMark/>
          </w:tcPr>
          <w:p w14:paraId="76D8310A"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18" w:type="dxa"/>
            <w:tcBorders>
              <w:top w:val="nil"/>
              <w:left w:val="nil"/>
              <w:bottom w:val="nil"/>
              <w:right w:val="nil"/>
            </w:tcBorders>
            <w:shd w:val="clear" w:color="auto" w:fill="auto"/>
            <w:noWrap/>
            <w:vAlign w:val="center"/>
            <w:hideMark/>
          </w:tcPr>
          <w:p w14:paraId="5EDE39A7"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bottom w:val="nil"/>
              <w:right w:val="nil"/>
            </w:tcBorders>
            <w:shd w:val="clear" w:color="auto" w:fill="auto"/>
            <w:noWrap/>
            <w:vAlign w:val="center"/>
            <w:hideMark/>
          </w:tcPr>
          <w:p w14:paraId="0E56A09A"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2C5BDAC2"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5AE421C3"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7CF01525"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035" w:type="dxa"/>
            <w:tcBorders>
              <w:top w:val="nil"/>
              <w:left w:val="nil"/>
              <w:bottom w:val="nil"/>
              <w:right w:val="nil"/>
            </w:tcBorders>
            <w:shd w:val="clear" w:color="auto" w:fill="auto"/>
            <w:noWrap/>
            <w:vAlign w:val="center"/>
            <w:hideMark/>
          </w:tcPr>
          <w:p w14:paraId="21682E72"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41" w:type="dxa"/>
            <w:tcBorders>
              <w:top w:val="nil"/>
              <w:left w:val="nil"/>
              <w:bottom w:val="nil"/>
              <w:right w:val="nil"/>
            </w:tcBorders>
            <w:shd w:val="clear" w:color="auto" w:fill="auto"/>
            <w:noWrap/>
            <w:vAlign w:val="center"/>
            <w:hideMark/>
          </w:tcPr>
          <w:p w14:paraId="34CA8496"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584D38AC"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06B4A175"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51D7A576" w14:textId="77777777" w:rsidR="00AF13BF" w:rsidRPr="004A2775" w:rsidRDefault="00AF13BF" w:rsidP="00AF13BF">
            <w:pPr>
              <w:spacing w:after="0" w:line="240" w:lineRule="auto"/>
              <w:rPr>
                <w:rFonts w:eastAsia="Times New Roman" w:cstheme="minorHAnsi"/>
                <w:color w:val="000000"/>
                <w:lang w:eastAsia="en-GB"/>
              </w:rPr>
            </w:pPr>
            <w:r w:rsidRPr="004A2775">
              <w:rPr>
                <w:rFonts w:eastAsia="Times New Roman" w:cstheme="minorHAnsi"/>
                <w:color w:val="000000"/>
                <w:lang w:eastAsia="en-GB"/>
              </w:rPr>
              <w:t>Number of falls in last year</w:t>
            </w:r>
          </w:p>
        </w:tc>
        <w:tc>
          <w:tcPr>
            <w:tcW w:w="986" w:type="dxa"/>
            <w:tcBorders>
              <w:top w:val="nil"/>
              <w:left w:val="nil"/>
              <w:bottom w:val="nil"/>
              <w:right w:val="nil"/>
            </w:tcBorders>
            <w:shd w:val="clear" w:color="auto" w:fill="auto"/>
            <w:noWrap/>
            <w:vAlign w:val="center"/>
            <w:hideMark/>
          </w:tcPr>
          <w:p w14:paraId="58F392E2"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318</w:t>
            </w:r>
          </w:p>
        </w:tc>
        <w:tc>
          <w:tcPr>
            <w:tcW w:w="918" w:type="dxa"/>
            <w:tcBorders>
              <w:top w:val="nil"/>
              <w:left w:val="nil"/>
              <w:bottom w:val="nil"/>
              <w:right w:val="nil"/>
            </w:tcBorders>
            <w:shd w:val="clear" w:color="auto" w:fill="auto"/>
            <w:noWrap/>
            <w:vAlign w:val="center"/>
            <w:hideMark/>
          </w:tcPr>
          <w:p w14:paraId="1356BAFA" w14:textId="77777777" w:rsidR="00AF13BF" w:rsidRPr="004A2775" w:rsidRDefault="00AF13BF" w:rsidP="00AF13BF">
            <w:pPr>
              <w:spacing w:after="0" w:line="240" w:lineRule="auto"/>
              <w:jc w:val="center"/>
              <w:rPr>
                <w:rFonts w:eastAsia="Times New Roman" w:cstheme="minorHAnsi"/>
                <w:color w:val="000000"/>
                <w:lang w:eastAsia="en-GB"/>
              </w:rPr>
            </w:pPr>
          </w:p>
        </w:tc>
        <w:tc>
          <w:tcPr>
            <w:tcW w:w="1135" w:type="dxa"/>
            <w:tcBorders>
              <w:top w:val="nil"/>
              <w:left w:val="nil"/>
              <w:bottom w:val="nil"/>
              <w:right w:val="nil"/>
            </w:tcBorders>
            <w:shd w:val="clear" w:color="auto" w:fill="auto"/>
            <w:noWrap/>
            <w:vAlign w:val="center"/>
            <w:hideMark/>
          </w:tcPr>
          <w:p w14:paraId="014FB841"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bottom w:val="nil"/>
              <w:right w:val="nil"/>
            </w:tcBorders>
            <w:shd w:val="clear" w:color="auto" w:fill="auto"/>
            <w:noWrap/>
            <w:vAlign w:val="center"/>
            <w:hideMark/>
          </w:tcPr>
          <w:p w14:paraId="6A5C4843"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bottom w:val="nil"/>
              <w:right w:val="nil"/>
            </w:tcBorders>
            <w:shd w:val="clear" w:color="auto" w:fill="auto"/>
            <w:noWrap/>
            <w:vAlign w:val="center"/>
            <w:hideMark/>
          </w:tcPr>
          <w:p w14:paraId="714D2A73"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317</w:t>
            </w:r>
          </w:p>
        </w:tc>
        <w:tc>
          <w:tcPr>
            <w:tcW w:w="992" w:type="dxa"/>
            <w:tcBorders>
              <w:top w:val="nil"/>
              <w:left w:val="nil"/>
              <w:bottom w:val="nil"/>
              <w:right w:val="nil"/>
            </w:tcBorders>
            <w:shd w:val="clear" w:color="auto" w:fill="auto"/>
            <w:noWrap/>
            <w:vAlign w:val="center"/>
            <w:hideMark/>
          </w:tcPr>
          <w:p w14:paraId="3862699A" w14:textId="77777777" w:rsidR="00AF13BF" w:rsidRPr="004A2775" w:rsidRDefault="00AF13BF" w:rsidP="00AF13BF">
            <w:pPr>
              <w:spacing w:after="0" w:line="240" w:lineRule="auto"/>
              <w:jc w:val="center"/>
              <w:rPr>
                <w:rFonts w:eastAsia="Times New Roman" w:cstheme="minorHAnsi"/>
                <w:color w:val="000000"/>
                <w:lang w:eastAsia="en-GB"/>
              </w:rPr>
            </w:pPr>
          </w:p>
        </w:tc>
        <w:tc>
          <w:tcPr>
            <w:tcW w:w="1035" w:type="dxa"/>
            <w:tcBorders>
              <w:top w:val="nil"/>
              <w:left w:val="nil"/>
              <w:bottom w:val="nil"/>
              <w:right w:val="nil"/>
            </w:tcBorders>
            <w:shd w:val="clear" w:color="auto" w:fill="auto"/>
            <w:noWrap/>
            <w:vAlign w:val="center"/>
            <w:hideMark/>
          </w:tcPr>
          <w:p w14:paraId="3279FB1C"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41" w:type="dxa"/>
            <w:tcBorders>
              <w:top w:val="nil"/>
              <w:left w:val="nil"/>
              <w:bottom w:val="nil"/>
              <w:right w:val="nil"/>
            </w:tcBorders>
            <w:shd w:val="clear" w:color="auto" w:fill="auto"/>
            <w:noWrap/>
            <w:vAlign w:val="center"/>
            <w:hideMark/>
          </w:tcPr>
          <w:p w14:paraId="0CA32390"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6997FC3D" w14:textId="77777777" w:rsidR="00AF13BF" w:rsidRPr="004A2775" w:rsidRDefault="00AF13BF" w:rsidP="00AF13BF">
            <w:pPr>
              <w:spacing w:after="0" w:line="240" w:lineRule="auto"/>
              <w:jc w:val="center"/>
              <w:rPr>
                <w:rFonts w:eastAsia="Times New Roman" w:cstheme="minorHAnsi"/>
                <w:lang w:eastAsia="en-GB"/>
              </w:rPr>
            </w:pPr>
            <w:r w:rsidRPr="004A2775">
              <w:rPr>
                <w:rFonts w:eastAsia="Times New Roman" w:cstheme="minorHAnsi"/>
                <w:lang w:eastAsia="en-GB"/>
              </w:rPr>
              <w:t>0.112</w:t>
            </w:r>
          </w:p>
        </w:tc>
      </w:tr>
      <w:tr w:rsidR="00AF13BF" w:rsidRPr="004A2775" w14:paraId="21592065"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5AA2AB31" w14:textId="77777777" w:rsidR="00AF13BF" w:rsidRPr="004A2775" w:rsidRDefault="00AF13BF" w:rsidP="00AF13BF">
            <w:pPr>
              <w:spacing w:after="0" w:line="240" w:lineRule="auto"/>
              <w:ind w:firstLineChars="200" w:firstLine="440"/>
              <w:rPr>
                <w:rFonts w:eastAsia="Times New Roman" w:cstheme="minorHAnsi"/>
                <w:color w:val="000000"/>
                <w:lang w:eastAsia="en-GB"/>
              </w:rPr>
            </w:pPr>
            <w:r w:rsidRPr="004A2775">
              <w:rPr>
                <w:rFonts w:eastAsia="Times New Roman" w:cstheme="minorHAnsi"/>
                <w:color w:val="000000"/>
                <w:lang w:eastAsia="en-GB"/>
              </w:rPr>
              <w:t>0</w:t>
            </w:r>
          </w:p>
        </w:tc>
        <w:tc>
          <w:tcPr>
            <w:tcW w:w="986" w:type="dxa"/>
            <w:tcBorders>
              <w:top w:val="nil"/>
              <w:left w:val="nil"/>
              <w:bottom w:val="nil"/>
              <w:right w:val="nil"/>
            </w:tcBorders>
            <w:shd w:val="clear" w:color="auto" w:fill="auto"/>
            <w:noWrap/>
            <w:vAlign w:val="center"/>
            <w:hideMark/>
          </w:tcPr>
          <w:p w14:paraId="2D8E5EA7" w14:textId="77777777" w:rsidR="00AF13BF" w:rsidRPr="004A2775" w:rsidRDefault="00AF13BF" w:rsidP="00AF13BF">
            <w:pPr>
              <w:spacing w:after="0" w:line="240" w:lineRule="auto"/>
              <w:ind w:firstLineChars="200" w:firstLine="440"/>
              <w:jc w:val="center"/>
              <w:rPr>
                <w:rFonts w:eastAsia="Times New Roman" w:cstheme="minorHAnsi"/>
                <w:color w:val="000000"/>
                <w:lang w:eastAsia="en-GB"/>
              </w:rPr>
            </w:pPr>
          </w:p>
        </w:tc>
        <w:tc>
          <w:tcPr>
            <w:tcW w:w="918" w:type="dxa"/>
            <w:tcBorders>
              <w:top w:val="nil"/>
              <w:left w:val="nil"/>
              <w:bottom w:val="nil"/>
              <w:right w:val="nil"/>
            </w:tcBorders>
            <w:shd w:val="clear" w:color="auto" w:fill="auto"/>
            <w:noWrap/>
            <w:vAlign w:val="center"/>
            <w:hideMark/>
          </w:tcPr>
          <w:p w14:paraId="49D1FD11"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274</w:t>
            </w:r>
          </w:p>
        </w:tc>
        <w:tc>
          <w:tcPr>
            <w:tcW w:w="1135" w:type="dxa"/>
            <w:tcBorders>
              <w:top w:val="nil"/>
              <w:left w:val="nil"/>
              <w:bottom w:val="nil"/>
              <w:right w:val="nil"/>
            </w:tcBorders>
            <w:shd w:val="clear" w:color="auto" w:fill="auto"/>
            <w:noWrap/>
            <w:vAlign w:val="center"/>
            <w:hideMark/>
          </w:tcPr>
          <w:p w14:paraId="17E64B32"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86.2</w:t>
            </w:r>
          </w:p>
        </w:tc>
        <w:tc>
          <w:tcPr>
            <w:tcW w:w="239" w:type="dxa"/>
            <w:tcBorders>
              <w:top w:val="nil"/>
              <w:left w:val="nil"/>
              <w:bottom w:val="nil"/>
              <w:right w:val="nil"/>
            </w:tcBorders>
            <w:shd w:val="clear" w:color="auto" w:fill="auto"/>
            <w:noWrap/>
            <w:vAlign w:val="center"/>
            <w:hideMark/>
          </w:tcPr>
          <w:p w14:paraId="78DF84B8" w14:textId="77777777" w:rsidR="00AF13BF" w:rsidRPr="004A2775" w:rsidRDefault="00AF13BF" w:rsidP="00AF13BF">
            <w:pPr>
              <w:spacing w:after="0" w:line="240" w:lineRule="auto"/>
              <w:jc w:val="center"/>
              <w:rPr>
                <w:rFonts w:eastAsia="Times New Roman" w:cstheme="minorHAnsi"/>
                <w:color w:val="000000"/>
                <w:lang w:eastAsia="en-GB"/>
              </w:rPr>
            </w:pPr>
          </w:p>
        </w:tc>
        <w:tc>
          <w:tcPr>
            <w:tcW w:w="977" w:type="dxa"/>
            <w:tcBorders>
              <w:top w:val="nil"/>
              <w:left w:val="nil"/>
              <w:bottom w:val="nil"/>
              <w:right w:val="nil"/>
            </w:tcBorders>
            <w:shd w:val="clear" w:color="auto" w:fill="auto"/>
            <w:noWrap/>
            <w:vAlign w:val="center"/>
            <w:hideMark/>
          </w:tcPr>
          <w:p w14:paraId="31F37298"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637FEC7C"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254</w:t>
            </w:r>
          </w:p>
        </w:tc>
        <w:tc>
          <w:tcPr>
            <w:tcW w:w="1035" w:type="dxa"/>
            <w:tcBorders>
              <w:top w:val="nil"/>
              <w:left w:val="nil"/>
              <w:bottom w:val="nil"/>
              <w:right w:val="nil"/>
            </w:tcBorders>
            <w:shd w:val="clear" w:color="auto" w:fill="auto"/>
            <w:noWrap/>
            <w:vAlign w:val="center"/>
            <w:hideMark/>
          </w:tcPr>
          <w:p w14:paraId="3DA044E3"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80.1</w:t>
            </w:r>
          </w:p>
        </w:tc>
        <w:tc>
          <w:tcPr>
            <w:tcW w:w="241" w:type="dxa"/>
            <w:tcBorders>
              <w:top w:val="nil"/>
              <w:left w:val="nil"/>
              <w:bottom w:val="nil"/>
              <w:right w:val="nil"/>
            </w:tcBorders>
            <w:shd w:val="clear" w:color="auto" w:fill="auto"/>
            <w:noWrap/>
            <w:vAlign w:val="center"/>
            <w:hideMark/>
          </w:tcPr>
          <w:p w14:paraId="487F8B43"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600E582A"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6E2F801F"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733C9410" w14:textId="77777777" w:rsidR="00AF13BF" w:rsidRPr="004A2775" w:rsidRDefault="00AF13BF" w:rsidP="00AF13BF">
            <w:pPr>
              <w:spacing w:after="0" w:line="240" w:lineRule="auto"/>
              <w:ind w:firstLineChars="200" w:firstLine="440"/>
              <w:rPr>
                <w:rFonts w:eastAsia="Times New Roman" w:cstheme="minorHAnsi"/>
                <w:color w:val="000000"/>
                <w:lang w:eastAsia="en-GB"/>
              </w:rPr>
            </w:pPr>
            <w:r w:rsidRPr="004A2775">
              <w:rPr>
                <w:rFonts w:eastAsia="Times New Roman" w:cstheme="minorHAnsi"/>
                <w:color w:val="000000"/>
                <w:lang w:eastAsia="en-GB"/>
              </w:rPr>
              <w:t>1</w:t>
            </w:r>
          </w:p>
        </w:tc>
        <w:tc>
          <w:tcPr>
            <w:tcW w:w="986" w:type="dxa"/>
            <w:tcBorders>
              <w:top w:val="nil"/>
              <w:left w:val="nil"/>
              <w:bottom w:val="nil"/>
              <w:right w:val="nil"/>
            </w:tcBorders>
            <w:shd w:val="clear" w:color="auto" w:fill="auto"/>
            <w:noWrap/>
            <w:vAlign w:val="center"/>
            <w:hideMark/>
          </w:tcPr>
          <w:p w14:paraId="76090DB0" w14:textId="77777777" w:rsidR="00AF13BF" w:rsidRPr="004A2775" w:rsidRDefault="00AF13BF" w:rsidP="00AF13BF">
            <w:pPr>
              <w:spacing w:after="0" w:line="240" w:lineRule="auto"/>
              <w:ind w:firstLineChars="200" w:firstLine="440"/>
              <w:jc w:val="center"/>
              <w:rPr>
                <w:rFonts w:eastAsia="Times New Roman" w:cstheme="minorHAnsi"/>
                <w:color w:val="000000"/>
                <w:lang w:eastAsia="en-GB"/>
              </w:rPr>
            </w:pPr>
          </w:p>
        </w:tc>
        <w:tc>
          <w:tcPr>
            <w:tcW w:w="918" w:type="dxa"/>
            <w:tcBorders>
              <w:top w:val="nil"/>
              <w:left w:val="nil"/>
              <w:bottom w:val="nil"/>
              <w:right w:val="nil"/>
            </w:tcBorders>
            <w:shd w:val="clear" w:color="auto" w:fill="auto"/>
            <w:noWrap/>
            <w:vAlign w:val="center"/>
            <w:hideMark/>
          </w:tcPr>
          <w:p w14:paraId="545F1E16"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36</w:t>
            </w:r>
          </w:p>
        </w:tc>
        <w:tc>
          <w:tcPr>
            <w:tcW w:w="1135" w:type="dxa"/>
            <w:tcBorders>
              <w:top w:val="nil"/>
              <w:left w:val="nil"/>
              <w:bottom w:val="nil"/>
              <w:right w:val="nil"/>
            </w:tcBorders>
            <w:shd w:val="clear" w:color="auto" w:fill="auto"/>
            <w:noWrap/>
            <w:vAlign w:val="center"/>
            <w:hideMark/>
          </w:tcPr>
          <w:p w14:paraId="6012034A"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11.3</w:t>
            </w:r>
          </w:p>
        </w:tc>
        <w:tc>
          <w:tcPr>
            <w:tcW w:w="239" w:type="dxa"/>
            <w:tcBorders>
              <w:top w:val="nil"/>
              <w:left w:val="nil"/>
              <w:bottom w:val="nil"/>
              <w:right w:val="nil"/>
            </w:tcBorders>
            <w:shd w:val="clear" w:color="auto" w:fill="auto"/>
            <w:noWrap/>
            <w:vAlign w:val="center"/>
            <w:hideMark/>
          </w:tcPr>
          <w:p w14:paraId="2E150ACC" w14:textId="77777777" w:rsidR="00AF13BF" w:rsidRPr="004A2775" w:rsidRDefault="00AF13BF" w:rsidP="00AF13BF">
            <w:pPr>
              <w:spacing w:after="0" w:line="240" w:lineRule="auto"/>
              <w:jc w:val="center"/>
              <w:rPr>
                <w:rFonts w:eastAsia="Times New Roman" w:cstheme="minorHAnsi"/>
                <w:color w:val="000000"/>
                <w:lang w:eastAsia="en-GB"/>
              </w:rPr>
            </w:pPr>
          </w:p>
        </w:tc>
        <w:tc>
          <w:tcPr>
            <w:tcW w:w="977" w:type="dxa"/>
            <w:tcBorders>
              <w:top w:val="nil"/>
              <w:left w:val="nil"/>
              <w:bottom w:val="nil"/>
              <w:right w:val="nil"/>
            </w:tcBorders>
            <w:shd w:val="clear" w:color="auto" w:fill="auto"/>
            <w:noWrap/>
            <w:vAlign w:val="center"/>
            <w:hideMark/>
          </w:tcPr>
          <w:p w14:paraId="784BF093"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145927A6"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49</w:t>
            </w:r>
          </w:p>
        </w:tc>
        <w:tc>
          <w:tcPr>
            <w:tcW w:w="1035" w:type="dxa"/>
            <w:tcBorders>
              <w:top w:val="nil"/>
              <w:left w:val="nil"/>
              <w:bottom w:val="nil"/>
              <w:right w:val="nil"/>
            </w:tcBorders>
            <w:shd w:val="clear" w:color="auto" w:fill="auto"/>
            <w:noWrap/>
            <w:vAlign w:val="center"/>
            <w:hideMark/>
          </w:tcPr>
          <w:p w14:paraId="3B52C2AD"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15.5</w:t>
            </w:r>
          </w:p>
        </w:tc>
        <w:tc>
          <w:tcPr>
            <w:tcW w:w="241" w:type="dxa"/>
            <w:tcBorders>
              <w:top w:val="nil"/>
              <w:left w:val="nil"/>
              <w:bottom w:val="nil"/>
              <w:right w:val="nil"/>
            </w:tcBorders>
            <w:shd w:val="clear" w:color="auto" w:fill="auto"/>
            <w:noWrap/>
            <w:vAlign w:val="center"/>
            <w:hideMark/>
          </w:tcPr>
          <w:p w14:paraId="7103499A"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262B8239"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392BEAC6" w14:textId="77777777" w:rsidTr="00572D73">
        <w:trPr>
          <w:trHeight w:val="20"/>
          <w:jc w:val="center"/>
        </w:trPr>
        <w:tc>
          <w:tcPr>
            <w:tcW w:w="2691" w:type="dxa"/>
            <w:tcBorders>
              <w:top w:val="nil"/>
              <w:left w:val="nil"/>
              <w:bottom w:val="nil"/>
              <w:right w:val="nil"/>
            </w:tcBorders>
            <w:shd w:val="clear" w:color="auto" w:fill="auto"/>
            <w:noWrap/>
            <w:vAlign w:val="center"/>
            <w:hideMark/>
          </w:tcPr>
          <w:p w14:paraId="2F53270A" w14:textId="77777777" w:rsidR="00AF13BF" w:rsidRPr="004A2775" w:rsidRDefault="00AF13BF" w:rsidP="00AF13BF">
            <w:pPr>
              <w:spacing w:after="0" w:line="240" w:lineRule="auto"/>
              <w:ind w:firstLineChars="200" w:firstLine="440"/>
              <w:rPr>
                <w:rFonts w:eastAsia="Times New Roman" w:cstheme="minorHAnsi"/>
                <w:color w:val="000000"/>
                <w:lang w:eastAsia="en-GB"/>
              </w:rPr>
            </w:pPr>
            <w:r w:rsidRPr="004A2775">
              <w:rPr>
                <w:rFonts w:eastAsia="Times New Roman" w:cstheme="minorHAnsi"/>
                <w:color w:val="000000"/>
                <w:lang w:eastAsia="en-GB"/>
              </w:rPr>
              <w:t>2 or more</w:t>
            </w:r>
          </w:p>
        </w:tc>
        <w:tc>
          <w:tcPr>
            <w:tcW w:w="986" w:type="dxa"/>
            <w:tcBorders>
              <w:top w:val="nil"/>
              <w:left w:val="nil"/>
              <w:bottom w:val="nil"/>
              <w:right w:val="nil"/>
            </w:tcBorders>
            <w:shd w:val="clear" w:color="auto" w:fill="auto"/>
            <w:noWrap/>
            <w:vAlign w:val="center"/>
            <w:hideMark/>
          </w:tcPr>
          <w:p w14:paraId="240D7530" w14:textId="77777777" w:rsidR="00AF13BF" w:rsidRPr="004A2775" w:rsidRDefault="00AF13BF" w:rsidP="00AF13BF">
            <w:pPr>
              <w:spacing w:after="0" w:line="240" w:lineRule="auto"/>
              <w:ind w:firstLineChars="200" w:firstLine="440"/>
              <w:jc w:val="center"/>
              <w:rPr>
                <w:rFonts w:eastAsia="Times New Roman" w:cstheme="minorHAnsi"/>
                <w:color w:val="000000"/>
                <w:lang w:eastAsia="en-GB"/>
              </w:rPr>
            </w:pPr>
          </w:p>
        </w:tc>
        <w:tc>
          <w:tcPr>
            <w:tcW w:w="918" w:type="dxa"/>
            <w:tcBorders>
              <w:top w:val="nil"/>
              <w:left w:val="nil"/>
              <w:bottom w:val="nil"/>
              <w:right w:val="nil"/>
            </w:tcBorders>
            <w:shd w:val="clear" w:color="auto" w:fill="auto"/>
            <w:noWrap/>
            <w:vAlign w:val="center"/>
            <w:hideMark/>
          </w:tcPr>
          <w:p w14:paraId="33558203"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8</w:t>
            </w:r>
          </w:p>
        </w:tc>
        <w:tc>
          <w:tcPr>
            <w:tcW w:w="1135" w:type="dxa"/>
            <w:tcBorders>
              <w:top w:val="nil"/>
              <w:left w:val="nil"/>
              <w:bottom w:val="nil"/>
              <w:right w:val="nil"/>
            </w:tcBorders>
            <w:shd w:val="clear" w:color="auto" w:fill="auto"/>
            <w:noWrap/>
            <w:vAlign w:val="center"/>
            <w:hideMark/>
          </w:tcPr>
          <w:p w14:paraId="7269832E"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2.5</w:t>
            </w:r>
          </w:p>
        </w:tc>
        <w:tc>
          <w:tcPr>
            <w:tcW w:w="239" w:type="dxa"/>
            <w:tcBorders>
              <w:top w:val="nil"/>
              <w:left w:val="nil"/>
              <w:bottom w:val="nil"/>
              <w:right w:val="nil"/>
            </w:tcBorders>
            <w:shd w:val="clear" w:color="auto" w:fill="auto"/>
            <w:noWrap/>
            <w:vAlign w:val="center"/>
            <w:hideMark/>
          </w:tcPr>
          <w:p w14:paraId="54DA7099" w14:textId="77777777" w:rsidR="00AF13BF" w:rsidRPr="004A2775" w:rsidRDefault="00AF13BF" w:rsidP="00AF13BF">
            <w:pPr>
              <w:spacing w:after="0" w:line="240" w:lineRule="auto"/>
              <w:jc w:val="center"/>
              <w:rPr>
                <w:rFonts w:eastAsia="Times New Roman" w:cstheme="minorHAnsi"/>
                <w:color w:val="000000"/>
                <w:lang w:eastAsia="en-GB"/>
              </w:rPr>
            </w:pPr>
          </w:p>
        </w:tc>
        <w:tc>
          <w:tcPr>
            <w:tcW w:w="977" w:type="dxa"/>
            <w:tcBorders>
              <w:top w:val="nil"/>
              <w:left w:val="nil"/>
              <w:bottom w:val="nil"/>
              <w:right w:val="nil"/>
            </w:tcBorders>
            <w:shd w:val="clear" w:color="auto" w:fill="auto"/>
            <w:noWrap/>
            <w:vAlign w:val="center"/>
            <w:hideMark/>
          </w:tcPr>
          <w:p w14:paraId="5B1E8535"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bottom w:val="nil"/>
              <w:right w:val="nil"/>
            </w:tcBorders>
            <w:shd w:val="clear" w:color="auto" w:fill="auto"/>
            <w:noWrap/>
            <w:vAlign w:val="center"/>
            <w:hideMark/>
          </w:tcPr>
          <w:p w14:paraId="3CE9241C"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14</w:t>
            </w:r>
          </w:p>
        </w:tc>
        <w:tc>
          <w:tcPr>
            <w:tcW w:w="1035" w:type="dxa"/>
            <w:tcBorders>
              <w:top w:val="nil"/>
              <w:left w:val="nil"/>
              <w:bottom w:val="nil"/>
              <w:right w:val="nil"/>
            </w:tcBorders>
            <w:shd w:val="clear" w:color="auto" w:fill="auto"/>
            <w:noWrap/>
            <w:vAlign w:val="center"/>
            <w:hideMark/>
          </w:tcPr>
          <w:p w14:paraId="571B288D"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4.4</w:t>
            </w:r>
          </w:p>
        </w:tc>
        <w:tc>
          <w:tcPr>
            <w:tcW w:w="241" w:type="dxa"/>
            <w:tcBorders>
              <w:top w:val="nil"/>
              <w:left w:val="nil"/>
              <w:bottom w:val="nil"/>
              <w:right w:val="nil"/>
            </w:tcBorders>
            <w:shd w:val="clear" w:color="auto" w:fill="auto"/>
            <w:noWrap/>
            <w:vAlign w:val="center"/>
            <w:hideMark/>
          </w:tcPr>
          <w:p w14:paraId="47EF9605" w14:textId="77777777"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nil"/>
              <w:right w:val="nil"/>
            </w:tcBorders>
            <w:shd w:val="clear" w:color="auto" w:fill="auto"/>
            <w:noWrap/>
            <w:vAlign w:val="center"/>
            <w:hideMark/>
          </w:tcPr>
          <w:p w14:paraId="4D5B0DC4"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20E9B419" w14:textId="77777777" w:rsidTr="00333778">
        <w:trPr>
          <w:trHeight w:val="20"/>
          <w:jc w:val="center"/>
        </w:trPr>
        <w:tc>
          <w:tcPr>
            <w:tcW w:w="2691" w:type="dxa"/>
            <w:tcBorders>
              <w:top w:val="nil"/>
              <w:left w:val="nil"/>
              <w:right w:val="nil"/>
            </w:tcBorders>
            <w:shd w:val="clear" w:color="auto" w:fill="auto"/>
            <w:noWrap/>
            <w:vAlign w:val="center"/>
            <w:hideMark/>
          </w:tcPr>
          <w:p w14:paraId="64DA8E36" w14:textId="77777777" w:rsidR="00AF13BF" w:rsidRPr="004A2775" w:rsidRDefault="00AF13BF" w:rsidP="00AF13BF">
            <w:pPr>
              <w:spacing w:after="0" w:line="240" w:lineRule="auto"/>
              <w:rPr>
                <w:rFonts w:eastAsia="Times New Roman" w:cstheme="minorHAnsi"/>
                <w:sz w:val="20"/>
                <w:szCs w:val="20"/>
                <w:lang w:eastAsia="en-GB"/>
              </w:rPr>
            </w:pPr>
          </w:p>
        </w:tc>
        <w:tc>
          <w:tcPr>
            <w:tcW w:w="986" w:type="dxa"/>
            <w:tcBorders>
              <w:top w:val="nil"/>
              <w:left w:val="nil"/>
              <w:right w:val="nil"/>
            </w:tcBorders>
            <w:shd w:val="clear" w:color="auto" w:fill="auto"/>
            <w:noWrap/>
            <w:vAlign w:val="center"/>
            <w:hideMark/>
          </w:tcPr>
          <w:p w14:paraId="2F8E971E"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18" w:type="dxa"/>
            <w:tcBorders>
              <w:top w:val="nil"/>
              <w:left w:val="nil"/>
              <w:right w:val="nil"/>
            </w:tcBorders>
            <w:shd w:val="clear" w:color="auto" w:fill="auto"/>
            <w:noWrap/>
            <w:vAlign w:val="center"/>
            <w:hideMark/>
          </w:tcPr>
          <w:p w14:paraId="0C482A26"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135" w:type="dxa"/>
            <w:tcBorders>
              <w:top w:val="nil"/>
              <w:left w:val="nil"/>
              <w:right w:val="nil"/>
            </w:tcBorders>
            <w:shd w:val="clear" w:color="auto" w:fill="auto"/>
            <w:noWrap/>
            <w:vAlign w:val="center"/>
            <w:hideMark/>
          </w:tcPr>
          <w:p w14:paraId="4785BBE3"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39" w:type="dxa"/>
            <w:tcBorders>
              <w:top w:val="nil"/>
              <w:left w:val="nil"/>
              <w:right w:val="nil"/>
            </w:tcBorders>
            <w:shd w:val="clear" w:color="auto" w:fill="auto"/>
            <w:noWrap/>
            <w:vAlign w:val="center"/>
            <w:hideMark/>
          </w:tcPr>
          <w:p w14:paraId="7085C343"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77" w:type="dxa"/>
            <w:tcBorders>
              <w:top w:val="nil"/>
              <w:left w:val="nil"/>
              <w:right w:val="nil"/>
            </w:tcBorders>
            <w:shd w:val="clear" w:color="auto" w:fill="auto"/>
            <w:noWrap/>
            <w:vAlign w:val="center"/>
            <w:hideMark/>
          </w:tcPr>
          <w:p w14:paraId="56A0CC56"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right w:val="nil"/>
            </w:tcBorders>
            <w:shd w:val="clear" w:color="auto" w:fill="auto"/>
            <w:noWrap/>
            <w:vAlign w:val="center"/>
            <w:hideMark/>
          </w:tcPr>
          <w:p w14:paraId="71CBE7C4"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1035" w:type="dxa"/>
            <w:tcBorders>
              <w:top w:val="nil"/>
              <w:left w:val="nil"/>
              <w:right w:val="nil"/>
            </w:tcBorders>
            <w:shd w:val="clear" w:color="auto" w:fill="auto"/>
            <w:noWrap/>
            <w:vAlign w:val="center"/>
            <w:hideMark/>
          </w:tcPr>
          <w:p w14:paraId="368732F4"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241" w:type="dxa"/>
            <w:tcBorders>
              <w:top w:val="nil"/>
              <w:left w:val="nil"/>
              <w:right w:val="nil"/>
            </w:tcBorders>
            <w:shd w:val="clear" w:color="auto" w:fill="auto"/>
            <w:noWrap/>
            <w:vAlign w:val="center"/>
            <w:hideMark/>
          </w:tcPr>
          <w:p w14:paraId="7BBA9214" w14:textId="77777777" w:rsidR="00AF13BF" w:rsidRPr="004A2775" w:rsidRDefault="00AF13BF" w:rsidP="00AF13BF">
            <w:pPr>
              <w:spacing w:after="0" w:line="240" w:lineRule="auto"/>
              <w:jc w:val="center"/>
              <w:rPr>
                <w:rFonts w:eastAsia="Times New Roman" w:cstheme="minorHAnsi"/>
                <w:sz w:val="20"/>
                <w:szCs w:val="20"/>
                <w:lang w:eastAsia="en-GB"/>
              </w:rPr>
            </w:pPr>
          </w:p>
        </w:tc>
        <w:tc>
          <w:tcPr>
            <w:tcW w:w="992" w:type="dxa"/>
            <w:tcBorders>
              <w:top w:val="nil"/>
              <w:left w:val="nil"/>
              <w:right w:val="nil"/>
            </w:tcBorders>
            <w:shd w:val="clear" w:color="auto" w:fill="auto"/>
            <w:noWrap/>
            <w:vAlign w:val="center"/>
            <w:hideMark/>
          </w:tcPr>
          <w:p w14:paraId="3F83087F" w14:textId="77777777" w:rsidR="00AF13BF" w:rsidRPr="004A2775" w:rsidRDefault="00AF13BF" w:rsidP="00AF13BF">
            <w:pPr>
              <w:spacing w:after="0" w:line="240" w:lineRule="auto"/>
              <w:jc w:val="center"/>
              <w:rPr>
                <w:rFonts w:eastAsia="Times New Roman" w:cstheme="minorHAnsi"/>
                <w:sz w:val="20"/>
                <w:szCs w:val="20"/>
                <w:lang w:eastAsia="en-GB"/>
              </w:rPr>
            </w:pPr>
          </w:p>
        </w:tc>
      </w:tr>
      <w:tr w:rsidR="00AF13BF" w:rsidRPr="004A2775" w14:paraId="1DBD31EB" w14:textId="77777777" w:rsidTr="00333778">
        <w:trPr>
          <w:trHeight w:val="20"/>
          <w:jc w:val="center"/>
        </w:trPr>
        <w:tc>
          <w:tcPr>
            <w:tcW w:w="2691" w:type="dxa"/>
            <w:tcBorders>
              <w:top w:val="nil"/>
              <w:left w:val="nil"/>
              <w:bottom w:val="single" w:sz="4" w:space="0" w:color="auto"/>
              <w:right w:val="nil"/>
            </w:tcBorders>
            <w:shd w:val="clear" w:color="auto" w:fill="auto"/>
            <w:noWrap/>
            <w:vAlign w:val="center"/>
            <w:hideMark/>
          </w:tcPr>
          <w:p w14:paraId="40AEF341" w14:textId="467FE337" w:rsidR="00AF13BF" w:rsidRPr="004A2775" w:rsidRDefault="00AF13BF" w:rsidP="00AF13BF">
            <w:pPr>
              <w:spacing w:after="0" w:line="240" w:lineRule="auto"/>
              <w:rPr>
                <w:rFonts w:eastAsia="Times New Roman" w:cstheme="minorHAnsi"/>
                <w:color w:val="000000"/>
                <w:lang w:eastAsia="en-GB"/>
              </w:rPr>
            </w:pPr>
            <w:r w:rsidRPr="004A2775">
              <w:rPr>
                <w:rFonts w:eastAsia="Times New Roman" w:cstheme="minorHAnsi"/>
                <w:color w:val="000000"/>
                <w:lang w:eastAsia="en-GB"/>
              </w:rPr>
              <w:t>Fracture since age 45</w:t>
            </w:r>
            <w:r w:rsidR="00685590">
              <w:rPr>
                <w:rFonts w:eastAsia="Times New Roman" w:cstheme="minorHAnsi"/>
                <w:color w:val="000000"/>
                <w:lang w:eastAsia="en-GB"/>
              </w:rPr>
              <w:t xml:space="preserve"> years</w:t>
            </w:r>
          </w:p>
        </w:tc>
        <w:tc>
          <w:tcPr>
            <w:tcW w:w="986" w:type="dxa"/>
            <w:tcBorders>
              <w:top w:val="nil"/>
              <w:left w:val="nil"/>
              <w:bottom w:val="single" w:sz="4" w:space="0" w:color="auto"/>
              <w:right w:val="nil"/>
            </w:tcBorders>
            <w:shd w:val="clear" w:color="auto" w:fill="auto"/>
            <w:noWrap/>
            <w:vAlign w:val="center"/>
            <w:hideMark/>
          </w:tcPr>
          <w:p w14:paraId="12B6EC18"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314</w:t>
            </w:r>
          </w:p>
        </w:tc>
        <w:tc>
          <w:tcPr>
            <w:tcW w:w="918" w:type="dxa"/>
            <w:tcBorders>
              <w:top w:val="nil"/>
              <w:left w:val="nil"/>
              <w:bottom w:val="single" w:sz="4" w:space="0" w:color="auto"/>
              <w:right w:val="nil"/>
            </w:tcBorders>
            <w:shd w:val="clear" w:color="auto" w:fill="auto"/>
            <w:noWrap/>
            <w:vAlign w:val="center"/>
            <w:hideMark/>
          </w:tcPr>
          <w:p w14:paraId="0E8C0247"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58</w:t>
            </w:r>
          </w:p>
        </w:tc>
        <w:tc>
          <w:tcPr>
            <w:tcW w:w="1135" w:type="dxa"/>
            <w:tcBorders>
              <w:top w:val="nil"/>
              <w:left w:val="nil"/>
              <w:bottom w:val="single" w:sz="4" w:space="0" w:color="auto"/>
              <w:right w:val="nil"/>
            </w:tcBorders>
            <w:shd w:val="clear" w:color="auto" w:fill="auto"/>
            <w:noWrap/>
            <w:vAlign w:val="center"/>
            <w:hideMark/>
          </w:tcPr>
          <w:p w14:paraId="2C40220E"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18.5</w:t>
            </w:r>
          </w:p>
        </w:tc>
        <w:tc>
          <w:tcPr>
            <w:tcW w:w="239" w:type="dxa"/>
            <w:tcBorders>
              <w:top w:val="nil"/>
              <w:left w:val="nil"/>
              <w:bottom w:val="single" w:sz="4" w:space="0" w:color="auto"/>
              <w:right w:val="nil"/>
            </w:tcBorders>
            <w:shd w:val="clear" w:color="auto" w:fill="auto"/>
            <w:noWrap/>
            <w:vAlign w:val="center"/>
            <w:hideMark/>
          </w:tcPr>
          <w:p w14:paraId="336738C5" w14:textId="1083100C" w:rsidR="00AF13BF" w:rsidRPr="004A2775" w:rsidRDefault="00AF13BF" w:rsidP="00AF13BF">
            <w:pPr>
              <w:spacing w:after="0" w:line="240" w:lineRule="auto"/>
              <w:jc w:val="center"/>
              <w:rPr>
                <w:rFonts w:eastAsia="Times New Roman" w:cstheme="minorHAnsi"/>
                <w:color w:val="000000"/>
                <w:lang w:eastAsia="en-GB"/>
              </w:rPr>
            </w:pPr>
          </w:p>
        </w:tc>
        <w:tc>
          <w:tcPr>
            <w:tcW w:w="977" w:type="dxa"/>
            <w:tcBorders>
              <w:top w:val="nil"/>
              <w:left w:val="nil"/>
              <w:bottom w:val="single" w:sz="4" w:space="0" w:color="auto"/>
              <w:right w:val="nil"/>
            </w:tcBorders>
            <w:shd w:val="clear" w:color="auto" w:fill="auto"/>
            <w:noWrap/>
            <w:vAlign w:val="center"/>
            <w:hideMark/>
          </w:tcPr>
          <w:p w14:paraId="19F9B490"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317</w:t>
            </w:r>
          </w:p>
        </w:tc>
        <w:tc>
          <w:tcPr>
            <w:tcW w:w="992" w:type="dxa"/>
            <w:tcBorders>
              <w:top w:val="nil"/>
              <w:left w:val="nil"/>
              <w:bottom w:val="single" w:sz="4" w:space="0" w:color="auto"/>
              <w:right w:val="nil"/>
            </w:tcBorders>
            <w:shd w:val="clear" w:color="auto" w:fill="auto"/>
            <w:noWrap/>
            <w:vAlign w:val="center"/>
            <w:hideMark/>
          </w:tcPr>
          <w:p w14:paraId="1B90A75F"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69</w:t>
            </w:r>
          </w:p>
        </w:tc>
        <w:tc>
          <w:tcPr>
            <w:tcW w:w="1035" w:type="dxa"/>
            <w:tcBorders>
              <w:top w:val="nil"/>
              <w:left w:val="nil"/>
              <w:bottom w:val="single" w:sz="4" w:space="0" w:color="auto"/>
              <w:right w:val="nil"/>
            </w:tcBorders>
            <w:shd w:val="clear" w:color="auto" w:fill="auto"/>
            <w:noWrap/>
            <w:vAlign w:val="center"/>
            <w:hideMark/>
          </w:tcPr>
          <w:p w14:paraId="17719DB0" w14:textId="77777777" w:rsidR="00AF13BF" w:rsidRPr="004A2775" w:rsidRDefault="00AF13BF" w:rsidP="00AF13BF">
            <w:pPr>
              <w:spacing w:after="0" w:line="240" w:lineRule="auto"/>
              <w:jc w:val="center"/>
              <w:rPr>
                <w:rFonts w:eastAsia="Times New Roman" w:cstheme="minorHAnsi"/>
                <w:color w:val="000000"/>
                <w:lang w:eastAsia="en-GB"/>
              </w:rPr>
            </w:pPr>
            <w:r w:rsidRPr="004A2775">
              <w:rPr>
                <w:rFonts w:eastAsia="Times New Roman" w:cstheme="minorHAnsi"/>
                <w:color w:val="000000"/>
                <w:lang w:eastAsia="en-GB"/>
              </w:rPr>
              <w:t>21.8</w:t>
            </w:r>
          </w:p>
        </w:tc>
        <w:tc>
          <w:tcPr>
            <w:tcW w:w="241" w:type="dxa"/>
            <w:tcBorders>
              <w:top w:val="nil"/>
              <w:left w:val="nil"/>
              <w:bottom w:val="single" w:sz="4" w:space="0" w:color="auto"/>
              <w:right w:val="nil"/>
            </w:tcBorders>
            <w:shd w:val="clear" w:color="auto" w:fill="auto"/>
            <w:noWrap/>
            <w:vAlign w:val="center"/>
            <w:hideMark/>
          </w:tcPr>
          <w:p w14:paraId="7CBB28EC" w14:textId="0F0B63FE" w:rsidR="00AF13BF" w:rsidRPr="004A2775" w:rsidRDefault="00AF13BF" w:rsidP="00AF13BF">
            <w:pPr>
              <w:spacing w:after="0" w:line="240" w:lineRule="auto"/>
              <w:jc w:val="center"/>
              <w:rPr>
                <w:rFonts w:eastAsia="Times New Roman" w:cstheme="minorHAnsi"/>
                <w:color w:val="000000"/>
                <w:lang w:eastAsia="en-GB"/>
              </w:rPr>
            </w:pPr>
          </w:p>
        </w:tc>
        <w:tc>
          <w:tcPr>
            <w:tcW w:w="992" w:type="dxa"/>
            <w:tcBorders>
              <w:top w:val="nil"/>
              <w:left w:val="nil"/>
              <w:bottom w:val="single" w:sz="4" w:space="0" w:color="auto"/>
              <w:right w:val="nil"/>
            </w:tcBorders>
            <w:shd w:val="clear" w:color="auto" w:fill="auto"/>
            <w:noWrap/>
            <w:vAlign w:val="center"/>
            <w:hideMark/>
          </w:tcPr>
          <w:p w14:paraId="331DEA95" w14:textId="77777777" w:rsidR="00AF13BF" w:rsidRPr="004A2775" w:rsidRDefault="00AF13BF" w:rsidP="00AF13BF">
            <w:pPr>
              <w:spacing w:after="0" w:line="240" w:lineRule="auto"/>
              <w:jc w:val="center"/>
              <w:rPr>
                <w:rFonts w:eastAsia="Times New Roman" w:cstheme="minorHAnsi"/>
                <w:lang w:eastAsia="en-GB"/>
              </w:rPr>
            </w:pPr>
            <w:r w:rsidRPr="004A2775">
              <w:rPr>
                <w:rFonts w:eastAsia="Times New Roman" w:cstheme="minorHAnsi"/>
                <w:lang w:eastAsia="en-GB"/>
              </w:rPr>
              <w:t>0.302</w:t>
            </w:r>
          </w:p>
        </w:tc>
      </w:tr>
      <w:tr w:rsidR="00572D73" w:rsidRPr="004A2775" w14:paraId="0A83ACE4" w14:textId="77777777" w:rsidTr="00333778">
        <w:trPr>
          <w:trHeight w:val="20"/>
          <w:jc w:val="center"/>
        </w:trPr>
        <w:tc>
          <w:tcPr>
            <w:tcW w:w="10206" w:type="dxa"/>
            <w:gridSpan w:val="10"/>
            <w:tcBorders>
              <w:top w:val="single" w:sz="4" w:space="0" w:color="auto"/>
            </w:tcBorders>
            <w:shd w:val="clear" w:color="auto" w:fill="auto"/>
            <w:noWrap/>
            <w:vAlign w:val="center"/>
          </w:tcPr>
          <w:p w14:paraId="799955F6" w14:textId="77777777" w:rsidR="00572D73" w:rsidRPr="004A2775" w:rsidRDefault="00572D73" w:rsidP="00AF13BF">
            <w:pPr>
              <w:spacing w:after="0" w:line="240" w:lineRule="auto"/>
              <w:jc w:val="center"/>
              <w:rPr>
                <w:rFonts w:eastAsia="Times New Roman" w:cstheme="minorHAnsi"/>
                <w:lang w:eastAsia="en-GB"/>
              </w:rPr>
            </w:pPr>
          </w:p>
        </w:tc>
      </w:tr>
      <w:tr w:rsidR="00572D73" w:rsidRPr="004A2775" w14:paraId="46DAFFE2" w14:textId="77777777" w:rsidTr="00333778">
        <w:trPr>
          <w:trHeight w:val="285"/>
          <w:jc w:val="center"/>
        </w:trPr>
        <w:tc>
          <w:tcPr>
            <w:tcW w:w="10206" w:type="dxa"/>
            <w:gridSpan w:val="10"/>
            <w:shd w:val="clear" w:color="auto" w:fill="auto"/>
            <w:noWrap/>
            <w:vAlign w:val="center"/>
          </w:tcPr>
          <w:p w14:paraId="25B25E5E" w14:textId="1DEBCFD0" w:rsidR="00572D73" w:rsidRPr="00572D73" w:rsidRDefault="00572D73" w:rsidP="00333778">
            <w:pPr>
              <w:spacing w:after="0" w:line="240" w:lineRule="auto"/>
              <w:jc w:val="both"/>
              <w:rPr>
                <w:rFonts w:cstheme="minorHAnsi"/>
                <w:lang w:val="en-US"/>
              </w:rPr>
            </w:pPr>
            <w:r w:rsidRPr="00572D73">
              <w:rPr>
                <w:rFonts w:cstheme="minorHAnsi"/>
                <w:lang w:val="en-US"/>
              </w:rPr>
              <w:t>*Ascertained at HCS baseline (1998-2004); all other characteristics were ascertained in 2004-2005</w:t>
            </w:r>
          </w:p>
        </w:tc>
      </w:tr>
      <w:tr w:rsidR="00572D73" w:rsidRPr="004A2775" w14:paraId="3DC2F79A" w14:textId="77777777" w:rsidTr="00333778">
        <w:trPr>
          <w:trHeight w:val="700"/>
          <w:jc w:val="center"/>
        </w:trPr>
        <w:tc>
          <w:tcPr>
            <w:tcW w:w="10206" w:type="dxa"/>
            <w:gridSpan w:val="10"/>
            <w:shd w:val="clear" w:color="auto" w:fill="auto"/>
            <w:noWrap/>
            <w:vAlign w:val="center"/>
          </w:tcPr>
          <w:p w14:paraId="059EF252" w14:textId="244E4BF0" w:rsidR="00572D73" w:rsidRPr="00572D73" w:rsidRDefault="00572D73" w:rsidP="00333778">
            <w:pPr>
              <w:spacing w:after="0" w:line="240" w:lineRule="auto"/>
              <w:jc w:val="both"/>
              <w:rPr>
                <w:rFonts w:cstheme="minorHAnsi"/>
                <w:lang w:val="en-US"/>
              </w:rPr>
            </w:pPr>
            <w:r w:rsidRPr="00572D73">
              <w:rPr>
                <w:rFonts w:cstheme="minorHAnsi"/>
                <w:lang w:val="en-US"/>
              </w:rPr>
              <w:t>P-values for sex-differences in characteristics were calculated using t-tests, Wilcoxon rank-sum tests, or chi-squared tests as appropriate</w:t>
            </w:r>
          </w:p>
        </w:tc>
      </w:tr>
      <w:tr w:rsidR="00572D73" w:rsidRPr="004A2775" w14:paraId="32EF5EA2" w14:textId="77777777" w:rsidTr="00333778">
        <w:trPr>
          <w:trHeight w:val="20"/>
          <w:jc w:val="center"/>
        </w:trPr>
        <w:tc>
          <w:tcPr>
            <w:tcW w:w="10206" w:type="dxa"/>
            <w:gridSpan w:val="10"/>
            <w:shd w:val="clear" w:color="auto" w:fill="auto"/>
            <w:noWrap/>
            <w:vAlign w:val="center"/>
          </w:tcPr>
          <w:p w14:paraId="69CBC839" w14:textId="77777777" w:rsidR="00470CA3" w:rsidRDefault="00470CA3" w:rsidP="00470CA3">
            <w:pPr>
              <w:spacing w:after="0" w:line="240" w:lineRule="auto"/>
              <w:rPr>
                <w:rFonts w:eastAsia="Times New Roman" w:cstheme="minorHAnsi"/>
                <w:lang w:val="en-US" w:eastAsia="en-GB"/>
              </w:rPr>
            </w:pPr>
            <w:bookmarkStart w:id="18" w:name="_Hlk99368879"/>
            <w:r>
              <w:rPr>
                <w:rFonts w:eastAsia="Times New Roman" w:cstheme="minorHAnsi"/>
                <w:vertAlign w:val="superscript"/>
                <w:lang w:val="en-US" w:eastAsia="en-GB"/>
              </w:rPr>
              <w:t>+</w:t>
            </w:r>
            <w:r>
              <w:rPr>
                <w:rFonts w:eastAsia="Times New Roman" w:cstheme="minorHAnsi"/>
                <w:lang w:val="en-US" w:eastAsia="en-GB"/>
              </w:rPr>
              <w:t>Manual occupations comprise IIIM (Skilled manual), IV (Partly skilled) and V (Unskilled) from the 1990 OPCS Standard Occupational Classification (SOC90) unit group for occupation.</w:t>
            </w:r>
          </w:p>
          <w:p w14:paraId="4C96094B" w14:textId="225E7C8D" w:rsidR="00572D73" w:rsidRPr="00470CA3" w:rsidRDefault="00572D73" w:rsidP="00333778">
            <w:pPr>
              <w:spacing w:after="0" w:line="240" w:lineRule="auto"/>
              <w:rPr>
                <w:rFonts w:eastAsia="Times New Roman" w:cstheme="minorHAnsi"/>
                <w:lang w:val="en-US" w:eastAsia="en-GB"/>
              </w:rPr>
            </w:pPr>
          </w:p>
        </w:tc>
      </w:tr>
      <w:bookmarkEnd w:id="18"/>
      <w:bookmarkEnd w:id="17"/>
    </w:tbl>
    <w:p w14:paraId="1DAB575C" w14:textId="77777777" w:rsidR="00572D73" w:rsidRDefault="00572D73" w:rsidP="00572D73">
      <w:pPr>
        <w:jc w:val="both"/>
        <w:rPr>
          <w:rFonts w:cstheme="minorHAnsi"/>
          <w:lang w:val="en-US"/>
        </w:rPr>
      </w:pPr>
    </w:p>
    <w:p w14:paraId="295603B6" w14:textId="77777777" w:rsidR="00572D73" w:rsidRPr="00572D73" w:rsidRDefault="00572D73" w:rsidP="00572D73">
      <w:pPr>
        <w:jc w:val="both"/>
        <w:rPr>
          <w:rFonts w:cstheme="minorHAnsi"/>
          <w:lang w:val="en-US"/>
        </w:rPr>
      </w:pPr>
    </w:p>
    <w:p w14:paraId="3D09DE49" w14:textId="77777777" w:rsidR="006D044F" w:rsidRPr="004A2775" w:rsidRDefault="006D044F" w:rsidP="00A34226">
      <w:pPr>
        <w:jc w:val="both"/>
        <w:rPr>
          <w:rFonts w:cstheme="minorHAnsi"/>
          <w:lang w:val="en-US"/>
        </w:rPr>
        <w:sectPr w:rsidR="006D044F" w:rsidRPr="004A2775">
          <w:footerReference w:type="default" r:id="rId9"/>
          <w:pgSz w:w="12240" w:h="15840"/>
          <w:pgMar w:top="1440" w:right="1440" w:bottom="1440" w:left="1440" w:header="720" w:footer="720" w:gutter="0"/>
          <w:cols w:space="720"/>
          <w:docGrid w:linePitch="360"/>
        </w:sectPr>
      </w:pPr>
    </w:p>
    <w:p w14:paraId="29D50C73" w14:textId="330B4C50" w:rsidR="00953DAD" w:rsidRDefault="00953DAD" w:rsidP="00953DAD">
      <w:pPr>
        <w:pStyle w:val="Caption"/>
        <w:keepNext/>
      </w:pPr>
      <w:bookmarkStart w:id="19" w:name="_Ref93920745"/>
      <w:r>
        <w:t xml:space="preserve">Table </w:t>
      </w:r>
      <w:r>
        <w:fldChar w:fldCharType="begin"/>
      </w:r>
      <w:r>
        <w:instrText xml:space="preserve"> SEQ Table \* ARABIC </w:instrText>
      </w:r>
      <w:r>
        <w:fldChar w:fldCharType="separate"/>
      </w:r>
      <w:r w:rsidR="00EA251C">
        <w:rPr>
          <w:noProof/>
        </w:rPr>
        <w:t>2</w:t>
      </w:r>
      <w:r>
        <w:fldChar w:fldCharType="end"/>
      </w:r>
      <w:bookmarkEnd w:id="19"/>
      <w:r>
        <w:t>:</w:t>
      </w:r>
      <w:r w:rsidR="00685590">
        <w:t xml:space="preserve"> </w:t>
      </w:r>
      <w:r w:rsidRPr="0010704D">
        <w:t>Odds ratios for outcomes per SD increase in predictors among males and females</w:t>
      </w:r>
    </w:p>
    <w:tbl>
      <w:tblPr>
        <w:tblW w:w="15118" w:type="dxa"/>
        <w:tblLayout w:type="fixed"/>
        <w:tblLook w:val="04A0" w:firstRow="1" w:lastRow="0" w:firstColumn="1" w:lastColumn="0" w:noHBand="0" w:noVBand="1"/>
      </w:tblPr>
      <w:tblGrid>
        <w:gridCol w:w="1370"/>
        <w:gridCol w:w="1985"/>
        <w:gridCol w:w="1701"/>
        <w:gridCol w:w="992"/>
        <w:gridCol w:w="1695"/>
        <w:gridCol w:w="6"/>
        <w:gridCol w:w="986"/>
        <w:gridCol w:w="6"/>
        <w:gridCol w:w="1695"/>
        <w:gridCol w:w="6"/>
        <w:gridCol w:w="987"/>
        <w:gridCol w:w="6"/>
        <w:gridCol w:w="1695"/>
        <w:gridCol w:w="6"/>
        <w:gridCol w:w="986"/>
        <w:gridCol w:w="6"/>
        <w:gridCol w:w="990"/>
      </w:tblGrid>
      <w:tr w:rsidR="007431AB" w:rsidRPr="00433245" w14:paraId="4126C8BE" w14:textId="77777777" w:rsidTr="000A05C7">
        <w:trPr>
          <w:gridAfter w:val="1"/>
          <w:wAfter w:w="990" w:type="dxa"/>
          <w:trHeight w:val="290"/>
        </w:trPr>
        <w:tc>
          <w:tcPr>
            <w:tcW w:w="1370" w:type="dxa"/>
            <w:vMerge w:val="restart"/>
            <w:tcBorders>
              <w:top w:val="single" w:sz="4" w:space="0" w:color="auto"/>
              <w:left w:val="nil"/>
              <w:bottom w:val="single" w:sz="4" w:space="0" w:color="000000"/>
              <w:right w:val="nil"/>
            </w:tcBorders>
            <w:shd w:val="clear" w:color="auto" w:fill="auto"/>
            <w:noWrap/>
            <w:vAlign w:val="center"/>
            <w:hideMark/>
          </w:tcPr>
          <w:p w14:paraId="02CDB701" w14:textId="77777777" w:rsidR="007431AB" w:rsidRPr="00433245" w:rsidRDefault="007431AB" w:rsidP="000A05C7">
            <w:pPr>
              <w:spacing w:after="0" w:line="240" w:lineRule="auto"/>
              <w:jc w:val="center"/>
              <w:rPr>
                <w:rFonts w:eastAsia="Times New Roman" w:cstheme="minorHAnsi"/>
                <w:b/>
                <w:bCs/>
                <w:lang w:eastAsia="en-GB"/>
              </w:rPr>
            </w:pPr>
            <w:bookmarkStart w:id="20" w:name="_Hlk92089575"/>
            <w:bookmarkEnd w:id="10"/>
            <w:bookmarkEnd w:id="16"/>
            <w:r w:rsidRPr="00433245">
              <w:rPr>
                <w:rFonts w:eastAsia="Times New Roman" w:cstheme="minorHAnsi"/>
                <w:b/>
                <w:bCs/>
                <w:lang w:eastAsia="en-GB"/>
              </w:rPr>
              <w:t>Predictor</w:t>
            </w:r>
          </w:p>
        </w:tc>
        <w:tc>
          <w:tcPr>
            <w:tcW w:w="1985" w:type="dxa"/>
            <w:vMerge w:val="restart"/>
            <w:tcBorders>
              <w:top w:val="single" w:sz="4" w:space="0" w:color="auto"/>
              <w:left w:val="nil"/>
              <w:bottom w:val="single" w:sz="4" w:space="0" w:color="000000"/>
              <w:right w:val="nil"/>
            </w:tcBorders>
            <w:shd w:val="clear" w:color="auto" w:fill="auto"/>
            <w:noWrap/>
            <w:vAlign w:val="center"/>
            <w:hideMark/>
          </w:tcPr>
          <w:p w14:paraId="28F250A5" w14:textId="77777777" w:rsidR="007431AB" w:rsidRPr="00433245" w:rsidRDefault="007431AB" w:rsidP="000A05C7">
            <w:pPr>
              <w:spacing w:after="0" w:line="240" w:lineRule="auto"/>
              <w:rPr>
                <w:rFonts w:eastAsia="Times New Roman" w:cstheme="minorHAnsi"/>
                <w:b/>
                <w:bCs/>
                <w:lang w:eastAsia="en-GB"/>
              </w:rPr>
            </w:pPr>
            <w:r w:rsidRPr="00433245">
              <w:rPr>
                <w:rFonts w:eastAsia="Times New Roman" w:cstheme="minorHAnsi"/>
                <w:b/>
                <w:bCs/>
                <w:lang w:eastAsia="en-GB"/>
              </w:rPr>
              <w:t>Outcome</w:t>
            </w:r>
          </w:p>
        </w:tc>
        <w:tc>
          <w:tcPr>
            <w:tcW w:w="538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0C9505" w14:textId="77777777" w:rsidR="007431AB" w:rsidRPr="00433245" w:rsidRDefault="007431AB" w:rsidP="000A05C7">
            <w:pPr>
              <w:spacing w:after="0" w:line="240" w:lineRule="auto"/>
              <w:jc w:val="center"/>
              <w:rPr>
                <w:rFonts w:eastAsia="Times New Roman" w:cstheme="minorHAnsi"/>
                <w:b/>
                <w:bCs/>
                <w:lang w:eastAsia="en-GB"/>
              </w:rPr>
            </w:pPr>
            <w:r w:rsidRPr="00433245">
              <w:rPr>
                <w:rFonts w:eastAsia="Times New Roman" w:cstheme="minorHAnsi"/>
                <w:b/>
                <w:bCs/>
                <w:lang w:eastAsia="en-GB"/>
              </w:rPr>
              <w:t>Males</w:t>
            </w:r>
          </w:p>
        </w:tc>
        <w:tc>
          <w:tcPr>
            <w:tcW w:w="5387" w:type="dxa"/>
            <w:gridSpan w:val="8"/>
            <w:tcBorders>
              <w:top w:val="single" w:sz="4" w:space="0" w:color="auto"/>
              <w:left w:val="nil"/>
              <w:bottom w:val="single" w:sz="4" w:space="0" w:color="auto"/>
              <w:right w:val="nil"/>
            </w:tcBorders>
            <w:shd w:val="clear" w:color="auto" w:fill="auto"/>
            <w:noWrap/>
            <w:vAlign w:val="bottom"/>
            <w:hideMark/>
          </w:tcPr>
          <w:p w14:paraId="44BDD1CF" w14:textId="77777777" w:rsidR="007431AB" w:rsidRPr="00433245" w:rsidRDefault="007431AB" w:rsidP="000A05C7">
            <w:pPr>
              <w:spacing w:after="0" w:line="240" w:lineRule="auto"/>
              <w:jc w:val="center"/>
              <w:rPr>
                <w:rFonts w:eastAsia="Times New Roman" w:cstheme="minorHAnsi"/>
                <w:b/>
                <w:bCs/>
                <w:lang w:eastAsia="en-GB"/>
              </w:rPr>
            </w:pPr>
            <w:r w:rsidRPr="00433245">
              <w:rPr>
                <w:rFonts w:eastAsia="Times New Roman" w:cstheme="minorHAnsi"/>
                <w:b/>
                <w:bCs/>
                <w:lang w:eastAsia="en-GB"/>
              </w:rPr>
              <w:t>Females</w:t>
            </w:r>
          </w:p>
        </w:tc>
      </w:tr>
      <w:tr w:rsidR="007431AB" w:rsidRPr="00433245" w14:paraId="51AAB1A6" w14:textId="77777777" w:rsidTr="000A05C7">
        <w:trPr>
          <w:gridAfter w:val="1"/>
          <w:wAfter w:w="990" w:type="dxa"/>
          <w:trHeight w:val="290"/>
        </w:trPr>
        <w:tc>
          <w:tcPr>
            <w:tcW w:w="1370" w:type="dxa"/>
            <w:vMerge/>
            <w:tcBorders>
              <w:top w:val="single" w:sz="4" w:space="0" w:color="auto"/>
              <w:left w:val="nil"/>
              <w:bottom w:val="single" w:sz="4" w:space="0" w:color="000000"/>
              <w:right w:val="nil"/>
            </w:tcBorders>
            <w:vAlign w:val="center"/>
            <w:hideMark/>
          </w:tcPr>
          <w:p w14:paraId="07EFF300" w14:textId="77777777" w:rsidR="007431AB" w:rsidRPr="00433245" w:rsidRDefault="007431AB" w:rsidP="000A05C7">
            <w:pPr>
              <w:spacing w:after="0" w:line="240" w:lineRule="auto"/>
              <w:rPr>
                <w:rFonts w:eastAsia="Times New Roman" w:cstheme="minorHAnsi"/>
                <w:b/>
                <w:bCs/>
                <w:lang w:eastAsia="en-GB"/>
              </w:rPr>
            </w:pPr>
          </w:p>
        </w:tc>
        <w:tc>
          <w:tcPr>
            <w:tcW w:w="1985" w:type="dxa"/>
            <w:vMerge/>
            <w:tcBorders>
              <w:top w:val="single" w:sz="4" w:space="0" w:color="auto"/>
              <w:left w:val="nil"/>
              <w:bottom w:val="single" w:sz="4" w:space="0" w:color="000000"/>
              <w:right w:val="nil"/>
            </w:tcBorders>
            <w:vAlign w:val="center"/>
            <w:hideMark/>
          </w:tcPr>
          <w:p w14:paraId="1B49EF8A" w14:textId="77777777" w:rsidR="007431AB" w:rsidRPr="00433245" w:rsidRDefault="007431AB" w:rsidP="000A05C7">
            <w:pPr>
              <w:spacing w:after="0" w:line="240" w:lineRule="auto"/>
              <w:rPr>
                <w:rFonts w:eastAsia="Times New Roman" w:cstheme="minorHAnsi"/>
                <w:b/>
                <w:bCs/>
                <w:lang w:eastAsia="en-GB"/>
              </w:rPr>
            </w:pPr>
          </w:p>
        </w:tc>
        <w:tc>
          <w:tcPr>
            <w:tcW w:w="2693" w:type="dxa"/>
            <w:gridSpan w:val="2"/>
            <w:tcBorders>
              <w:top w:val="nil"/>
              <w:left w:val="single" w:sz="4" w:space="0" w:color="auto"/>
              <w:bottom w:val="nil"/>
              <w:right w:val="nil"/>
            </w:tcBorders>
            <w:shd w:val="clear" w:color="auto" w:fill="auto"/>
            <w:noWrap/>
            <w:vAlign w:val="bottom"/>
            <w:hideMark/>
          </w:tcPr>
          <w:p w14:paraId="7E773EDF" w14:textId="77777777" w:rsidR="007431AB" w:rsidRPr="00433245" w:rsidRDefault="007431AB" w:rsidP="000A05C7">
            <w:pPr>
              <w:spacing w:after="0" w:line="240" w:lineRule="auto"/>
              <w:jc w:val="center"/>
              <w:rPr>
                <w:rFonts w:eastAsia="Times New Roman" w:cstheme="minorHAnsi"/>
                <w:b/>
                <w:bCs/>
                <w:lang w:eastAsia="en-GB"/>
              </w:rPr>
            </w:pPr>
            <w:r w:rsidRPr="00433245">
              <w:rPr>
                <w:rFonts w:eastAsia="Times New Roman" w:cstheme="minorHAnsi"/>
                <w:b/>
                <w:bCs/>
                <w:lang w:eastAsia="en-GB"/>
              </w:rPr>
              <w:t>Unadjusted</w:t>
            </w:r>
          </w:p>
        </w:tc>
        <w:tc>
          <w:tcPr>
            <w:tcW w:w="2693" w:type="dxa"/>
            <w:gridSpan w:val="4"/>
            <w:tcBorders>
              <w:top w:val="nil"/>
              <w:left w:val="nil"/>
              <w:bottom w:val="nil"/>
              <w:right w:val="single" w:sz="4" w:space="0" w:color="000000"/>
            </w:tcBorders>
            <w:shd w:val="clear" w:color="auto" w:fill="auto"/>
            <w:noWrap/>
            <w:vAlign w:val="bottom"/>
            <w:hideMark/>
          </w:tcPr>
          <w:p w14:paraId="3FB3E4A0" w14:textId="77777777" w:rsidR="007431AB" w:rsidRPr="00433245" w:rsidRDefault="007431AB" w:rsidP="000A05C7">
            <w:pPr>
              <w:spacing w:after="0" w:line="240" w:lineRule="auto"/>
              <w:jc w:val="center"/>
              <w:rPr>
                <w:rFonts w:eastAsia="Times New Roman" w:cstheme="minorHAnsi"/>
                <w:b/>
                <w:bCs/>
                <w:lang w:eastAsia="en-GB"/>
              </w:rPr>
            </w:pPr>
            <w:r w:rsidRPr="00433245">
              <w:rPr>
                <w:rFonts w:eastAsia="Times New Roman" w:cstheme="minorHAnsi"/>
                <w:b/>
                <w:bCs/>
                <w:lang w:eastAsia="en-GB"/>
              </w:rPr>
              <w:t>Adjusted*</w:t>
            </w:r>
          </w:p>
        </w:tc>
        <w:tc>
          <w:tcPr>
            <w:tcW w:w="2694" w:type="dxa"/>
            <w:gridSpan w:val="4"/>
            <w:tcBorders>
              <w:top w:val="nil"/>
              <w:left w:val="nil"/>
              <w:bottom w:val="nil"/>
              <w:right w:val="nil"/>
            </w:tcBorders>
            <w:shd w:val="clear" w:color="auto" w:fill="auto"/>
            <w:noWrap/>
            <w:vAlign w:val="bottom"/>
            <w:hideMark/>
          </w:tcPr>
          <w:p w14:paraId="7356B274" w14:textId="77777777" w:rsidR="007431AB" w:rsidRPr="00433245" w:rsidRDefault="007431AB" w:rsidP="000A05C7">
            <w:pPr>
              <w:spacing w:after="0" w:line="240" w:lineRule="auto"/>
              <w:jc w:val="center"/>
              <w:rPr>
                <w:rFonts w:eastAsia="Times New Roman" w:cstheme="minorHAnsi"/>
                <w:b/>
                <w:bCs/>
                <w:lang w:eastAsia="en-GB"/>
              </w:rPr>
            </w:pPr>
            <w:r w:rsidRPr="00433245">
              <w:rPr>
                <w:rFonts w:eastAsia="Times New Roman" w:cstheme="minorHAnsi"/>
                <w:b/>
                <w:bCs/>
                <w:lang w:eastAsia="en-GB"/>
              </w:rPr>
              <w:t>Unadjusted</w:t>
            </w:r>
          </w:p>
        </w:tc>
        <w:tc>
          <w:tcPr>
            <w:tcW w:w="2693" w:type="dxa"/>
            <w:gridSpan w:val="4"/>
            <w:tcBorders>
              <w:top w:val="nil"/>
              <w:left w:val="nil"/>
              <w:bottom w:val="nil"/>
              <w:right w:val="nil"/>
            </w:tcBorders>
            <w:shd w:val="clear" w:color="auto" w:fill="auto"/>
            <w:noWrap/>
            <w:vAlign w:val="bottom"/>
            <w:hideMark/>
          </w:tcPr>
          <w:p w14:paraId="6008EE4C" w14:textId="77777777" w:rsidR="007431AB" w:rsidRPr="00433245" w:rsidRDefault="007431AB" w:rsidP="000A05C7">
            <w:pPr>
              <w:spacing w:after="0" w:line="240" w:lineRule="auto"/>
              <w:jc w:val="center"/>
              <w:rPr>
                <w:rFonts w:eastAsia="Times New Roman" w:cstheme="minorHAnsi"/>
                <w:b/>
                <w:bCs/>
                <w:lang w:eastAsia="en-GB"/>
              </w:rPr>
            </w:pPr>
            <w:r w:rsidRPr="00433245">
              <w:rPr>
                <w:rFonts w:eastAsia="Times New Roman" w:cstheme="minorHAnsi"/>
                <w:b/>
                <w:bCs/>
                <w:lang w:eastAsia="en-GB"/>
              </w:rPr>
              <w:t>Adjusted*</w:t>
            </w:r>
          </w:p>
        </w:tc>
      </w:tr>
      <w:tr w:rsidR="007431AB" w:rsidRPr="00433245" w14:paraId="30717C6F" w14:textId="77777777" w:rsidTr="000A05C7">
        <w:trPr>
          <w:gridAfter w:val="1"/>
          <w:wAfter w:w="990" w:type="dxa"/>
          <w:trHeight w:val="290"/>
        </w:trPr>
        <w:tc>
          <w:tcPr>
            <w:tcW w:w="1370" w:type="dxa"/>
            <w:vMerge/>
            <w:tcBorders>
              <w:top w:val="single" w:sz="4" w:space="0" w:color="auto"/>
              <w:left w:val="nil"/>
              <w:bottom w:val="single" w:sz="4" w:space="0" w:color="000000"/>
              <w:right w:val="nil"/>
            </w:tcBorders>
            <w:vAlign w:val="center"/>
            <w:hideMark/>
          </w:tcPr>
          <w:p w14:paraId="1C6E178E" w14:textId="77777777" w:rsidR="007431AB" w:rsidRPr="00433245" w:rsidRDefault="007431AB" w:rsidP="000A05C7">
            <w:pPr>
              <w:spacing w:after="0" w:line="240" w:lineRule="auto"/>
              <w:rPr>
                <w:rFonts w:eastAsia="Times New Roman" w:cstheme="minorHAnsi"/>
                <w:b/>
                <w:bCs/>
                <w:lang w:eastAsia="en-GB"/>
              </w:rPr>
            </w:pPr>
          </w:p>
        </w:tc>
        <w:tc>
          <w:tcPr>
            <w:tcW w:w="1985" w:type="dxa"/>
            <w:vMerge/>
            <w:tcBorders>
              <w:top w:val="single" w:sz="4" w:space="0" w:color="auto"/>
              <w:left w:val="nil"/>
              <w:bottom w:val="single" w:sz="4" w:space="0" w:color="000000"/>
              <w:right w:val="nil"/>
            </w:tcBorders>
            <w:vAlign w:val="center"/>
            <w:hideMark/>
          </w:tcPr>
          <w:p w14:paraId="468A6BCA" w14:textId="77777777" w:rsidR="007431AB" w:rsidRPr="00433245" w:rsidRDefault="007431AB" w:rsidP="000A05C7">
            <w:pPr>
              <w:spacing w:after="0" w:line="240" w:lineRule="auto"/>
              <w:rPr>
                <w:rFonts w:eastAsia="Times New Roman" w:cstheme="minorHAnsi"/>
                <w:b/>
                <w:bCs/>
                <w:lang w:eastAsia="en-GB"/>
              </w:rPr>
            </w:pPr>
          </w:p>
        </w:tc>
        <w:tc>
          <w:tcPr>
            <w:tcW w:w="1701" w:type="dxa"/>
            <w:tcBorders>
              <w:top w:val="nil"/>
              <w:left w:val="single" w:sz="4" w:space="0" w:color="auto"/>
              <w:bottom w:val="single" w:sz="4" w:space="0" w:color="auto"/>
              <w:right w:val="nil"/>
            </w:tcBorders>
            <w:shd w:val="clear" w:color="auto" w:fill="auto"/>
            <w:noWrap/>
            <w:vAlign w:val="bottom"/>
            <w:hideMark/>
          </w:tcPr>
          <w:p w14:paraId="47560FFB" w14:textId="77777777" w:rsidR="007431AB" w:rsidRPr="00433245" w:rsidRDefault="007431AB" w:rsidP="000A05C7">
            <w:pPr>
              <w:spacing w:after="0" w:line="240" w:lineRule="auto"/>
              <w:jc w:val="center"/>
              <w:rPr>
                <w:rFonts w:eastAsia="Times New Roman" w:cstheme="minorHAnsi"/>
                <w:b/>
                <w:bCs/>
                <w:lang w:eastAsia="en-GB"/>
              </w:rPr>
            </w:pPr>
            <w:r w:rsidRPr="00433245">
              <w:rPr>
                <w:rFonts w:eastAsia="Times New Roman" w:cstheme="minorHAnsi"/>
                <w:b/>
                <w:bCs/>
                <w:lang w:eastAsia="en-GB"/>
              </w:rPr>
              <w:t>OR (95% CI)</w:t>
            </w:r>
          </w:p>
        </w:tc>
        <w:tc>
          <w:tcPr>
            <w:tcW w:w="992" w:type="dxa"/>
            <w:tcBorders>
              <w:top w:val="nil"/>
              <w:left w:val="nil"/>
              <w:bottom w:val="single" w:sz="4" w:space="0" w:color="auto"/>
              <w:right w:val="nil"/>
            </w:tcBorders>
            <w:shd w:val="clear" w:color="auto" w:fill="auto"/>
            <w:noWrap/>
            <w:vAlign w:val="bottom"/>
            <w:hideMark/>
          </w:tcPr>
          <w:p w14:paraId="4BAFE3BA" w14:textId="77777777" w:rsidR="007431AB" w:rsidRPr="00433245" w:rsidRDefault="007431AB" w:rsidP="000A05C7">
            <w:pPr>
              <w:spacing w:after="0" w:line="240" w:lineRule="auto"/>
              <w:jc w:val="center"/>
              <w:rPr>
                <w:rFonts w:eastAsia="Times New Roman" w:cstheme="minorHAnsi"/>
                <w:b/>
                <w:bCs/>
                <w:lang w:eastAsia="en-GB"/>
              </w:rPr>
            </w:pPr>
            <w:r w:rsidRPr="00433245">
              <w:rPr>
                <w:rFonts w:eastAsia="Times New Roman" w:cstheme="minorHAnsi"/>
                <w:b/>
                <w:bCs/>
                <w:lang w:eastAsia="en-GB"/>
              </w:rPr>
              <w:t>P-value</w:t>
            </w:r>
          </w:p>
        </w:tc>
        <w:tc>
          <w:tcPr>
            <w:tcW w:w="1701" w:type="dxa"/>
            <w:gridSpan w:val="2"/>
            <w:tcBorders>
              <w:top w:val="nil"/>
              <w:left w:val="nil"/>
              <w:bottom w:val="single" w:sz="4" w:space="0" w:color="auto"/>
              <w:right w:val="nil"/>
            </w:tcBorders>
            <w:shd w:val="clear" w:color="auto" w:fill="auto"/>
            <w:noWrap/>
            <w:vAlign w:val="bottom"/>
            <w:hideMark/>
          </w:tcPr>
          <w:p w14:paraId="35C044B7" w14:textId="77777777" w:rsidR="007431AB" w:rsidRPr="00433245" w:rsidRDefault="007431AB" w:rsidP="000A05C7">
            <w:pPr>
              <w:spacing w:after="0" w:line="240" w:lineRule="auto"/>
              <w:jc w:val="center"/>
              <w:rPr>
                <w:rFonts w:eastAsia="Times New Roman" w:cstheme="minorHAnsi"/>
                <w:b/>
                <w:bCs/>
                <w:lang w:eastAsia="en-GB"/>
              </w:rPr>
            </w:pPr>
            <w:r w:rsidRPr="00433245">
              <w:rPr>
                <w:rFonts w:eastAsia="Times New Roman" w:cstheme="minorHAnsi"/>
                <w:b/>
                <w:bCs/>
                <w:lang w:eastAsia="en-GB"/>
              </w:rPr>
              <w:t>OR (95% CI)</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C18FAC5" w14:textId="77777777" w:rsidR="007431AB" w:rsidRPr="00433245" w:rsidRDefault="007431AB" w:rsidP="000A05C7">
            <w:pPr>
              <w:spacing w:after="0" w:line="240" w:lineRule="auto"/>
              <w:jc w:val="center"/>
              <w:rPr>
                <w:rFonts w:eastAsia="Times New Roman" w:cstheme="minorHAnsi"/>
                <w:b/>
                <w:bCs/>
                <w:lang w:eastAsia="en-GB"/>
              </w:rPr>
            </w:pPr>
            <w:r w:rsidRPr="00433245">
              <w:rPr>
                <w:rFonts w:eastAsia="Times New Roman" w:cstheme="minorHAnsi"/>
                <w:b/>
                <w:bCs/>
                <w:lang w:eastAsia="en-GB"/>
              </w:rPr>
              <w:t>P-value</w:t>
            </w:r>
          </w:p>
        </w:tc>
        <w:tc>
          <w:tcPr>
            <w:tcW w:w="1701" w:type="dxa"/>
            <w:gridSpan w:val="2"/>
            <w:tcBorders>
              <w:top w:val="nil"/>
              <w:left w:val="nil"/>
              <w:bottom w:val="single" w:sz="4" w:space="0" w:color="auto"/>
              <w:right w:val="nil"/>
            </w:tcBorders>
            <w:shd w:val="clear" w:color="auto" w:fill="auto"/>
            <w:noWrap/>
            <w:vAlign w:val="bottom"/>
            <w:hideMark/>
          </w:tcPr>
          <w:p w14:paraId="55592CAF" w14:textId="77777777" w:rsidR="007431AB" w:rsidRPr="00433245" w:rsidRDefault="007431AB" w:rsidP="000A05C7">
            <w:pPr>
              <w:spacing w:after="0" w:line="240" w:lineRule="auto"/>
              <w:jc w:val="center"/>
              <w:rPr>
                <w:rFonts w:eastAsia="Times New Roman" w:cstheme="minorHAnsi"/>
                <w:b/>
                <w:bCs/>
                <w:lang w:eastAsia="en-GB"/>
              </w:rPr>
            </w:pPr>
            <w:r w:rsidRPr="00433245">
              <w:rPr>
                <w:rFonts w:eastAsia="Times New Roman" w:cstheme="minorHAnsi"/>
                <w:b/>
                <w:bCs/>
                <w:lang w:eastAsia="en-GB"/>
              </w:rPr>
              <w:t>OR (95% CI)</w:t>
            </w:r>
          </w:p>
        </w:tc>
        <w:tc>
          <w:tcPr>
            <w:tcW w:w="993" w:type="dxa"/>
            <w:gridSpan w:val="2"/>
            <w:tcBorders>
              <w:top w:val="nil"/>
              <w:left w:val="nil"/>
              <w:bottom w:val="single" w:sz="4" w:space="0" w:color="auto"/>
              <w:right w:val="nil"/>
            </w:tcBorders>
            <w:shd w:val="clear" w:color="auto" w:fill="auto"/>
            <w:noWrap/>
            <w:vAlign w:val="bottom"/>
            <w:hideMark/>
          </w:tcPr>
          <w:p w14:paraId="59141C99" w14:textId="77777777" w:rsidR="007431AB" w:rsidRPr="00433245" w:rsidRDefault="007431AB" w:rsidP="000A05C7">
            <w:pPr>
              <w:spacing w:after="0" w:line="240" w:lineRule="auto"/>
              <w:jc w:val="center"/>
              <w:rPr>
                <w:rFonts w:eastAsia="Times New Roman" w:cstheme="minorHAnsi"/>
                <w:b/>
                <w:bCs/>
                <w:lang w:eastAsia="en-GB"/>
              </w:rPr>
            </w:pPr>
            <w:r w:rsidRPr="00433245">
              <w:rPr>
                <w:rFonts w:eastAsia="Times New Roman" w:cstheme="minorHAnsi"/>
                <w:b/>
                <w:bCs/>
                <w:lang w:eastAsia="en-GB"/>
              </w:rPr>
              <w:t>P-value</w:t>
            </w:r>
          </w:p>
        </w:tc>
        <w:tc>
          <w:tcPr>
            <w:tcW w:w="1701" w:type="dxa"/>
            <w:gridSpan w:val="2"/>
            <w:tcBorders>
              <w:top w:val="nil"/>
              <w:left w:val="nil"/>
              <w:bottom w:val="single" w:sz="4" w:space="0" w:color="auto"/>
              <w:right w:val="nil"/>
            </w:tcBorders>
            <w:shd w:val="clear" w:color="auto" w:fill="auto"/>
            <w:noWrap/>
            <w:vAlign w:val="bottom"/>
            <w:hideMark/>
          </w:tcPr>
          <w:p w14:paraId="739A106A" w14:textId="77777777" w:rsidR="007431AB" w:rsidRPr="00433245" w:rsidRDefault="007431AB" w:rsidP="000A05C7">
            <w:pPr>
              <w:spacing w:after="0" w:line="240" w:lineRule="auto"/>
              <w:jc w:val="center"/>
              <w:rPr>
                <w:rFonts w:eastAsia="Times New Roman" w:cstheme="minorHAnsi"/>
                <w:b/>
                <w:bCs/>
                <w:lang w:eastAsia="en-GB"/>
              </w:rPr>
            </w:pPr>
            <w:r w:rsidRPr="00433245">
              <w:rPr>
                <w:rFonts w:eastAsia="Times New Roman" w:cstheme="minorHAnsi"/>
                <w:b/>
                <w:bCs/>
                <w:lang w:eastAsia="en-GB"/>
              </w:rPr>
              <w:t>OR (95% CI)</w:t>
            </w:r>
          </w:p>
        </w:tc>
        <w:tc>
          <w:tcPr>
            <w:tcW w:w="992" w:type="dxa"/>
            <w:gridSpan w:val="2"/>
            <w:tcBorders>
              <w:top w:val="nil"/>
              <w:left w:val="nil"/>
              <w:bottom w:val="single" w:sz="4" w:space="0" w:color="auto"/>
              <w:right w:val="nil"/>
            </w:tcBorders>
            <w:shd w:val="clear" w:color="auto" w:fill="auto"/>
            <w:noWrap/>
            <w:vAlign w:val="bottom"/>
            <w:hideMark/>
          </w:tcPr>
          <w:p w14:paraId="7874B5DB" w14:textId="77777777" w:rsidR="007431AB" w:rsidRPr="00433245" w:rsidRDefault="007431AB" w:rsidP="000A05C7">
            <w:pPr>
              <w:spacing w:after="0" w:line="240" w:lineRule="auto"/>
              <w:jc w:val="center"/>
              <w:rPr>
                <w:rFonts w:eastAsia="Times New Roman" w:cstheme="minorHAnsi"/>
                <w:b/>
                <w:bCs/>
                <w:lang w:eastAsia="en-GB"/>
              </w:rPr>
            </w:pPr>
            <w:r w:rsidRPr="00433245">
              <w:rPr>
                <w:rFonts w:eastAsia="Times New Roman" w:cstheme="minorHAnsi"/>
                <w:b/>
                <w:bCs/>
                <w:lang w:eastAsia="en-GB"/>
              </w:rPr>
              <w:t>P-value</w:t>
            </w:r>
          </w:p>
        </w:tc>
      </w:tr>
      <w:tr w:rsidR="007431AB" w:rsidRPr="00433245" w14:paraId="1F7B82FF" w14:textId="77777777" w:rsidTr="000A05C7">
        <w:trPr>
          <w:gridAfter w:val="1"/>
          <w:wAfter w:w="990" w:type="dxa"/>
          <w:trHeight w:val="290"/>
        </w:trPr>
        <w:tc>
          <w:tcPr>
            <w:tcW w:w="1370" w:type="dxa"/>
            <w:tcBorders>
              <w:top w:val="nil"/>
              <w:left w:val="nil"/>
              <w:bottom w:val="nil"/>
              <w:right w:val="nil"/>
            </w:tcBorders>
            <w:shd w:val="clear" w:color="auto" w:fill="auto"/>
            <w:noWrap/>
            <w:vAlign w:val="bottom"/>
            <w:hideMark/>
          </w:tcPr>
          <w:p w14:paraId="0CBF7B21" w14:textId="77777777" w:rsidR="007431AB" w:rsidRPr="00433245" w:rsidRDefault="007431AB" w:rsidP="000A05C7">
            <w:pPr>
              <w:spacing w:after="0" w:line="240" w:lineRule="auto"/>
              <w:jc w:val="center"/>
              <w:rPr>
                <w:rFonts w:eastAsia="Times New Roman" w:cstheme="minorHAnsi"/>
                <w:b/>
                <w:bCs/>
                <w:lang w:eastAsia="en-GB"/>
              </w:rPr>
            </w:pPr>
          </w:p>
        </w:tc>
        <w:tc>
          <w:tcPr>
            <w:tcW w:w="1985" w:type="dxa"/>
            <w:tcBorders>
              <w:top w:val="nil"/>
              <w:left w:val="nil"/>
              <w:bottom w:val="nil"/>
              <w:right w:val="nil"/>
            </w:tcBorders>
            <w:shd w:val="clear" w:color="auto" w:fill="auto"/>
            <w:noWrap/>
            <w:vAlign w:val="bottom"/>
            <w:hideMark/>
          </w:tcPr>
          <w:p w14:paraId="28E35B6F" w14:textId="77777777" w:rsidR="007431AB" w:rsidRPr="00433245" w:rsidRDefault="007431AB" w:rsidP="000A05C7">
            <w:pPr>
              <w:spacing w:after="0" w:line="240" w:lineRule="auto"/>
              <w:rPr>
                <w:rFonts w:eastAsia="Times New Roman" w:cstheme="minorHAnsi"/>
                <w:lang w:eastAsia="en-GB"/>
              </w:rPr>
            </w:pPr>
          </w:p>
        </w:tc>
        <w:tc>
          <w:tcPr>
            <w:tcW w:w="1701" w:type="dxa"/>
            <w:tcBorders>
              <w:top w:val="nil"/>
              <w:left w:val="single" w:sz="4" w:space="0" w:color="auto"/>
              <w:bottom w:val="nil"/>
              <w:right w:val="nil"/>
            </w:tcBorders>
            <w:shd w:val="clear" w:color="auto" w:fill="auto"/>
            <w:noWrap/>
            <w:vAlign w:val="bottom"/>
            <w:hideMark/>
          </w:tcPr>
          <w:p w14:paraId="35377EE0" w14:textId="77777777" w:rsidR="007431AB" w:rsidRPr="00433245" w:rsidRDefault="007431AB" w:rsidP="000A05C7">
            <w:pPr>
              <w:spacing w:after="0" w:line="240" w:lineRule="auto"/>
              <w:jc w:val="center"/>
              <w:rPr>
                <w:rFonts w:eastAsia="Times New Roman" w:cstheme="minorHAnsi"/>
                <w:b/>
                <w:bCs/>
                <w:lang w:eastAsia="en-GB"/>
              </w:rPr>
            </w:pPr>
            <w:r w:rsidRPr="00433245">
              <w:rPr>
                <w:rFonts w:eastAsia="Times New Roman" w:cstheme="minorHAnsi"/>
                <w:b/>
                <w:bCs/>
                <w:lang w:eastAsia="en-GB"/>
              </w:rPr>
              <w:t> </w:t>
            </w:r>
          </w:p>
        </w:tc>
        <w:tc>
          <w:tcPr>
            <w:tcW w:w="992" w:type="dxa"/>
            <w:tcBorders>
              <w:top w:val="nil"/>
              <w:left w:val="nil"/>
              <w:bottom w:val="nil"/>
              <w:right w:val="nil"/>
            </w:tcBorders>
            <w:shd w:val="clear" w:color="auto" w:fill="auto"/>
            <w:noWrap/>
            <w:vAlign w:val="bottom"/>
            <w:hideMark/>
          </w:tcPr>
          <w:p w14:paraId="2D0B3124" w14:textId="77777777" w:rsidR="007431AB" w:rsidRPr="00433245" w:rsidRDefault="007431AB" w:rsidP="000A05C7">
            <w:pPr>
              <w:spacing w:after="0" w:line="240" w:lineRule="auto"/>
              <w:jc w:val="center"/>
              <w:rPr>
                <w:rFonts w:eastAsia="Times New Roman" w:cstheme="minorHAnsi"/>
                <w:b/>
                <w:bCs/>
                <w:lang w:eastAsia="en-GB"/>
              </w:rPr>
            </w:pPr>
          </w:p>
        </w:tc>
        <w:tc>
          <w:tcPr>
            <w:tcW w:w="1701" w:type="dxa"/>
            <w:gridSpan w:val="2"/>
            <w:tcBorders>
              <w:top w:val="nil"/>
              <w:left w:val="nil"/>
              <w:bottom w:val="nil"/>
              <w:right w:val="nil"/>
            </w:tcBorders>
            <w:shd w:val="clear" w:color="auto" w:fill="auto"/>
            <w:noWrap/>
            <w:vAlign w:val="bottom"/>
            <w:hideMark/>
          </w:tcPr>
          <w:p w14:paraId="2168FCC9" w14:textId="77777777" w:rsidR="007431AB" w:rsidRPr="00433245" w:rsidRDefault="007431AB" w:rsidP="000A05C7">
            <w:pPr>
              <w:spacing w:after="0" w:line="240" w:lineRule="auto"/>
              <w:jc w:val="center"/>
              <w:rPr>
                <w:rFonts w:eastAsia="Times New Roman" w:cstheme="minorHAnsi"/>
                <w:lang w:eastAsia="en-GB"/>
              </w:rPr>
            </w:pPr>
          </w:p>
        </w:tc>
        <w:tc>
          <w:tcPr>
            <w:tcW w:w="992" w:type="dxa"/>
            <w:gridSpan w:val="2"/>
            <w:tcBorders>
              <w:top w:val="nil"/>
              <w:left w:val="nil"/>
              <w:bottom w:val="nil"/>
              <w:right w:val="single" w:sz="4" w:space="0" w:color="auto"/>
            </w:tcBorders>
            <w:shd w:val="clear" w:color="auto" w:fill="auto"/>
            <w:noWrap/>
            <w:vAlign w:val="bottom"/>
            <w:hideMark/>
          </w:tcPr>
          <w:p w14:paraId="53B6622A" w14:textId="77777777" w:rsidR="007431AB" w:rsidRPr="00433245" w:rsidRDefault="007431AB" w:rsidP="000A05C7">
            <w:pPr>
              <w:spacing w:after="0" w:line="240" w:lineRule="auto"/>
              <w:jc w:val="center"/>
              <w:rPr>
                <w:rFonts w:eastAsia="Times New Roman" w:cstheme="minorHAnsi"/>
                <w:b/>
                <w:bCs/>
                <w:lang w:eastAsia="en-GB"/>
              </w:rPr>
            </w:pPr>
            <w:r w:rsidRPr="00433245">
              <w:rPr>
                <w:rFonts w:eastAsia="Times New Roman" w:cstheme="minorHAnsi"/>
                <w:b/>
                <w:bCs/>
                <w:lang w:eastAsia="en-GB"/>
              </w:rPr>
              <w:t> </w:t>
            </w:r>
          </w:p>
        </w:tc>
        <w:tc>
          <w:tcPr>
            <w:tcW w:w="1701" w:type="dxa"/>
            <w:gridSpan w:val="2"/>
            <w:tcBorders>
              <w:top w:val="nil"/>
              <w:left w:val="nil"/>
              <w:bottom w:val="nil"/>
              <w:right w:val="nil"/>
            </w:tcBorders>
            <w:shd w:val="clear" w:color="auto" w:fill="auto"/>
            <w:noWrap/>
            <w:vAlign w:val="bottom"/>
            <w:hideMark/>
          </w:tcPr>
          <w:p w14:paraId="16E0D979" w14:textId="77777777" w:rsidR="007431AB" w:rsidRPr="00433245" w:rsidRDefault="007431AB" w:rsidP="000A05C7">
            <w:pPr>
              <w:spacing w:after="0" w:line="240" w:lineRule="auto"/>
              <w:jc w:val="center"/>
              <w:rPr>
                <w:rFonts w:eastAsia="Times New Roman" w:cstheme="minorHAnsi"/>
                <w:b/>
                <w:bCs/>
                <w:lang w:eastAsia="en-GB"/>
              </w:rPr>
            </w:pPr>
            <w:r w:rsidRPr="00433245">
              <w:rPr>
                <w:rFonts w:eastAsia="Times New Roman" w:cstheme="minorHAnsi"/>
                <w:b/>
                <w:bCs/>
                <w:lang w:eastAsia="en-GB"/>
              </w:rPr>
              <w:t> </w:t>
            </w:r>
          </w:p>
        </w:tc>
        <w:tc>
          <w:tcPr>
            <w:tcW w:w="993" w:type="dxa"/>
            <w:gridSpan w:val="2"/>
            <w:tcBorders>
              <w:top w:val="nil"/>
              <w:left w:val="nil"/>
              <w:bottom w:val="nil"/>
              <w:right w:val="nil"/>
            </w:tcBorders>
            <w:shd w:val="clear" w:color="auto" w:fill="auto"/>
            <w:noWrap/>
            <w:vAlign w:val="bottom"/>
            <w:hideMark/>
          </w:tcPr>
          <w:p w14:paraId="4B03C63B" w14:textId="77777777" w:rsidR="007431AB" w:rsidRPr="00433245" w:rsidRDefault="007431AB" w:rsidP="000A05C7">
            <w:pPr>
              <w:spacing w:after="0" w:line="240" w:lineRule="auto"/>
              <w:jc w:val="center"/>
              <w:rPr>
                <w:rFonts w:eastAsia="Times New Roman" w:cstheme="minorHAnsi"/>
                <w:b/>
                <w:bCs/>
                <w:lang w:eastAsia="en-GB"/>
              </w:rPr>
            </w:pPr>
          </w:p>
        </w:tc>
        <w:tc>
          <w:tcPr>
            <w:tcW w:w="1701" w:type="dxa"/>
            <w:gridSpan w:val="2"/>
            <w:tcBorders>
              <w:top w:val="nil"/>
              <w:left w:val="nil"/>
              <w:bottom w:val="nil"/>
              <w:right w:val="nil"/>
            </w:tcBorders>
            <w:shd w:val="clear" w:color="auto" w:fill="auto"/>
            <w:noWrap/>
            <w:vAlign w:val="bottom"/>
            <w:hideMark/>
          </w:tcPr>
          <w:p w14:paraId="6AD8A604" w14:textId="77777777" w:rsidR="007431AB" w:rsidRPr="00433245" w:rsidRDefault="007431AB" w:rsidP="000A05C7">
            <w:pPr>
              <w:spacing w:after="0" w:line="240" w:lineRule="auto"/>
              <w:jc w:val="center"/>
              <w:rPr>
                <w:rFonts w:eastAsia="Times New Roman" w:cstheme="minorHAnsi"/>
                <w:lang w:eastAsia="en-GB"/>
              </w:rPr>
            </w:pPr>
          </w:p>
        </w:tc>
        <w:tc>
          <w:tcPr>
            <w:tcW w:w="992" w:type="dxa"/>
            <w:gridSpan w:val="2"/>
            <w:tcBorders>
              <w:top w:val="nil"/>
              <w:left w:val="nil"/>
              <w:bottom w:val="nil"/>
              <w:right w:val="nil"/>
            </w:tcBorders>
            <w:shd w:val="clear" w:color="auto" w:fill="auto"/>
            <w:noWrap/>
            <w:vAlign w:val="bottom"/>
            <w:hideMark/>
          </w:tcPr>
          <w:p w14:paraId="1465C677" w14:textId="77777777" w:rsidR="007431AB" w:rsidRPr="00433245" w:rsidRDefault="007431AB" w:rsidP="000A05C7">
            <w:pPr>
              <w:spacing w:after="0" w:line="240" w:lineRule="auto"/>
              <w:jc w:val="center"/>
              <w:rPr>
                <w:rFonts w:eastAsia="Times New Roman" w:cstheme="minorHAnsi"/>
                <w:lang w:eastAsia="en-GB"/>
              </w:rPr>
            </w:pPr>
          </w:p>
        </w:tc>
      </w:tr>
      <w:tr w:rsidR="007431AB" w:rsidRPr="00433245" w14:paraId="12C89C70" w14:textId="77777777" w:rsidTr="000A05C7">
        <w:trPr>
          <w:gridAfter w:val="1"/>
          <w:wAfter w:w="990" w:type="dxa"/>
          <w:trHeight w:val="290"/>
        </w:trPr>
        <w:tc>
          <w:tcPr>
            <w:tcW w:w="1370" w:type="dxa"/>
            <w:vMerge w:val="restart"/>
            <w:tcBorders>
              <w:top w:val="nil"/>
              <w:left w:val="nil"/>
              <w:bottom w:val="nil"/>
              <w:right w:val="nil"/>
            </w:tcBorders>
            <w:shd w:val="clear" w:color="auto" w:fill="auto"/>
            <w:vAlign w:val="center"/>
            <w:hideMark/>
          </w:tcPr>
          <w:p w14:paraId="605D3A37" w14:textId="77777777" w:rsidR="007431AB" w:rsidRPr="00433245" w:rsidRDefault="007431AB" w:rsidP="000A05C7">
            <w:pPr>
              <w:spacing w:after="0" w:line="240" w:lineRule="auto"/>
              <w:rPr>
                <w:rFonts w:eastAsia="Times New Roman" w:cstheme="minorHAnsi"/>
                <w:lang w:eastAsia="en-GB"/>
              </w:rPr>
            </w:pPr>
            <w:r w:rsidRPr="00433245">
              <w:rPr>
                <w:rFonts w:eastAsia="Times New Roman" w:cstheme="minorHAnsi"/>
                <w:lang w:eastAsia="en-GB"/>
              </w:rPr>
              <w:t>Calf muscle area</w:t>
            </w:r>
          </w:p>
        </w:tc>
        <w:tc>
          <w:tcPr>
            <w:tcW w:w="1985" w:type="dxa"/>
            <w:tcBorders>
              <w:top w:val="nil"/>
              <w:left w:val="nil"/>
              <w:bottom w:val="nil"/>
              <w:right w:val="nil"/>
            </w:tcBorders>
            <w:shd w:val="clear" w:color="auto" w:fill="auto"/>
            <w:noWrap/>
            <w:vAlign w:val="bottom"/>
            <w:hideMark/>
          </w:tcPr>
          <w:p w14:paraId="738F380E" w14:textId="77777777" w:rsidR="007431AB" w:rsidRPr="00433245" w:rsidRDefault="007431AB" w:rsidP="000A05C7">
            <w:pPr>
              <w:spacing w:after="0" w:line="240" w:lineRule="auto"/>
              <w:rPr>
                <w:rFonts w:eastAsia="Times New Roman" w:cstheme="minorHAnsi"/>
                <w:lang w:eastAsia="en-GB"/>
              </w:rPr>
            </w:pPr>
            <w:r w:rsidRPr="00433245">
              <w:rPr>
                <w:rFonts w:eastAsia="Times New Roman" w:cstheme="minorHAnsi"/>
                <w:lang w:eastAsia="en-GB"/>
              </w:rPr>
              <w:t>Fallen since 45</w:t>
            </w:r>
          </w:p>
        </w:tc>
        <w:tc>
          <w:tcPr>
            <w:tcW w:w="1701" w:type="dxa"/>
            <w:tcBorders>
              <w:top w:val="nil"/>
              <w:left w:val="single" w:sz="4" w:space="0" w:color="auto"/>
              <w:bottom w:val="nil"/>
              <w:right w:val="nil"/>
            </w:tcBorders>
            <w:shd w:val="clear" w:color="auto" w:fill="auto"/>
            <w:noWrap/>
            <w:vAlign w:val="bottom"/>
          </w:tcPr>
          <w:p w14:paraId="58665663"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0.97 (0.77, 1.23)</w:t>
            </w:r>
          </w:p>
        </w:tc>
        <w:tc>
          <w:tcPr>
            <w:tcW w:w="992" w:type="dxa"/>
            <w:tcBorders>
              <w:top w:val="nil"/>
              <w:left w:val="nil"/>
              <w:bottom w:val="nil"/>
              <w:right w:val="nil"/>
            </w:tcBorders>
            <w:shd w:val="clear" w:color="auto" w:fill="auto"/>
            <w:noWrap/>
            <w:vAlign w:val="bottom"/>
          </w:tcPr>
          <w:p w14:paraId="690D03FB"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0.798</w:t>
            </w:r>
          </w:p>
        </w:tc>
        <w:tc>
          <w:tcPr>
            <w:tcW w:w="1701" w:type="dxa"/>
            <w:gridSpan w:val="2"/>
            <w:tcBorders>
              <w:top w:val="nil"/>
              <w:left w:val="nil"/>
              <w:bottom w:val="nil"/>
              <w:right w:val="nil"/>
            </w:tcBorders>
            <w:shd w:val="clear" w:color="auto" w:fill="auto"/>
            <w:noWrap/>
            <w:vAlign w:val="bottom"/>
          </w:tcPr>
          <w:p w14:paraId="335EA33A"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1.06 (0.79, 1.44)</w:t>
            </w:r>
          </w:p>
        </w:tc>
        <w:tc>
          <w:tcPr>
            <w:tcW w:w="992" w:type="dxa"/>
            <w:gridSpan w:val="2"/>
            <w:tcBorders>
              <w:top w:val="nil"/>
              <w:left w:val="nil"/>
              <w:bottom w:val="nil"/>
              <w:right w:val="single" w:sz="4" w:space="0" w:color="auto"/>
            </w:tcBorders>
            <w:shd w:val="clear" w:color="auto" w:fill="auto"/>
            <w:noWrap/>
            <w:vAlign w:val="bottom"/>
          </w:tcPr>
          <w:p w14:paraId="50A8C940"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0.691</w:t>
            </w:r>
          </w:p>
        </w:tc>
        <w:tc>
          <w:tcPr>
            <w:tcW w:w="1701" w:type="dxa"/>
            <w:gridSpan w:val="2"/>
            <w:tcBorders>
              <w:top w:val="nil"/>
              <w:left w:val="nil"/>
              <w:bottom w:val="nil"/>
              <w:right w:val="nil"/>
            </w:tcBorders>
            <w:shd w:val="clear" w:color="auto" w:fill="auto"/>
            <w:noWrap/>
            <w:vAlign w:val="bottom"/>
          </w:tcPr>
          <w:p w14:paraId="763D8CA4"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0.93 (0.73, 1.17)</w:t>
            </w:r>
          </w:p>
        </w:tc>
        <w:tc>
          <w:tcPr>
            <w:tcW w:w="993" w:type="dxa"/>
            <w:gridSpan w:val="2"/>
            <w:tcBorders>
              <w:top w:val="nil"/>
              <w:left w:val="nil"/>
              <w:bottom w:val="nil"/>
              <w:right w:val="nil"/>
            </w:tcBorders>
            <w:shd w:val="clear" w:color="auto" w:fill="auto"/>
            <w:noWrap/>
            <w:vAlign w:val="bottom"/>
          </w:tcPr>
          <w:p w14:paraId="32495B1A"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0.534</w:t>
            </w:r>
          </w:p>
        </w:tc>
        <w:tc>
          <w:tcPr>
            <w:tcW w:w="1701" w:type="dxa"/>
            <w:gridSpan w:val="2"/>
            <w:tcBorders>
              <w:top w:val="nil"/>
              <w:left w:val="nil"/>
              <w:bottom w:val="nil"/>
              <w:right w:val="nil"/>
            </w:tcBorders>
            <w:shd w:val="clear" w:color="auto" w:fill="auto"/>
            <w:noWrap/>
            <w:vAlign w:val="bottom"/>
          </w:tcPr>
          <w:p w14:paraId="4338C119"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0.79 (0.58, 1.06)</w:t>
            </w:r>
          </w:p>
        </w:tc>
        <w:tc>
          <w:tcPr>
            <w:tcW w:w="992" w:type="dxa"/>
            <w:gridSpan w:val="2"/>
            <w:tcBorders>
              <w:top w:val="nil"/>
              <w:left w:val="nil"/>
              <w:bottom w:val="nil"/>
              <w:right w:val="nil"/>
            </w:tcBorders>
            <w:shd w:val="clear" w:color="auto" w:fill="auto"/>
            <w:noWrap/>
            <w:vAlign w:val="bottom"/>
          </w:tcPr>
          <w:p w14:paraId="7354AEF3"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0.119</w:t>
            </w:r>
          </w:p>
        </w:tc>
      </w:tr>
      <w:tr w:rsidR="007431AB" w:rsidRPr="00433245" w14:paraId="38582801" w14:textId="77777777" w:rsidTr="000A05C7">
        <w:trPr>
          <w:gridAfter w:val="1"/>
          <w:wAfter w:w="990" w:type="dxa"/>
          <w:trHeight w:val="290"/>
        </w:trPr>
        <w:tc>
          <w:tcPr>
            <w:tcW w:w="1370" w:type="dxa"/>
            <w:vMerge/>
            <w:tcBorders>
              <w:top w:val="nil"/>
              <w:left w:val="nil"/>
              <w:bottom w:val="nil"/>
              <w:right w:val="nil"/>
            </w:tcBorders>
            <w:vAlign w:val="center"/>
            <w:hideMark/>
          </w:tcPr>
          <w:p w14:paraId="3526276A" w14:textId="77777777" w:rsidR="007431AB" w:rsidRPr="00433245" w:rsidRDefault="007431AB" w:rsidP="000A05C7">
            <w:pPr>
              <w:spacing w:after="0" w:line="240" w:lineRule="auto"/>
              <w:rPr>
                <w:rFonts w:eastAsia="Times New Roman" w:cstheme="minorHAnsi"/>
                <w:lang w:eastAsia="en-GB"/>
              </w:rPr>
            </w:pPr>
          </w:p>
        </w:tc>
        <w:tc>
          <w:tcPr>
            <w:tcW w:w="1985" w:type="dxa"/>
            <w:tcBorders>
              <w:top w:val="nil"/>
              <w:left w:val="nil"/>
              <w:bottom w:val="nil"/>
              <w:right w:val="nil"/>
            </w:tcBorders>
            <w:shd w:val="clear" w:color="auto" w:fill="auto"/>
            <w:noWrap/>
            <w:vAlign w:val="bottom"/>
            <w:hideMark/>
          </w:tcPr>
          <w:p w14:paraId="13C2E63A" w14:textId="77777777" w:rsidR="007431AB" w:rsidRPr="00433245" w:rsidRDefault="007431AB" w:rsidP="000A05C7">
            <w:pPr>
              <w:spacing w:after="0" w:line="240" w:lineRule="auto"/>
              <w:rPr>
                <w:rFonts w:eastAsia="Times New Roman" w:cstheme="minorHAnsi"/>
                <w:lang w:eastAsia="en-GB"/>
              </w:rPr>
            </w:pPr>
            <w:r w:rsidRPr="00433245">
              <w:rPr>
                <w:rFonts w:eastAsia="Times New Roman" w:cstheme="minorHAnsi"/>
                <w:lang w:eastAsia="en-GB"/>
              </w:rPr>
              <w:t>Fallen in last year</w:t>
            </w:r>
          </w:p>
        </w:tc>
        <w:tc>
          <w:tcPr>
            <w:tcW w:w="1701" w:type="dxa"/>
            <w:tcBorders>
              <w:top w:val="nil"/>
              <w:left w:val="single" w:sz="4" w:space="0" w:color="auto"/>
              <w:bottom w:val="nil"/>
              <w:right w:val="nil"/>
            </w:tcBorders>
            <w:shd w:val="clear" w:color="auto" w:fill="auto"/>
            <w:noWrap/>
            <w:vAlign w:val="bottom"/>
          </w:tcPr>
          <w:p w14:paraId="3706F4F2"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1.01 (0.72, 1.42)</w:t>
            </w:r>
          </w:p>
        </w:tc>
        <w:tc>
          <w:tcPr>
            <w:tcW w:w="992" w:type="dxa"/>
            <w:tcBorders>
              <w:top w:val="nil"/>
              <w:left w:val="nil"/>
              <w:bottom w:val="nil"/>
              <w:right w:val="nil"/>
            </w:tcBorders>
            <w:shd w:val="clear" w:color="auto" w:fill="auto"/>
            <w:noWrap/>
            <w:vAlign w:val="bottom"/>
          </w:tcPr>
          <w:p w14:paraId="20EFB265"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0.941</w:t>
            </w:r>
          </w:p>
        </w:tc>
        <w:tc>
          <w:tcPr>
            <w:tcW w:w="1701" w:type="dxa"/>
            <w:gridSpan w:val="2"/>
            <w:tcBorders>
              <w:top w:val="nil"/>
              <w:left w:val="nil"/>
              <w:bottom w:val="nil"/>
              <w:right w:val="nil"/>
            </w:tcBorders>
            <w:shd w:val="clear" w:color="auto" w:fill="auto"/>
            <w:noWrap/>
            <w:vAlign w:val="bottom"/>
          </w:tcPr>
          <w:p w14:paraId="269B954C"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1.13 (0.74, 1.72)</w:t>
            </w:r>
          </w:p>
        </w:tc>
        <w:tc>
          <w:tcPr>
            <w:tcW w:w="992" w:type="dxa"/>
            <w:gridSpan w:val="2"/>
            <w:tcBorders>
              <w:top w:val="nil"/>
              <w:left w:val="nil"/>
              <w:bottom w:val="nil"/>
              <w:right w:val="single" w:sz="4" w:space="0" w:color="auto"/>
            </w:tcBorders>
            <w:shd w:val="clear" w:color="auto" w:fill="auto"/>
            <w:noWrap/>
            <w:vAlign w:val="bottom"/>
          </w:tcPr>
          <w:p w14:paraId="39BB5ED3"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0.586</w:t>
            </w:r>
          </w:p>
        </w:tc>
        <w:tc>
          <w:tcPr>
            <w:tcW w:w="1701" w:type="dxa"/>
            <w:gridSpan w:val="2"/>
            <w:tcBorders>
              <w:top w:val="nil"/>
              <w:left w:val="nil"/>
              <w:bottom w:val="nil"/>
              <w:right w:val="nil"/>
            </w:tcBorders>
            <w:shd w:val="clear" w:color="auto" w:fill="auto"/>
            <w:noWrap/>
            <w:vAlign w:val="bottom"/>
          </w:tcPr>
          <w:p w14:paraId="643192CD"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0.79 (0.59, 1.06)</w:t>
            </w:r>
          </w:p>
        </w:tc>
        <w:tc>
          <w:tcPr>
            <w:tcW w:w="993" w:type="dxa"/>
            <w:gridSpan w:val="2"/>
            <w:tcBorders>
              <w:top w:val="nil"/>
              <w:left w:val="nil"/>
              <w:bottom w:val="nil"/>
              <w:right w:val="nil"/>
            </w:tcBorders>
            <w:shd w:val="clear" w:color="auto" w:fill="auto"/>
            <w:noWrap/>
            <w:vAlign w:val="bottom"/>
          </w:tcPr>
          <w:p w14:paraId="5CD9AD9E"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0.120</w:t>
            </w:r>
          </w:p>
        </w:tc>
        <w:tc>
          <w:tcPr>
            <w:tcW w:w="1701" w:type="dxa"/>
            <w:gridSpan w:val="2"/>
            <w:tcBorders>
              <w:top w:val="nil"/>
              <w:left w:val="nil"/>
              <w:bottom w:val="nil"/>
              <w:right w:val="nil"/>
            </w:tcBorders>
            <w:shd w:val="clear" w:color="auto" w:fill="auto"/>
            <w:noWrap/>
            <w:vAlign w:val="bottom"/>
          </w:tcPr>
          <w:p w14:paraId="25E67CDD" w14:textId="77777777" w:rsidR="007431AB" w:rsidRPr="00433245" w:rsidRDefault="007431AB" w:rsidP="000A05C7">
            <w:pPr>
              <w:spacing w:after="0" w:line="240" w:lineRule="auto"/>
              <w:jc w:val="center"/>
              <w:rPr>
                <w:rFonts w:eastAsia="Times New Roman" w:cstheme="minorHAnsi"/>
                <w:b/>
                <w:bCs/>
                <w:lang w:eastAsia="en-GB"/>
              </w:rPr>
            </w:pPr>
            <w:r w:rsidRPr="00433245">
              <w:rPr>
                <w:rFonts w:ascii="Calibri" w:hAnsi="Calibri" w:cs="Calibri"/>
                <w:b/>
                <w:bCs/>
              </w:rPr>
              <w:t>0.66 (0.44, 0.97)</w:t>
            </w:r>
          </w:p>
        </w:tc>
        <w:tc>
          <w:tcPr>
            <w:tcW w:w="992" w:type="dxa"/>
            <w:gridSpan w:val="2"/>
            <w:tcBorders>
              <w:top w:val="nil"/>
              <w:left w:val="nil"/>
              <w:bottom w:val="nil"/>
              <w:right w:val="nil"/>
            </w:tcBorders>
            <w:shd w:val="clear" w:color="auto" w:fill="auto"/>
            <w:noWrap/>
            <w:vAlign w:val="bottom"/>
          </w:tcPr>
          <w:p w14:paraId="1650E46F" w14:textId="77777777" w:rsidR="007431AB" w:rsidRPr="00433245" w:rsidRDefault="007431AB" w:rsidP="000A05C7">
            <w:pPr>
              <w:spacing w:after="0" w:line="240" w:lineRule="auto"/>
              <w:jc w:val="center"/>
              <w:rPr>
                <w:rFonts w:eastAsia="Times New Roman" w:cstheme="minorHAnsi"/>
                <w:b/>
                <w:bCs/>
                <w:lang w:eastAsia="en-GB"/>
              </w:rPr>
            </w:pPr>
            <w:r w:rsidRPr="00433245">
              <w:rPr>
                <w:rFonts w:ascii="Calibri" w:hAnsi="Calibri" w:cs="Calibri"/>
                <w:b/>
                <w:bCs/>
              </w:rPr>
              <w:t>0.037</w:t>
            </w:r>
          </w:p>
        </w:tc>
      </w:tr>
      <w:tr w:rsidR="007431AB" w:rsidRPr="00433245" w14:paraId="3D1B7CBC" w14:textId="77777777" w:rsidTr="000A05C7">
        <w:trPr>
          <w:gridAfter w:val="1"/>
          <w:wAfter w:w="990" w:type="dxa"/>
          <w:trHeight w:val="290"/>
        </w:trPr>
        <w:tc>
          <w:tcPr>
            <w:tcW w:w="1370" w:type="dxa"/>
            <w:vMerge/>
            <w:tcBorders>
              <w:top w:val="nil"/>
              <w:left w:val="nil"/>
              <w:bottom w:val="nil"/>
              <w:right w:val="nil"/>
            </w:tcBorders>
            <w:vAlign w:val="center"/>
            <w:hideMark/>
          </w:tcPr>
          <w:p w14:paraId="29037240" w14:textId="77777777" w:rsidR="007431AB" w:rsidRPr="00433245" w:rsidRDefault="007431AB" w:rsidP="000A05C7">
            <w:pPr>
              <w:spacing w:after="0" w:line="240" w:lineRule="auto"/>
              <w:rPr>
                <w:rFonts w:eastAsia="Times New Roman" w:cstheme="minorHAnsi"/>
                <w:lang w:eastAsia="en-GB"/>
              </w:rPr>
            </w:pPr>
          </w:p>
        </w:tc>
        <w:tc>
          <w:tcPr>
            <w:tcW w:w="1985" w:type="dxa"/>
            <w:tcBorders>
              <w:top w:val="nil"/>
              <w:left w:val="nil"/>
              <w:bottom w:val="nil"/>
              <w:right w:val="nil"/>
            </w:tcBorders>
            <w:shd w:val="clear" w:color="auto" w:fill="auto"/>
            <w:noWrap/>
            <w:vAlign w:val="bottom"/>
            <w:hideMark/>
          </w:tcPr>
          <w:p w14:paraId="0442CA75" w14:textId="77777777" w:rsidR="007431AB" w:rsidRPr="00433245" w:rsidRDefault="007431AB" w:rsidP="000A05C7">
            <w:pPr>
              <w:spacing w:after="0" w:line="240" w:lineRule="auto"/>
              <w:rPr>
                <w:rFonts w:eastAsia="Times New Roman" w:cstheme="minorHAnsi"/>
                <w:lang w:eastAsia="en-GB"/>
              </w:rPr>
            </w:pPr>
            <w:r w:rsidRPr="00433245">
              <w:rPr>
                <w:rFonts w:eastAsia="Times New Roman" w:cstheme="minorHAnsi"/>
                <w:lang w:eastAsia="en-GB"/>
              </w:rPr>
              <w:t>No. falls in last year</w:t>
            </w:r>
          </w:p>
        </w:tc>
        <w:tc>
          <w:tcPr>
            <w:tcW w:w="1701" w:type="dxa"/>
            <w:tcBorders>
              <w:top w:val="nil"/>
              <w:left w:val="single" w:sz="4" w:space="0" w:color="auto"/>
              <w:bottom w:val="nil"/>
              <w:right w:val="nil"/>
            </w:tcBorders>
            <w:shd w:val="clear" w:color="auto" w:fill="auto"/>
            <w:noWrap/>
            <w:vAlign w:val="bottom"/>
          </w:tcPr>
          <w:p w14:paraId="115DAFBE"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1.04 (0.74, 1.47)</w:t>
            </w:r>
          </w:p>
        </w:tc>
        <w:tc>
          <w:tcPr>
            <w:tcW w:w="992" w:type="dxa"/>
            <w:tcBorders>
              <w:top w:val="nil"/>
              <w:left w:val="nil"/>
              <w:bottom w:val="nil"/>
              <w:right w:val="nil"/>
            </w:tcBorders>
            <w:shd w:val="clear" w:color="auto" w:fill="auto"/>
            <w:noWrap/>
            <w:vAlign w:val="bottom"/>
          </w:tcPr>
          <w:p w14:paraId="522BB934"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0.823</w:t>
            </w:r>
          </w:p>
        </w:tc>
        <w:tc>
          <w:tcPr>
            <w:tcW w:w="1701" w:type="dxa"/>
            <w:gridSpan w:val="2"/>
            <w:tcBorders>
              <w:top w:val="nil"/>
              <w:left w:val="nil"/>
              <w:bottom w:val="nil"/>
              <w:right w:val="nil"/>
            </w:tcBorders>
            <w:shd w:val="clear" w:color="auto" w:fill="auto"/>
            <w:noWrap/>
            <w:vAlign w:val="bottom"/>
          </w:tcPr>
          <w:p w14:paraId="726CEE08"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1.11 (0.72, 1.69)</w:t>
            </w:r>
          </w:p>
        </w:tc>
        <w:tc>
          <w:tcPr>
            <w:tcW w:w="992" w:type="dxa"/>
            <w:gridSpan w:val="2"/>
            <w:tcBorders>
              <w:top w:val="nil"/>
              <w:left w:val="nil"/>
              <w:bottom w:val="nil"/>
              <w:right w:val="single" w:sz="4" w:space="0" w:color="auto"/>
            </w:tcBorders>
            <w:shd w:val="clear" w:color="auto" w:fill="auto"/>
            <w:noWrap/>
            <w:vAlign w:val="bottom"/>
          </w:tcPr>
          <w:p w14:paraId="57F4A98F"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0.643</w:t>
            </w:r>
          </w:p>
        </w:tc>
        <w:tc>
          <w:tcPr>
            <w:tcW w:w="1701" w:type="dxa"/>
            <w:gridSpan w:val="2"/>
            <w:tcBorders>
              <w:top w:val="nil"/>
              <w:left w:val="nil"/>
              <w:bottom w:val="nil"/>
              <w:right w:val="nil"/>
            </w:tcBorders>
            <w:shd w:val="clear" w:color="auto" w:fill="auto"/>
            <w:noWrap/>
            <w:vAlign w:val="bottom"/>
          </w:tcPr>
          <w:p w14:paraId="6019A824"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0.79 (0.59, 1.06)</w:t>
            </w:r>
          </w:p>
        </w:tc>
        <w:tc>
          <w:tcPr>
            <w:tcW w:w="993" w:type="dxa"/>
            <w:gridSpan w:val="2"/>
            <w:tcBorders>
              <w:top w:val="nil"/>
              <w:left w:val="nil"/>
              <w:bottom w:val="nil"/>
              <w:right w:val="nil"/>
            </w:tcBorders>
            <w:shd w:val="clear" w:color="auto" w:fill="auto"/>
            <w:noWrap/>
            <w:vAlign w:val="bottom"/>
          </w:tcPr>
          <w:p w14:paraId="53545B12"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0.112</w:t>
            </w:r>
          </w:p>
        </w:tc>
        <w:tc>
          <w:tcPr>
            <w:tcW w:w="1701" w:type="dxa"/>
            <w:gridSpan w:val="2"/>
            <w:tcBorders>
              <w:top w:val="nil"/>
              <w:left w:val="nil"/>
              <w:bottom w:val="nil"/>
              <w:right w:val="nil"/>
            </w:tcBorders>
            <w:shd w:val="clear" w:color="auto" w:fill="auto"/>
            <w:noWrap/>
            <w:vAlign w:val="bottom"/>
          </w:tcPr>
          <w:p w14:paraId="6636B441" w14:textId="77777777" w:rsidR="007431AB" w:rsidRPr="00433245" w:rsidRDefault="007431AB" w:rsidP="000A05C7">
            <w:pPr>
              <w:spacing w:after="0" w:line="240" w:lineRule="auto"/>
              <w:jc w:val="center"/>
              <w:rPr>
                <w:rFonts w:eastAsia="Times New Roman" w:cstheme="minorHAnsi"/>
                <w:b/>
                <w:bCs/>
                <w:lang w:eastAsia="en-GB"/>
              </w:rPr>
            </w:pPr>
            <w:r w:rsidRPr="00433245">
              <w:rPr>
                <w:rFonts w:ascii="Calibri" w:hAnsi="Calibri" w:cs="Calibri"/>
                <w:b/>
                <w:bCs/>
              </w:rPr>
              <w:t>0.64 (0.43, 0.95)</w:t>
            </w:r>
          </w:p>
        </w:tc>
        <w:tc>
          <w:tcPr>
            <w:tcW w:w="992" w:type="dxa"/>
            <w:gridSpan w:val="2"/>
            <w:tcBorders>
              <w:top w:val="nil"/>
              <w:left w:val="nil"/>
              <w:bottom w:val="nil"/>
              <w:right w:val="nil"/>
            </w:tcBorders>
            <w:shd w:val="clear" w:color="auto" w:fill="auto"/>
            <w:noWrap/>
            <w:vAlign w:val="bottom"/>
          </w:tcPr>
          <w:p w14:paraId="5BADFEF9" w14:textId="77777777" w:rsidR="007431AB" w:rsidRPr="00433245" w:rsidRDefault="007431AB" w:rsidP="000A05C7">
            <w:pPr>
              <w:spacing w:after="0" w:line="240" w:lineRule="auto"/>
              <w:jc w:val="center"/>
              <w:rPr>
                <w:rFonts w:eastAsia="Times New Roman" w:cstheme="minorHAnsi"/>
                <w:b/>
                <w:bCs/>
                <w:lang w:eastAsia="en-GB"/>
              </w:rPr>
            </w:pPr>
            <w:r w:rsidRPr="00433245">
              <w:rPr>
                <w:rFonts w:ascii="Calibri" w:hAnsi="Calibri" w:cs="Calibri"/>
                <w:b/>
                <w:bCs/>
              </w:rPr>
              <w:t>0.025</w:t>
            </w:r>
          </w:p>
        </w:tc>
      </w:tr>
      <w:tr w:rsidR="007431AB" w:rsidRPr="00433245" w14:paraId="3B472D01" w14:textId="77777777" w:rsidTr="000A05C7">
        <w:trPr>
          <w:gridAfter w:val="1"/>
          <w:wAfter w:w="990" w:type="dxa"/>
          <w:trHeight w:val="290"/>
        </w:trPr>
        <w:tc>
          <w:tcPr>
            <w:tcW w:w="1370" w:type="dxa"/>
            <w:vMerge/>
            <w:tcBorders>
              <w:top w:val="nil"/>
              <w:left w:val="nil"/>
              <w:bottom w:val="nil"/>
              <w:right w:val="nil"/>
            </w:tcBorders>
            <w:vAlign w:val="center"/>
            <w:hideMark/>
          </w:tcPr>
          <w:p w14:paraId="628D0FD0" w14:textId="77777777" w:rsidR="007431AB" w:rsidRPr="00433245" w:rsidRDefault="007431AB" w:rsidP="000A05C7">
            <w:pPr>
              <w:spacing w:after="0" w:line="240" w:lineRule="auto"/>
              <w:rPr>
                <w:rFonts w:eastAsia="Times New Roman" w:cstheme="minorHAnsi"/>
                <w:lang w:eastAsia="en-GB"/>
              </w:rPr>
            </w:pPr>
          </w:p>
        </w:tc>
        <w:tc>
          <w:tcPr>
            <w:tcW w:w="1985" w:type="dxa"/>
            <w:tcBorders>
              <w:top w:val="nil"/>
              <w:left w:val="nil"/>
              <w:bottom w:val="nil"/>
              <w:right w:val="nil"/>
            </w:tcBorders>
            <w:shd w:val="clear" w:color="auto" w:fill="auto"/>
            <w:noWrap/>
            <w:vAlign w:val="bottom"/>
            <w:hideMark/>
          </w:tcPr>
          <w:p w14:paraId="58A47E65" w14:textId="77777777" w:rsidR="007431AB" w:rsidRPr="00433245" w:rsidRDefault="007431AB" w:rsidP="000A05C7">
            <w:pPr>
              <w:spacing w:after="0" w:line="240" w:lineRule="auto"/>
              <w:rPr>
                <w:rFonts w:eastAsia="Times New Roman" w:cstheme="minorHAnsi"/>
                <w:lang w:eastAsia="en-GB"/>
              </w:rPr>
            </w:pPr>
            <w:r w:rsidRPr="00433245">
              <w:rPr>
                <w:rFonts w:eastAsia="Times New Roman" w:cstheme="minorHAnsi"/>
                <w:lang w:eastAsia="en-GB"/>
              </w:rPr>
              <w:t>Fracture since 45</w:t>
            </w:r>
          </w:p>
        </w:tc>
        <w:tc>
          <w:tcPr>
            <w:tcW w:w="1701" w:type="dxa"/>
            <w:tcBorders>
              <w:top w:val="nil"/>
              <w:left w:val="single" w:sz="4" w:space="0" w:color="auto"/>
              <w:bottom w:val="nil"/>
              <w:right w:val="nil"/>
            </w:tcBorders>
            <w:shd w:val="clear" w:color="auto" w:fill="auto"/>
            <w:noWrap/>
            <w:vAlign w:val="bottom"/>
          </w:tcPr>
          <w:p w14:paraId="3991CEBF"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0.95 (0.70, 1.28)</w:t>
            </w:r>
          </w:p>
        </w:tc>
        <w:tc>
          <w:tcPr>
            <w:tcW w:w="992" w:type="dxa"/>
            <w:tcBorders>
              <w:top w:val="nil"/>
              <w:left w:val="nil"/>
              <w:bottom w:val="nil"/>
              <w:right w:val="nil"/>
            </w:tcBorders>
            <w:shd w:val="clear" w:color="auto" w:fill="auto"/>
            <w:noWrap/>
            <w:vAlign w:val="bottom"/>
          </w:tcPr>
          <w:p w14:paraId="29B53800"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0.722</w:t>
            </w:r>
          </w:p>
        </w:tc>
        <w:tc>
          <w:tcPr>
            <w:tcW w:w="1701" w:type="dxa"/>
            <w:gridSpan w:val="2"/>
            <w:tcBorders>
              <w:top w:val="nil"/>
              <w:left w:val="nil"/>
              <w:bottom w:val="nil"/>
              <w:right w:val="nil"/>
            </w:tcBorders>
            <w:shd w:val="clear" w:color="auto" w:fill="auto"/>
            <w:noWrap/>
            <w:vAlign w:val="bottom"/>
          </w:tcPr>
          <w:p w14:paraId="28321DD6"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0.96 (0.65, 1.42)</w:t>
            </w:r>
          </w:p>
        </w:tc>
        <w:tc>
          <w:tcPr>
            <w:tcW w:w="992" w:type="dxa"/>
            <w:gridSpan w:val="2"/>
            <w:tcBorders>
              <w:top w:val="nil"/>
              <w:left w:val="nil"/>
              <w:bottom w:val="nil"/>
              <w:right w:val="single" w:sz="4" w:space="0" w:color="auto"/>
            </w:tcBorders>
            <w:shd w:val="clear" w:color="auto" w:fill="auto"/>
            <w:noWrap/>
            <w:vAlign w:val="bottom"/>
          </w:tcPr>
          <w:p w14:paraId="25AF594F"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0.840</w:t>
            </w:r>
          </w:p>
        </w:tc>
        <w:tc>
          <w:tcPr>
            <w:tcW w:w="1701" w:type="dxa"/>
            <w:gridSpan w:val="2"/>
            <w:tcBorders>
              <w:top w:val="nil"/>
              <w:left w:val="nil"/>
              <w:bottom w:val="nil"/>
              <w:right w:val="nil"/>
            </w:tcBorders>
            <w:shd w:val="clear" w:color="auto" w:fill="auto"/>
            <w:noWrap/>
            <w:vAlign w:val="bottom"/>
          </w:tcPr>
          <w:p w14:paraId="5301F8E0"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1.03 (0.78, 1.36)</w:t>
            </w:r>
          </w:p>
        </w:tc>
        <w:tc>
          <w:tcPr>
            <w:tcW w:w="993" w:type="dxa"/>
            <w:gridSpan w:val="2"/>
            <w:tcBorders>
              <w:top w:val="nil"/>
              <w:left w:val="nil"/>
              <w:bottom w:val="nil"/>
              <w:right w:val="nil"/>
            </w:tcBorders>
            <w:shd w:val="clear" w:color="auto" w:fill="auto"/>
            <w:noWrap/>
            <w:vAlign w:val="bottom"/>
          </w:tcPr>
          <w:p w14:paraId="0DB586AA"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0.838</w:t>
            </w:r>
          </w:p>
        </w:tc>
        <w:tc>
          <w:tcPr>
            <w:tcW w:w="1701" w:type="dxa"/>
            <w:gridSpan w:val="2"/>
            <w:tcBorders>
              <w:top w:val="nil"/>
              <w:left w:val="nil"/>
              <w:bottom w:val="nil"/>
              <w:right w:val="nil"/>
            </w:tcBorders>
            <w:shd w:val="clear" w:color="auto" w:fill="auto"/>
            <w:noWrap/>
            <w:vAlign w:val="bottom"/>
          </w:tcPr>
          <w:p w14:paraId="07FBE0B5"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1.11 (0.78, 1.58)</w:t>
            </w:r>
          </w:p>
        </w:tc>
        <w:tc>
          <w:tcPr>
            <w:tcW w:w="992" w:type="dxa"/>
            <w:gridSpan w:val="2"/>
            <w:tcBorders>
              <w:top w:val="nil"/>
              <w:left w:val="nil"/>
              <w:bottom w:val="nil"/>
              <w:right w:val="nil"/>
            </w:tcBorders>
            <w:shd w:val="clear" w:color="auto" w:fill="auto"/>
            <w:noWrap/>
            <w:vAlign w:val="bottom"/>
          </w:tcPr>
          <w:p w14:paraId="64E83507"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0.552</w:t>
            </w:r>
          </w:p>
        </w:tc>
      </w:tr>
      <w:tr w:rsidR="007431AB" w:rsidRPr="00433245" w14:paraId="094A1D42" w14:textId="77777777" w:rsidTr="000A05C7">
        <w:trPr>
          <w:gridAfter w:val="1"/>
          <w:wAfter w:w="990" w:type="dxa"/>
          <w:trHeight w:val="290"/>
        </w:trPr>
        <w:tc>
          <w:tcPr>
            <w:tcW w:w="1370" w:type="dxa"/>
            <w:tcBorders>
              <w:top w:val="nil"/>
              <w:left w:val="nil"/>
              <w:bottom w:val="nil"/>
              <w:right w:val="nil"/>
            </w:tcBorders>
            <w:shd w:val="clear" w:color="auto" w:fill="auto"/>
            <w:noWrap/>
            <w:vAlign w:val="bottom"/>
            <w:hideMark/>
          </w:tcPr>
          <w:p w14:paraId="34964293" w14:textId="77777777" w:rsidR="007431AB" w:rsidRPr="00433245" w:rsidRDefault="007431AB" w:rsidP="000A05C7">
            <w:pPr>
              <w:spacing w:after="0" w:line="240" w:lineRule="auto"/>
              <w:jc w:val="center"/>
              <w:rPr>
                <w:rFonts w:eastAsia="Times New Roman" w:cstheme="minorHAnsi"/>
                <w:lang w:eastAsia="en-GB"/>
              </w:rPr>
            </w:pPr>
          </w:p>
        </w:tc>
        <w:tc>
          <w:tcPr>
            <w:tcW w:w="1985" w:type="dxa"/>
            <w:tcBorders>
              <w:top w:val="nil"/>
              <w:left w:val="nil"/>
              <w:bottom w:val="nil"/>
              <w:right w:val="nil"/>
            </w:tcBorders>
            <w:shd w:val="clear" w:color="auto" w:fill="auto"/>
            <w:noWrap/>
            <w:vAlign w:val="bottom"/>
            <w:hideMark/>
          </w:tcPr>
          <w:p w14:paraId="0384D89F" w14:textId="77777777" w:rsidR="007431AB" w:rsidRPr="00433245" w:rsidRDefault="007431AB" w:rsidP="000A05C7">
            <w:pPr>
              <w:spacing w:after="0" w:line="240" w:lineRule="auto"/>
              <w:rPr>
                <w:rFonts w:eastAsia="Times New Roman" w:cstheme="minorHAnsi"/>
                <w:lang w:eastAsia="en-GB"/>
              </w:rPr>
            </w:pPr>
          </w:p>
        </w:tc>
        <w:tc>
          <w:tcPr>
            <w:tcW w:w="1701" w:type="dxa"/>
            <w:tcBorders>
              <w:top w:val="nil"/>
              <w:left w:val="single" w:sz="4" w:space="0" w:color="auto"/>
              <w:bottom w:val="nil"/>
              <w:right w:val="nil"/>
            </w:tcBorders>
            <w:shd w:val="clear" w:color="auto" w:fill="auto"/>
            <w:noWrap/>
            <w:vAlign w:val="bottom"/>
          </w:tcPr>
          <w:p w14:paraId="1A770FB9" w14:textId="77777777" w:rsidR="007431AB" w:rsidRPr="00433245" w:rsidRDefault="007431AB" w:rsidP="000A05C7">
            <w:pPr>
              <w:spacing w:after="0" w:line="240" w:lineRule="auto"/>
              <w:rPr>
                <w:rFonts w:eastAsia="Times New Roman" w:cstheme="minorHAnsi"/>
                <w:lang w:eastAsia="en-GB"/>
              </w:rPr>
            </w:pPr>
          </w:p>
        </w:tc>
        <w:tc>
          <w:tcPr>
            <w:tcW w:w="992" w:type="dxa"/>
            <w:tcBorders>
              <w:top w:val="nil"/>
              <w:left w:val="nil"/>
              <w:bottom w:val="nil"/>
              <w:right w:val="nil"/>
            </w:tcBorders>
            <w:shd w:val="clear" w:color="auto" w:fill="auto"/>
            <w:noWrap/>
            <w:vAlign w:val="bottom"/>
          </w:tcPr>
          <w:p w14:paraId="64A2FC61" w14:textId="77777777" w:rsidR="007431AB" w:rsidRPr="00433245" w:rsidRDefault="007431AB" w:rsidP="000A05C7">
            <w:pPr>
              <w:spacing w:after="0" w:line="240" w:lineRule="auto"/>
              <w:rPr>
                <w:rFonts w:eastAsia="Times New Roman" w:cstheme="minorHAnsi"/>
                <w:lang w:eastAsia="en-GB"/>
              </w:rPr>
            </w:pPr>
          </w:p>
        </w:tc>
        <w:tc>
          <w:tcPr>
            <w:tcW w:w="1701" w:type="dxa"/>
            <w:gridSpan w:val="2"/>
            <w:tcBorders>
              <w:top w:val="nil"/>
              <w:left w:val="nil"/>
              <w:bottom w:val="nil"/>
              <w:right w:val="nil"/>
            </w:tcBorders>
            <w:shd w:val="clear" w:color="auto" w:fill="auto"/>
            <w:noWrap/>
            <w:vAlign w:val="bottom"/>
          </w:tcPr>
          <w:p w14:paraId="5BB8FCB6" w14:textId="77777777" w:rsidR="007431AB" w:rsidRPr="00433245" w:rsidRDefault="007431AB" w:rsidP="000A05C7">
            <w:pPr>
              <w:spacing w:after="0" w:line="240" w:lineRule="auto"/>
              <w:rPr>
                <w:rFonts w:eastAsia="Times New Roman" w:cstheme="minorHAnsi"/>
                <w:lang w:eastAsia="en-GB"/>
              </w:rPr>
            </w:pPr>
          </w:p>
        </w:tc>
        <w:tc>
          <w:tcPr>
            <w:tcW w:w="992" w:type="dxa"/>
            <w:gridSpan w:val="2"/>
            <w:tcBorders>
              <w:top w:val="nil"/>
              <w:left w:val="nil"/>
              <w:bottom w:val="nil"/>
              <w:right w:val="single" w:sz="4" w:space="0" w:color="auto"/>
            </w:tcBorders>
            <w:shd w:val="clear" w:color="auto" w:fill="auto"/>
            <w:noWrap/>
            <w:vAlign w:val="bottom"/>
          </w:tcPr>
          <w:p w14:paraId="62C3CC66" w14:textId="77777777" w:rsidR="007431AB" w:rsidRPr="00433245" w:rsidRDefault="007431AB" w:rsidP="000A05C7">
            <w:pPr>
              <w:spacing w:after="0" w:line="240" w:lineRule="auto"/>
              <w:rPr>
                <w:rFonts w:eastAsia="Times New Roman" w:cstheme="minorHAnsi"/>
                <w:lang w:eastAsia="en-GB"/>
              </w:rPr>
            </w:pPr>
          </w:p>
        </w:tc>
        <w:tc>
          <w:tcPr>
            <w:tcW w:w="1701" w:type="dxa"/>
            <w:gridSpan w:val="2"/>
            <w:tcBorders>
              <w:top w:val="nil"/>
              <w:left w:val="nil"/>
              <w:bottom w:val="nil"/>
              <w:right w:val="nil"/>
            </w:tcBorders>
            <w:shd w:val="clear" w:color="auto" w:fill="auto"/>
            <w:noWrap/>
            <w:vAlign w:val="bottom"/>
          </w:tcPr>
          <w:p w14:paraId="0C854FAE" w14:textId="77777777" w:rsidR="007431AB" w:rsidRPr="00433245" w:rsidRDefault="007431AB" w:rsidP="000A05C7">
            <w:pPr>
              <w:spacing w:after="0" w:line="240" w:lineRule="auto"/>
              <w:rPr>
                <w:rFonts w:eastAsia="Times New Roman" w:cstheme="minorHAnsi"/>
                <w:lang w:eastAsia="en-GB"/>
              </w:rPr>
            </w:pPr>
          </w:p>
        </w:tc>
        <w:tc>
          <w:tcPr>
            <w:tcW w:w="993" w:type="dxa"/>
            <w:gridSpan w:val="2"/>
            <w:tcBorders>
              <w:top w:val="nil"/>
              <w:left w:val="nil"/>
              <w:bottom w:val="nil"/>
              <w:right w:val="nil"/>
            </w:tcBorders>
            <w:shd w:val="clear" w:color="auto" w:fill="auto"/>
            <w:noWrap/>
            <w:vAlign w:val="bottom"/>
          </w:tcPr>
          <w:p w14:paraId="714E8BE4" w14:textId="77777777" w:rsidR="007431AB" w:rsidRPr="00433245" w:rsidRDefault="007431AB" w:rsidP="000A05C7">
            <w:pPr>
              <w:spacing w:after="0" w:line="240" w:lineRule="auto"/>
              <w:rPr>
                <w:rFonts w:eastAsia="Times New Roman" w:cstheme="minorHAnsi"/>
                <w:lang w:eastAsia="en-GB"/>
              </w:rPr>
            </w:pPr>
          </w:p>
        </w:tc>
        <w:tc>
          <w:tcPr>
            <w:tcW w:w="1701" w:type="dxa"/>
            <w:gridSpan w:val="2"/>
            <w:tcBorders>
              <w:top w:val="nil"/>
              <w:left w:val="nil"/>
              <w:bottom w:val="nil"/>
              <w:right w:val="nil"/>
            </w:tcBorders>
            <w:shd w:val="clear" w:color="auto" w:fill="auto"/>
            <w:noWrap/>
            <w:vAlign w:val="bottom"/>
          </w:tcPr>
          <w:p w14:paraId="6D59A72E" w14:textId="77777777" w:rsidR="007431AB" w:rsidRPr="00433245" w:rsidRDefault="007431AB" w:rsidP="000A05C7">
            <w:pPr>
              <w:spacing w:after="0" w:line="240" w:lineRule="auto"/>
              <w:rPr>
                <w:rFonts w:eastAsia="Times New Roman" w:cstheme="minorHAnsi"/>
                <w:lang w:eastAsia="en-GB"/>
              </w:rPr>
            </w:pPr>
          </w:p>
        </w:tc>
        <w:tc>
          <w:tcPr>
            <w:tcW w:w="992" w:type="dxa"/>
            <w:gridSpan w:val="2"/>
            <w:tcBorders>
              <w:top w:val="nil"/>
              <w:left w:val="nil"/>
              <w:bottom w:val="nil"/>
              <w:right w:val="nil"/>
            </w:tcBorders>
            <w:shd w:val="clear" w:color="auto" w:fill="auto"/>
            <w:noWrap/>
            <w:vAlign w:val="bottom"/>
          </w:tcPr>
          <w:p w14:paraId="236F8B92" w14:textId="77777777" w:rsidR="007431AB" w:rsidRPr="00433245" w:rsidRDefault="007431AB" w:rsidP="000A05C7">
            <w:pPr>
              <w:spacing w:after="0" w:line="240" w:lineRule="auto"/>
              <w:rPr>
                <w:rFonts w:eastAsia="Times New Roman" w:cstheme="minorHAnsi"/>
                <w:lang w:eastAsia="en-GB"/>
              </w:rPr>
            </w:pPr>
          </w:p>
        </w:tc>
      </w:tr>
      <w:tr w:rsidR="007431AB" w:rsidRPr="00433245" w14:paraId="7BEF1534" w14:textId="77777777" w:rsidTr="000A05C7">
        <w:trPr>
          <w:gridAfter w:val="1"/>
          <w:wAfter w:w="990" w:type="dxa"/>
          <w:trHeight w:val="290"/>
        </w:trPr>
        <w:tc>
          <w:tcPr>
            <w:tcW w:w="1370" w:type="dxa"/>
            <w:vMerge w:val="restart"/>
            <w:tcBorders>
              <w:top w:val="nil"/>
              <w:left w:val="nil"/>
              <w:bottom w:val="nil"/>
              <w:right w:val="nil"/>
            </w:tcBorders>
            <w:shd w:val="clear" w:color="auto" w:fill="auto"/>
            <w:vAlign w:val="center"/>
            <w:hideMark/>
          </w:tcPr>
          <w:p w14:paraId="7B512FCF" w14:textId="77777777" w:rsidR="007431AB" w:rsidRPr="00433245" w:rsidRDefault="007431AB" w:rsidP="000A05C7">
            <w:pPr>
              <w:spacing w:after="0" w:line="240" w:lineRule="auto"/>
              <w:rPr>
                <w:rFonts w:eastAsia="Times New Roman" w:cstheme="minorHAnsi"/>
                <w:lang w:eastAsia="en-GB"/>
              </w:rPr>
            </w:pPr>
            <w:r w:rsidRPr="00433245">
              <w:rPr>
                <w:rFonts w:eastAsia="Times New Roman" w:cstheme="minorHAnsi"/>
                <w:lang w:eastAsia="en-GB"/>
              </w:rPr>
              <w:t>Muscle (Grip) strength</w:t>
            </w:r>
          </w:p>
        </w:tc>
        <w:tc>
          <w:tcPr>
            <w:tcW w:w="1985" w:type="dxa"/>
            <w:tcBorders>
              <w:top w:val="nil"/>
              <w:left w:val="nil"/>
              <w:bottom w:val="nil"/>
              <w:right w:val="nil"/>
            </w:tcBorders>
            <w:shd w:val="clear" w:color="auto" w:fill="auto"/>
            <w:noWrap/>
            <w:vAlign w:val="bottom"/>
            <w:hideMark/>
          </w:tcPr>
          <w:p w14:paraId="74A4194C" w14:textId="77777777" w:rsidR="007431AB" w:rsidRPr="00433245" w:rsidRDefault="007431AB" w:rsidP="000A05C7">
            <w:pPr>
              <w:spacing w:after="0" w:line="240" w:lineRule="auto"/>
              <w:rPr>
                <w:rFonts w:eastAsia="Times New Roman" w:cstheme="minorHAnsi"/>
                <w:lang w:eastAsia="en-GB"/>
              </w:rPr>
            </w:pPr>
            <w:r w:rsidRPr="00433245">
              <w:rPr>
                <w:rFonts w:eastAsia="Times New Roman" w:cstheme="minorHAnsi"/>
                <w:lang w:eastAsia="en-GB"/>
              </w:rPr>
              <w:t>Fallen since 45</w:t>
            </w:r>
          </w:p>
        </w:tc>
        <w:tc>
          <w:tcPr>
            <w:tcW w:w="1701" w:type="dxa"/>
            <w:tcBorders>
              <w:top w:val="nil"/>
              <w:left w:val="single" w:sz="4" w:space="0" w:color="auto"/>
              <w:bottom w:val="nil"/>
              <w:right w:val="nil"/>
            </w:tcBorders>
            <w:shd w:val="clear" w:color="auto" w:fill="auto"/>
            <w:noWrap/>
            <w:vAlign w:val="bottom"/>
          </w:tcPr>
          <w:p w14:paraId="566B779D"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0.85 (0.68, 1.07)</w:t>
            </w:r>
          </w:p>
        </w:tc>
        <w:tc>
          <w:tcPr>
            <w:tcW w:w="992" w:type="dxa"/>
            <w:tcBorders>
              <w:top w:val="nil"/>
              <w:left w:val="nil"/>
              <w:bottom w:val="nil"/>
              <w:right w:val="nil"/>
            </w:tcBorders>
            <w:shd w:val="clear" w:color="auto" w:fill="auto"/>
            <w:noWrap/>
            <w:vAlign w:val="bottom"/>
          </w:tcPr>
          <w:p w14:paraId="73D89760"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0.167</w:t>
            </w:r>
          </w:p>
        </w:tc>
        <w:tc>
          <w:tcPr>
            <w:tcW w:w="1701" w:type="dxa"/>
            <w:gridSpan w:val="2"/>
            <w:tcBorders>
              <w:top w:val="nil"/>
              <w:left w:val="nil"/>
              <w:bottom w:val="nil"/>
              <w:right w:val="nil"/>
            </w:tcBorders>
            <w:shd w:val="clear" w:color="auto" w:fill="auto"/>
            <w:noWrap/>
            <w:vAlign w:val="bottom"/>
          </w:tcPr>
          <w:p w14:paraId="573439CE"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0.87 (0.67, 1.12)</w:t>
            </w:r>
          </w:p>
        </w:tc>
        <w:tc>
          <w:tcPr>
            <w:tcW w:w="992" w:type="dxa"/>
            <w:gridSpan w:val="2"/>
            <w:tcBorders>
              <w:top w:val="nil"/>
              <w:left w:val="nil"/>
              <w:bottom w:val="nil"/>
              <w:right w:val="single" w:sz="4" w:space="0" w:color="auto"/>
            </w:tcBorders>
            <w:shd w:val="clear" w:color="auto" w:fill="auto"/>
            <w:noWrap/>
            <w:vAlign w:val="bottom"/>
          </w:tcPr>
          <w:p w14:paraId="099A7E76"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0.273</w:t>
            </w:r>
          </w:p>
        </w:tc>
        <w:tc>
          <w:tcPr>
            <w:tcW w:w="1701" w:type="dxa"/>
            <w:gridSpan w:val="2"/>
            <w:tcBorders>
              <w:top w:val="nil"/>
              <w:left w:val="nil"/>
              <w:bottom w:val="nil"/>
              <w:right w:val="nil"/>
            </w:tcBorders>
            <w:shd w:val="clear" w:color="auto" w:fill="auto"/>
            <w:noWrap/>
            <w:vAlign w:val="bottom"/>
          </w:tcPr>
          <w:p w14:paraId="06F23A8E" w14:textId="77777777" w:rsidR="007431AB" w:rsidRPr="00433245" w:rsidRDefault="007431AB" w:rsidP="000A05C7">
            <w:pPr>
              <w:spacing w:after="0" w:line="240" w:lineRule="auto"/>
              <w:jc w:val="center"/>
              <w:rPr>
                <w:rFonts w:eastAsia="Times New Roman" w:cstheme="minorHAnsi"/>
                <w:b/>
                <w:bCs/>
                <w:lang w:eastAsia="en-GB"/>
              </w:rPr>
            </w:pPr>
            <w:r w:rsidRPr="00433245">
              <w:rPr>
                <w:rFonts w:ascii="Calibri" w:hAnsi="Calibri" w:cs="Calibri"/>
                <w:b/>
                <w:bCs/>
              </w:rPr>
              <w:t>0.79 (0.63, 0.99)</w:t>
            </w:r>
          </w:p>
        </w:tc>
        <w:tc>
          <w:tcPr>
            <w:tcW w:w="993" w:type="dxa"/>
            <w:gridSpan w:val="2"/>
            <w:tcBorders>
              <w:top w:val="nil"/>
              <w:left w:val="nil"/>
              <w:bottom w:val="nil"/>
              <w:right w:val="nil"/>
            </w:tcBorders>
            <w:shd w:val="clear" w:color="auto" w:fill="auto"/>
            <w:noWrap/>
            <w:vAlign w:val="bottom"/>
          </w:tcPr>
          <w:p w14:paraId="15BD0A38" w14:textId="77777777" w:rsidR="007431AB" w:rsidRPr="00433245" w:rsidRDefault="007431AB" w:rsidP="000A05C7">
            <w:pPr>
              <w:spacing w:after="0" w:line="240" w:lineRule="auto"/>
              <w:jc w:val="center"/>
              <w:rPr>
                <w:rFonts w:eastAsia="Times New Roman" w:cstheme="minorHAnsi"/>
                <w:b/>
                <w:bCs/>
                <w:lang w:eastAsia="en-GB"/>
              </w:rPr>
            </w:pPr>
            <w:r w:rsidRPr="00433245">
              <w:rPr>
                <w:rFonts w:ascii="Calibri" w:hAnsi="Calibri" w:cs="Calibri"/>
                <w:b/>
                <w:bCs/>
              </w:rPr>
              <w:t>0.045</w:t>
            </w:r>
          </w:p>
        </w:tc>
        <w:tc>
          <w:tcPr>
            <w:tcW w:w="1701" w:type="dxa"/>
            <w:gridSpan w:val="2"/>
            <w:tcBorders>
              <w:top w:val="nil"/>
              <w:left w:val="nil"/>
              <w:bottom w:val="nil"/>
              <w:right w:val="nil"/>
            </w:tcBorders>
            <w:shd w:val="clear" w:color="auto" w:fill="auto"/>
            <w:noWrap/>
            <w:vAlign w:val="bottom"/>
          </w:tcPr>
          <w:p w14:paraId="103DB567"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0.79 (0.61, 1.01)</w:t>
            </w:r>
          </w:p>
        </w:tc>
        <w:tc>
          <w:tcPr>
            <w:tcW w:w="992" w:type="dxa"/>
            <w:gridSpan w:val="2"/>
            <w:tcBorders>
              <w:top w:val="nil"/>
              <w:left w:val="nil"/>
              <w:bottom w:val="nil"/>
              <w:right w:val="nil"/>
            </w:tcBorders>
            <w:shd w:val="clear" w:color="auto" w:fill="auto"/>
            <w:noWrap/>
            <w:vAlign w:val="bottom"/>
          </w:tcPr>
          <w:p w14:paraId="2A64E698"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0.060</w:t>
            </w:r>
          </w:p>
        </w:tc>
      </w:tr>
      <w:tr w:rsidR="007431AB" w:rsidRPr="00433245" w14:paraId="6CEBB1E8" w14:textId="77777777" w:rsidTr="000A05C7">
        <w:trPr>
          <w:gridAfter w:val="1"/>
          <w:wAfter w:w="990" w:type="dxa"/>
          <w:trHeight w:val="290"/>
        </w:trPr>
        <w:tc>
          <w:tcPr>
            <w:tcW w:w="1370" w:type="dxa"/>
            <w:vMerge/>
            <w:tcBorders>
              <w:top w:val="nil"/>
              <w:left w:val="nil"/>
              <w:bottom w:val="nil"/>
              <w:right w:val="nil"/>
            </w:tcBorders>
            <w:vAlign w:val="center"/>
            <w:hideMark/>
          </w:tcPr>
          <w:p w14:paraId="1E0D70BE" w14:textId="77777777" w:rsidR="007431AB" w:rsidRPr="00433245" w:rsidRDefault="007431AB" w:rsidP="000A05C7">
            <w:pPr>
              <w:spacing w:after="0" w:line="240" w:lineRule="auto"/>
              <w:rPr>
                <w:rFonts w:eastAsia="Times New Roman" w:cstheme="minorHAnsi"/>
                <w:lang w:eastAsia="en-GB"/>
              </w:rPr>
            </w:pPr>
          </w:p>
        </w:tc>
        <w:tc>
          <w:tcPr>
            <w:tcW w:w="1985" w:type="dxa"/>
            <w:tcBorders>
              <w:top w:val="nil"/>
              <w:left w:val="nil"/>
              <w:bottom w:val="nil"/>
              <w:right w:val="nil"/>
            </w:tcBorders>
            <w:shd w:val="clear" w:color="auto" w:fill="auto"/>
            <w:noWrap/>
            <w:vAlign w:val="bottom"/>
            <w:hideMark/>
          </w:tcPr>
          <w:p w14:paraId="04AADE74" w14:textId="77777777" w:rsidR="007431AB" w:rsidRPr="00433245" w:rsidRDefault="007431AB" w:rsidP="000A05C7">
            <w:pPr>
              <w:spacing w:after="0" w:line="240" w:lineRule="auto"/>
              <w:rPr>
                <w:rFonts w:eastAsia="Times New Roman" w:cstheme="minorHAnsi"/>
                <w:lang w:eastAsia="en-GB"/>
              </w:rPr>
            </w:pPr>
            <w:r w:rsidRPr="00433245">
              <w:rPr>
                <w:rFonts w:eastAsia="Times New Roman" w:cstheme="minorHAnsi"/>
                <w:lang w:eastAsia="en-GB"/>
              </w:rPr>
              <w:t>Fallen in last year</w:t>
            </w:r>
          </w:p>
        </w:tc>
        <w:tc>
          <w:tcPr>
            <w:tcW w:w="1701" w:type="dxa"/>
            <w:tcBorders>
              <w:top w:val="nil"/>
              <w:left w:val="single" w:sz="4" w:space="0" w:color="auto"/>
              <w:bottom w:val="nil"/>
              <w:right w:val="nil"/>
            </w:tcBorders>
            <w:shd w:val="clear" w:color="auto" w:fill="auto"/>
            <w:noWrap/>
            <w:vAlign w:val="bottom"/>
          </w:tcPr>
          <w:p w14:paraId="2A24A8D0"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0.75 (0.55, 1.03)</w:t>
            </w:r>
          </w:p>
        </w:tc>
        <w:tc>
          <w:tcPr>
            <w:tcW w:w="992" w:type="dxa"/>
            <w:tcBorders>
              <w:top w:val="nil"/>
              <w:left w:val="nil"/>
              <w:bottom w:val="nil"/>
              <w:right w:val="nil"/>
            </w:tcBorders>
            <w:shd w:val="clear" w:color="auto" w:fill="auto"/>
            <w:noWrap/>
            <w:vAlign w:val="bottom"/>
          </w:tcPr>
          <w:p w14:paraId="5B6CEE88"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0.078</w:t>
            </w:r>
          </w:p>
        </w:tc>
        <w:tc>
          <w:tcPr>
            <w:tcW w:w="1701" w:type="dxa"/>
            <w:gridSpan w:val="2"/>
            <w:tcBorders>
              <w:top w:val="nil"/>
              <w:left w:val="nil"/>
              <w:bottom w:val="nil"/>
              <w:right w:val="nil"/>
            </w:tcBorders>
            <w:shd w:val="clear" w:color="auto" w:fill="auto"/>
            <w:noWrap/>
            <w:vAlign w:val="bottom"/>
          </w:tcPr>
          <w:p w14:paraId="7D07AF5E"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0.76 (0.54, 1.08)</w:t>
            </w:r>
          </w:p>
        </w:tc>
        <w:tc>
          <w:tcPr>
            <w:tcW w:w="992" w:type="dxa"/>
            <w:gridSpan w:val="2"/>
            <w:tcBorders>
              <w:top w:val="nil"/>
              <w:left w:val="nil"/>
              <w:bottom w:val="nil"/>
              <w:right w:val="single" w:sz="4" w:space="0" w:color="auto"/>
            </w:tcBorders>
            <w:shd w:val="clear" w:color="auto" w:fill="auto"/>
            <w:noWrap/>
            <w:vAlign w:val="bottom"/>
          </w:tcPr>
          <w:p w14:paraId="2ADFB2CB"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0.129</w:t>
            </w:r>
          </w:p>
        </w:tc>
        <w:tc>
          <w:tcPr>
            <w:tcW w:w="1701" w:type="dxa"/>
            <w:gridSpan w:val="2"/>
            <w:tcBorders>
              <w:top w:val="nil"/>
              <w:left w:val="nil"/>
              <w:bottom w:val="nil"/>
              <w:right w:val="nil"/>
            </w:tcBorders>
            <w:shd w:val="clear" w:color="auto" w:fill="auto"/>
            <w:noWrap/>
            <w:vAlign w:val="bottom"/>
          </w:tcPr>
          <w:p w14:paraId="62DAE325"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0.88 (0.67, 1.17)</w:t>
            </w:r>
          </w:p>
        </w:tc>
        <w:tc>
          <w:tcPr>
            <w:tcW w:w="993" w:type="dxa"/>
            <w:gridSpan w:val="2"/>
            <w:tcBorders>
              <w:top w:val="nil"/>
              <w:left w:val="nil"/>
              <w:bottom w:val="nil"/>
              <w:right w:val="nil"/>
            </w:tcBorders>
            <w:shd w:val="clear" w:color="auto" w:fill="auto"/>
            <w:noWrap/>
            <w:vAlign w:val="bottom"/>
          </w:tcPr>
          <w:p w14:paraId="0248F4A3"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0.382</w:t>
            </w:r>
          </w:p>
        </w:tc>
        <w:tc>
          <w:tcPr>
            <w:tcW w:w="1701" w:type="dxa"/>
            <w:gridSpan w:val="2"/>
            <w:tcBorders>
              <w:top w:val="nil"/>
              <w:left w:val="nil"/>
              <w:bottom w:val="nil"/>
              <w:right w:val="nil"/>
            </w:tcBorders>
            <w:shd w:val="clear" w:color="auto" w:fill="auto"/>
            <w:noWrap/>
            <w:vAlign w:val="bottom"/>
          </w:tcPr>
          <w:p w14:paraId="43DDBDCC"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0.82 (0.60, 1.11)</w:t>
            </w:r>
          </w:p>
        </w:tc>
        <w:tc>
          <w:tcPr>
            <w:tcW w:w="992" w:type="dxa"/>
            <w:gridSpan w:val="2"/>
            <w:tcBorders>
              <w:top w:val="nil"/>
              <w:left w:val="nil"/>
              <w:bottom w:val="nil"/>
              <w:right w:val="nil"/>
            </w:tcBorders>
            <w:shd w:val="clear" w:color="auto" w:fill="auto"/>
            <w:noWrap/>
            <w:vAlign w:val="bottom"/>
          </w:tcPr>
          <w:p w14:paraId="2CC717E0"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0.198</w:t>
            </w:r>
          </w:p>
        </w:tc>
      </w:tr>
      <w:tr w:rsidR="007431AB" w:rsidRPr="00433245" w14:paraId="126E15CC" w14:textId="77777777" w:rsidTr="000A05C7">
        <w:trPr>
          <w:gridAfter w:val="1"/>
          <w:wAfter w:w="990" w:type="dxa"/>
          <w:trHeight w:val="290"/>
        </w:trPr>
        <w:tc>
          <w:tcPr>
            <w:tcW w:w="1370" w:type="dxa"/>
            <w:vMerge/>
            <w:tcBorders>
              <w:top w:val="nil"/>
              <w:left w:val="nil"/>
              <w:bottom w:val="nil"/>
              <w:right w:val="nil"/>
            </w:tcBorders>
            <w:vAlign w:val="center"/>
            <w:hideMark/>
          </w:tcPr>
          <w:p w14:paraId="291500B4" w14:textId="77777777" w:rsidR="007431AB" w:rsidRPr="00433245" w:rsidRDefault="007431AB" w:rsidP="000A05C7">
            <w:pPr>
              <w:spacing w:after="0" w:line="240" w:lineRule="auto"/>
              <w:rPr>
                <w:rFonts w:eastAsia="Times New Roman" w:cstheme="minorHAnsi"/>
                <w:lang w:eastAsia="en-GB"/>
              </w:rPr>
            </w:pPr>
          </w:p>
        </w:tc>
        <w:tc>
          <w:tcPr>
            <w:tcW w:w="1985" w:type="dxa"/>
            <w:tcBorders>
              <w:top w:val="nil"/>
              <w:left w:val="nil"/>
              <w:bottom w:val="nil"/>
              <w:right w:val="nil"/>
            </w:tcBorders>
            <w:shd w:val="clear" w:color="auto" w:fill="auto"/>
            <w:noWrap/>
            <w:vAlign w:val="bottom"/>
            <w:hideMark/>
          </w:tcPr>
          <w:p w14:paraId="25C8B0C4" w14:textId="77777777" w:rsidR="007431AB" w:rsidRPr="00433245" w:rsidRDefault="007431AB" w:rsidP="000A05C7">
            <w:pPr>
              <w:spacing w:after="0" w:line="240" w:lineRule="auto"/>
              <w:rPr>
                <w:rFonts w:eastAsia="Times New Roman" w:cstheme="minorHAnsi"/>
                <w:lang w:eastAsia="en-GB"/>
              </w:rPr>
            </w:pPr>
            <w:r w:rsidRPr="00433245">
              <w:rPr>
                <w:rFonts w:eastAsia="Times New Roman" w:cstheme="minorHAnsi"/>
                <w:lang w:eastAsia="en-GB"/>
              </w:rPr>
              <w:t>No. falls in last year</w:t>
            </w:r>
          </w:p>
        </w:tc>
        <w:tc>
          <w:tcPr>
            <w:tcW w:w="1701" w:type="dxa"/>
            <w:tcBorders>
              <w:top w:val="nil"/>
              <w:left w:val="single" w:sz="4" w:space="0" w:color="auto"/>
              <w:bottom w:val="nil"/>
              <w:right w:val="nil"/>
            </w:tcBorders>
            <w:shd w:val="clear" w:color="auto" w:fill="auto"/>
            <w:noWrap/>
            <w:vAlign w:val="bottom"/>
          </w:tcPr>
          <w:p w14:paraId="1F320B99"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0.77 (0.56, 1.06)</w:t>
            </w:r>
          </w:p>
        </w:tc>
        <w:tc>
          <w:tcPr>
            <w:tcW w:w="992" w:type="dxa"/>
            <w:tcBorders>
              <w:top w:val="nil"/>
              <w:left w:val="nil"/>
              <w:bottom w:val="nil"/>
              <w:right w:val="nil"/>
            </w:tcBorders>
            <w:shd w:val="clear" w:color="auto" w:fill="auto"/>
            <w:noWrap/>
            <w:vAlign w:val="bottom"/>
          </w:tcPr>
          <w:p w14:paraId="5DF3AF7E"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0.105</w:t>
            </w:r>
          </w:p>
        </w:tc>
        <w:tc>
          <w:tcPr>
            <w:tcW w:w="1701" w:type="dxa"/>
            <w:gridSpan w:val="2"/>
            <w:tcBorders>
              <w:top w:val="nil"/>
              <w:left w:val="nil"/>
              <w:bottom w:val="nil"/>
              <w:right w:val="nil"/>
            </w:tcBorders>
            <w:shd w:val="clear" w:color="auto" w:fill="auto"/>
            <w:noWrap/>
            <w:vAlign w:val="bottom"/>
          </w:tcPr>
          <w:p w14:paraId="68A0567A"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0.78 (0.55, 1.11)</w:t>
            </w:r>
          </w:p>
        </w:tc>
        <w:tc>
          <w:tcPr>
            <w:tcW w:w="992" w:type="dxa"/>
            <w:gridSpan w:val="2"/>
            <w:tcBorders>
              <w:top w:val="nil"/>
              <w:left w:val="nil"/>
              <w:bottom w:val="nil"/>
              <w:right w:val="single" w:sz="4" w:space="0" w:color="auto"/>
            </w:tcBorders>
            <w:shd w:val="clear" w:color="auto" w:fill="auto"/>
            <w:noWrap/>
            <w:vAlign w:val="bottom"/>
          </w:tcPr>
          <w:p w14:paraId="6A228120"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0.175</w:t>
            </w:r>
          </w:p>
        </w:tc>
        <w:tc>
          <w:tcPr>
            <w:tcW w:w="1701" w:type="dxa"/>
            <w:gridSpan w:val="2"/>
            <w:tcBorders>
              <w:top w:val="nil"/>
              <w:left w:val="nil"/>
              <w:bottom w:val="nil"/>
              <w:right w:val="nil"/>
            </w:tcBorders>
            <w:shd w:val="clear" w:color="auto" w:fill="auto"/>
            <w:noWrap/>
            <w:vAlign w:val="bottom"/>
          </w:tcPr>
          <w:p w14:paraId="48C09DAA"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0.85 (0.64, 1.13)</w:t>
            </w:r>
          </w:p>
        </w:tc>
        <w:tc>
          <w:tcPr>
            <w:tcW w:w="993" w:type="dxa"/>
            <w:gridSpan w:val="2"/>
            <w:tcBorders>
              <w:top w:val="nil"/>
              <w:left w:val="nil"/>
              <w:bottom w:val="nil"/>
              <w:right w:val="nil"/>
            </w:tcBorders>
            <w:shd w:val="clear" w:color="auto" w:fill="auto"/>
            <w:noWrap/>
            <w:vAlign w:val="bottom"/>
          </w:tcPr>
          <w:p w14:paraId="206D51F6"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0.273</w:t>
            </w:r>
          </w:p>
        </w:tc>
        <w:tc>
          <w:tcPr>
            <w:tcW w:w="1701" w:type="dxa"/>
            <w:gridSpan w:val="2"/>
            <w:tcBorders>
              <w:top w:val="nil"/>
              <w:left w:val="nil"/>
              <w:bottom w:val="nil"/>
              <w:right w:val="nil"/>
            </w:tcBorders>
            <w:shd w:val="clear" w:color="auto" w:fill="auto"/>
            <w:noWrap/>
            <w:vAlign w:val="bottom"/>
          </w:tcPr>
          <w:p w14:paraId="1CEDFD9F"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0.77 (0.57, 1.06)</w:t>
            </w:r>
          </w:p>
        </w:tc>
        <w:tc>
          <w:tcPr>
            <w:tcW w:w="992" w:type="dxa"/>
            <w:gridSpan w:val="2"/>
            <w:tcBorders>
              <w:top w:val="nil"/>
              <w:left w:val="nil"/>
              <w:bottom w:val="nil"/>
              <w:right w:val="nil"/>
            </w:tcBorders>
            <w:shd w:val="clear" w:color="auto" w:fill="auto"/>
            <w:noWrap/>
            <w:vAlign w:val="bottom"/>
          </w:tcPr>
          <w:p w14:paraId="71277987"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0.109</w:t>
            </w:r>
          </w:p>
        </w:tc>
      </w:tr>
      <w:tr w:rsidR="007431AB" w:rsidRPr="00433245" w14:paraId="230E1D62" w14:textId="77777777" w:rsidTr="000A05C7">
        <w:trPr>
          <w:gridAfter w:val="1"/>
          <w:wAfter w:w="990" w:type="dxa"/>
          <w:trHeight w:val="290"/>
        </w:trPr>
        <w:tc>
          <w:tcPr>
            <w:tcW w:w="1370" w:type="dxa"/>
            <w:vMerge/>
            <w:tcBorders>
              <w:top w:val="nil"/>
              <w:left w:val="nil"/>
              <w:bottom w:val="nil"/>
              <w:right w:val="nil"/>
            </w:tcBorders>
            <w:vAlign w:val="center"/>
            <w:hideMark/>
          </w:tcPr>
          <w:p w14:paraId="2447005D" w14:textId="77777777" w:rsidR="007431AB" w:rsidRPr="00433245" w:rsidRDefault="007431AB" w:rsidP="000A05C7">
            <w:pPr>
              <w:spacing w:after="0" w:line="240" w:lineRule="auto"/>
              <w:rPr>
                <w:rFonts w:eastAsia="Times New Roman" w:cstheme="minorHAnsi"/>
                <w:lang w:eastAsia="en-GB"/>
              </w:rPr>
            </w:pPr>
          </w:p>
        </w:tc>
        <w:tc>
          <w:tcPr>
            <w:tcW w:w="1985" w:type="dxa"/>
            <w:tcBorders>
              <w:top w:val="nil"/>
              <w:left w:val="nil"/>
              <w:bottom w:val="nil"/>
              <w:right w:val="nil"/>
            </w:tcBorders>
            <w:shd w:val="clear" w:color="auto" w:fill="auto"/>
            <w:noWrap/>
            <w:vAlign w:val="bottom"/>
            <w:hideMark/>
          </w:tcPr>
          <w:p w14:paraId="52E5ADAD" w14:textId="77777777" w:rsidR="007431AB" w:rsidRPr="00433245" w:rsidRDefault="007431AB" w:rsidP="000A05C7">
            <w:pPr>
              <w:spacing w:after="0" w:line="240" w:lineRule="auto"/>
              <w:rPr>
                <w:rFonts w:eastAsia="Times New Roman" w:cstheme="minorHAnsi"/>
                <w:lang w:eastAsia="en-GB"/>
              </w:rPr>
            </w:pPr>
            <w:r w:rsidRPr="00433245">
              <w:rPr>
                <w:rFonts w:eastAsia="Times New Roman" w:cstheme="minorHAnsi"/>
                <w:lang w:eastAsia="en-GB"/>
              </w:rPr>
              <w:t>Fracture since 45</w:t>
            </w:r>
          </w:p>
        </w:tc>
        <w:tc>
          <w:tcPr>
            <w:tcW w:w="1701" w:type="dxa"/>
            <w:tcBorders>
              <w:top w:val="nil"/>
              <w:left w:val="single" w:sz="4" w:space="0" w:color="auto"/>
              <w:bottom w:val="nil"/>
              <w:right w:val="nil"/>
            </w:tcBorders>
            <w:shd w:val="clear" w:color="auto" w:fill="auto"/>
            <w:noWrap/>
            <w:vAlign w:val="bottom"/>
          </w:tcPr>
          <w:p w14:paraId="5044A109"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1.33 (0.98, 1.81)</w:t>
            </w:r>
          </w:p>
        </w:tc>
        <w:tc>
          <w:tcPr>
            <w:tcW w:w="992" w:type="dxa"/>
            <w:tcBorders>
              <w:top w:val="nil"/>
              <w:left w:val="nil"/>
              <w:bottom w:val="nil"/>
              <w:right w:val="nil"/>
            </w:tcBorders>
            <w:shd w:val="clear" w:color="auto" w:fill="auto"/>
            <w:noWrap/>
            <w:vAlign w:val="bottom"/>
          </w:tcPr>
          <w:p w14:paraId="73E2B247"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0.070</w:t>
            </w:r>
          </w:p>
        </w:tc>
        <w:tc>
          <w:tcPr>
            <w:tcW w:w="1701" w:type="dxa"/>
            <w:gridSpan w:val="2"/>
            <w:tcBorders>
              <w:top w:val="nil"/>
              <w:left w:val="nil"/>
              <w:bottom w:val="nil"/>
              <w:right w:val="nil"/>
            </w:tcBorders>
            <w:shd w:val="clear" w:color="auto" w:fill="auto"/>
            <w:noWrap/>
            <w:vAlign w:val="bottom"/>
          </w:tcPr>
          <w:p w14:paraId="5ADE5018"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1.35 (0.95, 1.92)</w:t>
            </w:r>
          </w:p>
        </w:tc>
        <w:tc>
          <w:tcPr>
            <w:tcW w:w="992" w:type="dxa"/>
            <w:gridSpan w:val="2"/>
            <w:tcBorders>
              <w:top w:val="nil"/>
              <w:left w:val="nil"/>
              <w:bottom w:val="nil"/>
              <w:right w:val="single" w:sz="4" w:space="0" w:color="auto"/>
            </w:tcBorders>
            <w:shd w:val="clear" w:color="auto" w:fill="auto"/>
            <w:noWrap/>
            <w:vAlign w:val="bottom"/>
          </w:tcPr>
          <w:p w14:paraId="1DB37DC4"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0.098</w:t>
            </w:r>
          </w:p>
        </w:tc>
        <w:tc>
          <w:tcPr>
            <w:tcW w:w="1701" w:type="dxa"/>
            <w:gridSpan w:val="2"/>
            <w:tcBorders>
              <w:top w:val="nil"/>
              <w:left w:val="nil"/>
              <w:bottom w:val="nil"/>
              <w:right w:val="nil"/>
            </w:tcBorders>
            <w:shd w:val="clear" w:color="auto" w:fill="auto"/>
            <w:noWrap/>
            <w:vAlign w:val="bottom"/>
          </w:tcPr>
          <w:p w14:paraId="09EC81E7" w14:textId="77777777" w:rsidR="007431AB" w:rsidRPr="00433245" w:rsidRDefault="007431AB" w:rsidP="000A05C7">
            <w:pPr>
              <w:spacing w:after="0" w:line="240" w:lineRule="auto"/>
              <w:jc w:val="center"/>
              <w:rPr>
                <w:rFonts w:eastAsia="Times New Roman" w:cstheme="minorHAnsi"/>
                <w:b/>
                <w:bCs/>
                <w:lang w:eastAsia="en-GB"/>
              </w:rPr>
            </w:pPr>
            <w:r w:rsidRPr="00433245">
              <w:rPr>
                <w:rFonts w:ascii="Calibri" w:hAnsi="Calibri" w:cs="Calibri"/>
                <w:b/>
                <w:bCs/>
              </w:rPr>
              <w:t>0.74 (0.56, 0.97)</w:t>
            </w:r>
          </w:p>
        </w:tc>
        <w:tc>
          <w:tcPr>
            <w:tcW w:w="993" w:type="dxa"/>
            <w:gridSpan w:val="2"/>
            <w:tcBorders>
              <w:top w:val="nil"/>
              <w:left w:val="nil"/>
              <w:bottom w:val="nil"/>
              <w:right w:val="nil"/>
            </w:tcBorders>
            <w:shd w:val="clear" w:color="auto" w:fill="auto"/>
            <w:noWrap/>
            <w:vAlign w:val="bottom"/>
          </w:tcPr>
          <w:p w14:paraId="51402926" w14:textId="77777777" w:rsidR="007431AB" w:rsidRPr="00433245" w:rsidRDefault="007431AB" w:rsidP="000A05C7">
            <w:pPr>
              <w:spacing w:after="0" w:line="240" w:lineRule="auto"/>
              <w:jc w:val="center"/>
              <w:rPr>
                <w:rFonts w:eastAsia="Times New Roman" w:cstheme="minorHAnsi"/>
                <w:b/>
                <w:bCs/>
                <w:lang w:eastAsia="en-GB"/>
              </w:rPr>
            </w:pPr>
            <w:r w:rsidRPr="00433245">
              <w:rPr>
                <w:rFonts w:ascii="Calibri" w:hAnsi="Calibri" w:cs="Calibri"/>
                <w:b/>
                <w:bCs/>
              </w:rPr>
              <w:t>0.030</w:t>
            </w:r>
          </w:p>
        </w:tc>
        <w:tc>
          <w:tcPr>
            <w:tcW w:w="1701" w:type="dxa"/>
            <w:gridSpan w:val="2"/>
            <w:tcBorders>
              <w:top w:val="nil"/>
              <w:left w:val="nil"/>
              <w:bottom w:val="nil"/>
              <w:right w:val="nil"/>
            </w:tcBorders>
            <w:shd w:val="clear" w:color="auto" w:fill="auto"/>
            <w:noWrap/>
            <w:vAlign w:val="bottom"/>
          </w:tcPr>
          <w:p w14:paraId="2577736B" w14:textId="77777777" w:rsidR="007431AB" w:rsidRPr="00433245" w:rsidRDefault="007431AB" w:rsidP="000A05C7">
            <w:pPr>
              <w:spacing w:after="0" w:line="240" w:lineRule="auto"/>
              <w:jc w:val="center"/>
              <w:rPr>
                <w:rFonts w:eastAsia="Times New Roman" w:cstheme="minorHAnsi"/>
                <w:b/>
                <w:bCs/>
                <w:lang w:eastAsia="en-GB"/>
              </w:rPr>
            </w:pPr>
            <w:r w:rsidRPr="00433245">
              <w:rPr>
                <w:rFonts w:ascii="Calibri" w:hAnsi="Calibri" w:cs="Calibri"/>
                <w:b/>
                <w:bCs/>
              </w:rPr>
              <w:t>0.74 (0.55, 0.99)</w:t>
            </w:r>
          </w:p>
        </w:tc>
        <w:tc>
          <w:tcPr>
            <w:tcW w:w="992" w:type="dxa"/>
            <w:gridSpan w:val="2"/>
            <w:tcBorders>
              <w:top w:val="nil"/>
              <w:left w:val="nil"/>
              <w:bottom w:val="nil"/>
              <w:right w:val="nil"/>
            </w:tcBorders>
            <w:shd w:val="clear" w:color="auto" w:fill="auto"/>
            <w:noWrap/>
            <w:vAlign w:val="bottom"/>
          </w:tcPr>
          <w:p w14:paraId="729396D3" w14:textId="77777777" w:rsidR="007431AB" w:rsidRPr="00433245" w:rsidRDefault="007431AB" w:rsidP="000A05C7">
            <w:pPr>
              <w:spacing w:after="0" w:line="240" w:lineRule="auto"/>
              <w:jc w:val="center"/>
              <w:rPr>
                <w:rFonts w:eastAsia="Times New Roman" w:cstheme="minorHAnsi"/>
                <w:b/>
                <w:bCs/>
                <w:lang w:eastAsia="en-GB"/>
              </w:rPr>
            </w:pPr>
            <w:r w:rsidRPr="00433245">
              <w:rPr>
                <w:rFonts w:ascii="Calibri" w:hAnsi="Calibri" w:cs="Calibri"/>
                <w:b/>
                <w:bCs/>
              </w:rPr>
              <w:t>0.042</w:t>
            </w:r>
          </w:p>
        </w:tc>
      </w:tr>
      <w:tr w:rsidR="007431AB" w:rsidRPr="00433245" w14:paraId="165106D6" w14:textId="77777777" w:rsidTr="000A05C7">
        <w:trPr>
          <w:gridAfter w:val="1"/>
          <w:wAfter w:w="990" w:type="dxa"/>
          <w:trHeight w:val="290"/>
        </w:trPr>
        <w:tc>
          <w:tcPr>
            <w:tcW w:w="1370" w:type="dxa"/>
            <w:tcBorders>
              <w:top w:val="nil"/>
              <w:left w:val="nil"/>
              <w:bottom w:val="nil"/>
              <w:right w:val="nil"/>
            </w:tcBorders>
            <w:shd w:val="clear" w:color="auto" w:fill="auto"/>
            <w:noWrap/>
            <w:vAlign w:val="bottom"/>
            <w:hideMark/>
          </w:tcPr>
          <w:p w14:paraId="6F89EE79" w14:textId="77777777" w:rsidR="007431AB" w:rsidRPr="00433245" w:rsidRDefault="007431AB" w:rsidP="000A05C7">
            <w:pPr>
              <w:spacing w:after="0" w:line="240" w:lineRule="auto"/>
              <w:jc w:val="center"/>
              <w:rPr>
                <w:rFonts w:eastAsia="Times New Roman" w:cstheme="minorHAnsi"/>
                <w:b/>
                <w:bCs/>
                <w:lang w:eastAsia="en-GB"/>
              </w:rPr>
            </w:pPr>
          </w:p>
        </w:tc>
        <w:tc>
          <w:tcPr>
            <w:tcW w:w="1985" w:type="dxa"/>
            <w:tcBorders>
              <w:top w:val="nil"/>
              <w:left w:val="nil"/>
              <w:bottom w:val="nil"/>
              <w:right w:val="nil"/>
            </w:tcBorders>
            <w:shd w:val="clear" w:color="auto" w:fill="auto"/>
            <w:noWrap/>
            <w:vAlign w:val="bottom"/>
            <w:hideMark/>
          </w:tcPr>
          <w:p w14:paraId="198E88CD" w14:textId="77777777" w:rsidR="007431AB" w:rsidRPr="00433245" w:rsidRDefault="007431AB" w:rsidP="000A05C7">
            <w:pPr>
              <w:spacing w:after="0" w:line="240" w:lineRule="auto"/>
              <w:rPr>
                <w:rFonts w:eastAsia="Times New Roman" w:cstheme="minorHAnsi"/>
                <w:lang w:eastAsia="en-GB"/>
              </w:rPr>
            </w:pPr>
          </w:p>
        </w:tc>
        <w:tc>
          <w:tcPr>
            <w:tcW w:w="1701" w:type="dxa"/>
            <w:tcBorders>
              <w:top w:val="nil"/>
              <w:left w:val="single" w:sz="4" w:space="0" w:color="auto"/>
              <w:bottom w:val="nil"/>
              <w:right w:val="nil"/>
            </w:tcBorders>
            <w:shd w:val="clear" w:color="auto" w:fill="auto"/>
            <w:noWrap/>
            <w:vAlign w:val="bottom"/>
          </w:tcPr>
          <w:p w14:paraId="0C22E93B" w14:textId="77777777" w:rsidR="007431AB" w:rsidRPr="00433245" w:rsidRDefault="007431AB" w:rsidP="000A05C7">
            <w:pPr>
              <w:spacing w:after="0" w:line="240" w:lineRule="auto"/>
              <w:jc w:val="center"/>
              <w:rPr>
                <w:rFonts w:eastAsia="Times New Roman" w:cstheme="minorHAnsi"/>
                <w:b/>
                <w:bCs/>
                <w:lang w:eastAsia="en-GB"/>
              </w:rPr>
            </w:pPr>
          </w:p>
        </w:tc>
        <w:tc>
          <w:tcPr>
            <w:tcW w:w="992" w:type="dxa"/>
            <w:tcBorders>
              <w:top w:val="nil"/>
              <w:left w:val="nil"/>
              <w:bottom w:val="nil"/>
              <w:right w:val="nil"/>
            </w:tcBorders>
            <w:shd w:val="clear" w:color="auto" w:fill="auto"/>
            <w:noWrap/>
            <w:vAlign w:val="bottom"/>
          </w:tcPr>
          <w:p w14:paraId="325A3E39" w14:textId="77777777" w:rsidR="007431AB" w:rsidRPr="00433245" w:rsidRDefault="007431AB" w:rsidP="000A05C7">
            <w:pPr>
              <w:spacing w:after="0" w:line="240" w:lineRule="auto"/>
              <w:jc w:val="center"/>
              <w:rPr>
                <w:rFonts w:eastAsia="Times New Roman" w:cstheme="minorHAnsi"/>
                <w:b/>
                <w:bCs/>
                <w:lang w:eastAsia="en-GB"/>
              </w:rPr>
            </w:pPr>
          </w:p>
        </w:tc>
        <w:tc>
          <w:tcPr>
            <w:tcW w:w="1701" w:type="dxa"/>
            <w:gridSpan w:val="2"/>
            <w:tcBorders>
              <w:top w:val="nil"/>
              <w:left w:val="nil"/>
              <w:bottom w:val="nil"/>
              <w:right w:val="nil"/>
            </w:tcBorders>
            <w:shd w:val="clear" w:color="auto" w:fill="auto"/>
            <w:noWrap/>
            <w:vAlign w:val="bottom"/>
          </w:tcPr>
          <w:p w14:paraId="4B11D69D" w14:textId="77777777" w:rsidR="007431AB" w:rsidRPr="00433245" w:rsidRDefault="007431AB" w:rsidP="000A05C7">
            <w:pPr>
              <w:spacing w:after="0" w:line="240" w:lineRule="auto"/>
              <w:jc w:val="center"/>
              <w:rPr>
                <w:rFonts w:eastAsia="Times New Roman" w:cstheme="minorHAnsi"/>
                <w:lang w:eastAsia="en-GB"/>
              </w:rPr>
            </w:pPr>
          </w:p>
        </w:tc>
        <w:tc>
          <w:tcPr>
            <w:tcW w:w="992" w:type="dxa"/>
            <w:gridSpan w:val="2"/>
            <w:tcBorders>
              <w:top w:val="nil"/>
              <w:left w:val="nil"/>
              <w:bottom w:val="nil"/>
              <w:right w:val="single" w:sz="4" w:space="0" w:color="auto"/>
            </w:tcBorders>
            <w:shd w:val="clear" w:color="auto" w:fill="auto"/>
            <w:noWrap/>
            <w:vAlign w:val="bottom"/>
          </w:tcPr>
          <w:p w14:paraId="066330F0" w14:textId="77777777" w:rsidR="007431AB" w:rsidRPr="00433245" w:rsidRDefault="007431AB" w:rsidP="000A05C7">
            <w:pPr>
              <w:spacing w:after="0" w:line="240" w:lineRule="auto"/>
              <w:jc w:val="center"/>
              <w:rPr>
                <w:rFonts w:eastAsia="Times New Roman" w:cstheme="minorHAnsi"/>
                <w:b/>
                <w:bCs/>
                <w:lang w:eastAsia="en-GB"/>
              </w:rPr>
            </w:pPr>
          </w:p>
        </w:tc>
        <w:tc>
          <w:tcPr>
            <w:tcW w:w="1701" w:type="dxa"/>
            <w:gridSpan w:val="2"/>
            <w:tcBorders>
              <w:top w:val="nil"/>
              <w:left w:val="nil"/>
              <w:bottom w:val="nil"/>
              <w:right w:val="nil"/>
            </w:tcBorders>
            <w:shd w:val="clear" w:color="auto" w:fill="auto"/>
            <w:noWrap/>
            <w:vAlign w:val="bottom"/>
          </w:tcPr>
          <w:p w14:paraId="265909E2" w14:textId="77777777" w:rsidR="007431AB" w:rsidRPr="00433245" w:rsidRDefault="007431AB" w:rsidP="000A05C7">
            <w:pPr>
              <w:spacing w:after="0" w:line="240" w:lineRule="auto"/>
              <w:rPr>
                <w:rFonts w:eastAsia="Times New Roman" w:cstheme="minorHAnsi"/>
                <w:lang w:eastAsia="en-GB"/>
              </w:rPr>
            </w:pPr>
          </w:p>
        </w:tc>
        <w:tc>
          <w:tcPr>
            <w:tcW w:w="993" w:type="dxa"/>
            <w:gridSpan w:val="2"/>
            <w:tcBorders>
              <w:top w:val="nil"/>
              <w:left w:val="nil"/>
              <w:bottom w:val="nil"/>
              <w:right w:val="nil"/>
            </w:tcBorders>
            <w:shd w:val="clear" w:color="auto" w:fill="auto"/>
            <w:noWrap/>
            <w:vAlign w:val="bottom"/>
          </w:tcPr>
          <w:p w14:paraId="40DCDA66" w14:textId="77777777" w:rsidR="007431AB" w:rsidRPr="00433245" w:rsidRDefault="007431AB" w:rsidP="000A05C7">
            <w:pPr>
              <w:spacing w:after="0" w:line="240" w:lineRule="auto"/>
              <w:rPr>
                <w:rFonts w:eastAsia="Times New Roman" w:cstheme="minorHAnsi"/>
                <w:lang w:eastAsia="en-GB"/>
              </w:rPr>
            </w:pPr>
          </w:p>
        </w:tc>
        <w:tc>
          <w:tcPr>
            <w:tcW w:w="1701" w:type="dxa"/>
            <w:gridSpan w:val="2"/>
            <w:tcBorders>
              <w:top w:val="nil"/>
              <w:left w:val="nil"/>
              <w:bottom w:val="nil"/>
              <w:right w:val="nil"/>
            </w:tcBorders>
            <w:shd w:val="clear" w:color="auto" w:fill="auto"/>
            <w:noWrap/>
            <w:vAlign w:val="bottom"/>
          </w:tcPr>
          <w:p w14:paraId="73B356D7" w14:textId="77777777" w:rsidR="007431AB" w:rsidRPr="00433245" w:rsidRDefault="007431AB" w:rsidP="000A05C7">
            <w:pPr>
              <w:spacing w:after="0" w:line="240" w:lineRule="auto"/>
              <w:rPr>
                <w:rFonts w:eastAsia="Times New Roman" w:cstheme="minorHAnsi"/>
                <w:lang w:eastAsia="en-GB"/>
              </w:rPr>
            </w:pPr>
          </w:p>
        </w:tc>
        <w:tc>
          <w:tcPr>
            <w:tcW w:w="992" w:type="dxa"/>
            <w:gridSpan w:val="2"/>
            <w:tcBorders>
              <w:top w:val="nil"/>
              <w:left w:val="nil"/>
              <w:bottom w:val="nil"/>
              <w:right w:val="nil"/>
            </w:tcBorders>
            <w:shd w:val="clear" w:color="auto" w:fill="auto"/>
            <w:noWrap/>
            <w:vAlign w:val="bottom"/>
          </w:tcPr>
          <w:p w14:paraId="42176380" w14:textId="77777777" w:rsidR="007431AB" w:rsidRPr="00433245" w:rsidRDefault="007431AB" w:rsidP="000A05C7">
            <w:pPr>
              <w:spacing w:after="0" w:line="240" w:lineRule="auto"/>
              <w:rPr>
                <w:rFonts w:eastAsia="Times New Roman" w:cstheme="minorHAnsi"/>
                <w:lang w:eastAsia="en-GB"/>
              </w:rPr>
            </w:pPr>
          </w:p>
        </w:tc>
      </w:tr>
      <w:tr w:rsidR="007431AB" w:rsidRPr="00433245" w14:paraId="2DD95B2C" w14:textId="77777777" w:rsidTr="000A05C7">
        <w:trPr>
          <w:gridAfter w:val="1"/>
          <w:wAfter w:w="990" w:type="dxa"/>
          <w:trHeight w:val="290"/>
        </w:trPr>
        <w:tc>
          <w:tcPr>
            <w:tcW w:w="1370" w:type="dxa"/>
            <w:vMerge w:val="restart"/>
            <w:tcBorders>
              <w:top w:val="nil"/>
              <w:left w:val="nil"/>
              <w:bottom w:val="single" w:sz="4" w:space="0" w:color="000000"/>
              <w:right w:val="nil"/>
            </w:tcBorders>
            <w:shd w:val="clear" w:color="auto" w:fill="auto"/>
            <w:vAlign w:val="center"/>
            <w:hideMark/>
          </w:tcPr>
          <w:p w14:paraId="3D7FF158" w14:textId="77777777" w:rsidR="007431AB" w:rsidRPr="00433245" w:rsidRDefault="007431AB" w:rsidP="000A05C7">
            <w:pPr>
              <w:spacing w:after="0" w:line="240" w:lineRule="auto"/>
              <w:rPr>
                <w:rFonts w:eastAsia="Times New Roman" w:cstheme="minorHAnsi"/>
                <w:lang w:eastAsia="en-GB"/>
              </w:rPr>
            </w:pPr>
            <w:r w:rsidRPr="00433245">
              <w:rPr>
                <w:rFonts w:eastAsia="Times New Roman" w:cstheme="minorHAnsi"/>
                <w:lang w:eastAsia="en-GB"/>
              </w:rPr>
              <w:t>Gait speed</w:t>
            </w:r>
          </w:p>
        </w:tc>
        <w:tc>
          <w:tcPr>
            <w:tcW w:w="1985" w:type="dxa"/>
            <w:tcBorders>
              <w:top w:val="nil"/>
              <w:left w:val="nil"/>
              <w:bottom w:val="nil"/>
              <w:right w:val="nil"/>
            </w:tcBorders>
            <w:shd w:val="clear" w:color="auto" w:fill="auto"/>
            <w:noWrap/>
            <w:vAlign w:val="bottom"/>
            <w:hideMark/>
          </w:tcPr>
          <w:p w14:paraId="705AA03F" w14:textId="77777777" w:rsidR="007431AB" w:rsidRPr="00433245" w:rsidRDefault="007431AB" w:rsidP="000A05C7">
            <w:pPr>
              <w:spacing w:after="0" w:line="240" w:lineRule="auto"/>
              <w:rPr>
                <w:rFonts w:eastAsia="Times New Roman" w:cstheme="minorHAnsi"/>
                <w:lang w:eastAsia="en-GB"/>
              </w:rPr>
            </w:pPr>
            <w:r w:rsidRPr="00433245">
              <w:rPr>
                <w:rFonts w:eastAsia="Times New Roman" w:cstheme="minorHAnsi"/>
                <w:lang w:eastAsia="en-GB"/>
              </w:rPr>
              <w:t>Fallen since 45</w:t>
            </w:r>
          </w:p>
        </w:tc>
        <w:tc>
          <w:tcPr>
            <w:tcW w:w="1701" w:type="dxa"/>
            <w:tcBorders>
              <w:top w:val="nil"/>
              <w:left w:val="single" w:sz="4" w:space="0" w:color="auto"/>
              <w:bottom w:val="nil"/>
              <w:right w:val="nil"/>
            </w:tcBorders>
            <w:shd w:val="clear" w:color="auto" w:fill="auto"/>
            <w:noWrap/>
            <w:vAlign w:val="bottom"/>
          </w:tcPr>
          <w:p w14:paraId="5FC28493"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0.99 (0.79, 1.23)</w:t>
            </w:r>
          </w:p>
        </w:tc>
        <w:tc>
          <w:tcPr>
            <w:tcW w:w="992" w:type="dxa"/>
            <w:tcBorders>
              <w:top w:val="nil"/>
              <w:left w:val="nil"/>
              <w:bottom w:val="nil"/>
              <w:right w:val="nil"/>
            </w:tcBorders>
            <w:shd w:val="clear" w:color="auto" w:fill="auto"/>
            <w:noWrap/>
            <w:vAlign w:val="bottom"/>
          </w:tcPr>
          <w:p w14:paraId="4464E6A0"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0.902</w:t>
            </w:r>
          </w:p>
        </w:tc>
        <w:tc>
          <w:tcPr>
            <w:tcW w:w="1701" w:type="dxa"/>
            <w:gridSpan w:val="2"/>
            <w:tcBorders>
              <w:top w:val="nil"/>
              <w:left w:val="nil"/>
              <w:bottom w:val="nil"/>
              <w:right w:val="nil"/>
            </w:tcBorders>
            <w:shd w:val="clear" w:color="auto" w:fill="auto"/>
            <w:noWrap/>
            <w:vAlign w:val="bottom"/>
          </w:tcPr>
          <w:p w14:paraId="6DF05F30"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1.00 (0.78, 1.28)</w:t>
            </w:r>
          </w:p>
        </w:tc>
        <w:tc>
          <w:tcPr>
            <w:tcW w:w="992" w:type="dxa"/>
            <w:gridSpan w:val="2"/>
            <w:tcBorders>
              <w:top w:val="nil"/>
              <w:left w:val="nil"/>
              <w:bottom w:val="nil"/>
              <w:right w:val="single" w:sz="4" w:space="0" w:color="auto"/>
            </w:tcBorders>
            <w:shd w:val="clear" w:color="auto" w:fill="auto"/>
            <w:noWrap/>
            <w:vAlign w:val="bottom"/>
          </w:tcPr>
          <w:p w14:paraId="3980B730"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0.988</w:t>
            </w:r>
          </w:p>
        </w:tc>
        <w:tc>
          <w:tcPr>
            <w:tcW w:w="1701" w:type="dxa"/>
            <w:gridSpan w:val="2"/>
            <w:tcBorders>
              <w:top w:val="nil"/>
              <w:left w:val="nil"/>
              <w:bottom w:val="nil"/>
              <w:right w:val="nil"/>
            </w:tcBorders>
            <w:shd w:val="clear" w:color="auto" w:fill="auto"/>
            <w:noWrap/>
            <w:vAlign w:val="bottom"/>
          </w:tcPr>
          <w:p w14:paraId="1A0084EE"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0.85 (0.68, 1.07)</w:t>
            </w:r>
          </w:p>
        </w:tc>
        <w:tc>
          <w:tcPr>
            <w:tcW w:w="993" w:type="dxa"/>
            <w:gridSpan w:val="2"/>
            <w:tcBorders>
              <w:top w:val="nil"/>
              <w:left w:val="nil"/>
              <w:bottom w:val="nil"/>
              <w:right w:val="nil"/>
            </w:tcBorders>
            <w:shd w:val="clear" w:color="auto" w:fill="auto"/>
            <w:noWrap/>
            <w:vAlign w:val="bottom"/>
          </w:tcPr>
          <w:p w14:paraId="20F865CB"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0.173</w:t>
            </w:r>
          </w:p>
        </w:tc>
        <w:tc>
          <w:tcPr>
            <w:tcW w:w="1701" w:type="dxa"/>
            <w:gridSpan w:val="2"/>
            <w:tcBorders>
              <w:top w:val="nil"/>
              <w:left w:val="nil"/>
              <w:bottom w:val="nil"/>
              <w:right w:val="nil"/>
            </w:tcBorders>
            <w:shd w:val="clear" w:color="auto" w:fill="auto"/>
            <w:noWrap/>
            <w:vAlign w:val="bottom"/>
          </w:tcPr>
          <w:p w14:paraId="7465F396"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0.87 (0.67, 1.13)</w:t>
            </w:r>
          </w:p>
        </w:tc>
        <w:tc>
          <w:tcPr>
            <w:tcW w:w="992" w:type="dxa"/>
            <w:gridSpan w:val="2"/>
            <w:tcBorders>
              <w:top w:val="nil"/>
              <w:left w:val="nil"/>
              <w:bottom w:val="nil"/>
              <w:right w:val="nil"/>
            </w:tcBorders>
            <w:shd w:val="clear" w:color="auto" w:fill="auto"/>
            <w:noWrap/>
            <w:vAlign w:val="bottom"/>
          </w:tcPr>
          <w:p w14:paraId="063EAF57"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0.309</w:t>
            </w:r>
          </w:p>
        </w:tc>
      </w:tr>
      <w:tr w:rsidR="007431AB" w:rsidRPr="00433245" w14:paraId="56CC123B" w14:textId="77777777" w:rsidTr="000A05C7">
        <w:trPr>
          <w:gridAfter w:val="1"/>
          <w:wAfter w:w="990" w:type="dxa"/>
          <w:trHeight w:val="290"/>
        </w:trPr>
        <w:tc>
          <w:tcPr>
            <w:tcW w:w="1370" w:type="dxa"/>
            <w:vMerge/>
            <w:tcBorders>
              <w:top w:val="nil"/>
              <w:left w:val="nil"/>
              <w:bottom w:val="single" w:sz="4" w:space="0" w:color="000000"/>
              <w:right w:val="nil"/>
            </w:tcBorders>
            <w:vAlign w:val="center"/>
            <w:hideMark/>
          </w:tcPr>
          <w:p w14:paraId="068B742A" w14:textId="77777777" w:rsidR="007431AB" w:rsidRPr="00433245" w:rsidRDefault="007431AB" w:rsidP="000A05C7">
            <w:pPr>
              <w:spacing w:after="0" w:line="240" w:lineRule="auto"/>
              <w:rPr>
                <w:rFonts w:eastAsia="Times New Roman" w:cstheme="minorHAnsi"/>
                <w:lang w:eastAsia="en-GB"/>
              </w:rPr>
            </w:pPr>
          </w:p>
        </w:tc>
        <w:tc>
          <w:tcPr>
            <w:tcW w:w="1985" w:type="dxa"/>
            <w:tcBorders>
              <w:top w:val="nil"/>
              <w:left w:val="nil"/>
              <w:bottom w:val="nil"/>
              <w:right w:val="nil"/>
            </w:tcBorders>
            <w:shd w:val="clear" w:color="auto" w:fill="auto"/>
            <w:noWrap/>
            <w:vAlign w:val="bottom"/>
            <w:hideMark/>
          </w:tcPr>
          <w:p w14:paraId="2EF4262E" w14:textId="77777777" w:rsidR="007431AB" w:rsidRPr="00433245" w:rsidRDefault="007431AB" w:rsidP="000A05C7">
            <w:pPr>
              <w:spacing w:after="0" w:line="240" w:lineRule="auto"/>
              <w:rPr>
                <w:rFonts w:eastAsia="Times New Roman" w:cstheme="minorHAnsi"/>
                <w:lang w:eastAsia="en-GB"/>
              </w:rPr>
            </w:pPr>
            <w:r w:rsidRPr="00433245">
              <w:rPr>
                <w:rFonts w:eastAsia="Times New Roman" w:cstheme="minorHAnsi"/>
                <w:lang w:eastAsia="en-GB"/>
              </w:rPr>
              <w:t>Fallen in last year</w:t>
            </w:r>
          </w:p>
        </w:tc>
        <w:tc>
          <w:tcPr>
            <w:tcW w:w="1701" w:type="dxa"/>
            <w:tcBorders>
              <w:top w:val="nil"/>
              <w:left w:val="single" w:sz="4" w:space="0" w:color="auto"/>
              <w:bottom w:val="nil"/>
              <w:right w:val="nil"/>
            </w:tcBorders>
            <w:shd w:val="clear" w:color="auto" w:fill="auto"/>
            <w:noWrap/>
            <w:vAlign w:val="bottom"/>
          </w:tcPr>
          <w:p w14:paraId="67699205"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0.76 (0.55, 1.05)</w:t>
            </w:r>
          </w:p>
        </w:tc>
        <w:tc>
          <w:tcPr>
            <w:tcW w:w="992" w:type="dxa"/>
            <w:tcBorders>
              <w:top w:val="nil"/>
              <w:left w:val="nil"/>
              <w:bottom w:val="nil"/>
              <w:right w:val="nil"/>
            </w:tcBorders>
            <w:shd w:val="clear" w:color="auto" w:fill="auto"/>
            <w:noWrap/>
            <w:vAlign w:val="bottom"/>
          </w:tcPr>
          <w:p w14:paraId="5813A574"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0.100</w:t>
            </w:r>
          </w:p>
        </w:tc>
        <w:tc>
          <w:tcPr>
            <w:tcW w:w="1701" w:type="dxa"/>
            <w:gridSpan w:val="2"/>
            <w:tcBorders>
              <w:top w:val="nil"/>
              <w:left w:val="nil"/>
              <w:bottom w:val="nil"/>
              <w:right w:val="nil"/>
            </w:tcBorders>
            <w:shd w:val="clear" w:color="auto" w:fill="auto"/>
            <w:noWrap/>
            <w:vAlign w:val="bottom"/>
          </w:tcPr>
          <w:p w14:paraId="04BF329A"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0.83 (0.58, 1.17)</w:t>
            </w:r>
          </w:p>
        </w:tc>
        <w:tc>
          <w:tcPr>
            <w:tcW w:w="992" w:type="dxa"/>
            <w:gridSpan w:val="2"/>
            <w:tcBorders>
              <w:top w:val="nil"/>
              <w:left w:val="nil"/>
              <w:bottom w:val="nil"/>
              <w:right w:val="single" w:sz="4" w:space="0" w:color="auto"/>
            </w:tcBorders>
            <w:shd w:val="clear" w:color="auto" w:fill="auto"/>
            <w:noWrap/>
            <w:vAlign w:val="bottom"/>
          </w:tcPr>
          <w:p w14:paraId="36050128"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0.287</w:t>
            </w:r>
          </w:p>
        </w:tc>
        <w:tc>
          <w:tcPr>
            <w:tcW w:w="1701" w:type="dxa"/>
            <w:gridSpan w:val="2"/>
            <w:tcBorders>
              <w:top w:val="nil"/>
              <w:left w:val="nil"/>
              <w:bottom w:val="nil"/>
              <w:right w:val="nil"/>
            </w:tcBorders>
            <w:shd w:val="clear" w:color="auto" w:fill="auto"/>
            <w:noWrap/>
            <w:vAlign w:val="bottom"/>
          </w:tcPr>
          <w:p w14:paraId="790A32BF"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0.88 (0.67, 1.16)</w:t>
            </w:r>
          </w:p>
        </w:tc>
        <w:tc>
          <w:tcPr>
            <w:tcW w:w="993" w:type="dxa"/>
            <w:gridSpan w:val="2"/>
            <w:tcBorders>
              <w:top w:val="nil"/>
              <w:left w:val="nil"/>
              <w:bottom w:val="nil"/>
              <w:right w:val="nil"/>
            </w:tcBorders>
            <w:shd w:val="clear" w:color="auto" w:fill="auto"/>
            <w:noWrap/>
            <w:vAlign w:val="bottom"/>
          </w:tcPr>
          <w:p w14:paraId="1749B3B6"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0.352</w:t>
            </w:r>
          </w:p>
        </w:tc>
        <w:tc>
          <w:tcPr>
            <w:tcW w:w="1701" w:type="dxa"/>
            <w:gridSpan w:val="2"/>
            <w:tcBorders>
              <w:top w:val="nil"/>
              <w:left w:val="nil"/>
              <w:bottom w:val="nil"/>
              <w:right w:val="nil"/>
            </w:tcBorders>
            <w:shd w:val="clear" w:color="auto" w:fill="auto"/>
            <w:noWrap/>
            <w:vAlign w:val="bottom"/>
          </w:tcPr>
          <w:p w14:paraId="01801D5F"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0.87 (0.63, 1.19)</w:t>
            </w:r>
          </w:p>
        </w:tc>
        <w:tc>
          <w:tcPr>
            <w:tcW w:w="992" w:type="dxa"/>
            <w:gridSpan w:val="2"/>
            <w:tcBorders>
              <w:top w:val="nil"/>
              <w:left w:val="nil"/>
              <w:bottom w:val="nil"/>
              <w:right w:val="nil"/>
            </w:tcBorders>
            <w:shd w:val="clear" w:color="auto" w:fill="auto"/>
            <w:noWrap/>
            <w:vAlign w:val="bottom"/>
          </w:tcPr>
          <w:p w14:paraId="2AF3673B"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0.374</w:t>
            </w:r>
          </w:p>
        </w:tc>
      </w:tr>
      <w:tr w:rsidR="007431AB" w:rsidRPr="00433245" w14:paraId="063BDBFC" w14:textId="77777777" w:rsidTr="000A05C7">
        <w:trPr>
          <w:gridAfter w:val="1"/>
          <w:wAfter w:w="990" w:type="dxa"/>
          <w:trHeight w:val="290"/>
        </w:trPr>
        <w:tc>
          <w:tcPr>
            <w:tcW w:w="1370" w:type="dxa"/>
            <w:vMerge/>
            <w:tcBorders>
              <w:top w:val="nil"/>
              <w:left w:val="nil"/>
              <w:bottom w:val="single" w:sz="4" w:space="0" w:color="000000"/>
              <w:right w:val="nil"/>
            </w:tcBorders>
            <w:vAlign w:val="center"/>
            <w:hideMark/>
          </w:tcPr>
          <w:p w14:paraId="6DE457EE" w14:textId="77777777" w:rsidR="007431AB" w:rsidRPr="00433245" w:rsidRDefault="007431AB" w:rsidP="000A05C7">
            <w:pPr>
              <w:spacing w:after="0" w:line="240" w:lineRule="auto"/>
              <w:rPr>
                <w:rFonts w:eastAsia="Times New Roman" w:cstheme="minorHAnsi"/>
                <w:lang w:eastAsia="en-GB"/>
              </w:rPr>
            </w:pPr>
          </w:p>
        </w:tc>
        <w:tc>
          <w:tcPr>
            <w:tcW w:w="1985" w:type="dxa"/>
            <w:tcBorders>
              <w:top w:val="nil"/>
              <w:left w:val="nil"/>
              <w:bottom w:val="nil"/>
              <w:right w:val="nil"/>
            </w:tcBorders>
            <w:shd w:val="clear" w:color="auto" w:fill="auto"/>
            <w:noWrap/>
            <w:vAlign w:val="bottom"/>
            <w:hideMark/>
          </w:tcPr>
          <w:p w14:paraId="6C0E3C98" w14:textId="77777777" w:rsidR="007431AB" w:rsidRPr="00433245" w:rsidRDefault="007431AB" w:rsidP="000A05C7">
            <w:pPr>
              <w:spacing w:after="0" w:line="240" w:lineRule="auto"/>
              <w:rPr>
                <w:rFonts w:eastAsia="Times New Roman" w:cstheme="minorHAnsi"/>
                <w:lang w:eastAsia="en-GB"/>
              </w:rPr>
            </w:pPr>
            <w:r w:rsidRPr="00433245">
              <w:rPr>
                <w:rFonts w:eastAsia="Times New Roman" w:cstheme="minorHAnsi"/>
                <w:lang w:eastAsia="en-GB"/>
              </w:rPr>
              <w:t>No. falls in last year</w:t>
            </w:r>
          </w:p>
        </w:tc>
        <w:tc>
          <w:tcPr>
            <w:tcW w:w="1701" w:type="dxa"/>
            <w:tcBorders>
              <w:top w:val="nil"/>
              <w:left w:val="single" w:sz="4" w:space="0" w:color="auto"/>
              <w:bottom w:val="nil"/>
              <w:right w:val="nil"/>
            </w:tcBorders>
            <w:shd w:val="clear" w:color="auto" w:fill="auto"/>
            <w:noWrap/>
            <w:vAlign w:val="bottom"/>
          </w:tcPr>
          <w:p w14:paraId="79378C3A"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0.77 (0.55, 1.07)</w:t>
            </w:r>
          </w:p>
        </w:tc>
        <w:tc>
          <w:tcPr>
            <w:tcW w:w="992" w:type="dxa"/>
            <w:tcBorders>
              <w:top w:val="nil"/>
              <w:left w:val="nil"/>
              <w:bottom w:val="nil"/>
              <w:right w:val="nil"/>
            </w:tcBorders>
            <w:shd w:val="clear" w:color="auto" w:fill="auto"/>
            <w:noWrap/>
            <w:vAlign w:val="bottom"/>
          </w:tcPr>
          <w:p w14:paraId="630B7465"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0.124</w:t>
            </w:r>
          </w:p>
        </w:tc>
        <w:tc>
          <w:tcPr>
            <w:tcW w:w="1701" w:type="dxa"/>
            <w:gridSpan w:val="2"/>
            <w:tcBorders>
              <w:top w:val="nil"/>
              <w:left w:val="nil"/>
              <w:bottom w:val="nil"/>
              <w:right w:val="nil"/>
            </w:tcBorders>
            <w:shd w:val="clear" w:color="auto" w:fill="auto"/>
            <w:noWrap/>
            <w:vAlign w:val="bottom"/>
          </w:tcPr>
          <w:p w14:paraId="497D331D"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0.83 (0.58, 1.18)</w:t>
            </w:r>
          </w:p>
        </w:tc>
        <w:tc>
          <w:tcPr>
            <w:tcW w:w="992" w:type="dxa"/>
            <w:gridSpan w:val="2"/>
            <w:tcBorders>
              <w:top w:val="nil"/>
              <w:left w:val="nil"/>
              <w:bottom w:val="nil"/>
              <w:right w:val="single" w:sz="4" w:space="0" w:color="auto"/>
            </w:tcBorders>
            <w:shd w:val="clear" w:color="auto" w:fill="auto"/>
            <w:noWrap/>
            <w:vAlign w:val="bottom"/>
          </w:tcPr>
          <w:p w14:paraId="631EB301"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0.294</w:t>
            </w:r>
          </w:p>
        </w:tc>
        <w:tc>
          <w:tcPr>
            <w:tcW w:w="1701" w:type="dxa"/>
            <w:gridSpan w:val="2"/>
            <w:tcBorders>
              <w:top w:val="nil"/>
              <w:left w:val="nil"/>
              <w:bottom w:val="nil"/>
              <w:right w:val="nil"/>
            </w:tcBorders>
            <w:shd w:val="clear" w:color="auto" w:fill="auto"/>
            <w:noWrap/>
            <w:vAlign w:val="bottom"/>
          </w:tcPr>
          <w:p w14:paraId="2BC6148B"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0.84 (0.64, 1.12)</w:t>
            </w:r>
          </w:p>
        </w:tc>
        <w:tc>
          <w:tcPr>
            <w:tcW w:w="993" w:type="dxa"/>
            <w:gridSpan w:val="2"/>
            <w:tcBorders>
              <w:top w:val="nil"/>
              <w:left w:val="nil"/>
              <w:bottom w:val="nil"/>
              <w:right w:val="nil"/>
            </w:tcBorders>
            <w:shd w:val="clear" w:color="auto" w:fill="auto"/>
            <w:noWrap/>
            <w:vAlign w:val="bottom"/>
          </w:tcPr>
          <w:p w14:paraId="690ED08A"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0.232</w:t>
            </w:r>
          </w:p>
        </w:tc>
        <w:tc>
          <w:tcPr>
            <w:tcW w:w="1701" w:type="dxa"/>
            <w:gridSpan w:val="2"/>
            <w:tcBorders>
              <w:top w:val="nil"/>
              <w:left w:val="nil"/>
              <w:bottom w:val="nil"/>
              <w:right w:val="nil"/>
            </w:tcBorders>
            <w:shd w:val="clear" w:color="auto" w:fill="auto"/>
            <w:noWrap/>
            <w:vAlign w:val="bottom"/>
          </w:tcPr>
          <w:p w14:paraId="7863393D"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0.84 (0.61, 1.16)</w:t>
            </w:r>
          </w:p>
        </w:tc>
        <w:tc>
          <w:tcPr>
            <w:tcW w:w="992" w:type="dxa"/>
            <w:gridSpan w:val="2"/>
            <w:tcBorders>
              <w:top w:val="nil"/>
              <w:left w:val="nil"/>
              <w:bottom w:val="nil"/>
              <w:right w:val="nil"/>
            </w:tcBorders>
            <w:shd w:val="clear" w:color="auto" w:fill="auto"/>
            <w:noWrap/>
            <w:vAlign w:val="bottom"/>
          </w:tcPr>
          <w:p w14:paraId="1197C3B6"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0.289</w:t>
            </w:r>
          </w:p>
        </w:tc>
      </w:tr>
      <w:tr w:rsidR="007431AB" w:rsidRPr="00433245" w14:paraId="60BD311D" w14:textId="77777777" w:rsidTr="000A05C7">
        <w:trPr>
          <w:gridAfter w:val="1"/>
          <w:wAfter w:w="990" w:type="dxa"/>
          <w:trHeight w:val="290"/>
        </w:trPr>
        <w:tc>
          <w:tcPr>
            <w:tcW w:w="1370" w:type="dxa"/>
            <w:vMerge/>
            <w:tcBorders>
              <w:top w:val="nil"/>
              <w:left w:val="nil"/>
              <w:bottom w:val="single" w:sz="4" w:space="0" w:color="000000"/>
              <w:right w:val="nil"/>
            </w:tcBorders>
            <w:vAlign w:val="center"/>
            <w:hideMark/>
          </w:tcPr>
          <w:p w14:paraId="4173153C" w14:textId="77777777" w:rsidR="007431AB" w:rsidRPr="00433245" w:rsidRDefault="007431AB" w:rsidP="000A05C7">
            <w:pPr>
              <w:spacing w:after="0" w:line="240" w:lineRule="auto"/>
              <w:rPr>
                <w:rFonts w:eastAsia="Times New Roman" w:cstheme="minorHAnsi"/>
                <w:lang w:eastAsia="en-GB"/>
              </w:rPr>
            </w:pPr>
          </w:p>
        </w:tc>
        <w:tc>
          <w:tcPr>
            <w:tcW w:w="1985" w:type="dxa"/>
            <w:tcBorders>
              <w:top w:val="nil"/>
              <w:left w:val="nil"/>
              <w:bottom w:val="single" w:sz="4" w:space="0" w:color="auto"/>
              <w:right w:val="nil"/>
            </w:tcBorders>
            <w:shd w:val="clear" w:color="auto" w:fill="auto"/>
            <w:noWrap/>
            <w:vAlign w:val="bottom"/>
            <w:hideMark/>
          </w:tcPr>
          <w:p w14:paraId="77026B98" w14:textId="77777777" w:rsidR="007431AB" w:rsidRPr="00433245" w:rsidRDefault="007431AB" w:rsidP="000A05C7">
            <w:pPr>
              <w:spacing w:after="0" w:line="240" w:lineRule="auto"/>
              <w:rPr>
                <w:rFonts w:eastAsia="Times New Roman" w:cstheme="minorHAnsi"/>
                <w:lang w:eastAsia="en-GB"/>
              </w:rPr>
            </w:pPr>
            <w:r w:rsidRPr="00433245">
              <w:rPr>
                <w:rFonts w:eastAsia="Times New Roman" w:cstheme="minorHAnsi"/>
                <w:lang w:eastAsia="en-GB"/>
              </w:rPr>
              <w:t>Fracture since 45</w:t>
            </w:r>
          </w:p>
        </w:tc>
        <w:tc>
          <w:tcPr>
            <w:tcW w:w="1701" w:type="dxa"/>
            <w:tcBorders>
              <w:top w:val="nil"/>
              <w:left w:val="single" w:sz="4" w:space="0" w:color="auto"/>
              <w:bottom w:val="single" w:sz="4" w:space="0" w:color="auto"/>
              <w:right w:val="nil"/>
            </w:tcBorders>
            <w:shd w:val="clear" w:color="auto" w:fill="auto"/>
            <w:noWrap/>
            <w:vAlign w:val="bottom"/>
          </w:tcPr>
          <w:p w14:paraId="32E6AD64"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1.16 (0.87, 1.54)</w:t>
            </w:r>
          </w:p>
        </w:tc>
        <w:tc>
          <w:tcPr>
            <w:tcW w:w="992" w:type="dxa"/>
            <w:tcBorders>
              <w:top w:val="nil"/>
              <w:left w:val="nil"/>
              <w:bottom w:val="single" w:sz="4" w:space="0" w:color="auto"/>
              <w:right w:val="nil"/>
            </w:tcBorders>
            <w:shd w:val="clear" w:color="auto" w:fill="auto"/>
            <w:noWrap/>
            <w:vAlign w:val="bottom"/>
          </w:tcPr>
          <w:p w14:paraId="5696A2E1"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0.301</w:t>
            </w:r>
          </w:p>
        </w:tc>
        <w:tc>
          <w:tcPr>
            <w:tcW w:w="1701" w:type="dxa"/>
            <w:gridSpan w:val="2"/>
            <w:tcBorders>
              <w:top w:val="nil"/>
              <w:left w:val="nil"/>
              <w:bottom w:val="single" w:sz="4" w:space="0" w:color="auto"/>
              <w:right w:val="nil"/>
            </w:tcBorders>
            <w:shd w:val="clear" w:color="auto" w:fill="auto"/>
            <w:noWrap/>
            <w:vAlign w:val="bottom"/>
          </w:tcPr>
          <w:p w14:paraId="6BF36B80"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1.10 (0.80, 1.52)</w:t>
            </w:r>
          </w:p>
        </w:tc>
        <w:tc>
          <w:tcPr>
            <w:tcW w:w="992" w:type="dxa"/>
            <w:gridSpan w:val="2"/>
            <w:tcBorders>
              <w:top w:val="nil"/>
              <w:left w:val="nil"/>
              <w:bottom w:val="single" w:sz="4" w:space="0" w:color="auto"/>
              <w:right w:val="single" w:sz="4" w:space="0" w:color="auto"/>
            </w:tcBorders>
            <w:shd w:val="clear" w:color="auto" w:fill="auto"/>
            <w:noWrap/>
            <w:vAlign w:val="bottom"/>
          </w:tcPr>
          <w:p w14:paraId="746FFE90"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0.547</w:t>
            </w:r>
          </w:p>
        </w:tc>
        <w:tc>
          <w:tcPr>
            <w:tcW w:w="1701" w:type="dxa"/>
            <w:gridSpan w:val="2"/>
            <w:tcBorders>
              <w:top w:val="nil"/>
              <w:left w:val="nil"/>
              <w:bottom w:val="single" w:sz="4" w:space="0" w:color="auto"/>
              <w:right w:val="nil"/>
            </w:tcBorders>
            <w:shd w:val="clear" w:color="auto" w:fill="auto"/>
            <w:noWrap/>
            <w:vAlign w:val="bottom"/>
          </w:tcPr>
          <w:p w14:paraId="0785DE44"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1.06 (0.81, 1.39)</w:t>
            </w:r>
          </w:p>
        </w:tc>
        <w:tc>
          <w:tcPr>
            <w:tcW w:w="993" w:type="dxa"/>
            <w:gridSpan w:val="2"/>
            <w:tcBorders>
              <w:top w:val="nil"/>
              <w:left w:val="nil"/>
              <w:bottom w:val="single" w:sz="4" w:space="0" w:color="auto"/>
              <w:right w:val="nil"/>
            </w:tcBorders>
            <w:shd w:val="clear" w:color="auto" w:fill="auto"/>
            <w:noWrap/>
            <w:vAlign w:val="bottom"/>
          </w:tcPr>
          <w:p w14:paraId="35AC853C"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0.688</w:t>
            </w:r>
          </w:p>
        </w:tc>
        <w:tc>
          <w:tcPr>
            <w:tcW w:w="1701" w:type="dxa"/>
            <w:gridSpan w:val="2"/>
            <w:tcBorders>
              <w:top w:val="nil"/>
              <w:left w:val="nil"/>
              <w:bottom w:val="single" w:sz="4" w:space="0" w:color="auto"/>
              <w:right w:val="nil"/>
            </w:tcBorders>
            <w:shd w:val="clear" w:color="auto" w:fill="auto"/>
            <w:noWrap/>
            <w:vAlign w:val="bottom"/>
          </w:tcPr>
          <w:p w14:paraId="368020EB"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1.09 (0.80, 1.47)</w:t>
            </w:r>
          </w:p>
        </w:tc>
        <w:tc>
          <w:tcPr>
            <w:tcW w:w="992" w:type="dxa"/>
            <w:gridSpan w:val="2"/>
            <w:tcBorders>
              <w:top w:val="nil"/>
              <w:left w:val="nil"/>
              <w:bottom w:val="single" w:sz="4" w:space="0" w:color="auto"/>
              <w:right w:val="nil"/>
            </w:tcBorders>
            <w:shd w:val="clear" w:color="auto" w:fill="auto"/>
            <w:noWrap/>
            <w:vAlign w:val="bottom"/>
          </w:tcPr>
          <w:p w14:paraId="6C7BB434" w14:textId="77777777" w:rsidR="007431AB" w:rsidRPr="00433245" w:rsidRDefault="007431AB" w:rsidP="000A05C7">
            <w:pPr>
              <w:spacing w:after="0" w:line="240" w:lineRule="auto"/>
              <w:jc w:val="center"/>
              <w:rPr>
                <w:rFonts w:eastAsia="Times New Roman" w:cstheme="minorHAnsi"/>
                <w:lang w:eastAsia="en-GB"/>
              </w:rPr>
            </w:pPr>
            <w:r w:rsidRPr="00433245">
              <w:rPr>
                <w:rFonts w:ascii="Calibri" w:hAnsi="Calibri" w:cs="Calibri"/>
              </w:rPr>
              <w:t>0.593</w:t>
            </w:r>
          </w:p>
        </w:tc>
      </w:tr>
      <w:tr w:rsidR="007431AB" w:rsidRPr="00433245" w14:paraId="0C67A97F" w14:textId="77777777" w:rsidTr="000A05C7">
        <w:trPr>
          <w:gridAfter w:val="1"/>
          <w:wAfter w:w="990" w:type="dxa"/>
          <w:trHeight w:val="290"/>
        </w:trPr>
        <w:tc>
          <w:tcPr>
            <w:tcW w:w="1370" w:type="dxa"/>
            <w:tcBorders>
              <w:top w:val="nil"/>
              <w:left w:val="nil"/>
              <w:right w:val="nil"/>
            </w:tcBorders>
            <w:shd w:val="clear" w:color="auto" w:fill="auto"/>
            <w:noWrap/>
            <w:vAlign w:val="center"/>
            <w:hideMark/>
          </w:tcPr>
          <w:p w14:paraId="55121A0C" w14:textId="77777777" w:rsidR="007431AB" w:rsidRPr="00433245" w:rsidRDefault="007431AB" w:rsidP="000A05C7">
            <w:pPr>
              <w:spacing w:after="0" w:line="240" w:lineRule="auto"/>
              <w:rPr>
                <w:rFonts w:eastAsia="Times New Roman" w:cstheme="minorHAnsi"/>
                <w:lang w:eastAsia="en-GB"/>
              </w:rPr>
            </w:pPr>
          </w:p>
        </w:tc>
        <w:tc>
          <w:tcPr>
            <w:tcW w:w="1985" w:type="dxa"/>
            <w:tcBorders>
              <w:top w:val="nil"/>
              <w:left w:val="nil"/>
              <w:right w:val="nil"/>
            </w:tcBorders>
            <w:shd w:val="clear" w:color="auto" w:fill="auto"/>
            <w:noWrap/>
            <w:vAlign w:val="bottom"/>
            <w:hideMark/>
          </w:tcPr>
          <w:p w14:paraId="327E2982" w14:textId="77777777" w:rsidR="007431AB" w:rsidRPr="00433245" w:rsidRDefault="007431AB" w:rsidP="000A05C7">
            <w:pPr>
              <w:spacing w:after="0" w:line="240" w:lineRule="auto"/>
              <w:rPr>
                <w:rFonts w:eastAsia="Times New Roman" w:cstheme="minorHAnsi"/>
                <w:lang w:eastAsia="en-GB"/>
              </w:rPr>
            </w:pPr>
          </w:p>
        </w:tc>
        <w:tc>
          <w:tcPr>
            <w:tcW w:w="1701" w:type="dxa"/>
            <w:tcBorders>
              <w:top w:val="nil"/>
              <w:left w:val="nil"/>
              <w:right w:val="nil"/>
            </w:tcBorders>
            <w:shd w:val="clear" w:color="auto" w:fill="auto"/>
            <w:noWrap/>
            <w:vAlign w:val="bottom"/>
            <w:hideMark/>
          </w:tcPr>
          <w:p w14:paraId="2D0B3054" w14:textId="77777777" w:rsidR="007431AB" w:rsidRPr="00433245" w:rsidRDefault="007431AB" w:rsidP="000A05C7">
            <w:pPr>
              <w:spacing w:after="0" w:line="240" w:lineRule="auto"/>
              <w:rPr>
                <w:rFonts w:eastAsia="Times New Roman" w:cstheme="minorHAnsi"/>
                <w:lang w:eastAsia="en-GB"/>
              </w:rPr>
            </w:pPr>
          </w:p>
        </w:tc>
        <w:tc>
          <w:tcPr>
            <w:tcW w:w="992" w:type="dxa"/>
            <w:tcBorders>
              <w:top w:val="nil"/>
              <w:left w:val="nil"/>
              <w:right w:val="nil"/>
            </w:tcBorders>
            <w:shd w:val="clear" w:color="auto" w:fill="auto"/>
            <w:noWrap/>
            <w:vAlign w:val="bottom"/>
            <w:hideMark/>
          </w:tcPr>
          <w:p w14:paraId="2149C0AA" w14:textId="77777777" w:rsidR="007431AB" w:rsidRPr="00433245" w:rsidRDefault="007431AB" w:rsidP="000A05C7">
            <w:pPr>
              <w:spacing w:after="0" w:line="240" w:lineRule="auto"/>
              <w:jc w:val="center"/>
              <w:rPr>
                <w:rFonts w:eastAsia="Times New Roman" w:cstheme="minorHAnsi"/>
                <w:lang w:eastAsia="en-GB"/>
              </w:rPr>
            </w:pPr>
          </w:p>
        </w:tc>
        <w:tc>
          <w:tcPr>
            <w:tcW w:w="1701" w:type="dxa"/>
            <w:gridSpan w:val="2"/>
            <w:tcBorders>
              <w:top w:val="nil"/>
              <w:left w:val="nil"/>
              <w:right w:val="nil"/>
            </w:tcBorders>
            <w:shd w:val="clear" w:color="auto" w:fill="auto"/>
            <w:noWrap/>
            <w:vAlign w:val="bottom"/>
            <w:hideMark/>
          </w:tcPr>
          <w:p w14:paraId="2570EB70" w14:textId="77777777" w:rsidR="007431AB" w:rsidRPr="00433245" w:rsidRDefault="007431AB" w:rsidP="000A05C7">
            <w:pPr>
              <w:spacing w:after="0" w:line="240" w:lineRule="auto"/>
              <w:jc w:val="center"/>
              <w:rPr>
                <w:rFonts w:eastAsia="Times New Roman" w:cstheme="minorHAnsi"/>
                <w:lang w:eastAsia="en-GB"/>
              </w:rPr>
            </w:pPr>
          </w:p>
        </w:tc>
        <w:tc>
          <w:tcPr>
            <w:tcW w:w="992" w:type="dxa"/>
            <w:gridSpan w:val="2"/>
            <w:tcBorders>
              <w:top w:val="nil"/>
              <w:left w:val="nil"/>
              <w:bottom w:val="nil"/>
              <w:right w:val="nil"/>
            </w:tcBorders>
            <w:shd w:val="clear" w:color="auto" w:fill="auto"/>
            <w:noWrap/>
            <w:vAlign w:val="bottom"/>
            <w:hideMark/>
          </w:tcPr>
          <w:p w14:paraId="7804EB92" w14:textId="77777777" w:rsidR="007431AB" w:rsidRPr="00433245" w:rsidRDefault="007431AB" w:rsidP="000A05C7">
            <w:pPr>
              <w:spacing w:after="0" w:line="240" w:lineRule="auto"/>
              <w:jc w:val="center"/>
              <w:rPr>
                <w:rFonts w:eastAsia="Times New Roman" w:cstheme="minorHAnsi"/>
                <w:lang w:eastAsia="en-GB"/>
              </w:rPr>
            </w:pPr>
          </w:p>
        </w:tc>
        <w:tc>
          <w:tcPr>
            <w:tcW w:w="1701" w:type="dxa"/>
            <w:gridSpan w:val="2"/>
            <w:tcBorders>
              <w:top w:val="nil"/>
              <w:left w:val="nil"/>
              <w:bottom w:val="nil"/>
              <w:right w:val="nil"/>
            </w:tcBorders>
            <w:shd w:val="clear" w:color="auto" w:fill="auto"/>
            <w:noWrap/>
            <w:vAlign w:val="bottom"/>
            <w:hideMark/>
          </w:tcPr>
          <w:p w14:paraId="6FCE2F9B" w14:textId="77777777" w:rsidR="007431AB" w:rsidRPr="00433245" w:rsidRDefault="007431AB" w:rsidP="000A05C7">
            <w:pPr>
              <w:spacing w:after="0" w:line="240" w:lineRule="auto"/>
              <w:jc w:val="center"/>
              <w:rPr>
                <w:rFonts w:eastAsia="Times New Roman" w:cstheme="minorHAnsi"/>
                <w:lang w:eastAsia="en-GB"/>
              </w:rPr>
            </w:pPr>
          </w:p>
        </w:tc>
        <w:tc>
          <w:tcPr>
            <w:tcW w:w="993" w:type="dxa"/>
            <w:gridSpan w:val="2"/>
            <w:tcBorders>
              <w:top w:val="nil"/>
              <w:left w:val="nil"/>
              <w:bottom w:val="nil"/>
              <w:right w:val="nil"/>
            </w:tcBorders>
            <w:shd w:val="clear" w:color="auto" w:fill="auto"/>
            <w:noWrap/>
            <w:vAlign w:val="bottom"/>
            <w:hideMark/>
          </w:tcPr>
          <w:p w14:paraId="540538FB" w14:textId="77777777" w:rsidR="007431AB" w:rsidRPr="00433245" w:rsidRDefault="007431AB" w:rsidP="000A05C7">
            <w:pPr>
              <w:spacing w:after="0" w:line="240" w:lineRule="auto"/>
              <w:rPr>
                <w:rFonts w:eastAsia="Times New Roman" w:cstheme="minorHAnsi"/>
                <w:lang w:eastAsia="en-GB"/>
              </w:rPr>
            </w:pPr>
          </w:p>
        </w:tc>
        <w:tc>
          <w:tcPr>
            <w:tcW w:w="1701" w:type="dxa"/>
            <w:gridSpan w:val="2"/>
            <w:tcBorders>
              <w:top w:val="nil"/>
              <w:left w:val="nil"/>
              <w:bottom w:val="nil"/>
              <w:right w:val="nil"/>
            </w:tcBorders>
            <w:shd w:val="clear" w:color="auto" w:fill="auto"/>
            <w:noWrap/>
            <w:vAlign w:val="bottom"/>
            <w:hideMark/>
          </w:tcPr>
          <w:p w14:paraId="6767CFC5" w14:textId="77777777" w:rsidR="007431AB" w:rsidRPr="00433245" w:rsidRDefault="007431AB" w:rsidP="000A05C7">
            <w:pPr>
              <w:spacing w:after="0" w:line="240" w:lineRule="auto"/>
              <w:rPr>
                <w:rFonts w:eastAsia="Times New Roman" w:cstheme="minorHAnsi"/>
                <w:lang w:eastAsia="en-GB"/>
              </w:rPr>
            </w:pPr>
          </w:p>
        </w:tc>
        <w:tc>
          <w:tcPr>
            <w:tcW w:w="992" w:type="dxa"/>
            <w:gridSpan w:val="2"/>
            <w:tcBorders>
              <w:top w:val="nil"/>
              <w:left w:val="nil"/>
              <w:bottom w:val="nil"/>
              <w:right w:val="nil"/>
            </w:tcBorders>
            <w:shd w:val="clear" w:color="auto" w:fill="auto"/>
            <w:noWrap/>
            <w:vAlign w:val="bottom"/>
            <w:hideMark/>
          </w:tcPr>
          <w:p w14:paraId="149AA990" w14:textId="77777777" w:rsidR="007431AB" w:rsidRPr="00433245" w:rsidRDefault="007431AB" w:rsidP="000A05C7">
            <w:pPr>
              <w:spacing w:after="0" w:line="240" w:lineRule="auto"/>
              <w:rPr>
                <w:rFonts w:eastAsia="Times New Roman" w:cstheme="minorHAnsi"/>
                <w:lang w:eastAsia="en-GB"/>
              </w:rPr>
            </w:pPr>
          </w:p>
        </w:tc>
      </w:tr>
      <w:tr w:rsidR="007431AB" w:rsidRPr="00433245" w14:paraId="3BB2CEBB" w14:textId="77777777" w:rsidTr="000A05C7">
        <w:trPr>
          <w:gridAfter w:val="2"/>
          <w:wAfter w:w="996" w:type="dxa"/>
          <w:trHeight w:val="313"/>
        </w:trPr>
        <w:tc>
          <w:tcPr>
            <w:tcW w:w="7743" w:type="dxa"/>
            <w:gridSpan w:val="5"/>
            <w:shd w:val="clear" w:color="auto" w:fill="auto"/>
            <w:noWrap/>
            <w:vAlign w:val="center"/>
            <w:hideMark/>
          </w:tcPr>
          <w:p w14:paraId="7FDE18BE" w14:textId="77777777" w:rsidR="007431AB" w:rsidRPr="00433245" w:rsidRDefault="007431AB" w:rsidP="000A05C7">
            <w:pPr>
              <w:spacing w:after="0" w:line="240" w:lineRule="auto"/>
              <w:rPr>
                <w:rFonts w:eastAsia="Times New Roman" w:cstheme="minorHAnsi"/>
                <w:lang w:eastAsia="en-GB"/>
              </w:rPr>
            </w:pPr>
            <w:r w:rsidRPr="00433245">
              <w:rPr>
                <w:rFonts w:eastAsia="Times New Roman" w:cstheme="minorHAnsi"/>
                <w:lang w:eastAsia="en-GB"/>
              </w:rPr>
              <w:t>OR: Odds ratio;  CI: Confidence interval;  SD: Standard deviation</w:t>
            </w:r>
          </w:p>
        </w:tc>
        <w:tc>
          <w:tcPr>
            <w:tcW w:w="992" w:type="dxa"/>
            <w:gridSpan w:val="2"/>
            <w:tcBorders>
              <w:top w:val="nil"/>
              <w:left w:val="nil"/>
              <w:bottom w:val="nil"/>
              <w:right w:val="nil"/>
            </w:tcBorders>
            <w:shd w:val="clear" w:color="auto" w:fill="auto"/>
            <w:noWrap/>
            <w:vAlign w:val="bottom"/>
            <w:hideMark/>
          </w:tcPr>
          <w:p w14:paraId="0668264A" w14:textId="77777777" w:rsidR="007431AB" w:rsidRPr="00433245" w:rsidRDefault="007431AB" w:rsidP="000A05C7">
            <w:pPr>
              <w:spacing w:after="0" w:line="240" w:lineRule="auto"/>
              <w:rPr>
                <w:rFonts w:eastAsia="Times New Roman" w:cstheme="minorHAnsi"/>
                <w:lang w:eastAsia="en-GB"/>
              </w:rPr>
            </w:pPr>
          </w:p>
        </w:tc>
        <w:tc>
          <w:tcPr>
            <w:tcW w:w="1701" w:type="dxa"/>
            <w:gridSpan w:val="2"/>
            <w:tcBorders>
              <w:top w:val="nil"/>
              <w:left w:val="nil"/>
              <w:bottom w:val="nil"/>
              <w:right w:val="nil"/>
            </w:tcBorders>
            <w:shd w:val="clear" w:color="auto" w:fill="auto"/>
            <w:noWrap/>
            <w:vAlign w:val="bottom"/>
            <w:hideMark/>
          </w:tcPr>
          <w:p w14:paraId="6491A2B2" w14:textId="77777777" w:rsidR="007431AB" w:rsidRPr="00433245" w:rsidRDefault="007431AB" w:rsidP="000A05C7">
            <w:pPr>
              <w:spacing w:after="0" w:line="240" w:lineRule="auto"/>
              <w:rPr>
                <w:rFonts w:eastAsia="Times New Roman" w:cstheme="minorHAnsi"/>
                <w:lang w:eastAsia="en-GB"/>
              </w:rPr>
            </w:pPr>
          </w:p>
        </w:tc>
        <w:tc>
          <w:tcPr>
            <w:tcW w:w="993" w:type="dxa"/>
            <w:gridSpan w:val="2"/>
            <w:tcBorders>
              <w:top w:val="nil"/>
              <w:left w:val="nil"/>
              <w:bottom w:val="nil"/>
              <w:right w:val="nil"/>
            </w:tcBorders>
            <w:shd w:val="clear" w:color="auto" w:fill="auto"/>
            <w:noWrap/>
            <w:vAlign w:val="bottom"/>
            <w:hideMark/>
          </w:tcPr>
          <w:p w14:paraId="421B813F" w14:textId="77777777" w:rsidR="007431AB" w:rsidRPr="00433245" w:rsidRDefault="007431AB" w:rsidP="000A05C7">
            <w:pPr>
              <w:spacing w:after="0" w:line="240" w:lineRule="auto"/>
              <w:rPr>
                <w:rFonts w:eastAsia="Times New Roman" w:cstheme="minorHAnsi"/>
                <w:lang w:eastAsia="en-GB"/>
              </w:rPr>
            </w:pPr>
          </w:p>
        </w:tc>
        <w:tc>
          <w:tcPr>
            <w:tcW w:w="1701" w:type="dxa"/>
            <w:gridSpan w:val="2"/>
            <w:tcBorders>
              <w:top w:val="nil"/>
              <w:left w:val="nil"/>
              <w:bottom w:val="nil"/>
              <w:right w:val="nil"/>
            </w:tcBorders>
            <w:shd w:val="clear" w:color="auto" w:fill="auto"/>
            <w:noWrap/>
            <w:vAlign w:val="bottom"/>
            <w:hideMark/>
          </w:tcPr>
          <w:p w14:paraId="343A2E05" w14:textId="77777777" w:rsidR="007431AB" w:rsidRPr="00433245" w:rsidRDefault="007431AB" w:rsidP="000A05C7">
            <w:pPr>
              <w:spacing w:after="0" w:line="240" w:lineRule="auto"/>
              <w:rPr>
                <w:rFonts w:eastAsia="Times New Roman" w:cstheme="minorHAnsi"/>
                <w:lang w:eastAsia="en-GB"/>
              </w:rPr>
            </w:pPr>
          </w:p>
        </w:tc>
        <w:tc>
          <w:tcPr>
            <w:tcW w:w="992" w:type="dxa"/>
            <w:gridSpan w:val="2"/>
            <w:tcBorders>
              <w:top w:val="nil"/>
              <w:left w:val="nil"/>
              <w:bottom w:val="nil"/>
              <w:right w:val="nil"/>
            </w:tcBorders>
            <w:shd w:val="clear" w:color="auto" w:fill="auto"/>
            <w:noWrap/>
            <w:vAlign w:val="bottom"/>
            <w:hideMark/>
          </w:tcPr>
          <w:p w14:paraId="37045161" w14:textId="77777777" w:rsidR="007431AB" w:rsidRPr="00433245" w:rsidRDefault="007431AB" w:rsidP="000A05C7">
            <w:pPr>
              <w:spacing w:after="0" w:line="240" w:lineRule="auto"/>
              <w:rPr>
                <w:rFonts w:eastAsia="Times New Roman" w:cstheme="minorHAnsi"/>
                <w:lang w:eastAsia="en-GB"/>
              </w:rPr>
            </w:pPr>
          </w:p>
        </w:tc>
      </w:tr>
      <w:tr w:rsidR="007431AB" w:rsidRPr="00433245" w14:paraId="1AD13E8C" w14:textId="77777777" w:rsidTr="000A05C7">
        <w:trPr>
          <w:gridAfter w:val="2"/>
          <w:wAfter w:w="996" w:type="dxa"/>
          <w:trHeight w:val="290"/>
        </w:trPr>
        <w:tc>
          <w:tcPr>
            <w:tcW w:w="14122" w:type="dxa"/>
            <w:gridSpan w:val="15"/>
            <w:shd w:val="clear" w:color="auto" w:fill="auto"/>
            <w:noWrap/>
            <w:vAlign w:val="center"/>
          </w:tcPr>
          <w:p w14:paraId="55B1A344" w14:textId="77777777" w:rsidR="007431AB" w:rsidRPr="00433245" w:rsidRDefault="007431AB" w:rsidP="000A05C7">
            <w:pPr>
              <w:spacing w:after="0" w:line="240" w:lineRule="auto"/>
              <w:rPr>
                <w:rFonts w:eastAsia="Times New Roman" w:cstheme="minorHAnsi"/>
                <w:lang w:eastAsia="en-GB"/>
              </w:rPr>
            </w:pPr>
            <w:r w:rsidRPr="00433245">
              <w:rPr>
                <w:rFonts w:eastAsia="Times New Roman" w:cstheme="minorHAnsi"/>
                <w:lang w:eastAsia="en-GB"/>
              </w:rPr>
              <w:t>Sex-specific z-scores were derived for calf muscle area, grip strength and gait speed to enable the comparison of effect sizes</w:t>
            </w:r>
          </w:p>
        </w:tc>
      </w:tr>
      <w:tr w:rsidR="007431AB" w:rsidRPr="00433245" w14:paraId="44391662" w14:textId="77777777" w:rsidTr="000A05C7">
        <w:trPr>
          <w:gridAfter w:val="2"/>
          <w:wAfter w:w="996" w:type="dxa"/>
          <w:trHeight w:val="476"/>
        </w:trPr>
        <w:tc>
          <w:tcPr>
            <w:tcW w:w="14122" w:type="dxa"/>
            <w:gridSpan w:val="15"/>
            <w:vMerge w:val="restart"/>
            <w:shd w:val="clear" w:color="auto" w:fill="auto"/>
            <w:vAlign w:val="center"/>
            <w:hideMark/>
          </w:tcPr>
          <w:p w14:paraId="68594857" w14:textId="77777777" w:rsidR="007431AB" w:rsidRPr="00433245" w:rsidRDefault="007431AB" w:rsidP="000A05C7">
            <w:pPr>
              <w:spacing w:after="0" w:line="240" w:lineRule="auto"/>
              <w:rPr>
                <w:rFonts w:eastAsia="Times New Roman" w:cstheme="minorHAnsi"/>
                <w:lang w:eastAsia="en-GB"/>
              </w:rPr>
            </w:pPr>
            <w:r w:rsidRPr="00433245">
              <w:rPr>
                <w:rFonts w:eastAsia="Times New Roman" w:cstheme="minorHAnsi"/>
                <w:lang w:eastAsia="en-GB"/>
              </w:rPr>
              <w:t>*Adjusted for age, BMI, social class, smoker status, alcohol consumption, physical activity (ascertained from 1998-2004), dietary calcium intake (ascertained from 1998-2004), hormone replacement therapy use (females only), time since menopause (females only), use of bisphosphonates and use of medications for the endocrine system</w:t>
            </w:r>
          </w:p>
        </w:tc>
      </w:tr>
      <w:tr w:rsidR="007431AB" w:rsidRPr="00433245" w14:paraId="64B7426E" w14:textId="77777777" w:rsidTr="000A05C7">
        <w:trPr>
          <w:trHeight w:val="211"/>
        </w:trPr>
        <w:tc>
          <w:tcPr>
            <w:tcW w:w="14122" w:type="dxa"/>
            <w:gridSpan w:val="15"/>
            <w:vMerge/>
            <w:vAlign w:val="center"/>
            <w:hideMark/>
          </w:tcPr>
          <w:p w14:paraId="5D1C9334" w14:textId="77777777" w:rsidR="007431AB" w:rsidRPr="00433245" w:rsidRDefault="007431AB" w:rsidP="000A05C7">
            <w:pPr>
              <w:spacing w:after="0" w:line="240" w:lineRule="auto"/>
              <w:rPr>
                <w:rFonts w:eastAsia="Times New Roman" w:cstheme="minorHAnsi"/>
                <w:lang w:eastAsia="en-GB"/>
              </w:rPr>
            </w:pPr>
          </w:p>
        </w:tc>
        <w:tc>
          <w:tcPr>
            <w:tcW w:w="996" w:type="dxa"/>
            <w:gridSpan w:val="2"/>
            <w:tcBorders>
              <w:top w:val="nil"/>
              <w:left w:val="nil"/>
              <w:bottom w:val="nil"/>
              <w:right w:val="nil"/>
            </w:tcBorders>
            <w:shd w:val="clear" w:color="auto" w:fill="auto"/>
            <w:noWrap/>
            <w:vAlign w:val="bottom"/>
            <w:hideMark/>
          </w:tcPr>
          <w:p w14:paraId="2C48176C" w14:textId="77777777" w:rsidR="007431AB" w:rsidRPr="00433245" w:rsidRDefault="007431AB" w:rsidP="000A05C7">
            <w:pPr>
              <w:spacing w:after="0" w:line="240" w:lineRule="auto"/>
              <w:rPr>
                <w:rFonts w:eastAsia="Times New Roman" w:cstheme="minorHAnsi"/>
                <w:lang w:eastAsia="en-GB"/>
              </w:rPr>
            </w:pPr>
          </w:p>
        </w:tc>
      </w:tr>
      <w:tr w:rsidR="007431AB" w:rsidRPr="00433245" w14:paraId="2AC15CEE" w14:textId="77777777" w:rsidTr="000A05C7">
        <w:trPr>
          <w:trHeight w:val="290"/>
        </w:trPr>
        <w:tc>
          <w:tcPr>
            <w:tcW w:w="14122" w:type="dxa"/>
            <w:gridSpan w:val="15"/>
            <w:vMerge w:val="restart"/>
            <w:shd w:val="clear" w:color="auto" w:fill="auto"/>
            <w:vAlign w:val="center"/>
            <w:hideMark/>
          </w:tcPr>
          <w:p w14:paraId="657C58A4" w14:textId="77777777" w:rsidR="007431AB" w:rsidRPr="00433245" w:rsidRDefault="007431AB" w:rsidP="000A05C7">
            <w:pPr>
              <w:spacing w:after="0" w:line="240" w:lineRule="auto"/>
              <w:rPr>
                <w:rFonts w:eastAsia="Times New Roman" w:cstheme="minorHAnsi"/>
                <w:lang w:eastAsia="en-GB"/>
              </w:rPr>
            </w:pPr>
            <w:r w:rsidRPr="00433245">
              <w:rPr>
                <w:rFonts w:eastAsia="Times New Roman" w:cstheme="minorHAnsi"/>
                <w:lang w:eastAsia="en-GB"/>
              </w:rPr>
              <w:t>Odds ratios for being in a higher category for number of falls in the last year (0, 1 or &gt;1) were estimated using ordinal regression; logistic regression was used for the other outcomes</w:t>
            </w:r>
          </w:p>
        </w:tc>
        <w:tc>
          <w:tcPr>
            <w:tcW w:w="996" w:type="dxa"/>
            <w:gridSpan w:val="2"/>
            <w:tcBorders>
              <w:left w:val="nil"/>
            </w:tcBorders>
            <w:vAlign w:val="center"/>
            <w:hideMark/>
          </w:tcPr>
          <w:p w14:paraId="6E616DE2" w14:textId="77777777" w:rsidR="007431AB" w:rsidRPr="00433245" w:rsidRDefault="007431AB" w:rsidP="000A05C7">
            <w:pPr>
              <w:spacing w:after="0" w:line="240" w:lineRule="auto"/>
              <w:rPr>
                <w:rFonts w:eastAsia="Times New Roman" w:cstheme="minorHAnsi"/>
                <w:lang w:eastAsia="en-GB"/>
              </w:rPr>
            </w:pPr>
          </w:p>
        </w:tc>
      </w:tr>
      <w:tr w:rsidR="007431AB" w:rsidRPr="00433245" w14:paraId="33CBA2A4" w14:textId="77777777" w:rsidTr="000A05C7">
        <w:trPr>
          <w:trHeight w:val="290"/>
        </w:trPr>
        <w:tc>
          <w:tcPr>
            <w:tcW w:w="14122" w:type="dxa"/>
            <w:gridSpan w:val="15"/>
            <w:vMerge/>
            <w:vAlign w:val="center"/>
            <w:hideMark/>
          </w:tcPr>
          <w:p w14:paraId="5716EA9B" w14:textId="77777777" w:rsidR="007431AB" w:rsidRPr="00433245" w:rsidRDefault="007431AB" w:rsidP="000A05C7">
            <w:pPr>
              <w:spacing w:after="0" w:line="240" w:lineRule="auto"/>
              <w:rPr>
                <w:rFonts w:eastAsia="Times New Roman" w:cstheme="minorHAnsi"/>
                <w:lang w:eastAsia="en-GB"/>
              </w:rPr>
            </w:pPr>
          </w:p>
        </w:tc>
        <w:tc>
          <w:tcPr>
            <w:tcW w:w="996" w:type="dxa"/>
            <w:gridSpan w:val="2"/>
            <w:tcBorders>
              <w:top w:val="nil"/>
              <w:left w:val="nil"/>
              <w:bottom w:val="nil"/>
              <w:right w:val="nil"/>
            </w:tcBorders>
            <w:shd w:val="clear" w:color="auto" w:fill="auto"/>
            <w:noWrap/>
            <w:vAlign w:val="bottom"/>
            <w:hideMark/>
          </w:tcPr>
          <w:p w14:paraId="2533157A" w14:textId="77777777" w:rsidR="007431AB" w:rsidRPr="00433245" w:rsidRDefault="007431AB" w:rsidP="000A05C7">
            <w:pPr>
              <w:spacing w:after="0" w:line="240" w:lineRule="auto"/>
              <w:rPr>
                <w:rFonts w:eastAsia="Times New Roman" w:cstheme="minorHAnsi"/>
                <w:lang w:eastAsia="en-GB"/>
              </w:rPr>
            </w:pPr>
          </w:p>
        </w:tc>
      </w:tr>
      <w:tr w:rsidR="007431AB" w:rsidRPr="00433245" w14:paraId="3069A437" w14:textId="77777777" w:rsidTr="000A05C7">
        <w:trPr>
          <w:trHeight w:val="290"/>
        </w:trPr>
        <w:tc>
          <w:tcPr>
            <w:tcW w:w="10436" w:type="dxa"/>
            <w:gridSpan w:val="9"/>
            <w:shd w:val="clear" w:color="auto" w:fill="auto"/>
            <w:noWrap/>
            <w:vAlign w:val="center"/>
            <w:hideMark/>
          </w:tcPr>
          <w:p w14:paraId="262B45B2" w14:textId="77777777" w:rsidR="007431AB" w:rsidRPr="00433245" w:rsidRDefault="007431AB" w:rsidP="000A05C7">
            <w:pPr>
              <w:spacing w:after="0" w:line="240" w:lineRule="auto"/>
              <w:rPr>
                <w:rFonts w:eastAsia="Times New Roman" w:cstheme="minorHAnsi"/>
                <w:lang w:eastAsia="en-GB"/>
              </w:rPr>
            </w:pPr>
            <w:r w:rsidRPr="00433245">
              <w:rPr>
                <w:rFonts w:eastAsia="Times New Roman" w:cstheme="minorHAnsi"/>
                <w:lang w:eastAsia="en-GB"/>
              </w:rPr>
              <w:t>All participant characteristics were ascertained from 2004-2005 unless stated otherwise</w:t>
            </w:r>
          </w:p>
        </w:tc>
        <w:tc>
          <w:tcPr>
            <w:tcW w:w="993" w:type="dxa"/>
            <w:gridSpan w:val="2"/>
            <w:tcBorders>
              <w:top w:val="nil"/>
              <w:left w:val="nil"/>
              <w:bottom w:val="nil"/>
              <w:right w:val="nil"/>
            </w:tcBorders>
            <w:shd w:val="clear" w:color="auto" w:fill="auto"/>
            <w:noWrap/>
            <w:vAlign w:val="bottom"/>
            <w:hideMark/>
          </w:tcPr>
          <w:p w14:paraId="651D8884" w14:textId="77777777" w:rsidR="007431AB" w:rsidRPr="00433245" w:rsidRDefault="007431AB" w:rsidP="000A05C7">
            <w:pPr>
              <w:spacing w:after="0" w:line="240" w:lineRule="auto"/>
              <w:rPr>
                <w:rFonts w:eastAsia="Times New Roman" w:cstheme="minorHAnsi"/>
                <w:lang w:eastAsia="en-GB"/>
              </w:rPr>
            </w:pPr>
          </w:p>
        </w:tc>
        <w:tc>
          <w:tcPr>
            <w:tcW w:w="1701" w:type="dxa"/>
            <w:gridSpan w:val="2"/>
            <w:tcBorders>
              <w:top w:val="nil"/>
              <w:left w:val="nil"/>
              <w:bottom w:val="nil"/>
              <w:right w:val="nil"/>
            </w:tcBorders>
            <w:shd w:val="clear" w:color="auto" w:fill="auto"/>
            <w:noWrap/>
            <w:vAlign w:val="bottom"/>
            <w:hideMark/>
          </w:tcPr>
          <w:p w14:paraId="390B1B67" w14:textId="77777777" w:rsidR="007431AB" w:rsidRPr="00433245" w:rsidRDefault="007431AB" w:rsidP="000A05C7">
            <w:pPr>
              <w:spacing w:after="0" w:line="240" w:lineRule="auto"/>
              <w:rPr>
                <w:rFonts w:eastAsia="Times New Roman" w:cstheme="minorHAnsi"/>
                <w:lang w:eastAsia="en-GB"/>
              </w:rPr>
            </w:pPr>
          </w:p>
        </w:tc>
        <w:tc>
          <w:tcPr>
            <w:tcW w:w="992" w:type="dxa"/>
            <w:gridSpan w:val="2"/>
            <w:tcBorders>
              <w:top w:val="nil"/>
              <w:left w:val="nil"/>
              <w:bottom w:val="nil"/>
              <w:right w:val="nil"/>
            </w:tcBorders>
            <w:shd w:val="clear" w:color="auto" w:fill="auto"/>
            <w:noWrap/>
            <w:vAlign w:val="bottom"/>
            <w:hideMark/>
          </w:tcPr>
          <w:p w14:paraId="7A270406" w14:textId="77777777" w:rsidR="007431AB" w:rsidRPr="00433245" w:rsidRDefault="007431AB" w:rsidP="000A05C7">
            <w:pPr>
              <w:spacing w:after="0" w:line="240" w:lineRule="auto"/>
              <w:rPr>
                <w:rFonts w:eastAsia="Times New Roman" w:cstheme="minorHAnsi"/>
                <w:lang w:eastAsia="en-GB"/>
              </w:rPr>
            </w:pPr>
          </w:p>
        </w:tc>
        <w:tc>
          <w:tcPr>
            <w:tcW w:w="996" w:type="dxa"/>
            <w:gridSpan w:val="2"/>
            <w:vAlign w:val="center"/>
            <w:hideMark/>
          </w:tcPr>
          <w:p w14:paraId="45D25091" w14:textId="77777777" w:rsidR="007431AB" w:rsidRPr="00433245" w:rsidRDefault="007431AB" w:rsidP="000A05C7">
            <w:pPr>
              <w:spacing w:after="0" w:line="240" w:lineRule="auto"/>
              <w:rPr>
                <w:rFonts w:eastAsia="Times New Roman" w:cstheme="minorHAnsi"/>
                <w:lang w:eastAsia="en-GB"/>
              </w:rPr>
            </w:pPr>
          </w:p>
        </w:tc>
      </w:tr>
      <w:bookmarkEnd w:id="20"/>
    </w:tbl>
    <w:p w14:paraId="3CE362C5" w14:textId="7A50FDAC" w:rsidR="00285390" w:rsidRPr="004A2775" w:rsidRDefault="00285390">
      <w:pPr>
        <w:spacing w:after="160" w:line="259" w:lineRule="auto"/>
        <w:rPr>
          <w:rFonts w:cstheme="minorHAnsi"/>
          <w:lang w:val="en-US"/>
        </w:rPr>
      </w:pPr>
      <w:r w:rsidRPr="004A2775">
        <w:rPr>
          <w:rFonts w:cstheme="minorHAnsi"/>
          <w:lang w:val="en-US"/>
        </w:rPr>
        <w:br w:type="page"/>
      </w:r>
    </w:p>
    <w:p w14:paraId="1020B516" w14:textId="6E453D1B" w:rsidR="00285390" w:rsidRPr="004A2775" w:rsidRDefault="00285390" w:rsidP="00872C93">
      <w:pPr>
        <w:pStyle w:val="Heading1"/>
        <w:rPr>
          <w:rFonts w:cstheme="minorHAnsi"/>
          <w:lang w:val="en-US"/>
        </w:rPr>
      </w:pPr>
      <w:r w:rsidRPr="004A2775">
        <w:rPr>
          <w:rFonts w:cstheme="minorHAnsi"/>
          <w:lang w:val="en-US"/>
        </w:rPr>
        <w:t>Bibliography</w:t>
      </w:r>
    </w:p>
    <w:p w14:paraId="60DF23DF" w14:textId="2F54549F" w:rsidR="000539F2" w:rsidRPr="000539F2" w:rsidRDefault="00F818EA" w:rsidP="000539F2">
      <w:pPr>
        <w:widowControl w:val="0"/>
        <w:autoSpaceDE w:val="0"/>
        <w:autoSpaceDN w:val="0"/>
        <w:adjustRightInd w:val="0"/>
        <w:spacing w:line="240" w:lineRule="auto"/>
        <w:ind w:left="640" w:hanging="640"/>
        <w:rPr>
          <w:rFonts w:ascii="Calibri" w:hAnsi="Calibri" w:cs="Calibri"/>
          <w:noProof/>
          <w:sz w:val="24"/>
          <w:szCs w:val="24"/>
        </w:rPr>
      </w:pPr>
      <w:r w:rsidRPr="004A2775">
        <w:rPr>
          <w:rFonts w:cstheme="minorHAnsi"/>
          <w:lang w:val="en-US"/>
        </w:rPr>
        <w:fldChar w:fldCharType="begin" w:fldLock="1"/>
      </w:r>
      <w:r w:rsidRPr="004A2775">
        <w:rPr>
          <w:rFonts w:cstheme="minorHAnsi"/>
          <w:lang w:val="en-US"/>
        </w:rPr>
        <w:instrText xml:space="preserve">ADDIN Mendeley Bibliography CSL_BIBLIOGRAPHY </w:instrText>
      </w:r>
      <w:r w:rsidRPr="004A2775">
        <w:rPr>
          <w:rFonts w:cstheme="minorHAnsi"/>
          <w:lang w:val="en-US"/>
        </w:rPr>
        <w:fldChar w:fldCharType="separate"/>
      </w:r>
      <w:r w:rsidR="000539F2" w:rsidRPr="000539F2">
        <w:rPr>
          <w:rFonts w:ascii="Calibri" w:hAnsi="Calibri" w:cs="Calibri"/>
          <w:noProof/>
          <w:sz w:val="24"/>
          <w:szCs w:val="24"/>
        </w:rPr>
        <w:t>[1]</w:t>
      </w:r>
      <w:r w:rsidR="000539F2" w:rsidRPr="000539F2">
        <w:rPr>
          <w:rFonts w:ascii="Calibri" w:hAnsi="Calibri" w:cs="Calibri"/>
          <w:noProof/>
          <w:sz w:val="24"/>
          <w:szCs w:val="24"/>
        </w:rPr>
        <w:tab/>
        <w:t>O. Johnell, J.A. Kanis, An estimate of the worldwide prevalence and disability associated with osteoporotic fractures, Osteoporos Int. 17 (2006) 1726–1733. https://doi.org/10.1007/s00198-006-0172-4.</w:t>
      </w:r>
    </w:p>
    <w:p w14:paraId="6B6FFA0D" w14:textId="77777777" w:rsidR="000539F2" w:rsidRPr="000539F2" w:rsidRDefault="000539F2" w:rsidP="000539F2">
      <w:pPr>
        <w:widowControl w:val="0"/>
        <w:autoSpaceDE w:val="0"/>
        <w:autoSpaceDN w:val="0"/>
        <w:adjustRightInd w:val="0"/>
        <w:spacing w:line="240" w:lineRule="auto"/>
        <w:ind w:left="640" w:hanging="640"/>
        <w:rPr>
          <w:rFonts w:ascii="Calibri" w:hAnsi="Calibri" w:cs="Calibri"/>
          <w:noProof/>
          <w:sz w:val="24"/>
          <w:szCs w:val="24"/>
        </w:rPr>
      </w:pPr>
      <w:r w:rsidRPr="000539F2">
        <w:rPr>
          <w:rFonts w:ascii="Calibri" w:hAnsi="Calibri" w:cs="Calibri"/>
          <w:noProof/>
          <w:sz w:val="24"/>
          <w:szCs w:val="24"/>
        </w:rPr>
        <w:t>[2]</w:t>
      </w:r>
      <w:r w:rsidRPr="000539F2">
        <w:rPr>
          <w:rFonts w:ascii="Calibri" w:hAnsi="Calibri" w:cs="Calibri"/>
          <w:noProof/>
          <w:sz w:val="24"/>
          <w:szCs w:val="24"/>
        </w:rPr>
        <w:tab/>
        <w:t>F. Laskou, E. Dennison, H. Patel, The Interplay of Muscle and Bone in Later Life, (2021). https://doi.org/10.1007/978-3-030-78128-6_10.</w:t>
      </w:r>
    </w:p>
    <w:p w14:paraId="41D8AEF9" w14:textId="77777777" w:rsidR="000539F2" w:rsidRPr="000539F2" w:rsidRDefault="000539F2" w:rsidP="000539F2">
      <w:pPr>
        <w:widowControl w:val="0"/>
        <w:autoSpaceDE w:val="0"/>
        <w:autoSpaceDN w:val="0"/>
        <w:adjustRightInd w:val="0"/>
        <w:spacing w:line="240" w:lineRule="auto"/>
        <w:ind w:left="640" w:hanging="640"/>
        <w:rPr>
          <w:rFonts w:ascii="Calibri" w:hAnsi="Calibri" w:cs="Calibri"/>
          <w:noProof/>
          <w:sz w:val="24"/>
          <w:szCs w:val="24"/>
        </w:rPr>
      </w:pPr>
      <w:r w:rsidRPr="000539F2">
        <w:rPr>
          <w:rFonts w:ascii="Calibri" w:hAnsi="Calibri" w:cs="Calibri"/>
          <w:noProof/>
          <w:sz w:val="24"/>
          <w:szCs w:val="24"/>
        </w:rPr>
        <w:t>[3]</w:t>
      </w:r>
      <w:r w:rsidRPr="000539F2">
        <w:rPr>
          <w:rFonts w:ascii="Calibri" w:hAnsi="Calibri" w:cs="Calibri"/>
          <w:noProof/>
          <w:sz w:val="24"/>
          <w:szCs w:val="24"/>
        </w:rPr>
        <w:tab/>
        <w:t>M.H. Edwards, C.L. Gregson, H.P. Patel, K.A. Jameson, N.C. Harvey, A.A. Sayer, E.M. Dennison, C. Cooper, Muscle size, strength, and physical performance and their associations with bone structure in the Hertfordshire Cohort Study, J Bone Miner Res. 28 (2013) 2295–2304. https://doi.org/10.1002/jbmr.1972.</w:t>
      </w:r>
    </w:p>
    <w:p w14:paraId="30BD4FD0" w14:textId="77777777" w:rsidR="000539F2" w:rsidRPr="000539F2" w:rsidRDefault="000539F2" w:rsidP="000539F2">
      <w:pPr>
        <w:widowControl w:val="0"/>
        <w:autoSpaceDE w:val="0"/>
        <w:autoSpaceDN w:val="0"/>
        <w:adjustRightInd w:val="0"/>
        <w:spacing w:line="240" w:lineRule="auto"/>
        <w:ind w:left="640" w:hanging="640"/>
        <w:rPr>
          <w:rFonts w:ascii="Calibri" w:hAnsi="Calibri" w:cs="Calibri"/>
          <w:noProof/>
          <w:sz w:val="24"/>
          <w:szCs w:val="24"/>
        </w:rPr>
      </w:pPr>
      <w:r w:rsidRPr="000539F2">
        <w:rPr>
          <w:rFonts w:ascii="Calibri" w:hAnsi="Calibri" w:cs="Calibri"/>
          <w:noProof/>
          <w:sz w:val="24"/>
          <w:szCs w:val="24"/>
        </w:rPr>
        <w:t>[4]</w:t>
      </w:r>
      <w:r w:rsidRPr="000539F2">
        <w:rPr>
          <w:rFonts w:ascii="Calibri" w:hAnsi="Calibri" w:cs="Calibri"/>
          <w:noProof/>
          <w:sz w:val="24"/>
          <w:szCs w:val="24"/>
        </w:rPr>
        <w:tab/>
        <w:t>Y. Soh, C.W. Won, Sex differences in impact of sarcopenia on falls in community-dwelling Korean older adults, BMC Geriatr 2021 211. 21 (2021) 1–9. https://doi.org/10.1186/S12877-021-02688-8.</w:t>
      </w:r>
    </w:p>
    <w:p w14:paraId="69ABB1BB" w14:textId="77777777" w:rsidR="000539F2" w:rsidRPr="000539F2" w:rsidRDefault="000539F2" w:rsidP="000539F2">
      <w:pPr>
        <w:widowControl w:val="0"/>
        <w:autoSpaceDE w:val="0"/>
        <w:autoSpaceDN w:val="0"/>
        <w:adjustRightInd w:val="0"/>
        <w:spacing w:line="240" w:lineRule="auto"/>
        <w:ind w:left="640" w:hanging="640"/>
        <w:rPr>
          <w:rFonts w:ascii="Calibri" w:hAnsi="Calibri" w:cs="Calibri"/>
          <w:noProof/>
          <w:sz w:val="24"/>
          <w:szCs w:val="24"/>
        </w:rPr>
      </w:pPr>
      <w:r w:rsidRPr="000539F2">
        <w:rPr>
          <w:rFonts w:ascii="Calibri" w:hAnsi="Calibri" w:cs="Calibri"/>
          <w:noProof/>
          <w:sz w:val="24"/>
          <w:szCs w:val="24"/>
        </w:rPr>
        <w:t>[5]</w:t>
      </w:r>
      <w:r w:rsidRPr="000539F2">
        <w:rPr>
          <w:rFonts w:ascii="Calibri" w:hAnsi="Calibri" w:cs="Calibri"/>
          <w:noProof/>
          <w:sz w:val="24"/>
          <w:szCs w:val="24"/>
        </w:rPr>
        <w:tab/>
        <w:t>S.S.Y. Yeung, E.M. Reijnierse, V.K. Pham, M.C. Trappenburg, W.K. Lim, C.G.M. Meskers, A.B. Maier, Sarcopenia and its association with falls and fractures in older adults: A systematic review and meta-analysis, J Cachexia Sarcopenia Muscle. 10 (2019) 485–500. https://doi.org/10.1002/jcsm.12411.</w:t>
      </w:r>
    </w:p>
    <w:p w14:paraId="7ACE4499" w14:textId="77777777" w:rsidR="000539F2" w:rsidRPr="000539F2" w:rsidRDefault="000539F2" w:rsidP="000539F2">
      <w:pPr>
        <w:widowControl w:val="0"/>
        <w:autoSpaceDE w:val="0"/>
        <w:autoSpaceDN w:val="0"/>
        <w:adjustRightInd w:val="0"/>
        <w:spacing w:line="240" w:lineRule="auto"/>
        <w:ind w:left="640" w:hanging="640"/>
        <w:rPr>
          <w:rFonts w:ascii="Calibri" w:hAnsi="Calibri" w:cs="Calibri"/>
          <w:noProof/>
          <w:sz w:val="24"/>
          <w:szCs w:val="24"/>
        </w:rPr>
      </w:pPr>
      <w:r w:rsidRPr="000539F2">
        <w:rPr>
          <w:rFonts w:ascii="Calibri" w:hAnsi="Calibri" w:cs="Calibri"/>
          <w:noProof/>
          <w:sz w:val="24"/>
          <w:szCs w:val="24"/>
        </w:rPr>
        <w:t>[6]</w:t>
      </w:r>
      <w:r w:rsidRPr="000539F2">
        <w:rPr>
          <w:rFonts w:ascii="Calibri" w:hAnsi="Calibri" w:cs="Calibri"/>
          <w:noProof/>
          <w:sz w:val="24"/>
          <w:szCs w:val="24"/>
        </w:rPr>
        <w:tab/>
        <w:t>A.J. Cruz-Jentoft, G. Bahat, J. Bauer, Y. Boirie, O. Bruyère, T. Cederholm, C. Cooper, F. Landi, Y. Rolland, A.A. Sayer, S.M. Schneider, C.C. Sieber, E. Topinkova, M. Vandewoude, M. Visser, M. Zamboni, I. Bautmans, J.P. Baeyens, M. Cesari, A. Cherubini, J. Kanis, M. Maggio, F. Martin, J.P. Michel, K. Pitkala, J.Y. Reginster, R. Rizzoli, D. Sánchez-Rodríguez, J. Schols, Sarcopenia: Revised European consensus on definition and diagnosis, Age Ageing. 48 (2019) 16–31. https://doi.org/10.1093/ageing/afy169.</w:t>
      </w:r>
    </w:p>
    <w:p w14:paraId="562A907A" w14:textId="77777777" w:rsidR="000539F2" w:rsidRPr="000539F2" w:rsidRDefault="000539F2" w:rsidP="000539F2">
      <w:pPr>
        <w:widowControl w:val="0"/>
        <w:autoSpaceDE w:val="0"/>
        <w:autoSpaceDN w:val="0"/>
        <w:adjustRightInd w:val="0"/>
        <w:spacing w:line="240" w:lineRule="auto"/>
        <w:ind w:left="640" w:hanging="640"/>
        <w:rPr>
          <w:rFonts w:ascii="Calibri" w:hAnsi="Calibri" w:cs="Calibri"/>
          <w:noProof/>
          <w:sz w:val="24"/>
          <w:szCs w:val="24"/>
        </w:rPr>
      </w:pPr>
      <w:r w:rsidRPr="000539F2">
        <w:rPr>
          <w:rFonts w:ascii="Calibri" w:hAnsi="Calibri" w:cs="Calibri"/>
          <w:noProof/>
          <w:sz w:val="24"/>
          <w:szCs w:val="24"/>
        </w:rPr>
        <w:t>[7]</w:t>
      </w:r>
      <w:r w:rsidRPr="000539F2">
        <w:rPr>
          <w:rFonts w:ascii="Calibri" w:hAnsi="Calibri" w:cs="Calibri"/>
          <w:noProof/>
          <w:sz w:val="24"/>
          <w:szCs w:val="24"/>
        </w:rPr>
        <w:tab/>
        <w:t>H.E. Syddall, S.J. Simmonds, S.A. Carter, S.M. Robinson, E.M. Dennison, C. Cooper, G. Bevilacqua, I. Bloom, M. Clynes, K. Cox, V. Cox, N. Fuggle, C. Gale, J. Holloway, K. Jameson, C. Parsons, H. Patel, K. Ward, L. Westbury, The Hertfordshire Cohort Study: an overview, F1000Research. 8 (2019). https://doi.org/10.12688/F1000RESEARCH.17457.1.</w:t>
      </w:r>
    </w:p>
    <w:p w14:paraId="39F56B91" w14:textId="77777777" w:rsidR="000539F2" w:rsidRPr="000539F2" w:rsidRDefault="000539F2" w:rsidP="000539F2">
      <w:pPr>
        <w:widowControl w:val="0"/>
        <w:autoSpaceDE w:val="0"/>
        <w:autoSpaceDN w:val="0"/>
        <w:adjustRightInd w:val="0"/>
        <w:spacing w:line="240" w:lineRule="auto"/>
        <w:ind w:left="640" w:hanging="640"/>
        <w:rPr>
          <w:rFonts w:ascii="Calibri" w:hAnsi="Calibri" w:cs="Calibri"/>
          <w:noProof/>
          <w:sz w:val="24"/>
          <w:szCs w:val="24"/>
        </w:rPr>
      </w:pPr>
      <w:r w:rsidRPr="000539F2">
        <w:rPr>
          <w:rFonts w:ascii="Calibri" w:hAnsi="Calibri" w:cs="Calibri"/>
          <w:noProof/>
          <w:sz w:val="24"/>
          <w:szCs w:val="24"/>
        </w:rPr>
        <w:t>[8]</w:t>
      </w:r>
      <w:r w:rsidRPr="000539F2">
        <w:rPr>
          <w:rFonts w:ascii="Calibri" w:hAnsi="Calibri" w:cs="Calibri"/>
          <w:noProof/>
          <w:sz w:val="24"/>
          <w:szCs w:val="24"/>
        </w:rPr>
        <w:tab/>
        <w:t>H.M. Dallosso, K. Morgan, E.J. Bassey, S.B. Ebrahim, P.H. Fentem, T.H. Arie, Levels of customary physical activity among the old and the very old living at home., J Epidemiol Community Health. 42 (1988) 121. https://doi.org/10.1136/JECH.42.2.121.</w:t>
      </w:r>
    </w:p>
    <w:p w14:paraId="172C6BF3" w14:textId="77777777" w:rsidR="000539F2" w:rsidRPr="000539F2" w:rsidRDefault="000539F2" w:rsidP="000539F2">
      <w:pPr>
        <w:widowControl w:val="0"/>
        <w:autoSpaceDE w:val="0"/>
        <w:autoSpaceDN w:val="0"/>
        <w:adjustRightInd w:val="0"/>
        <w:spacing w:line="240" w:lineRule="auto"/>
        <w:ind w:left="640" w:hanging="640"/>
        <w:rPr>
          <w:rFonts w:ascii="Calibri" w:hAnsi="Calibri" w:cs="Calibri"/>
          <w:noProof/>
          <w:sz w:val="24"/>
          <w:szCs w:val="24"/>
        </w:rPr>
      </w:pPr>
      <w:r w:rsidRPr="000539F2">
        <w:rPr>
          <w:rFonts w:ascii="Calibri" w:hAnsi="Calibri" w:cs="Calibri"/>
          <w:noProof/>
          <w:sz w:val="24"/>
          <w:szCs w:val="24"/>
        </w:rPr>
        <w:t>[9]</w:t>
      </w:r>
      <w:r w:rsidRPr="000539F2">
        <w:rPr>
          <w:rFonts w:ascii="Calibri" w:hAnsi="Calibri" w:cs="Calibri"/>
          <w:noProof/>
          <w:sz w:val="24"/>
          <w:szCs w:val="24"/>
        </w:rPr>
        <w:tab/>
        <w:t>S. Robinson, H. Syddall, K. Jameson, S. Batelaan, H. Martin, E.M. Dennison, C. Cooper, A.A. Sayer, Current patterns of diet in community-dwelling older men and women: Results from the Hertfordshire Cohort Study, Age Ageing. 38 (2009) 594–599. https://doi.org/10.1093/AGEING/AFP121.</w:t>
      </w:r>
    </w:p>
    <w:p w14:paraId="1E360DB0" w14:textId="77777777" w:rsidR="000539F2" w:rsidRPr="000539F2" w:rsidRDefault="000539F2" w:rsidP="000539F2">
      <w:pPr>
        <w:widowControl w:val="0"/>
        <w:autoSpaceDE w:val="0"/>
        <w:autoSpaceDN w:val="0"/>
        <w:adjustRightInd w:val="0"/>
        <w:spacing w:line="240" w:lineRule="auto"/>
        <w:ind w:left="640" w:hanging="640"/>
        <w:rPr>
          <w:rFonts w:ascii="Calibri" w:hAnsi="Calibri" w:cs="Calibri"/>
          <w:noProof/>
          <w:sz w:val="24"/>
          <w:szCs w:val="24"/>
        </w:rPr>
      </w:pPr>
      <w:r w:rsidRPr="000539F2">
        <w:rPr>
          <w:rFonts w:ascii="Calibri" w:hAnsi="Calibri" w:cs="Calibri"/>
          <w:noProof/>
          <w:sz w:val="24"/>
          <w:szCs w:val="24"/>
        </w:rPr>
        <w:t>[10]</w:t>
      </w:r>
      <w:r w:rsidRPr="000539F2">
        <w:rPr>
          <w:rFonts w:ascii="Calibri" w:hAnsi="Calibri" w:cs="Calibri"/>
          <w:noProof/>
          <w:sz w:val="24"/>
          <w:szCs w:val="24"/>
        </w:rPr>
        <w:tab/>
        <w:t>Office of Population Censuses and Surveys., Standard occupational classification, Vol 1. Structure and definition of major, Minor and unit groups., HMSO, London :, 1990.</w:t>
      </w:r>
    </w:p>
    <w:p w14:paraId="1AB7EC8F" w14:textId="77777777" w:rsidR="000539F2" w:rsidRPr="000539F2" w:rsidRDefault="000539F2" w:rsidP="000539F2">
      <w:pPr>
        <w:widowControl w:val="0"/>
        <w:autoSpaceDE w:val="0"/>
        <w:autoSpaceDN w:val="0"/>
        <w:adjustRightInd w:val="0"/>
        <w:spacing w:line="240" w:lineRule="auto"/>
        <w:ind w:left="640" w:hanging="640"/>
        <w:rPr>
          <w:rFonts w:ascii="Calibri" w:hAnsi="Calibri" w:cs="Calibri"/>
          <w:noProof/>
          <w:sz w:val="24"/>
          <w:szCs w:val="24"/>
        </w:rPr>
      </w:pPr>
      <w:r w:rsidRPr="000539F2">
        <w:rPr>
          <w:rFonts w:ascii="Calibri" w:hAnsi="Calibri" w:cs="Calibri"/>
          <w:noProof/>
          <w:sz w:val="24"/>
          <w:szCs w:val="24"/>
        </w:rPr>
        <w:t>[11]</w:t>
      </w:r>
      <w:r w:rsidRPr="000539F2">
        <w:rPr>
          <w:rFonts w:ascii="Calibri" w:hAnsi="Calibri" w:cs="Calibri"/>
          <w:noProof/>
          <w:sz w:val="24"/>
          <w:szCs w:val="24"/>
        </w:rPr>
        <w:tab/>
        <w:t>K.P. Peter Elias,Keith Halstead, CASOC: Computer Assisted Standard Occupational Coding, 1993.</w:t>
      </w:r>
    </w:p>
    <w:p w14:paraId="1CFAF8B4" w14:textId="77777777" w:rsidR="000539F2" w:rsidRPr="000539F2" w:rsidRDefault="000539F2" w:rsidP="000539F2">
      <w:pPr>
        <w:widowControl w:val="0"/>
        <w:autoSpaceDE w:val="0"/>
        <w:autoSpaceDN w:val="0"/>
        <w:adjustRightInd w:val="0"/>
        <w:spacing w:line="240" w:lineRule="auto"/>
        <w:ind w:left="640" w:hanging="640"/>
        <w:rPr>
          <w:rFonts w:ascii="Calibri" w:hAnsi="Calibri" w:cs="Calibri"/>
          <w:noProof/>
          <w:sz w:val="24"/>
          <w:szCs w:val="24"/>
        </w:rPr>
      </w:pPr>
      <w:r w:rsidRPr="000539F2">
        <w:rPr>
          <w:rFonts w:ascii="Calibri" w:hAnsi="Calibri" w:cs="Calibri"/>
          <w:noProof/>
          <w:sz w:val="24"/>
          <w:szCs w:val="24"/>
        </w:rPr>
        <w:t>[12]</w:t>
      </w:r>
      <w:r w:rsidRPr="000539F2">
        <w:rPr>
          <w:rFonts w:ascii="Calibri" w:hAnsi="Calibri" w:cs="Calibri"/>
          <w:noProof/>
          <w:sz w:val="24"/>
          <w:szCs w:val="24"/>
        </w:rPr>
        <w:tab/>
        <w:t>A. Patel, M.H. Edwards, K.A. Jameson, K.A. Ward, N. Fuggle, C. Cooper, E.M. Dennison, Longitudinal Change in Peripheral Quantitative Computed Tomography Assessment in Older Adults: The Hertfordshire Cohort Study, Calcif Tissue Int. 103 (2018) 476–482. https://doi.org/10.1007/s00223-018-0442-0.</w:t>
      </w:r>
    </w:p>
    <w:p w14:paraId="6323C131" w14:textId="77777777" w:rsidR="000539F2" w:rsidRPr="000539F2" w:rsidRDefault="000539F2" w:rsidP="000539F2">
      <w:pPr>
        <w:widowControl w:val="0"/>
        <w:autoSpaceDE w:val="0"/>
        <w:autoSpaceDN w:val="0"/>
        <w:adjustRightInd w:val="0"/>
        <w:spacing w:line="240" w:lineRule="auto"/>
        <w:ind w:left="640" w:hanging="640"/>
        <w:rPr>
          <w:rFonts w:ascii="Calibri" w:hAnsi="Calibri" w:cs="Calibri"/>
          <w:noProof/>
          <w:sz w:val="24"/>
          <w:szCs w:val="24"/>
        </w:rPr>
      </w:pPr>
      <w:r w:rsidRPr="000539F2">
        <w:rPr>
          <w:rFonts w:ascii="Calibri" w:hAnsi="Calibri" w:cs="Calibri"/>
          <w:noProof/>
          <w:sz w:val="24"/>
          <w:szCs w:val="24"/>
        </w:rPr>
        <w:t>[13]</w:t>
      </w:r>
      <w:r w:rsidRPr="000539F2">
        <w:rPr>
          <w:rFonts w:ascii="Calibri" w:hAnsi="Calibri" w:cs="Calibri"/>
          <w:noProof/>
          <w:sz w:val="24"/>
          <w:szCs w:val="24"/>
        </w:rPr>
        <w:tab/>
        <w:t>S. Studenski, S. Perera, K. Patel, C. Rosano, K. Faulkner, M. Inzitari, J. Brach, J. Chandler, P. Cawthon, E.B. Connor, M. Nevitt, M. Visser, S. Kritchevsky, S. Badinelli, T. Harris, A.B. Newman, J. Cauley, L. Ferrucci, J. Guralnik, Gait Speed and Survival in Older Adults, JAMA. 305 (2011) 50. https://doi.org/10.1001/JAMA.2010.1923.</w:t>
      </w:r>
    </w:p>
    <w:p w14:paraId="6DB770A8" w14:textId="77777777" w:rsidR="000539F2" w:rsidRPr="000539F2" w:rsidRDefault="000539F2" w:rsidP="000539F2">
      <w:pPr>
        <w:widowControl w:val="0"/>
        <w:autoSpaceDE w:val="0"/>
        <w:autoSpaceDN w:val="0"/>
        <w:adjustRightInd w:val="0"/>
        <w:spacing w:line="240" w:lineRule="auto"/>
        <w:ind w:left="640" w:hanging="640"/>
        <w:rPr>
          <w:rFonts w:ascii="Calibri" w:hAnsi="Calibri" w:cs="Calibri"/>
          <w:noProof/>
          <w:sz w:val="24"/>
          <w:szCs w:val="24"/>
        </w:rPr>
      </w:pPr>
      <w:r w:rsidRPr="000539F2">
        <w:rPr>
          <w:rFonts w:ascii="Calibri" w:hAnsi="Calibri" w:cs="Calibri"/>
          <w:noProof/>
          <w:sz w:val="24"/>
          <w:szCs w:val="24"/>
        </w:rPr>
        <w:t>[14]</w:t>
      </w:r>
      <w:r w:rsidRPr="000539F2">
        <w:rPr>
          <w:rFonts w:ascii="Calibri" w:hAnsi="Calibri" w:cs="Calibri"/>
          <w:noProof/>
          <w:sz w:val="24"/>
          <w:szCs w:val="24"/>
        </w:rPr>
        <w:tab/>
        <w:t>N.C. Harvey, A. Odén, E. Orwoll, J. Lapidus, T. Kwok, M.K. Karlsson, B.E. Rosengren, E. Ribom, C. Cooper, P.M. Cawthon, J.A. Kanis, C. Ohlsson, D. Mellström, H. Johansson, E. McCloskey, Measures of Physical Performance and Muscle Strength as Predictors of Fracture Risk Independent of FRAX, Falls, and aBMD: A Meta‐Analysis of the Osteoporotic Fractures in Men (MrOS) Study, J Bone Miner Res. 33 (2018) 2150. https://doi.org/10.1002/JBMR.3556.</w:t>
      </w:r>
    </w:p>
    <w:p w14:paraId="3169C08A" w14:textId="77777777" w:rsidR="000539F2" w:rsidRPr="000539F2" w:rsidRDefault="000539F2" w:rsidP="000539F2">
      <w:pPr>
        <w:widowControl w:val="0"/>
        <w:autoSpaceDE w:val="0"/>
        <w:autoSpaceDN w:val="0"/>
        <w:adjustRightInd w:val="0"/>
        <w:spacing w:line="240" w:lineRule="auto"/>
        <w:ind w:left="640" w:hanging="640"/>
        <w:rPr>
          <w:rFonts w:ascii="Calibri" w:hAnsi="Calibri" w:cs="Calibri"/>
          <w:noProof/>
          <w:sz w:val="24"/>
          <w:szCs w:val="24"/>
        </w:rPr>
      </w:pPr>
      <w:r w:rsidRPr="000539F2">
        <w:rPr>
          <w:rFonts w:ascii="Calibri" w:hAnsi="Calibri" w:cs="Calibri"/>
          <w:noProof/>
          <w:sz w:val="24"/>
          <w:szCs w:val="24"/>
        </w:rPr>
        <w:t>[15]</w:t>
      </w:r>
      <w:r w:rsidRPr="000539F2">
        <w:rPr>
          <w:rFonts w:ascii="Calibri" w:hAnsi="Calibri" w:cs="Calibri"/>
          <w:noProof/>
          <w:sz w:val="24"/>
          <w:szCs w:val="24"/>
        </w:rPr>
        <w:tab/>
        <w:t>N.C. Harvey, E. Orwoll, T. Kwok, M.K. Karlsson, B.E. Rosengren, E. Ribom, J.A. Cauley, P.M. Cawthon, K. Ensrud, E. Liu, A.J. Cruz-Jentoft, R.A. Fielding, C. Cooper, J.A. Kanis, M. Lorentzon, C. Ohlsson, D. Mellström, H. Johansson, E. McCloskey, Sarcopenia definitions as predictors of fracture risk independent of FRAX, falls and BMD in the Osteoporotic Fractures in Men (MrOS) Study: A meta-analysis, J Bone Miner Res. 36 (2021) 1235. https://doi.org/10.1002/JBMR.4293.</w:t>
      </w:r>
    </w:p>
    <w:p w14:paraId="410C2A00" w14:textId="77777777" w:rsidR="000539F2" w:rsidRPr="000539F2" w:rsidRDefault="000539F2" w:rsidP="000539F2">
      <w:pPr>
        <w:widowControl w:val="0"/>
        <w:autoSpaceDE w:val="0"/>
        <w:autoSpaceDN w:val="0"/>
        <w:adjustRightInd w:val="0"/>
        <w:spacing w:line="240" w:lineRule="auto"/>
        <w:ind w:left="640" w:hanging="640"/>
        <w:rPr>
          <w:rFonts w:ascii="Calibri" w:hAnsi="Calibri" w:cs="Calibri"/>
          <w:noProof/>
          <w:sz w:val="24"/>
          <w:szCs w:val="24"/>
        </w:rPr>
      </w:pPr>
      <w:r w:rsidRPr="000539F2">
        <w:rPr>
          <w:rFonts w:ascii="Calibri" w:hAnsi="Calibri" w:cs="Calibri"/>
          <w:noProof/>
          <w:sz w:val="24"/>
          <w:szCs w:val="24"/>
        </w:rPr>
        <w:t>[16]</w:t>
      </w:r>
      <w:r w:rsidRPr="000539F2">
        <w:rPr>
          <w:rFonts w:ascii="Calibri" w:hAnsi="Calibri" w:cs="Calibri"/>
          <w:noProof/>
          <w:sz w:val="24"/>
          <w:szCs w:val="24"/>
        </w:rPr>
        <w:tab/>
        <w:t>P.M. Cawthon, R.L. Fullman, L. Marshall, D.C. Mackey, H.A. Fink, J.A. Cauley, S.R. Cummings, E.S. Orwoll, K.E. Ensrud, Physical Performance and Risk of Hip Fractures in Older Men, J Bone Miner Res. 23 (2008) 1037. https://doi.org/10.1359/JBMR.080227.</w:t>
      </w:r>
    </w:p>
    <w:p w14:paraId="0AB420DD" w14:textId="77777777" w:rsidR="000539F2" w:rsidRPr="000539F2" w:rsidRDefault="000539F2" w:rsidP="000539F2">
      <w:pPr>
        <w:widowControl w:val="0"/>
        <w:autoSpaceDE w:val="0"/>
        <w:autoSpaceDN w:val="0"/>
        <w:adjustRightInd w:val="0"/>
        <w:spacing w:line="240" w:lineRule="auto"/>
        <w:ind w:left="640" w:hanging="640"/>
        <w:rPr>
          <w:rFonts w:ascii="Calibri" w:hAnsi="Calibri" w:cs="Calibri"/>
          <w:noProof/>
          <w:sz w:val="24"/>
          <w:szCs w:val="24"/>
        </w:rPr>
      </w:pPr>
      <w:r w:rsidRPr="000539F2">
        <w:rPr>
          <w:rFonts w:ascii="Calibri" w:hAnsi="Calibri" w:cs="Calibri"/>
          <w:noProof/>
          <w:sz w:val="24"/>
          <w:szCs w:val="24"/>
        </w:rPr>
        <w:t>[17]</w:t>
      </w:r>
      <w:r w:rsidRPr="000539F2">
        <w:rPr>
          <w:rFonts w:ascii="Calibri" w:hAnsi="Calibri" w:cs="Calibri"/>
          <w:noProof/>
          <w:sz w:val="24"/>
          <w:szCs w:val="24"/>
        </w:rPr>
        <w:tab/>
        <w:t>H.P. Patel, H.E. Syddall, K. Jameson, S. Robinson, H. Denison, H.C. Roberts, M. Edwards, E. Dennison, C. Cooper, A.A. Sayer, Prevalence of sarcopenia in community-dwelling older people in the UK using the European Working Group on Sarcopenia in Older People (EWGSOP) definition: Findings from the Hertfordshire Cohort Study (HCS), Age Ageing. 42 (2013) 378–384. https://doi.org/10.1093/ageing/afs197.</w:t>
      </w:r>
    </w:p>
    <w:p w14:paraId="3B5D701D" w14:textId="77777777" w:rsidR="000539F2" w:rsidRPr="000539F2" w:rsidRDefault="000539F2" w:rsidP="000539F2">
      <w:pPr>
        <w:widowControl w:val="0"/>
        <w:autoSpaceDE w:val="0"/>
        <w:autoSpaceDN w:val="0"/>
        <w:adjustRightInd w:val="0"/>
        <w:spacing w:line="240" w:lineRule="auto"/>
        <w:ind w:left="640" w:hanging="640"/>
        <w:rPr>
          <w:rFonts w:ascii="Calibri" w:hAnsi="Calibri" w:cs="Calibri"/>
          <w:noProof/>
          <w:sz w:val="24"/>
          <w:szCs w:val="24"/>
        </w:rPr>
      </w:pPr>
      <w:r w:rsidRPr="000539F2">
        <w:rPr>
          <w:rFonts w:ascii="Calibri" w:hAnsi="Calibri" w:cs="Calibri"/>
          <w:noProof/>
          <w:sz w:val="24"/>
          <w:szCs w:val="24"/>
        </w:rPr>
        <w:t>[18]</w:t>
      </w:r>
      <w:r w:rsidRPr="000539F2">
        <w:rPr>
          <w:rFonts w:ascii="Calibri" w:hAnsi="Calibri" w:cs="Calibri"/>
          <w:noProof/>
          <w:sz w:val="24"/>
          <w:szCs w:val="24"/>
        </w:rPr>
        <w:tab/>
        <w:t>M. Pahor, M. Pahor, MOBILITY AND FUNCTIONAL OUTCOMES FOR SARCOPENIA TRIALS, J Frailty Aging. 4 (2015) 123. /pmc/articles/PMC4643943/ (accessed April 1, 2022).</w:t>
      </w:r>
    </w:p>
    <w:p w14:paraId="0AA2DA5C" w14:textId="77777777" w:rsidR="000539F2" w:rsidRPr="000539F2" w:rsidRDefault="000539F2" w:rsidP="000539F2">
      <w:pPr>
        <w:widowControl w:val="0"/>
        <w:autoSpaceDE w:val="0"/>
        <w:autoSpaceDN w:val="0"/>
        <w:adjustRightInd w:val="0"/>
        <w:spacing w:line="240" w:lineRule="auto"/>
        <w:ind w:left="640" w:hanging="640"/>
        <w:rPr>
          <w:rFonts w:ascii="Calibri" w:hAnsi="Calibri" w:cs="Calibri"/>
          <w:noProof/>
          <w:sz w:val="24"/>
          <w:szCs w:val="24"/>
        </w:rPr>
      </w:pPr>
      <w:r w:rsidRPr="000539F2">
        <w:rPr>
          <w:rFonts w:ascii="Calibri" w:hAnsi="Calibri" w:cs="Calibri"/>
          <w:noProof/>
          <w:sz w:val="24"/>
          <w:szCs w:val="24"/>
        </w:rPr>
        <w:t>[19]</w:t>
      </w:r>
      <w:r w:rsidRPr="000539F2">
        <w:rPr>
          <w:rFonts w:ascii="Calibri" w:hAnsi="Calibri" w:cs="Calibri"/>
          <w:noProof/>
          <w:sz w:val="24"/>
          <w:szCs w:val="24"/>
        </w:rPr>
        <w:tab/>
        <w:t>D.M. Peters, S.L. Fritz, D.E. Krotish, Assessing the reliability and validity of a shorter walk test compared with the 10-Meter Walk Test for measurements of gait speed in healthy, older adults, J Geriatr Phys Ther. 36 (2013) 24–30. https://doi.org/10.1519/JPT.0b013e318248e20d.</w:t>
      </w:r>
    </w:p>
    <w:p w14:paraId="249FBC63" w14:textId="77777777" w:rsidR="000539F2" w:rsidRPr="000539F2" w:rsidRDefault="000539F2" w:rsidP="000539F2">
      <w:pPr>
        <w:widowControl w:val="0"/>
        <w:autoSpaceDE w:val="0"/>
        <w:autoSpaceDN w:val="0"/>
        <w:adjustRightInd w:val="0"/>
        <w:spacing w:line="240" w:lineRule="auto"/>
        <w:ind w:left="640" w:hanging="640"/>
        <w:rPr>
          <w:rFonts w:ascii="Calibri" w:hAnsi="Calibri" w:cs="Calibri"/>
          <w:noProof/>
          <w:sz w:val="24"/>
        </w:rPr>
      </w:pPr>
      <w:r w:rsidRPr="000539F2">
        <w:rPr>
          <w:rFonts w:ascii="Calibri" w:hAnsi="Calibri" w:cs="Calibri"/>
          <w:noProof/>
          <w:sz w:val="24"/>
          <w:szCs w:val="24"/>
        </w:rPr>
        <w:t>[20]</w:t>
      </w:r>
      <w:r w:rsidRPr="000539F2">
        <w:rPr>
          <w:rFonts w:ascii="Calibri" w:hAnsi="Calibri" w:cs="Calibri"/>
          <w:noProof/>
          <w:sz w:val="24"/>
          <w:szCs w:val="24"/>
        </w:rPr>
        <w:tab/>
        <w:t>C. Beaudart, Y. Rolland, A.J. Cruz-Jentoft, J.M. Bauer, C. Sieber, C. Cooper, N. Al-Daghri, I. Araujo de Carvalho, I. Bautmans, R. Bernabei, O. Bruyère, M. Cesari, A. Cherubini, B. Dawson-Hughes, J.A. Kanis, J.-M. Kaufman, F. Landi, S. Maggi, E. McCloskey, J. Petermans, L. Rodriguez Mañas, J.-Y. Reginster, R. Roller-Wirnsberger, L.A. Schaap, D. Uebelhart, R. Rizzoli, R.A. Fielding, Assessment of Muscle Function and Physical Performance in Daily Clinical Practice A position paper endorsed by the European Society for Clinical and Economic Aspects of Osteoporosis, Osteoarthritis and Musculoskeletal Diseases (ESCEO), Calcif Tissue Int. 105 (2019) 1–14. https://doi.org/10.1007/s00223-019-00545-w.</w:t>
      </w:r>
    </w:p>
    <w:p w14:paraId="0F53655D" w14:textId="77777777" w:rsidR="001D0D66" w:rsidRDefault="00F818EA" w:rsidP="00285390">
      <w:pPr>
        <w:rPr>
          <w:rFonts w:cstheme="minorHAnsi"/>
          <w:lang w:val="en-US"/>
        </w:rPr>
        <w:sectPr w:rsidR="001D0D66" w:rsidSect="006D044F">
          <w:pgSz w:w="15840" w:h="12240" w:orient="landscape"/>
          <w:pgMar w:top="1440" w:right="1440" w:bottom="1440" w:left="1440" w:header="720" w:footer="720" w:gutter="0"/>
          <w:cols w:space="720"/>
          <w:docGrid w:linePitch="360"/>
        </w:sectPr>
      </w:pPr>
      <w:r w:rsidRPr="004A2775">
        <w:rPr>
          <w:rFonts w:cstheme="minorHAnsi"/>
          <w:lang w:val="en-US"/>
        </w:rPr>
        <w:fldChar w:fldCharType="end"/>
      </w:r>
      <w:bookmarkEnd w:id="7"/>
      <w:bookmarkEnd w:id="11"/>
    </w:p>
    <w:p w14:paraId="3E0ED892" w14:textId="7F9DFA7B" w:rsidR="001D0D66" w:rsidRPr="004A2775" w:rsidRDefault="001D0D66" w:rsidP="00470CA3">
      <w:pPr>
        <w:rPr>
          <w:rFonts w:cstheme="minorHAnsi"/>
          <w:lang w:val="en-US"/>
        </w:rPr>
      </w:pPr>
    </w:p>
    <w:sectPr w:rsidR="001D0D66" w:rsidRPr="004A2775" w:rsidSect="001D0D66">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C3766" w14:textId="77777777" w:rsidR="007F4B66" w:rsidRDefault="007F4B66" w:rsidP="00100698">
      <w:pPr>
        <w:spacing w:after="0" w:line="240" w:lineRule="auto"/>
      </w:pPr>
      <w:r>
        <w:separator/>
      </w:r>
    </w:p>
  </w:endnote>
  <w:endnote w:type="continuationSeparator" w:id="0">
    <w:p w14:paraId="714CC7AF" w14:textId="77777777" w:rsidR="007F4B66" w:rsidRDefault="007F4B66" w:rsidP="0010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165024"/>
      <w:docPartObj>
        <w:docPartGallery w:val="Page Numbers (Bottom of Page)"/>
        <w:docPartUnique/>
      </w:docPartObj>
    </w:sdtPr>
    <w:sdtEndPr>
      <w:rPr>
        <w:noProof/>
      </w:rPr>
    </w:sdtEndPr>
    <w:sdtContent>
      <w:p w14:paraId="440943DD" w14:textId="09F45DEE" w:rsidR="004A2775" w:rsidRDefault="004A2775">
        <w:pPr>
          <w:pStyle w:val="Footer"/>
          <w:jc w:val="right"/>
        </w:pPr>
        <w:r>
          <w:fldChar w:fldCharType="begin"/>
        </w:r>
        <w:r>
          <w:instrText xml:space="preserve"> PAGE   \* MERGEFORMAT </w:instrText>
        </w:r>
        <w:r>
          <w:fldChar w:fldCharType="separate"/>
        </w:r>
        <w:r w:rsidR="001F3A0A">
          <w:rPr>
            <w:noProof/>
          </w:rPr>
          <w:t>1</w:t>
        </w:r>
        <w:r>
          <w:rPr>
            <w:noProof/>
          </w:rPr>
          <w:fldChar w:fldCharType="end"/>
        </w:r>
      </w:p>
    </w:sdtContent>
  </w:sdt>
  <w:p w14:paraId="6F040DC3" w14:textId="77777777" w:rsidR="004A2775" w:rsidRDefault="004A27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34682" w14:textId="77777777" w:rsidR="007F4B66" w:rsidRDefault="007F4B66" w:rsidP="00100698">
      <w:pPr>
        <w:spacing w:after="0" w:line="240" w:lineRule="auto"/>
      </w:pPr>
      <w:r>
        <w:separator/>
      </w:r>
    </w:p>
  </w:footnote>
  <w:footnote w:type="continuationSeparator" w:id="0">
    <w:p w14:paraId="5FEB7200" w14:textId="77777777" w:rsidR="007F4B66" w:rsidRDefault="007F4B66" w:rsidP="00100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E5EC9"/>
    <w:multiLevelType w:val="multilevel"/>
    <w:tmpl w:val="FE04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543EC"/>
    <w:multiLevelType w:val="hybridMultilevel"/>
    <w:tmpl w:val="3B440E9A"/>
    <w:lvl w:ilvl="0" w:tplc="1D00FF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55"/>
    <w:rsid w:val="000208AC"/>
    <w:rsid w:val="00035C31"/>
    <w:rsid w:val="00041CD4"/>
    <w:rsid w:val="00051BA5"/>
    <w:rsid w:val="000539F2"/>
    <w:rsid w:val="000876DD"/>
    <w:rsid w:val="00087AF8"/>
    <w:rsid w:val="00094267"/>
    <w:rsid w:val="000D35CE"/>
    <w:rsid w:val="000D7751"/>
    <w:rsid w:val="000E662D"/>
    <w:rsid w:val="000E745A"/>
    <w:rsid w:val="00100698"/>
    <w:rsid w:val="00101D2A"/>
    <w:rsid w:val="00116C4A"/>
    <w:rsid w:val="00126FBD"/>
    <w:rsid w:val="00130940"/>
    <w:rsid w:val="00134856"/>
    <w:rsid w:val="00180272"/>
    <w:rsid w:val="001828EC"/>
    <w:rsid w:val="001A0B24"/>
    <w:rsid w:val="001A1602"/>
    <w:rsid w:val="001C3334"/>
    <w:rsid w:val="001C62E4"/>
    <w:rsid w:val="001D0D66"/>
    <w:rsid w:val="001F3A0A"/>
    <w:rsid w:val="002056B5"/>
    <w:rsid w:val="00233968"/>
    <w:rsid w:val="00245AD6"/>
    <w:rsid w:val="002514BB"/>
    <w:rsid w:val="00263A4F"/>
    <w:rsid w:val="00264F50"/>
    <w:rsid w:val="00285390"/>
    <w:rsid w:val="00285B94"/>
    <w:rsid w:val="002A0ECF"/>
    <w:rsid w:val="002A2685"/>
    <w:rsid w:val="002B6E4A"/>
    <w:rsid w:val="002C4DC3"/>
    <w:rsid w:val="002E3EB2"/>
    <w:rsid w:val="0030464A"/>
    <w:rsid w:val="00320821"/>
    <w:rsid w:val="00330E5B"/>
    <w:rsid w:val="00333778"/>
    <w:rsid w:val="00362657"/>
    <w:rsid w:val="00362B86"/>
    <w:rsid w:val="00371144"/>
    <w:rsid w:val="003721BC"/>
    <w:rsid w:val="00372AE1"/>
    <w:rsid w:val="00380825"/>
    <w:rsid w:val="0038138B"/>
    <w:rsid w:val="003A0F4A"/>
    <w:rsid w:val="003D3BE9"/>
    <w:rsid w:val="003E7EF8"/>
    <w:rsid w:val="0040692C"/>
    <w:rsid w:val="0041165C"/>
    <w:rsid w:val="00414374"/>
    <w:rsid w:val="004216F9"/>
    <w:rsid w:val="00425058"/>
    <w:rsid w:val="0043473D"/>
    <w:rsid w:val="00435513"/>
    <w:rsid w:val="00437D67"/>
    <w:rsid w:val="00445FE0"/>
    <w:rsid w:val="00455159"/>
    <w:rsid w:val="0046611F"/>
    <w:rsid w:val="00470CA3"/>
    <w:rsid w:val="00471246"/>
    <w:rsid w:val="00472BF3"/>
    <w:rsid w:val="004807A0"/>
    <w:rsid w:val="004A2775"/>
    <w:rsid w:val="004A6AF6"/>
    <w:rsid w:val="004C0001"/>
    <w:rsid w:val="004C4A84"/>
    <w:rsid w:val="004D2156"/>
    <w:rsid w:val="004E2297"/>
    <w:rsid w:val="004F00B3"/>
    <w:rsid w:val="004F3943"/>
    <w:rsid w:val="004F3D5F"/>
    <w:rsid w:val="004F7BA1"/>
    <w:rsid w:val="00504502"/>
    <w:rsid w:val="00541A96"/>
    <w:rsid w:val="005532B0"/>
    <w:rsid w:val="00553C92"/>
    <w:rsid w:val="00554616"/>
    <w:rsid w:val="00556B0C"/>
    <w:rsid w:val="00566271"/>
    <w:rsid w:val="005703FC"/>
    <w:rsid w:val="00572D73"/>
    <w:rsid w:val="0057330E"/>
    <w:rsid w:val="00581ADE"/>
    <w:rsid w:val="00583015"/>
    <w:rsid w:val="00585728"/>
    <w:rsid w:val="0059318F"/>
    <w:rsid w:val="005A6BE4"/>
    <w:rsid w:val="005B6779"/>
    <w:rsid w:val="005D2902"/>
    <w:rsid w:val="005E745C"/>
    <w:rsid w:val="005F1925"/>
    <w:rsid w:val="005F43FF"/>
    <w:rsid w:val="005F6DDB"/>
    <w:rsid w:val="005F79F8"/>
    <w:rsid w:val="00605AFE"/>
    <w:rsid w:val="006074A7"/>
    <w:rsid w:val="00644487"/>
    <w:rsid w:val="0065178D"/>
    <w:rsid w:val="006576B8"/>
    <w:rsid w:val="00664CF9"/>
    <w:rsid w:val="0066774A"/>
    <w:rsid w:val="006730C9"/>
    <w:rsid w:val="00685590"/>
    <w:rsid w:val="00685E6C"/>
    <w:rsid w:val="00686121"/>
    <w:rsid w:val="00686833"/>
    <w:rsid w:val="006869D4"/>
    <w:rsid w:val="006C1948"/>
    <w:rsid w:val="006C4CDD"/>
    <w:rsid w:val="006D044F"/>
    <w:rsid w:val="006E00A0"/>
    <w:rsid w:val="006F24C8"/>
    <w:rsid w:val="006F3B40"/>
    <w:rsid w:val="00704A3B"/>
    <w:rsid w:val="00707AF1"/>
    <w:rsid w:val="007168DF"/>
    <w:rsid w:val="00725E2B"/>
    <w:rsid w:val="007431AB"/>
    <w:rsid w:val="00745CD0"/>
    <w:rsid w:val="007528BE"/>
    <w:rsid w:val="007552D1"/>
    <w:rsid w:val="00781E2E"/>
    <w:rsid w:val="00783860"/>
    <w:rsid w:val="00785C00"/>
    <w:rsid w:val="00786859"/>
    <w:rsid w:val="00793FB2"/>
    <w:rsid w:val="00797CED"/>
    <w:rsid w:val="007B4335"/>
    <w:rsid w:val="007D1C50"/>
    <w:rsid w:val="007D4194"/>
    <w:rsid w:val="007E38F6"/>
    <w:rsid w:val="007F4B66"/>
    <w:rsid w:val="00802053"/>
    <w:rsid w:val="00804E93"/>
    <w:rsid w:val="0082379B"/>
    <w:rsid w:val="00872C93"/>
    <w:rsid w:val="008A2C19"/>
    <w:rsid w:val="008B15D3"/>
    <w:rsid w:val="008C3AE1"/>
    <w:rsid w:val="008E4DCF"/>
    <w:rsid w:val="008F65C8"/>
    <w:rsid w:val="00934C8F"/>
    <w:rsid w:val="00944CD6"/>
    <w:rsid w:val="00952462"/>
    <w:rsid w:val="00953DAD"/>
    <w:rsid w:val="0097107B"/>
    <w:rsid w:val="00974EF3"/>
    <w:rsid w:val="00975A2C"/>
    <w:rsid w:val="00986D70"/>
    <w:rsid w:val="00991F46"/>
    <w:rsid w:val="009A1940"/>
    <w:rsid w:val="009A3470"/>
    <w:rsid w:val="009B14C2"/>
    <w:rsid w:val="009B7E5D"/>
    <w:rsid w:val="009C100A"/>
    <w:rsid w:val="009D186C"/>
    <w:rsid w:val="009D41B2"/>
    <w:rsid w:val="009D4B62"/>
    <w:rsid w:val="009D5C01"/>
    <w:rsid w:val="009E1AC5"/>
    <w:rsid w:val="009F64BF"/>
    <w:rsid w:val="00A01BF4"/>
    <w:rsid w:val="00A01C07"/>
    <w:rsid w:val="00A067F1"/>
    <w:rsid w:val="00A34226"/>
    <w:rsid w:val="00A723DD"/>
    <w:rsid w:val="00A827AE"/>
    <w:rsid w:val="00A83966"/>
    <w:rsid w:val="00AA3AAD"/>
    <w:rsid w:val="00AC0347"/>
    <w:rsid w:val="00AC5C7F"/>
    <w:rsid w:val="00AD594C"/>
    <w:rsid w:val="00AE197B"/>
    <w:rsid w:val="00AE7F7B"/>
    <w:rsid w:val="00AF13BF"/>
    <w:rsid w:val="00B102DC"/>
    <w:rsid w:val="00B2498D"/>
    <w:rsid w:val="00B33239"/>
    <w:rsid w:val="00B36C99"/>
    <w:rsid w:val="00B45069"/>
    <w:rsid w:val="00B553FC"/>
    <w:rsid w:val="00B77C45"/>
    <w:rsid w:val="00B95347"/>
    <w:rsid w:val="00BB1820"/>
    <w:rsid w:val="00BB1AE9"/>
    <w:rsid w:val="00BB6D3E"/>
    <w:rsid w:val="00BD18D3"/>
    <w:rsid w:val="00BD3B87"/>
    <w:rsid w:val="00BD4DDF"/>
    <w:rsid w:val="00C03D26"/>
    <w:rsid w:val="00C10C3C"/>
    <w:rsid w:val="00C1412A"/>
    <w:rsid w:val="00C17A6C"/>
    <w:rsid w:val="00C24D4F"/>
    <w:rsid w:val="00C7079B"/>
    <w:rsid w:val="00C726E6"/>
    <w:rsid w:val="00C74028"/>
    <w:rsid w:val="00C97C96"/>
    <w:rsid w:val="00CA5E87"/>
    <w:rsid w:val="00CC0273"/>
    <w:rsid w:val="00CC31F7"/>
    <w:rsid w:val="00CC34FC"/>
    <w:rsid w:val="00CD016A"/>
    <w:rsid w:val="00CE3EFC"/>
    <w:rsid w:val="00CE4D33"/>
    <w:rsid w:val="00CE7265"/>
    <w:rsid w:val="00CF36E9"/>
    <w:rsid w:val="00D10020"/>
    <w:rsid w:val="00D26FE9"/>
    <w:rsid w:val="00D301F1"/>
    <w:rsid w:val="00D34141"/>
    <w:rsid w:val="00D604FA"/>
    <w:rsid w:val="00D63B1F"/>
    <w:rsid w:val="00D65ADD"/>
    <w:rsid w:val="00D81E5B"/>
    <w:rsid w:val="00D86DF6"/>
    <w:rsid w:val="00DA2CF7"/>
    <w:rsid w:val="00DB37BE"/>
    <w:rsid w:val="00DD09C1"/>
    <w:rsid w:val="00DF533B"/>
    <w:rsid w:val="00DF5753"/>
    <w:rsid w:val="00DF5FA8"/>
    <w:rsid w:val="00E21C00"/>
    <w:rsid w:val="00E21C26"/>
    <w:rsid w:val="00E22BE1"/>
    <w:rsid w:val="00E2310D"/>
    <w:rsid w:val="00E42F55"/>
    <w:rsid w:val="00E56126"/>
    <w:rsid w:val="00E6121C"/>
    <w:rsid w:val="00E62B45"/>
    <w:rsid w:val="00E62D97"/>
    <w:rsid w:val="00E653B4"/>
    <w:rsid w:val="00E726B3"/>
    <w:rsid w:val="00E9606F"/>
    <w:rsid w:val="00EA251C"/>
    <w:rsid w:val="00EC112D"/>
    <w:rsid w:val="00EC13BF"/>
    <w:rsid w:val="00ED4DC0"/>
    <w:rsid w:val="00ED4E1E"/>
    <w:rsid w:val="00F0071C"/>
    <w:rsid w:val="00F10073"/>
    <w:rsid w:val="00F211F2"/>
    <w:rsid w:val="00F41D79"/>
    <w:rsid w:val="00F606AC"/>
    <w:rsid w:val="00F62B04"/>
    <w:rsid w:val="00F8070D"/>
    <w:rsid w:val="00F818EA"/>
    <w:rsid w:val="00F96971"/>
    <w:rsid w:val="00FA6A42"/>
    <w:rsid w:val="00FB7C55"/>
    <w:rsid w:val="00FC1817"/>
    <w:rsid w:val="00FE362A"/>
    <w:rsid w:val="00FE3B5A"/>
    <w:rsid w:val="00FF3969"/>
    <w:rsid w:val="00FF4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FB8399"/>
  <w15:chartTrackingRefBased/>
  <w15:docId w15:val="{FAC3B463-8461-4BFE-99A2-730B0815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00"/>
    <w:pPr>
      <w:spacing w:after="200" w:line="360" w:lineRule="auto"/>
    </w:pPr>
    <w:rPr>
      <w:lang w:val="en-GB"/>
    </w:rPr>
  </w:style>
  <w:style w:type="paragraph" w:styleId="Heading1">
    <w:name w:val="heading 1"/>
    <w:basedOn w:val="Normal"/>
    <w:next w:val="Normal"/>
    <w:link w:val="Heading1Char"/>
    <w:uiPriority w:val="9"/>
    <w:qFormat/>
    <w:rsid w:val="00E21C00"/>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E22BE1"/>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semiHidden/>
    <w:unhideWhenUsed/>
    <w:qFormat/>
    <w:rsid w:val="00934C8F"/>
    <w:pPr>
      <w:keepNext/>
      <w:keepLines/>
      <w:spacing w:before="40" w:after="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2BF3"/>
    <w:rPr>
      <w:sz w:val="16"/>
      <w:szCs w:val="16"/>
    </w:rPr>
  </w:style>
  <w:style w:type="paragraph" w:styleId="CommentText">
    <w:name w:val="annotation text"/>
    <w:basedOn w:val="Normal"/>
    <w:link w:val="CommentTextChar"/>
    <w:uiPriority w:val="99"/>
    <w:unhideWhenUsed/>
    <w:rsid w:val="00472BF3"/>
    <w:pPr>
      <w:spacing w:line="240" w:lineRule="auto"/>
    </w:pPr>
    <w:rPr>
      <w:sz w:val="20"/>
      <w:szCs w:val="20"/>
    </w:rPr>
  </w:style>
  <w:style w:type="character" w:customStyle="1" w:styleId="CommentTextChar">
    <w:name w:val="Comment Text Char"/>
    <w:basedOn w:val="DefaultParagraphFont"/>
    <w:link w:val="CommentText"/>
    <w:uiPriority w:val="99"/>
    <w:rsid w:val="00472BF3"/>
    <w:rPr>
      <w:sz w:val="20"/>
      <w:szCs w:val="20"/>
      <w:lang w:val="en-GB"/>
    </w:rPr>
  </w:style>
  <w:style w:type="paragraph" w:styleId="CommentSubject">
    <w:name w:val="annotation subject"/>
    <w:basedOn w:val="CommentText"/>
    <w:next w:val="CommentText"/>
    <w:link w:val="CommentSubjectChar"/>
    <w:uiPriority w:val="99"/>
    <w:semiHidden/>
    <w:unhideWhenUsed/>
    <w:rsid w:val="00472BF3"/>
    <w:rPr>
      <w:b/>
      <w:bCs/>
    </w:rPr>
  </w:style>
  <w:style w:type="character" w:customStyle="1" w:styleId="CommentSubjectChar">
    <w:name w:val="Comment Subject Char"/>
    <w:basedOn w:val="CommentTextChar"/>
    <w:link w:val="CommentSubject"/>
    <w:uiPriority w:val="99"/>
    <w:semiHidden/>
    <w:rsid w:val="00472BF3"/>
    <w:rPr>
      <w:b/>
      <w:bCs/>
      <w:sz w:val="20"/>
      <w:szCs w:val="20"/>
      <w:lang w:val="en-GB"/>
    </w:rPr>
  </w:style>
  <w:style w:type="paragraph" w:styleId="BalloonText">
    <w:name w:val="Balloon Text"/>
    <w:basedOn w:val="Normal"/>
    <w:link w:val="BalloonTextChar"/>
    <w:uiPriority w:val="99"/>
    <w:semiHidden/>
    <w:unhideWhenUsed/>
    <w:rsid w:val="00472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BF3"/>
    <w:rPr>
      <w:rFonts w:ascii="Segoe UI" w:hAnsi="Segoe UI" w:cs="Segoe UI"/>
      <w:sz w:val="18"/>
      <w:szCs w:val="18"/>
      <w:lang w:val="en-GB"/>
    </w:rPr>
  </w:style>
  <w:style w:type="character" w:styleId="Hyperlink">
    <w:name w:val="Hyperlink"/>
    <w:basedOn w:val="DefaultParagraphFont"/>
    <w:uiPriority w:val="99"/>
    <w:unhideWhenUsed/>
    <w:rsid w:val="00CD016A"/>
    <w:rPr>
      <w:color w:val="0563C1" w:themeColor="hyperlink"/>
      <w:u w:val="single"/>
    </w:rPr>
  </w:style>
  <w:style w:type="character" w:customStyle="1" w:styleId="UnresolvedMention">
    <w:name w:val="Unresolved Mention"/>
    <w:basedOn w:val="DefaultParagraphFont"/>
    <w:uiPriority w:val="99"/>
    <w:semiHidden/>
    <w:unhideWhenUsed/>
    <w:rsid w:val="00CD016A"/>
    <w:rPr>
      <w:color w:val="605E5C"/>
      <w:shd w:val="clear" w:color="auto" w:fill="E1DFDD"/>
    </w:rPr>
  </w:style>
  <w:style w:type="table" w:styleId="TableGrid">
    <w:name w:val="Table Grid"/>
    <w:basedOn w:val="TableNormal"/>
    <w:uiPriority w:val="39"/>
    <w:rsid w:val="00D60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533B"/>
    <w:pPr>
      <w:spacing w:after="0" w:line="240" w:lineRule="auto"/>
    </w:pPr>
    <w:rPr>
      <w:lang w:val="en-GB"/>
    </w:rPr>
  </w:style>
  <w:style w:type="paragraph" w:styleId="Subtitle">
    <w:name w:val="Subtitle"/>
    <w:basedOn w:val="Normal"/>
    <w:next w:val="Normal"/>
    <w:link w:val="SubtitleChar"/>
    <w:uiPriority w:val="11"/>
    <w:qFormat/>
    <w:rsid w:val="00DF533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F533B"/>
    <w:rPr>
      <w:rFonts w:eastAsiaTheme="minorEastAsia"/>
      <w:color w:val="5A5A5A" w:themeColor="text1" w:themeTint="A5"/>
      <w:spacing w:val="15"/>
      <w:lang w:val="en-GB"/>
    </w:rPr>
  </w:style>
  <w:style w:type="character" w:customStyle="1" w:styleId="Heading1Char">
    <w:name w:val="Heading 1 Char"/>
    <w:basedOn w:val="DefaultParagraphFont"/>
    <w:link w:val="Heading1"/>
    <w:uiPriority w:val="9"/>
    <w:rsid w:val="00E21C00"/>
    <w:rPr>
      <w:rFonts w:eastAsiaTheme="majorEastAsia" w:cstheme="majorBidi"/>
      <w:szCs w:val="32"/>
      <w:lang w:val="en-GB"/>
    </w:rPr>
  </w:style>
  <w:style w:type="character" w:customStyle="1" w:styleId="Heading2Char">
    <w:name w:val="Heading 2 Char"/>
    <w:basedOn w:val="DefaultParagraphFont"/>
    <w:link w:val="Heading2"/>
    <w:uiPriority w:val="9"/>
    <w:rsid w:val="00E22BE1"/>
    <w:rPr>
      <w:rFonts w:ascii="Times New Roman" w:eastAsiaTheme="majorEastAsia" w:hAnsi="Times New Roman" w:cstheme="majorBidi"/>
      <w:sz w:val="26"/>
      <w:szCs w:val="26"/>
      <w:lang w:val="en-GB"/>
    </w:rPr>
  </w:style>
  <w:style w:type="character" w:customStyle="1" w:styleId="Heading3Char">
    <w:name w:val="Heading 3 Char"/>
    <w:basedOn w:val="DefaultParagraphFont"/>
    <w:link w:val="Heading3"/>
    <w:uiPriority w:val="9"/>
    <w:semiHidden/>
    <w:rsid w:val="00934C8F"/>
    <w:rPr>
      <w:rFonts w:ascii="Times New Roman" w:eastAsiaTheme="majorEastAsia" w:hAnsi="Times New Roman" w:cstheme="majorBidi"/>
      <w:sz w:val="20"/>
      <w:szCs w:val="24"/>
      <w:lang w:val="en-GB"/>
    </w:rPr>
  </w:style>
  <w:style w:type="paragraph" w:styleId="Header">
    <w:name w:val="header"/>
    <w:basedOn w:val="Normal"/>
    <w:link w:val="HeaderChar"/>
    <w:uiPriority w:val="99"/>
    <w:unhideWhenUsed/>
    <w:rsid w:val="00100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698"/>
    <w:rPr>
      <w:rFonts w:ascii="Times New Roman" w:hAnsi="Times New Roman"/>
      <w:sz w:val="24"/>
      <w:lang w:val="en-GB"/>
    </w:rPr>
  </w:style>
  <w:style w:type="paragraph" w:styleId="Footer">
    <w:name w:val="footer"/>
    <w:basedOn w:val="Normal"/>
    <w:link w:val="FooterChar"/>
    <w:uiPriority w:val="99"/>
    <w:unhideWhenUsed/>
    <w:rsid w:val="00100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698"/>
    <w:rPr>
      <w:rFonts w:ascii="Times New Roman" w:hAnsi="Times New Roman"/>
      <w:sz w:val="24"/>
      <w:lang w:val="en-GB"/>
    </w:rPr>
  </w:style>
  <w:style w:type="character" w:styleId="FollowedHyperlink">
    <w:name w:val="FollowedHyperlink"/>
    <w:basedOn w:val="DefaultParagraphFont"/>
    <w:uiPriority w:val="99"/>
    <w:semiHidden/>
    <w:unhideWhenUsed/>
    <w:rsid w:val="00F96971"/>
    <w:rPr>
      <w:color w:val="954F72" w:themeColor="followedHyperlink"/>
      <w:u w:val="single"/>
    </w:rPr>
  </w:style>
  <w:style w:type="paragraph" w:styleId="Caption">
    <w:name w:val="caption"/>
    <w:basedOn w:val="Normal"/>
    <w:next w:val="Normal"/>
    <w:uiPriority w:val="35"/>
    <w:unhideWhenUsed/>
    <w:qFormat/>
    <w:rsid w:val="00E21C00"/>
    <w:pPr>
      <w:spacing w:line="240" w:lineRule="auto"/>
    </w:pPr>
    <w:rPr>
      <w:i/>
      <w:iCs/>
      <w:szCs w:val="18"/>
    </w:rPr>
  </w:style>
  <w:style w:type="paragraph" w:styleId="NormalWeb">
    <w:name w:val="Normal (Web)"/>
    <w:basedOn w:val="Normal"/>
    <w:uiPriority w:val="99"/>
    <w:semiHidden/>
    <w:unhideWhenUsed/>
    <w:rsid w:val="00E21C00"/>
    <w:pPr>
      <w:spacing w:before="100" w:beforeAutospacing="1" w:after="100" w:afterAutospacing="1" w:line="240" w:lineRule="auto"/>
    </w:pPr>
    <w:rPr>
      <w:rFonts w:eastAsia="Times New Roman" w:cs="Times New Roman"/>
      <w:szCs w:val="24"/>
      <w:lang w:eastAsia="en-GB"/>
    </w:rPr>
  </w:style>
  <w:style w:type="character" w:styleId="Strong">
    <w:name w:val="Strong"/>
    <w:basedOn w:val="DefaultParagraphFont"/>
    <w:uiPriority w:val="22"/>
    <w:qFormat/>
    <w:rsid w:val="00E21C00"/>
    <w:rPr>
      <w:b/>
      <w:bCs/>
    </w:rPr>
  </w:style>
  <w:style w:type="paragraph" w:styleId="Revision">
    <w:name w:val="Revision"/>
    <w:hidden/>
    <w:uiPriority w:val="99"/>
    <w:semiHidden/>
    <w:rsid w:val="009E1AC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171100">
      <w:bodyDiv w:val="1"/>
      <w:marLeft w:val="0"/>
      <w:marRight w:val="0"/>
      <w:marTop w:val="0"/>
      <w:marBottom w:val="0"/>
      <w:divBdr>
        <w:top w:val="none" w:sz="0" w:space="0" w:color="auto"/>
        <w:left w:val="none" w:sz="0" w:space="0" w:color="auto"/>
        <w:bottom w:val="none" w:sz="0" w:space="0" w:color="auto"/>
        <w:right w:val="none" w:sz="0" w:space="0" w:color="auto"/>
      </w:divBdr>
    </w:div>
    <w:div w:id="1033306926">
      <w:bodyDiv w:val="1"/>
      <w:marLeft w:val="0"/>
      <w:marRight w:val="0"/>
      <w:marTop w:val="0"/>
      <w:marBottom w:val="0"/>
      <w:divBdr>
        <w:top w:val="none" w:sz="0" w:space="0" w:color="auto"/>
        <w:left w:val="none" w:sz="0" w:space="0" w:color="auto"/>
        <w:bottom w:val="none" w:sz="0" w:space="0" w:color="auto"/>
        <w:right w:val="none" w:sz="0" w:space="0" w:color="auto"/>
      </w:divBdr>
    </w:div>
    <w:div w:id="1421944033">
      <w:bodyDiv w:val="1"/>
      <w:marLeft w:val="0"/>
      <w:marRight w:val="0"/>
      <w:marTop w:val="0"/>
      <w:marBottom w:val="0"/>
      <w:divBdr>
        <w:top w:val="none" w:sz="0" w:space="0" w:color="auto"/>
        <w:left w:val="none" w:sz="0" w:space="0" w:color="auto"/>
        <w:bottom w:val="none" w:sz="0" w:space="0" w:color="auto"/>
        <w:right w:val="none" w:sz="0" w:space="0" w:color="auto"/>
      </w:divBdr>
    </w:div>
    <w:div w:id="1538662301">
      <w:bodyDiv w:val="1"/>
      <w:marLeft w:val="0"/>
      <w:marRight w:val="0"/>
      <w:marTop w:val="0"/>
      <w:marBottom w:val="0"/>
      <w:divBdr>
        <w:top w:val="none" w:sz="0" w:space="0" w:color="auto"/>
        <w:left w:val="none" w:sz="0" w:space="0" w:color="auto"/>
        <w:bottom w:val="none" w:sz="0" w:space="0" w:color="auto"/>
        <w:right w:val="none" w:sz="0" w:space="0" w:color="auto"/>
      </w:divBdr>
    </w:div>
    <w:div w:id="1797680963">
      <w:bodyDiv w:val="1"/>
      <w:marLeft w:val="0"/>
      <w:marRight w:val="0"/>
      <w:marTop w:val="0"/>
      <w:marBottom w:val="0"/>
      <w:divBdr>
        <w:top w:val="none" w:sz="0" w:space="0" w:color="auto"/>
        <w:left w:val="none" w:sz="0" w:space="0" w:color="auto"/>
        <w:bottom w:val="none" w:sz="0" w:space="0" w:color="auto"/>
        <w:right w:val="none" w:sz="0" w:space="0" w:color="auto"/>
      </w:divBdr>
    </w:div>
    <w:div w:id="210032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d@mrc.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CA0BD-7BB9-4436-B241-C9A94C31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19658</Words>
  <Characters>112054</Characters>
  <Application>Microsoft Office Word</Application>
  <DocSecurity>4</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Fuggle</dc:creator>
  <cp:keywords/>
  <dc:description/>
  <cp:lastModifiedBy>Karen Drake</cp:lastModifiedBy>
  <cp:revision>2</cp:revision>
  <cp:lastPrinted>2022-01-27T12:46:00Z</cp:lastPrinted>
  <dcterms:created xsi:type="dcterms:W3CDTF">2022-04-27T09:40:00Z</dcterms:created>
  <dcterms:modified xsi:type="dcterms:W3CDTF">2022-04-27T09:40:00Z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http://www.zotero.org/styles/chicago-author-date</vt:lpwstr>
  </property>
  <property fmtid="{D5CDD505-2E9C-101B-9397-08002B2CF9AE}" pid="3" name="Mendeley Recent Style Name 0_1">
    <vt:lpwstr>Chicago Manual of Style 17th edition (author-date)</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http://www.zotero.org/styles/elsevier-with-titles</vt:lpwstr>
  </property>
  <property fmtid="{D5CDD505-2E9C-101B-9397-08002B2CF9AE}" pid="7" name="Mendeley Recent Style Name 2_1">
    <vt:lpwstr>Elsevier (numeric, with titles)</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http://www.zotero.org/styles/journal-of-cachexia-sarcopenia-and-muscle</vt:lpwstr>
  </property>
  <property fmtid="{D5CDD505-2E9C-101B-9397-08002B2CF9AE}" pid="13" name="Mendeley Recent Style Name 5_1">
    <vt:lpwstr>Journal of Cachexia, Sarcopenia and Muscle</vt:lpwstr>
  </property>
  <property fmtid="{D5CDD505-2E9C-101B-9397-08002B2CF9AE}" pid="14" name="Mendeley Recent Style Id 6_1">
    <vt:lpwstr>http://www.zotero.org/styles/vancouver</vt:lpwstr>
  </property>
  <property fmtid="{D5CDD505-2E9C-101B-9397-08002B2CF9AE}" pid="15" name="Mendeley Recent Style Name 6_1">
    <vt:lpwstr>Vancouver</vt:lpwstr>
  </property>
  <property fmtid="{D5CDD505-2E9C-101B-9397-08002B2CF9AE}" pid="16" name="Mendeley Recent Style Id 7_1">
    <vt:lpwstr>http://csl.mendeley.com/styles/590562071/vancouver-bprcr</vt:lpwstr>
  </property>
  <property fmtid="{D5CDD505-2E9C-101B-9397-08002B2CF9AE}" pid="17" name="Mendeley Recent Style Name 7_1">
    <vt:lpwstr>Vancouver - Faidra Laskou</vt:lpwstr>
  </property>
  <property fmtid="{D5CDD505-2E9C-101B-9397-08002B2CF9AE}" pid="18" name="Mendeley Recent Style Id 8_1">
    <vt:lpwstr>http://csl.mendeley.com/styles/590562071/vancouver</vt:lpwstr>
  </property>
  <property fmtid="{D5CDD505-2E9C-101B-9397-08002B2CF9AE}" pid="19" name="Mendeley Recent Style Name 8_1">
    <vt:lpwstr>Vancouver - Faidra Laskou</vt:lpwstr>
  </property>
  <property fmtid="{D5CDD505-2E9C-101B-9397-08002B2CF9AE}" pid="20" name="Mendeley Recent Style Id 9_1">
    <vt:lpwstr>http://www.zotero.org/styles/zotero-to-endnote-title</vt:lpwstr>
  </property>
  <property fmtid="{D5CDD505-2E9C-101B-9397-08002B2CF9AE}" pid="21" name="Mendeley Recent Style Name 9_1">
    <vt:lpwstr>Zotero to EndNote Title </vt:lpwstr>
  </property>
  <property fmtid="{D5CDD505-2E9C-101B-9397-08002B2CF9AE}" pid="22" name="Mendeley Document_1">
    <vt:lpwstr>True</vt:lpwstr>
  </property>
  <property fmtid="{D5CDD505-2E9C-101B-9397-08002B2CF9AE}" pid="23" name="Mendeley Unique User Id_1">
    <vt:lpwstr>c8fcf20c-f4b8-3213-b306-9bfcffdaf0cf</vt:lpwstr>
  </property>
  <property fmtid="{D5CDD505-2E9C-101B-9397-08002B2CF9AE}" pid="24" name="Mendeley Citation Style_1">
    <vt:lpwstr>http://www.zotero.org/styles/elsevier-with-titles</vt:lpwstr>
  </property>
</Properties>
</file>