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83734" w14:textId="56BC7702" w:rsidR="00802778" w:rsidRDefault="28F3BA9F" w:rsidP="28F3BA9F">
      <w:pPr>
        <w:pStyle w:val="Normal1"/>
        <w:rPr>
          <w:rFonts w:ascii="Times New Roman" w:hAnsi="Times New Roman" w:cs="Times New Roman"/>
          <w:b/>
          <w:bCs/>
          <w:sz w:val="28"/>
          <w:szCs w:val="28"/>
        </w:rPr>
      </w:pPr>
      <w:r w:rsidRPr="28F3BA9F">
        <w:rPr>
          <w:rFonts w:ascii="Times New Roman" w:hAnsi="Times New Roman" w:cs="Times New Roman"/>
          <w:b/>
          <w:bCs/>
          <w:sz w:val="28"/>
          <w:szCs w:val="28"/>
        </w:rPr>
        <w:t>Save the Mekong Delta from Drowning</w:t>
      </w:r>
    </w:p>
    <w:p w14:paraId="4D790E58" w14:textId="485BE8D9" w:rsidR="008D3C32" w:rsidRDefault="008D3C32" w:rsidP="00AD0A8C">
      <w:pPr>
        <w:rPr>
          <w:b/>
        </w:rPr>
      </w:pPr>
    </w:p>
    <w:p w14:paraId="4A74B457" w14:textId="6ACEB5BD" w:rsidR="004E6C0C" w:rsidRPr="00A93078" w:rsidRDefault="004E6C0C" w:rsidP="004E6C0C">
      <w:pPr>
        <w:ind w:left="708"/>
        <w:rPr>
          <w:bCs/>
          <w:vertAlign w:val="superscript"/>
        </w:rPr>
      </w:pPr>
      <w:r w:rsidRPr="00A93078">
        <w:rPr>
          <w:bCs/>
        </w:rPr>
        <w:t>Kondolf, G. Mathias</w:t>
      </w:r>
      <w:r w:rsidRPr="00A93078">
        <w:rPr>
          <w:bCs/>
          <w:vertAlign w:val="superscript"/>
        </w:rPr>
        <w:t>1</w:t>
      </w:r>
      <w:r>
        <w:rPr>
          <w:bCs/>
          <w:vertAlign w:val="superscript"/>
        </w:rPr>
        <w:t>*</w:t>
      </w:r>
      <w:r w:rsidRPr="00A93078">
        <w:rPr>
          <w:bCs/>
        </w:rPr>
        <w:t>, Schmitt, Rafael J. P</w:t>
      </w:r>
      <w:r w:rsidRPr="00A93078">
        <w:rPr>
          <w:bCs/>
          <w:vertAlign w:val="superscript"/>
        </w:rPr>
        <w:t>2,1</w:t>
      </w:r>
      <w:r>
        <w:rPr>
          <w:bCs/>
          <w:vertAlign w:val="superscript"/>
        </w:rPr>
        <w:t>*</w:t>
      </w:r>
      <w:r w:rsidRPr="00A93078">
        <w:rPr>
          <w:bCs/>
        </w:rPr>
        <w:t>,</w:t>
      </w:r>
      <w:r>
        <w:rPr>
          <w:bCs/>
        </w:rPr>
        <w:t xml:space="preserve"> </w:t>
      </w:r>
      <w:r w:rsidRPr="00A93078">
        <w:rPr>
          <w:bCs/>
        </w:rPr>
        <w:t>Carling, Paul</w:t>
      </w:r>
      <w:r>
        <w:rPr>
          <w:bCs/>
        </w:rPr>
        <w:t xml:space="preserve"> A.</w:t>
      </w:r>
      <w:r>
        <w:rPr>
          <w:bCs/>
          <w:vertAlign w:val="superscript"/>
        </w:rPr>
        <w:t>3</w:t>
      </w:r>
      <w:r w:rsidRPr="00A93078">
        <w:rPr>
          <w:bCs/>
        </w:rPr>
        <w:t xml:space="preserve">, </w:t>
      </w:r>
      <w:r>
        <w:rPr>
          <w:bCs/>
        </w:rPr>
        <w:t>Goichot, Marc</w:t>
      </w:r>
      <w:r>
        <w:rPr>
          <w:bCs/>
          <w:vertAlign w:val="superscript"/>
        </w:rPr>
        <w:t>4</w:t>
      </w:r>
      <w:r>
        <w:rPr>
          <w:bCs/>
        </w:rPr>
        <w:t>,</w:t>
      </w:r>
      <w:r w:rsidR="00032160" w:rsidRPr="00032160">
        <w:rPr>
          <w:bCs/>
        </w:rPr>
        <w:t xml:space="preserve"> </w:t>
      </w:r>
      <w:r w:rsidR="00032160">
        <w:rPr>
          <w:bCs/>
        </w:rPr>
        <w:t>Keskinen, Marko</w:t>
      </w:r>
      <w:r w:rsidR="00032160">
        <w:rPr>
          <w:bCs/>
          <w:vertAlign w:val="superscript"/>
        </w:rPr>
        <w:t>5</w:t>
      </w:r>
      <w:r w:rsidR="00032160" w:rsidRPr="008644BA">
        <w:rPr>
          <w:bCs/>
        </w:rPr>
        <w:t>,</w:t>
      </w:r>
      <w:r>
        <w:rPr>
          <w:bCs/>
        </w:rPr>
        <w:t xml:space="preserve"> </w:t>
      </w:r>
      <w:r w:rsidRPr="00A93078">
        <w:rPr>
          <w:bCs/>
        </w:rPr>
        <w:t>Arias, Mauricio</w:t>
      </w:r>
      <w:r>
        <w:rPr>
          <w:bCs/>
        </w:rPr>
        <w:t xml:space="preserve"> E.</w:t>
      </w:r>
      <w:r w:rsidR="00032160">
        <w:rPr>
          <w:bCs/>
          <w:vertAlign w:val="superscript"/>
        </w:rPr>
        <w:t>6</w:t>
      </w:r>
      <w:r w:rsidRPr="00A93078">
        <w:rPr>
          <w:bCs/>
        </w:rPr>
        <w:t>,</w:t>
      </w:r>
      <w:r>
        <w:rPr>
          <w:bCs/>
        </w:rPr>
        <w:t xml:space="preserve"> </w:t>
      </w:r>
      <w:r w:rsidRPr="00A93078">
        <w:rPr>
          <w:bCs/>
        </w:rPr>
        <w:t xml:space="preserve">Bizzi, </w:t>
      </w:r>
      <w:r w:rsidR="009D17B2" w:rsidRPr="00A93078">
        <w:rPr>
          <w:bCs/>
        </w:rPr>
        <w:t>Simone</w:t>
      </w:r>
      <w:r w:rsidR="009D17B2">
        <w:rPr>
          <w:bCs/>
          <w:vertAlign w:val="superscript"/>
        </w:rPr>
        <w:t>7</w:t>
      </w:r>
      <w:r w:rsidRPr="00A93078">
        <w:rPr>
          <w:bCs/>
        </w:rPr>
        <w:t>,</w:t>
      </w:r>
      <w:r>
        <w:rPr>
          <w:bCs/>
        </w:rPr>
        <w:t xml:space="preserve"> </w:t>
      </w:r>
      <w:r w:rsidRPr="00A93078">
        <w:rPr>
          <w:bCs/>
        </w:rPr>
        <w:t xml:space="preserve">Castelletti, </w:t>
      </w:r>
      <w:r w:rsidR="009D17B2" w:rsidRPr="00A93078">
        <w:rPr>
          <w:bCs/>
        </w:rPr>
        <w:t>Andrea</w:t>
      </w:r>
      <w:r w:rsidR="009D17B2">
        <w:rPr>
          <w:bCs/>
          <w:vertAlign w:val="superscript"/>
        </w:rPr>
        <w:t>8</w:t>
      </w:r>
      <w:r w:rsidRPr="00A93078">
        <w:rPr>
          <w:bCs/>
        </w:rPr>
        <w:t>,</w:t>
      </w:r>
      <w:r>
        <w:rPr>
          <w:bCs/>
        </w:rPr>
        <w:t xml:space="preserve"> </w:t>
      </w:r>
      <w:r w:rsidRPr="00A93078">
        <w:rPr>
          <w:bCs/>
        </w:rPr>
        <w:t xml:space="preserve">Cochrane, </w:t>
      </w:r>
      <w:r w:rsidR="009D17B2" w:rsidRPr="00A93078">
        <w:rPr>
          <w:bCs/>
        </w:rPr>
        <w:t>T</w:t>
      </w:r>
      <w:r w:rsidR="009D17B2">
        <w:rPr>
          <w:bCs/>
        </w:rPr>
        <w:t>h</w:t>
      </w:r>
      <w:r w:rsidR="009D17B2" w:rsidRPr="00A93078">
        <w:rPr>
          <w:bCs/>
        </w:rPr>
        <w:t>om</w:t>
      </w:r>
      <w:r w:rsidR="009D17B2">
        <w:rPr>
          <w:bCs/>
        </w:rPr>
        <w:t>as</w:t>
      </w:r>
      <w:r w:rsidR="00EE64E6">
        <w:rPr>
          <w:bCs/>
        </w:rPr>
        <w:t xml:space="preserve"> A.</w:t>
      </w:r>
      <w:r w:rsidR="009D17B2">
        <w:rPr>
          <w:bCs/>
          <w:vertAlign w:val="superscript"/>
        </w:rPr>
        <w:t>9</w:t>
      </w:r>
      <w:r w:rsidRPr="00A93078">
        <w:rPr>
          <w:bCs/>
        </w:rPr>
        <w:t>,</w:t>
      </w:r>
      <w:r>
        <w:rPr>
          <w:bCs/>
        </w:rPr>
        <w:t xml:space="preserve"> </w:t>
      </w:r>
      <w:r w:rsidRPr="00A93078">
        <w:rPr>
          <w:bCs/>
        </w:rPr>
        <w:t>Darby, Ste</w:t>
      </w:r>
      <w:r>
        <w:rPr>
          <w:bCs/>
        </w:rPr>
        <w:t>phen E.</w:t>
      </w:r>
      <w:r>
        <w:rPr>
          <w:bCs/>
          <w:vertAlign w:val="superscript"/>
        </w:rPr>
        <w:t>3</w:t>
      </w:r>
      <w:r w:rsidRPr="00A93078">
        <w:rPr>
          <w:bCs/>
        </w:rPr>
        <w:t>,</w:t>
      </w:r>
      <w:r>
        <w:rPr>
          <w:bCs/>
        </w:rPr>
        <w:t xml:space="preserve"> </w:t>
      </w:r>
      <w:r w:rsidRPr="00A93078">
        <w:rPr>
          <w:bCs/>
        </w:rPr>
        <w:t xml:space="preserve">Kummu, </w:t>
      </w:r>
      <w:r w:rsidR="009D17B2" w:rsidRPr="00A93078">
        <w:rPr>
          <w:bCs/>
        </w:rPr>
        <w:t>Matti</w:t>
      </w:r>
      <w:r w:rsidR="009D17B2">
        <w:rPr>
          <w:bCs/>
          <w:vertAlign w:val="superscript"/>
        </w:rPr>
        <w:t>5</w:t>
      </w:r>
      <w:r w:rsidRPr="00A93078">
        <w:rPr>
          <w:bCs/>
        </w:rPr>
        <w:t>,</w:t>
      </w:r>
      <w:r>
        <w:rPr>
          <w:bCs/>
        </w:rPr>
        <w:t xml:space="preserve"> </w:t>
      </w:r>
      <w:r w:rsidRPr="00A93078">
        <w:rPr>
          <w:bCs/>
        </w:rPr>
        <w:t>Minderhoud, Philip S.J.</w:t>
      </w:r>
      <w:r w:rsidRPr="00A93078">
        <w:rPr>
          <w:bCs/>
          <w:vertAlign w:val="superscript"/>
        </w:rPr>
        <w:t xml:space="preserve"> </w:t>
      </w:r>
      <w:r>
        <w:rPr>
          <w:bCs/>
          <w:vertAlign w:val="superscript"/>
        </w:rPr>
        <w:t>10,11,12</w:t>
      </w:r>
      <w:r w:rsidRPr="00A93078">
        <w:rPr>
          <w:bCs/>
        </w:rPr>
        <w:t>, Nguyen, Dan</w:t>
      </w:r>
      <w:r w:rsidRPr="00A93078">
        <w:rPr>
          <w:bCs/>
          <w:vertAlign w:val="superscript"/>
        </w:rPr>
        <w:t>1</w:t>
      </w:r>
      <w:r>
        <w:rPr>
          <w:bCs/>
          <w:vertAlign w:val="superscript"/>
        </w:rPr>
        <w:t>3</w:t>
      </w:r>
      <w:r w:rsidRPr="00A93078">
        <w:rPr>
          <w:bCs/>
        </w:rPr>
        <w:t xml:space="preserve">, </w:t>
      </w:r>
      <w:r>
        <w:rPr>
          <w:bCs/>
        </w:rPr>
        <w:t>Nguyen, Huu Thien</w:t>
      </w:r>
      <w:r w:rsidRPr="00B3524E">
        <w:rPr>
          <w:bCs/>
          <w:vertAlign w:val="superscript"/>
        </w:rPr>
        <w:t>1</w:t>
      </w:r>
      <w:r>
        <w:rPr>
          <w:bCs/>
          <w:vertAlign w:val="superscript"/>
        </w:rPr>
        <w:t>4</w:t>
      </w:r>
      <w:r>
        <w:rPr>
          <w:bCs/>
        </w:rPr>
        <w:t xml:space="preserve">, </w:t>
      </w:r>
      <w:r w:rsidRPr="00A93078">
        <w:rPr>
          <w:bCs/>
        </w:rPr>
        <w:t>Nguyen</w:t>
      </w:r>
      <w:r>
        <w:rPr>
          <w:bCs/>
        </w:rPr>
        <w:t>,</w:t>
      </w:r>
      <w:r w:rsidRPr="00A93078">
        <w:rPr>
          <w:bCs/>
        </w:rPr>
        <w:t xml:space="preserve"> Ngoc</w:t>
      </w:r>
      <w:r>
        <w:rPr>
          <w:bCs/>
        </w:rPr>
        <w:t xml:space="preserve"> Tran</w:t>
      </w:r>
      <w:r w:rsidRPr="00A93078">
        <w:rPr>
          <w:bCs/>
          <w:vertAlign w:val="superscript"/>
        </w:rPr>
        <w:t>1</w:t>
      </w:r>
      <w:r>
        <w:rPr>
          <w:bCs/>
          <w:vertAlign w:val="superscript"/>
        </w:rPr>
        <w:t>5</w:t>
      </w:r>
      <w:r w:rsidRPr="00A93078">
        <w:rPr>
          <w:bCs/>
        </w:rPr>
        <w:t xml:space="preserve">, </w:t>
      </w:r>
      <w:proofErr w:type="spellStart"/>
      <w:r w:rsidRPr="00A93078">
        <w:rPr>
          <w:bCs/>
        </w:rPr>
        <w:t>Oeurng</w:t>
      </w:r>
      <w:proofErr w:type="spellEnd"/>
      <w:r w:rsidRPr="00A93078">
        <w:rPr>
          <w:bCs/>
        </w:rPr>
        <w:t>, Chantha</w:t>
      </w:r>
      <w:r w:rsidRPr="00A93078">
        <w:rPr>
          <w:bCs/>
          <w:vertAlign w:val="superscript"/>
        </w:rPr>
        <w:t>1</w:t>
      </w:r>
      <w:r>
        <w:rPr>
          <w:bCs/>
          <w:vertAlign w:val="superscript"/>
        </w:rPr>
        <w:t>6</w:t>
      </w:r>
      <w:r w:rsidRPr="00A93078">
        <w:rPr>
          <w:bCs/>
          <w:vertAlign w:val="superscript"/>
        </w:rPr>
        <w:t>,1</w:t>
      </w:r>
      <w:r w:rsidRPr="00A93078">
        <w:rPr>
          <w:bCs/>
        </w:rPr>
        <w:t>, Opperman, Jeff</w:t>
      </w:r>
      <w:r>
        <w:rPr>
          <w:bCs/>
        </w:rPr>
        <w:t xml:space="preserve"> </w:t>
      </w:r>
      <w:r>
        <w:rPr>
          <w:bCs/>
          <w:vertAlign w:val="superscript"/>
        </w:rPr>
        <w:t>17</w:t>
      </w:r>
      <w:r w:rsidRPr="00A93078">
        <w:rPr>
          <w:bCs/>
        </w:rPr>
        <w:t>, Rubin, Zan</w:t>
      </w:r>
      <w:r w:rsidRPr="00A93078">
        <w:rPr>
          <w:bCs/>
          <w:vertAlign w:val="superscript"/>
        </w:rPr>
        <w:t>1</w:t>
      </w:r>
      <w:r w:rsidRPr="00A93078">
        <w:rPr>
          <w:bCs/>
        </w:rPr>
        <w:t xml:space="preserve">, San, Dinh Cong </w:t>
      </w:r>
      <w:r w:rsidRPr="00A93078">
        <w:rPr>
          <w:bCs/>
          <w:vertAlign w:val="superscript"/>
        </w:rPr>
        <w:t>1</w:t>
      </w:r>
      <w:r>
        <w:rPr>
          <w:bCs/>
          <w:vertAlign w:val="superscript"/>
        </w:rPr>
        <w:t>8</w:t>
      </w:r>
      <w:r w:rsidRPr="00A93078">
        <w:rPr>
          <w:bCs/>
        </w:rPr>
        <w:t xml:space="preserve">, </w:t>
      </w:r>
      <w:r>
        <w:rPr>
          <w:bCs/>
        </w:rPr>
        <w:t>Schmeier, Susanne</w:t>
      </w:r>
      <w:r>
        <w:rPr>
          <w:bCs/>
          <w:vertAlign w:val="superscript"/>
        </w:rPr>
        <w:t>19</w:t>
      </w:r>
      <w:r>
        <w:rPr>
          <w:bCs/>
        </w:rPr>
        <w:t xml:space="preserve">, </w:t>
      </w:r>
      <w:r w:rsidRPr="00A93078">
        <w:rPr>
          <w:bCs/>
        </w:rPr>
        <w:t>Wild, T</w:t>
      </w:r>
      <w:r>
        <w:rPr>
          <w:bCs/>
        </w:rPr>
        <w:t>h</w:t>
      </w:r>
      <w:r w:rsidRPr="00A93078">
        <w:rPr>
          <w:bCs/>
        </w:rPr>
        <w:t>om</w:t>
      </w:r>
      <w:r>
        <w:rPr>
          <w:bCs/>
        </w:rPr>
        <w:t>as</w:t>
      </w:r>
      <w:r>
        <w:rPr>
          <w:bCs/>
          <w:vertAlign w:val="superscript"/>
        </w:rPr>
        <w:t>20</w:t>
      </w:r>
    </w:p>
    <w:p w14:paraId="7A375C7F" w14:textId="77777777" w:rsidR="004E6C0C" w:rsidRPr="00802778" w:rsidRDefault="004E6C0C" w:rsidP="004E6C0C">
      <w:pPr>
        <w:ind w:left="708"/>
        <w:rPr>
          <w:b/>
        </w:rPr>
      </w:pPr>
    </w:p>
    <w:p w14:paraId="38E46DBF" w14:textId="77777777" w:rsidR="004E6C0C" w:rsidRPr="00802778" w:rsidRDefault="004E6C0C" w:rsidP="004E6C0C">
      <w:pPr>
        <w:ind w:left="708"/>
      </w:pPr>
      <w:r w:rsidRPr="00802778">
        <w:rPr>
          <w:vertAlign w:val="superscript"/>
        </w:rPr>
        <w:t>1</w:t>
      </w:r>
      <w:r w:rsidRPr="00802778">
        <w:t xml:space="preserve"> </w:t>
      </w:r>
      <w:proofErr w:type="spellStart"/>
      <w:r w:rsidRPr="00802778">
        <w:t>Riverlab</w:t>
      </w:r>
      <w:proofErr w:type="spellEnd"/>
      <w:r w:rsidRPr="00802778">
        <w:t>, Department of Landscape Architecture and Environmental Planning, University of California, Berkeley, California USA</w:t>
      </w:r>
    </w:p>
    <w:p w14:paraId="2E530ABC" w14:textId="77777777" w:rsidR="004E6C0C" w:rsidRPr="00454A03" w:rsidRDefault="004E6C0C" w:rsidP="004E6C0C">
      <w:pPr>
        <w:ind w:left="708"/>
        <w:rPr>
          <w:bCs/>
        </w:rPr>
      </w:pPr>
      <w:r w:rsidRPr="00802778">
        <w:rPr>
          <w:vertAlign w:val="superscript"/>
        </w:rPr>
        <w:t xml:space="preserve">2 </w:t>
      </w:r>
      <w:r w:rsidRPr="00802778">
        <w:t>The Natural Capital Project, Stanford University, Stanford, C</w:t>
      </w:r>
      <w:r>
        <w:t>alifornia</w:t>
      </w:r>
      <w:r w:rsidRPr="00802778">
        <w:t>, USA</w:t>
      </w:r>
    </w:p>
    <w:p w14:paraId="42CF99AD" w14:textId="68517994" w:rsidR="004E6C0C" w:rsidRDefault="004E6C0C" w:rsidP="004E6C0C">
      <w:pPr>
        <w:ind w:left="708"/>
      </w:pPr>
      <w:r>
        <w:rPr>
          <w:vertAlign w:val="superscript"/>
        </w:rPr>
        <w:t>3</w:t>
      </w:r>
      <w:r w:rsidRPr="00802778">
        <w:t xml:space="preserve"> </w:t>
      </w:r>
      <w:r>
        <w:t xml:space="preserve">School of </w:t>
      </w:r>
      <w:r w:rsidRPr="00802778">
        <w:t>Geography and Environment</w:t>
      </w:r>
      <w:r>
        <w:t>al Science</w:t>
      </w:r>
      <w:r w:rsidRPr="00802778">
        <w:t>, University of Southampton, Southampton</w:t>
      </w:r>
      <w:r>
        <w:t>,</w:t>
      </w:r>
      <w:r w:rsidRPr="00802778">
        <w:t xml:space="preserve"> UK</w:t>
      </w:r>
    </w:p>
    <w:p w14:paraId="31475159" w14:textId="77777777" w:rsidR="004E6C0C" w:rsidRDefault="004E6C0C" w:rsidP="004E6C0C">
      <w:pPr>
        <w:ind w:left="708"/>
      </w:pPr>
      <w:r>
        <w:rPr>
          <w:vertAlign w:val="superscript"/>
        </w:rPr>
        <w:t>4</w:t>
      </w:r>
      <w:r w:rsidRPr="00802778">
        <w:t xml:space="preserve"> </w:t>
      </w:r>
      <w:proofErr w:type="gramStart"/>
      <w:r>
        <w:t>World Wide</w:t>
      </w:r>
      <w:proofErr w:type="gramEnd"/>
      <w:r>
        <w:t xml:space="preserve"> Fund for Nature Asia Pacific, Ho Chi Minh City, Vietnam</w:t>
      </w:r>
    </w:p>
    <w:p w14:paraId="7D578400" w14:textId="77777777" w:rsidR="00B3501E" w:rsidRDefault="00032160" w:rsidP="004E6C0C">
      <w:pPr>
        <w:ind w:left="708"/>
      </w:pPr>
      <w:r>
        <w:rPr>
          <w:vertAlign w:val="superscript"/>
        </w:rPr>
        <w:t>5</w:t>
      </w:r>
      <w:r>
        <w:t xml:space="preserve"> </w:t>
      </w:r>
      <w:r w:rsidRPr="00802778">
        <w:t xml:space="preserve">Water and Development Research Group, </w:t>
      </w:r>
      <w:r>
        <w:t>Aalto University, 02150 Espoo, Finland</w:t>
      </w:r>
    </w:p>
    <w:p w14:paraId="18089276" w14:textId="171F0AB9" w:rsidR="004E6C0C" w:rsidRDefault="00032160" w:rsidP="004E6C0C">
      <w:pPr>
        <w:ind w:left="708"/>
      </w:pPr>
      <w:r>
        <w:rPr>
          <w:vertAlign w:val="superscript"/>
        </w:rPr>
        <w:t>6</w:t>
      </w:r>
      <w:r w:rsidRPr="00802778">
        <w:rPr>
          <w:vertAlign w:val="superscript"/>
        </w:rPr>
        <w:t xml:space="preserve"> </w:t>
      </w:r>
      <w:r w:rsidR="004E6C0C" w:rsidRPr="00802778">
        <w:t xml:space="preserve">Department of Civil &amp; Environmental Engineering, University of South Florida, Tampa, </w:t>
      </w:r>
      <w:r w:rsidR="004E6C0C">
        <w:t xml:space="preserve">Florida, </w:t>
      </w:r>
      <w:r w:rsidR="004E6C0C" w:rsidRPr="00802778">
        <w:t>USA</w:t>
      </w:r>
    </w:p>
    <w:p w14:paraId="1BE76527" w14:textId="1CEB26D0" w:rsidR="004E6C0C" w:rsidRPr="00F50892" w:rsidRDefault="009D17B2" w:rsidP="004E6C0C">
      <w:pPr>
        <w:ind w:left="708"/>
      </w:pPr>
      <w:r>
        <w:rPr>
          <w:vertAlign w:val="superscript"/>
        </w:rPr>
        <w:t>7</w:t>
      </w:r>
      <w:r w:rsidRPr="00F1287F">
        <w:rPr>
          <w:vertAlign w:val="superscript"/>
        </w:rPr>
        <w:t xml:space="preserve"> </w:t>
      </w:r>
      <w:r w:rsidR="004E6C0C" w:rsidRPr="005F3798">
        <w:t>Department of Geosciences, University of Padova, Padua, Italy</w:t>
      </w:r>
    </w:p>
    <w:p w14:paraId="17204A0F" w14:textId="7541E621" w:rsidR="004E6C0C" w:rsidRPr="00182FF2" w:rsidRDefault="009D17B2" w:rsidP="004E6C0C">
      <w:pPr>
        <w:ind w:left="708"/>
        <w:rPr>
          <w:lang w:val="it-IT"/>
        </w:rPr>
      </w:pPr>
      <w:r>
        <w:rPr>
          <w:vertAlign w:val="superscript"/>
          <w:lang w:val="it-IT"/>
        </w:rPr>
        <w:t>8</w:t>
      </w:r>
      <w:r w:rsidRPr="00182FF2">
        <w:rPr>
          <w:lang w:val="it-IT"/>
        </w:rPr>
        <w:t xml:space="preserve"> </w:t>
      </w:r>
      <w:r w:rsidR="004E6C0C" w:rsidRPr="00182FF2">
        <w:rPr>
          <w:lang w:val="it-IT"/>
        </w:rPr>
        <w:t>Department of Electronics, Information, and Bioengineering, Politecnico di Milano, Piazza Leonardo da Vinci, Milano, Italy</w:t>
      </w:r>
    </w:p>
    <w:p w14:paraId="4CC5E077" w14:textId="7C2677CC" w:rsidR="004E6C0C" w:rsidRPr="00802778" w:rsidRDefault="009D17B2" w:rsidP="004E6C0C">
      <w:pPr>
        <w:ind w:left="708"/>
      </w:pPr>
      <w:r>
        <w:rPr>
          <w:vertAlign w:val="superscript"/>
        </w:rPr>
        <w:t xml:space="preserve">9 </w:t>
      </w:r>
      <w:r w:rsidR="004E6C0C" w:rsidRPr="00802778">
        <w:t>Department of Civil and Natural Resources Engineering, University of Canterbury, Christchurch, New Zealand</w:t>
      </w:r>
      <w:r w:rsidR="004E6C0C" w:rsidRPr="00802778">
        <w:tab/>
      </w:r>
    </w:p>
    <w:p w14:paraId="7F8A671D" w14:textId="77777777" w:rsidR="004E6C0C" w:rsidRDefault="004E6C0C" w:rsidP="004E6C0C">
      <w:pPr>
        <w:ind w:left="708"/>
      </w:pPr>
      <w:r w:rsidRPr="00182FF2">
        <w:rPr>
          <w:vertAlign w:val="superscript"/>
        </w:rPr>
        <w:t>1</w:t>
      </w:r>
      <w:r>
        <w:rPr>
          <w:vertAlign w:val="superscript"/>
        </w:rPr>
        <w:t>0</w:t>
      </w:r>
      <w:r w:rsidRPr="00182FF2">
        <w:t xml:space="preserve"> </w:t>
      </w:r>
      <w:r w:rsidRPr="004A2B29">
        <w:t>Soil Geography and Landscape group</w:t>
      </w:r>
      <w:r>
        <w:t xml:space="preserve">, </w:t>
      </w:r>
      <w:r w:rsidRPr="004A2B29">
        <w:t>Wageningen</w:t>
      </w:r>
      <w:r>
        <w:t xml:space="preserve"> University</w:t>
      </w:r>
      <w:r w:rsidRPr="00182FF2">
        <w:t>, The Netherlands</w:t>
      </w:r>
    </w:p>
    <w:p w14:paraId="7BA2CB74" w14:textId="77777777" w:rsidR="004E6C0C" w:rsidRPr="00182FF2" w:rsidRDefault="004E6C0C" w:rsidP="004E6C0C">
      <w:pPr>
        <w:ind w:left="708"/>
      </w:pPr>
      <w:r w:rsidRPr="007D7856">
        <w:rPr>
          <w:vertAlign w:val="superscript"/>
        </w:rPr>
        <w:t>1</w:t>
      </w:r>
      <w:r>
        <w:rPr>
          <w:vertAlign w:val="superscript"/>
        </w:rPr>
        <w:t>1</w:t>
      </w:r>
      <w:r w:rsidRPr="007D7856">
        <w:t xml:space="preserve"> Department of Civil, Environmental and Architectural Engineering, University of Padova, Padova, Italy </w:t>
      </w:r>
    </w:p>
    <w:p w14:paraId="2F640E2A" w14:textId="4F7DCD5C" w:rsidR="004E6C0C" w:rsidRPr="00182FF2" w:rsidRDefault="004E6C0C" w:rsidP="004E6C0C">
      <w:pPr>
        <w:ind w:left="708"/>
      </w:pPr>
      <w:r w:rsidRPr="00F64C61">
        <w:rPr>
          <w:vertAlign w:val="superscript"/>
        </w:rPr>
        <w:t>1</w:t>
      </w:r>
      <w:r>
        <w:rPr>
          <w:vertAlign w:val="superscript"/>
        </w:rPr>
        <w:t xml:space="preserve">2 </w:t>
      </w:r>
      <w:r w:rsidRPr="00F64C61">
        <w:t xml:space="preserve">Subsurface and </w:t>
      </w:r>
      <w:r w:rsidR="00D8699C">
        <w:t>G</w:t>
      </w:r>
      <w:r w:rsidR="00D8699C" w:rsidRPr="00F64C61">
        <w:t xml:space="preserve">roundwater </w:t>
      </w:r>
      <w:r w:rsidR="00D8699C">
        <w:t>S</w:t>
      </w:r>
      <w:r w:rsidR="00D8699C" w:rsidRPr="00F64C61">
        <w:t>ystems</w:t>
      </w:r>
      <w:r w:rsidR="00D8699C">
        <w:t xml:space="preserve"> U</w:t>
      </w:r>
      <w:r>
        <w:t>nit,</w:t>
      </w:r>
      <w:r w:rsidRPr="00F64C61">
        <w:t xml:space="preserve"> </w:t>
      </w:r>
      <w:proofErr w:type="spellStart"/>
      <w:r>
        <w:t>D</w:t>
      </w:r>
      <w:r w:rsidRPr="00F64C61">
        <w:t>eltares</w:t>
      </w:r>
      <w:proofErr w:type="spellEnd"/>
      <w:r w:rsidRPr="00F64C61">
        <w:t xml:space="preserve"> Research Institute, </w:t>
      </w:r>
      <w:r>
        <w:t>Utrecht, The Netherlands</w:t>
      </w:r>
      <w:r w:rsidRPr="00182FF2">
        <w:t xml:space="preserve"> </w:t>
      </w:r>
    </w:p>
    <w:p w14:paraId="2C801FD3" w14:textId="77777777" w:rsidR="004E6C0C" w:rsidRDefault="004E6C0C" w:rsidP="004E6C0C">
      <w:pPr>
        <w:ind w:left="708"/>
        <w:rPr>
          <w:color w:val="000000"/>
          <w:lang w:val="fr-FR"/>
        </w:rPr>
      </w:pPr>
      <w:r w:rsidRPr="00A93078">
        <w:rPr>
          <w:vertAlign w:val="superscript"/>
          <w:lang w:val="fr-FR"/>
        </w:rPr>
        <w:t>1</w:t>
      </w:r>
      <w:r>
        <w:rPr>
          <w:vertAlign w:val="superscript"/>
          <w:lang w:val="fr-FR"/>
        </w:rPr>
        <w:t>3</w:t>
      </w:r>
      <w:r w:rsidRPr="00A93078">
        <w:rPr>
          <w:vertAlign w:val="superscript"/>
          <w:lang w:val="fr-FR"/>
        </w:rPr>
        <w:t xml:space="preserve"> </w:t>
      </w:r>
      <w:r w:rsidRPr="00A93078">
        <w:rPr>
          <w:color w:val="000000"/>
          <w:lang w:val="fr-FR"/>
        </w:rPr>
        <w:t xml:space="preserve">Laboratory for </w:t>
      </w:r>
      <w:proofErr w:type="spellStart"/>
      <w:r w:rsidRPr="00A93078">
        <w:rPr>
          <w:color w:val="000000"/>
          <w:lang w:val="fr-FR"/>
        </w:rPr>
        <w:t>Hydraulics</w:t>
      </w:r>
      <w:proofErr w:type="spellEnd"/>
      <w:r w:rsidRPr="00A93078">
        <w:rPr>
          <w:color w:val="000000"/>
          <w:lang w:val="fr-FR"/>
        </w:rPr>
        <w:t xml:space="preserve"> Saint-Venant, Université PARIS-EST, 78400 Chatou, France </w:t>
      </w:r>
    </w:p>
    <w:p w14:paraId="4A51AED4" w14:textId="77777777" w:rsidR="004E6C0C" w:rsidRPr="00E52041" w:rsidRDefault="004E6C0C" w:rsidP="004E6C0C">
      <w:pPr>
        <w:ind w:firstLine="708"/>
      </w:pPr>
      <w:r w:rsidRPr="005D6090">
        <w:rPr>
          <w:color w:val="000000"/>
          <w:vertAlign w:val="superscript"/>
        </w:rPr>
        <w:t>1</w:t>
      </w:r>
      <w:r>
        <w:rPr>
          <w:color w:val="000000"/>
          <w:vertAlign w:val="superscript"/>
        </w:rPr>
        <w:t xml:space="preserve">4 </w:t>
      </w:r>
      <w:r w:rsidRPr="005D6090">
        <w:rPr>
          <w:color w:val="000000"/>
        </w:rPr>
        <w:t xml:space="preserve">Freelancing Delta Ecologist, Can </w:t>
      </w:r>
      <w:proofErr w:type="spellStart"/>
      <w:r w:rsidRPr="005D6090">
        <w:rPr>
          <w:color w:val="000000"/>
        </w:rPr>
        <w:t>Tho</w:t>
      </w:r>
      <w:proofErr w:type="spellEnd"/>
      <w:r w:rsidRPr="005D6090">
        <w:rPr>
          <w:color w:val="000000"/>
        </w:rPr>
        <w:t>, Vietnam</w:t>
      </w:r>
    </w:p>
    <w:p w14:paraId="3AACD84D" w14:textId="77777777" w:rsidR="004E6C0C" w:rsidRPr="00F1287F" w:rsidRDefault="004E6C0C" w:rsidP="004E6C0C">
      <w:pPr>
        <w:pStyle w:val="Default"/>
        <w:ind w:left="708"/>
      </w:pPr>
      <w:r w:rsidRPr="00802778">
        <w:rPr>
          <w:rFonts w:ascii="Times New Roman" w:hAnsi="Times New Roman" w:cs="Times New Roman"/>
          <w:vertAlign w:val="superscript"/>
        </w:rPr>
        <w:t>1</w:t>
      </w:r>
      <w:r>
        <w:rPr>
          <w:rFonts w:ascii="Times New Roman" w:hAnsi="Times New Roman" w:cs="Times New Roman"/>
          <w:vertAlign w:val="superscript"/>
        </w:rPr>
        <w:t>5</w:t>
      </w:r>
      <w:r w:rsidRPr="00802778">
        <w:rPr>
          <w:rFonts w:ascii="Times New Roman" w:hAnsi="Times New Roman" w:cs="Times New Roman"/>
        </w:rPr>
        <w:t xml:space="preserve"> </w:t>
      </w:r>
      <w:r>
        <w:rPr>
          <w:rFonts w:ascii="Times New Roman" w:hAnsi="Times New Roman" w:cs="Times New Roman"/>
        </w:rPr>
        <w:t xml:space="preserve">former Vice Dean, </w:t>
      </w:r>
      <w:r w:rsidRPr="00802778">
        <w:rPr>
          <w:rFonts w:ascii="Times New Roman" w:hAnsi="Times New Roman" w:cs="Times New Roman"/>
        </w:rPr>
        <w:t xml:space="preserve">University of Ho Chi Minh City, Ho Chi Minh City, Vietnam </w:t>
      </w:r>
    </w:p>
    <w:p w14:paraId="13F2E149" w14:textId="77777777" w:rsidR="004E6C0C" w:rsidRDefault="004E6C0C" w:rsidP="004E6C0C">
      <w:pPr>
        <w:ind w:left="708"/>
      </w:pPr>
      <w:r>
        <w:rPr>
          <w:vertAlign w:val="superscript"/>
        </w:rPr>
        <w:t>16</w:t>
      </w:r>
      <w:r w:rsidRPr="00802778">
        <w:rPr>
          <w:vertAlign w:val="superscript"/>
        </w:rPr>
        <w:t xml:space="preserve"> </w:t>
      </w:r>
      <w:r w:rsidRPr="00802778">
        <w:t>Institute of Technology of Cambodia, Phnom Penh, Cambodia</w:t>
      </w:r>
    </w:p>
    <w:p w14:paraId="67B962CB" w14:textId="77777777" w:rsidR="004E6C0C" w:rsidRDefault="004E6C0C" w:rsidP="004E6C0C">
      <w:pPr>
        <w:ind w:left="708"/>
      </w:pPr>
      <w:r w:rsidRPr="00F64C61">
        <w:rPr>
          <w:vertAlign w:val="superscript"/>
        </w:rPr>
        <w:t>1</w:t>
      </w:r>
      <w:r>
        <w:rPr>
          <w:vertAlign w:val="superscript"/>
        </w:rPr>
        <w:t xml:space="preserve">7 </w:t>
      </w:r>
      <w:r>
        <w:t>Global Science, World Wildlife Fund, Washington DC, USA.</w:t>
      </w:r>
    </w:p>
    <w:p w14:paraId="4E0FE534" w14:textId="77777777" w:rsidR="004E6C0C" w:rsidRDefault="004E6C0C" w:rsidP="004E6C0C">
      <w:pPr>
        <w:ind w:left="708"/>
      </w:pPr>
      <w:r w:rsidRPr="00802778">
        <w:rPr>
          <w:vertAlign w:val="superscript"/>
        </w:rPr>
        <w:t>1</w:t>
      </w:r>
      <w:r>
        <w:rPr>
          <w:vertAlign w:val="superscript"/>
        </w:rPr>
        <w:t>8</w:t>
      </w:r>
      <w:r w:rsidRPr="00802778">
        <w:t xml:space="preserve"> </w:t>
      </w:r>
      <w:r>
        <w:t xml:space="preserve">Southern Institute of Water Resources Research, </w:t>
      </w:r>
      <w:r w:rsidRPr="00802778">
        <w:t xml:space="preserve">Ho Chi Minh City, Vietnam </w:t>
      </w:r>
    </w:p>
    <w:p w14:paraId="52D8E577" w14:textId="77777777" w:rsidR="004E6C0C" w:rsidRPr="00802778" w:rsidRDefault="004E6C0C" w:rsidP="004E6C0C">
      <w:pPr>
        <w:ind w:left="708"/>
      </w:pPr>
      <w:r>
        <w:rPr>
          <w:vertAlign w:val="superscript"/>
        </w:rPr>
        <w:t>19</w:t>
      </w:r>
      <w:r>
        <w:t xml:space="preserve">Water Governance Department, IHE Delft Institute for Water Education, Delft, the Netherlands </w:t>
      </w:r>
    </w:p>
    <w:p w14:paraId="65E7DD72" w14:textId="77777777" w:rsidR="004E6C0C" w:rsidRDefault="004E6C0C" w:rsidP="004E6C0C">
      <w:pPr>
        <w:ind w:left="708"/>
      </w:pPr>
      <w:r>
        <w:rPr>
          <w:vertAlign w:val="superscript"/>
        </w:rPr>
        <w:t>20</w:t>
      </w:r>
      <w:r w:rsidRPr="00802778">
        <w:rPr>
          <w:vertAlign w:val="superscript"/>
        </w:rPr>
        <w:t xml:space="preserve"> </w:t>
      </w:r>
      <w:r>
        <w:t>University of Maryland</w:t>
      </w:r>
      <w:r w:rsidRPr="00802778">
        <w:t>, Co</w:t>
      </w:r>
      <w:r>
        <w:t>llege Park</w:t>
      </w:r>
      <w:r w:rsidRPr="00802778">
        <w:t xml:space="preserve">, </w:t>
      </w:r>
      <w:r>
        <w:t>Maryland, USA</w:t>
      </w:r>
    </w:p>
    <w:p w14:paraId="0B2748BE" w14:textId="77777777" w:rsidR="004E6C0C" w:rsidRPr="00454A03" w:rsidRDefault="004E6C0C" w:rsidP="004E6C0C">
      <w:pPr>
        <w:ind w:left="708"/>
        <w:rPr>
          <w:bCs/>
        </w:rPr>
      </w:pPr>
      <w:r w:rsidRPr="00182FF2">
        <w:rPr>
          <w:rFonts w:asciiTheme="minorHAnsi" w:eastAsiaTheme="minorEastAsia" w:hAnsiTheme="minorHAnsi" w:cstheme="minorBidi"/>
          <w:b/>
          <w:lang w:eastAsia="ja-JP"/>
        </w:rPr>
        <w:t>*</w:t>
      </w:r>
      <w:r w:rsidRPr="00EF0C2D">
        <w:rPr>
          <w:bCs/>
        </w:rPr>
        <w:t xml:space="preserve"> </w:t>
      </w:r>
      <w:proofErr w:type="gramStart"/>
      <w:r w:rsidRPr="00EF0C2D">
        <w:rPr>
          <w:bCs/>
        </w:rPr>
        <w:t>contributed</w:t>
      </w:r>
      <w:proofErr w:type="gramEnd"/>
      <w:r w:rsidRPr="00EF0C2D">
        <w:rPr>
          <w:bCs/>
        </w:rPr>
        <w:t xml:space="preserve"> equally</w:t>
      </w:r>
    </w:p>
    <w:p w14:paraId="3766E8A6" w14:textId="77777777" w:rsidR="0059258A" w:rsidRPr="00802778" w:rsidRDefault="0059258A" w:rsidP="00AD0A8C">
      <w:pPr>
        <w:rPr>
          <w:b/>
        </w:rPr>
      </w:pPr>
    </w:p>
    <w:p w14:paraId="29707036" w14:textId="4FD78A71" w:rsidR="00EC7964" w:rsidRPr="00122FC6" w:rsidRDefault="00EC7964" w:rsidP="00EC7964">
      <w:pPr>
        <w:rPr>
          <w:b/>
          <w:bCs/>
        </w:rPr>
      </w:pPr>
      <w:r w:rsidRPr="004477A6">
        <w:rPr>
          <w:b/>
          <w:bCs/>
        </w:rPr>
        <w:t>Abstract</w:t>
      </w:r>
    </w:p>
    <w:p w14:paraId="289776EA" w14:textId="05530149" w:rsidR="00122FC6" w:rsidRDefault="0082124F" w:rsidP="00122FC6">
      <w:r>
        <w:t>In the Mekong Delta, a</w:t>
      </w:r>
      <w:r w:rsidR="003E43FE">
        <w:t xml:space="preserve"> f</w:t>
      </w:r>
      <w:r w:rsidR="009531DC">
        <w:t xml:space="preserve">ew decades of environmental degradation </w:t>
      </w:r>
      <w:r w:rsidR="003E43FE">
        <w:t xml:space="preserve">have </w:t>
      </w:r>
      <w:r w:rsidR="009531DC">
        <w:t>reverse</w:t>
      </w:r>
      <w:r w:rsidR="00894724">
        <w:t>d</w:t>
      </w:r>
      <w:r w:rsidR="009531DC">
        <w:t xml:space="preserve"> </w:t>
      </w:r>
      <w:r w:rsidR="001C0B7A">
        <w:t xml:space="preserve">a </w:t>
      </w:r>
      <w:r w:rsidR="009531DC">
        <w:t>7000</w:t>
      </w:r>
      <w:r w:rsidR="00894724">
        <w:t>-</w:t>
      </w:r>
      <w:r w:rsidR="009531DC">
        <w:t>year</w:t>
      </w:r>
      <w:r w:rsidR="00894724">
        <w:t xml:space="preserve"> trend</w:t>
      </w:r>
      <w:r w:rsidR="00A97095">
        <w:t xml:space="preserve"> </w:t>
      </w:r>
      <w:r w:rsidR="009531DC">
        <w:t>of progradation</w:t>
      </w:r>
      <w:r w:rsidR="003E43FE">
        <w:t xml:space="preserve">. </w:t>
      </w:r>
      <w:r w:rsidR="009531DC">
        <w:t xml:space="preserve">With the current </w:t>
      </w:r>
      <w:r w:rsidR="00981C75">
        <w:t>trends</w:t>
      </w:r>
      <w:r w:rsidR="009531DC">
        <w:t>, the Mekong Delta</w:t>
      </w:r>
      <w:r w:rsidR="003E43FE">
        <w:t xml:space="preserve">, amongst the world’s most productive deltas, </w:t>
      </w:r>
      <w:r w:rsidR="00122FC6">
        <w:t xml:space="preserve">likely will </w:t>
      </w:r>
      <w:r w:rsidR="00772D97">
        <w:t>fall below the sea level by the end of the century</w:t>
      </w:r>
      <w:r w:rsidR="00122FC6">
        <w:t>.</w:t>
      </w:r>
      <w:r w:rsidR="00A97095">
        <w:t xml:space="preserve"> </w:t>
      </w:r>
      <w:r w:rsidR="00122FC6">
        <w:t>Dams and sand mining reduce its sediment supply, groundwater pumping accelerates subsidence, and dikes prevent sediment-charged floodwaters from spreading out over the delta surface to build land.</w:t>
      </w:r>
      <w:r w:rsidR="00A97095">
        <w:t xml:space="preserve"> </w:t>
      </w:r>
      <w:r w:rsidR="00122FC6" w:rsidRPr="00530254">
        <w:t xml:space="preserve">However, national and international planning and investments </w:t>
      </w:r>
      <w:r w:rsidR="009531DC" w:rsidRPr="00530254">
        <w:t xml:space="preserve">still </w:t>
      </w:r>
      <w:r w:rsidR="00C96328">
        <w:t xml:space="preserve">mostly </w:t>
      </w:r>
      <w:r w:rsidR="00122FC6" w:rsidRPr="00530254">
        <w:t xml:space="preserve">respond </w:t>
      </w:r>
      <w:r w:rsidR="003E43FE" w:rsidRPr="00530254">
        <w:t xml:space="preserve">only </w:t>
      </w:r>
      <w:r w:rsidR="00122FC6" w:rsidRPr="00530254">
        <w:t xml:space="preserve">to </w:t>
      </w:r>
      <w:r w:rsidR="009531DC" w:rsidRPr="00530254">
        <w:t xml:space="preserve">local </w:t>
      </w:r>
      <w:r w:rsidR="00122FC6" w:rsidRPr="00530254">
        <w:t xml:space="preserve">symptoms of a drowning </w:t>
      </w:r>
      <w:proofErr w:type="gramStart"/>
      <w:r w:rsidR="00122FC6" w:rsidRPr="00530254">
        <w:t>delta, and</w:t>
      </w:r>
      <w:proofErr w:type="gramEnd"/>
      <w:r w:rsidR="00122FC6" w:rsidRPr="00530254">
        <w:t xml:space="preserve"> </w:t>
      </w:r>
      <w:r w:rsidR="00C96328">
        <w:t>are slow to adopt systemic approaches to maintain</w:t>
      </w:r>
      <w:r w:rsidR="00A97095">
        <w:t xml:space="preserve"> </w:t>
      </w:r>
      <w:r w:rsidR="00122FC6" w:rsidRPr="00530254">
        <w:t>geomorphic processes that build new delta land</w:t>
      </w:r>
      <w:r w:rsidR="00122FC6">
        <w:t>. Rather than mitigat</w:t>
      </w:r>
      <w:r>
        <w:t>ion of</w:t>
      </w:r>
      <w:r w:rsidR="00122FC6">
        <w:t xml:space="preserve"> local symptoms, we urge s</w:t>
      </w:r>
      <w:r w:rsidR="00145538">
        <w:t>ix</w:t>
      </w:r>
      <w:r w:rsidR="00122FC6">
        <w:t xml:space="preserve"> actions to restore fundamental processes sustaining the delta. </w:t>
      </w:r>
      <w:r>
        <w:t xml:space="preserve">For </w:t>
      </w:r>
      <w:r w:rsidR="00772D97">
        <w:t>each</w:t>
      </w:r>
      <w:r>
        <w:t xml:space="preserve"> measure </w:t>
      </w:r>
      <w:r w:rsidR="00772D97">
        <w:t>there is global precedence</w:t>
      </w:r>
      <w:r>
        <w:t xml:space="preserve">. Their </w:t>
      </w:r>
      <w:r w:rsidR="00772D97">
        <w:t>concert</w:t>
      </w:r>
      <w:r>
        <w:t>ed implementation</w:t>
      </w:r>
      <w:r w:rsidR="00772D97">
        <w:t xml:space="preserve"> will</w:t>
      </w:r>
      <w:r>
        <w:t>, however,</w:t>
      </w:r>
      <w:r w:rsidR="00772D97">
        <w:t xml:space="preserve"> require additional enabling conditions </w:t>
      </w:r>
      <w:r>
        <w:t xml:space="preserve">like </w:t>
      </w:r>
      <w:r w:rsidRPr="00F50892">
        <w:t>technological</w:t>
      </w:r>
      <w:r w:rsidR="00772D97" w:rsidRPr="00F50892">
        <w:t xml:space="preserve"> innovations, basin-scale coordination,</w:t>
      </w:r>
      <w:r w:rsidR="00772D97">
        <w:t xml:space="preserve"> involvement of </w:t>
      </w:r>
      <w:r w:rsidR="00DE54BC">
        <w:t xml:space="preserve">political actors, </w:t>
      </w:r>
      <w:r w:rsidR="00772D97">
        <w:t xml:space="preserve">private investors and civil </w:t>
      </w:r>
      <w:proofErr w:type="gramStart"/>
      <w:r w:rsidR="00772D97">
        <w:t xml:space="preserve">societies, </w:t>
      </w:r>
      <w:r w:rsidR="00772D97" w:rsidRPr="00F50892">
        <w:t xml:space="preserve"> </w:t>
      </w:r>
      <w:r w:rsidR="00772D97">
        <w:t>improved</w:t>
      </w:r>
      <w:proofErr w:type="gramEnd"/>
      <w:r w:rsidR="00772D97">
        <w:t xml:space="preserve"> science-policy interactions,  and </w:t>
      </w:r>
      <w:r w:rsidR="00772D97" w:rsidRPr="00F50892">
        <w:t xml:space="preserve"> rethinking the political landscape of delta management beyond national boundaries.</w:t>
      </w:r>
      <w:r>
        <w:t xml:space="preserve"> </w:t>
      </w:r>
      <w:r w:rsidR="009531DC">
        <w:t xml:space="preserve">However, it is the only way to </w:t>
      </w:r>
      <w:r w:rsidR="003B2244">
        <w:t>save the</w:t>
      </w:r>
      <w:r w:rsidR="009531DC">
        <w:t xml:space="preserve"> Mekong Delta for future generations.</w:t>
      </w:r>
      <w:r w:rsidR="00A97095">
        <w:t xml:space="preserve"> </w:t>
      </w:r>
    </w:p>
    <w:p w14:paraId="1894090F" w14:textId="77777777" w:rsidR="00EC7964" w:rsidRDefault="00EC7964" w:rsidP="00AD0A8C"/>
    <w:p w14:paraId="7654BFC1" w14:textId="40E47CC9" w:rsidR="00EC7964" w:rsidRPr="004477A6" w:rsidRDefault="00EC7964" w:rsidP="00AD0A8C">
      <w:pPr>
        <w:rPr>
          <w:b/>
          <w:bCs/>
        </w:rPr>
      </w:pPr>
      <w:r w:rsidRPr="004477A6">
        <w:rPr>
          <w:b/>
          <w:bCs/>
        </w:rPr>
        <w:t>Keywords</w:t>
      </w:r>
    </w:p>
    <w:p w14:paraId="1CB971EC" w14:textId="3F4FD300" w:rsidR="00C5549B" w:rsidRDefault="00AC344F" w:rsidP="00AD0A8C">
      <w:r>
        <w:t xml:space="preserve">Deltas, </w:t>
      </w:r>
      <w:r w:rsidR="005D69DB">
        <w:t xml:space="preserve">Vietnam, </w:t>
      </w:r>
      <w:r>
        <w:t xml:space="preserve">sediment budget, sediment starvation, dam effects, sand mining, subsidence, </w:t>
      </w:r>
      <w:r w:rsidR="001908E2">
        <w:t xml:space="preserve">erosion, </w:t>
      </w:r>
      <w:r>
        <w:t>groundwater pumping</w:t>
      </w:r>
      <w:r w:rsidR="00D269B0">
        <w:t>, salt</w:t>
      </w:r>
      <w:r w:rsidR="00F00948">
        <w:t>water</w:t>
      </w:r>
      <w:r w:rsidR="00D269B0">
        <w:t xml:space="preserve"> intrusion</w:t>
      </w:r>
      <w:r w:rsidR="00B64B4B">
        <w:t>, delta management</w:t>
      </w:r>
      <w:r>
        <w:t>.</w:t>
      </w:r>
      <w:r w:rsidR="00A97095">
        <w:t xml:space="preserve"> </w:t>
      </w:r>
    </w:p>
    <w:p w14:paraId="5F5AF320" w14:textId="77777777" w:rsidR="00957FE9" w:rsidRDefault="00957FE9" w:rsidP="00AD0A8C"/>
    <w:p w14:paraId="1FCB4B91" w14:textId="56C958CF" w:rsidR="003742A2" w:rsidRDefault="004340A2" w:rsidP="003742A2">
      <w:pPr>
        <w:pStyle w:val="Heading3"/>
      </w:pPr>
      <w:bookmarkStart w:id="0" w:name="_Toc95335444"/>
      <w:r>
        <w:t xml:space="preserve">Introduction: </w:t>
      </w:r>
      <w:r w:rsidR="003742A2">
        <w:t>Threats to a tenuous</w:t>
      </w:r>
      <w:r w:rsidR="003742A2" w:rsidRPr="00751D54">
        <w:t xml:space="preserve"> landform</w:t>
      </w:r>
      <w:bookmarkEnd w:id="0"/>
    </w:p>
    <w:p w14:paraId="7683A53F" w14:textId="0F782CFE" w:rsidR="00232736" w:rsidRDefault="000D5787" w:rsidP="0046025E">
      <w:r>
        <w:t xml:space="preserve">The Mekong Delta’s </w:t>
      </w:r>
      <w:r w:rsidRPr="00751D54">
        <w:t xml:space="preserve">dense population and </w:t>
      </w:r>
      <w:r w:rsidR="00437854">
        <w:t xml:space="preserve">its </w:t>
      </w:r>
      <w:r>
        <w:t xml:space="preserve">importance for </w:t>
      </w:r>
      <w:r w:rsidR="00437854">
        <w:t xml:space="preserve">regional </w:t>
      </w:r>
      <w:r>
        <w:t xml:space="preserve">economy and food security </w:t>
      </w:r>
      <w:r w:rsidRPr="00751D54">
        <w:t>belie its recent origin and fragility</w:t>
      </w:r>
      <w:r>
        <w:t>. When the</w:t>
      </w:r>
      <w:r w:rsidR="008248EE">
        <w:t xml:space="preserve"> Giza</w:t>
      </w:r>
      <w:r>
        <w:t xml:space="preserve"> </w:t>
      </w:r>
      <w:r w:rsidR="00232736">
        <w:t xml:space="preserve">Pyramids were built 4500 years ago, the Mekong Delta </w:t>
      </w:r>
      <w:r>
        <w:t xml:space="preserve">covered only </w:t>
      </w:r>
      <w:r w:rsidR="00775554">
        <w:t>35</w:t>
      </w:r>
      <w:r>
        <w:t xml:space="preserve"> % of its current </w:t>
      </w:r>
      <w:r w:rsidR="00F34AC0">
        <w:t>40,000 km</w:t>
      </w:r>
      <w:r w:rsidR="00F34AC0" w:rsidRPr="00F1287F">
        <w:rPr>
          <w:vertAlign w:val="superscript"/>
        </w:rPr>
        <w:t>2</w:t>
      </w:r>
      <w:r w:rsidR="00F34AC0">
        <w:t xml:space="preserve"> </w:t>
      </w:r>
      <w:r>
        <w:t>extent</w:t>
      </w:r>
      <w:r w:rsidR="00EA797C">
        <w:t xml:space="preserve">. Only </w:t>
      </w:r>
      <w:r>
        <w:t>7000 years ago, the delta landform was non-existent.</w:t>
      </w:r>
      <w:r w:rsidR="00714DD7">
        <w:t xml:space="preserve"> The Mekong </w:t>
      </w:r>
      <w:r w:rsidR="00C84142">
        <w:t>D</w:t>
      </w:r>
      <w:r w:rsidR="00714DD7">
        <w:t xml:space="preserve">elta’s recent origins also holds a warning for its future, as land that was built </w:t>
      </w:r>
      <w:r w:rsidR="0046025E">
        <w:t xml:space="preserve">rapidly </w:t>
      </w:r>
      <w:r w:rsidR="00714DD7">
        <w:t xml:space="preserve">might quickly disappear. Already now, </w:t>
      </w:r>
      <w:r>
        <w:t xml:space="preserve">owing to only </w:t>
      </w:r>
      <w:r w:rsidR="0046025E">
        <w:t xml:space="preserve">a </w:t>
      </w:r>
      <w:r>
        <w:t xml:space="preserve">few decades of human influence and </w:t>
      </w:r>
      <w:r w:rsidR="00305ABB">
        <w:t>un</w:t>
      </w:r>
      <w:r w:rsidR="00714DD7">
        <w:t xml:space="preserve">sustainable management of the Mekong basin’s natural resources, the Mekong </w:t>
      </w:r>
      <w:r w:rsidR="00C84142">
        <w:t>D</w:t>
      </w:r>
      <w:r w:rsidR="00714DD7">
        <w:t xml:space="preserve">elta is receding, and </w:t>
      </w:r>
      <w:r w:rsidR="00F34AC0">
        <w:t>we project</w:t>
      </w:r>
      <w:r w:rsidR="00714DD7">
        <w:t xml:space="preserve"> that most of the delta landform and associated livelihoods could </w:t>
      </w:r>
      <w:r w:rsidR="005D6090">
        <w:t>slip below sea level</w:t>
      </w:r>
      <w:r w:rsidR="00714DD7">
        <w:t xml:space="preserve"> </w:t>
      </w:r>
      <w:r w:rsidR="00EA797C">
        <w:t xml:space="preserve">by </w:t>
      </w:r>
      <w:r w:rsidR="00714DD7">
        <w:t>the end of the century</w:t>
      </w:r>
      <w:r w:rsidR="009030E0">
        <w:t xml:space="preserve"> </w:t>
      </w:r>
      <w:r w:rsidR="00797F11">
        <w:fldChar w:fldCharType="begin"/>
      </w:r>
      <w:r w:rsidR="00797F11">
        <w:instrText xml:space="preserve"> ADDIN ZOTERO_ITEM CSL_CITATION {"citationID":"uFg7sK9a","properties":{"formattedCitation":"({\\i{}1})","plainCitation":"(1)","noteIndex":0},"citationItems":[{"id":6755,"uris":["http://zotero.org/users/1975400/items/4ABP3L75"],"uri":["http://zotero.org/users/1975400/items/4ABP3L75"],"itemData":{"id":6755,"type":"article-journal","abstract":"The climate resilience of river deltas is threatened by rising sea levels, accelerated land subsidence, and reduced sediment supply from contributing river basins. Yet, these uncertain and rapidly changing threats are rarely considered in conjunction. Here we provide an integrated assessment, on basin and delta scales, to identify key planning levers for increasing the climate resilience of the Mekong Delta. We find, first, that 23 to 90% of this unusually productive delta might fall below sea level by 2100, with the large uncertainty driven mainly by future management of groundwater pumping and associated land subsidence. Second, maintaining sediment supply from the basin is crucial under all scenarios for maintaining delta land and enhancing the climate resilience of the system. We then use a bottom-up approach to identify basin development scenarios that are compatible with maintaining sediment supply at current levels. This analysis highlights, third, that strategic placement of hydropower dams will be more important for maintaining sediment supply than either projected increases in sediment yields or improved sediment management at individual dams. Our results demonstrate 1) the need for integrated planning across basin and delta scales, 2) the role of river sediment management as a nature-based solution to increase delta resilience, and 3) global benefits from strategic basin management to maintain resilient deltas, especially under uncertain and changing conditions.","container-title":"Proceedings of the National Academy of Sciences","DOI":"10.1073/pnas.2026127118","ISSN":"0027-8424, 1091-6490","issue":"36","journalAbbreviation":"PNAS","language":"en","note":"publisher: National Academy of Sciences\nsection: Physical Sciences","source":"www-pnas-org.stanford.idm.oclc.org","title":"Strategic basin and delta planning increases the resilience of the Mekong Delta under future uncertainty","URL":"https://www-pnas-org.stanford.idm.oclc.org/content/118/36/e2026127118","volume":"118","author":[{"family":"Schmitt","given":"R. J. P."},{"family":"Giuliani","given":"M."},{"family":"Bizzi","given":"S."},{"family":"Kondolf","given":"G. M."},{"family":"Daily","given":"G. C."},{"family":"Castelletti","given":"Andrea"}],"accessed":{"date-parts":[["2021",9,2]]},"issued":{"date-parts":[["2021",9,7]]}}}],"schema":"https://github.com/citation-style-language/schema/raw/master/csl-citation.json"} </w:instrText>
      </w:r>
      <w:r w:rsidR="00797F11">
        <w:fldChar w:fldCharType="separate"/>
      </w:r>
      <w:r w:rsidR="009030E0" w:rsidRPr="009030E0">
        <w:t>(</w:t>
      </w:r>
      <w:r w:rsidR="009030E0" w:rsidRPr="009030E0">
        <w:rPr>
          <w:i/>
          <w:iCs/>
        </w:rPr>
        <w:t>1</w:t>
      </w:r>
      <w:r w:rsidR="009030E0" w:rsidRPr="009030E0">
        <w:t>)</w:t>
      </w:r>
      <w:r w:rsidR="00797F11">
        <w:fldChar w:fldCharType="end"/>
      </w:r>
      <w:r w:rsidR="00714DD7">
        <w:t xml:space="preserve">. </w:t>
      </w:r>
    </w:p>
    <w:p w14:paraId="6CB77F49" w14:textId="77777777" w:rsidR="00232736" w:rsidRDefault="00232736" w:rsidP="00AD0A8C"/>
    <w:p w14:paraId="29A58FD7" w14:textId="4082996E" w:rsidR="001F2B50" w:rsidRDefault="00714DD7">
      <w:r>
        <w:t>Avoiding such a</w:t>
      </w:r>
      <w:r w:rsidR="00305ABB">
        <w:t xml:space="preserve"> catastrophic</w:t>
      </w:r>
      <w:r>
        <w:t xml:space="preserve"> impact on </w:t>
      </w:r>
      <w:r w:rsidR="00AE56F8" w:rsidRPr="00751D54">
        <w:t>the Mekong Delta</w:t>
      </w:r>
      <w:r w:rsidR="00736E17">
        <w:t xml:space="preserve"> </w:t>
      </w:r>
      <w:r w:rsidR="00F34AC0">
        <w:t xml:space="preserve">will </w:t>
      </w:r>
      <w:r w:rsidR="00736E17">
        <w:t>require concerted actions that acknowledge root causes for land loss and the global importance of the delta landform</w:t>
      </w:r>
      <w:r w:rsidR="00BE42F4">
        <w:t xml:space="preserve">. </w:t>
      </w:r>
      <w:r w:rsidR="001F2B50">
        <w:t xml:space="preserve">Deltas persist and grow if sediment supply from an upstream river basin builds delta land at the same or greater rates than land is submerged by relative sea-level rise and erosion. As sea levels continue to rise, more and more of those natural water and sediment resources would be required to maintain the current extent of the Mekong Delta. However, uncoordinated basin-wide development depletes the delta of those critical resources. </w:t>
      </w:r>
    </w:p>
    <w:p w14:paraId="27629A39" w14:textId="77777777" w:rsidR="001F2B50" w:rsidRDefault="001F2B50"/>
    <w:p w14:paraId="661B0620" w14:textId="676B89CE" w:rsidR="001408DA" w:rsidRPr="00751D54" w:rsidRDefault="00736E17" w:rsidP="00981C75">
      <w:r>
        <w:t>The Delta</w:t>
      </w:r>
      <w:r w:rsidR="004C198D">
        <w:t>, which lies mostly in Vietnam,</w:t>
      </w:r>
      <w:r>
        <w:t xml:space="preserve"> rank</w:t>
      </w:r>
      <w:r w:rsidR="003A6C5A">
        <w:t>s</w:t>
      </w:r>
      <w:r>
        <w:t xml:space="preserve"> second among the world’s mega-deltas in terms of its size</w:t>
      </w:r>
      <w:r w:rsidR="005D46AA">
        <w:t xml:space="preserve">. </w:t>
      </w:r>
      <w:r w:rsidR="0028556A">
        <w:t xml:space="preserve">The delta has seen </w:t>
      </w:r>
      <w:r w:rsidR="005D46AA">
        <w:t xml:space="preserve">notable development </w:t>
      </w:r>
      <w:r w:rsidR="0028556A">
        <w:t xml:space="preserve">in </w:t>
      </w:r>
      <w:r w:rsidR="00EE0FEC">
        <w:t>th</w:t>
      </w:r>
      <w:r w:rsidR="00F402A8">
        <w:t xml:space="preserve">e </w:t>
      </w:r>
      <w:r w:rsidR="0028556A">
        <w:t xml:space="preserve">past century, </w:t>
      </w:r>
      <w:r w:rsidR="00437854">
        <w:t>transforming</w:t>
      </w:r>
      <w:r w:rsidR="0028556A">
        <w:t xml:space="preserve"> it into a human-made landscape</w:t>
      </w:r>
      <w:r w:rsidR="00981C75">
        <w:t>,</w:t>
      </w:r>
      <w:r w:rsidR="0028556A">
        <w:t xml:space="preserve"> or “Delta Machine”</w:t>
      </w:r>
      <w:r w:rsidR="009030E0">
        <w:t xml:space="preserve"> </w:t>
      </w:r>
      <w:r w:rsidR="00415DB0">
        <w:fldChar w:fldCharType="begin"/>
      </w:r>
      <w:r w:rsidR="00415DB0">
        <w:instrText xml:space="preserve"> ADDIN ZOTERO_ITEM CSL_CITATION {"citationID":"tutPClS6","properties":{"formattedCitation":"({\\i{}2})","plainCitation":"(2)","noteIndex":0},"citationItems":[{"id":2420,"uris":["http://zotero.org/users/1975400/items/VF6UZINZ"],"uri":["http://zotero.org/users/1975400/items/VF6UZINZ"],"itemData":{"id":2420,"type":"book","event-place":"London; Sterling, VA","ISBN":"978-1-84407-707-6","language":"English","note":"OCLC: 276226077","publisher":"Earthscan","publisher-place":"London; Sterling, VA","source":"Open WorldCat","title":"Contested waterscapes in the Mekong Region: hydropower, livelihoods and governance","title-short":"Contested waterscapes in the Mekong Region","author":[{"family":"Molle","given":"François"},{"family":"Foran","given":"Tira"},{"family":"Käkönen","given":"Mira"}],"issued":{"date-parts":[["2009"]]}}}],"schema":"https://github.com/citation-style-language/schema/raw/master/csl-citation.json"} </w:instrText>
      </w:r>
      <w:r w:rsidR="00415DB0">
        <w:fldChar w:fldCharType="separate"/>
      </w:r>
      <w:r w:rsidR="00415DB0" w:rsidRPr="00415DB0">
        <w:t>(</w:t>
      </w:r>
      <w:r w:rsidR="00415DB0" w:rsidRPr="00415DB0">
        <w:rPr>
          <w:i/>
          <w:iCs/>
        </w:rPr>
        <w:t>2</w:t>
      </w:r>
      <w:r w:rsidR="00415DB0" w:rsidRPr="00415DB0">
        <w:t>)</w:t>
      </w:r>
      <w:r w:rsidR="00415DB0">
        <w:fldChar w:fldCharType="end"/>
      </w:r>
      <w:r w:rsidR="00DC290B">
        <w:t xml:space="preserve"> </w:t>
      </w:r>
      <w:r w:rsidR="00981C75">
        <w:t>with a</w:t>
      </w:r>
      <w:r w:rsidR="0028556A">
        <w:t xml:space="preserve"> </w:t>
      </w:r>
      <w:r w:rsidR="00C12AA9">
        <w:t>population of over 17 million</w:t>
      </w:r>
      <w:r w:rsidR="00981C75">
        <w:t>,</w:t>
      </w:r>
      <w:r w:rsidR="00981C75" w:rsidRPr="00CA1BAA">
        <w:t xml:space="preserve"> </w:t>
      </w:r>
      <w:r w:rsidR="00981C75">
        <w:t>which</w:t>
      </w:r>
      <w:r w:rsidR="00AE499E">
        <w:t xml:space="preserve"> pro</w:t>
      </w:r>
      <w:r w:rsidR="001F2B50">
        <w:t>duc</w:t>
      </w:r>
      <w:r w:rsidR="0028556A">
        <w:t>es</w:t>
      </w:r>
      <w:r w:rsidR="00124C92">
        <w:t xml:space="preserve"> </w:t>
      </w:r>
      <w:r w:rsidR="00124C92" w:rsidRPr="007D7856">
        <w:rPr>
          <w:color w:val="000000" w:themeColor="text1"/>
        </w:rPr>
        <w:t xml:space="preserve">7-10% </w:t>
      </w:r>
      <w:r w:rsidR="00053C67">
        <w:t xml:space="preserve">of </w:t>
      </w:r>
      <w:r w:rsidR="00AE499E">
        <w:t xml:space="preserve">all rice traded </w:t>
      </w:r>
      <w:r w:rsidR="00053C67">
        <w:t>internationally</w:t>
      </w:r>
      <w:r w:rsidR="009D1535">
        <w:t>.</w:t>
      </w:r>
      <w:r w:rsidR="00A97095">
        <w:t xml:space="preserve"> </w:t>
      </w:r>
      <w:r w:rsidR="00AE499E">
        <w:t xml:space="preserve">The Mekong Delta </w:t>
      </w:r>
      <w:r w:rsidR="00437854">
        <w:t xml:space="preserve">averages </w:t>
      </w:r>
      <w:r>
        <w:t xml:space="preserve">less than </w:t>
      </w:r>
      <w:r w:rsidR="00EC356F">
        <w:t xml:space="preserve">1 </w:t>
      </w:r>
      <w:r>
        <w:t>m above sea level</w:t>
      </w:r>
      <w:r w:rsidR="00457151">
        <w:t>,</w:t>
      </w:r>
      <w:r w:rsidR="00C31C26">
        <w:t xml:space="preserve"> </w:t>
      </w:r>
      <w:r w:rsidR="00E34AF3">
        <w:t xml:space="preserve">making it </w:t>
      </w:r>
      <w:r w:rsidR="00AE499E">
        <w:t>very vulnerable to subsidence and coastal erosion</w:t>
      </w:r>
      <w:r w:rsidR="00731DE1">
        <w:t>.</w:t>
      </w:r>
      <w:r w:rsidR="00A97095">
        <w:t xml:space="preserve"> </w:t>
      </w:r>
      <w:r w:rsidR="00C96328" w:rsidRPr="007D7856">
        <w:rPr>
          <w:color w:val="000000" w:themeColor="text1"/>
        </w:rPr>
        <w:t>Yet, many initiatives</w:t>
      </w:r>
      <w:r w:rsidR="00A56A1C" w:rsidRPr="007D7856">
        <w:rPr>
          <w:color w:val="000000" w:themeColor="text1"/>
        </w:rPr>
        <w:t xml:space="preserve"> </w:t>
      </w:r>
      <w:r w:rsidR="00981C75">
        <w:rPr>
          <w:color w:val="000000" w:themeColor="text1"/>
        </w:rPr>
        <w:t xml:space="preserve">to protect </w:t>
      </w:r>
      <w:r w:rsidR="00F34AC0" w:rsidRPr="007D7856">
        <w:rPr>
          <w:color w:val="000000" w:themeColor="text1"/>
        </w:rPr>
        <w:t xml:space="preserve">its </w:t>
      </w:r>
      <w:r w:rsidR="00305ABB" w:rsidRPr="007D7856">
        <w:rPr>
          <w:color w:val="000000" w:themeColor="text1"/>
        </w:rPr>
        <w:t>residents</w:t>
      </w:r>
      <w:r w:rsidR="00F34AC0" w:rsidRPr="007D7856">
        <w:rPr>
          <w:color w:val="000000" w:themeColor="text1"/>
        </w:rPr>
        <w:t>’</w:t>
      </w:r>
      <w:r w:rsidR="00305ABB" w:rsidRPr="007D7856">
        <w:rPr>
          <w:color w:val="000000" w:themeColor="text1"/>
        </w:rPr>
        <w:t xml:space="preserve"> </w:t>
      </w:r>
      <w:r w:rsidR="00B82AB3" w:rsidRPr="007D7856">
        <w:rPr>
          <w:color w:val="000000" w:themeColor="text1"/>
        </w:rPr>
        <w:t>livelihoods</w:t>
      </w:r>
      <w:r w:rsidR="004340A2" w:rsidRPr="007D7856">
        <w:rPr>
          <w:color w:val="000000" w:themeColor="text1"/>
        </w:rPr>
        <w:t xml:space="preserve"> </w:t>
      </w:r>
      <w:r w:rsidR="00981C75">
        <w:rPr>
          <w:color w:val="000000" w:themeColor="text1"/>
        </w:rPr>
        <w:t xml:space="preserve">have supported </w:t>
      </w:r>
      <w:r w:rsidR="009E00FD" w:rsidRPr="007D7856">
        <w:rPr>
          <w:color w:val="000000" w:themeColor="text1"/>
        </w:rPr>
        <w:t xml:space="preserve">local </w:t>
      </w:r>
      <w:r w:rsidR="004F553B" w:rsidRPr="007D7856">
        <w:rPr>
          <w:color w:val="000000" w:themeColor="text1"/>
        </w:rPr>
        <w:t xml:space="preserve">adaptation </w:t>
      </w:r>
      <w:r w:rsidR="009E00FD" w:rsidRPr="007D7856">
        <w:rPr>
          <w:color w:val="000000" w:themeColor="text1"/>
        </w:rPr>
        <w:t>measures</w:t>
      </w:r>
      <w:r w:rsidR="00861097" w:rsidRPr="007D7856">
        <w:rPr>
          <w:color w:val="000000" w:themeColor="text1"/>
        </w:rPr>
        <w:t xml:space="preserve"> </w:t>
      </w:r>
      <w:r w:rsidR="00981C75" w:rsidRPr="007D7856">
        <w:rPr>
          <w:color w:val="000000" w:themeColor="text1"/>
        </w:rPr>
        <w:t>t</w:t>
      </w:r>
      <w:r w:rsidR="00981C75">
        <w:rPr>
          <w:color w:val="000000" w:themeColor="text1"/>
        </w:rPr>
        <w:t>o</w:t>
      </w:r>
      <w:r w:rsidR="00981C75" w:rsidRPr="007D7856">
        <w:rPr>
          <w:color w:val="000000" w:themeColor="text1"/>
        </w:rPr>
        <w:t xml:space="preserve"> </w:t>
      </w:r>
      <w:r w:rsidR="00861097" w:rsidRPr="007D7856">
        <w:rPr>
          <w:color w:val="000000" w:themeColor="text1"/>
        </w:rPr>
        <w:t>address symptoms of a sinking delta</w:t>
      </w:r>
      <w:r w:rsidR="00FA28FE" w:rsidRPr="007D7856">
        <w:rPr>
          <w:color w:val="000000" w:themeColor="text1"/>
        </w:rPr>
        <w:t xml:space="preserve">. </w:t>
      </w:r>
      <w:r w:rsidR="00A5007B" w:rsidRPr="007D7856">
        <w:rPr>
          <w:color w:val="000000" w:themeColor="text1"/>
        </w:rPr>
        <w:t xml:space="preserve">While important, </w:t>
      </w:r>
      <w:r w:rsidR="0046025E" w:rsidRPr="007D7856">
        <w:rPr>
          <w:color w:val="000000" w:themeColor="text1"/>
        </w:rPr>
        <w:t xml:space="preserve">these do </w:t>
      </w:r>
      <w:r w:rsidR="00305ABB" w:rsidRPr="007D7856">
        <w:rPr>
          <w:color w:val="000000" w:themeColor="text1"/>
        </w:rPr>
        <w:t xml:space="preserve">not </w:t>
      </w:r>
      <w:r w:rsidR="00BE42F4" w:rsidRPr="007D7856">
        <w:rPr>
          <w:color w:val="000000" w:themeColor="text1"/>
        </w:rPr>
        <w:t xml:space="preserve">address underlying </w:t>
      </w:r>
      <w:r w:rsidR="0046025E" w:rsidRPr="007D7856">
        <w:rPr>
          <w:color w:val="000000" w:themeColor="text1"/>
        </w:rPr>
        <w:t>anthropogenic</w:t>
      </w:r>
      <w:r w:rsidR="00AC5BE6" w:rsidRPr="007D7856">
        <w:rPr>
          <w:color w:val="000000" w:themeColor="text1"/>
        </w:rPr>
        <w:t xml:space="preserve"> drivers of subsidence at both </w:t>
      </w:r>
      <w:r w:rsidR="001F488D" w:rsidRPr="007D7856">
        <w:rPr>
          <w:color w:val="000000" w:themeColor="text1"/>
        </w:rPr>
        <w:t xml:space="preserve">the </w:t>
      </w:r>
      <w:r w:rsidR="00AC5BE6" w:rsidRPr="007D7856">
        <w:rPr>
          <w:color w:val="000000" w:themeColor="text1"/>
        </w:rPr>
        <w:t xml:space="preserve">delta </w:t>
      </w:r>
      <w:r w:rsidR="00AC5BE6" w:rsidRPr="00751D54">
        <w:t>and catchment scale</w:t>
      </w:r>
      <w:r w:rsidR="001F488D">
        <w:t>s</w:t>
      </w:r>
      <w:r w:rsidR="00B64B4B">
        <w:t xml:space="preserve">, </w:t>
      </w:r>
      <w:r w:rsidR="00981C75">
        <w:t xml:space="preserve">nor do they necessarily </w:t>
      </w:r>
      <w:proofErr w:type="gramStart"/>
      <w:r w:rsidR="00B64B4B">
        <w:t>tak</w:t>
      </w:r>
      <w:r w:rsidR="00981C75">
        <w:t>e</w:t>
      </w:r>
      <w:r w:rsidR="00B64B4B">
        <w:t xml:space="preserve"> into account</w:t>
      </w:r>
      <w:proofErr w:type="gramEnd"/>
      <w:r w:rsidR="00B64B4B">
        <w:t xml:space="preserve"> the international nature of the basin</w:t>
      </w:r>
      <w:r w:rsidR="00976C49">
        <w:t xml:space="preserve">. </w:t>
      </w:r>
    </w:p>
    <w:p w14:paraId="7DCE5517" w14:textId="77777777" w:rsidR="001527FF" w:rsidRPr="00751D54" w:rsidRDefault="001527FF" w:rsidP="00AD0A8C"/>
    <w:p w14:paraId="0D17453C" w14:textId="0200B4AA" w:rsidR="0017611B" w:rsidRPr="006B26D6" w:rsidRDefault="0070434B" w:rsidP="0017611B">
      <w:r>
        <w:rPr>
          <w:noProof/>
        </w:rPr>
        <w:drawing>
          <wp:inline distT="0" distB="0" distL="0" distR="0" wp14:anchorId="03A93163" wp14:editId="2F30831F">
            <wp:extent cx="6645910" cy="3133090"/>
            <wp:effectExtent l="0" t="0" r="2540" b="0"/>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133090"/>
                    </a:xfrm>
                    <a:prstGeom prst="rect">
                      <a:avLst/>
                    </a:prstGeom>
                    <a:noFill/>
                    <a:ln>
                      <a:noFill/>
                    </a:ln>
                  </pic:spPr>
                </pic:pic>
              </a:graphicData>
            </a:graphic>
          </wp:inline>
        </w:drawing>
      </w:r>
    </w:p>
    <w:p w14:paraId="512B362D" w14:textId="76F259E1" w:rsidR="00FC4A8C" w:rsidRDefault="00A04C83" w:rsidP="004A13C5">
      <w:r>
        <w:t>Figure 1.</w:t>
      </w:r>
      <w:r w:rsidR="00A97095">
        <w:t xml:space="preserve"> </w:t>
      </w:r>
      <w:r>
        <w:t xml:space="preserve">a. </w:t>
      </w:r>
      <w:r w:rsidR="004A13C5">
        <w:t>L</w:t>
      </w:r>
      <w:r w:rsidR="002E5113">
        <w:t>o</w:t>
      </w:r>
      <w:r>
        <w:t xml:space="preserve">cation map </w:t>
      </w:r>
      <w:r w:rsidR="00CB7151">
        <w:t xml:space="preserve">of the </w:t>
      </w:r>
      <w:r>
        <w:t>Mekong River basin, showing</w:t>
      </w:r>
      <w:r w:rsidR="0046025E">
        <w:t xml:space="preserve"> the</w:t>
      </w:r>
      <w:r>
        <w:t xml:space="preserve"> Mekong Delta.</w:t>
      </w:r>
      <w:r w:rsidR="00A97095">
        <w:t xml:space="preserve"> </w:t>
      </w:r>
      <w:r>
        <w:t xml:space="preserve">b. </w:t>
      </w:r>
      <w:r w:rsidR="004A13C5">
        <w:t>T</w:t>
      </w:r>
      <w:r>
        <w:t xml:space="preserve">he Mekong Delta, showing progressive progradation since </w:t>
      </w:r>
      <w:r w:rsidR="00981C75">
        <w:t>7000BP</w:t>
      </w:r>
      <w:r w:rsidR="0070434B">
        <w:t xml:space="preserve"> and current elevation above sea level </w:t>
      </w:r>
      <w:r w:rsidR="0070434B">
        <w:fldChar w:fldCharType="begin"/>
      </w:r>
      <w:r w:rsidR="0070434B">
        <w:instrText xml:space="preserve"> ADDIN ZOTERO_ITEM CSL_CITATION {"citationID":"SR0uEMi6","properties":{"formattedCitation":"({\\i{}3})","plainCitation":"(3)","noteIndex":0},"citationItems":[{"id":6266,"uris":["http://zotero.org/users/1975400/items/56Q4YVLJ"],"uri":["http://zotero.org/users/1975400/items/56Q4YVLJ"],"itemData":{"id":6266,"type":"article-journal","abstract":"The low-lying and populous Vietnamese Mekong delta is rapidly losing elevation due to accelerating subsidence rates, primarily caused by increasing groundwater extraction. This strongly increases the delta’s vulnerability to flooding, salinization, coastal erosion and, ultimately, threatens its nearly 18 million inhabitants with permanent inundation. We present projections of extraction-induced subsidence and consequent delta elevation loss for this century following six mitigation and non-mitigation extraction scenarios using a 3D hydrogeological model with a coupled geotechnical module. Our results reveal the long-term physically response of the aquifer system following different groundwater extraction pathways and show the potential of the hydrogeological system to recover. When groundwater extraction is allowed to increase continuously, as it did over the past decades, extraction-induced subsidence has the potential to drown the Mekong delta single-handedly before the end of the century. Our quantifications also disclose the mitigation potential to reduce subsidence by limiting groundwater exploitation and hereby limiting future elevation loss. However, the window to mitigate is rapidly closing as large parts of the lowly elevated delta plain may already fall below sea level in the coming decades. Failure to mitigate groundwater extraction-induced subsidence may result in mass displacement of millions of people and could severely affect regional food security as the food producing capacity of the delta may collapse.","container-title":"Environmental Research Communications","DOI":"10.1088/2515-7620/ab5e21","ISSN":"2515-7620","issue":"1","journalAbbreviation":"Environ. Res. Commun.","language":"en","note":"publisher: IOP Publishing","page":"011005","source":"Institute of Physics","title":"Groundwater extraction may drown mega-delta: projections of extraction-induced subsidence and elevation of the Mekong delta for the 21st century","title-short":"Groundwater extraction may drown mega-delta","volume":"2","author":[{"family":"Minderhoud","given":"P. S. J."},{"family":"Middelkoop","given":"H."},{"family":"Erkens","given":"G."},{"family":"Stouthamer","given":"E."}],"issued":{"date-parts":[["2020",1]]}}}],"schema":"https://github.com/citation-style-language/schema/raw/master/csl-citation.json"} </w:instrText>
      </w:r>
      <w:r w:rsidR="0070434B">
        <w:fldChar w:fldCharType="separate"/>
      </w:r>
      <w:r w:rsidR="0070434B" w:rsidRPr="0070434B">
        <w:t>(</w:t>
      </w:r>
      <w:r w:rsidR="0070434B" w:rsidRPr="0070434B">
        <w:rPr>
          <w:i/>
          <w:iCs/>
        </w:rPr>
        <w:t>3</w:t>
      </w:r>
      <w:r w:rsidR="0070434B" w:rsidRPr="0070434B">
        <w:t>)</w:t>
      </w:r>
      <w:r w:rsidR="0070434B">
        <w:fldChar w:fldCharType="end"/>
      </w:r>
      <w:r>
        <w:t xml:space="preserve">, population density (red tones), and value of agricultural production (green tones). c. </w:t>
      </w:r>
      <w:r w:rsidR="004A13C5">
        <w:t>R</w:t>
      </w:r>
      <w:r w:rsidR="000F7CED">
        <w:t>esources at stake in the Delta, and projected loss of human habitat and agriculture with relative sea level rises of 1, 2, and 3 m</w:t>
      </w:r>
      <w:r w:rsidR="098D37E7">
        <w:t xml:space="preserve">. </w:t>
      </w:r>
      <w:r w:rsidR="098D37E7" w:rsidRPr="009607ED">
        <w:rPr>
          <w:i/>
          <w:iCs/>
        </w:rPr>
        <w:t>(</w:t>
      </w:r>
      <w:r w:rsidR="0017611B" w:rsidRPr="009607ED">
        <w:rPr>
          <w:i/>
          <w:iCs/>
        </w:rPr>
        <w:t xml:space="preserve">We are aware that figures in policy forums often undergo substantial revisions by the journal. This is a suggested Figure to highlight geography and values at risk in the Mekong Delta). </w:t>
      </w:r>
      <w:r w:rsidR="00A97095" w:rsidRPr="009607ED">
        <w:rPr>
          <w:i/>
          <w:iCs/>
        </w:rPr>
        <w:t xml:space="preserve"> </w:t>
      </w:r>
    </w:p>
    <w:p w14:paraId="5DB39E98" w14:textId="77777777" w:rsidR="00EA797C" w:rsidRDefault="00EA797C" w:rsidP="00976C49"/>
    <w:p w14:paraId="337B64D0" w14:textId="224850BD" w:rsidR="00325EC1" w:rsidRDefault="00E34AF3" w:rsidP="00B36C58">
      <w:r>
        <w:t xml:space="preserve">Originally, the delta received 140 – 160 million tons of sediment </w:t>
      </w:r>
      <w:r w:rsidR="00A95A3F">
        <w:t xml:space="preserve">annually </w:t>
      </w:r>
      <w:r>
        <w:t xml:space="preserve">from the Mekong </w:t>
      </w:r>
      <w:r w:rsidR="00596BE5">
        <w:t xml:space="preserve">River </w:t>
      </w:r>
      <w:r w:rsidR="00454A03">
        <w:t>basin, of</w:t>
      </w:r>
      <w:r>
        <w:t xml:space="preserve"> </w:t>
      </w:r>
      <w:r w:rsidR="00124C92">
        <w:t>which</w:t>
      </w:r>
      <w:r>
        <w:t xml:space="preserve"> more </w:t>
      </w:r>
      <w:r w:rsidR="00325EC1">
        <w:t xml:space="preserve">than </w:t>
      </w:r>
      <w:r w:rsidR="00E50CEE">
        <w:t>half</w:t>
      </w:r>
      <w:r w:rsidR="00325EC1">
        <w:t xml:space="preserve"> is now</w:t>
      </w:r>
      <w:r w:rsidR="00981C75">
        <w:t xml:space="preserve"> being</w:t>
      </w:r>
      <w:r w:rsidR="00325EC1">
        <w:t xml:space="preserve"> trapped in </w:t>
      </w:r>
      <w:r w:rsidR="00036169">
        <w:t>reservoirs</w:t>
      </w:r>
      <w:r w:rsidR="00325EC1">
        <w:t>.</w:t>
      </w:r>
      <w:r w:rsidR="00325EC1" w:rsidRPr="00751D54">
        <w:t xml:space="preserve"> </w:t>
      </w:r>
      <w:r w:rsidR="00325EC1">
        <w:t>In the upper Mekong</w:t>
      </w:r>
      <w:r w:rsidR="008503B2">
        <w:t xml:space="preserve"> basin</w:t>
      </w:r>
      <w:r w:rsidR="00325EC1">
        <w:t xml:space="preserve"> in China (the Lancang), eight</w:t>
      </w:r>
      <w:r w:rsidR="00325EC1" w:rsidRPr="006B26D6">
        <w:t xml:space="preserve"> large </w:t>
      </w:r>
      <w:r w:rsidR="00036169">
        <w:t>hydropower</w:t>
      </w:r>
      <w:r w:rsidR="00036169" w:rsidRPr="006B26D6">
        <w:t xml:space="preserve"> </w:t>
      </w:r>
      <w:r w:rsidR="00325EC1" w:rsidRPr="006B26D6">
        <w:t xml:space="preserve">dams </w:t>
      </w:r>
      <w:r w:rsidR="00325EC1">
        <w:t>have been</w:t>
      </w:r>
      <w:r w:rsidR="00325EC1" w:rsidRPr="006B26D6">
        <w:t xml:space="preserve"> completed</w:t>
      </w:r>
      <w:r w:rsidR="00325EC1">
        <w:t xml:space="preserve">, </w:t>
      </w:r>
      <w:r w:rsidR="00325EC1" w:rsidRPr="00751D54">
        <w:t>with another 20 under construction or planned</w:t>
      </w:r>
      <w:r w:rsidR="00325EC1">
        <w:t>.</w:t>
      </w:r>
      <w:r w:rsidR="00325EC1" w:rsidRPr="00751D54">
        <w:t xml:space="preserve"> </w:t>
      </w:r>
      <w:r w:rsidR="00325EC1">
        <w:t>I</w:t>
      </w:r>
      <w:r w:rsidR="00325EC1" w:rsidRPr="00751D54">
        <w:t>n the lower Mekong, another 133</w:t>
      </w:r>
      <w:r w:rsidR="00325EC1" w:rsidRPr="006B26D6">
        <w:t xml:space="preserve"> </w:t>
      </w:r>
      <w:r w:rsidR="00325EC1">
        <w:t xml:space="preserve">dams </w:t>
      </w:r>
      <w:r w:rsidR="00325EC1" w:rsidRPr="006B26D6">
        <w:t>are</w:t>
      </w:r>
      <w:r w:rsidR="00325EC1">
        <w:t xml:space="preserve"> </w:t>
      </w:r>
      <w:r w:rsidR="00226925">
        <w:t>either</w:t>
      </w:r>
      <w:r w:rsidR="00325EC1" w:rsidRPr="006B26D6">
        <w:t xml:space="preserve"> built or p</w:t>
      </w:r>
      <w:r w:rsidR="00325EC1">
        <w:t>lann</w:t>
      </w:r>
      <w:r w:rsidR="00325EC1" w:rsidRPr="006B26D6">
        <w:t>ed</w:t>
      </w:r>
      <w:r w:rsidR="008503B2">
        <w:t>, of which 11 are on the mainstem</w:t>
      </w:r>
      <w:r w:rsidR="00325EC1">
        <w:t>.</w:t>
      </w:r>
      <w:r w:rsidR="00A97095">
        <w:t xml:space="preserve"> </w:t>
      </w:r>
      <w:r w:rsidR="00325EC1" w:rsidRPr="00840921">
        <w:t>If built as planned</w:t>
      </w:r>
      <w:r w:rsidR="00325EC1" w:rsidRPr="00751D54">
        <w:t>, the</w:t>
      </w:r>
      <w:r w:rsidR="00325EC1">
        <w:t xml:space="preserve">se dams </w:t>
      </w:r>
      <w:r w:rsidR="00325EC1" w:rsidRPr="00F1287F">
        <w:t>will</w:t>
      </w:r>
      <w:r w:rsidR="00325EC1">
        <w:t xml:space="preserve"> trap</w:t>
      </w:r>
      <w:r w:rsidR="00325EC1" w:rsidRPr="00751D54">
        <w:t xml:space="preserve"> 96% </w:t>
      </w:r>
      <w:r w:rsidR="00325EC1">
        <w:t>of the</w:t>
      </w:r>
      <w:r w:rsidR="00325EC1" w:rsidRPr="00751D54">
        <w:t xml:space="preserve"> sediment </w:t>
      </w:r>
      <w:r w:rsidR="00325EC1">
        <w:t xml:space="preserve">formerly reaching </w:t>
      </w:r>
      <w:r w:rsidR="00325EC1" w:rsidRPr="00751D54">
        <w:t xml:space="preserve">the </w:t>
      </w:r>
      <w:r w:rsidR="00C84142">
        <w:t>d</w:t>
      </w:r>
      <w:r w:rsidR="00325EC1" w:rsidRPr="00751D54">
        <w:t xml:space="preserve">elta </w:t>
      </w:r>
      <w:r w:rsidR="00091944">
        <w:fldChar w:fldCharType="begin"/>
      </w:r>
      <w:r w:rsidR="0070434B">
        <w:instrText xml:space="preserve"> ADDIN ZOTERO_ITEM CSL_CITATION {"citationID":"cnsPaH1f","properties":{"formattedCitation":"({\\i{}4})","plainCitation":"(4)","noteIndex":0},"citationItems":[{"id":976,"uris":["http://zotero.org/users/1975400/items/6QKDTECK"],"uri":["http://zotero.org/users/1975400/items/6QKDTECK"],"itemData":{"id":976,"type":"article-journal","abstract":"The Mekong River, largely undeveloped prior to 1990, is undergoing rapid dam construction. Seven dams are under construction on the mainstem in China and 133 proposed for the Lower Mekong River and tributaries. We delineated nine distinct geomorphic regions, for which we estimated sediment yields based on geomorphic characteristics, tectonic history, and the limited sediment transport data available. We then applied the 3W model to calculate cumulative sediment trapping by these dams, accounting for changing trap efficiency over time and multiple dams on a single river system. Under a “definite future” scenario of 38 dams (built or under construction), cumulative sediment reduction to the Delta would be 51%. Under full build-out of all planned dams, cumulative sediment trapping will be 96%. That is, once in-channel stored sediment is exhausted, only 4% of the predam sediment load would be expected to reach the Delta. This scenario would have profound consequences on productivity of the river and persistence of the Delta landform itself, and suggests that strategies to pass sediment through/around dams should be explored to prevent the consequences of downstream sediment starvation.","container-title":"Water Resources Research","DOI":"10.1002/2013WR014651","ISSN":"1944-7973","issue":"6","journalAbbreviation":"Water Resour. Res.","language":"en","note":"bibtex: Kondolf2014","page":"5158-5169","source":"Wiley Online Library","title":"Dams on the Mekong: Cumulative sediment starvation","title-short":"Dams on the Mekong","volume":"50","author":[{"family":"Kondolf","given":"G. M."},{"family":"Rubin","given":"Z. K."},{"family":"Minear","given":"J. T."}],"issued":{"date-parts":[["2014",6,1]]}}}],"schema":"https://github.com/citation-style-language/schema/raw/master/csl-citation.json"} </w:instrText>
      </w:r>
      <w:r w:rsidR="00091944">
        <w:fldChar w:fldCharType="separate"/>
      </w:r>
      <w:r w:rsidR="0070434B" w:rsidRPr="0070434B">
        <w:t>(</w:t>
      </w:r>
      <w:r w:rsidR="0070434B" w:rsidRPr="0070434B">
        <w:rPr>
          <w:i/>
          <w:iCs/>
        </w:rPr>
        <w:t>4</w:t>
      </w:r>
      <w:r w:rsidR="0070434B" w:rsidRPr="0070434B">
        <w:t>)</w:t>
      </w:r>
      <w:r w:rsidR="00091944">
        <w:fldChar w:fldCharType="end"/>
      </w:r>
      <w:r w:rsidR="00AD1B14">
        <w:t>.</w:t>
      </w:r>
      <w:r w:rsidR="00325EC1" w:rsidRPr="006B26D6">
        <w:t xml:space="preserve"> </w:t>
      </w:r>
      <w:r w:rsidR="00EA797C">
        <w:t xml:space="preserve">Additionally, sediment supply from the basin </w:t>
      </w:r>
      <w:r w:rsidR="001F2B50">
        <w:t>has been halved since 1981</w:t>
      </w:r>
      <w:r w:rsidR="00EA797C">
        <w:t xml:space="preserve"> as r</w:t>
      </w:r>
      <w:r w:rsidR="00325EC1" w:rsidRPr="005C7BCD">
        <w:t xml:space="preserve">unoff </w:t>
      </w:r>
      <w:r w:rsidR="00325EC1">
        <w:t xml:space="preserve">from </w:t>
      </w:r>
      <w:r w:rsidR="00325EC1" w:rsidRPr="005C7BCD">
        <w:t>tropical cyclones</w:t>
      </w:r>
      <w:r w:rsidR="00EA797C">
        <w:t>,</w:t>
      </w:r>
      <w:r w:rsidR="00325EC1">
        <w:t xml:space="preserve"> </w:t>
      </w:r>
      <w:r w:rsidR="001F2B50">
        <w:t xml:space="preserve">which </w:t>
      </w:r>
      <w:r w:rsidR="00325EC1">
        <w:t xml:space="preserve">deliver about </w:t>
      </w:r>
      <w:r w:rsidR="00325EC1" w:rsidRPr="005C7BCD">
        <w:t>32</w:t>
      </w:r>
      <w:r w:rsidR="00036169">
        <w:t>%</w:t>
      </w:r>
      <w:r w:rsidR="00325EC1" w:rsidRPr="005C7BCD">
        <w:t xml:space="preserve"> of the suspended sediment load reaching the delta</w:t>
      </w:r>
      <w:r w:rsidR="00EA797C">
        <w:t xml:space="preserve">, </w:t>
      </w:r>
      <w:r w:rsidR="005A17E1">
        <w:t>is reducing</w:t>
      </w:r>
      <w:r w:rsidR="00325EC1">
        <w:t xml:space="preserve"> </w:t>
      </w:r>
      <w:r w:rsidR="00EA797C">
        <w:t xml:space="preserve">as cyclone </w:t>
      </w:r>
      <w:r w:rsidR="00B14E54">
        <w:t>tracks shift north</w:t>
      </w:r>
      <w:r w:rsidR="00EA797C">
        <w:t xml:space="preserve"> </w:t>
      </w:r>
      <w:r w:rsidR="00091944">
        <w:fldChar w:fldCharType="begin"/>
      </w:r>
      <w:r w:rsidR="0070434B">
        <w:instrText xml:space="preserve"> ADDIN ZOTERO_ITEM CSL_CITATION {"citationID":"fqBDzHtQ","properties":{"formattedCitation":"({\\i{}5})","plainCitation":"(5)","noteIndex":0},"citationItems":[{"id":2646,"uris":["http://zotero.org/users/1975400/items/PD3B2A5B"],"uri":["http://zotero.org/users/1975400/items/PD3B2A5B"],"itemData":{"id":2646,"type":"article-journal","abstract":"The world’s rivers deliver 19 billion tonnes of sediment to the coastal zone annually, with a considerable fraction being sequestered in large deltas, home to over 500 million people. Most (more than 70 per cent) large deltas are under threat from a combination of rising sea levels, ground surface subsidence and anthropogenic sediment trapping, and a sustainable supply of fluvial sediment is therefore critical to prevent deltas being ‘drowned’ by rising relative sea levels. Here we combine suspended sediment load data from the Mekong River with hydrological model simulations to isolate the role of tropical cyclones in transmitting suspended sediment to one of the world’s great deltas. We demonstrate that spatial variations in the Mekong’s suspended sediment load are correlated (r = 0.765, P &lt; 0.1) with observed variations in tropical-cyclone climatology, and that a substantial portion (32 per cent) of the suspended sediment load reaching the delta is delivered by runoff generated by rainfall associated with tropical cyclones. Furthermore, we estimate that the suspended load to the delta has declined by 52.6 ± 10.2 megatonnes over recent years (1981–2005), of which 33.0 ± 7.1 megatonnes is due to a shift in tropical-cyclone climatology. Consequently, tropical cyclones have a key role in controlling the magnitude of, and variability in, transmission of suspended sediment to the coast. It is likely that anthropogenic sediment trapping in upstream reservoirs is a dominant factor in explaining past, and anticipating future, declines in suspended sediment loads reaching the world’s major deltas. However, our study shows that changes in tropical-cyclone climatology affect trends in fluvial suspended sediment loads and thus are also key to fully assessing the risk posed to vulnerable coastal systems.","container-title":"Nature","DOI":"10.1038/nature19809","ISSN":"0028-0836","issue":"7628","journalAbbreviation":"Nature","language":"en","page":"276-279","source":"www.nature.com","title":"Fluvial sediment supply to a mega-delta reduced by shifting tropical-cyclone activity","volume":"539","author":[{"family":"Darby","given":"Stephen E."},{"family":"Hackney","given":"Christopher R."},{"family":"Leyland","given":"Julian"},{"family":"Kummu","given":"Matti"},{"family":"Lauri","given":"Hannu"},{"family":"Parsons","given":"Daniel R."},{"family":"Best","given":"James L."},{"family":"Nicholas","given":"Andrew P."},{"family":"Aalto","given":"Rolf"}],"issued":{"date-parts":[["2016",11,10]]}}}],"schema":"https://github.com/citation-style-language/schema/raw/master/csl-citation.json"} </w:instrText>
      </w:r>
      <w:r w:rsidR="00091944">
        <w:fldChar w:fldCharType="separate"/>
      </w:r>
      <w:r w:rsidR="0070434B" w:rsidRPr="0070434B">
        <w:t>(</w:t>
      </w:r>
      <w:r w:rsidR="0070434B" w:rsidRPr="0070434B">
        <w:rPr>
          <w:i/>
          <w:iCs/>
        </w:rPr>
        <w:t>5</w:t>
      </w:r>
      <w:r w:rsidR="0070434B" w:rsidRPr="0070434B">
        <w:t>)</w:t>
      </w:r>
      <w:r w:rsidR="00091944">
        <w:fldChar w:fldCharType="end"/>
      </w:r>
      <w:r w:rsidR="00325EC1" w:rsidRPr="005C7BCD">
        <w:t>.</w:t>
      </w:r>
    </w:p>
    <w:p w14:paraId="6B8AB884" w14:textId="0DA48725" w:rsidR="00325EC1" w:rsidRDefault="00325EC1" w:rsidP="00976C49"/>
    <w:p w14:paraId="7BE14066" w14:textId="5AD86F47" w:rsidR="00AD1B14" w:rsidRDefault="00AD1B14">
      <w:r w:rsidRPr="00BD3136">
        <w:t xml:space="preserve">The remaining sediment load is further reduced by </w:t>
      </w:r>
      <w:r w:rsidR="00981C75" w:rsidRPr="00BD3136">
        <w:t xml:space="preserve">in-channel </w:t>
      </w:r>
      <w:r w:rsidRPr="00BD3136">
        <w:t>mining</w:t>
      </w:r>
      <w:r w:rsidR="009030E0" w:rsidRPr="00BD3136">
        <w:t>. A</w:t>
      </w:r>
      <w:r w:rsidRPr="00BD3136">
        <w:t>n estimated 54 Mt/y of sand from the Mekong River, mostly in Cambodia and Vietnam</w:t>
      </w:r>
      <w:r w:rsidR="005E66CB">
        <w:t>,</w:t>
      </w:r>
      <w:r w:rsidRPr="00BD3136">
        <w:t xml:space="preserve"> </w:t>
      </w:r>
      <w:r w:rsidR="00036169" w:rsidRPr="00BD3136">
        <w:t xml:space="preserve">are </w:t>
      </w:r>
      <w:r w:rsidRPr="00BD3136">
        <w:t>use</w:t>
      </w:r>
      <w:r w:rsidR="00036169" w:rsidRPr="00BD3136">
        <w:t>d</w:t>
      </w:r>
      <w:r w:rsidRPr="00BD3136">
        <w:t xml:space="preserve"> in construction and </w:t>
      </w:r>
      <w:r w:rsidR="00D269B0" w:rsidRPr="00BD3136">
        <w:t>land reclamation</w:t>
      </w:r>
      <w:r w:rsidR="009230A4" w:rsidRPr="00BD3136">
        <w:t xml:space="preserve"> </w:t>
      </w:r>
      <w:r w:rsidR="009230A4" w:rsidRPr="00BD3136">
        <w:fldChar w:fldCharType="begin"/>
      </w:r>
      <w:r w:rsidR="0070434B">
        <w:instrText xml:space="preserve"> ADDIN ZOTERO_ITEM CSL_CITATION {"citationID":"TUzoOMa1","properties":{"formattedCitation":"({\\i{}6})","plainCitation":"(6)","noteIndex":0},"citationItems":[{"id":1165,"uris":["http://zotero.org/users/1975400/items/MJWDRM77"],"uri":["http://zotero.org/users/1975400/items/MJWDRM77"],"itemData":{"id":1165,"type":"article-journal","abstract":"L’extraction des sables et graviers en rivière a augmenté dans les pays développés depuis au moins le milieu du XXe siècle, en particulier pour la construction (béton) et les remblais (voies ferrées et routières, conquête de terrains en zone inondable, plates-formes en mer). Dans les 30 dernières années, ce phénomène a connu une grande expansion dans les pays en développement tels que la Chine, l’Inde et dans d’autres pays asiatiques à croissance rapide. Les impacts négatifs de l’extraction des ressources fluviales sont bien documentés en Europe et aux États-Unis depuis le début des années 1980 et des études sont maintenant disponibles sur les extractions en Asie du Sud-est et notamment en Chine. Le Bas Mékong et ses bassins tributaires sont des hauts lieux de la biodiversité mais ils ont connu un essor considérable de la construction des barrages, en particulier sur le cours chinois du Mékong, le Lancang. L’enjeu actuel le plus important dans le bassin du Mékong est sans aucun doute la menace qui pèse sur les côtes du delta car l’importance de ce dernier est remarquable en termes de sécurité alimentaire pour les populations en forte croissance du Vietnam et du Cambodge. Les raisons les plus souvent citées pour expliquer le recul du delta sont le piégeage des sédiments qui se fait dans les retenues du haut bassin et le changement climatique. Les extractions de sable et gravier dans le chenal du Mékong et sur ses affluents n’ont pas encore été prises en considération. Cet article fournit la première évaluation de l’extraction des ressources en granulat sur les 2 400 km du cours principal du Bas Mékong, de la frontière chinoise au delta. Le Fonds Mondial pour la Nature (WWF) a réalisé un relevé en 2011-2012. Des entretiens systématiques ont été réalisés dans les quatre pays du bas Mékong pour évaluer les types de matériaux extraits, les techniques utilisées, les volumes extraits, les tendances enregistrées ces dernières années et les changements attendus dans la géographie des extractions. Les résultats révèlent que le volume annuel de sable et de gravier extrait, en dépit d’une sous-évaluation évidente, excède le volume de sable et de gravier transporté par le fleuve. Les résultats soulignent aussi l’importance considérable de ce facteur dans les changements géomorphologiques et écologiques enregistrés dans les différents tronçons du Mékong et dans son delta.","container-title":"EchoGéo","DOI":"10.4000/echogeo.13659","ISSN":"1963-1197","issue":"26","language":"fr","source":"echogeo.revues.org","title":"Geography of Sand and Gravel Mining in the Lower Mekong River","URL":"https://echogeo.revues.org/13659","author":[{"family":"Bravard","given":"Jean-Paul"},{"family":"Goichot","given":"Marc"},{"family":"Gaillot","given":"Stéphane"}],"accessed":{"date-parts":[["2015",9,4]]},"issued":{"date-parts":[["2013",12,19]]}}}],"schema":"https://github.com/citation-style-language/schema/raw/master/csl-citation.json"} </w:instrText>
      </w:r>
      <w:r w:rsidR="009230A4" w:rsidRPr="00BD3136">
        <w:fldChar w:fldCharType="separate"/>
      </w:r>
      <w:r w:rsidR="0070434B" w:rsidRPr="0070434B">
        <w:t>(</w:t>
      </w:r>
      <w:r w:rsidR="0070434B" w:rsidRPr="0070434B">
        <w:rPr>
          <w:i/>
          <w:iCs/>
        </w:rPr>
        <w:t>6</w:t>
      </w:r>
      <w:r w:rsidR="0070434B" w:rsidRPr="0070434B">
        <w:t>)</w:t>
      </w:r>
      <w:r w:rsidR="009230A4" w:rsidRPr="00BD3136">
        <w:fldChar w:fldCharType="end"/>
      </w:r>
      <w:r w:rsidR="009030E0" w:rsidRPr="00BD3136">
        <w:t xml:space="preserve">. </w:t>
      </w:r>
      <w:r w:rsidR="08F295D5">
        <w:t>Sand</w:t>
      </w:r>
      <w:r w:rsidR="009030E0" w:rsidRPr="00BD3136">
        <w:t xml:space="preserve"> mining in the upstream basin and the delta </w:t>
      </w:r>
      <w:r w:rsidR="08F295D5">
        <w:t>results</w:t>
      </w:r>
      <w:r w:rsidRPr="00BD3136">
        <w:t xml:space="preserve"> in downstream sediment starvation and </w:t>
      </w:r>
      <w:r w:rsidR="08F295D5">
        <w:t>thereby contributes</w:t>
      </w:r>
      <w:r w:rsidRPr="00BD3136">
        <w:t xml:space="preserve"> to recent coastal erosion and channel incision </w:t>
      </w:r>
      <w:r w:rsidR="00091944" w:rsidRPr="00BD3136">
        <w:fldChar w:fldCharType="begin"/>
      </w:r>
      <w:r w:rsidR="0070434B">
        <w:instrText xml:space="preserve"> ADDIN ZOTERO_ITEM CSL_CITATION {"citationID":"uEwmFzbw","properties":{"formattedCitation":"({\\i{}7})","plainCitation":"(7)","noteIndex":0},"citationItems":[{"id":1279,"uris":["http://zotero.org/users/1975400/items/S6FZV6XQ"],"uri":["http://zotero.org/users/1975400/items/S6FZV6XQ"],"itemData":{"id":1279,"type":"article-journal","container-title":"Scientific Reports","DOI":"10.1038/srep14745","ISSN":"2045-2322","page":"14745","source":"CrossRef","title":"Linking rapid erosion of the Mekong River delta to human activities","volume":"5","author":[{"family":"Anthony","given":"Edward J."},{"family":"Brunier","given":"Guillaume"},{"family":"Besset","given":"Manon"},{"family":"Goichot","given":"Marc"},{"family":"Dussouillez","given":"Philippe"},{"family":"Nguyen","given":"Van Lap"}],"issued":{"date-parts":[["2015",10,8]]}}}],"schema":"https://github.com/citation-style-language/schema/raw/master/csl-citation.json"} </w:instrText>
      </w:r>
      <w:r w:rsidR="00091944" w:rsidRPr="00BD3136">
        <w:fldChar w:fldCharType="separate"/>
      </w:r>
      <w:r w:rsidR="0070434B" w:rsidRPr="0070434B">
        <w:t>(</w:t>
      </w:r>
      <w:r w:rsidR="0070434B" w:rsidRPr="0070434B">
        <w:rPr>
          <w:i/>
          <w:iCs/>
        </w:rPr>
        <w:t>7</w:t>
      </w:r>
      <w:r w:rsidR="0070434B" w:rsidRPr="0070434B">
        <w:t>)</w:t>
      </w:r>
      <w:r w:rsidR="00091944" w:rsidRPr="00BD3136">
        <w:fldChar w:fldCharType="end"/>
      </w:r>
      <w:r w:rsidR="00EC356F" w:rsidRPr="00BD3136">
        <w:t>, tidal amplification and salinity intrusion</w:t>
      </w:r>
      <w:r w:rsidR="009030E0" w:rsidRPr="00BD3136">
        <w:t xml:space="preserve"> </w:t>
      </w:r>
      <w:r w:rsidR="009030E0" w:rsidRPr="00BD3136">
        <w:fldChar w:fldCharType="begin"/>
      </w:r>
      <w:r w:rsidR="0070434B">
        <w:instrText xml:space="preserve"> ADDIN ZOTERO_ITEM CSL_CITATION {"citationID":"5NsM5BlX","properties":{"formattedCitation":"({\\i{}8})","plainCitation":"(8)","noteIndex":0},"citationItems":[{"id":5756,"uris":["http://zotero.org/users/1975400/items/2K6S94X5"],"uri":["http://zotero.org/users/1975400/items/2K6S94X5"],"itemData":{"id":5756,"type":"article-journal","abstract":"Natural resources of the Mekong River are essential to livelihood of tens of millions of people. Previous studies highlighted that upstream hydro-infrastructure developments impact flow regime, sediment and nutrient transport, bed and bank stability, fish productivity, biodiversity and biology of the basin. Here, we show that tidal amplification and saline water intrusion in the Mekong Delta develop with alarming paces. While offshore M2 tidal amplitude increases by 1.2–2 mm yr−1 due to sea level rise, tidal amplitude within the delta is increasing by 2 cm yr−1 and salinity in the channels is increasing by 0.2–0.5 PSU yr−1. We relate these changes to 2–3 m bed level incisions in response to sediment starvation, caused by reduced upstream sediment supply and downstream sand mining, which seems to be four times more than previous estimates. The observed trends cannot be explained by deeper channels due to relative sea level rise; while climate change poses grave natural hazards in the coming decades, anthropogenic forces drive short-term trends that already outstrip climate change effects. Considering the detrimental trends identified, it is imperative that the Mekong basin governments converge to effective transboundary management of the natural resources, before irreversible damage is made to the Mekong and its population.","container-title":"Scientific Reports","DOI":"10.1038/s41598-019-55018-9","ISSN":"2045-2322","issue":"1","language":"en","note":"number: 1\npublisher: Nature Publishing Group","page":"18746","source":"www-nature-com.stanford.idm.oclc.org","title":"Tidal amplification and salt intrusion in the Mekong Delta driven by anthropogenic sediment starvation","volume":"9","author":[{"family":"Eslami","given":"Sepehr"},{"family":"Hoekstra","given":"Piet"},{"family":"Nguyen Trung","given":"Nam"},{"family":"Ahmed Kantoush","given":"Sameh"},{"family":"Van Binh","given":"Doan"},{"family":"Duc Dung","given":"Do"},{"family":"Tran Quang","given":"Tho"},{"family":"Vegt","given":"Maarten","non-dropping-particle":"van der"}],"issued":{"date-parts":[["2019",12,10]]}}}],"schema":"https://github.com/citation-style-language/schema/raw/master/csl-citation.json"} </w:instrText>
      </w:r>
      <w:r w:rsidR="009030E0" w:rsidRPr="00BD3136">
        <w:fldChar w:fldCharType="separate"/>
      </w:r>
      <w:r w:rsidR="0070434B" w:rsidRPr="0070434B">
        <w:t>(</w:t>
      </w:r>
      <w:r w:rsidR="0070434B" w:rsidRPr="0070434B">
        <w:rPr>
          <w:i/>
          <w:iCs/>
        </w:rPr>
        <w:t>8</w:t>
      </w:r>
      <w:r w:rsidR="0070434B" w:rsidRPr="0070434B">
        <w:t>)</w:t>
      </w:r>
      <w:r w:rsidR="009030E0" w:rsidRPr="00BD3136">
        <w:fldChar w:fldCharType="end"/>
      </w:r>
      <w:r w:rsidR="00720DBD" w:rsidRPr="00BD3136">
        <w:t>.</w:t>
      </w:r>
      <w:r w:rsidR="00720DBD">
        <w:t xml:space="preserve"> </w:t>
      </w:r>
    </w:p>
    <w:p w14:paraId="2F14C727" w14:textId="77777777" w:rsidR="003A6C5A" w:rsidRDefault="003A6C5A" w:rsidP="00976C49"/>
    <w:p w14:paraId="21152864" w14:textId="68250AC7" w:rsidR="00EF28F8" w:rsidRDefault="009E56E1">
      <w:r>
        <w:t>While</w:t>
      </w:r>
      <w:r w:rsidR="00AD1B14">
        <w:t xml:space="preserve"> sediment supply </w:t>
      </w:r>
      <w:r w:rsidR="00981C75">
        <w:t>from the</w:t>
      </w:r>
      <w:r w:rsidR="0082124F">
        <w:t xml:space="preserve"> Mekong</w:t>
      </w:r>
      <w:r w:rsidR="00981C75">
        <w:t xml:space="preserve"> basin </w:t>
      </w:r>
      <w:r w:rsidR="00AD1B14">
        <w:t>has been depleted</w:t>
      </w:r>
      <w:r w:rsidR="002620F3" w:rsidRPr="002620F3">
        <w:t xml:space="preserve"> </w:t>
      </w:r>
      <w:r w:rsidR="002620F3">
        <w:t>dramatically</w:t>
      </w:r>
      <w:r w:rsidR="00AD1B14">
        <w:t xml:space="preserve">, </w:t>
      </w:r>
      <w:r w:rsidR="00740CA6" w:rsidRPr="00530254">
        <w:t xml:space="preserve">management </w:t>
      </w:r>
      <w:r w:rsidR="003A6C5A" w:rsidRPr="00530254">
        <w:t>actions</w:t>
      </w:r>
      <w:r w:rsidR="00C12AA9">
        <w:t xml:space="preserve"> </w:t>
      </w:r>
      <w:r w:rsidR="003A6C5A" w:rsidRPr="00530254">
        <w:t>within</w:t>
      </w:r>
      <w:r w:rsidR="00740CA6" w:rsidRPr="00530254">
        <w:t xml:space="preserve"> the </w:t>
      </w:r>
      <w:r w:rsidR="00C84142" w:rsidRPr="00530254">
        <w:t>d</w:t>
      </w:r>
      <w:r w:rsidR="00AD1B14" w:rsidRPr="00530254">
        <w:t>elta</w:t>
      </w:r>
      <w:r w:rsidR="00AD1B14">
        <w:t xml:space="preserve"> </w:t>
      </w:r>
      <w:r w:rsidR="00C12AA9">
        <w:t xml:space="preserve">such as sand mining </w:t>
      </w:r>
      <w:r>
        <w:t>further</w:t>
      </w:r>
      <w:r w:rsidR="00AD1B14">
        <w:t xml:space="preserve"> reduce</w:t>
      </w:r>
      <w:r w:rsidR="00CA30B3">
        <w:t xml:space="preserve"> sediment and</w:t>
      </w:r>
      <w:r w:rsidR="00AD1B14">
        <w:t xml:space="preserve"> the ability of the remaining sediment to </w:t>
      </w:r>
      <w:r w:rsidR="00740CA6">
        <w:t>maintain delta land.</w:t>
      </w:r>
      <w:r w:rsidR="00A5007B">
        <w:t xml:space="preserve"> </w:t>
      </w:r>
      <w:r w:rsidR="003E43FE">
        <w:t xml:space="preserve">Management of </w:t>
      </w:r>
      <w:r w:rsidR="00A5007B">
        <w:t>the delta ha</w:t>
      </w:r>
      <w:r w:rsidR="003E43FE">
        <w:t>s</w:t>
      </w:r>
      <w:r w:rsidR="00A5007B">
        <w:t xml:space="preserve"> historically focused on controlling the waters </w:t>
      </w:r>
      <w:r w:rsidR="000A5F32">
        <w:t>to enable</w:t>
      </w:r>
      <w:r w:rsidR="00A5007B">
        <w:t xml:space="preserve"> agricultural intensification</w:t>
      </w:r>
      <w:r w:rsidR="000A5F32">
        <w:t xml:space="preserve"> and flood regulation</w:t>
      </w:r>
      <w:r w:rsidR="00981C75">
        <w:t>,</w:t>
      </w:r>
      <w:r w:rsidR="000A5F32">
        <w:t xml:space="preserve"> and to prevent saline water intrusion</w:t>
      </w:r>
      <w:r w:rsidR="00A5007B">
        <w:t>.</w:t>
      </w:r>
      <w:r w:rsidR="000A5F32">
        <w:t xml:space="preserve"> While successful in this regard, </w:t>
      </w:r>
      <w:r w:rsidR="005A17E1">
        <w:t xml:space="preserve">this management approach </w:t>
      </w:r>
      <w:r w:rsidR="000A5F32">
        <w:t>has fundamentally affected the natural processes that maintain the delta</w:t>
      </w:r>
      <w:r w:rsidR="00182A0D">
        <w:t xml:space="preserve"> land itself</w:t>
      </w:r>
      <w:r w:rsidR="000A5F32">
        <w:t>.</w:t>
      </w:r>
      <w:r w:rsidR="00AD1B14">
        <w:t xml:space="preserve"> Where</w:t>
      </w:r>
      <w:r w:rsidR="00AD1B14" w:rsidRPr="00751D54">
        <w:t xml:space="preserve"> distributary channels</w:t>
      </w:r>
      <w:r w:rsidR="00CA30B3">
        <w:t xml:space="preserve"> and coastal currents</w:t>
      </w:r>
      <w:r w:rsidR="00AD1B14" w:rsidRPr="00751D54">
        <w:t xml:space="preserve"> formerly </w:t>
      </w:r>
      <w:r w:rsidR="00CA30B3">
        <w:t xml:space="preserve">distributed </w:t>
      </w:r>
      <w:r w:rsidR="00AD1B14" w:rsidRPr="00751D54">
        <w:t>sediment-laden flood flows across the delta plain</w:t>
      </w:r>
      <w:r w:rsidR="00CA30B3">
        <w:t xml:space="preserve"> and along its coastlines</w:t>
      </w:r>
      <w:r w:rsidR="00AD1B14" w:rsidRPr="00751D54">
        <w:t xml:space="preserve">, </w:t>
      </w:r>
      <w:r w:rsidR="00AE499E" w:rsidRPr="00751D54">
        <w:t>d</w:t>
      </w:r>
      <w:r w:rsidR="00AE499E">
        <w:t>i</w:t>
      </w:r>
      <w:r w:rsidR="00AE499E" w:rsidRPr="00751D54">
        <w:t xml:space="preserve">kes </w:t>
      </w:r>
      <w:r w:rsidR="00AD1B14">
        <w:t xml:space="preserve">now </w:t>
      </w:r>
      <w:r w:rsidR="00AD1B14" w:rsidRPr="00751D54">
        <w:t xml:space="preserve">restrict </w:t>
      </w:r>
      <w:r w:rsidR="00182A0D">
        <w:t>water and sediment</w:t>
      </w:r>
      <w:r w:rsidR="00AD1B14" w:rsidRPr="00751D54">
        <w:t xml:space="preserve"> to the </w:t>
      </w:r>
      <w:r w:rsidR="007C6EFF">
        <w:t xml:space="preserve">main </w:t>
      </w:r>
      <w:r w:rsidR="00AD1B14" w:rsidRPr="00751D54">
        <w:t>channels</w:t>
      </w:r>
      <w:r w:rsidR="00AD1B14">
        <w:t xml:space="preserve"> and</w:t>
      </w:r>
      <w:r w:rsidR="00AD1B14" w:rsidRPr="00751D54">
        <w:t xml:space="preserve"> depriv</w:t>
      </w:r>
      <w:r w:rsidR="00AD1B14">
        <w:t xml:space="preserve">e </w:t>
      </w:r>
      <w:r w:rsidR="00AD1B14" w:rsidRPr="00751D54">
        <w:t xml:space="preserve">the delta plain of </w:t>
      </w:r>
      <w:r w:rsidR="00AD1B14">
        <w:t>deposition</w:t>
      </w:r>
      <w:r w:rsidR="00AD1B14" w:rsidRPr="00751D54">
        <w:t xml:space="preserve"> during floods</w:t>
      </w:r>
      <w:r w:rsidR="00AD1B14" w:rsidRPr="006B26D6">
        <w:t xml:space="preserve">. </w:t>
      </w:r>
      <w:r w:rsidR="006C1A94">
        <w:t>Natural mangrove vegetation traps sediment to build up delta land, absorbs wave energy, and reduces coastal erosion.</w:t>
      </w:r>
      <w:r w:rsidR="00A97095">
        <w:t xml:space="preserve"> </w:t>
      </w:r>
      <w:r w:rsidR="006C1A94">
        <w:t>However, the Delta’s mangroves largely have been replaced by agriculture and aquaculture</w:t>
      </w:r>
      <w:r w:rsidR="003E43FE">
        <w:t>,</w:t>
      </w:r>
      <w:r w:rsidR="00353455">
        <w:t xml:space="preserve"> and</w:t>
      </w:r>
      <w:r w:rsidR="006C1A94">
        <w:t xml:space="preserve"> the remaining mangroves are now starved of </w:t>
      </w:r>
      <w:r w:rsidR="00353455">
        <w:t xml:space="preserve">sediment to trap </w:t>
      </w:r>
      <w:r w:rsidR="00091944">
        <w:fldChar w:fldCharType="begin"/>
      </w:r>
      <w:r w:rsidR="0070434B">
        <w:instrText xml:space="preserve"> ADDIN ZOTERO_ITEM CSL_CITATION {"citationID":"SAcYt3ex","properties":{"formattedCitation":"({\\i{}9})","plainCitation":"(9)","noteIndex":0},"citationItems":[{"id":4656,"uris":["http://zotero.org/users/1975400/items/LUE2CUI4"],"uri":["http://zotero.org/users/1975400/items/LUE2CUI4"],"itemData":{"id":4656,"type":"article-journal","abstract":"The question of the rampant erosion of the shorelines rimming the Mekong River delta has assumed increasing importance over the last few years. Among issues pertinent to this question is how it is related to mangroves. Using high-resolution satellite images, we compared the width of the mangrove belt fringing the shoreline in 2012 to shoreline change (advance, retreat) between 2003 and 2012 for 3687 cross-shore transects, spaced 100 m apart, and thus covering nearly 370 km of delta shoreline bearing mangroves. The results show no significant relationships. We infer from this that, once erosion sets in following sustained deficient mud supply to the coast, the rate of shoreline change is independent of the width of the mangrove belt. Numerous studies have shown that: (1) mangroves promote coastal accretion where fine-grained sediment supply is adequate, (2) a large and healthy belt of fringing mangroves can efficiently protect a shoreline by inducing more efficient dissipation of wave energy than a narrower fringe, and (3) mangrove removal contributes to the aggravation of ongoing shoreline erosion. We fully concur, but draw attention to the fact that mangroves cannot accomplish their land-building and coastal protection roles under conditions of a failing sediment supply and prevailing erosion. Ignoring these overarching conditions implies that high expectations from mangroves in protecting and/or stabilizing the Mekong delta shoreline, and eroding shorelines elsewhere, will meet with disappointment. Among these false expectations are: (1) a large and healthy mangrove fringe is sufficient to stabilize the (eroding) shoreline, (2) a reduction in the width of a large mangrove fringe to the benefit of other activities, such as shrimp-farming, is not deleterious to the shoreline position, and (3) the effects of human-induced reductions in sediment supply to the coast can be offset by a large belt of fringing mangroves.","container-title":"Estuarine, Coastal and Shelf Science","DOI":"10.1016/j.ecss.2019.106263","ISSN":"0272-7714","journalAbbreviation":"Estuarine, Coastal and Shelf Science","page":"106263","source":"ScienceDirect","title":"Mangroves and shoreline erosion in the Mekong River delta, Viet Nam","volume":"226","author":[{"family":"Besset","given":"Manon"},{"family":"Gratiot","given":"Nicolas"},{"family":"Anthony","given":"Edward J."},{"family":"Bouchette","given":"Frédéric"},{"family":"Goichot","given":"Marc"},{"family":"Marchesiello","given":"Patrick"}],"issued":{"date-parts":[["2019",10,15]]}}}],"schema":"https://github.com/citation-style-language/schema/raw/master/csl-citation.json"} </w:instrText>
      </w:r>
      <w:r w:rsidR="00091944">
        <w:fldChar w:fldCharType="separate"/>
      </w:r>
      <w:r w:rsidR="0070434B" w:rsidRPr="0070434B">
        <w:t>(</w:t>
      </w:r>
      <w:r w:rsidR="0070434B" w:rsidRPr="0070434B">
        <w:rPr>
          <w:i/>
          <w:iCs/>
        </w:rPr>
        <w:t>9</w:t>
      </w:r>
      <w:r w:rsidR="0070434B" w:rsidRPr="0070434B">
        <w:t>)</w:t>
      </w:r>
      <w:r w:rsidR="00091944">
        <w:fldChar w:fldCharType="end"/>
      </w:r>
      <w:r w:rsidR="006C1A94">
        <w:t xml:space="preserve">. </w:t>
      </w:r>
    </w:p>
    <w:p w14:paraId="29D863E3" w14:textId="3CE04A21" w:rsidR="009E56E1" w:rsidRDefault="009E56E1" w:rsidP="00AD1B14"/>
    <w:p w14:paraId="64B55060" w14:textId="701F8FF5" w:rsidR="00957FE9" w:rsidRDefault="009E56E1" w:rsidP="000A4BE3">
      <w:pPr>
        <w:widowControl w:val="0"/>
        <w:autoSpaceDE w:val="0"/>
        <w:autoSpaceDN w:val="0"/>
        <w:adjustRightInd w:val="0"/>
      </w:pPr>
      <w:r>
        <w:t xml:space="preserve">All deltas </w:t>
      </w:r>
      <w:r w:rsidR="003A6C5A">
        <w:t xml:space="preserve">naturally </w:t>
      </w:r>
      <w:r>
        <w:t>subside, as recently deposited sediment compact</w:t>
      </w:r>
      <w:r w:rsidR="003A6C5A">
        <w:t>s</w:t>
      </w:r>
      <w:r>
        <w:t xml:space="preserve">. For the Mekong Delta, this </w:t>
      </w:r>
      <w:r w:rsidR="00C84142" w:rsidRPr="00575A11">
        <w:t>natural</w:t>
      </w:r>
      <w:r w:rsidR="008A3ADF">
        <w:t xml:space="preserve"> </w:t>
      </w:r>
      <w:r>
        <w:t xml:space="preserve">subsidence is </w:t>
      </w:r>
      <w:r w:rsidR="00740CA6" w:rsidRPr="00751D54">
        <w:t>exacerbated by the effects of groundwater pumping</w:t>
      </w:r>
      <w:r w:rsidR="00C5549B">
        <w:t xml:space="preserve"> </w:t>
      </w:r>
      <w:r w:rsidR="001575D4">
        <w:t xml:space="preserve">for </w:t>
      </w:r>
      <w:r w:rsidR="00B36C58">
        <w:t>agriculture</w:t>
      </w:r>
      <w:r w:rsidR="001575D4">
        <w:t xml:space="preserve"> and urban use</w:t>
      </w:r>
      <w:r w:rsidR="00B2670C">
        <w:t>,</w:t>
      </w:r>
      <w:r w:rsidR="001575D4">
        <w:t xml:space="preserve"> </w:t>
      </w:r>
      <w:r w:rsidR="00740CA6" w:rsidRPr="00751D54">
        <w:t>presently the single greatest driver of subsidence in the Delta</w:t>
      </w:r>
      <w:r w:rsidR="00091944">
        <w:t xml:space="preserve"> </w:t>
      </w:r>
      <w:r w:rsidR="00091944">
        <w:fldChar w:fldCharType="begin"/>
      </w:r>
      <w:r w:rsidR="0070434B">
        <w:instrText xml:space="preserve"> ADDIN ZOTERO_ITEM CSL_CITATION {"citationID":"KojVZgKf","properties":{"formattedCitation":"({\\i{}3})","plainCitation":"(3)","noteIndex":0},"citationItems":[{"id":6266,"uris":["http://zotero.org/users/1975400/items/56Q4YVLJ"],"uri":["http://zotero.org/users/1975400/items/56Q4YVLJ"],"itemData":{"id":6266,"type":"article-journal","abstract":"The low-lying and populous Vietnamese Mekong delta is rapidly losing elevation due to accelerating subsidence rates, primarily caused by increasing groundwater extraction. This strongly increases the delta’s vulnerability to flooding, salinization, coastal erosion and, ultimately, threatens its nearly 18 million inhabitants with permanent inundation. We present projections of extraction-induced subsidence and consequent delta elevation loss for this century following six mitigation and non-mitigation extraction scenarios using a 3D hydrogeological model with a coupled geotechnical module. Our results reveal the long-term physically response of the aquifer system following different groundwater extraction pathways and show the potential of the hydrogeological system to recover. When groundwater extraction is allowed to increase continuously, as it did over the past decades, extraction-induced subsidence has the potential to drown the Mekong delta single-handedly before the end of the century. Our quantifications also disclose the mitigation potential to reduce subsidence by limiting groundwater exploitation and hereby limiting future elevation loss. However, the window to mitigate is rapidly closing as large parts of the lowly elevated delta plain may already fall below sea level in the coming decades. Failure to mitigate groundwater extraction-induced subsidence may result in mass displacement of millions of people and could severely affect regional food security as the food producing capacity of the delta may collapse.","container-title":"Environmental Research Communications","DOI":"10.1088/2515-7620/ab5e21","ISSN":"2515-7620","issue":"1","journalAbbreviation":"Environ. Res. Commun.","language":"en","note":"publisher: IOP Publishing","page":"011005","source":"Institute of Physics","title":"Groundwater extraction may drown mega-delta: projections of extraction-induced subsidence and elevation of the Mekong delta for the 21st century","title-short":"Groundwater extraction may drown mega-delta","volume":"2","author":[{"family":"Minderhoud","given":"P. S. J."},{"family":"Middelkoop","given":"H."},{"family":"Erkens","given":"G."},{"family":"Stouthamer","given":"E."}],"issued":{"date-parts":[["2020",1]]}}}],"schema":"https://github.com/citation-style-language/schema/raw/master/csl-citation.json"} </w:instrText>
      </w:r>
      <w:r w:rsidR="00091944">
        <w:fldChar w:fldCharType="separate"/>
      </w:r>
      <w:r w:rsidR="0070434B" w:rsidRPr="0070434B">
        <w:t>(</w:t>
      </w:r>
      <w:r w:rsidR="0070434B" w:rsidRPr="0070434B">
        <w:rPr>
          <w:i/>
          <w:iCs/>
        </w:rPr>
        <w:t>3</w:t>
      </w:r>
      <w:r w:rsidR="0070434B" w:rsidRPr="0070434B">
        <w:t>)</w:t>
      </w:r>
      <w:r w:rsidR="00091944">
        <w:fldChar w:fldCharType="end"/>
      </w:r>
      <w:r>
        <w:t>.</w:t>
      </w:r>
      <w:r w:rsidR="00A97095">
        <w:t xml:space="preserve"> </w:t>
      </w:r>
      <w:r w:rsidR="006378AC" w:rsidRPr="00751D54">
        <w:t xml:space="preserve">By 2100, </w:t>
      </w:r>
      <w:r w:rsidR="00EF28F8">
        <w:t>a</w:t>
      </w:r>
      <w:r w:rsidR="00EF28F8" w:rsidRPr="00751D54">
        <w:t xml:space="preserve"> </w:t>
      </w:r>
      <w:r w:rsidR="006378AC" w:rsidRPr="00751D54">
        <w:t xml:space="preserve">‘business as usual’ scenario </w:t>
      </w:r>
      <w:r w:rsidR="00ED1FF5" w:rsidRPr="00751D54">
        <w:t>result</w:t>
      </w:r>
      <w:r w:rsidR="00E77464" w:rsidRPr="00751D54">
        <w:t>s</w:t>
      </w:r>
      <w:r w:rsidR="00ED1FF5" w:rsidRPr="00751D54">
        <w:t xml:space="preserve"> in </w:t>
      </w:r>
      <w:r w:rsidR="00ED1FF5" w:rsidRPr="00575A11">
        <w:t>average relative subsidence of</w:t>
      </w:r>
      <w:r w:rsidR="00A32820" w:rsidRPr="00575A11">
        <w:t xml:space="preserve"> up to</w:t>
      </w:r>
      <w:r w:rsidR="00ED1FF5" w:rsidRPr="00575A11">
        <w:t xml:space="preserve"> </w:t>
      </w:r>
      <w:r w:rsidR="00A32820" w:rsidRPr="00575A11">
        <w:t>1.8</w:t>
      </w:r>
      <w:r w:rsidR="0067154C">
        <w:t xml:space="preserve"> </w:t>
      </w:r>
      <w:r w:rsidR="00ED1FF5" w:rsidRPr="00575A11">
        <w:t>m,</w:t>
      </w:r>
      <w:r w:rsidR="00ED1FF5" w:rsidRPr="00751D54">
        <w:t xml:space="preserve"> </w:t>
      </w:r>
      <w:r w:rsidR="006378AC" w:rsidRPr="00751D54">
        <w:t xml:space="preserve">while a </w:t>
      </w:r>
      <w:r w:rsidR="004D21F9" w:rsidRPr="00751D54">
        <w:t>best-case</w:t>
      </w:r>
      <w:r w:rsidR="00A32820" w:rsidRPr="00751D54">
        <w:t xml:space="preserve"> </w:t>
      </w:r>
      <w:r w:rsidR="006378AC" w:rsidRPr="00751D54">
        <w:t>scenario</w:t>
      </w:r>
      <w:r w:rsidR="00B36C58">
        <w:t xml:space="preserve"> (</w:t>
      </w:r>
      <w:r w:rsidR="0000234B" w:rsidRPr="00751D54">
        <w:t xml:space="preserve">strongly </w:t>
      </w:r>
      <w:r w:rsidR="006378AC" w:rsidRPr="00751D54">
        <w:t>curtailed pumping, mining, and dam construction</w:t>
      </w:r>
      <w:r w:rsidR="00B36C58">
        <w:t>)</w:t>
      </w:r>
      <w:r w:rsidR="006378AC" w:rsidRPr="00751D54">
        <w:t xml:space="preserve"> result</w:t>
      </w:r>
      <w:r w:rsidR="00F55041">
        <w:t>s</w:t>
      </w:r>
      <w:r w:rsidR="006378AC" w:rsidRPr="00751D54">
        <w:t xml:space="preserve"> in </w:t>
      </w:r>
      <w:r w:rsidR="00ED1FF5" w:rsidRPr="00751D54">
        <w:t xml:space="preserve">subsidence of </w:t>
      </w:r>
      <w:r w:rsidR="00A32820" w:rsidRPr="00751D54">
        <w:t>0.15</w:t>
      </w:r>
      <w:r w:rsidR="0067154C">
        <w:t xml:space="preserve"> </w:t>
      </w:r>
      <w:r w:rsidR="00ED1FF5" w:rsidRPr="00751D54">
        <w:t>m</w:t>
      </w:r>
      <w:r w:rsidR="009830C1">
        <w:t xml:space="preserve">. </w:t>
      </w:r>
      <w:r w:rsidR="00283D8D">
        <w:t>The</w:t>
      </w:r>
      <w:r w:rsidR="00A81CEE">
        <w:t xml:space="preserve"> Mekong Delta is so flat and low-lying</w:t>
      </w:r>
      <w:r w:rsidR="00C12AA9">
        <w:t xml:space="preserve"> that </w:t>
      </w:r>
      <w:r w:rsidR="006918EE">
        <w:t xml:space="preserve">subsidence of 1.8m </w:t>
      </w:r>
      <w:r w:rsidR="009830C1">
        <w:t xml:space="preserve">under the ‘business as usual’ case </w:t>
      </w:r>
      <w:r w:rsidR="006918EE">
        <w:t xml:space="preserve">would result in </w:t>
      </w:r>
      <w:r w:rsidR="009830C1">
        <w:t xml:space="preserve">submergence </w:t>
      </w:r>
      <w:r w:rsidR="006918EE">
        <w:t xml:space="preserve">of over 90% </w:t>
      </w:r>
      <w:r w:rsidR="00BD30D3">
        <w:t>of the delta</w:t>
      </w:r>
      <w:r w:rsidR="006918EE">
        <w:t>, while the best</w:t>
      </w:r>
      <w:r w:rsidR="00EE64E6">
        <w:t>-</w:t>
      </w:r>
      <w:r w:rsidR="006918EE">
        <w:t>case scenario of 0.15</w:t>
      </w:r>
      <w:r w:rsidR="0067154C">
        <w:t xml:space="preserve"> </w:t>
      </w:r>
      <w:r w:rsidR="006918EE">
        <w:t xml:space="preserve">m subsidence inundates about 10% of the </w:t>
      </w:r>
      <w:r w:rsidR="00A81CEE">
        <w:t>delta</w:t>
      </w:r>
      <w:r w:rsidR="006918EE">
        <w:t xml:space="preserve">. </w:t>
      </w:r>
    </w:p>
    <w:p w14:paraId="4069EBBE" w14:textId="3A85BD1A" w:rsidR="00182A0D" w:rsidRDefault="00182A0D" w:rsidP="000A4BE3">
      <w:pPr>
        <w:widowControl w:val="0"/>
        <w:autoSpaceDE w:val="0"/>
        <w:autoSpaceDN w:val="0"/>
        <w:adjustRightInd w:val="0"/>
      </w:pPr>
    </w:p>
    <w:p w14:paraId="37B4698F" w14:textId="4C1CEAE7" w:rsidR="00182A0D" w:rsidRDefault="00182A0D" w:rsidP="00FC2E2F">
      <w:r>
        <w:t xml:space="preserve">Many of the above-mentioned drivers create vicious circles. For example, as salt water further intrudes into the delta, farmers may turn to greater use of groundwater, or migrate to urban centers that are already foci of subsidence. As subsidence accelerates, building </w:t>
      </w:r>
      <w:r w:rsidRPr="00575A11">
        <w:t>dikes</w:t>
      </w:r>
      <w:r>
        <w:t xml:space="preserve"> that lock out floods becomes more attractive to local interests, but these </w:t>
      </w:r>
      <w:r w:rsidRPr="00575A11">
        <w:t>dikes</w:t>
      </w:r>
      <w:r>
        <w:t xml:space="preserve"> in turn prevent sediment from spreading over the delta surface and building elevation. </w:t>
      </w:r>
    </w:p>
    <w:p w14:paraId="2B208023" w14:textId="05E29EAC" w:rsidR="00D21287" w:rsidRPr="005D6090" w:rsidRDefault="005F1EED" w:rsidP="00536D16">
      <w:pPr>
        <w:pStyle w:val="Heading3"/>
        <w:rPr>
          <w:strike/>
        </w:rPr>
      </w:pPr>
      <w:bookmarkStart w:id="1" w:name="_Toc95335445"/>
      <w:r>
        <w:t>Causal solutions for a s</w:t>
      </w:r>
      <w:r w:rsidR="004A76B5">
        <w:t>ubsid</w:t>
      </w:r>
      <w:r>
        <w:t>ing landform</w:t>
      </w:r>
      <w:bookmarkEnd w:id="1"/>
      <w:r w:rsidR="00720DBD">
        <w:t xml:space="preserve"> </w:t>
      </w:r>
    </w:p>
    <w:p w14:paraId="006142A1" w14:textId="001716A0" w:rsidR="001243C2" w:rsidRDefault="74814C79" w:rsidP="004A13C5">
      <w:r>
        <w:t>The very existence of the Mekong Delta as we know it today is due to massive human-made modifications –canals, dikes, saltwater dams and other hydraulic interventions– that ha</w:t>
      </w:r>
      <w:r w:rsidR="00B57CCE">
        <w:t>ve</w:t>
      </w:r>
      <w:r>
        <w:t xml:space="preserve"> led to major ecological and economic transformations </w:t>
      </w:r>
      <w:r w:rsidR="00911372">
        <w:fldChar w:fldCharType="begin"/>
      </w:r>
      <w:r w:rsidR="003E578E">
        <w:instrText xml:space="preserve"> ADDIN ZOTERO_ITEM CSL_CITATION {"citationID":"fUKmqANO","properties":{"formattedCitation":"({\\i{}10}, {\\i{}11})","plainCitation":"(10, 11)","noteIndex":0},"citationItems":[{"id":7799,"uris":["http://zotero.org/users/1975400/items/TT643IBM"],"uri":["http://zotero.org/users/1975400/items/TT643IBM"],"itemData":{"id":7799,"type":"article-journal","abstract":"This paper investigates the adaptation processes with reference to the narrative analysis of human–environment interactions in the Vietnamese Mekong Delta. From the political ecology perspective, it ...","container-title":"Asia Pacific Viewpoint","DOI":"10.1111/apv.12241","ISSN":"1467-8373","issue":"1","language":"en","note":"publisher: John Wiley &amp; Sons, Ltd","page":"162-182","source":"onlinelibrary-wiley-com.stanford.idm.oclc.org","title":"From free to forced adaptation: A political ecology of the ‘state-society-flood’ nexus in the Vietnamese Mekong Delta","title-short":"From free to forced adaptation","volume":"61","author":[{"family":"Tran","given":"Thong Anh"}],"issued":{"date-parts":[["2020",4,1]]}}},{"id":7812,"uris":["http://zotero.org/users/1975400/items/BJBVBIXX"],"uri":["http://zotero.org/users/1975400/items/BJBVBIXX"],"itemData":{"id":7812,"type":"thesis","event-place":"Helsinki, Finland","genre":"Doctoral Dissertation","note":"publisher: Helsingin yliopisto","publisher":"University of Helsinki","publisher-place":"Helsinki, Finland","source":"Google Scholar","title":"Fixing the fluid: Making resources and ordering hydrosocial relations in the Mekong region","title-short":"Fixing the fluid","author":[{"family":"Käkönen","given":"Mira"}],"issued":{"date-parts":[["2020"]]}}}],"schema":"https://github.com/citation-style-language/schema/raw/master/csl-citation.json"} </w:instrText>
      </w:r>
      <w:r w:rsidR="00911372">
        <w:fldChar w:fldCharType="separate"/>
      </w:r>
      <w:r w:rsidR="00911372" w:rsidRPr="00911372">
        <w:t>(</w:t>
      </w:r>
      <w:r w:rsidR="00911372" w:rsidRPr="00911372">
        <w:rPr>
          <w:i/>
          <w:iCs/>
        </w:rPr>
        <w:t>10</w:t>
      </w:r>
      <w:r w:rsidR="00911372" w:rsidRPr="00911372">
        <w:t xml:space="preserve">, </w:t>
      </w:r>
      <w:r w:rsidR="00911372" w:rsidRPr="00911372">
        <w:rPr>
          <w:i/>
          <w:iCs/>
        </w:rPr>
        <w:t>11</w:t>
      </w:r>
      <w:r w:rsidR="00911372" w:rsidRPr="00911372">
        <w:t>)</w:t>
      </w:r>
      <w:r w:rsidR="00911372">
        <w:fldChar w:fldCharType="end"/>
      </w:r>
      <w:r>
        <w:t>. While the colonial-era interventions of the 19</w:t>
      </w:r>
      <w:r w:rsidRPr="74814C79">
        <w:rPr>
          <w:vertAlign w:val="superscript"/>
        </w:rPr>
        <w:t>th</w:t>
      </w:r>
      <w:r>
        <w:t xml:space="preserve"> Century and early 20</w:t>
      </w:r>
      <w:r w:rsidRPr="74814C79">
        <w:rPr>
          <w:vertAlign w:val="superscript"/>
        </w:rPr>
        <w:t>th</w:t>
      </w:r>
      <w:r>
        <w:t xml:space="preserve"> Century aimed to open up the delta for the flow of water, goods and people, later interventions have focused on large scale infrastructure aiming to control the delta’s water and lands </w:t>
      </w:r>
      <w:r w:rsidR="28F3BA9F">
        <w:fldChar w:fldCharType="begin"/>
      </w:r>
      <w:r w:rsidR="00EE64E6">
        <w:instrText xml:space="preserve"> ADDIN ZOTERO_ITEM CSL_CITATION {"citationID":"cNMSmD3y","properties":{"formattedCitation":"({\\i{}12})","plainCitation":"(12)","noteIndex":0},"citationItems":[{"id":"F0BhSg7K/q6RMF8No","uris":["http://zotero.org/users/6720262/items/P7II9YU6"],"uri":["http://zotero.org/users/6720262/items/P7II9YU6"],"itemData":{"id":661,"type":"chapter","container-title":"Contested Waterscapes in the Mekong Region: Hydropower, Livelihoods and Governance","publisher":"Earthscan","title":"The Delta Machine: Water Management in the Vietnamese Mekong Delta in Historical and Contemporary Perspectives","author":[{"family":"Biggs","given":"David"},{"family":"Miller","given":"Fiona"},{"family":"Hoanh","given":"Chu Thai"},{"family":"Molle","given":"François"}],"issued":{"date-parts":[["2009"]]}}}],"schema":"https://github.com/citation-style-language/schema/raw/master/csl-citation.json"} </w:instrText>
      </w:r>
      <w:r w:rsidR="28F3BA9F">
        <w:fldChar w:fldCharType="separate"/>
      </w:r>
      <w:r w:rsidR="00B11042" w:rsidRPr="00B11042">
        <w:t>(</w:t>
      </w:r>
      <w:r w:rsidR="00B11042" w:rsidRPr="00B11042">
        <w:rPr>
          <w:i/>
          <w:iCs/>
        </w:rPr>
        <w:t>12</w:t>
      </w:r>
      <w:r w:rsidR="00B11042" w:rsidRPr="00B11042">
        <w:t>)</w:t>
      </w:r>
      <w:r w:rsidR="28F3BA9F">
        <w:fldChar w:fldCharType="end"/>
      </w:r>
      <w:r>
        <w:t xml:space="preserve">. Since the Vietnamese reunification in 1975, the delta has seen a number of studies and master plans, most of them with international support, that promote centralized, integrated planning with focus on socio-economic development </w:t>
      </w:r>
      <w:r w:rsidR="28F3BA9F">
        <w:fldChar w:fldCharType="begin"/>
      </w:r>
      <w:r w:rsidR="00EE64E6">
        <w:instrText xml:space="preserve"> ADDIN ZOTERO_ITEM CSL_CITATION {"citationID":"xbCvST4L","properties":{"formattedCitation":"({\\i{}13})","plainCitation":"(13)","noteIndex":0},"citationItems":[{"id":"F0BhSg7K/FfrV5cPo","uris":["http://zotero.org/users/6720262/items/9X55JTNR"],"uri":["http://zotero.org/users/6720262/items/9X55JTNR"],"itemData":{"id":659,"type":"article-journal","container-title":"Journal of Environmental Policy &amp; Planning","DOI":"10.1080/1523908X.2017.1348287","ISSN":"1523-908X","issue":"3","journalAbbreviation":"null","note":"publisher: Routledge","page":"267-281","title":"The tenth dragon: controlled seasonal flooding in long-term policy plans for the Vietnamese Mekong delta","volume":"20","author":[{"family":"Staveren","given":"Martijn F.","non-dropping-particle":"van"},{"family":"Tatenhove","given":"Jan P. M.","non-dropping-particle":"van"},{"family":"Warner","given":"Jeroen F."}],"issued":{"date-parts":[["2018",5,4]]}}}],"schema":"https://github.com/citation-style-language/schema/raw/master/csl-citation.json"} </w:instrText>
      </w:r>
      <w:r w:rsidR="28F3BA9F">
        <w:fldChar w:fldCharType="separate"/>
      </w:r>
      <w:r w:rsidR="00B11042" w:rsidRPr="00B11042">
        <w:t>(</w:t>
      </w:r>
      <w:r w:rsidR="00B11042" w:rsidRPr="00B11042">
        <w:rPr>
          <w:i/>
          <w:iCs/>
        </w:rPr>
        <w:t>13</w:t>
      </w:r>
      <w:r w:rsidR="00B11042" w:rsidRPr="00B11042">
        <w:t>)</w:t>
      </w:r>
      <w:r w:rsidR="28F3BA9F">
        <w:fldChar w:fldCharType="end"/>
      </w:r>
      <w:r>
        <w:t xml:space="preserve">. While highly successful in turning the delta into an agricultural and economic powerhouse, this has increasingly locked the delta’s management into an unsustainable path with weak adaptation capacity, siloed governance, and lack of coordination with actions in upstream countries. </w:t>
      </w:r>
    </w:p>
    <w:p w14:paraId="47D5C493" w14:textId="77777777" w:rsidR="001243C2" w:rsidRDefault="001243C2" w:rsidP="004A13C5"/>
    <w:p w14:paraId="51B43DE2" w14:textId="391B2E30" w:rsidR="00BD040C" w:rsidRDefault="28F3BA9F" w:rsidP="00E45C4F">
      <w:r>
        <w:lastRenderedPageBreak/>
        <w:t>We argue that the focus on socio-economic development and strong belief in human mastery over nature also explain</w:t>
      </w:r>
      <w:r w:rsidR="0082124F">
        <w:t>s</w:t>
      </w:r>
      <w:r>
        <w:t xml:space="preserve"> why current policies fail to properly acknowledge that most of the delta might fall below mean sea level within a human lifetime. The key Viet</w:t>
      </w:r>
      <w:r w:rsidR="00772D97">
        <w:t>n</w:t>
      </w:r>
      <w:r>
        <w:t xml:space="preserve">am government document guiding the delta’s development, Resolution 120 (enacted in 2017) takes steps in the right direction, emphasizing the need for more nature-based development and encouraging integrated planning across different sectors and spatial scales, and aiming to “develop an integrated plan for sustainable and climate resilience development of the Mekong Delta” </w:t>
      </w:r>
      <w:r w:rsidR="00F43861">
        <w:fldChar w:fldCharType="begin"/>
      </w:r>
      <w:r w:rsidR="00EE64E6">
        <w:instrText xml:space="preserve"> ADDIN ZOTERO_ITEM CSL_CITATION {"citationID":"z8SJIZqJ","properties":{"formattedCitation":"({\\i{}14})","plainCitation":"(14)","noteIndex":0},"citationItems":[{"id":"F0BhSg7K/Vbs7HUHs","uris":["http://zotero.org/users/6720262/items/ZN3FWZ8P"],"uri":["http://zotero.org/users/6720262/items/ZN3FWZ8P"],"itemData":{"id":665,"type":"legislation","title":"Government Resolution 120/NQ-CP on Sustainable and Climate-Resilient Development of the Mekong Delta og Viet Nam","author":[{"family":"Government of Viet Nam","given":""}],"issued":{"date-parts":[["2017",11,17]]}}}],"schema":"https://github.com/citation-style-language/schema/raw/master/csl-citation.json"} </w:instrText>
      </w:r>
      <w:r w:rsidR="00F43861">
        <w:fldChar w:fldCharType="separate"/>
      </w:r>
      <w:r w:rsidR="00B11042" w:rsidRPr="00B11042">
        <w:t>(</w:t>
      </w:r>
      <w:r w:rsidR="00B11042" w:rsidRPr="00B11042">
        <w:rPr>
          <w:i/>
          <w:iCs/>
        </w:rPr>
        <w:t>14</w:t>
      </w:r>
      <w:r w:rsidR="00B11042" w:rsidRPr="00B11042">
        <w:t>)</w:t>
      </w:r>
      <w:r w:rsidR="00F43861">
        <w:fldChar w:fldCharType="end"/>
      </w:r>
      <w:r>
        <w:t xml:space="preserve">. Yet, the Resolution and the earlier “Mekong Delta Plan” </w:t>
      </w:r>
      <w:r w:rsidR="00F43861">
        <w:fldChar w:fldCharType="begin"/>
      </w:r>
      <w:r w:rsidR="00B11042">
        <w:instrText xml:space="preserve"> ADDIN ZOTERO_ITEM CSL_CITATION {"citationID":"Xk4x0Wn4","properties":{"formattedCitation":"({\\i{}15})","plainCitation":"(15)","noteIndex":0},"citationItems":[{"id":6268,"uris":["http://zotero.org/users/1975400/items/AMTDHEUD"],"uri":["http://zotero.org/users/1975400/items/AMTDHEUD"],"itemData":{"id":6268,"type":"report","event-place":"Hanoi, Vietnam","page":"126","publisher":"Ministry of Natural Resources and Environmen","publisher-place":"Hanoi, Vietnam","title":"Mekong Delta Plan","author":[{"family":"MoNRE","given":""}],"issued":{"date-parts":[["2013"]]}}}],"schema":"https://github.com/citation-style-language/schema/raw/master/csl-citation.json"} </w:instrText>
      </w:r>
      <w:r w:rsidR="00F43861">
        <w:fldChar w:fldCharType="separate"/>
      </w:r>
      <w:r w:rsidR="00B11042" w:rsidRPr="00B11042">
        <w:t>(</w:t>
      </w:r>
      <w:r w:rsidR="00B11042" w:rsidRPr="00B11042">
        <w:rPr>
          <w:i/>
          <w:iCs/>
        </w:rPr>
        <w:t>15</w:t>
      </w:r>
      <w:r w:rsidR="00B11042" w:rsidRPr="00B11042">
        <w:t>)</w:t>
      </w:r>
      <w:r w:rsidR="00F43861">
        <w:fldChar w:fldCharType="end"/>
      </w:r>
      <w:r>
        <w:t xml:space="preserve"> treat flooding, salinity, and coastal erosion more as isolated engineering challenges, proposing solutions on local scales, rather</w:t>
      </w:r>
      <w:r w:rsidR="00166C5B">
        <w:t xml:space="preserve"> than</w:t>
      </w:r>
      <w:r>
        <w:t xml:space="preserve"> explicitly seeing them as symptoms of underlying causes spanning multiple scales. While the Plan reports ongoing subsidence rates, the existential threat to the delta is not addressed by the limited proposals to minimize subsidence, re-establish sediment connectivity, and increase delta resilience. This gap in management is also not overcome in more recent plans, such as “The Mekong Delta Integrated Regional Plan” proposed to the Vietnamese Ministry of Planning and Investment in July 2020 or the government report reviewing the first three years of the implementation of Resolution 120 </w:t>
      </w:r>
      <w:r w:rsidR="00F43861">
        <w:fldChar w:fldCharType="begin"/>
      </w:r>
      <w:r w:rsidR="00EE64E6">
        <w:instrText xml:space="preserve"> ADDIN ZOTERO_ITEM CSL_CITATION {"citationID":"HaJoktZi","properties":{"formattedCitation":"({\\i{}16})","plainCitation":"(16)","noteIndex":0},"citationItems":[{"id":"F0BhSg7K/iRqRxy4I","uris":["http://zotero.org/users/6720262/items/LNEHN5SL"],"uri":["http://zotero.org/users/6720262/items/LNEHN5SL"],"itemData":{"id":666,"type":"report","title":"Preliminary Outcomes Of Three-year Implementation Of Resolution On Climate-resilient development Of Mekong Delta","URL":"http://news.chinhphu.vn/Home/Preliminary-Outcomes-Of-Threeyear-Implementation-Of-Resolution-On-Climateresilient-development-Of-Mekong-Delta/20213/43202.vgp","author":[{"family":"VGP","given":""}],"issued":{"date-parts":[["2021"]]}}}],"schema":"https://github.com/citation-style-language/schema/raw/master/csl-citation.json"} </w:instrText>
      </w:r>
      <w:r w:rsidR="00F43861">
        <w:fldChar w:fldCharType="separate"/>
      </w:r>
      <w:r w:rsidR="00B11042" w:rsidRPr="00B11042">
        <w:t>(</w:t>
      </w:r>
      <w:r w:rsidR="00B11042" w:rsidRPr="00B11042">
        <w:rPr>
          <w:i/>
          <w:iCs/>
        </w:rPr>
        <w:t>16</w:t>
      </w:r>
      <w:r w:rsidR="00B11042" w:rsidRPr="00B11042">
        <w:t>)</w:t>
      </w:r>
      <w:r w:rsidR="00F43861">
        <w:fldChar w:fldCharType="end"/>
      </w:r>
      <w:r>
        <w:t>.</w:t>
      </w:r>
    </w:p>
    <w:p w14:paraId="23705FC7" w14:textId="77777777" w:rsidR="00BD040C" w:rsidRDefault="00BD040C" w:rsidP="00E45C4F"/>
    <w:p w14:paraId="07D470C4" w14:textId="77661539" w:rsidR="28F3BA9F" w:rsidRDefault="74814C79" w:rsidP="28F3BA9F">
      <w:r>
        <w:t xml:space="preserve">At the same time, large-scale investments keep on pouring into the delta, with a mixture of instruments to advance development and respond to the threat posed by climate change. For example, the World Bank alone has committed to loans and bilateral funding of nearly US$2 Billion from 2007 to 2022. While this level of funding is small compared to private investment (in the hundreds of billion USD annually), funding decisions of international financial institutions have tremendous influence in setting standards for other </w:t>
      </w:r>
      <w:proofErr w:type="gramStart"/>
      <w:r>
        <w:t>investors, and</w:t>
      </w:r>
      <w:proofErr w:type="gramEnd"/>
      <w:r>
        <w:t xml:space="preserve"> could help push investments that make the delta more resilient. Reputational risks are an increasingly important motivator for private investors, who are influenced by the examples set by major international actors. Much of the current funding from international donors aims to address the impacts that a sinking delta creates on the livelihoods of its inhabitants. Those investments are needed to protect against local flooding and coastal erosion, deal with salinized water supplies and provide support for adaptation planning. However, the investment proposals we reviewed did not explicitly acknowledge the long-term existential risks to both livelihoods and investments, nor emphasize opportunities to mitigate those trends through concerted larger-scale actions. </w:t>
      </w:r>
    </w:p>
    <w:p w14:paraId="39DE63CF" w14:textId="5239B0E7" w:rsidR="0071569D" w:rsidRPr="006F4FD4" w:rsidRDefault="0071569D" w:rsidP="00536D16">
      <w:pPr>
        <w:pStyle w:val="Heading3"/>
      </w:pPr>
      <w:bookmarkStart w:id="2" w:name="_Toc95335446"/>
      <w:r w:rsidRPr="00A976BF">
        <w:t>Respon</w:t>
      </w:r>
      <w:r w:rsidR="00537EA2">
        <w:t>ding</w:t>
      </w:r>
      <w:r w:rsidRPr="00A976BF">
        <w:t xml:space="preserve"> to</w:t>
      </w:r>
      <w:r w:rsidR="00537EA2">
        <w:t xml:space="preserve"> the</w:t>
      </w:r>
      <w:r w:rsidRPr="00A976BF">
        <w:t xml:space="preserve"> Threats</w:t>
      </w:r>
      <w:bookmarkEnd w:id="2"/>
    </w:p>
    <w:p w14:paraId="201158CA" w14:textId="6AA4D6FE" w:rsidR="00CE5C43" w:rsidRDefault="74814C79" w:rsidP="2784A02F">
      <w:pPr>
        <w:pStyle w:val="CommentText"/>
        <w:rPr>
          <w:rFonts w:ascii="Times New Roman" w:hAnsi="Times New Roman" w:cs="Times New Roman"/>
          <w:sz w:val="24"/>
          <w:szCs w:val="24"/>
        </w:rPr>
      </w:pPr>
      <w:r w:rsidRPr="74814C79">
        <w:rPr>
          <w:rFonts w:ascii="Times New Roman" w:hAnsi="Times New Roman" w:cs="Times New Roman"/>
          <w:sz w:val="24"/>
          <w:szCs w:val="24"/>
        </w:rPr>
        <w:t xml:space="preserve">It is encouraging that delta management and </w:t>
      </w:r>
      <w:r w:rsidR="00954EFC" w:rsidRPr="74814C79">
        <w:rPr>
          <w:rFonts w:ascii="Times New Roman" w:hAnsi="Times New Roman" w:cs="Times New Roman"/>
          <w:sz w:val="24"/>
          <w:szCs w:val="24"/>
        </w:rPr>
        <w:t xml:space="preserve">investments </w:t>
      </w:r>
      <w:r w:rsidR="00B868F7">
        <w:rPr>
          <w:rFonts w:ascii="Times New Roman" w:hAnsi="Times New Roman" w:cs="Times New Roman"/>
          <w:sz w:val="24"/>
          <w:szCs w:val="24"/>
        </w:rPr>
        <w:t xml:space="preserve">by </w:t>
      </w:r>
      <w:r w:rsidR="00954EFC">
        <w:rPr>
          <w:rFonts w:ascii="Times New Roman" w:hAnsi="Times New Roman" w:cs="Times New Roman"/>
          <w:sz w:val="24"/>
          <w:szCs w:val="24"/>
        </w:rPr>
        <w:t xml:space="preserve">international development actors </w:t>
      </w:r>
      <w:r w:rsidRPr="74814C79">
        <w:rPr>
          <w:rFonts w:ascii="Times New Roman" w:hAnsi="Times New Roman" w:cs="Times New Roman"/>
          <w:sz w:val="24"/>
          <w:szCs w:val="24"/>
        </w:rPr>
        <w:t xml:space="preserve">have evolved in a positive direction, with increasing focus on adaptive and integrative measures to address both short- and long-term challenges. Yet, the current plans alone will not be sufficient to make the Delta resilient to extreme environmental stress because they do not address the root causes of the sediment deprivation. The persistent challenges from top-down, hierarchical governance systems and institutional rivalries hinder the continued positive evolution described above. For the delta landform to persist in the longer term, three fundamental changes in the political economy and the science-society-policy nexus are required </w:t>
      </w:r>
      <w:r w:rsidR="00515D7E">
        <w:rPr>
          <w:rFonts w:ascii="Times New Roman" w:hAnsi="Times New Roman" w:cs="Times New Roman"/>
          <w:sz w:val="24"/>
          <w:szCs w:val="24"/>
        </w:rPr>
        <w:t xml:space="preserve">(as detailed </w:t>
      </w:r>
      <w:r w:rsidR="00C85579">
        <w:rPr>
          <w:rFonts w:ascii="Times New Roman" w:hAnsi="Times New Roman" w:cs="Times New Roman"/>
          <w:sz w:val="24"/>
          <w:szCs w:val="24"/>
        </w:rPr>
        <w:t>in following paragraph</w:t>
      </w:r>
      <w:r w:rsidR="00515D7E">
        <w:rPr>
          <w:rFonts w:ascii="Times New Roman" w:hAnsi="Times New Roman" w:cs="Times New Roman"/>
          <w:sz w:val="24"/>
          <w:szCs w:val="24"/>
        </w:rPr>
        <w:t xml:space="preserve">) </w:t>
      </w:r>
      <w:r w:rsidRPr="74814C79">
        <w:rPr>
          <w:rFonts w:ascii="Times New Roman" w:hAnsi="Times New Roman" w:cs="Times New Roman"/>
          <w:sz w:val="24"/>
          <w:szCs w:val="24"/>
        </w:rPr>
        <w:t>to enable six deep changes in</w:t>
      </w:r>
      <w:r w:rsidR="00153ED5">
        <w:rPr>
          <w:rFonts w:ascii="Times New Roman" w:hAnsi="Times New Roman" w:cs="Times New Roman"/>
          <w:sz w:val="24"/>
          <w:szCs w:val="24"/>
        </w:rPr>
        <w:t xml:space="preserve"> basin</w:t>
      </w:r>
      <w:r w:rsidRPr="74814C79">
        <w:rPr>
          <w:rFonts w:ascii="Times New Roman" w:hAnsi="Times New Roman" w:cs="Times New Roman"/>
          <w:sz w:val="24"/>
          <w:szCs w:val="24"/>
        </w:rPr>
        <w:t xml:space="preserve"> management</w:t>
      </w:r>
      <w:r w:rsidR="00281376">
        <w:rPr>
          <w:rFonts w:ascii="Times New Roman" w:hAnsi="Times New Roman" w:cs="Times New Roman"/>
          <w:sz w:val="24"/>
          <w:szCs w:val="24"/>
        </w:rPr>
        <w:t>, with particular attention to sediment</w:t>
      </w:r>
      <w:r w:rsidR="00515D7E">
        <w:rPr>
          <w:rFonts w:ascii="Times New Roman" w:hAnsi="Times New Roman" w:cs="Times New Roman"/>
          <w:sz w:val="24"/>
          <w:szCs w:val="24"/>
        </w:rPr>
        <w:t xml:space="preserve"> (as introduced in Table 1)</w:t>
      </w:r>
      <w:r w:rsidR="00831EE7">
        <w:rPr>
          <w:rFonts w:ascii="Times New Roman" w:hAnsi="Times New Roman" w:cs="Times New Roman"/>
          <w:sz w:val="24"/>
          <w:szCs w:val="24"/>
        </w:rPr>
        <w:t>.</w:t>
      </w:r>
      <w:r w:rsidRPr="74814C79">
        <w:rPr>
          <w:rFonts w:ascii="Times New Roman" w:hAnsi="Times New Roman" w:cs="Times New Roman"/>
          <w:sz w:val="24"/>
          <w:szCs w:val="24"/>
        </w:rPr>
        <w:t xml:space="preserve"> </w:t>
      </w:r>
    </w:p>
    <w:p w14:paraId="1B144C8C" w14:textId="189C4EE4" w:rsidR="00CE5C43" w:rsidRDefault="00CE5C43" w:rsidP="2784A02F">
      <w:pPr>
        <w:pStyle w:val="CommentText"/>
        <w:rPr>
          <w:rFonts w:ascii="Times New Roman" w:hAnsi="Times New Roman" w:cs="Times New Roman"/>
          <w:sz w:val="24"/>
          <w:szCs w:val="24"/>
        </w:rPr>
      </w:pPr>
    </w:p>
    <w:p w14:paraId="2BD2547A" w14:textId="5219102B" w:rsidR="00CE5C43" w:rsidRDefault="74814C79" w:rsidP="003C707D">
      <w:pPr>
        <w:pStyle w:val="CommentText"/>
        <w:rPr>
          <w:rFonts w:ascii="Times New Roman" w:hAnsi="Times New Roman" w:cs="Times New Roman"/>
          <w:sz w:val="24"/>
          <w:szCs w:val="24"/>
        </w:rPr>
      </w:pPr>
      <w:r w:rsidRPr="74814C79">
        <w:rPr>
          <w:rFonts w:ascii="Times New Roman" w:hAnsi="Times New Roman" w:cs="Times New Roman"/>
          <w:sz w:val="24"/>
          <w:szCs w:val="24"/>
        </w:rPr>
        <w:t>Firstly, investments in the delta across key economic sectors (agriculture, aquaculture, transport, energy, construction)</w:t>
      </w:r>
      <w:r w:rsidR="00281376">
        <w:rPr>
          <w:rFonts w:ascii="Times New Roman" w:hAnsi="Times New Roman" w:cs="Times New Roman"/>
          <w:sz w:val="24"/>
          <w:szCs w:val="24"/>
        </w:rPr>
        <w:t xml:space="preserve"> and actors (national and international private companies, state-owned enterprises, local and national governments, and international development actors)</w:t>
      </w:r>
      <w:r w:rsidRPr="74814C79">
        <w:rPr>
          <w:rFonts w:ascii="Times New Roman" w:hAnsi="Times New Roman" w:cs="Times New Roman"/>
          <w:sz w:val="24"/>
          <w:szCs w:val="24"/>
        </w:rPr>
        <w:t xml:space="preserve"> need to register and address system-scale </w:t>
      </w:r>
      <w:r w:rsidR="00281376">
        <w:rPr>
          <w:rFonts w:ascii="Times New Roman" w:hAnsi="Times New Roman" w:cs="Times New Roman"/>
          <w:sz w:val="24"/>
          <w:szCs w:val="24"/>
        </w:rPr>
        <w:t xml:space="preserve">consequences of their </w:t>
      </w:r>
      <w:r w:rsidR="003C707D">
        <w:rPr>
          <w:rFonts w:ascii="Times New Roman" w:hAnsi="Times New Roman" w:cs="Times New Roman"/>
          <w:sz w:val="24"/>
          <w:szCs w:val="24"/>
        </w:rPr>
        <w:t>investments</w:t>
      </w:r>
      <w:r w:rsidRPr="74814C79">
        <w:rPr>
          <w:rFonts w:ascii="Times New Roman" w:hAnsi="Times New Roman" w:cs="Times New Roman"/>
          <w:sz w:val="24"/>
          <w:szCs w:val="24"/>
        </w:rPr>
        <w:t xml:space="preserve">, such as their impact on delta subsidence. Secondly, new and existing actors, including civil society groups that have had significant success </w:t>
      </w:r>
      <w:r w:rsidR="008F0F9E">
        <w:rPr>
          <w:rFonts w:ascii="Times New Roman" w:hAnsi="Times New Roman" w:cs="Times New Roman"/>
          <w:sz w:val="24"/>
          <w:szCs w:val="24"/>
        </w:rPr>
        <w:t xml:space="preserve">in the basin </w:t>
      </w:r>
      <w:r w:rsidR="00B868F7">
        <w:rPr>
          <w:rFonts w:ascii="Times New Roman" w:hAnsi="Times New Roman" w:cs="Times New Roman"/>
          <w:sz w:val="24"/>
          <w:szCs w:val="24"/>
        </w:rPr>
        <w:t>(</w:t>
      </w:r>
      <w:r w:rsidR="008F0F9E">
        <w:rPr>
          <w:rFonts w:ascii="Times New Roman" w:hAnsi="Times New Roman" w:cs="Times New Roman"/>
          <w:sz w:val="24"/>
          <w:szCs w:val="24"/>
        </w:rPr>
        <w:t>e.g.,</w:t>
      </w:r>
      <w:r w:rsidRPr="74814C79">
        <w:rPr>
          <w:rFonts w:ascii="Times New Roman" w:hAnsi="Times New Roman" w:cs="Times New Roman"/>
          <w:sz w:val="24"/>
          <w:szCs w:val="24"/>
        </w:rPr>
        <w:t xml:space="preserve"> </w:t>
      </w:r>
      <w:r w:rsidR="00B868F7">
        <w:rPr>
          <w:rFonts w:ascii="Times New Roman" w:hAnsi="Times New Roman" w:cs="Times New Roman"/>
          <w:sz w:val="24"/>
          <w:szCs w:val="24"/>
        </w:rPr>
        <w:t xml:space="preserve">in </w:t>
      </w:r>
      <w:r w:rsidRPr="74814C79">
        <w:rPr>
          <w:rFonts w:ascii="Times New Roman" w:hAnsi="Times New Roman" w:cs="Times New Roman"/>
          <w:sz w:val="24"/>
          <w:szCs w:val="24"/>
        </w:rPr>
        <w:t>increasing awareness o</w:t>
      </w:r>
      <w:r w:rsidR="00B868F7">
        <w:rPr>
          <w:rFonts w:ascii="Times New Roman" w:hAnsi="Times New Roman" w:cs="Times New Roman"/>
          <w:sz w:val="24"/>
          <w:szCs w:val="24"/>
        </w:rPr>
        <w:t>f negative effects of</w:t>
      </w:r>
      <w:r w:rsidRPr="74814C79">
        <w:rPr>
          <w:rFonts w:ascii="Times New Roman" w:hAnsi="Times New Roman" w:cs="Times New Roman"/>
          <w:sz w:val="24"/>
          <w:szCs w:val="24"/>
        </w:rPr>
        <w:t xml:space="preserve"> high</w:t>
      </w:r>
      <w:r w:rsidR="00B868F7">
        <w:rPr>
          <w:rFonts w:ascii="Times New Roman" w:hAnsi="Times New Roman" w:cs="Times New Roman"/>
          <w:sz w:val="24"/>
          <w:szCs w:val="24"/>
        </w:rPr>
        <w:t>-</w:t>
      </w:r>
      <w:r w:rsidRPr="74814C79">
        <w:rPr>
          <w:rFonts w:ascii="Times New Roman" w:hAnsi="Times New Roman" w:cs="Times New Roman"/>
          <w:sz w:val="24"/>
          <w:szCs w:val="24"/>
        </w:rPr>
        <w:t>impact dams</w:t>
      </w:r>
      <w:r w:rsidR="00B868F7">
        <w:rPr>
          <w:rFonts w:ascii="Times New Roman" w:hAnsi="Times New Roman" w:cs="Times New Roman"/>
          <w:sz w:val="24"/>
          <w:szCs w:val="24"/>
        </w:rPr>
        <w:t>)</w:t>
      </w:r>
      <w:r w:rsidR="008F0F9E">
        <w:rPr>
          <w:rFonts w:ascii="Times New Roman" w:hAnsi="Times New Roman" w:cs="Times New Roman"/>
          <w:sz w:val="24"/>
          <w:szCs w:val="24"/>
        </w:rPr>
        <w:t xml:space="preserve">, </w:t>
      </w:r>
      <w:r w:rsidRPr="74814C79">
        <w:rPr>
          <w:rFonts w:ascii="Times New Roman" w:hAnsi="Times New Roman" w:cs="Times New Roman"/>
          <w:sz w:val="24"/>
          <w:szCs w:val="24"/>
        </w:rPr>
        <w:t>and regional and international investors with an interest in sustainable and long-term profitable investments</w:t>
      </w:r>
      <w:r w:rsidR="00B868F7">
        <w:rPr>
          <w:rFonts w:ascii="Times New Roman" w:hAnsi="Times New Roman" w:cs="Times New Roman"/>
          <w:sz w:val="24"/>
          <w:szCs w:val="24"/>
        </w:rPr>
        <w:t>,</w:t>
      </w:r>
      <w:r w:rsidRPr="74814C79">
        <w:rPr>
          <w:rFonts w:ascii="Times New Roman" w:hAnsi="Times New Roman" w:cs="Times New Roman"/>
          <w:sz w:val="24"/>
          <w:szCs w:val="24"/>
        </w:rPr>
        <w:t xml:space="preserve"> </w:t>
      </w:r>
      <w:r w:rsidR="00D20FBB">
        <w:rPr>
          <w:rFonts w:ascii="Times New Roman" w:hAnsi="Times New Roman" w:cs="Times New Roman"/>
          <w:sz w:val="24"/>
          <w:szCs w:val="24"/>
        </w:rPr>
        <w:t>must</w:t>
      </w:r>
      <w:r w:rsidRPr="74814C79">
        <w:rPr>
          <w:rFonts w:ascii="Times New Roman" w:hAnsi="Times New Roman" w:cs="Times New Roman"/>
          <w:sz w:val="24"/>
          <w:szCs w:val="24"/>
        </w:rPr>
        <w:t xml:space="preserve"> leverage their shared interest in making basin-scale change</w:t>
      </w:r>
      <w:r w:rsidR="00772D97">
        <w:rPr>
          <w:rFonts w:ascii="Times New Roman" w:hAnsi="Times New Roman" w:cs="Times New Roman"/>
          <w:sz w:val="24"/>
          <w:szCs w:val="24"/>
        </w:rPr>
        <w:t xml:space="preserve">. </w:t>
      </w:r>
      <w:r w:rsidR="00D20FBB">
        <w:rPr>
          <w:rFonts w:ascii="Times New Roman" w:hAnsi="Times New Roman" w:cs="Times New Roman"/>
          <w:sz w:val="24"/>
          <w:szCs w:val="24"/>
        </w:rPr>
        <w:t xml:space="preserve">They can, for example, </w:t>
      </w:r>
      <w:r w:rsidRPr="74814C79">
        <w:rPr>
          <w:rFonts w:ascii="Times New Roman" w:hAnsi="Times New Roman" w:cs="Times New Roman"/>
          <w:sz w:val="24"/>
          <w:szCs w:val="24"/>
        </w:rPr>
        <w:t xml:space="preserve">highlight that </w:t>
      </w:r>
      <w:r w:rsidR="00D20FBB">
        <w:rPr>
          <w:rFonts w:ascii="Times New Roman" w:hAnsi="Times New Roman" w:cs="Times New Roman"/>
          <w:sz w:val="24"/>
          <w:szCs w:val="24"/>
        </w:rPr>
        <w:t>avoiding</w:t>
      </w:r>
      <w:r w:rsidR="00D20FBB" w:rsidRPr="74814C79">
        <w:rPr>
          <w:rFonts w:ascii="Times New Roman" w:hAnsi="Times New Roman" w:cs="Times New Roman"/>
          <w:sz w:val="24"/>
          <w:szCs w:val="24"/>
        </w:rPr>
        <w:t xml:space="preserve"> </w:t>
      </w:r>
      <w:r w:rsidRPr="74814C79">
        <w:rPr>
          <w:rFonts w:ascii="Times New Roman" w:hAnsi="Times New Roman" w:cs="Times New Roman"/>
          <w:sz w:val="24"/>
          <w:szCs w:val="24"/>
        </w:rPr>
        <w:t>high-impact dams will benefit not only local communities but also the delta and entire basin. Thirdly, science-policy interaction needs to be enhanced</w:t>
      </w:r>
      <w:r w:rsidR="003C707D">
        <w:rPr>
          <w:rFonts w:ascii="Times New Roman" w:hAnsi="Times New Roman" w:cs="Times New Roman"/>
          <w:sz w:val="24"/>
          <w:szCs w:val="24"/>
        </w:rPr>
        <w:t xml:space="preserve">. </w:t>
      </w:r>
      <w:r w:rsidRPr="74814C79">
        <w:rPr>
          <w:rFonts w:ascii="Times New Roman" w:hAnsi="Times New Roman" w:cs="Times New Roman"/>
          <w:sz w:val="24"/>
          <w:szCs w:val="24"/>
        </w:rPr>
        <w:t xml:space="preserve">One problem in Mekong basin science has been that minor differences among scientific studies have been emphasized. This gives the impression of great uncertainty in scientific predictions, </w:t>
      </w:r>
      <w:proofErr w:type="gramStart"/>
      <w:r w:rsidRPr="74814C79">
        <w:rPr>
          <w:rFonts w:ascii="Times New Roman" w:hAnsi="Times New Roman" w:cs="Times New Roman"/>
          <w:sz w:val="24"/>
          <w:szCs w:val="24"/>
        </w:rPr>
        <w:t>while in reality, there</w:t>
      </w:r>
      <w:proofErr w:type="gramEnd"/>
      <w:r w:rsidRPr="74814C79">
        <w:rPr>
          <w:rFonts w:ascii="Times New Roman" w:hAnsi="Times New Roman" w:cs="Times New Roman"/>
          <w:sz w:val="24"/>
          <w:szCs w:val="24"/>
        </w:rPr>
        <w:t xml:space="preserve"> is </w:t>
      </w:r>
      <w:r w:rsidRPr="74814C79">
        <w:rPr>
          <w:rFonts w:ascii="Times New Roman" w:hAnsi="Times New Roman" w:cs="Times New Roman"/>
          <w:sz w:val="24"/>
          <w:szCs w:val="24"/>
        </w:rPr>
        <w:lastRenderedPageBreak/>
        <w:t>broad scientific consensus on some key concerns</w:t>
      </w:r>
      <w:r w:rsidR="0073060B">
        <w:rPr>
          <w:rFonts w:ascii="Times New Roman" w:hAnsi="Times New Roman" w:cs="Times New Roman"/>
          <w:sz w:val="24"/>
          <w:szCs w:val="24"/>
        </w:rPr>
        <w:t>. T</w:t>
      </w:r>
      <w:r w:rsidRPr="74814C79">
        <w:rPr>
          <w:rFonts w:ascii="Times New Roman" w:hAnsi="Times New Roman" w:cs="Times New Roman"/>
          <w:sz w:val="24"/>
          <w:szCs w:val="24"/>
        </w:rPr>
        <w:t xml:space="preserve">hese </w:t>
      </w:r>
      <w:r w:rsidR="00D20FBB">
        <w:rPr>
          <w:rFonts w:ascii="Times New Roman" w:hAnsi="Times New Roman" w:cs="Times New Roman"/>
          <w:sz w:val="24"/>
          <w:szCs w:val="24"/>
        </w:rPr>
        <w:t>should</w:t>
      </w:r>
      <w:r w:rsidRPr="74814C79">
        <w:rPr>
          <w:rFonts w:ascii="Times New Roman" w:hAnsi="Times New Roman" w:cs="Times New Roman"/>
          <w:sz w:val="24"/>
          <w:szCs w:val="24"/>
        </w:rPr>
        <w:t xml:space="preserve"> be emphasized when scientists communicate with decision makers.  </w:t>
      </w:r>
    </w:p>
    <w:p w14:paraId="6CC210AA" w14:textId="77777777" w:rsidR="00CE5C43" w:rsidRDefault="00CE5C43" w:rsidP="00E57915">
      <w:pPr>
        <w:pStyle w:val="CommentText"/>
        <w:rPr>
          <w:rFonts w:ascii="Times New Roman" w:hAnsi="Times New Roman" w:cs="Times New Roman"/>
          <w:sz w:val="24"/>
          <w:szCs w:val="24"/>
        </w:rPr>
      </w:pPr>
    </w:p>
    <w:p w14:paraId="3879E13E" w14:textId="6A00A787" w:rsidR="005C1DAD" w:rsidRDefault="2784A02F" w:rsidP="2784A02F">
      <w:pPr>
        <w:pStyle w:val="CommentText"/>
        <w:rPr>
          <w:rFonts w:ascii="Times New Roman" w:hAnsi="Times New Roman" w:cs="Times New Roman"/>
          <w:sz w:val="24"/>
          <w:szCs w:val="24"/>
        </w:rPr>
      </w:pPr>
      <w:r w:rsidRPr="2784A02F">
        <w:rPr>
          <w:rFonts w:ascii="Times New Roman" w:hAnsi="Times New Roman" w:cs="Times New Roman"/>
          <w:sz w:val="24"/>
          <w:szCs w:val="24"/>
        </w:rPr>
        <w:t xml:space="preserve">To respond to the fundamental threat </w:t>
      </w:r>
      <w:r w:rsidR="005F4B1F">
        <w:rPr>
          <w:rFonts w:ascii="Times New Roman" w:hAnsi="Times New Roman" w:cs="Times New Roman"/>
          <w:sz w:val="24"/>
          <w:szCs w:val="24"/>
        </w:rPr>
        <w:t xml:space="preserve">the </w:t>
      </w:r>
      <w:r w:rsidRPr="2784A02F">
        <w:rPr>
          <w:rFonts w:ascii="Times New Roman" w:hAnsi="Times New Roman" w:cs="Times New Roman"/>
          <w:sz w:val="24"/>
          <w:szCs w:val="24"/>
        </w:rPr>
        <w:t>delta is facing, future projects should not contribute to increased subsidence and land loss</w:t>
      </w:r>
      <w:r w:rsidR="0073060B">
        <w:rPr>
          <w:rFonts w:ascii="Times New Roman" w:hAnsi="Times New Roman" w:cs="Times New Roman"/>
          <w:sz w:val="24"/>
          <w:szCs w:val="24"/>
        </w:rPr>
        <w:t>,</w:t>
      </w:r>
      <w:r w:rsidRPr="2784A02F">
        <w:rPr>
          <w:rFonts w:ascii="Times New Roman" w:hAnsi="Times New Roman" w:cs="Times New Roman"/>
          <w:sz w:val="24"/>
          <w:szCs w:val="24"/>
        </w:rPr>
        <w:t xml:space="preserve"> and </w:t>
      </w:r>
      <w:r w:rsidR="0073060B">
        <w:rPr>
          <w:rFonts w:ascii="Times New Roman" w:hAnsi="Times New Roman" w:cs="Times New Roman"/>
          <w:sz w:val="24"/>
          <w:szCs w:val="24"/>
        </w:rPr>
        <w:t xml:space="preserve">they </w:t>
      </w:r>
      <w:r w:rsidRPr="2784A02F">
        <w:rPr>
          <w:rFonts w:ascii="Times New Roman" w:hAnsi="Times New Roman" w:cs="Times New Roman"/>
          <w:sz w:val="24"/>
          <w:szCs w:val="24"/>
        </w:rPr>
        <w:t>should be resilient to future subsidence up to 2100 and beyond. To achieve this, we recommend that future measures explicitly account for the scales at which the drivers operate, and that management efforts be undertaken at appropriate scales</w:t>
      </w:r>
      <w:r w:rsidR="00B1551B">
        <w:rPr>
          <w:rFonts w:ascii="Times New Roman" w:hAnsi="Times New Roman" w:cs="Times New Roman"/>
          <w:sz w:val="24"/>
          <w:szCs w:val="24"/>
        </w:rPr>
        <w:t xml:space="preserve">. </w:t>
      </w:r>
      <w:r w:rsidRPr="2784A02F">
        <w:rPr>
          <w:rFonts w:ascii="Times New Roman" w:hAnsi="Times New Roman" w:cs="Times New Roman"/>
          <w:color w:val="000000" w:themeColor="text1"/>
          <w:sz w:val="24"/>
          <w:szCs w:val="24"/>
        </w:rPr>
        <w:t xml:space="preserve">While some drivers of subsidence can be influenced by local and national actions, others will require interventions that are coordinated on different scales between Cambodia and Vietnam, which share the lower-most Mekong and its delta, and through the entire basin, from which the essential water and sediment resources are </w:t>
      </w:r>
      <w:proofErr w:type="gramStart"/>
      <w:r w:rsidRPr="2784A02F">
        <w:rPr>
          <w:rFonts w:ascii="Times New Roman" w:hAnsi="Times New Roman" w:cs="Times New Roman"/>
          <w:color w:val="000000" w:themeColor="text1"/>
          <w:sz w:val="24"/>
          <w:szCs w:val="24"/>
        </w:rPr>
        <w:t>derived</w:t>
      </w:r>
      <w:proofErr w:type="gramEnd"/>
      <w:r w:rsidRPr="2784A02F">
        <w:rPr>
          <w:rFonts w:ascii="Times New Roman" w:hAnsi="Times New Roman" w:cs="Times New Roman"/>
          <w:color w:val="000000" w:themeColor="text1"/>
          <w:sz w:val="24"/>
          <w:szCs w:val="24"/>
        </w:rPr>
        <w:t xml:space="preserve"> and which is seeing intensive hydropower development. </w:t>
      </w:r>
    </w:p>
    <w:p w14:paraId="254C6298" w14:textId="0000B8FD" w:rsidR="005C1DAD" w:rsidRDefault="005C1DAD" w:rsidP="2784A02F">
      <w:pPr>
        <w:pStyle w:val="CommentText"/>
        <w:rPr>
          <w:rFonts w:ascii="Times New Roman" w:hAnsi="Times New Roman" w:cs="Times New Roman"/>
          <w:color w:val="000000" w:themeColor="text1"/>
          <w:sz w:val="24"/>
          <w:szCs w:val="24"/>
        </w:rPr>
      </w:pPr>
    </w:p>
    <w:p w14:paraId="5A0499DB" w14:textId="19D0F795" w:rsidR="005C1DAD" w:rsidRPr="00C13887" w:rsidRDefault="74814C79" w:rsidP="003C707D">
      <w:pPr>
        <w:pStyle w:val="CommentText"/>
        <w:rPr>
          <w:rFonts w:ascii="Times New Roman" w:hAnsi="Times New Roman" w:cs="Times New Roman"/>
          <w:sz w:val="24"/>
          <w:szCs w:val="24"/>
        </w:rPr>
      </w:pPr>
      <w:r w:rsidRPr="74814C79">
        <w:rPr>
          <w:rFonts w:ascii="Times New Roman" w:hAnsi="Times New Roman" w:cs="Times New Roman"/>
          <w:color w:val="000000" w:themeColor="text1"/>
          <w:sz w:val="24"/>
          <w:szCs w:val="24"/>
        </w:rPr>
        <w:t>Coordinated planning on larger scales might seem unlikely given current political realities and persistent governance challenges</w:t>
      </w:r>
      <w:r w:rsidR="001A5BD3">
        <w:rPr>
          <w:rFonts w:ascii="Times New Roman" w:hAnsi="Times New Roman" w:cs="Times New Roman"/>
          <w:color w:val="000000" w:themeColor="text1"/>
          <w:sz w:val="24"/>
          <w:szCs w:val="24"/>
        </w:rPr>
        <w:t xml:space="preserve"> </w:t>
      </w:r>
      <w:r w:rsidR="009E1673">
        <w:rPr>
          <w:color w:val="000000" w:themeColor="text1"/>
        </w:rPr>
        <w:fldChar w:fldCharType="begin"/>
      </w:r>
      <w:r w:rsidR="009E1673">
        <w:rPr>
          <w:rFonts w:ascii="Times New Roman" w:hAnsi="Times New Roman" w:cs="Times New Roman"/>
          <w:color w:val="000000" w:themeColor="text1"/>
          <w:sz w:val="24"/>
          <w:szCs w:val="24"/>
        </w:rPr>
        <w:instrText xml:space="preserve"> ADDIN ZOTERO_ITEM CSL_CITATION {"citationID":"Qz7f0iEb","properties":{"formattedCitation":"({\\i{}17})","plainCitation":"(17)","noteIndex":0},"citationItems":[{"id":7802,"uris":["http://zotero.org/users/1975400/items/4RSV4F5J"],"uri":["http://zotero.org/users/1975400/items/4RSV4F5J"],"itemData":{"id":7802,"type":"article-journal","container-title":"Water Alternatives","issue":"1","page":"66–88","source":"Google Scholar","title":"River-basin politics and the rise of ecological and transnational democracy in Southeast Asia and Southern Africa","volume":"1","author":[{"family":"Sneddon","given":"Chris"},{"family":"Fox","given":"Coleen"}],"issued":{"date-parts":[["2008"]]}}}],"schema":"https://github.com/citation-style-language/schema/raw/master/csl-citation.json"} </w:instrText>
      </w:r>
      <w:r w:rsidR="009E1673">
        <w:rPr>
          <w:color w:val="000000" w:themeColor="text1"/>
        </w:rPr>
        <w:fldChar w:fldCharType="separate"/>
      </w:r>
      <w:r w:rsidR="009E1673" w:rsidRPr="009E1673">
        <w:rPr>
          <w:rFonts w:ascii="Times New Roman" w:hAnsi="Times New Roman" w:cs="Times New Roman"/>
          <w:sz w:val="24"/>
          <w:szCs w:val="24"/>
        </w:rPr>
        <w:t>(</w:t>
      </w:r>
      <w:r w:rsidR="009E1673" w:rsidRPr="009E1673">
        <w:rPr>
          <w:rFonts w:ascii="Times New Roman" w:hAnsi="Times New Roman" w:cs="Times New Roman"/>
          <w:i/>
          <w:iCs/>
          <w:sz w:val="24"/>
          <w:szCs w:val="24"/>
        </w:rPr>
        <w:t>17</w:t>
      </w:r>
      <w:r w:rsidR="009E1673" w:rsidRPr="009E1673">
        <w:rPr>
          <w:rFonts w:ascii="Times New Roman" w:hAnsi="Times New Roman" w:cs="Times New Roman"/>
          <w:sz w:val="24"/>
          <w:szCs w:val="24"/>
        </w:rPr>
        <w:t>)</w:t>
      </w:r>
      <w:r w:rsidR="009E1673">
        <w:rPr>
          <w:color w:val="000000" w:themeColor="text1"/>
        </w:rPr>
        <w:fldChar w:fldCharType="end"/>
      </w:r>
      <w:r w:rsidRPr="74814C79">
        <w:rPr>
          <w:rFonts w:ascii="Times New Roman" w:hAnsi="Times New Roman" w:cs="Times New Roman"/>
          <w:color w:val="000000" w:themeColor="text1"/>
          <w:sz w:val="24"/>
          <w:szCs w:val="24"/>
        </w:rPr>
        <w:t xml:space="preserve">, but changing those realities </w:t>
      </w:r>
      <w:r w:rsidRPr="74814C79">
        <w:rPr>
          <w:rFonts w:ascii="Times New Roman" w:hAnsi="Times New Roman" w:cs="Times New Roman"/>
          <w:sz w:val="24"/>
          <w:szCs w:val="24"/>
        </w:rPr>
        <w:t xml:space="preserve">towards a whole basin dialogue is needed to open a larger solution space where all riparian countries acknowledge the situation and have both rights and obligations </w:t>
      </w:r>
      <w:r w:rsidR="2784A02F" w:rsidRPr="74814C79">
        <w:fldChar w:fldCharType="begin"/>
      </w:r>
      <w:r w:rsidR="009E1673">
        <w:rPr>
          <w:rFonts w:ascii="Times New Roman" w:hAnsi="Times New Roman" w:cs="Times New Roman"/>
          <w:sz w:val="24"/>
          <w:szCs w:val="24"/>
        </w:rPr>
        <w:instrText xml:space="preserve"> ADDIN ZOTERO_ITEM CSL_CITATION {"citationID":"PpN21nen","properties":{"formattedCitation":"({\\i{}18})","plainCitation":"(18)","noteIndex":0},"citationItems":[{"id":6273,"uris":["http://zotero.org/users/1975400/items/4828PY4C"],"uri":["http://zotero.org/users/1975400/items/4828PY4C"],"itemData":{"id":6273,"type":"chapter","container-title":"Collaboration in Water Resource Management in Vietnam and South-East Asia","ISBN":"978-3-8487-6772-4","note":"DOI: 10.5771/9783748908760-35","page":"35-44","publisher":"Nomos Verlagsgesellschaft mbH &amp; Co. KG","title":"The Mekong River is International and Indivisible","author":[{"family":"Tran","given":"Nguyen Ngoc"}],"issued":{"date-parts":[["2020"]]}}}],"schema":"https://github.com/citation-style-language/schema/raw/master/csl-citation.json"} </w:instrText>
      </w:r>
      <w:r w:rsidR="2784A02F" w:rsidRPr="74814C79">
        <w:fldChar w:fldCharType="separate"/>
      </w:r>
      <w:r w:rsidR="009E1673" w:rsidRPr="009E1673">
        <w:rPr>
          <w:rFonts w:ascii="Times New Roman" w:hAnsi="Times New Roman" w:cs="Times New Roman"/>
          <w:sz w:val="24"/>
          <w:szCs w:val="24"/>
        </w:rPr>
        <w:t>(</w:t>
      </w:r>
      <w:r w:rsidR="009E1673" w:rsidRPr="009E1673">
        <w:rPr>
          <w:rFonts w:ascii="Times New Roman" w:hAnsi="Times New Roman" w:cs="Times New Roman"/>
          <w:i/>
          <w:iCs/>
          <w:sz w:val="24"/>
          <w:szCs w:val="24"/>
        </w:rPr>
        <w:t>18</w:t>
      </w:r>
      <w:r w:rsidR="009E1673" w:rsidRPr="009E1673">
        <w:rPr>
          <w:rFonts w:ascii="Times New Roman" w:hAnsi="Times New Roman" w:cs="Times New Roman"/>
          <w:sz w:val="24"/>
          <w:szCs w:val="24"/>
        </w:rPr>
        <w:t>)</w:t>
      </w:r>
      <w:r w:rsidR="2784A02F" w:rsidRPr="74814C79">
        <w:fldChar w:fldCharType="end"/>
      </w:r>
      <w:r w:rsidRPr="74814C79">
        <w:rPr>
          <w:rFonts w:ascii="Times New Roman" w:hAnsi="Times New Roman" w:cs="Times New Roman"/>
          <w:sz w:val="24"/>
          <w:szCs w:val="24"/>
        </w:rPr>
        <w:t>. Here, active science-policy interaction</w:t>
      </w:r>
      <w:r w:rsidR="0073060B">
        <w:rPr>
          <w:rFonts w:ascii="Times New Roman" w:hAnsi="Times New Roman" w:cs="Times New Roman"/>
          <w:sz w:val="24"/>
          <w:szCs w:val="24"/>
        </w:rPr>
        <w:t>,</w:t>
      </w:r>
      <w:r w:rsidRPr="74814C79">
        <w:rPr>
          <w:rFonts w:ascii="Times New Roman" w:hAnsi="Times New Roman" w:cs="Times New Roman"/>
          <w:sz w:val="24"/>
          <w:szCs w:val="24"/>
        </w:rPr>
        <w:t xml:space="preserve"> including the role of knowledge intermediaries such as regional networks and civil society organizations </w:t>
      </w:r>
      <w:r w:rsidR="0008468E">
        <w:fldChar w:fldCharType="begin"/>
      </w:r>
      <w:r w:rsidR="002C5CAB">
        <w:rPr>
          <w:rFonts w:ascii="Times New Roman" w:hAnsi="Times New Roman" w:cs="Times New Roman"/>
          <w:sz w:val="24"/>
          <w:szCs w:val="24"/>
        </w:rPr>
        <w:instrText xml:space="preserve"> ADDIN ZOTERO_ITEM CSL_CITATION {"citationID":"iKluPfzf","properties":{"formattedCitation":"({\\i{}2}, {\\i{}11}, {\\i{}17})","plainCitation":"(2, 11, 17)","noteIndex":0},"citationItems":[{"id":2420,"uris":["http://zotero.org/users/1975400/items/VF6UZINZ"],"uri":["http://zotero.org/users/1975400/items/VF6UZINZ"],"itemData":{"id":2420,"type":"book","event-place":"London; Sterling, VA","ISBN":"978-1-84407-707-6","language":"English","note":"OCLC: 276226077","publisher":"Earthscan","publisher-place":"London; Sterling, VA","source":"Open WorldCat","title":"Contested waterscapes in the Mekong Region: hydropower, livelihoods and governance","title-short":"Contested waterscapes in the Mekong Region","author":[{"family":"Molle","given":"François"},{"family":"Foran","given":"Tira"},{"family":"Käkönen","given":"Mira"}],"issued":{"date-parts":[["2009"]]}}},{"id":7812,"uris":["http://zotero.org/users/1975400/items/BJBVBIXX"],"uri":["http://zotero.org/users/1975400/items/BJBVBIXX"],"itemData":{"id":7812,"type":"thesis","event-place":"Helsinki, Finland","genre":"Doctoral Dissertation","note":"publisher: Helsingin yliopisto","publisher":"University of Helsinki","publisher-place":"Helsinki, Finland","source":"Google Scholar","title":"Fixing the fluid: Making resources and ordering hydrosocial relations in the Mekong region","title-short":"Fixing the fluid","author":[{"family":"Käkönen","given":"Mira"}],"issued":{"date-parts":[["2020"]]}}},{"id":7802,"uris":["http://zotero.org/users/1975400/items/4RSV4F5J"],"uri":["http://zotero.org/users/1975400/items/4RSV4F5J"],"itemData":{"id":7802,"type":"article-journal","container-title":"Water Alternatives","issue":"1","page":"66–88","source":"Google Scholar","title":"River-basin politics and the rise of ecological and transnational democracy in Southeast Asia and Southern Africa","volume":"1","author":[{"family":"Sneddon","given":"Chris"},{"family":"Fox","given":"Coleen"}],"issued":{"date-parts":[["2008"]]}}}],"schema":"https://github.com/citation-style-language/schema/raw/master/csl-citation.json"} </w:instrText>
      </w:r>
      <w:r w:rsidR="0008468E">
        <w:fldChar w:fldCharType="separate"/>
      </w:r>
      <w:r w:rsidR="002C5CAB" w:rsidRPr="002C5CAB">
        <w:rPr>
          <w:rFonts w:ascii="Times New Roman" w:hAnsi="Times New Roman" w:cs="Times New Roman"/>
          <w:sz w:val="24"/>
          <w:szCs w:val="24"/>
        </w:rPr>
        <w:t>(</w:t>
      </w:r>
      <w:r w:rsidR="002C5CAB" w:rsidRPr="002C5CAB">
        <w:rPr>
          <w:rFonts w:ascii="Times New Roman" w:hAnsi="Times New Roman" w:cs="Times New Roman"/>
          <w:i/>
          <w:iCs/>
          <w:sz w:val="24"/>
          <w:szCs w:val="24"/>
        </w:rPr>
        <w:t>2</w:t>
      </w:r>
      <w:r w:rsidR="002C5CAB" w:rsidRPr="002C5CAB">
        <w:rPr>
          <w:rFonts w:ascii="Times New Roman" w:hAnsi="Times New Roman" w:cs="Times New Roman"/>
          <w:sz w:val="24"/>
          <w:szCs w:val="24"/>
        </w:rPr>
        <w:t xml:space="preserve">, </w:t>
      </w:r>
      <w:r w:rsidR="002C5CAB" w:rsidRPr="002C5CAB">
        <w:rPr>
          <w:rFonts w:ascii="Times New Roman" w:hAnsi="Times New Roman" w:cs="Times New Roman"/>
          <w:i/>
          <w:iCs/>
          <w:sz w:val="24"/>
          <w:szCs w:val="24"/>
        </w:rPr>
        <w:t>11</w:t>
      </w:r>
      <w:r w:rsidR="002C5CAB" w:rsidRPr="002C5CAB">
        <w:rPr>
          <w:rFonts w:ascii="Times New Roman" w:hAnsi="Times New Roman" w:cs="Times New Roman"/>
          <w:sz w:val="24"/>
          <w:szCs w:val="24"/>
        </w:rPr>
        <w:t xml:space="preserve">, </w:t>
      </w:r>
      <w:r w:rsidR="002C5CAB" w:rsidRPr="002C5CAB">
        <w:rPr>
          <w:rFonts w:ascii="Times New Roman" w:hAnsi="Times New Roman" w:cs="Times New Roman"/>
          <w:i/>
          <w:iCs/>
          <w:sz w:val="24"/>
          <w:szCs w:val="24"/>
        </w:rPr>
        <w:t>17</w:t>
      </w:r>
      <w:r w:rsidR="002C5CAB" w:rsidRPr="002C5CAB">
        <w:rPr>
          <w:rFonts w:ascii="Times New Roman" w:hAnsi="Times New Roman" w:cs="Times New Roman"/>
          <w:sz w:val="24"/>
          <w:szCs w:val="24"/>
        </w:rPr>
        <w:t>)</w:t>
      </w:r>
      <w:r w:rsidR="0008468E">
        <w:fldChar w:fldCharType="end"/>
      </w:r>
      <w:r w:rsidR="0073060B">
        <w:t>,</w:t>
      </w:r>
      <w:r w:rsidR="001A361C">
        <w:rPr>
          <w:rFonts w:ascii="Times New Roman" w:hAnsi="Times New Roman" w:cs="Times New Roman"/>
          <w:sz w:val="24"/>
          <w:szCs w:val="24"/>
        </w:rPr>
        <w:t xml:space="preserve"> </w:t>
      </w:r>
      <w:r w:rsidRPr="74814C79">
        <w:rPr>
          <w:rFonts w:ascii="Times New Roman" w:hAnsi="Times New Roman" w:cs="Times New Roman"/>
          <w:sz w:val="24"/>
          <w:szCs w:val="24"/>
        </w:rPr>
        <w:t xml:space="preserve">plays an important role. The scientific understanding of the existential threats facing the delta is clearer than ever, and this understanding </w:t>
      </w:r>
      <w:r w:rsidR="00F77D3E">
        <w:rPr>
          <w:rFonts w:ascii="Times New Roman" w:hAnsi="Times New Roman" w:cs="Times New Roman"/>
          <w:sz w:val="24"/>
          <w:szCs w:val="24"/>
        </w:rPr>
        <w:t>must</w:t>
      </w:r>
      <w:r w:rsidRPr="74814C79">
        <w:rPr>
          <w:rFonts w:ascii="Times New Roman" w:hAnsi="Times New Roman" w:cs="Times New Roman"/>
          <w:sz w:val="24"/>
          <w:szCs w:val="24"/>
        </w:rPr>
        <w:t xml:space="preserve"> be actively translated into policy recommendations. Yet, translating such recommendations into impactful decisions requires political will and coordinated actions, both at national and basin scales. Importantly, </w:t>
      </w:r>
      <w:proofErr w:type="gramStart"/>
      <w:r w:rsidRPr="74814C79">
        <w:rPr>
          <w:rFonts w:ascii="Times New Roman" w:hAnsi="Times New Roman" w:cs="Times New Roman"/>
          <w:sz w:val="24"/>
          <w:szCs w:val="24"/>
        </w:rPr>
        <w:t>this  requires</w:t>
      </w:r>
      <w:proofErr w:type="gramEnd"/>
      <w:r w:rsidRPr="74814C79">
        <w:rPr>
          <w:rFonts w:ascii="Times New Roman" w:hAnsi="Times New Roman" w:cs="Times New Roman"/>
          <w:sz w:val="24"/>
          <w:szCs w:val="24"/>
        </w:rPr>
        <w:t xml:space="preserve"> accepting that some of the particularly critical activities, such as depleting groundwater stocks, sand mining, or developing more hydropower, may need to be limited or even gradually phased out despite their political significance and associated economic interests</w:t>
      </w:r>
      <w:r w:rsidR="003C707D">
        <w:rPr>
          <w:rFonts w:ascii="Times New Roman" w:hAnsi="Times New Roman" w:cs="Times New Roman"/>
          <w:sz w:val="24"/>
          <w:szCs w:val="24"/>
        </w:rPr>
        <w:t>.</w:t>
      </w:r>
    </w:p>
    <w:p w14:paraId="7E91B919" w14:textId="77777777" w:rsidR="005C1DAD" w:rsidRDefault="005C1DAD" w:rsidP="00D578FB">
      <w:pPr>
        <w:pStyle w:val="CommentText"/>
        <w:rPr>
          <w:rFonts w:ascii="Times New Roman" w:hAnsi="Times New Roman" w:cs="Times New Roman"/>
          <w:sz w:val="24"/>
          <w:szCs w:val="24"/>
        </w:rPr>
      </w:pPr>
    </w:p>
    <w:p w14:paraId="1AF0AEFE" w14:textId="46F4B800" w:rsidR="00D578FB" w:rsidRPr="005D6090" w:rsidRDefault="2784A02F" w:rsidP="00D578FB">
      <w:pPr>
        <w:pStyle w:val="CommentText"/>
        <w:rPr>
          <w:rFonts w:ascii="Times New Roman" w:hAnsi="Times New Roman" w:cs="Times New Roman"/>
          <w:sz w:val="24"/>
          <w:szCs w:val="24"/>
        </w:rPr>
      </w:pPr>
      <w:r w:rsidRPr="2784A02F">
        <w:rPr>
          <w:rFonts w:ascii="Times New Roman" w:hAnsi="Times New Roman" w:cs="Times New Roman"/>
          <w:sz w:val="24"/>
          <w:szCs w:val="24"/>
        </w:rPr>
        <w:t>In this context, we propose six measures to prolong the life of the Mekong Delta</w:t>
      </w:r>
      <w:r w:rsidR="00F821DC">
        <w:rPr>
          <w:rFonts w:ascii="Times New Roman" w:hAnsi="Times New Roman" w:cs="Times New Roman"/>
          <w:sz w:val="24"/>
          <w:szCs w:val="24"/>
        </w:rPr>
        <w:t xml:space="preserve"> and identify potential enablers as well as roadblocks </w:t>
      </w:r>
      <w:r w:rsidR="00F24805">
        <w:rPr>
          <w:rFonts w:ascii="Times New Roman" w:hAnsi="Times New Roman" w:cs="Times New Roman"/>
          <w:sz w:val="24"/>
          <w:szCs w:val="24"/>
        </w:rPr>
        <w:t>for their implementation (Table 1</w:t>
      </w:r>
      <w:r w:rsidR="00C85579">
        <w:rPr>
          <w:rFonts w:ascii="Times New Roman" w:hAnsi="Times New Roman" w:cs="Times New Roman"/>
          <w:sz w:val="24"/>
          <w:szCs w:val="24"/>
        </w:rPr>
        <w:t xml:space="preserve">; </w:t>
      </w:r>
      <w:r w:rsidR="009C55EA" w:rsidRPr="009C55EA">
        <w:rPr>
          <w:rFonts w:ascii="Times New Roman" w:hAnsi="Times New Roman" w:cs="Times New Roman"/>
          <w:sz w:val="24"/>
          <w:szCs w:val="24"/>
        </w:rPr>
        <w:t>see Supplemental Table 1 for additional case studies and a full list of references</w:t>
      </w:r>
      <w:r w:rsidR="00F24805">
        <w:rPr>
          <w:rFonts w:ascii="Times New Roman" w:hAnsi="Times New Roman" w:cs="Times New Roman"/>
          <w:sz w:val="24"/>
          <w:szCs w:val="24"/>
        </w:rPr>
        <w:t>)</w:t>
      </w:r>
      <w:r w:rsidR="00C10283">
        <w:rPr>
          <w:rFonts w:ascii="Times New Roman" w:hAnsi="Times New Roman" w:cs="Times New Roman"/>
          <w:sz w:val="24"/>
          <w:szCs w:val="24"/>
        </w:rPr>
        <w:t>.</w:t>
      </w:r>
      <w:r w:rsidRPr="2784A02F">
        <w:rPr>
          <w:rFonts w:ascii="Times New Roman" w:hAnsi="Times New Roman" w:cs="Times New Roman"/>
          <w:sz w:val="24"/>
          <w:szCs w:val="24"/>
        </w:rPr>
        <w:t xml:space="preserve"> </w:t>
      </w:r>
      <w:r w:rsidR="00E64F1B">
        <w:rPr>
          <w:rFonts w:ascii="Times New Roman" w:hAnsi="Times New Roman" w:cs="Times New Roman"/>
          <w:sz w:val="24"/>
          <w:szCs w:val="24"/>
        </w:rPr>
        <w:t>I</w:t>
      </w:r>
      <w:r w:rsidRPr="2784A02F">
        <w:rPr>
          <w:rFonts w:ascii="Times New Roman" w:hAnsi="Times New Roman" w:cs="Times New Roman"/>
          <w:sz w:val="24"/>
          <w:szCs w:val="24"/>
        </w:rPr>
        <w:t xml:space="preserve">mplementing those measures can safeguard the livelihoods and infrastructure in the Mekong Delta, and be a positive example for managing deltas and coasts globally, which are projected to support </w:t>
      </w:r>
      <w:r w:rsidR="00356FE7">
        <w:rPr>
          <w:rFonts w:ascii="Times New Roman" w:hAnsi="Times New Roman" w:cs="Times New Roman"/>
          <w:sz w:val="24"/>
          <w:szCs w:val="24"/>
        </w:rPr>
        <w:t xml:space="preserve">up to </w:t>
      </w:r>
      <w:r w:rsidRPr="2784A02F">
        <w:rPr>
          <w:rFonts w:ascii="Times New Roman" w:hAnsi="Times New Roman" w:cs="Times New Roman"/>
          <w:sz w:val="24"/>
          <w:szCs w:val="24"/>
        </w:rPr>
        <w:t xml:space="preserve">1 billion people by the end of the century: </w:t>
      </w:r>
    </w:p>
    <w:p w14:paraId="374613B5" w14:textId="560B527A" w:rsidR="009A0612" w:rsidRDefault="009A0612" w:rsidP="00E93601"/>
    <w:p w14:paraId="1C941112" w14:textId="44AFE882" w:rsidR="00C804A0" w:rsidRDefault="006A7D52">
      <w:r>
        <w:t>-</w:t>
      </w:r>
      <w:r w:rsidR="00E93601">
        <w:t xml:space="preserve"> </w:t>
      </w:r>
      <w:r w:rsidR="0051063A" w:rsidRPr="004477A6">
        <w:rPr>
          <w:i/>
          <w:iCs/>
        </w:rPr>
        <w:t xml:space="preserve">Avoid </w:t>
      </w:r>
      <w:r w:rsidR="0051063A">
        <w:rPr>
          <w:i/>
          <w:iCs/>
        </w:rPr>
        <w:t>high-impact dams</w:t>
      </w:r>
      <w:r w:rsidR="0051063A">
        <w:t>.</w:t>
      </w:r>
      <w:r w:rsidR="00A97095">
        <w:t xml:space="preserve"> </w:t>
      </w:r>
      <w:r w:rsidR="0051063A">
        <w:t>Do not build dams at sites</w:t>
      </w:r>
      <w:r w:rsidR="0051063A" w:rsidRPr="006E5E2A">
        <w:t xml:space="preserve"> with </w:t>
      </w:r>
      <w:r w:rsidR="008B5F8E">
        <w:t xml:space="preserve">the </w:t>
      </w:r>
      <w:r w:rsidR="0051063A">
        <w:t>highest</w:t>
      </w:r>
      <w:r w:rsidR="0051063A" w:rsidRPr="006E5E2A">
        <w:t xml:space="preserve"> sediment trapping potential</w:t>
      </w:r>
      <w:r w:rsidR="0051063A">
        <w:t>. Use network-scale portfolio analysis to identify optimal dam placement to minimize impacts while maintaining hydropower production.</w:t>
      </w:r>
      <w:r w:rsidR="00A97095">
        <w:t xml:space="preserve"> </w:t>
      </w:r>
      <w:r w:rsidR="0051063A">
        <w:t>The benefits and impacts of alternative energy sources should be considered along with hydropower, as some planned hydropower projects are no longer competitive with alternatives, such as solar photovoltaic.</w:t>
      </w:r>
      <w:r w:rsidR="00E02822">
        <w:t xml:space="preserve"> </w:t>
      </w:r>
    </w:p>
    <w:p w14:paraId="28921263" w14:textId="77777777" w:rsidR="00C804A0" w:rsidRDefault="00C804A0" w:rsidP="00E93601"/>
    <w:p w14:paraId="159E8E64" w14:textId="4158D760" w:rsidR="0051063A" w:rsidRDefault="006A7D52" w:rsidP="0051063A">
      <w:r>
        <w:t>-</w:t>
      </w:r>
      <w:r w:rsidR="00C804A0">
        <w:t xml:space="preserve"> </w:t>
      </w:r>
      <w:r w:rsidR="0051063A">
        <w:rPr>
          <w:i/>
          <w:iCs/>
        </w:rPr>
        <w:t xml:space="preserve">Maximize sediment passage through/around </w:t>
      </w:r>
      <w:r w:rsidR="0051063A" w:rsidRPr="004477A6">
        <w:rPr>
          <w:i/>
          <w:iCs/>
        </w:rPr>
        <w:t>dams</w:t>
      </w:r>
      <w:r w:rsidR="0051063A">
        <w:t>.</w:t>
      </w:r>
      <w:r w:rsidR="0051063A" w:rsidRPr="00352856">
        <w:t xml:space="preserve"> </w:t>
      </w:r>
      <w:r w:rsidR="0051063A">
        <w:t xml:space="preserve">Sustainable sediment management strategies such as sluicing, flushing, and bypasses can allow some sediment to move </w:t>
      </w:r>
      <w:r w:rsidR="0051063A" w:rsidRPr="00352856">
        <w:t>from upstream</w:t>
      </w:r>
      <w:r w:rsidR="0051063A" w:rsidRPr="0076661A">
        <w:t xml:space="preserve"> to downstream</w:t>
      </w:r>
      <w:r w:rsidR="0051063A">
        <w:t>.</w:t>
      </w:r>
      <w:r w:rsidR="00A97095">
        <w:t xml:space="preserve"> </w:t>
      </w:r>
      <w:r w:rsidR="0051063A">
        <w:t>These approaches could apply to m</w:t>
      </w:r>
      <w:r w:rsidR="00A879FA">
        <w:t>any</w:t>
      </w:r>
      <w:r w:rsidR="0051063A">
        <w:t xml:space="preserve"> dams and are already included in </w:t>
      </w:r>
      <w:r w:rsidR="00A879FA">
        <w:t>the Mekong River Commission (</w:t>
      </w:r>
      <w:r w:rsidR="0051063A">
        <w:t>MRC</w:t>
      </w:r>
      <w:r w:rsidR="00A879FA">
        <w:t>)</w:t>
      </w:r>
      <w:r w:rsidR="0051063A">
        <w:t xml:space="preserve">’s mainstem dam guidance. Additionally, studies are needed to </w:t>
      </w:r>
      <w:r w:rsidR="00A879FA">
        <w:t>evaluate</w:t>
      </w:r>
      <w:r w:rsidR="0051063A">
        <w:t xml:space="preserve"> the retrofit potential of dams currently not equipped for sediment management. </w:t>
      </w:r>
    </w:p>
    <w:p w14:paraId="1D2CF53A" w14:textId="77777777" w:rsidR="00C804A0" w:rsidRDefault="00C804A0" w:rsidP="00E93601"/>
    <w:p w14:paraId="18A95C17" w14:textId="4F0BE6A8" w:rsidR="0039461D" w:rsidRDefault="006A7D52" w:rsidP="003947A6">
      <w:r>
        <w:t>-</w:t>
      </w:r>
      <w:r w:rsidR="00C804A0">
        <w:t xml:space="preserve"> </w:t>
      </w:r>
      <w:r w:rsidR="00972E39">
        <w:rPr>
          <w:i/>
          <w:iCs/>
        </w:rPr>
        <w:t>Control and p</w:t>
      </w:r>
      <w:r w:rsidR="00C804A0" w:rsidRPr="004477A6">
        <w:rPr>
          <w:i/>
          <w:iCs/>
        </w:rPr>
        <w:t>hase</w:t>
      </w:r>
      <w:r w:rsidR="00F23672">
        <w:rPr>
          <w:i/>
          <w:iCs/>
        </w:rPr>
        <w:t>-</w:t>
      </w:r>
      <w:r w:rsidR="00C804A0" w:rsidRPr="004477A6">
        <w:rPr>
          <w:i/>
          <w:iCs/>
        </w:rPr>
        <w:t>out riverbed sand mining</w:t>
      </w:r>
      <w:r w:rsidR="00537EA2">
        <w:t>.</w:t>
      </w:r>
      <w:r w:rsidR="00A97095">
        <w:t xml:space="preserve"> </w:t>
      </w:r>
      <w:r w:rsidR="00C804A0">
        <w:t>I</w:t>
      </w:r>
      <w:r w:rsidR="0039461D">
        <w:t>mpacts of s</w:t>
      </w:r>
      <w:r w:rsidR="001B2AE7">
        <w:t>and mining</w:t>
      </w:r>
      <w:r w:rsidR="0039461D">
        <w:t xml:space="preserve"> c</w:t>
      </w:r>
      <w:r w:rsidR="00175500">
        <w:t>an</w:t>
      </w:r>
      <w:r w:rsidR="0039461D">
        <w:t xml:space="preserve"> be reduced through </w:t>
      </w:r>
      <w:r w:rsidR="001B2AE7">
        <w:t>better enforcement of mining regulations</w:t>
      </w:r>
      <w:r w:rsidR="00175500">
        <w:t>,</w:t>
      </w:r>
      <w:r w:rsidR="001B2AE7">
        <w:t xml:space="preserve"> </w:t>
      </w:r>
      <w:r w:rsidR="00175500">
        <w:t>limiting extraction rates to a</w:t>
      </w:r>
      <w:r w:rsidR="00C275C7">
        <w:t xml:space="preserve"> sustainable</w:t>
      </w:r>
      <w:r w:rsidR="00175500">
        <w:t xml:space="preserve"> fraction of the river’s sand and gravel load, </w:t>
      </w:r>
      <w:r w:rsidR="001B2AE7">
        <w:t xml:space="preserve">and </w:t>
      </w:r>
      <w:r w:rsidR="0039461D">
        <w:t xml:space="preserve">encouraging </w:t>
      </w:r>
      <w:r w:rsidR="001B2AE7">
        <w:t>alternative sources of aggregate for construction</w:t>
      </w:r>
      <w:r w:rsidR="0039461D">
        <w:t xml:space="preserve">, such </w:t>
      </w:r>
      <w:r w:rsidR="005A17E1">
        <w:t xml:space="preserve">as </w:t>
      </w:r>
      <w:r w:rsidR="00ED2A6F">
        <w:t xml:space="preserve">crushed aggregates, </w:t>
      </w:r>
      <w:r w:rsidR="002073C8">
        <w:t>floodplain</w:t>
      </w:r>
      <w:r w:rsidR="00B25548">
        <w:t xml:space="preserve"> sand </w:t>
      </w:r>
      <w:r w:rsidR="0071569D">
        <w:t>quarries</w:t>
      </w:r>
      <w:r w:rsidR="00FA28FE">
        <w:t xml:space="preserve"> </w:t>
      </w:r>
      <w:r w:rsidR="005A17E1">
        <w:t>and recycling of concrete rubble</w:t>
      </w:r>
      <w:r w:rsidR="00EA1C1F">
        <w:t xml:space="preserve">, as increasingly required </w:t>
      </w:r>
      <w:r w:rsidR="00175500">
        <w:t>by policies worldwide</w:t>
      </w:r>
      <w:r w:rsidR="0039461D">
        <w:t>.</w:t>
      </w:r>
      <w:r w:rsidR="00175500" w:rsidDel="00175500">
        <w:t xml:space="preserve"> </w:t>
      </w:r>
    </w:p>
    <w:p w14:paraId="7B519065" w14:textId="45630C19" w:rsidR="00FC668D" w:rsidRDefault="00FC668D" w:rsidP="001552E2">
      <w:pPr>
        <w:widowControl w:val="0"/>
        <w:autoSpaceDE w:val="0"/>
        <w:autoSpaceDN w:val="0"/>
        <w:adjustRightInd w:val="0"/>
      </w:pPr>
    </w:p>
    <w:p w14:paraId="68459238" w14:textId="4590532C" w:rsidR="00A32CB9" w:rsidRDefault="74814C79" w:rsidP="00540946">
      <w:r>
        <w:t xml:space="preserve">- </w:t>
      </w:r>
      <w:r w:rsidRPr="74814C79">
        <w:rPr>
          <w:i/>
          <w:iCs/>
        </w:rPr>
        <w:t xml:space="preserve">Transform agriculture in the Vietnamese Mekong Delta to produce less quantity but higher quality, and as part of this transition adapt </w:t>
      </w:r>
      <w:r w:rsidRPr="74814C79">
        <w:rPr>
          <w:i/>
          <w:iCs/>
          <w:color w:val="000000" w:themeColor="text1"/>
        </w:rPr>
        <w:t>agricultural practices to minimize groundwater extraction and reconnect distributaries to the delta plain</w:t>
      </w:r>
      <w:r w:rsidRPr="74814C79">
        <w:rPr>
          <w:color w:val="000000" w:themeColor="text1"/>
        </w:rPr>
        <w:t xml:space="preserve">. </w:t>
      </w:r>
      <w:r>
        <w:t>As recommended by the Government Resolution 120,</w:t>
      </w:r>
      <w:r w:rsidRPr="74814C79">
        <w:rPr>
          <w:i/>
          <w:iCs/>
        </w:rPr>
        <w:t xml:space="preserve"> </w:t>
      </w:r>
      <w:r w:rsidRPr="74814C79">
        <w:rPr>
          <w:color w:val="000000" w:themeColor="text1"/>
        </w:rPr>
        <w:t>reduce g</w:t>
      </w:r>
      <w:r>
        <w:t xml:space="preserve">roundwater pumping through shift to less-water-intensive crops, improve access to alternative surface water supplies and maintain their quality, regulate water </w:t>
      </w:r>
      <w:proofErr w:type="gramStart"/>
      <w:r>
        <w:t>demand</w:t>
      </w:r>
      <w:proofErr w:type="gramEnd"/>
      <w:r>
        <w:t xml:space="preserve"> and reuse water. </w:t>
      </w:r>
    </w:p>
    <w:p w14:paraId="30B7A3DE" w14:textId="77777777" w:rsidR="00FC668D" w:rsidRDefault="00FC668D" w:rsidP="001552E2">
      <w:pPr>
        <w:widowControl w:val="0"/>
        <w:autoSpaceDE w:val="0"/>
        <w:autoSpaceDN w:val="0"/>
        <w:adjustRightInd w:val="0"/>
      </w:pPr>
    </w:p>
    <w:p w14:paraId="475AC9C8" w14:textId="4079693B" w:rsidR="00FC668D" w:rsidRDefault="006A7D52" w:rsidP="00FC668D">
      <w:r>
        <w:lastRenderedPageBreak/>
        <w:t>-</w:t>
      </w:r>
      <w:r w:rsidR="00FC668D">
        <w:t xml:space="preserve"> </w:t>
      </w:r>
      <w:r w:rsidR="00FC668D" w:rsidRPr="004477A6">
        <w:rPr>
          <w:i/>
          <w:iCs/>
          <w:color w:val="000000"/>
        </w:rPr>
        <w:t xml:space="preserve">Maintain </w:t>
      </w:r>
      <w:r w:rsidR="00843335">
        <w:rPr>
          <w:i/>
          <w:iCs/>
          <w:color w:val="000000"/>
        </w:rPr>
        <w:t>connectivity of</w:t>
      </w:r>
      <w:r w:rsidR="00843335" w:rsidRPr="004477A6">
        <w:rPr>
          <w:i/>
          <w:iCs/>
          <w:color w:val="000000"/>
        </w:rPr>
        <w:t xml:space="preserve"> </w:t>
      </w:r>
      <w:r w:rsidR="00FC668D" w:rsidRPr="004477A6">
        <w:rPr>
          <w:i/>
          <w:iCs/>
          <w:color w:val="000000"/>
        </w:rPr>
        <w:t>delta floodplains</w:t>
      </w:r>
      <w:r w:rsidR="00FC668D">
        <w:rPr>
          <w:color w:val="000000"/>
        </w:rPr>
        <w:t>.</w:t>
      </w:r>
      <w:r w:rsidR="00A97095">
        <w:rPr>
          <w:color w:val="000000"/>
        </w:rPr>
        <w:t xml:space="preserve"> </w:t>
      </w:r>
      <w:r w:rsidR="004D1247">
        <w:rPr>
          <w:color w:val="000000"/>
        </w:rPr>
        <w:t xml:space="preserve">Adapt </w:t>
      </w:r>
      <w:r w:rsidR="00537EA2">
        <w:t xml:space="preserve">water </w:t>
      </w:r>
      <w:r w:rsidR="00FC668D">
        <w:t xml:space="preserve">infrastructure in the </w:t>
      </w:r>
      <w:r w:rsidR="00537EA2">
        <w:t xml:space="preserve">Delta to allow sediment-charged flows to spread over the </w:t>
      </w:r>
      <w:r w:rsidR="00807252">
        <w:t>d</w:t>
      </w:r>
      <w:r w:rsidR="00537EA2">
        <w:t>elta surface</w:t>
      </w:r>
      <w:r w:rsidR="00843335">
        <w:t xml:space="preserve"> </w:t>
      </w:r>
      <w:r w:rsidR="00384946">
        <w:t xml:space="preserve">at least one year in </w:t>
      </w:r>
      <w:proofErr w:type="gramStart"/>
      <w:r w:rsidR="00384946">
        <w:t xml:space="preserve">three, </w:t>
      </w:r>
      <w:r w:rsidR="00843335">
        <w:t>and</w:t>
      </w:r>
      <w:proofErr w:type="gramEnd"/>
      <w:r w:rsidR="00843335">
        <w:t xml:space="preserve"> </w:t>
      </w:r>
      <w:r w:rsidR="00544047">
        <w:t xml:space="preserve">acknowledge </w:t>
      </w:r>
      <w:r w:rsidR="00B1092C">
        <w:t xml:space="preserve">the </w:t>
      </w:r>
      <w:r w:rsidR="00544047">
        <w:t>socio-economic benefits of</w:t>
      </w:r>
      <w:r w:rsidR="00843335">
        <w:t xml:space="preserve"> floods and sediment</w:t>
      </w:r>
      <w:r w:rsidR="00FC668D">
        <w:t xml:space="preserve">. </w:t>
      </w:r>
      <w:r w:rsidR="00537EA2">
        <w:t>P</w:t>
      </w:r>
      <w:r w:rsidR="00FC668D">
        <w:t xml:space="preserve">revent </w:t>
      </w:r>
      <w:r w:rsidR="00FC668D" w:rsidRPr="001552E2">
        <w:t>d</w:t>
      </w:r>
      <w:r w:rsidR="00FC668D">
        <w:t>i</w:t>
      </w:r>
      <w:r w:rsidR="00FC668D" w:rsidRPr="001552E2">
        <w:t>k</w:t>
      </w:r>
      <w:r w:rsidR="00FC668D">
        <w:t>es</w:t>
      </w:r>
      <w:r w:rsidR="00FC668D" w:rsidRPr="001552E2">
        <w:t xml:space="preserve"> </w:t>
      </w:r>
      <w:r w:rsidR="00FC668D">
        <w:t xml:space="preserve">from cutting off </w:t>
      </w:r>
      <w:r w:rsidR="00FC668D" w:rsidRPr="00AD7778">
        <w:t xml:space="preserve">channels </w:t>
      </w:r>
      <w:r w:rsidR="00544047">
        <w:t>from</w:t>
      </w:r>
      <w:r w:rsidR="00FC668D" w:rsidRPr="00AD7778">
        <w:t xml:space="preserve"> floodplains</w:t>
      </w:r>
      <w:r w:rsidR="001C626B">
        <w:t xml:space="preserve"> and allow natural sediment deposition and water infiltration on the floodplains.</w:t>
      </w:r>
      <w:r w:rsidR="00A97095">
        <w:t xml:space="preserve"> </w:t>
      </w:r>
    </w:p>
    <w:p w14:paraId="57233916" w14:textId="77777777" w:rsidR="006A7D52" w:rsidRDefault="006A7D52" w:rsidP="00FC668D"/>
    <w:p w14:paraId="0959327E" w14:textId="27FF02A6" w:rsidR="002073C8" w:rsidRDefault="006A7D52" w:rsidP="002073C8">
      <w:r>
        <w:t>-</w:t>
      </w:r>
      <w:r w:rsidR="002073C8">
        <w:rPr>
          <w:i/>
          <w:iCs/>
        </w:rPr>
        <w:t xml:space="preserve"> Leverage nature-based solutions for coastal protection</w:t>
      </w:r>
      <w:r w:rsidR="002073C8">
        <w:t>.</w:t>
      </w:r>
      <w:r w:rsidR="00A97095">
        <w:t xml:space="preserve"> </w:t>
      </w:r>
      <w:r w:rsidR="002073C8">
        <w:t xml:space="preserve">At low cost, mangroves </w:t>
      </w:r>
      <w:r w:rsidR="001C626B">
        <w:t xml:space="preserve">and natural wetlands </w:t>
      </w:r>
      <w:r w:rsidR="002073C8">
        <w:t xml:space="preserve">are a proven solution to coastal erosion with benefits for biodiversity and livelihoods, but for </w:t>
      </w:r>
      <w:r w:rsidR="001C626B">
        <w:t>those ecosystems to build land</w:t>
      </w:r>
      <w:r w:rsidR="00A97095">
        <w:t xml:space="preserve"> </w:t>
      </w:r>
      <w:r w:rsidR="002073C8">
        <w:t>there must be a supply of sediment for them to trap.</w:t>
      </w:r>
      <w:r w:rsidR="00A97095">
        <w:t xml:space="preserve"> </w:t>
      </w:r>
    </w:p>
    <w:p w14:paraId="72C8C519" w14:textId="3E915727" w:rsidR="00471E0F" w:rsidRDefault="00471E0F"/>
    <w:p w14:paraId="3FBF2DCE" w14:textId="3573BC8E" w:rsidR="008F0F9E" w:rsidRDefault="2784A02F" w:rsidP="007223D4">
      <w:r>
        <w:t xml:space="preserve">In a large and transboundary basin, </w:t>
      </w:r>
      <w:r w:rsidR="002468C5">
        <w:t>implementing those</w:t>
      </w:r>
      <w:r>
        <w:t xml:space="preserve"> measures </w:t>
      </w:r>
      <w:r w:rsidR="002468C5">
        <w:t>is</w:t>
      </w:r>
      <w:r>
        <w:t xml:space="preserve"> ambitious and will require actors to rethink governance and investments in the basin. Yet</w:t>
      </w:r>
      <w:r w:rsidR="00356FE7">
        <w:t xml:space="preserve">, </w:t>
      </w:r>
      <w:r w:rsidR="00EF155D">
        <w:t xml:space="preserve">in such a portfolio of measures, each measure can develop its full potential. Working on the full portfolio of measures poses </w:t>
      </w:r>
      <w:r w:rsidR="00F77D3E">
        <w:t>a sobering</w:t>
      </w:r>
      <w:r w:rsidR="00EF155D">
        <w:t xml:space="preserve"> challenge, yet </w:t>
      </w:r>
      <w:r w:rsidR="007223D4">
        <w:t xml:space="preserve">there </w:t>
      </w:r>
      <w:r w:rsidR="005A3AF7">
        <w:t>are</w:t>
      </w:r>
      <w:r w:rsidR="007223D4">
        <w:t xml:space="preserve"> preceden</w:t>
      </w:r>
      <w:r w:rsidR="005A3AF7">
        <w:t>ts elsewhere</w:t>
      </w:r>
      <w:r w:rsidR="00D520B8">
        <w:t>,</w:t>
      </w:r>
      <w:r w:rsidR="007223D4">
        <w:t xml:space="preserve"> </w:t>
      </w:r>
      <w:r w:rsidR="00AA1495">
        <w:t>and thus lessons to build upon</w:t>
      </w:r>
      <w:r w:rsidR="00D520B8">
        <w:t>,</w:t>
      </w:r>
      <w:r w:rsidR="00AA1495">
        <w:t xml:space="preserve"> </w:t>
      </w:r>
      <w:r w:rsidR="007223D4">
        <w:t xml:space="preserve">for the successful implementation </w:t>
      </w:r>
      <w:r w:rsidR="00AA1495">
        <w:t>of each measure</w:t>
      </w:r>
      <w:r w:rsidR="00D520B8">
        <w:t xml:space="preserve"> </w:t>
      </w:r>
      <w:r>
        <w:t xml:space="preserve">(Table 1, </w:t>
      </w:r>
      <w:r w:rsidR="00D520B8">
        <w:t xml:space="preserve">see </w:t>
      </w:r>
      <w:r>
        <w:t>Supplemental Table 1</w:t>
      </w:r>
      <w:r w:rsidR="00D520B8">
        <w:t xml:space="preserve"> for additional case studies and a ful</w:t>
      </w:r>
      <w:r w:rsidR="003C707D">
        <w:t xml:space="preserve">l </w:t>
      </w:r>
      <w:r w:rsidR="00D520B8">
        <w:t>list</w:t>
      </w:r>
      <w:r w:rsidR="003C707D">
        <w:t xml:space="preserve"> of references</w:t>
      </w:r>
      <w:r>
        <w:t xml:space="preserve">). </w:t>
      </w:r>
    </w:p>
    <w:p w14:paraId="5AF2BC31" w14:textId="77777777" w:rsidR="008F0F9E" w:rsidRPr="007A1B08" w:rsidRDefault="008F0F9E" w:rsidP="008F0F9E">
      <w:pPr>
        <w:pStyle w:val="Heading3"/>
        <w:keepNext/>
        <w:keepLines/>
      </w:pPr>
      <w:bookmarkStart w:id="3" w:name="_Toc95335447"/>
      <w:r w:rsidRPr="007A1B08">
        <w:t>Conclusions</w:t>
      </w:r>
      <w:bookmarkEnd w:id="3"/>
    </w:p>
    <w:p w14:paraId="2D2A7E21" w14:textId="5B1A3A98" w:rsidR="008F0F9E" w:rsidRDefault="008F0F9E" w:rsidP="008F0F9E">
      <w:r w:rsidRPr="28F3BA9F">
        <w:t xml:space="preserve">By virtue of its national, </w:t>
      </w:r>
      <w:proofErr w:type="gramStart"/>
      <w:r w:rsidRPr="28F3BA9F">
        <w:t>regional</w:t>
      </w:r>
      <w:proofErr w:type="gramEnd"/>
      <w:r w:rsidRPr="28F3BA9F">
        <w:t xml:space="preserve"> and global importance, the Mekong Delta has attracted extensive interest from the </w:t>
      </w:r>
      <w:r>
        <w:t>Vietnamese</w:t>
      </w:r>
      <w:r w:rsidRPr="28F3BA9F">
        <w:t xml:space="preserve"> government as well as researchers, international development partners, multinational corporations and civil society. However, the severity and urgency of its existential and cumulative threats, at both delta and basin scales, has not previously been analyzed by combining such a wide range of drivers, nor has it been sufficiently considered in key policies and investment plans. That the Delta faces an existential crisis is increasingly recognized by the Vietnamese government, as reflected in Deputy Prime Minister Dung’s May 2020 call for an “emergency” response to climate change, recognizing that rising seas, coastal </w:t>
      </w:r>
      <w:proofErr w:type="gramStart"/>
      <w:r w:rsidRPr="28F3BA9F">
        <w:t>erosion</w:t>
      </w:r>
      <w:proofErr w:type="gramEnd"/>
      <w:r w:rsidRPr="28F3BA9F">
        <w:t> and subsidence could occur earlier than previously understood. However, the prospect of the delta falling below sea level has not been explicitly mainstreamed into national and basin-wide investment plans</w:t>
      </w:r>
      <w:r w:rsidRPr="08F295D5">
        <w:t>,</w:t>
      </w:r>
      <w:r w:rsidRPr="28F3BA9F">
        <w:t xml:space="preserve"> nor </w:t>
      </w:r>
      <w:r w:rsidRPr="08F295D5">
        <w:t xml:space="preserve">has </w:t>
      </w:r>
      <w:r w:rsidRPr="28F3BA9F">
        <w:t xml:space="preserve">an urgent ad hoc multi-lateral response </w:t>
      </w:r>
      <w:r w:rsidRPr="08F295D5">
        <w:t xml:space="preserve">been </w:t>
      </w:r>
      <w:r w:rsidRPr="28F3BA9F">
        <w:t xml:space="preserve">formulated. </w:t>
      </w:r>
    </w:p>
    <w:p w14:paraId="52357D5F" w14:textId="77777777" w:rsidR="008F0F9E" w:rsidRDefault="008F0F9E" w:rsidP="008F0F9E"/>
    <w:p w14:paraId="691786FE" w14:textId="77777777" w:rsidR="008F0F9E" w:rsidRPr="007E44E2" w:rsidRDefault="008F0F9E" w:rsidP="008F0F9E">
      <w:pPr>
        <w:rPr>
          <w:color w:val="000000"/>
        </w:rPr>
      </w:pPr>
      <w:r>
        <w:t xml:space="preserve">The size of the Delta and its thriving economy makes it difficult to conceive of the immediacy of the threat and the precariousness of this vital human asset. However, after 7,000 years of progradation, the delta is now rapidly subsiding and eroding from the combined effects of human-induced reduction in sediment supply, accelerated subsidence, and sea level rise. ‘Business as usual’ practices will result in about 90% of the delta landform being below sea level by 2100 (1). The six changes to management practices we propose at both the delta and basin-wide scales could slow subsidence and erosion, thereby extending the life of the delta significantly. </w:t>
      </w:r>
    </w:p>
    <w:p w14:paraId="46A2A42D" w14:textId="77777777" w:rsidR="008F0F9E" w:rsidRPr="006E5E2A" w:rsidRDefault="008F0F9E" w:rsidP="008F0F9E"/>
    <w:p w14:paraId="68812D62" w14:textId="5E091B81" w:rsidR="008F0F9E" w:rsidRDefault="008F0F9E" w:rsidP="008F0F9E">
      <w:r>
        <w:t xml:space="preserve">Each of the proposed measures engenders financial costs, technological innovation and, most importantly, civil, business, and political engagement in the near-term at both national and basin-wide scales. We are under no illusions that these changes will be easy to implement, as has been illustrated by the difficulties to establish a coordinated process for hydropower development in the Mekong Basin </w:t>
      </w:r>
      <w:r>
        <w:fldChar w:fldCharType="begin"/>
      </w:r>
      <w:r>
        <w:instrText xml:space="preserve"> ADDIN ZOTERO_ITEM CSL_CITATION {"citationID":"HVUjXwvY","properties":{"formattedCitation":"({\\i{}2}, {\\i{}10}, {\\i{}17})","plainCitation":"(2, 10, 17)","noteIndex":0},"citationItems":[{"id":2420,"uris":["http://zotero.org/users/1975400/items/VF6UZINZ"],"uri":["http://zotero.org/users/1975400/items/VF6UZINZ"],"itemData":{"id":2420,"type":"book","event-place":"London; Sterling, VA","ISBN":"978-1-84407-707-6","language":"English","note":"OCLC: 276226077","publisher":"Earthscan","publisher-place":"London; Sterling, VA","source":"Open WorldCat","title":"Contested waterscapes in the Mekong Region: hydropower, livelihoods and governance","title-short":"Contested waterscapes in the Mekong Region","author":[{"family":"Molle","given":"François"},{"family":"Foran","given":"Tira"},{"family":"Käkönen","given":"Mira"}],"issued":{"date-parts":[["2009"]]}}},{"id":7799,"uris":["http://zotero.org/users/1975400/items/TT643IBM"],"uri":["http://zotero.org/users/1975400/items/TT643IBM"],"itemData":{"id":7799,"type":"article-journal","abstract":"This paper investigates the adaptation processes with reference to the narrative analysis of human–environment interactions in the Vietnamese Mekong Delta. From the political ecology perspective, it ...","container-title":"Asia Pacific Viewpoint","DOI":"10.1111/apv.12241","ISSN":"1467-8373","issue":"1","language":"en","note":"publisher: John Wiley &amp; Sons, Ltd","page":"162-182","source":"onlinelibrary-wiley-com.stanford.idm.oclc.org","title":"From free to forced adaptation: A political ecology of the ‘state-society-flood’ nexus in the Vietnamese Mekong Delta","title-short":"From free to forced adaptation","volume":"61","author":[{"family":"Tran","given":"Thong Anh"}],"issued":{"date-parts":[["2020",4,1]]}}},{"id":7802,"uris":["http://zotero.org/users/1975400/items/4RSV4F5J"],"uri":["http://zotero.org/users/1975400/items/4RSV4F5J"],"itemData":{"id":7802,"type":"article-journal","container-title":"Water Alternatives","issue":"1","page":"66–88","source":"Google Scholar","title":"River-basin politics and the rise of ecological and transnational democracy in Southeast Asia and Southern Africa","volume":"1","author":[{"family":"Sneddon","given":"Chris"},{"family":"Fox","given":"Coleen"}],"issued":{"date-parts":[["2008"]]}}}],"schema":"https://github.com/citation-style-language/schema/raw/master/csl-citation.json"} </w:instrText>
      </w:r>
      <w:r>
        <w:fldChar w:fldCharType="separate"/>
      </w:r>
      <w:r w:rsidRPr="009E1673">
        <w:t>(</w:t>
      </w:r>
      <w:r w:rsidRPr="009E1673">
        <w:rPr>
          <w:i/>
          <w:iCs/>
        </w:rPr>
        <w:t>2</w:t>
      </w:r>
      <w:r w:rsidRPr="009E1673">
        <w:t xml:space="preserve">, </w:t>
      </w:r>
      <w:r w:rsidRPr="009E1673">
        <w:rPr>
          <w:i/>
          <w:iCs/>
        </w:rPr>
        <w:t>10</w:t>
      </w:r>
      <w:r w:rsidRPr="009E1673">
        <w:t xml:space="preserve">, </w:t>
      </w:r>
      <w:r w:rsidRPr="009E1673">
        <w:rPr>
          <w:i/>
          <w:iCs/>
        </w:rPr>
        <w:t>17</w:t>
      </w:r>
      <w:r w:rsidRPr="009E1673">
        <w:t>)</w:t>
      </w:r>
      <w:r>
        <w:fldChar w:fldCharType="end"/>
      </w:r>
      <w:r>
        <w:t xml:space="preserve">. Yet, the cost of continued business as usual and not addressing such key threats needs also to be considered in the current policies emphasizing adaptive and integrated planning in the delta. </w:t>
      </w:r>
      <w:r w:rsidRPr="74814C79">
        <w:rPr>
          <w:rFonts w:eastAsiaTheme="minorEastAsia"/>
          <w:color w:val="000000" w:themeColor="text1"/>
          <w:lang w:eastAsia="ja-JP"/>
        </w:rPr>
        <w:t>The Vietnamese government has already taken important steps to view the delta and its management more systematically, and large</w:t>
      </w:r>
      <w:r>
        <w:t xml:space="preserve"> private investments could support public sector efforts to implement the transformative change needed. To confront the existential threat facing the delta will require unprecedented intersectoral coordination and cooperation at sub-national, </w:t>
      </w:r>
      <w:proofErr w:type="gramStart"/>
      <w:r>
        <w:t>national</w:t>
      </w:r>
      <w:proofErr w:type="gramEnd"/>
      <w:r>
        <w:t xml:space="preserve"> and regional scales. Such cooperation benefits from more systematic science-policy interaction as well as from the acknowledgement of the diverse economic and political interests.</w:t>
      </w:r>
    </w:p>
    <w:p w14:paraId="3EB6FD0A" w14:textId="77777777" w:rsidR="008F0F9E" w:rsidRPr="00751D54" w:rsidRDefault="008F0F9E" w:rsidP="008F0F9E"/>
    <w:p w14:paraId="0D164CD1" w14:textId="52C170D6" w:rsidR="008F0F9E" w:rsidRPr="00751D54" w:rsidRDefault="008F0F9E" w:rsidP="008F0F9E">
      <w:r>
        <w:t xml:space="preserve">The first step towards effectively addressing the delta's existential crisis is for decision-makers to understand the urgency and scale of the threat. If decisions can be made with a recognition of the current trends and how they could be reversed, it may be possible to change management in a positive direction. But it will not happen without such a change in perspective.  We need a new frame with which to screen investments for systemic impacts and benefits, and, ultimately, also political will to decide against activities that –despite </w:t>
      </w:r>
      <w:r>
        <w:lastRenderedPageBreak/>
        <w:t>their short-term economic benefits– undermine the very processes maintaining the delta in the long run. With these measures, solutions are available to ensure the Mekong Delta</w:t>
      </w:r>
      <w:r w:rsidR="00E73C1E">
        <w:t xml:space="preserve"> becomes a sentinel of a new, </w:t>
      </w:r>
      <w:proofErr w:type="gramStart"/>
      <w:r w:rsidR="00E73C1E">
        <w:t>integrative</w:t>
      </w:r>
      <w:proofErr w:type="gramEnd"/>
      <w:r w:rsidR="00E73C1E">
        <w:t xml:space="preserve"> and innovative way of delta management, rather than being </w:t>
      </w:r>
      <w:r>
        <w:t>drown</w:t>
      </w:r>
      <w:r w:rsidR="00E73C1E">
        <w:t>ed</w:t>
      </w:r>
      <w:r>
        <w:t xml:space="preserve"> by the century’s end. </w:t>
      </w:r>
    </w:p>
    <w:p w14:paraId="196CBA0B" w14:textId="77777777" w:rsidR="008F0F9E" w:rsidRPr="00751D54" w:rsidRDefault="008F0F9E" w:rsidP="007223D4"/>
    <w:p w14:paraId="0E590DDF" w14:textId="77777777" w:rsidR="00145538" w:rsidRDefault="00145538"/>
    <w:p w14:paraId="380CB8C5" w14:textId="249387FD" w:rsidR="00471E0F" w:rsidRDefault="00071D01">
      <w:r>
        <w:br w:type="page"/>
      </w:r>
      <w:r w:rsidR="421FC26E">
        <w:lastRenderedPageBreak/>
        <w:t xml:space="preserve">Table 1. Six proposed measures to prolong the life of the Mekong Delta through concerted action across delta and basin scales. While implementing </w:t>
      </w:r>
      <w:r w:rsidR="00BF79BB">
        <w:t xml:space="preserve">these </w:t>
      </w:r>
      <w:r w:rsidR="421FC26E">
        <w:t>measures</w:t>
      </w:r>
      <w:r w:rsidR="00BF79BB">
        <w:t xml:space="preserve"> will</w:t>
      </w:r>
      <w:r w:rsidR="421FC26E">
        <w:t xml:space="preserve"> be challenging, </w:t>
      </w:r>
      <w:r w:rsidR="00082D2F">
        <w:t>they</w:t>
      </w:r>
      <w:r w:rsidR="421FC26E">
        <w:t xml:space="preserve"> are not without preceden</w:t>
      </w:r>
      <w:r w:rsidR="005A3AF7">
        <w:t>ts</w:t>
      </w:r>
      <w:r w:rsidR="421FC26E">
        <w:t xml:space="preserve">, highlighting the need for better environmental governance and innovative financial mechanisms, to make them feasible in the Mekong Basin (See Supplemental material for further details and references to original studies). </w:t>
      </w:r>
    </w:p>
    <w:tbl>
      <w:tblPr>
        <w:tblStyle w:val="PlainTable1"/>
        <w:tblW w:w="10060" w:type="dxa"/>
        <w:tblLook w:val="04A0" w:firstRow="1" w:lastRow="0" w:firstColumn="1" w:lastColumn="0" w:noHBand="0" w:noVBand="1"/>
      </w:tblPr>
      <w:tblGrid>
        <w:gridCol w:w="1462"/>
        <w:gridCol w:w="1417"/>
        <w:gridCol w:w="1908"/>
        <w:gridCol w:w="2211"/>
        <w:gridCol w:w="3062"/>
      </w:tblGrid>
      <w:tr w:rsidR="002452B3" w:rsidRPr="00AB25B0" w14:paraId="5B078DF5" w14:textId="77777777" w:rsidTr="74814C79">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462" w:type="dxa"/>
            <w:hideMark/>
          </w:tcPr>
          <w:p w14:paraId="5291885F" w14:textId="77777777" w:rsidR="002452B3" w:rsidRPr="00F9690C" w:rsidRDefault="002452B3" w:rsidP="00276A11">
            <w:pPr>
              <w:rPr>
                <w:sz w:val="20"/>
                <w:szCs w:val="20"/>
                <w:lang w:val="de-DE"/>
              </w:rPr>
            </w:pPr>
            <w:bookmarkStart w:id="4" w:name="_Hlk83107090"/>
            <w:r w:rsidRPr="00F9690C">
              <w:rPr>
                <w:sz w:val="20"/>
                <w:szCs w:val="20"/>
              </w:rPr>
              <w:t>Core measure</w:t>
            </w:r>
          </w:p>
        </w:tc>
        <w:tc>
          <w:tcPr>
            <w:tcW w:w="1417" w:type="dxa"/>
          </w:tcPr>
          <w:p w14:paraId="70A1B72F" w14:textId="0515E5C2" w:rsidR="002452B3" w:rsidRPr="00F9690C" w:rsidRDefault="002452B3" w:rsidP="00276A11">
            <w:pPr>
              <w:cnfStyle w:val="100000000000" w:firstRow="1" w:lastRow="0" w:firstColumn="0" w:lastColumn="0" w:oddVBand="0" w:evenVBand="0" w:oddHBand="0" w:evenHBand="0" w:firstRowFirstColumn="0" w:firstRowLastColumn="0" w:lastRowFirstColumn="0" w:lastRowLastColumn="0"/>
              <w:rPr>
                <w:sz w:val="20"/>
                <w:szCs w:val="20"/>
              </w:rPr>
            </w:pPr>
            <w:r w:rsidRPr="00C919B4">
              <w:rPr>
                <w:sz w:val="20"/>
                <w:szCs w:val="20"/>
              </w:rPr>
              <w:t>Scale</w:t>
            </w:r>
          </w:p>
        </w:tc>
        <w:tc>
          <w:tcPr>
            <w:tcW w:w="1908" w:type="dxa"/>
            <w:hideMark/>
          </w:tcPr>
          <w:p w14:paraId="34299402" w14:textId="185E319B" w:rsidR="002452B3" w:rsidRPr="00F9690C" w:rsidRDefault="002452B3" w:rsidP="00276A11">
            <w:pPr>
              <w:cnfStyle w:val="100000000000" w:firstRow="1" w:lastRow="0" w:firstColumn="0" w:lastColumn="0" w:oddVBand="0" w:evenVBand="0" w:oddHBand="0" w:evenHBand="0" w:firstRowFirstColumn="0" w:firstRowLastColumn="0" w:lastRowFirstColumn="0" w:lastRowLastColumn="0"/>
              <w:rPr>
                <w:sz w:val="20"/>
                <w:szCs w:val="20"/>
                <w:lang w:val="de-DE"/>
              </w:rPr>
            </w:pPr>
            <w:r w:rsidRPr="00F9690C">
              <w:rPr>
                <w:sz w:val="20"/>
                <w:szCs w:val="20"/>
              </w:rPr>
              <w:t xml:space="preserve">Techno-economic-social enablers </w:t>
            </w:r>
          </w:p>
        </w:tc>
        <w:tc>
          <w:tcPr>
            <w:tcW w:w="2211" w:type="dxa"/>
            <w:hideMark/>
          </w:tcPr>
          <w:p w14:paraId="3A1FCEFE" w14:textId="3DD1DC64" w:rsidR="002452B3" w:rsidRPr="00F9690C" w:rsidRDefault="002452B3" w:rsidP="00276A11">
            <w:pPr>
              <w:cnfStyle w:val="100000000000" w:firstRow="1" w:lastRow="0" w:firstColumn="0" w:lastColumn="0" w:oddVBand="0" w:evenVBand="0" w:oddHBand="0" w:evenHBand="0" w:firstRowFirstColumn="0" w:firstRowLastColumn="0" w:lastRowFirstColumn="0" w:lastRowLastColumn="0"/>
              <w:rPr>
                <w:sz w:val="20"/>
                <w:szCs w:val="20"/>
                <w:lang w:val="de-DE"/>
              </w:rPr>
            </w:pPr>
            <w:r w:rsidRPr="00F9690C">
              <w:rPr>
                <w:sz w:val="20"/>
                <w:szCs w:val="20"/>
              </w:rPr>
              <w:t>Global preceden</w:t>
            </w:r>
            <w:r w:rsidR="0038179F">
              <w:rPr>
                <w:sz w:val="20"/>
                <w:szCs w:val="20"/>
              </w:rPr>
              <w:t>ts</w:t>
            </w:r>
            <w:r w:rsidRPr="00F9690C">
              <w:rPr>
                <w:sz w:val="20"/>
                <w:szCs w:val="20"/>
              </w:rPr>
              <w:t xml:space="preserve"> </w:t>
            </w:r>
          </w:p>
        </w:tc>
        <w:tc>
          <w:tcPr>
            <w:tcW w:w="3062" w:type="dxa"/>
            <w:hideMark/>
          </w:tcPr>
          <w:p w14:paraId="7154BDF0" w14:textId="77777777" w:rsidR="002452B3" w:rsidRPr="00F9690C" w:rsidRDefault="002452B3" w:rsidP="00276A11">
            <w:pPr>
              <w:cnfStyle w:val="100000000000" w:firstRow="1" w:lastRow="0" w:firstColumn="0" w:lastColumn="0" w:oddVBand="0" w:evenVBand="0" w:oddHBand="0" w:evenHBand="0" w:firstRowFirstColumn="0" w:firstRowLastColumn="0" w:lastRowFirstColumn="0" w:lastRowLastColumn="0"/>
              <w:rPr>
                <w:sz w:val="20"/>
                <w:szCs w:val="20"/>
              </w:rPr>
            </w:pPr>
            <w:r w:rsidRPr="00F9690C">
              <w:rPr>
                <w:sz w:val="20"/>
                <w:szCs w:val="20"/>
              </w:rPr>
              <w:t>Key roadblocks in the Mekong</w:t>
            </w:r>
          </w:p>
        </w:tc>
      </w:tr>
      <w:tr w:rsidR="00C919B4" w:rsidRPr="00AB25B0" w14:paraId="19896DF8" w14:textId="77777777" w:rsidTr="74814C79">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462" w:type="dxa"/>
            <w:hideMark/>
          </w:tcPr>
          <w:p w14:paraId="4BDDCDE3" w14:textId="75D0A15E" w:rsidR="00C919B4" w:rsidRPr="00F9690C" w:rsidRDefault="00C919B4" w:rsidP="00276A11">
            <w:pPr>
              <w:rPr>
                <w:sz w:val="20"/>
                <w:szCs w:val="20"/>
              </w:rPr>
            </w:pPr>
            <w:r w:rsidRPr="00F9690C">
              <w:rPr>
                <w:sz w:val="20"/>
                <w:szCs w:val="20"/>
              </w:rPr>
              <w:t xml:space="preserve">Avoid high-impact dams </w:t>
            </w:r>
          </w:p>
        </w:tc>
        <w:tc>
          <w:tcPr>
            <w:tcW w:w="1417" w:type="dxa"/>
            <w:vMerge w:val="restart"/>
          </w:tcPr>
          <w:p w14:paraId="3890C089" w14:textId="77777777" w:rsidR="00C919B4" w:rsidRDefault="00C919B4">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7087610F" w14:textId="77777777" w:rsidR="00C919B4" w:rsidRDefault="00C919B4">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E39332E" w14:textId="14A37157" w:rsidR="00C919B4" w:rsidRDefault="00C919B4">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r w:rsidRPr="00F9690C">
              <w:rPr>
                <w:b/>
                <w:bCs/>
                <w:caps/>
                <w:sz w:val="20"/>
                <w:szCs w:val="20"/>
              </w:rPr>
              <w:t>Whole basin</w:t>
            </w:r>
          </w:p>
          <w:p w14:paraId="74B7DC3A" w14:textId="4C888AC4" w:rsidR="00C919B4" w:rsidRDefault="00C919B4">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2D406F20" w14:textId="56A6464F" w:rsidR="00C919B4" w:rsidRDefault="00C919B4">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767F0235" w14:textId="2DFDEC9B" w:rsidR="00C919B4" w:rsidRDefault="00C919B4">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r>
              <w:rPr>
                <w:b/>
                <w:bCs/>
                <w:caps/>
                <w:noProof/>
                <w:sz w:val="20"/>
                <w:szCs w:val="20"/>
              </w:rPr>
              <mc:AlternateContent>
                <mc:Choice Requires="wps">
                  <w:drawing>
                    <wp:anchor distT="0" distB="0" distL="114300" distR="114300" simplePos="0" relativeHeight="251658240" behindDoc="0" locked="0" layoutInCell="1" allowOverlap="1" wp14:anchorId="104EB834" wp14:editId="4C3FC9E5">
                      <wp:simplePos x="0" y="0"/>
                      <wp:positionH relativeFrom="column">
                        <wp:posOffset>182245</wp:posOffset>
                      </wp:positionH>
                      <wp:positionV relativeFrom="paragraph">
                        <wp:posOffset>137795</wp:posOffset>
                      </wp:positionV>
                      <wp:extent cx="285750" cy="4200525"/>
                      <wp:effectExtent l="57150" t="19050" r="76200" b="104775"/>
                      <wp:wrapNone/>
                      <wp:docPr id="1" name="Isosceles Triangle 1"/>
                      <wp:cNvGraphicFramePr/>
                      <a:graphic xmlns:a="http://schemas.openxmlformats.org/drawingml/2006/main">
                        <a:graphicData uri="http://schemas.microsoft.com/office/word/2010/wordprocessingShape">
                          <wps:wsp>
                            <wps:cNvSpPr/>
                            <wps:spPr>
                              <a:xfrm rot="10800000">
                                <a:off x="0" y="0"/>
                                <a:ext cx="285750" cy="420052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C344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14.35pt;margin-top:10.85pt;width:22.5pt;height:330.7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" fillcolor="#4f81bd [3204]" strokecolor="#4579b8 [3044]">
                      <v:fill color2="#a7bfde [1620]" rotate="t" angle="180" focus="100%" type="gradient">
                        <o:fill v:ext="view" type="gradientUnscaled"/>
                      </v:fill>
                      <v:shadow on="t" color="black" opacity="22937f" origin=",.5" offset="0,.63889mm"/>
                    </v:shape>
                  </w:pict>
                </mc:Fallback>
              </mc:AlternateContent>
            </w:r>
          </w:p>
          <w:p w14:paraId="55C18691" w14:textId="584BCCB0" w:rsidR="00C919B4" w:rsidRPr="002452B3" w:rsidRDefault="00C919B4">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1583E92D"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747698DA" w14:textId="4CA00FF3"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2A5092FF"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318089DE"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C459104" w14:textId="546DF32E"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5A2C00C3" w14:textId="4CFC08D3"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05533916"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77EFDD59" w14:textId="0CE87676"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7DC3C13E"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0292D1BC" w14:textId="7C3C6AFA"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6320B48F"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55049BAC" w14:textId="17166595"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00610FA8"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3AA44856" w14:textId="26901B69"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DCAD445"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65719811" w14:textId="683CBCDC"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290B9942"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125C946"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6C69164A" w14:textId="4B384B5F"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1FD32E98"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727053E5"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3388C682" w14:textId="62D739E1"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6CAA5898"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03F5BD0E"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2EF6F375"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74A55607"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540A0257" w14:textId="433B8B39"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28171564"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2168683"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910B861"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03BB73C9"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734D760C" w14:textId="77777777"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63BFE7CC" w14:textId="23A86653" w:rsidR="00C919B4"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779BF17" w14:textId="75494180" w:rsidR="00C919B4" w:rsidRPr="00F9690C" w:rsidRDefault="00C919B4" w:rsidP="00F9690C">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r w:rsidRPr="00246882">
              <w:rPr>
                <w:b/>
                <w:bCs/>
                <w:caps/>
                <w:sz w:val="20"/>
                <w:szCs w:val="20"/>
              </w:rPr>
              <w:t>delta</w:t>
            </w:r>
            <w:r>
              <w:rPr>
                <w:b/>
                <w:bCs/>
                <w:caps/>
                <w:sz w:val="20"/>
                <w:szCs w:val="20"/>
              </w:rPr>
              <w:t xml:space="preserve"> and coastal</w:t>
            </w:r>
          </w:p>
        </w:tc>
        <w:tc>
          <w:tcPr>
            <w:tcW w:w="1908" w:type="dxa"/>
            <w:hideMark/>
          </w:tcPr>
          <w:p w14:paraId="17306E29" w14:textId="06FD88E7" w:rsidR="00C919B4" w:rsidRPr="00F9690C" w:rsidRDefault="00C919B4" w:rsidP="00276A11">
            <w:pPr>
              <w:cnfStyle w:val="000000100000" w:firstRow="0" w:lastRow="0" w:firstColumn="0" w:lastColumn="0" w:oddVBand="0" w:evenVBand="0" w:oddHBand="1" w:evenHBand="0" w:firstRowFirstColumn="0" w:firstRowLastColumn="0" w:lastRowFirstColumn="0" w:lastRowLastColumn="0"/>
              <w:rPr>
                <w:sz w:val="20"/>
                <w:szCs w:val="20"/>
              </w:rPr>
            </w:pPr>
            <w:r w:rsidRPr="00F9690C">
              <w:rPr>
                <w:sz w:val="20"/>
                <w:szCs w:val="20"/>
              </w:rPr>
              <w:t xml:space="preserve">Non-hydropower renewables and regional power grids enable foregoing high impact dams while reaching ambitious climate goals </w:t>
            </w:r>
          </w:p>
        </w:tc>
        <w:tc>
          <w:tcPr>
            <w:tcW w:w="2211" w:type="dxa"/>
            <w:hideMark/>
          </w:tcPr>
          <w:p w14:paraId="37FED590" w14:textId="6C087BA0" w:rsidR="00C919B4" w:rsidRPr="00F9690C" w:rsidRDefault="00697CB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Moratorium on mainstem hydropower, canceling of high impact dams, national strategic planning processes throughout the region e.g., in Cambodia, Malaysia, Myanmar</w:t>
            </w:r>
            <w:r w:rsidR="00A97095">
              <w:rPr>
                <w:sz w:val="20"/>
                <w:szCs w:val="20"/>
              </w:rPr>
              <w:t xml:space="preserve"> </w:t>
            </w:r>
          </w:p>
        </w:tc>
        <w:tc>
          <w:tcPr>
            <w:tcW w:w="3062" w:type="dxa"/>
            <w:hideMark/>
          </w:tcPr>
          <w:p w14:paraId="71DF7551" w14:textId="4AD4C382" w:rsidR="00C919B4" w:rsidRPr="00F9690C" w:rsidRDefault="74814C79" w:rsidP="28F3BA9F">
            <w:pPr>
              <w:cnfStyle w:val="000000100000" w:firstRow="0" w:lastRow="0" w:firstColumn="0" w:lastColumn="0" w:oddVBand="0" w:evenVBand="0" w:oddHBand="1" w:evenHBand="0" w:firstRowFirstColumn="0" w:firstRowLastColumn="0" w:lastRowFirstColumn="0" w:lastRowLastColumn="0"/>
              <w:rPr>
                <w:sz w:val="20"/>
                <w:szCs w:val="20"/>
              </w:rPr>
            </w:pPr>
            <w:r w:rsidRPr="74814C79">
              <w:rPr>
                <w:sz w:val="20"/>
                <w:szCs w:val="20"/>
              </w:rPr>
              <w:t>Ambitious plans for hydropower exports in the basin’s countries and lack of incentives and compensation for developers to forgo dams. Limited regional coordination on dam development</w:t>
            </w:r>
            <w:r w:rsidR="00EE64E6">
              <w:rPr>
                <w:sz w:val="20"/>
                <w:szCs w:val="20"/>
              </w:rPr>
              <w:t xml:space="preserve"> </w:t>
            </w:r>
          </w:p>
          <w:p w14:paraId="4653D7C5" w14:textId="2F4CA560" w:rsidR="00C919B4" w:rsidRPr="00F9690C" w:rsidRDefault="00C919B4" w:rsidP="28F3BA9F">
            <w:pPr>
              <w:cnfStyle w:val="000000100000" w:firstRow="0" w:lastRow="0" w:firstColumn="0" w:lastColumn="0" w:oddVBand="0" w:evenVBand="0" w:oddHBand="1" w:evenHBand="0" w:firstRowFirstColumn="0" w:firstRowLastColumn="0" w:lastRowFirstColumn="0" w:lastRowLastColumn="0"/>
            </w:pPr>
          </w:p>
        </w:tc>
      </w:tr>
      <w:tr w:rsidR="00C919B4" w:rsidRPr="00AB25B0" w14:paraId="1FE744D2" w14:textId="77777777" w:rsidTr="74814C79">
        <w:trPr>
          <w:trHeight w:val="621"/>
        </w:trPr>
        <w:tc>
          <w:tcPr>
            <w:cnfStyle w:val="001000000000" w:firstRow="0" w:lastRow="0" w:firstColumn="1" w:lastColumn="0" w:oddVBand="0" w:evenVBand="0" w:oddHBand="0" w:evenHBand="0" w:firstRowFirstColumn="0" w:firstRowLastColumn="0" w:lastRowFirstColumn="0" w:lastRowLastColumn="0"/>
            <w:tcW w:w="1462" w:type="dxa"/>
            <w:hideMark/>
          </w:tcPr>
          <w:p w14:paraId="484C8EEC" w14:textId="0A96BC1B" w:rsidR="00C919B4" w:rsidRPr="00F9690C" w:rsidRDefault="00C919B4" w:rsidP="00276A11">
            <w:pPr>
              <w:rPr>
                <w:sz w:val="20"/>
                <w:szCs w:val="20"/>
              </w:rPr>
            </w:pPr>
            <w:r w:rsidRPr="00F9690C">
              <w:rPr>
                <w:sz w:val="20"/>
                <w:szCs w:val="20"/>
              </w:rPr>
              <w:t>Increase sediment passage through existing dams</w:t>
            </w:r>
            <w:r w:rsidRPr="00F9690C" w:rsidDel="00455F8C">
              <w:rPr>
                <w:sz w:val="20"/>
                <w:szCs w:val="20"/>
              </w:rPr>
              <w:t xml:space="preserve"> </w:t>
            </w:r>
          </w:p>
        </w:tc>
        <w:tc>
          <w:tcPr>
            <w:tcW w:w="1417" w:type="dxa"/>
            <w:vMerge/>
          </w:tcPr>
          <w:p w14:paraId="5A891DDD" w14:textId="652B6E74" w:rsidR="00C919B4" w:rsidRPr="002452B3" w:rsidRDefault="00C919B4" w:rsidP="00276A11">
            <w:pPr>
              <w:cnfStyle w:val="000000000000" w:firstRow="0" w:lastRow="0" w:firstColumn="0" w:lastColumn="0" w:oddVBand="0" w:evenVBand="0" w:oddHBand="0" w:evenHBand="0" w:firstRowFirstColumn="0" w:firstRowLastColumn="0" w:lastRowFirstColumn="0" w:lastRowLastColumn="0"/>
              <w:rPr>
                <w:sz w:val="20"/>
                <w:szCs w:val="20"/>
              </w:rPr>
            </w:pPr>
          </w:p>
        </w:tc>
        <w:tc>
          <w:tcPr>
            <w:tcW w:w="1908" w:type="dxa"/>
            <w:hideMark/>
          </w:tcPr>
          <w:p w14:paraId="3C13C6AE" w14:textId="24A49F89" w:rsidR="00C919B4" w:rsidRPr="00F9690C" w:rsidRDefault="00C919B4" w:rsidP="00276A11">
            <w:pPr>
              <w:cnfStyle w:val="000000000000" w:firstRow="0" w:lastRow="0" w:firstColumn="0" w:lastColumn="0" w:oddVBand="0" w:evenVBand="0" w:oddHBand="0" w:evenHBand="0" w:firstRowFirstColumn="0" w:firstRowLastColumn="0" w:lastRowFirstColumn="0" w:lastRowLastColumn="0"/>
              <w:rPr>
                <w:sz w:val="20"/>
                <w:szCs w:val="20"/>
              </w:rPr>
            </w:pPr>
            <w:r w:rsidRPr="00F9690C">
              <w:rPr>
                <w:sz w:val="20"/>
                <w:szCs w:val="20"/>
              </w:rPr>
              <w:t>Non-hydropower renewables increase operational flexibility of dams.</w:t>
            </w:r>
          </w:p>
        </w:tc>
        <w:tc>
          <w:tcPr>
            <w:tcW w:w="2211" w:type="dxa"/>
            <w:hideMark/>
          </w:tcPr>
          <w:p w14:paraId="5DB9DDF8" w14:textId="652EB4C3" w:rsidR="00C919B4" w:rsidRPr="00F9690C" w:rsidRDefault="00C919B4" w:rsidP="00276A11">
            <w:pPr>
              <w:cnfStyle w:val="000000000000" w:firstRow="0" w:lastRow="0" w:firstColumn="0" w:lastColumn="0" w:oddVBand="0" w:evenVBand="0" w:oddHBand="0" w:evenHBand="0" w:firstRowFirstColumn="0" w:firstRowLastColumn="0" w:lastRowFirstColumn="0" w:lastRowLastColumn="0"/>
              <w:rPr>
                <w:sz w:val="20"/>
                <w:szCs w:val="20"/>
              </w:rPr>
            </w:pPr>
            <w:r w:rsidRPr="00F9690C">
              <w:rPr>
                <w:sz w:val="20"/>
                <w:szCs w:val="20"/>
              </w:rPr>
              <w:t>Sediment passage through dams can be achieved through well-tested operational and structural measures</w:t>
            </w:r>
            <w:r w:rsidRPr="00F9690C" w:rsidDel="00455F8C">
              <w:rPr>
                <w:sz w:val="20"/>
                <w:szCs w:val="20"/>
              </w:rPr>
              <w:t xml:space="preserve"> </w:t>
            </w:r>
          </w:p>
        </w:tc>
        <w:tc>
          <w:tcPr>
            <w:tcW w:w="3062" w:type="dxa"/>
            <w:hideMark/>
          </w:tcPr>
          <w:p w14:paraId="3E856E5A" w14:textId="076446F0" w:rsidR="00C919B4" w:rsidRPr="00F9690C" w:rsidRDefault="00EE64E6" w:rsidP="00276A1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Operational measures to increase s</w:t>
            </w:r>
            <w:r w:rsidR="00C919B4" w:rsidRPr="00F9690C">
              <w:rPr>
                <w:sz w:val="20"/>
                <w:szCs w:val="20"/>
              </w:rPr>
              <w:t>ediment passage can reduce generation. High sediment releases can have negative impacts on water users &amp; ecosystems;</w:t>
            </w:r>
            <w:r w:rsidR="00A97095">
              <w:rPr>
                <w:sz w:val="20"/>
                <w:szCs w:val="20"/>
              </w:rPr>
              <w:t xml:space="preserve"> </w:t>
            </w:r>
            <w:r w:rsidR="00C919B4" w:rsidRPr="00F9690C">
              <w:rPr>
                <w:sz w:val="20"/>
                <w:szCs w:val="20"/>
              </w:rPr>
              <w:t>retrofits &amp; reoperation costly.</w:t>
            </w:r>
          </w:p>
        </w:tc>
      </w:tr>
      <w:tr w:rsidR="00C919B4" w:rsidRPr="00AB25B0" w14:paraId="5AB928B7" w14:textId="77777777" w:rsidTr="74814C79">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462" w:type="dxa"/>
            <w:hideMark/>
          </w:tcPr>
          <w:p w14:paraId="0ED32EB5" w14:textId="03130539" w:rsidR="00C919B4" w:rsidRPr="00F9690C" w:rsidRDefault="00C919B4" w:rsidP="00276A11">
            <w:pPr>
              <w:rPr>
                <w:sz w:val="20"/>
                <w:szCs w:val="20"/>
              </w:rPr>
            </w:pPr>
            <w:r w:rsidRPr="00F9690C">
              <w:rPr>
                <w:sz w:val="20"/>
                <w:szCs w:val="20"/>
              </w:rPr>
              <w:t xml:space="preserve">Control and phase-out riverbed </w:t>
            </w:r>
          </w:p>
          <w:p w14:paraId="56B37D64" w14:textId="77777777" w:rsidR="00C919B4" w:rsidRPr="00F9690C" w:rsidRDefault="00C919B4" w:rsidP="00276A11">
            <w:pPr>
              <w:rPr>
                <w:sz w:val="20"/>
                <w:szCs w:val="20"/>
              </w:rPr>
            </w:pPr>
            <w:r w:rsidRPr="00F9690C">
              <w:rPr>
                <w:sz w:val="20"/>
                <w:szCs w:val="20"/>
              </w:rPr>
              <w:t>sand mining</w:t>
            </w:r>
          </w:p>
        </w:tc>
        <w:tc>
          <w:tcPr>
            <w:tcW w:w="1417" w:type="dxa"/>
            <w:vMerge/>
          </w:tcPr>
          <w:p w14:paraId="432C3D33" w14:textId="64970480" w:rsidR="00C919B4" w:rsidRPr="002452B3" w:rsidRDefault="00C919B4" w:rsidP="00276A11">
            <w:pPr>
              <w:cnfStyle w:val="000000100000" w:firstRow="0" w:lastRow="0" w:firstColumn="0" w:lastColumn="0" w:oddVBand="0" w:evenVBand="0" w:oddHBand="1" w:evenHBand="0" w:firstRowFirstColumn="0" w:firstRowLastColumn="0" w:lastRowFirstColumn="0" w:lastRowLastColumn="0"/>
              <w:rPr>
                <w:sz w:val="20"/>
                <w:szCs w:val="20"/>
              </w:rPr>
            </w:pPr>
          </w:p>
        </w:tc>
        <w:tc>
          <w:tcPr>
            <w:tcW w:w="1908" w:type="dxa"/>
            <w:hideMark/>
          </w:tcPr>
          <w:p w14:paraId="3EDE428A" w14:textId="1BFF7482" w:rsidR="00C919B4" w:rsidRPr="00F9690C" w:rsidRDefault="00697CBE" w:rsidP="00276A11">
            <w:pPr>
              <w:cnfStyle w:val="000000100000" w:firstRow="0" w:lastRow="0" w:firstColumn="0" w:lastColumn="0" w:oddVBand="0" w:evenVBand="0" w:oddHBand="1" w:evenHBand="0" w:firstRowFirstColumn="0" w:firstRowLastColumn="0" w:lastRowFirstColumn="0" w:lastRowLastColumn="0"/>
              <w:rPr>
                <w:sz w:val="20"/>
                <w:szCs w:val="20"/>
              </w:rPr>
            </w:pPr>
            <w:r w:rsidRPr="00F9690C">
              <w:rPr>
                <w:sz w:val="20"/>
                <w:szCs w:val="20"/>
              </w:rPr>
              <w:t>Alternative sourcing</w:t>
            </w:r>
            <w:r>
              <w:rPr>
                <w:sz w:val="20"/>
                <w:szCs w:val="20"/>
              </w:rPr>
              <w:t xml:space="preserve">. Circular </w:t>
            </w:r>
            <w:r w:rsidR="00C919B4" w:rsidRPr="00F9690C">
              <w:rPr>
                <w:sz w:val="20"/>
                <w:szCs w:val="20"/>
              </w:rPr>
              <w:t>sand economy and less concrete-heavy building designs</w:t>
            </w:r>
          </w:p>
        </w:tc>
        <w:tc>
          <w:tcPr>
            <w:tcW w:w="2211" w:type="dxa"/>
            <w:hideMark/>
          </w:tcPr>
          <w:p w14:paraId="6FAB8078" w14:textId="4153A243" w:rsidR="00C919B4" w:rsidRPr="00F9690C" w:rsidRDefault="00C919B4" w:rsidP="00276A11">
            <w:pPr>
              <w:cnfStyle w:val="000000100000" w:firstRow="0" w:lastRow="0" w:firstColumn="0" w:lastColumn="0" w:oddVBand="0" w:evenVBand="0" w:oddHBand="1" w:evenHBand="0" w:firstRowFirstColumn="0" w:firstRowLastColumn="0" w:lastRowFirstColumn="0" w:lastRowLastColumn="0"/>
              <w:rPr>
                <w:sz w:val="20"/>
                <w:szCs w:val="20"/>
              </w:rPr>
            </w:pPr>
            <w:r w:rsidRPr="00F9690C">
              <w:rPr>
                <w:sz w:val="20"/>
                <w:szCs w:val="20"/>
              </w:rPr>
              <w:t>Riverbed mining has been phased out in many countries</w:t>
            </w:r>
            <w:r w:rsidR="00697CBE">
              <w:rPr>
                <w:sz w:val="20"/>
                <w:szCs w:val="20"/>
              </w:rPr>
              <w:t xml:space="preserve"> or limited to sustainable rates</w:t>
            </w:r>
            <w:r w:rsidRPr="00F9690C">
              <w:rPr>
                <w:sz w:val="20"/>
                <w:szCs w:val="20"/>
              </w:rPr>
              <w:t>, being replaced with aggregate from alternative terrestrial sources</w:t>
            </w:r>
          </w:p>
        </w:tc>
        <w:tc>
          <w:tcPr>
            <w:tcW w:w="3062" w:type="dxa"/>
            <w:hideMark/>
          </w:tcPr>
          <w:p w14:paraId="216C81B8" w14:textId="4C642C8F" w:rsidR="00C919B4" w:rsidRPr="00F9690C" w:rsidRDefault="00C919B4" w:rsidP="00276A11">
            <w:pPr>
              <w:cnfStyle w:val="000000100000" w:firstRow="0" w:lastRow="0" w:firstColumn="0" w:lastColumn="0" w:oddVBand="0" w:evenVBand="0" w:oddHBand="1" w:evenHBand="0" w:firstRowFirstColumn="0" w:firstRowLastColumn="0" w:lastRowFirstColumn="0" w:lastRowLastColumn="0"/>
              <w:rPr>
                <w:sz w:val="20"/>
                <w:szCs w:val="20"/>
              </w:rPr>
            </w:pPr>
            <w:r w:rsidRPr="00F9690C">
              <w:rPr>
                <w:sz w:val="20"/>
                <w:szCs w:val="20"/>
              </w:rPr>
              <w:t>Lack of business case, cost-benefit analyses, &amp; policy incentives for</w:t>
            </w:r>
            <w:r w:rsidR="00A97095">
              <w:rPr>
                <w:sz w:val="20"/>
                <w:szCs w:val="20"/>
              </w:rPr>
              <w:t xml:space="preserve"> </w:t>
            </w:r>
            <w:r w:rsidRPr="00F9690C">
              <w:rPr>
                <w:sz w:val="20"/>
                <w:szCs w:val="20"/>
              </w:rPr>
              <w:t xml:space="preserve">economically competitive alternatives; revenues from sand export and land reclamation </w:t>
            </w:r>
          </w:p>
        </w:tc>
      </w:tr>
      <w:tr w:rsidR="00C919B4" w:rsidRPr="00AB25B0" w14:paraId="440A2660" w14:textId="77777777" w:rsidTr="74814C79">
        <w:trPr>
          <w:trHeight w:val="829"/>
        </w:trPr>
        <w:tc>
          <w:tcPr>
            <w:cnfStyle w:val="001000000000" w:firstRow="0" w:lastRow="0" w:firstColumn="1" w:lastColumn="0" w:oddVBand="0" w:evenVBand="0" w:oddHBand="0" w:evenHBand="0" w:firstRowFirstColumn="0" w:firstRowLastColumn="0" w:lastRowFirstColumn="0" w:lastRowLastColumn="0"/>
            <w:tcW w:w="1462" w:type="dxa"/>
            <w:hideMark/>
          </w:tcPr>
          <w:p w14:paraId="0C5BC927" w14:textId="580F2234" w:rsidR="00C919B4" w:rsidRPr="00F9690C" w:rsidRDefault="00C919B4" w:rsidP="00276A11">
            <w:pPr>
              <w:rPr>
                <w:sz w:val="20"/>
                <w:szCs w:val="20"/>
              </w:rPr>
            </w:pPr>
            <w:r w:rsidRPr="00F9690C">
              <w:rPr>
                <w:sz w:val="20"/>
                <w:szCs w:val="20"/>
              </w:rPr>
              <w:t xml:space="preserve">Adapt agricultural practices to minimize groundwater </w:t>
            </w:r>
          </w:p>
          <w:p w14:paraId="38409A63" w14:textId="77777777" w:rsidR="00C919B4" w:rsidRPr="00F9690C" w:rsidRDefault="00C919B4" w:rsidP="00276A11">
            <w:pPr>
              <w:rPr>
                <w:sz w:val="20"/>
                <w:szCs w:val="20"/>
                <w:lang w:val="de-DE"/>
              </w:rPr>
            </w:pPr>
            <w:r w:rsidRPr="00F9690C">
              <w:rPr>
                <w:sz w:val="20"/>
                <w:szCs w:val="20"/>
              </w:rPr>
              <w:t>extraction</w:t>
            </w:r>
          </w:p>
        </w:tc>
        <w:tc>
          <w:tcPr>
            <w:tcW w:w="1417" w:type="dxa"/>
            <w:vMerge/>
          </w:tcPr>
          <w:p w14:paraId="64FA3ED8" w14:textId="77777777" w:rsidR="00C919B4" w:rsidRPr="002452B3" w:rsidRDefault="00C919B4" w:rsidP="00276A11">
            <w:pPr>
              <w:cnfStyle w:val="000000000000" w:firstRow="0" w:lastRow="0" w:firstColumn="0" w:lastColumn="0" w:oddVBand="0" w:evenVBand="0" w:oddHBand="0" w:evenHBand="0" w:firstRowFirstColumn="0" w:firstRowLastColumn="0" w:lastRowFirstColumn="0" w:lastRowLastColumn="0"/>
              <w:rPr>
                <w:sz w:val="20"/>
                <w:szCs w:val="20"/>
              </w:rPr>
            </w:pPr>
          </w:p>
        </w:tc>
        <w:tc>
          <w:tcPr>
            <w:tcW w:w="1908" w:type="dxa"/>
            <w:hideMark/>
          </w:tcPr>
          <w:p w14:paraId="216F8ACE" w14:textId="1334A067" w:rsidR="00C919B4" w:rsidRPr="00F9690C" w:rsidRDefault="00C919B4" w:rsidP="00276A11">
            <w:pPr>
              <w:cnfStyle w:val="000000000000" w:firstRow="0" w:lastRow="0" w:firstColumn="0" w:lastColumn="0" w:oddVBand="0" w:evenVBand="0" w:oddHBand="0" w:evenHBand="0" w:firstRowFirstColumn="0" w:firstRowLastColumn="0" w:lastRowFirstColumn="0" w:lastRowLastColumn="0"/>
              <w:rPr>
                <w:sz w:val="20"/>
                <w:szCs w:val="20"/>
              </w:rPr>
            </w:pPr>
            <w:r w:rsidRPr="00F9690C">
              <w:rPr>
                <w:sz w:val="20"/>
                <w:szCs w:val="20"/>
              </w:rPr>
              <w:t xml:space="preserve">Precise and locally adopted </w:t>
            </w:r>
            <w:proofErr w:type="spellStart"/>
            <w:r w:rsidRPr="00F9690C">
              <w:rPr>
                <w:sz w:val="20"/>
                <w:szCs w:val="20"/>
              </w:rPr>
              <w:t>agri</w:t>
            </w:r>
            <w:proofErr w:type="spellEnd"/>
            <w:r w:rsidRPr="00F9690C">
              <w:rPr>
                <w:sz w:val="20"/>
                <w:szCs w:val="20"/>
              </w:rPr>
              <w:t xml:space="preserve">- and aquaculture to significantly increase the ‘crop per drop’ </w:t>
            </w:r>
          </w:p>
        </w:tc>
        <w:tc>
          <w:tcPr>
            <w:tcW w:w="2211" w:type="dxa"/>
            <w:hideMark/>
          </w:tcPr>
          <w:p w14:paraId="4F2CB536" w14:textId="32468339" w:rsidR="00C919B4" w:rsidRPr="00F9690C" w:rsidRDefault="00C919B4" w:rsidP="00276A11">
            <w:pPr>
              <w:cnfStyle w:val="000000000000" w:firstRow="0" w:lastRow="0" w:firstColumn="0" w:lastColumn="0" w:oddVBand="0" w:evenVBand="0" w:oddHBand="0" w:evenHBand="0" w:firstRowFirstColumn="0" w:firstRowLastColumn="0" w:lastRowFirstColumn="0" w:lastRowLastColumn="0"/>
              <w:rPr>
                <w:sz w:val="20"/>
                <w:szCs w:val="20"/>
              </w:rPr>
            </w:pPr>
            <w:r w:rsidRPr="00F9690C">
              <w:rPr>
                <w:sz w:val="20"/>
                <w:szCs w:val="20"/>
              </w:rPr>
              <w:t>Sustainable Groundwater Management Act (California) increases regional regulatory oversight while providing resources for better practices to agriculture and domestic users</w:t>
            </w:r>
          </w:p>
        </w:tc>
        <w:tc>
          <w:tcPr>
            <w:tcW w:w="3062" w:type="dxa"/>
            <w:hideMark/>
          </w:tcPr>
          <w:p w14:paraId="0130B130" w14:textId="77777777" w:rsidR="00C919B4" w:rsidRPr="00F9690C" w:rsidRDefault="00C919B4" w:rsidP="00276A11">
            <w:pPr>
              <w:cnfStyle w:val="000000000000" w:firstRow="0" w:lastRow="0" w:firstColumn="0" w:lastColumn="0" w:oddVBand="0" w:evenVBand="0" w:oddHBand="0" w:evenHBand="0" w:firstRowFirstColumn="0" w:firstRowLastColumn="0" w:lastRowFirstColumn="0" w:lastRowLastColumn="0"/>
              <w:rPr>
                <w:sz w:val="20"/>
                <w:szCs w:val="20"/>
              </w:rPr>
            </w:pPr>
            <w:r w:rsidRPr="00F9690C">
              <w:rPr>
                <w:sz w:val="20"/>
                <w:szCs w:val="20"/>
              </w:rPr>
              <w:t xml:space="preserve">The Delta’s long legacy of high intensity rice </w:t>
            </w:r>
            <w:proofErr w:type="gramStart"/>
            <w:r w:rsidRPr="00F9690C">
              <w:rPr>
                <w:sz w:val="20"/>
                <w:szCs w:val="20"/>
              </w:rPr>
              <w:t>cropping</w:t>
            </w:r>
            <w:proofErr w:type="gramEnd"/>
            <w:r w:rsidRPr="00F9690C">
              <w:rPr>
                <w:sz w:val="20"/>
                <w:szCs w:val="20"/>
              </w:rPr>
              <w:t xml:space="preserve"> and freshwater aquaculture requires systemic shifts in agricultural production </w:t>
            </w:r>
          </w:p>
        </w:tc>
      </w:tr>
      <w:tr w:rsidR="00C919B4" w:rsidRPr="00AB25B0" w14:paraId="6A70336D" w14:textId="77777777" w:rsidTr="74814C79">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462" w:type="dxa"/>
            <w:hideMark/>
          </w:tcPr>
          <w:p w14:paraId="546F0399" w14:textId="77777777" w:rsidR="00C919B4" w:rsidRPr="00F9690C" w:rsidRDefault="00C919B4" w:rsidP="00276A11">
            <w:pPr>
              <w:rPr>
                <w:sz w:val="20"/>
                <w:szCs w:val="20"/>
              </w:rPr>
            </w:pPr>
            <w:r w:rsidRPr="00F9690C">
              <w:rPr>
                <w:sz w:val="20"/>
                <w:szCs w:val="20"/>
              </w:rPr>
              <w:t xml:space="preserve">Maintain </w:t>
            </w:r>
          </w:p>
          <w:p w14:paraId="41E9D7E7" w14:textId="77777777" w:rsidR="00C919B4" w:rsidRPr="00F9690C" w:rsidRDefault="00C919B4" w:rsidP="00276A11">
            <w:pPr>
              <w:rPr>
                <w:sz w:val="20"/>
                <w:szCs w:val="20"/>
              </w:rPr>
            </w:pPr>
            <w:r w:rsidRPr="00F9690C">
              <w:rPr>
                <w:sz w:val="20"/>
                <w:szCs w:val="20"/>
              </w:rPr>
              <w:t xml:space="preserve">connectivity of </w:t>
            </w:r>
          </w:p>
          <w:p w14:paraId="430C9228" w14:textId="77777777" w:rsidR="00C919B4" w:rsidRPr="00F9690C" w:rsidRDefault="00C919B4" w:rsidP="00276A11">
            <w:pPr>
              <w:rPr>
                <w:sz w:val="20"/>
                <w:szCs w:val="20"/>
              </w:rPr>
            </w:pPr>
            <w:r w:rsidRPr="00F9690C">
              <w:rPr>
                <w:sz w:val="20"/>
                <w:szCs w:val="20"/>
              </w:rPr>
              <w:t xml:space="preserve">delta </w:t>
            </w:r>
          </w:p>
          <w:p w14:paraId="544FEF2F" w14:textId="77777777" w:rsidR="00C919B4" w:rsidRPr="00F9690C" w:rsidRDefault="00C919B4" w:rsidP="00276A11">
            <w:pPr>
              <w:rPr>
                <w:sz w:val="20"/>
                <w:szCs w:val="20"/>
              </w:rPr>
            </w:pPr>
            <w:r w:rsidRPr="00F9690C">
              <w:rPr>
                <w:sz w:val="20"/>
                <w:szCs w:val="20"/>
              </w:rPr>
              <w:t>floodplains</w:t>
            </w:r>
          </w:p>
        </w:tc>
        <w:tc>
          <w:tcPr>
            <w:tcW w:w="1417" w:type="dxa"/>
            <w:vMerge/>
          </w:tcPr>
          <w:p w14:paraId="00B6CD95" w14:textId="77777777" w:rsidR="00C919B4" w:rsidRPr="002452B3" w:rsidRDefault="00C919B4" w:rsidP="00276A11">
            <w:pPr>
              <w:cnfStyle w:val="000000100000" w:firstRow="0" w:lastRow="0" w:firstColumn="0" w:lastColumn="0" w:oddVBand="0" w:evenVBand="0" w:oddHBand="1" w:evenHBand="0" w:firstRowFirstColumn="0" w:firstRowLastColumn="0" w:lastRowFirstColumn="0" w:lastRowLastColumn="0"/>
              <w:rPr>
                <w:sz w:val="20"/>
                <w:szCs w:val="20"/>
              </w:rPr>
            </w:pPr>
          </w:p>
        </w:tc>
        <w:tc>
          <w:tcPr>
            <w:tcW w:w="1908" w:type="dxa"/>
            <w:hideMark/>
          </w:tcPr>
          <w:p w14:paraId="1997B212" w14:textId="6F49E3D8" w:rsidR="00C919B4" w:rsidRPr="00F9690C" w:rsidRDefault="00C919B4" w:rsidP="00276A11">
            <w:pPr>
              <w:cnfStyle w:val="000000100000" w:firstRow="0" w:lastRow="0" w:firstColumn="0" w:lastColumn="0" w:oddVBand="0" w:evenVBand="0" w:oddHBand="1" w:evenHBand="0" w:firstRowFirstColumn="0" w:firstRowLastColumn="0" w:lastRowFirstColumn="0" w:lastRowLastColumn="0"/>
              <w:rPr>
                <w:sz w:val="20"/>
                <w:szCs w:val="20"/>
              </w:rPr>
            </w:pPr>
            <w:r w:rsidRPr="00F9690C">
              <w:rPr>
                <w:sz w:val="20"/>
                <w:szCs w:val="20"/>
              </w:rPr>
              <w:t> Certification of ‘delta friendly’ agriculture increases incentives for better sectoral sediment management</w:t>
            </w:r>
          </w:p>
        </w:tc>
        <w:tc>
          <w:tcPr>
            <w:tcW w:w="2211" w:type="dxa"/>
            <w:hideMark/>
          </w:tcPr>
          <w:p w14:paraId="6B9727C4" w14:textId="3225668F" w:rsidR="00C919B4" w:rsidRPr="00F9690C" w:rsidRDefault="00CB7B7B" w:rsidP="00276A1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Artificial sediment splays and controlled flooding now applied, e.g., in the Mississippi and Ganges Brahmaputra Deltas</w:t>
            </w:r>
            <w:r w:rsidR="00C919B4" w:rsidRPr="00F9690C">
              <w:rPr>
                <w:sz w:val="20"/>
                <w:szCs w:val="20"/>
              </w:rPr>
              <w:t xml:space="preserve"> </w:t>
            </w:r>
            <w:r>
              <w:rPr>
                <w:sz w:val="20"/>
                <w:szCs w:val="20"/>
              </w:rPr>
              <w:t>to increase sedimentation.</w:t>
            </w:r>
          </w:p>
        </w:tc>
        <w:tc>
          <w:tcPr>
            <w:tcW w:w="3062" w:type="dxa"/>
            <w:hideMark/>
          </w:tcPr>
          <w:p w14:paraId="20DD7222" w14:textId="2260FD3B" w:rsidR="00C919B4" w:rsidRPr="00F9690C" w:rsidRDefault="00C919B4" w:rsidP="00276A11">
            <w:pPr>
              <w:cnfStyle w:val="000000100000" w:firstRow="0" w:lastRow="0" w:firstColumn="0" w:lastColumn="0" w:oddVBand="0" w:evenVBand="0" w:oddHBand="1" w:evenHBand="0" w:firstRowFirstColumn="0" w:firstRowLastColumn="0" w:lastRowFirstColumn="0" w:lastRowLastColumn="0"/>
              <w:rPr>
                <w:sz w:val="20"/>
                <w:szCs w:val="20"/>
              </w:rPr>
            </w:pPr>
            <w:r w:rsidRPr="00F9690C">
              <w:rPr>
                <w:sz w:val="20"/>
                <w:szCs w:val="20"/>
              </w:rPr>
              <w:t xml:space="preserve">Increasing infrastructure in floodplains and promotion of three season rice </w:t>
            </w:r>
            <w:r w:rsidR="00CB7B7B">
              <w:rPr>
                <w:sz w:val="20"/>
                <w:szCs w:val="20"/>
              </w:rPr>
              <w:t>create a legacy of disconnected floodplains</w:t>
            </w:r>
          </w:p>
        </w:tc>
      </w:tr>
      <w:tr w:rsidR="00C919B4" w:rsidRPr="00AB25B0" w14:paraId="2B850821" w14:textId="77777777" w:rsidTr="74814C79">
        <w:trPr>
          <w:trHeight w:val="2401"/>
        </w:trPr>
        <w:tc>
          <w:tcPr>
            <w:cnfStyle w:val="001000000000" w:firstRow="0" w:lastRow="0" w:firstColumn="1" w:lastColumn="0" w:oddVBand="0" w:evenVBand="0" w:oddHBand="0" w:evenHBand="0" w:firstRowFirstColumn="0" w:firstRowLastColumn="0" w:lastRowFirstColumn="0" w:lastRowLastColumn="0"/>
            <w:tcW w:w="1462" w:type="dxa"/>
            <w:hideMark/>
          </w:tcPr>
          <w:p w14:paraId="789DE253" w14:textId="02123070" w:rsidR="00C919B4" w:rsidRPr="00F9690C" w:rsidRDefault="00C919B4" w:rsidP="00276A11">
            <w:pPr>
              <w:rPr>
                <w:sz w:val="20"/>
                <w:szCs w:val="20"/>
              </w:rPr>
            </w:pPr>
            <w:r w:rsidRPr="00F9690C">
              <w:rPr>
                <w:sz w:val="20"/>
                <w:szCs w:val="20"/>
              </w:rPr>
              <w:t>Leverage nature-based solutions for coastal protection</w:t>
            </w:r>
          </w:p>
        </w:tc>
        <w:tc>
          <w:tcPr>
            <w:tcW w:w="1417" w:type="dxa"/>
            <w:vMerge/>
          </w:tcPr>
          <w:p w14:paraId="22C4809A" w14:textId="6E2B991A" w:rsidR="00C919B4" w:rsidRPr="002452B3" w:rsidRDefault="00C919B4" w:rsidP="00F9690C">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08" w:type="dxa"/>
            <w:hideMark/>
          </w:tcPr>
          <w:p w14:paraId="5C0080D6" w14:textId="2D02281A" w:rsidR="00C919B4" w:rsidRPr="00F9690C" w:rsidRDefault="00C919B4" w:rsidP="00276A11">
            <w:pPr>
              <w:cnfStyle w:val="000000000000" w:firstRow="0" w:lastRow="0" w:firstColumn="0" w:lastColumn="0" w:oddVBand="0" w:evenVBand="0" w:oddHBand="0" w:evenHBand="0" w:firstRowFirstColumn="0" w:firstRowLastColumn="0" w:lastRowFirstColumn="0" w:lastRowLastColumn="0"/>
              <w:rPr>
                <w:sz w:val="20"/>
                <w:szCs w:val="20"/>
              </w:rPr>
            </w:pPr>
            <w:r w:rsidRPr="00F9690C">
              <w:rPr>
                <w:sz w:val="20"/>
                <w:szCs w:val="20"/>
              </w:rPr>
              <w:t>International donors and local planners increasingly shift</w:t>
            </w:r>
            <w:r w:rsidR="00A97095">
              <w:rPr>
                <w:sz w:val="20"/>
                <w:szCs w:val="20"/>
              </w:rPr>
              <w:t xml:space="preserve"> </w:t>
            </w:r>
            <w:r w:rsidRPr="00F9690C">
              <w:rPr>
                <w:sz w:val="20"/>
                <w:szCs w:val="20"/>
              </w:rPr>
              <w:t>priorities from grey to green infrastructure</w:t>
            </w:r>
            <w:r w:rsidR="00CB7B7B">
              <w:rPr>
                <w:sz w:val="20"/>
                <w:szCs w:val="20"/>
              </w:rPr>
              <w:t xml:space="preserve"> </w:t>
            </w:r>
          </w:p>
        </w:tc>
        <w:tc>
          <w:tcPr>
            <w:tcW w:w="2211" w:type="dxa"/>
            <w:hideMark/>
          </w:tcPr>
          <w:p w14:paraId="445CD535" w14:textId="46C928CA" w:rsidR="00C919B4" w:rsidRPr="00F9690C" w:rsidRDefault="00C919B4" w:rsidP="00F9690C">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F9690C">
              <w:rPr>
                <w:sz w:val="20"/>
                <w:szCs w:val="20"/>
              </w:rPr>
              <w:t xml:space="preserve">Successful coastal protection with </w:t>
            </w:r>
            <w:r w:rsidR="00CB7B7B">
              <w:rPr>
                <w:sz w:val="20"/>
                <w:szCs w:val="20"/>
              </w:rPr>
              <w:t>nature</w:t>
            </w:r>
            <w:r w:rsidR="009068D3">
              <w:rPr>
                <w:sz w:val="20"/>
                <w:szCs w:val="20"/>
              </w:rPr>
              <w:t>-</w:t>
            </w:r>
            <w:r w:rsidR="00CB7B7B">
              <w:rPr>
                <w:sz w:val="20"/>
                <w:szCs w:val="20"/>
              </w:rPr>
              <w:t>based solutions</w:t>
            </w:r>
            <w:r w:rsidRPr="00F9690C">
              <w:rPr>
                <w:sz w:val="20"/>
                <w:szCs w:val="20"/>
              </w:rPr>
              <w:t xml:space="preserve"> (Vietnam, Florida, New York)</w:t>
            </w:r>
            <w:r w:rsidR="00CB7B7B">
              <w:rPr>
                <w:sz w:val="20"/>
                <w:szCs w:val="20"/>
              </w:rPr>
              <w:t xml:space="preserve"> and adaptation of </w:t>
            </w:r>
            <w:r w:rsidR="00CB7B7B" w:rsidRPr="00F9690C">
              <w:rPr>
                <w:rFonts w:ascii="Times-Roman" w:eastAsiaTheme="minorEastAsia" w:hAnsi="Times-Roman" w:cs="Times-Roman"/>
                <w:sz w:val="20"/>
                <w:szCs w:val="20"/>
                <w:lang w:eastAsia="ja-JP"/>
              </w:rPr>
              <w:t>shrimp farming-forestry enterprises (SFFEs)</w:t>
            </w:r>
            <w:r w:rsidR="00CB7B7B">
              <w:rPr>
                <w:rFonts w:ascii="Times-Roman" w:eastAsiaTheme="minorEastAsia" w:hAnsi="Times-Roman" w:cs="Times-Roman"/>
                <w:sz w:val="20"/>
                <w:szCs w:val="20"/>
                <w:lang w:eastAsia="ja-JP"/>
              </w:rPr>
              <w:t xml:space="preserve"> in Vietnam</w:t>
            </w:r>
          </w:p>
        </w:tc>
        <w:tc>
          <w:tcPr>
            <w:tcW w:w="3062" w:type="dxa"/>
            <w:hideMark/>
          </w:tcPr>
          <w:p w14:paraId="386C3DA0" w14:textId="6ED332CA" w:rsidR="00C919B4" w:rsidRPr="00F9690C" w:rsidRDefault="00C919B4" w:rsidP="00276A1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Existing wetland and mangrove forests are destroyed or degraded for other uses. L</w:t>
            </w:r>
            <w:r w:rsidRPr="00F9690C">
              <w:rPr>
                <w:sz w:val="20"/>
                <w:szCs w:val="20"/>
              </w:rPr>
              <w:t>ack of sediment decreases effectiveness of nature-based solutions, e.g., Mangroves, to protect coastlines</w:t>
            </w:r>
            <w:r>
              <w:rPr>
                <w:sz w:val="20"/>
                <w:szCs w:val="20"/>
              </w:rPr>
              <w:t xml:space="preserve"> and build land. </w:t>
            </w:r>
          </w:p>
        </w:tc>
      </w:tr>
      <w:bookmarkEnd w:id="4"/>
    </w:tbl>
    <w:p w14:paraId="67F1A4BA" w14:textId="77777777" w:rsidR="004A76B5" w:rsidRDefault="004A76B5"/>
    <w:p w14:paraId="5852C771" w14:textId="783EBD08" w:rsidR="003D221B" w:rsidRDefault="003D221B" w:rsidP="00AD0A8C"/>
    <w:p w14:paraId="62FC006A" w14:textId="77777777" w:rsidR="00161CD3" w:rsidRDefault="74814C79" w:rsidP="00071D01">
      <w:pPr>
        <w:pStyle w:val="Heading3"/>
      </w:pPr>
      <w:bookmarkStart w:id="5" w:name="_Toc95335448"/>
      <w:r>
        <w:t>References cited</w:t>
      </w:r>
      <w:bookmarkEnd w:id="5"/>
    </w:p>
    <w:p w14:paraId="19E6CCAD" w14:textId="194C8FCB" w:rsidR="00161CD3" w:rsidRDefault="00161CD3" w:rsidP="00AD0A8C"/>
    <w:p w14:paraId="305AFD1F" w14:textId="77777777" w:rsidR="0070434B" w:rsidRDefault="00161CD3" w:rsidP="0070434B">
      <w:pPr>
        <w:pStyle w:val="Bibliography"/>
      </w:pPr>
      <w:r>
        <w:fldChar w:fldCharType="begin"/>
      </w:r>
      <w:r w:rsidR="009D74F4">
        <w:instrText xml:space="preserve"> ADDIN ZOTERO_BIBL {"uncited":[],"omitted":[],"custom":[]} CSL_BIBLIOGRAPHY </w:instrText>
      </w:r>
      <w:r>
        <w:fldChar w:fldCharType="separate"/>
      </w:r>
      <w:r w:rsidR="0070434B">
        <w:t xml:space="preserve">1. </w:t>
      </w:r>
      <w:r w:rsidR="0070434B">
        <w:tab/>
        <w:t xml:space="preserve">R. J. P. Schmitt, M. Giuliani, S. Bizzi, G. M. Kondolf, G. C. Daily, A. Castelletti, Strategic basin and delta planning increases the resilience of the Mekong Delta under future uncertainty. </w:t>
      </w:r>
      <w:r w:rsidR="0070434B">
        <w:rPr>
          <w:i/>
          <w:iCs/>
        </w:rPr>
        <w:t>Proc. Natl. Acad. Sci.</w:t>
      </w:r>
      <w:r w:rsidR="0070434B">
        <w:t xml:space="preserve"> </w:t>
      </w:r>
      <w:r w:rsidR="0070434B">
        <w:rPr>
          <w:b/>
          <w:bCs/>
        </w:rPr>
        <w:t>118</w:t>
      </w:r>
      <w:r w:rsidR="0070434B">
        <w:t xml:space="preserve"> (2021), doi:10.1073/pnas.2026127118.</w:t>
      </w:r>
    </w:p>
    <w:p w14:paraId="2DAD4A22" w14:textId="77777777" w:rsidR="0070434B" w:rsidRDefault="0070434B" w:rsidP="0070434B">
      <w:pPr>
        <w:pStyle w:val="Bibliography"/>
      </w:pPr>
      <w:r>
        <w:t xml:space="preserve">2. </w:t>
      </w:r>
      <w:r>
        <w:tab/>
        <w:t xml:space="preserve">F. Molle, T. Foran, M. Käkönen, </w:t>
      </w:r>
      <w:r>
        <w:rPr>
          <w:i/>
          <w:iCs/>
        </w:rPr>
        <w:t>Contested waterscapes in the Mekong Region: hydropower, livelihoods and governance</w:t>
      </w:r>
      <w:r>
        <w:t xml:space="preserve"> (Earthscan, London; Sterling, VA, 2009).</w:t>
      </w:r>
    </w:p>
    <w:p w14:paraId="6C01B2D8" w14:textId="77777777" w:rsidR="0070434B" w:rsidRDefault="0070434B" w:rsidP="0070434B">
      <w:pPr>
        <w:pStyle w:val="Bibliography"/>
      </w:pPr>
      <w:r>
        <w:t xml:space="preserve">3. </w:t>
      </w:r>
      <w:r>
        <w:tab/>
        <w:t xml:space="preserve">P. S. J. Minderhoud, H. Middelkoop, G. Erkens, E. Stouthamer, Groundwater extraction may drown mega-delta: projections of extraction-induced subsidence and elevation of the Mekong delta for the 21st century. </w:t>
      </w:r>
      <w:r>
        <w:rPr>
          <w:i/>
          <w:iCs/>
        </w:rPr>
        <w:t>Environ. Res. Commun.</w:t>
      </w:r>
      <w:r>
        <w:t xml:space="preserve"> </w:t>
      </w:r>
      <w:r>
        <w:rPr>
          <w:b/>
          <w:bCs/>
        </w:rPr>
        <w:t>2</w:t>
      </w:r>
      <w:r>
        <w:t>, 011005 (2020).</w:t>
      </w:r>
    </w:p>
    <w:p w14:paraId="18370707" w14:textId="77777777" w:rsidR="0070434B" w:rsidRDefault="0070434B" w:rsidP="0070434B">
      <w:pPr>
        <w:pStyle w:val="Bibliography"/>
      </w:pPr>
      <w:r>
        <w:t xml:space="preserve">4. </w:t>
      </w:r>
      <w:r>
        <w:tab/>
        <w:t xml:space="preserve">G. M. Kondolf, Z. K. Rubin, J. T. Minear, Dams on the Mekong: Cumulative sediment starvation. </w:t>
      </w:r>
      <w:r>
        <w:rPr>
          <w:i/>
          <w:iCs/>
        </w:rPr>
        <w:t>Water Resour. Res.</w:t>
      </w:r>
      <w:r>
        <w:t xml:space="preserve"> </w:t>
      </w:r>
      <w:r>
        <w:rPr>
          <w:b/>
          <w:bCs/>
        </w:rPr>
        <w:t>50</w:t>
      </w:r>
      <w:r>
        <w:t>, 5158–5169 (2014).</w:t>
      </w:r>
    </w:p>
    <w:p w14:paraId="12154314" w14:textId="77777777" w:rsidR="0070434B" w:rsidRDefault="0070434B" w:rsidP="0070434B">
      <w:pPr>
        <w:pStyle w:val="Bibliography"/>
      </w:pPr>
      <w:r>
        <w:t xml:space="preserve">5. </w:t>
      </w:r>
      <w:r>
        <w:tab/>
        <w:t xml:space="preserve">S. E. Darby, C. R. Hackney, J. Leyland, M. Kummu, H. Lauri, D. R. Parsons, J. L. Best, A. P. Nicholas, R. Aalto, Fluvial sediment supply to a mega-delta reduced by shifting tropical-cyclone activity. </w:t>
      </w:r>
      <w:r>
        <w:rPr>
          <w:i/>
          <w:iCs/>
        </w:rPr>
        <w:t>Nature</w:t>
      </w:r>
      <w:r>
        <w:t xml:space="preserve">. </w:t>
      </w:r>
      <w:r>
        <w:rPr>
          <w:b/>
          <w:bCs/>
        </w:rPr>
        <w:t>539</w:t>
      </w:r>
      <w:r>
        <w:t>, 276–279 (2016).</w:t>
      </w:r>
    </w:p>
    <w:p w14:paraId="54BB1E32" w14:textId="77777777" w:rsidR="0070434B" w:rsidRDefault="0070434B" w:rsidP="0070434B">
      <w:pPr>
        <w:pStyle w:val="Bibliography"/>
      </w:pPr>
      <w:r>
        <w:t xml:space="preserve">6. </w:t>
      </w:r>
      <w:r>
        <w:tab/>
        <w:t xml:space="preserve">J.-P. Bravard, M. Goichot, S. Gaillot, Geography of Sand and Gravel Mining in the Lower Mekong River. </w:t>
      </w:r>
      <w:r>
        <w:rPr>
          <w:i/>
          <w:iCs/>
        </w:rPr>
        <w:t>EchoGéo</w:t>
      </w:r>
      <w:r>
        <w:t xml:space="preserve"> (2013), doi:10.4000/echogeo.13659.</w:t>
      </w:r>
    </w:p>
    <w:p w14:paraId="29824C64" w14:textId="77777777" w:rsidR="0070434B" w:rsidRDefault="0070434B" w:rsidP="0070434B">
      <w:pPr>
        <w:pStyle w:val="Bibliography"/>
      </w:pPr>
      <w:r>
        <w:t xml:space="preserve">7. </w:t>
      </w:r>
      <w:r>
        <w:tab/>
        <w:t xml:space="preserve">E. J. Anthony, G. Brunier, M. Besset, M. Goichot, P. Dussouillez, V. L. Nguyen, Linking rapid erosion of the Mekong River delta to human activities. </w:t>
      </w:r>
      <w:r>
        <w:rPr>
          <w:i/>
          <w:iCs/>
        </w:rPr>
        <w:t>Sci. Rep.</w:t>
      </w:r>
      <w:r>
        <w:t xml:space="preserve"> </w:t>
      </w:r>
      <w:r>
        <w:rPr>
          <w:b/>
          <w:bCs/>
        </w:rPr>
        <w:t>5</w:t>
      </w:r>
      <w:r>
        <w:t>, 14745 (2015).</w:t>
      </w:r>
    </w:p>
    <w:p w14:paraId="06B96535" w14:textId="77777777" w:rsidR="0070434B" w:rsidRDefault="0070434B" w:rsidP="0070434B">
      <w:pPr>
        <w:pStyle w:val="Bibliography"/>
      </w:pPr>
      <w:r>
        <w:t xml:space="preserve">8. </w:t>
      </w:r>
      <w:r>
        <w:tab/>
        <w:t xml:space="preserve">S. Eslami, P. Hoekstra, N. Nguyen Trung, S. Ahmed Kantoush, D. Van Binh, D. Duc Dung, T. Tran Quang, M. van der Vegt, Tidal amplification and salt intrusion in the Mekong Delta driven by anthropogenic sediment starvation. </w:t>
      </w:r>
      <w:r>
        <w:rPr>
          <w:i/>
          <w:iCs/>
        </w:rPr>
        <w:t>Sci. Rep.</w:t>
      </w:r>
      <w:r>
        <w:t xml:space="preserve"> </w:t>
      </w:r>
      <w:r>
        <w:rPr>
          <w:b/>
          <w:bCs/>
        </w:rPr>
        <w:t>9</w:t>
      </w:r>
      <w:r>
        <w:t>, 18746 (2019).</w:t>
      </w:r>
    </w:p>
    <w:p w14:paraId="116C63AB" w14:textId="77777777" w:rsidR="0070434B" w:rsidRDefault="0070434B" w:rsidP="0070434B">
      <w:pPr>
        <w:pStyle w:val="Bibliography"/>
      </w:pPr>
      <w:r>
        <w:t xml:space="preserve">9. </w:t>
      </w:r>
      <w:r>
        <w:tab/>
        <w:t xml:space="preserve">M. Besset, N. Gratiot, E. J. Anthony, F. Bouchette, M. Goichot, P. Marchesiello, Mangroves and shoreline erosion in the Mekong River delta, Viet Nam. </w:t>
      </w:r>
      <w:r>
        <w:rPr>
          <w:i/>
          <w:iCs/>
        </w:rPr>
        <w:t>Estuar. Coast. Shelf Sci.</w:t>
      </w:r>
      <w:r>
        <w:t xml:space="preserve"> </w:t>
      </w:r>
      <w:r>
        <w:rPr>
          <w:b/>
          <w:bCs/>
        </w:rPr>
        <w:t>226</w:t>
      </w:r>
      <w:r>
        <w:t>, 106263 (2019).</w:t>
      </w:r>
    </w:p>
    <w:p w14:paraId="0638608E" w14:textId="77777777" w:rsidR="0070434B" w:rsidRDefault="0070434B" w:rsidP="0070434B">
      <w:pPr>
        <w:pStyle w:val="Bibliography"/>
      </w:pPr>
      <w:r>
        <w:t xml:space="preserve">10. </w:t>
      </w:r>
      <w:r>
        <w:tab/>
        <w:t xml:space="preserve">T. A. Tran, From free to forced adaptation: A political ecology of the ‘state-society-flood’ nexus in the Vietnamese Mekong Delta. </w:t>
      </w:r>
      <w:r>
        <w:rPr>
          <w:i/>
          <w:iCs/>
        </w:rPr>
        <w:t>Asia Pac. Viewp.</w:t>
      </w:r>
      <w:r>
        <w:t xml:space="preserve"> </w:t>
      </w:r>
      <w:r>
        <w:rPr>
          <w:b/>
          <w:bCs/>
        </w:rPr>
        <w:t>61</w:t>
      </w:r>
      <w:r>
        <w:t>, 162–182 (2020).</w:t>
      </w:r>
    </w:p>
    <w:p w14:paraId="3BDCDB5D" w14:textId="77777777" w:rsidR="0070434B" w:rsidRDefault="0070434B" w:rsidP="0070434B">
      <w:pPr>
        <w:pStyle w:val="Bibliography"/>
      </w:pPr>
      <w:r>
        <w:t xml:space="preserve">11. </w:t>
      </w:r>
      <w:r>
        <w:tab/>
        <w:t>M. Käkönen, thesis, University of Helsinki, Helsinki, Finland (2020).</w:t>
      </w:r>
    </w:p>
    <w:p w14:paraId="22D845F8" w14:textId="77777777" w:rsidR="0070434B" w:rsidRDefault="0070434B" w:rsidP="0070434B">
      <w:pPr>
        <w:pStyle w:val="Bibliography"/>
      </w:pPr>
      <w:r>
        <w:t xml:space="preserve">12. </w:t>
      </w:r>
      <w:r>
        <w:tab/>
        <w:t xml:space="preserve">D. Biggs, F. Miller, C. T. Hoanh, F. Molle, in </w:t>
      </w:r>
      <w:r>
        <w:rPr>
          <w:i/>
          <w:iCs/>
        </w:rPr>
        <w:t>Contested Waterscapes in the Mekong Region: Hydropower, Livelihoods and Governance</w:t>
      </w:r>
      <w:r>
        <w:t xml:space="preserve"> (Earthscan, 2009).</w:t>
      </w:r>
    </w:p>
    <w:p w14:paraId="5E0103FF" w14:textId="77777777" w:rsidR="0070434B" w:rsidRDefault="0070434B" w:rsidP="0070434B">
      <w:pPr>
        <w:pStyle w:val="Bibliography"/>
      </w:pPr>
      <w:r>
        <w:t xml:space="preserve">13. </w:t>
      </w:r>
      <w:r>
        <w:tab/>
        <w:t xml:space="preserve">M. F. van Staveren, J. P. M. van Tatenhove, J. F. Warner, The tenth dragon: controlled seasonal flooding in long-term policy plans for the Vietnamese Mekong delta. </w:t>
      </w:r>
      <w:r>
        <w:rPr>
          <w:i/>
          <w:iCs/>
        </w:rPr>
        <w:t>J. Environ. Policy Plan.</w:t>
      </w:r>
      <w:r>
        <w:t xml:space="preserve"> </w:t>
      </w:r>
      <w:r>
        <w:rPr>
          <w:b/>
          <w:bCs/>
        </w:rPr>
        <w:t>20</w:t>
      </w:r>
      <w:r>
        <w:t>, 267–281 (2018).</w:t>
      </w:r>
    </w:p>
    <w:p w14:paraId="680343B9" w14:textId="77777777" w:rsidR="0070434B" w:rsidRDefault="0070434B" w:rsidP="0070434B">
      <w:pPr>
        <w:pStyle w:val="Bibliography"/>
      </w:pPr>
      <w:r>
        <w:t xml:space="preserve">14. </w:t>
      </w:r>
      <w:r>
        <w:tab/>
        <w:t xml:space="preserve">Government of Viet Nam, </w:t>
      </w:r>
      <w:r>
        <w:rPr>
          <w:i/>
          <w:iCs/>
        </w:rPr>
        <w:t>Government Resolution 120/NQ-CP on Sustainable and Climate-Resilient Development of the Mekong Delta og Viet Nam</w:t>
      </w:r>
      <w:r>
        <w:t xml:space="preserve"> (2017).</w:t>
      </w:r>
    </w:p>
    <w:p w14:paraId="6049F43C" w14:textId="77777777" w:rsidR="0070434B" w:rsidRDefault="0070434B" w:rsidP="0070434B">
      <w:pPr>
        <w:pStyle w:val="Bibliography"/>
      </w:pPr>
      <w:r>
        <w:t xml:space="preserve">15. </w:t>
      </w:r>
      <w:r>
        <w:tab/>
        <w:t>MoNRE, “Mekong Delta Plan” (Ministry of Natural Resources and Environmen, Hanoi, Vietnam, 2013), p. 126.</w:t>
      </w:r>
    </w:p>
    <w:p w14:paraId="102B8E72" w14:textId="77777777" w:rsidR="0070434B" w:rsidRDefault="0070434B" w:rsidP="0070434B">
      <w:pPr>
        <w:pStyle w:val="Bibliography"/>
      </w:pPr>
      <w:r>
        <w:t xml:space="preserve">16. </w:t>
      </w:r>
      <w:r>
        <w:tab/>
        <w:t xml:space="preserve">VGP, “Preliminary Outcomes Of Three-year Implementation Of Resolution On Climate-resilient development Of Mekong Delta” (2021), (available at </w:t>
      </w:r>
      <w:r>
        <w:lastRenderedPageBreak/>
        <w:t>http://news.chinhphu.vn/Home/Preliminary-Outcomes-Of-Threeyear-Implementation-Of-Resolution-On-Climateresilient-development-Of-Mekong-Delta/20213/43202.vgp).</w:t>
      </w:r>
    </w:p>
    <w:p w14:paraId="72046D6C" w14:textId="77777777" w:rsidR="0070434B" w:rsidRDefault="0070434B" w:rsidP="0070434B">
      <w:pPr>
        <w:pStyle w:val="Bibliography"/>
      </w:pPr>
      <w:r>
        <w:t xml:space="preserve">17. </w:t>
      </w:r>
      <w:r>
        <w:tab/>
        <w:t xml:space="preserve">C. Sneddon, C. Fox, River-basin politics and the rise of ecological and transnational democracy in Southeast Asia and Southern Africa. </w:t>
      </w:r>
      <w:r>
        <w:rPr>
          <w:i/>
          <w:iCs/>
        </w:rPr>
        <w:t>Water Altern.</w:t>
      </w:r>
      <w:r>
        <w:t xml:space="preserve"> </w:t>
      </w:r>
      <w:r>
        <w:rPr>
          <w:b/>
          <w:bCs/>
        </w:rPr>
        <w:t>1</w:t>
      </w:r>
      <w:r>
        <w:t>, 66–88 (2008).</w:t>
      </w:r>
    </w:p>
    <w:p w14:paraId="2EE6C96A" w14:textId="77777777" w:rsidR="0070434B" w:rsidRDefault="0070434B" w:rsidP="0070434B">
      <w:pPr>
        <w:pStyle w:val="Bibliography"/>
      </w:pPr>
      <w:r>
        <w:t xml:space="preserve">18. </w:t>
      </w:r>
      <w:r>
        <w:tab/>
        <w:t xml:space="preserve">N. N. Tran, in </w:t>
      </w:r>
      <w:r>
        <w:rPr>
          <w:i/>
          <w:iCs/>
        </w:rPr>
        <w:t>Collaboration in Water Resource Management in Vietnam and South-East Asia</w:t>
      </w:r>
      <w:r>
        <w:t xml:space="preserve"> (Nomos Verlagsgesellschaft mbH &amp; Co. KG, 2020), pp. 35–44.</w:t>
      </w:r>
    </w:p>
    <w:p w14:paraId="66C9A0AD" w14:textId="77777777" w:rsidR="0070434B" w:rsidRDefault="0070434B" w:rsidP="0070434B">
      <w:pPr>
        <w:pStyle w:val="Bibliography"/>
      </w:pPr>
      <w:r>
        <w:t xml:space="preserve">19. </w:t>
      </w:r>
      <w:r>
        <w:tab/>
        <w:t xml:space="preserve">K. Siala, A. K. Chowdhury, T. D. Dang, S. Galelli, Solar energy and regional coordination as a feasible alternative to large hydropower in Southeast Asia. </w:t>
      </w:r>
      <w:r>
        <w:rPr>
          <w:i/>
          <w:iCs/>
        </w:rPr>
        <w:t>Nat. Commun.</w:t>
      </w:r>
      <w:r>
        <w:t xml:space="preserve"> </w:t>
      </w:r>
      <w:r>
        <w:rPr>
          <w:b/>
          <w:bCs/>
        </w:rPr>
        <w:t>12</w:t>
      </w:r>
      <w:r>
        <w:t>, 4159 (2021).</w:t>
      </w:r>
    </w:p>
    <w:p w14:paraId="6025FD63" w14:textId="77777777" w:rsidR="0070434B" w:rsidRDefault="0070434B" w:rsidP="0070434B">
      <w:pPr>
        <w:pStyle w:val="Bibliography"/>
      </w:pPr>
      <w:r>
        <w:t xml:space="preserve">20. </w:t>
      </w:r>
      <w:r>
        <w:tab/>
        <w:t xml:space="preserve">R. J. P. Schmitt, N. Kittner, G. M. Kondolf, D. M. Kammen, Joint strategic energy and river basin planning to reduce dam impacts on rivers in Myanmar. </w:t>
      </w:r>
      <w:r>
        <w:rPr>
          <w:i/>
          <w:iCs/>
        </w:rPr>
        <w:t>Environ. Res. Lett.</w:t>
      </w:r>
      <w:r>
        <w:t xml:space="preserve"> (2021).</w:t>
      </w:r>
    </w:p>
    <w:p w14:paraId="2C76B86D" w14:textId="77777777" w:rsidR="0070434B" w:rsidRDefault="0070434B" w:rsidP="0070434B">
      <w:pPr>
        <w:pStyle w:val="Bibliography"/>
      </w:pPr>
      <w:r>
        <w:t xml:space="preserve">21. </w:t>
      </w:r>
      <w:r>
        <w:tab/>
        <w:t xml:space="preserve">R. Shirley, D. Kammen, Energy planning and development in Malaysian Borneo: Assessing the benefits of distributed technologies versus large scale energy mega-projects. </w:t>
      </w:r>
      <w:r>
        <w:rPr>
          <w:i/>
          <w:iCs/>
        </w:rPr>
        <w:t>Energy Strategy Rev.</w:t>
      </w:r>
      <w:r>
        <w:t xml:space="preserve"> </w:t>
      </w:r>
      <w:r>
        <w:rPr>
          <w:b/>
          <w:bCs/>
        </w:rPr>
        <w:t>8</w:t>
      </w:r>
      <w:r>
        <w:t>, 15–29 (2015).</w:t>
      </w:r>
    </w:p>
    <w:p w14:paraId="618DF1EE" w14:textId="77777777" w:rsidR="0070434B" w:rsidRDefault="0070434B" w:rsidP="0070434B">
      <w:pPr>
        <w:pStyle w:val="Bibliography"/>
      </w:pPr>
      <w:r>
        <w:t xml:space="preserve">22. </w:t>
      </w:r>
      <w:r>
        <w:tab/>
        <w:t>J. J. Opperman, J. Hartmann, M. Lambrides, J. P. Carvallo, E. Chapin, S. Baruch-Mordo, B. Eyler, M. Goichot, J. Harou, J. Hepp, D. M. Kammen, J. Kiesecker, A. Newsock, R. J. P. Schmitt, M. L. Thieme, A. Wang, C. Weatherby, C. Weber, “Connected and Flowing, A renewable future for rivers, climate and people.” (WWF and The Nature Conservancy, Washington, D.C., 2019).</w:t>
      </w:r>
    </w:p>
    <w:p w14:paraId="1D872A7A" w14:textId="77777777" w:rsidR="0070434B" w:rsidRDefault="0070434B" w:rsidP="0070434B">
      <w:pPr>
        <w:pStyle w:val="Bibliography"/>
      </w:pPr>
      <w:r>
        <w:t xml:space="preserve">23. </w:t>
      </w:r>
      <w:r>
        <w:tab/>
        <w:t>International Finance Cooperation, “Strategic Environmental Assessment of the Myanmar Hydropower Sector” (International Finance Cooperation, Washington DC, 2018).</w:t>
      </w:r>
    </w:p>
    <w:p w14:paraId="65755D30" w14:textId="77777777" w:rsidR="0070434B" w:rsidRDefault="0070434B" w:rsidP="0070434B">
      <w:pPr>
        <w:pStyle w:val="Bibliography"/>
      </w:pPr>
      <w:r>
        <w:t xml:space="preserve">24. </w:t>
      </w:r>
      <w:r>
        <w:tab/>
        <w:t>International Finance Cooperation, “Cumulative Impact Assessment and Management of Renewable Energy Development in the Myitnge River Basin, Myanmar” (International Finance Cooperation, Washington DC, 2019), (available at https://www.ifc.org/wps/wcm/connect/f3487207-c90b-4010-be25-1d844a0c530b/Myitnge+River+Basin+Study+-+Introduction+-+20190211+final.pdf?MOD=AJPERES&amp;CVID=mzBnUIA).</w:t>
      </w:r>
    </w:p>
    <w:p w14:paraId="6284F698" w14:textId="77777777" w:rsidR="0070434B" w:rsidRDefault="0070434B" w:rsidP="0070434B">
      <w:pPr>
        <w:pStyle w:val="Bibliography"/>
      </w:pPr>
      <w:r>
        <w:t xml:space="preserve">25. </w:t>
      </w:r>
      <w:r>
        <w:tab/>
        <w:t xml:space="preserve">T. Prak Chan, Cambodia halts mainstream Mekong River dam plans for 10 years, official says. </w:t>
      </w:r>
      <w:r>
        <w:rPr>
          <w:i/>
          <w:iCs/>
        </w:rPr>
        <w:t>Reuters</w:t>
      </w:r>
      <w:r>
        <w:t xml:space="preserve"> (2020), (available at https://www.reuters.com/article/us-mekong-river-cambodia-idUSKBN215187).</w:t>
      </w:r>
    </w:p>
    <w:p w14:paraId="21F4FE3C" w14:textId="77777777" w:rsidR="0070434B" w:rsidRDefault="0070434B" w:rsidP="0070434B">
      <w:pPr>
        <w:pStyle w:val="Bibliography"/>
      </w:pPr>
      <w:r>
        <w:t xml:space="preserve">26. </w:t>
      </w:r>
      <w:r>
        <w:tab/>
        <w:t xml:space="preserve">International Union for Conservation of Nature, The Xe Kong 1 dam: why it matters for Vietnam. </w:t>
      </w:r>
      <w:r>
        <w:rPr>
          <w:i/>
          <w:iCs/>
        </w:rPr>
        <w:t>iucn.org</w:t>
      </w:r>
      <w:r>
        <w:t xml:space="preserve"> (2018), (available at https://www.iucn.org/news/viet-nam/201805/xe-kong-1-dam-why-it-matters-vietnam).</w:t>
      </w:r>
    </w:p>
    <w:p w14:paraId="4ECA158B" w14:textId="77777777" w:rsidR="0070434B" w:rsidRDefault="0070434B" w:rsidP="0070434B">
      <w:pPr>
        <w:pStyle w:val="Bibliography"/>
      </w:pPr>
      <w:r>
        <w:t xml:space="preserve">27. </w:t>
      </w:r>
      <w:r>
        <w:tab/>
        <w:t xml:space="preserve">X. He, K. Feng, X. Li, A. B. Craft, Y. Wada, P. Burek, E. F. Wood, J. Sheffield, Solar and wind energy enhances drought resilience and groundwater sustainability. </w:t>
      </w:r>
      <w:r>
        <w:rPr>
          <w:i/>
          <w:iCs/>
        </w:rPr>
        <w:t>Nat. Commun.</w:t>
      </w:r>
      <w:r>
        <w:t xml:space="preserve"> </w:t>
      </w:r>
      <w:r>
        <w:rPr>
          <w:b/>
          <w:bCs/>
        </w:rPr>
        <w:t>10</w:t>
      </w:r>
      <w:r>
        <w:t>, 1–8 (2019).</w:t>
      </w:r>
    </w:p>
    <w:p w14:paraId="39A955DB" w14:textId="77777777" w:rsidR="0070434B" w:rsidRDefault="0070434B" w:rsidP="0070434B">
      <w:pPr>
        <w:pStyle w:val="Bibliography"/>
      </w:pPr>
      <w:r>
        <w:t xml:space="preserve">28. </w:t>
      </w:r>
      <w:r>
        <w:tab/>
        <w:t xml:space="preserve">S. Bizzi, Q. Dinh, D. Bernardi, S. Denaro, L. Schippa, R. Soncini‐Sessa, On the control of riverbed incision induced by run-of-river power plant. </w:t>
      </w:r>
      <w:r>
        <w:rPr>
          <w:i/>
          <w:iCs/>
        </w:rPr>
        <w:t>Water Resour. Res.</w:t>
      </w:r>
      <w:r>
        <w:t xml:space="preserve"> </w:t>
      </w:r>
      <w:r>
        <w:rPr>
          <w:b/>
          <w:bCs/>
        </w:rPr>
        <w:t>51</w:t>
      </w:r>
      <w:r>
        <w:t>, 5023–5040 (2015).</w:t>
      </w:r>
    </w:p>
    <w:p w14:paraId="304F7CAA" w14:textId="77777777" w:rsidR="0070434B" w:rsidRDefault="0070434B" w:rsidP="0070434B">
      <w:pPr>
        <w:pStyle w:val="Bibliography"/>
      </w:pPr>
      <w:r>
        <w:t xml:space="preserve">29. </w:t>
      </w:r>
      <w:r>
        <w:tab/>
        <w:t xml:space="preserve">X.-A. Yin, Z.-F. Yang, G. E. Petts, G. M. Kondolf, A reservoir operating method for riverine ecosystem protection, reservoir sedimentation control and water supply. </w:t>
      </w:r>
      <w:r>
        <w:rPr>
          <w:i/>
          <w:iCs/>
        </w:rPr>
        <w:t>J. Hydrol.</w:t>
      </w:r>
      <w:r>
        <w:t xml:space="preserve"> </w:t>
      </w:r>
      <w:r>
        <w:rPr>
          <w:b/>
          <w:bCs/>
        </w:rPr>
        <w:t>512</w:t>
      </w:r>
      <w:r>
        <w:t>, 379–387 (2014).</w:t>
      </w:r>
    </w:p>
    <w:p w14:paraId="746E51E2" w14:textId="77777777" w:rsidR="0070434B" w:rsidRDefault="0070434B" w:rsidP="0070434B">
      <w:pPr>
        <w:pStyle w:val="Bibliography"/>
      </w:pPr>
      <w:r>
        <w:t xml:space="preserve">30. </w:t>
      </w:r>
      <w:r>
        <w:tab/>
        <w:t xml:space="preserve">R. M. Boes, C. Auel, M. H. &amp; I. Albayrak, in </w:t>
      </w:r>
      <w:r>
        <w:rPr>
          <w:i/>
          <w:iCs/>
        </w:rPr>
        <w:t>Reservoir Sedimentation</w:t>
      </w:r>
      <w:r>
        <w:t xml:space="preserve"> (CRC Press, 2014).</w:t>
      </w:r>
    </w:p>
    <w:p w14:paraId="474839EC" w14:textId="77777777" w:rsidR="0070434B" w:rsidRDefault="0070434B" w:rsidP="0070434B">
      <w:pPr>
        <w:pStyle w:val="Bibliography"/>
      </w:pPr>
      <w:r>
        <w:lastRenderedPageBreak/>
        <w:t xml:space="preserve">31. </w:t>
      </w:r>
      <w:r>
        <w:tab/>
        <w:t xml:space="preserve">G. M. Kondolf, Y. Gao, G. W. Annandale, G. L. Morris, E. Jiang, J. Zhang, Y. Cao, P. Carling, K. Fu, Q. Guo, R. Hotchkiss, C. Peteuil, T. Sumi, H.-W. Wang, Z. Wang, Z. Wei, B. Wu, C. Wu, C. T. Yang, Sustainable sediment management in reservoirs and regulated rivers: Experiences from five continents. </w:t>
      </w:r>
      <w:r>
        <w:rPr>
          <w:i/>
          <w:iCs/>
        </w:rPr>
        <w:t>Earths Future</w:t>
      </w:r>
      <w:r>
        <w:t xml:space="preserve">. </w:t>
      </w:r>
      <w:r>
        <w:rPr>
          <w:b/>
          <w:bCs/>
        </w:rPr>
        <w:t>2</w:t>
      </w:r>
      <w:r>
        <w:t>, 256–280 (2014).</w:t>
      </w:r>
    </w:p>
    <w:p w14:paraId="38E2DF16" w14:textId="77777777" w:rsidR="0070434B" w:rsidRDefault="0070434B" w:rsidP="0070434B">
      <w:pPr>
        <w:pStyle w:val="Bibliography"/>
      </w:pPr>
      <w:r>
        <w:t xml:space="preserve">32. </w:t>
      </w:r>
      <w:r>
        <w:tab/>
        <w:t>T. Sumi, Reservoir sedimentation management with bypass tunnels in Japan (2004).</w:t>
      </w:r>
    </w:p>
    <w:p w14:paraId="72952C5A" w14:textId="77777777" w:rsidR="0070434B" w:rsidRDefault="0070434B" w:rsidP="0070434B">
      <w:pPr>
        <w:pStyle w:val="Bibliography"/>
      </w:pPr>
      <w:r>
        <w:t xml:space="preserve">33. </w:t>
      </w:r>
      <w:r>
        <w:tab/>
        <w:t xml:space="preserve">T. B. Wild, P. M. Reed, D. P. Loucks, M. Mallen-Cooper, E. D. Jensen, Balancing Hydropower Development and Ecological Impacts in the Mekong: Tradeoffs for Sambor Mega Dam. </w:t>
      </w:r>
      <w:r>
        <w:rPr>
          <w:i/>
          <w:iCs/>
        </w:rPr>
        <w:t>J. Water Resour. Plan. Manag.</w:t>
      </w:r>
      <w:r>
        <w:t xml:space="preserve"> </w:t>
      </w:r>
      <w:r>
        <w:rPr>
          <w:b/>
          <w:bCs/>
        </w:rPr>
        <w:t>145</w:t>
      </w:r>
      <w:r>
        <w:t>, 05018019 (2019).</w:t>
      </w:r>
    </w:p>
    <w:p w14:paraId="5FD35EF9" w14:textId="77777777" w:rsidR="0070434B" w:rsidRDefault="0070434B" w:rsidP="0070434B">
      <w:pPr>
        <w:pStyle w:val="Bibliography"/>
      </w:pPr>
      <w:r>
        <w:t xml:space="preserve">34. </w:t>
      </w:r>
      <w:r>
        <w:tab/>
        <w:t xml:space="preserve">T. B. Wild, D. P. Loucks, Managing flow, sediment, and hydropower regimes in the Sre Pok, Se San, and Se Kong Rivers of the Mekong basin. </w:t>
      </w:r>
      <w:r>
        <w:rPr>
          <w:i/>
          <w:iCs/>
        </w:rPr>
        <w:t>Water Resour. Res.</w:t>
      </w:r>
      <w:r>
        <w:t xml:space="preserve"> </w:t>
      </w:r>
      <w:r>
        <w:rPr>
          <w:b/>
          <w:bCs/>
        </w:rPr>
        <w:t>50</w:t>
      </w:r>
      <w:r>
        <w:t>, 5141–5157 (2014).</w:t>
      </w:r>
    </w:p>
    <w:p w14:paraId="4AEF4E0C" w14:textId="77777777" w:rsidR="0070434B" w:rsidRDefault="0070434B" w:rsidP="0070434B">
      <w:pPr>
        <w:pStyle w:val="Bibliography"/>
      </w:pPr>
      <w:r>
        <w:t xml:space="preserve">35. </w:t>
      </w:r>
      <w:r>
        <w:tab/>
        <w:t xml:space="preserve">E. J. Martín, M. Doering, C. T. Robinson, Ecological Assessment of a Sediment By-pass Tunnel on a Receiving Stream in Switzerland. </w:t>
      </w:r>
      <w:r>
        <w:rPr>
          <w:i/>
          <w:iCs/>
        </w:rPr>
        <w:t>River Res. Appl.</w:t>
      </w:r>
      <w:r>
        <w:t xml:space="preserve"> </w:t>
      </w:r>
      <w:r>
        <w:rPr>
          <w:b/>
          <w:bCs/>
        </w:rPr>
        <w:t>33</w:t>
      </w:r>
      <w:r>
        <w:t>, 925–936 (2017).</w:t>
      </w:r>
    </w:p>
    <w:p w14:paraId="59920929" w14:textId="77777777" w:rsidR="0070434B" w:rsidRDefault="0070434B" w:rsidP="0070434B">
      <w:pPr>
        <w:pStyle w:val="Bibliography"/>
      </w:pPr>
      <w:r>
        <w:t xml:space="preserve">36. </w:t>
      </w:r>
      <w:r>
        <w:tab/>
        <w:t xml:space="preserve">G. L. Morris, J. Fan, </w:t>
      </w:r>
      <w:r>
        <w:rPr>
          <w:i/>
          <w:iCs/>
        </w:rPr>
        <w:t>Reservoir sedimentation handbook: design and management of dams, reservoirs, and watersheds for sustainable use</w:t>
      </w:r>
      <w:r>
        <w:t xml:space="preserve"> (McGraw-Hill, New York, 1998).</w:t>
      </w:r>
    </w:p>
    <w:p w14:paraId="52764BD3" w14:textId="77777777" w:rsidR="0070434B" w:rsidRDefault="0070434B" w:rsidP="0070434B">
      <w:pPr>
        <w:pStyle w:val="Bibliography"/>
      </w:pPr>
      <w:r>
        <w:t xml:space="preserve">37. </w:t>
      </w:r>
      <w:r>
        <w:tab/>
        <w:t xml:space="preserve">A. Torres, M. U. Simoni, J. K. Keiding, D. B. Müller, S. O. S. E. zu Ermgassen, J. Liu, J. A. G. Jaeger, M. Winter, E. F. Lambin, Sustainability of the global sand system in the Anthropocene. </w:t>
      </w:r>
      <w:r>
        <w:rPr>
          <w:i/>
          <w:iCs/>
        </w:rPr>
        <w:t>One Earth</w:t>
      </w:r>
      <w:r>
        <w:t xml:space="preserve">. </w:t>
      </w:r>
      <w:r>
        <w:rPr>
          <w:b/>
          <w:bCs/>
        </w:rPr>
        <w:t>4</w:t>
      </w:r>
      <w:r>
        <w:t>, 639–650 (2021).</w:t>
      </w:r>
    </w:p>
    <w:p w14:paraId="1F47C701" w14:textId="77777777" w:rsidR="0070434B" w:rsidRDefault="0070434B" w:rsidP="0070434B">
      <w:pPr>
        <w:pStyle w:val="Bibliography"/>
      </w:pPr>
      <w:r>
        <w:t xml:space="preserve">38. </w:t>
      </w:r>
      <w:r>
        <w:tab/>
        <w:t>L. Gallagher, P. Peduzzi, Sand and sustainability: Finding new solutions for environmental governance of global sand resources (2019).</w:t>
      </w:r>
    </w:p>
    <w:p w14:paraId="1FAA33AD" w14:textId="77777777" w:rsidR="0070434B" w:rsidRDefault="0070434B" w:rsidP="0070434B">
      <w:pPr>
        <w:pStyle w:val="Bibliography"/>
      </w:pPr>
      <w:r>
        <w:t xml:space="preserve">39. </w:t>
      </w:r>
      <w:r>
        <w:tab/>
        <w:t xml:space="preserve">L. L. Rempel, M. Church, Physical and ecological response to disturbance by gravel mining in a large alluvial river. </w:t>
      </w:r>
      <w:r>
        <w:rPr>
          <w:i/>
          <w:iCs/>
        </w:rPr>
        <w:t>Can. J. Fish. Aquat. Sci.</w:t>
      </w:r>
      <w:r>
        <w:t xml:space="preserve"> </w:t>
      </w:r>
      <w:r>
        <w:rPr>
          <w:b/>
          <w:bCs/>
        </w:rPr>
        <w:t>66</w:t>
      </w:r>
      <w:r>
        <w:t>, 52–71 (2009).</w:t>
      </w:r>
    </w:p>
    <w:p w14:paraId="5F8D442B" w14:textId="77777777" w:rsidR="0070434B" w:rsidRDefault="0070434B" w:rsidP="0070434B">
      <w:pPr>
        <w:pStyle w:val="Bibliography"/>
      </w:pPr>
      <w:r>
        <w:t xml:space="preserve">40. </w:t>
      </w:r>
      <w:r>
        <w:tab/>
        <w:t xml:space="preserve">L. Koehnken, M. S. Rintoul, M. Goichot, D. Tickner, A.-C. Loftus, M. C. Acreman, Impacts of riverine sand mining on freshwater ecosystems: A review of the scientific evidence and guidance for future research. </w:t>
      </w:r>
      <w:r>
        <w:rPr>
          <w:i/>
          <w:iCs/>
        </w:rPr>
        <w:t>River Res. Appl.</w:t>
      </w:r>
      <w:r>
        <w:t xml:space="preserve"> </w:t>
      </w:r>
      <w:r>
        <w:rPr>
          <w:b/>
          <w:bCs/>
        </w:rPr>
        <w:t>36</w:t>
      </w:r>
      <w:r>
        <w:t>, 362–370 (2020).</w:t>
      </w:r>
    </w:p>
    <w:p w14:paraId="497D1B09" w14:textId="77777777" w:rsidR="0070434B" w:rsidRDefault="0070434B" w:rsidP="0070434B">
      <w:pPr>
        <w:pStyle w:val="Bibliography"/>
      </w:pPr>
      <w:r>
        <w:t xml:space="preserve">41. </w:t>
      </w:r>
      <w:r>
        <w:tab/>
        <w:t xml:space="preserve">G. M. Kondolf, Hungry water: effects of dams and gravel mining on river channels. </w:t>
      </w:r>
      <w:r>
        <w:rPr>
          <w:i/>
          <w:iCs/>
        </w:rPr>
        <w:t>Environ. Manage.</w:t>
      </w:r>
      <w:r>
        <w:t xml:space="preserve"> </w:t>
      </w:r>
      <w:r>
        <w:rPr>
          <w:b/>
          <w:bCs/>
        </w:rPr>
        <w:t>21</w:t>
      </w:r>
      <w:r>
        <w:t>, 533–551 (1997).</w:t>
      </w:r>
    </w:p>
    <w:p w14:paraId="5F82F3F2" w14:textId="77777777" w:rsidR="0070434B" w:rsidRDefault="0070434B" w:rsidP="0070434B">
      <w:pPr>
        <w:pStyle w:val="Bibliography"/>
      </w:pPr>
      <w:r>
        <w:t xml:space="preserve">42. </w:t>
      </w:r>
      <w:r>
        <w:tab/>
        <w:t xml:space="preserve">M. Rinaldi, B. Wyżga, N. Surian, Sediment mining in alluvial channels: physical effects and management perspectives. </w:t>
      </w:r>
      <w:r>
        <w:rPr>
          <w:i/>
          <w:iCs/>
        </w:rPr>
        <w:t>River Res. Appl.</w:t>
      </w:r>
      <w:r>
        <w:t xml:space="preserve"> </w:t>
      </w:r>
      <w:r>
        <w:rPr>
          <w:b/>
          <w:bCs/>
        </w:rPr>
        <w:t>21</w:t>
      </w:r>
      <w:r>
        <w:t>, 805–828 (2005).</w:t>
      </w:r>
    </w:p>
    <w:p w14:paraId="3DD57649" w14:textId="77777777" w:rsidR="0070434B" w:rsidRDefault="0070434B" w:rsidP="0070434B">
      <w:pPr>
        <w:pStyle w:val="Bibliography"/>
      </w:pPr>
      <w:r>
        <w:t xml:space="preserve">43. </w:t>
      </w:r>
      <w:r>
        <w:tab/>
        <w:t>M. Umesh, A. Murthy, “Sand Mining: Curbing the Evil to the Environment Through Sustainable Substitution and Legislative Action” (SSRN Scholarly Paper ID 2441706, Social Science Research Network, Rochester, NY, 2014), (available at https://papers.ssrn.com/abstract=2441706).</w:t>
      </w:r>
    </w:p>
    <w:p w14:paraId="4127B386" w14:textId="77777777" w:rsidR="0070434B" w:rsidRDefault="0070434B" w:rsidP="0070434B">
      <w:pPr>
        <w:pStyle w:val="Bibliography"/>
      </w:pPr>
      <w:r>
        <w:t xml:space="preserve">44. </w:t>
      </w:r>
      <w:r>
        <w:tab/>
        <w:t xml:space="preserve">M. Bendixen, L. L. Iversen, J. Best, D. M. Franks, C. R. Hackney, E. M. Latrubesse, L. S. Tusting, Sand, gravel, and UN Sustainable Development Goals: Conflicts, synergies, and pathways forward. </w:t>
      </w:r>
      <w:r>
        <w:rPr>
          <w:i/>
          <w:iCs/>
        </w:rPr>
        <w:t>One Earth</w:t>
      </w:r>
      <w:r>
        <w:t xml:space="preserve">. </w:t>
      </w:r>
      <w:r>
        <w:rPr>
          <w:b/>
          <w:bCs/>
        </w:rPr>
        <w:t>4</w:t>
      </w:r>
      <w:r>
        <w:t>, 1095–1111 (2021).</w:t>
      </w:r>
    </w:p>
    <w:p w14:paraId="2B1EEFD3" w14:textId="77777777" w:rsidR="0070434B" w:rsidRDefault="0070434B" w:rsidP="0070434B">
      <w:pPr>
        <w:pStyle w:val="Bibliography"/>
      </w:pPr>
      <w:r>
        <w:t xml:space="preserve">45. </w:t>
      </w:r>
      <w:r>
        <w:tab/>
        <w:t xml:space="preserve">C. R. Hackney, S. E. Darby, D. R. Parsons, J. Leyland, J. L. Best, R. Aalto, A. P. Nicholas, R. C. Houseago, River bank instability from unsustainable sand mining in the lower Mekong River. </w:t>
      </w:r>
      <w:r>
        <w:rPr>
          <w:i/>
          <w:iCs/>
        </w:rPr>
        <w:t>Nat. Sustain.</w:t>
      </w:r>
      <w:r>
        <w:t xml:space="preserve"> </w:t>
      </w:r>
      <w:r>
        <w:rPr>
          <w:b/>
          <w:bCs/>
        </w:rPr>
        <w:t>3</w:t>
      </w:r>
      <w:r>
        <w:t>, 217–225 (2020).</w:t>
      </w:r>
    </w:p>
    <w:p w14:paraId="5CE34AD1" w14:textId="77777777" w:rsidR="0070434B" w:rsidRDefault="0070434B" w:rsidP="0070434B">
      <w:pPr>
        <w:pStyle w:val="Bibliography"/>
      </w:pPr>
      <w:r>
        <w:t xml:space="preserve">46. </w:t>
      </w:r>
      <w:r>
        <w:tab/>
        <w:t xml:space="preserve">G. M. Kondolf, R. J. P. Schmitt, P. Carling, S. Darby, M. Arias, S. Bizzi, A. Castelletti, T. A. Cochrane, S. Gibson, M. Kummu, C. Oeurng, Z. Rubin, T. Wild, Changing sediment budget of the Mekong: </w:t>
      </w:r>
      <w:r>
        <w:lastRenderedPageBreak/>
        <w:t xml:space="preserve">Cumulative threats and management strategies for a large river basin. </w:t>
      </w:r>
      <w:r>
        <w:rPr>
          <w:i/>
          <w:iCs/>
        </w:rPr>
        <w:t>Sci. Total Environ.</w:t>
      </w:r>
      <w:r>
        <w:t xml:space="preserve"> </w:t>
      </w:r>
      <w:r>
        <w:rPr>
          <w:b/>
          <w:bCs/>
        </w:rPr>
        <w:t>625</w:t>
      </w:r>
      <w:r>
        <w:t>, 114–134 (2018).</w:t>
      </w:r>
    </w:p>
    <w:p w14:paraId="16BA139D" w14:textId="77777777" w:rsidR="0070434B" w:rsidRDefault="0070434B" w:rsidP="0070434B">
      <w:pPr>
        <w:pStyle w:val="Bibliography"/>
      </w:pPr>
      <w:r>
        <w:t xml:space="preserve">47. </w:t>
      </w:r>
      <w:r>
        <w:tab/>
        <w:t xml:space="preserve">D. K. Nhan, L. T. Phong, M. J. C. Verdegem, L. T. Duong, R. H. Bosma, D. C. Little, Integrated freshwater aquaculture, crop and livestock production in the Mekong delta, Vietnam: Determinants and the role of the pond. </w:t>
      </w:r>
      <w:r>
        <w:rPr>
          <w:i/>
          <w:iCs/>
        </w:rPr>
        <w:t>Agric. Syst.</w:t>
      </w:r>
      <w:r>
        <w:t xml:space="preserve"> </w:t>
      </w:r>
      <w:r>
        <w:rPr>
          <w:b/>
          <w:bCs/>
        </w:rPr>
        <w:t>94</w:t>
      </w:r>
      <w:r>
        <w:t>, 445–458 (2007).</w:t>
      </w:r>
    </w:p>
    <w:p w14:paraId="7B8F1FC9" w14:textId="77777777" w:rsidR="0070434B" w:rsidRDefault="0070434B" w:rsidP="0070434B">
      <w:pPr>
        <w:pStyle w:val="Bibliography"/>
      </w:pPr>
      <w:r>
        <w:t xml:space="preserve">48. </w:t>
      </w:r>
      <w:r>
        <w:tab/>
        <w:t xml:space="preserve">T. C. Leahy, Desperate Times Call for Sensible Measures: The Making of the California Sustainable Groundwater Management Act The Waste of Water in 21st Century California. </w:t>
      </w:r>
      <w:r>
        <w:rPr>
          <w:i/>
          <w:iCs/>
        </w:rPr>
        <w:t>Gold. Gate Univ. Environ. Law J.</w:t>
      </w:r>
      <w:r>
        <w:t xml:space="preserve"> </w:t>
      </w:r>
      <w:r>
        <w:rPr>
          <w:b/>
          <w:bCs/>
        </w:rPr>
        <w:t>9</w:t>
      </w:r>
      <w:r>
        <w:t>, 5–40 (2015).</w:t>
      </w:r>
    </w:p>
    <w:p w14:paraId="3CC3533D" w14:textId="77777777" w:rsidR="0070434B" w:rsidRDefault="0070434B" w:rsidP="0070434B">
      <w:pPr>
        <w:pStyle w:val="Bibliography"/>
      </w:pPr>
      <w:r>
        <w:t xml:space="preserve">49. </w:t>
      </w:r>
      <w:r>
        <w:tab/>
        <w:t xml:space="preserve">A. D. Chapman, S. E. Darby, Dams and the economic value of sediment in the Vietnamese Mekong Delta. </w:t>
      </w:r>
      <w:r>
        <w:rPr>
          <w:i/>
          <w:iCs/>
        </w:rPr>
        <w:t>Ecosyst. Serv.</w:t>
      </w:r>
      <w:r>
        <w:t xml:space="preserve"> </w:t>
      </w:r>
      <w:r>
        <w:rPr>
          <w:b/>
          <w:bCs/>
        </w:rPr>
        <w:t>32</w:t>
      </w:r>
      <w:r>
        <w:t>, 110–111 (2018).</w:t>
      </w:r>
    </w:p>
    <w:p w14:paraId="2C5D1052" w14:textId="77777777" w:rsidR="0070434B" w:rsidRDefault="0070434B" w:rsidP="0070434B">
      <w:pPr>
        <w:pStyle w:val="Bibliography"/>
      </w:pPr>
      <w:r>
        <w:t xml:space="preserve">50. </w:t>
      </w:r>
      <w:r>
        <w:tab/>
        <w:t xml:space="preserve">S. Bevis, WWF DFCD seals groundbreaking partnership to reverse degradation of Mekong Delta. </w:t>
      </w:r>
      <w:r>
        <w:rPr>
          <w:i/>
          <w:iCs/>
        </w:rPr>
        <w:t>WWF</w:t>
      </w:r>
      <w:r>
        <w:t xml:space="preserve"> (2020), (available at https://www.wwf.nl/wat-we-doen/aanpak/internationaal/Dutch-Fund-for-Climate-and-Development/partnership-mekong-delta).</w:t>
      </w:r>
    </w:p>
    <w:p w14:paraId="0947E65F" w14:textId="77777777" w:rsidR="0070434B" w:rsidRDefault="0070434B" w:rsidP="0070434B">
      <w:pPr>
        <w:pStyle w:val="Bibliography"/>
      </w:pPr>
      <w:r>
        <w:t xml:space="preserve">51. </w:t>
      </w:r>
      <w:r>
        <w:tab/>
        <w:t xml:space="preserve">M. A. Allison, E. A. Meselhe, The use of large water and sediment diversions in the lower Mississippi River (Louisiana) for coastal restoration. </w:t>
      </w:r>
      <w:r>
        <w:rPr>
          <w:i/>
          <w:iCs/>
        </w:rPr>
        <w:t>J. Hydrol.</w:t>
      </w:r>
      <w:r>
        <w:t xml:space="preserve"> </w:t>
      </w:r>
      <w:r>
        <w:rPr>
          <w:b/>
          <w:bCs/>
        </w:rPr>
        <w:t>387</w:t>
      </w:r>
      <w:r>
        <w:t>, 346–360 (2010).</w:t>
      </w:r>
    </w:p>
    <w:p w14:paraId="265D700D" w14:textId="77777777" w:rsidR="0070434B" w:rsidRDefault="0070434B" w:rsidP="0070434B">
      <w:pPr>
        <w:pStyle w:val="Bibliography"/>
      </w:pPr>
      <w:r>
        <w:t xml:space="preserve">52. </w:t>
      </w:r>
      <w:r>
        <w:tab/>
        <w:t xml:space="preserve">L. Giosan, J. Syvitski, S. Constantinescu, J. Day, Climate change: Protect the world’s deltas. </w:t>
      </w:r>
      <w:r>
        <w:rPr>
          <w:i/>
          <w:iCs/>
        </w:rPr>
        <w:t>Nat. News</w:t>
      </w:r>
      <w:r>
        <w:t xml:space="preserve">. </w:t>
      </w:r>
      <w:r>
        <w:rPr>
          <w:b/>
          <w:bCs/>
        </w:rPr>
        <w:t>516</w:t>
      </w:r>
      <w:r>
        <w:t>, 31 (2014).</w:t>
      </w:r>
    </w:p>
    <w:p w14:paraId="69A07CA2" w14:textId="77777777" w:rsidR="0070434B" w:rsidRDefault="0070434B" w:rsidP="0070434B">
      <w:pPr>
        <w:pStyle w:val="Bibliography"/>
      </w:pPr>
      <w:r>
        <w:t xml:space="preserve">53. </w:t>
      </w:r>
      <w:r>
        <w:tab/>
        <w:t xml:space="preserve">M. F. Islam, H. Middelkoop, P. P. Schot, S. C. Dekker, J. Griffioen, Spatial and seasonal variability of sediment accumulation potential through controlled flooding of the beels located in the polders of the Ganges-Brahmaputra-Meghna delta of Southwest Bangladesh. </w:t>
      </w:r>
      <w:r>
        <w:rPr>
          <w:i/>
          <w:iCs/>
        </w:rPr>
        <w:t>Hydrol. Process.</w:t>
      </w:r>
      <w:r>
        <w:t xml:space="preserve"> </w:t>
      </w:r>
      <w:r>
        <w:rPr>
          <w:b/>
          <w:bCs/>
        </w:rPr>
        <w:t>35</w:t>
      </w:r>
      <w:r>
        <w:t>, e14119 (2021).</w:t>
      </w:r>
    </w:p>
    <w:p w14:paraId="4CDA51DB" w14:textId="77777777" w:rsidR="0070434B" w:rsidRDefault="0070434B" w:rsidP="0070434B">
      <w:pPr>
        <w:pStyle w:val="Bibliography"/>
      </w:pPr>
      <w:r>
        <w:t xml:space="preserve">54. </w:t>
      </w:r>
      <w:r>
        <w:tab/>
        <w:t xml:space="preserve">N. V. K. Triet, N. V. Dung, H. Fujii, M. Kummu, B. Merz, H. Apel, Has dyke development in the Vietnamese Mekong Delta shifted flood hazard downstream? </w:t>
      </w:r>
      <w:r>
        <w:rPr>
          <w:i/>
          <w:iCs/>
        </w:rPr>
        <w:t>Hydrol Earth Syst Sci Discuss</w:t>
      </w:r>
      <w:r>
        <w:t xml:space="preserve">. </w:t>
      </w:r>
      <w:r>
        <w:rPr>
          <w:b/>
          <w:bCs/>
        </w:rPr>
        <w:t>2017</w:t>
      </w:r>
      <w:r>
        <w:t>, 1–27 (2017).</w:t>
      </w:r>
    </w:p>
    <w:p w14:paraId="6E8313D3" w14:textId="77777777" w:rsidR="0070434B" w:rsidRDefault="0070434B" w:rsidP="0070434B">
      <w:pPr>
        <w:pStyle w:val="Bibliography"/>
      </w:pPr>
      <w:r>
        <w:t xml:space="preserve">55. </w:t>
      </w:r>
      <w:r>
        <w:tab/>
        <w:t xml:space="preserve">E. Park, H. L. Ho, D. D. Tran, X. Yang, E. Alcantara, E. Merino, V. H. Son, Dramatic decrease of flood frequency in the Mekong Delta due to river-bed mining and dyke construction. </w:t>
      </w:r>
      <w:r>
        <w:rPr>
          <w:i/>
          <w:iCs/>
        </w:rPr>
        <w:t>Sci. Total Environ.</w:t>
      </w:r>
      <w:r>
        <w:t xml:space="preserve"> </w:t>
      </w:r>
      <w:r>
        <w:rPr>
          <w:b/>
          <w:bCs/>
        </w:rPr>
        <w:t>723</w:t>
      </w:r>
      <w:r>
        <w:t>, 138066 (2020).</w:t>
      </w:r>
    </w:p>
    <w:p w14:paraId="359C7A9E" w14:textId="77777777" w:rsidR="0070434B" w:rsidRDefault="0070434B" w:rsidP="0070434B">
      <w:pPr>
        <w:pStyle w:val="Bibliography"/>
      </w:pPr>
      <w:r>
        <w:t xml:space="preserve">56. </w:t>
      </w:r>
      <w:r>
        <w:tab/>
        <w:t xml:space="preserve">A. L. McIvor, I. Möller, T. Spencer, M. Spalding, Reduction of Wind and Swell Waves by Mangroves. </w:t>
      </w:r>
      <w:r>
        <w:rPr>
          <w:i/>
          <w:iCs/>
        </w:rPr>
        <w:t>Nat. Coast. Prot. Ser. Rep. 1 Camb. Coast. Res. Unit Work. Pap. 40 ISSN 2050-7941</w:t>
      </w:r>
      <w:r>
        <w:t xml:space="preserve"> (2012) (available at https://repository.tudelft.nl/islandora/object/uuid%3Ac77ceec8-8db6-4080-b5bb-f414dca9d39d).</w:t>
      </w:r>
    </w:p>
    <w:p w14:paraId="4F18C7B4" w14:textId="77777777" w:rsidR="0070434B" w:rsidRDefault="0070434B" w:rsidP="0070434B">
      <w:pPr>
        <w:pStyle w:val="Bibliography"/>
      </w:pPr>
      <w:r>
        <w:t xml:space="preserve">57. </w:t>
      </w:r>
      <w:r>
        <w:tab/>
        <w:t xml:space="preserve">A. Tusinski, H. Verhagen, THE USE OF MANGROVES IN COASTAL PROTECTION. </w:t>
      </w:r>
      <w:r>
        <w:rPr>
          <w:i/>
          <w:iCs/>
        </w:rPr>
        <w:t>Coast. Eng. Proc.</w:t>
      </w:r>
      <w:r>
        <w:t xml:space="preserve"> </w:t>
      </w:r>
      <w:r>
        <w:rPr>
          <w:b/>
          <w:bCs/>
        </w:rPr>
        <w:t>1</w:t>
      </w:r>
      <w:r>
        <w:t>, 45 (2014).</w:t>
      </w:r>
    </w:p>
    <w:p w14:paraId="04B22919" w14:textId="77777777" w:rsidR="0070434B" w:rsidRDefault="0070434B" w:rsidP="0070434B">
      <w:pPr>
        <w:pStyle w:val="Bibliography"/>
      </w:pPr>
      <w:r>
        <w:t xml:space="preserve">58. </w:t>
      </w:r>
      <w:r>
        <w:tab/>
        <w:t xml:space="preserve">S. Gebhardt, L. D. Nguyen, C. Kuenzer, in </w:t>
      </w:r>
      <w:r>
        <w:rPr>
          <w:i/>
          <w:iCs/>
        </w:rPr>
        <w:t>The Mekong Delta System: Interdisciplinary Analyses of a River Delta</w:t>
      </w:r>
      <w:r>
        <w:t xml:space="preserve">, F. G. Renaud, C. Kuenzer, Eds. (Springer Netherlands, Dordrecht, 2012; https://doi.org/10.1007/978-94-007-3962-8_12), </w:t>
      </w:r>
      <w:r>
        <w:rPr>
          <w:i/>
          <w:iCs/>
        </w:rPr>
        <w:t>Springer Environmental Science and Engineering</w:t>
      </w:r>
      <w:r>
        <w:t>, pp. 315–330.</w:t>
      </w:r>
    </w:p>
    <w:p w14:paraId="41DF5C5A" w14:textId="77777777" w:rsidR="0070434B" w:rsidRDefault="0070434B" w:rsidP="0070434B">
      <w:pPr>
        <w:pStyle w:val="Bibliography"/>
      </w:pPr>
      <w:r>
        <w:t xml:space="preserve">59. </w:t>
      </w:r>
      <w:r>
        <w:tab/>
        <w:t xml:space="preserve">D. M. Peteet, J. Nichols, T. Kenna, C. Chang, J. Browne, M. Reza, S. Kovari, L. Liberman, S. Stern-Protz, Sediment starvation destroys New York City marshes’ resistance to sea level rise. </w:t>
      </w:r>
      <w:r>
        <w:rPr>
          <w:i/>
          <w:iCs/>
        </w:rPr>
        <w:t>Proc. Natl. Acad. Sci.</w:t>
      </w:r>
      <w:r>
        <w:t xml:space="preserve"> </w:t>
      </w:r>
      <w:r>
        <w:rPr>
          <w:b/>
          <w:bCs/>
        </w:rPr>
        <w:t>115</w:t>
      </w:r>
      <w:r>
        <w:t>, 10281–10286 (2018).</w:t>
      </w:r>
    </w:p>
    <w:p w14:paraId="30E6D258" w14:textId="77777777" w:rsidR="0070434B" w:rsidRDefault="0070434B" w:rsidP="0070434B">
      <w:pPr>
        <w:pStyle w:val="Bibliography"/>
      </w:pPr>
      <w:r>
        <w:lastRenderedPageBreak/>
        <w:t xml:space="preserve">60. </w:t>
      </w:r>
      <w:r>
        <w:tab/>
        <w:t xml:space="preserve">E. Ezcurra, E. Barrios, P. Ezcurra, A. Ezcurra, S. Vanderplank, O. Vidal, L. Villanueva-Almanza, O. Aburto-Oropeza, A natural experiment reveals the impact of hydroelectric dams on the estuaries of tropical rivers. </w:t>
      </w:r>
      <w:r>
        <w:rPr>
          <w:i/>
          <w:iCs/>
        </w:rPr>
        <w:t>Sci. Adv.</w:t>
      </w:r>
      <w:r>
        <w:t xml:space="preserve"> </w:t>
      </w:r>
      <w:r>
        <w:rPr>
          <w:b/>
          <w:bCs/>
        </w:rPr>
        <w:t>5</w:t>
      </w:r>
      <w:r>
        <w:t>, eaau9875 (2019).</w:t>
      </w:r>
    </w:p>
    <w:p w14:paraId="22205828" w14:textId="77777777" w:rsidR="0070434B" w:rsidRDefault="0070434B" w:rsidP="0070434B">
      <w:pPr>
        <w:pStyle w:val="Bibliography"/>
      </w:pPr>
      <w:r>
        <w:t xml:space="preserve">61. </w:t>
      </w:r>
      <w:r>
        <w:tab/>
        <w:t xml:space="preserve">B. K. Veettil, N. X. Quang, N. T. Thu Trang, Changes in mangrove vegetation, aquaculture and paddy cultivation in the Mekong Delta: A study from Ben Tre Province, southern Vietnam. </w:t>
      </w:r>
      <w:r>
        <w:rPr>
          <w:i/>
          <w:iCs/>
        </w:rPr>
        <w:t>Estuar. Coast. Shelf Sci.</w:t>
      </w:r>
      <w:r>
        <w:t xml:space="preserve"> </w:t>
      </w:r>
      <w:r>
        <w:rPr>
          <w:b/>
          <w:bCs/>
        </w:rPr>
        <w:t>226</w:t>
      </w:r>
      <w:r>
        <w:t>, 106273 (2019).</w:t>
      </w:r>
    </w:p>
    <w:p w14:paraId="4DE2B65F" w14:textId="77777777" w:rsidR="0070434B" w:rsidRDefault="0070434B" w:rsidP="0070434B">
      <w:pPr>
        <w:pStyle w:val="Bibliography"/>
      </w:pPr>
      <w:r>
        <w:t xml:space="preserve">62. </w:t>
      </w:r>
      <w:r>
        <w:tab/>
        <w:t xml:space="preserve">S. Fagherazzi, K. R. Bryan, W. Nardin, Buried Alive or Washed Away: The Challenging Life of Mangroves in the Mekong Delta. </w:t>
      </w:r>
      <w:r>
        <w:rPr>
          <w:i/>
          <w:iCs/>
        </w:rPr>
        <w:t>Oceanography</w:t>
      </w:r>
      <w:r>
        <w:t xml:space="preserve">. </w:t>
      </w:r>
      <w:r>
        <w:rPr>
          <w:b/>
          <w:bCs/>
        </w:rPr>
        <w:t>30</w:t>
      </w:r>
      <w:r>
        <w:t>, 48–59 (2017).</w:t>
      </w:r>
    </w:p>
    <w:p w14:paraId="531E4694" w14:textId="4841CF18" w:rsidR="004340A2" w:rsidRPr="008035AC" w:rsidRDefault="00161CD3" w:rsidP="004340A2">
      <w:pPr>
        <w:autoSpaceDE w:val="0"/>
        <w:autoSpaceDN w:val="0"/>
        <w:adjustRightInd w:val="0"/>
      </w:pPr>
      <w:r>
        <w:fldChar w:fldCharType="end"/>
      </w:r>
    </w:p>
    <w:p w14:paraId="63E34A89" w14:textId="2616093C" w:rsidR="00ED75F5" w:rsidRDefault="00ED75F5">
      <w:bookmarkStart w:id="6" w:name="_Toc83629110"/>
      <w:bookmarkStart w:id="7" w:name="_Toc83713526"/>
      <w:r>
        <w:br w:type="page"/>
      </w:r>
    </w:p>
    <w:p w14:paraId="366CFC6B" w14:textId="77777777" w:rsidR="00ED75F5" w:rsidRDefault="00ED75F5"/>
    <w:p w14:paraId="0AEE4622" w14:textId="77777777" w:rsidR="00ED75F5" w:rsidRPr="000A1915" w:rsidRDefault="00ED75F5" w:rsidP="00ED75F5">
      <w:pPr>
        <w:pStyle w:val="Title"/>
      </w:pPr>
      <w:bookmarkStart w:id="8" w:name="_Hlk96068403"/>
      <w:r>
        <w:t>Save the Mekong Delta from Drowning: Supplemental Information</w:t>
      </w:r>
    </w:p>
    <w:p w14:paraId="720541C4" w14:textId="77777777" w:rsidR="00ED75F5" w:rsidRPr="00A93078" w:rsidRDefault="00ED75F5" w:rsidP="00ED75F5">
      <w:pPr>
        <w:ind w:left="708"/>
        <w:rPr>
          <w:bCs/>
          <w:vertAlign w:val="superscript"/>
        </w:rPr>
      </w:pPr>
      <w:r w:rsidRPr="00A93078">
        <w:rPr>
          <w:bCs/>
        </w:rPr>
        <w:t>Kondolf, G. Mathias</w:t>
      </w:r>
      <w:r w:rsidRPr="00A93078">
        <w:rPr>
          <w:bCs/>
          <w:vertAlign w:val="superscript"/>
        </w:rPr>
        <w:t>1</w:t>
      </w:r>
      <w:r>
        <w:rPr>
          <w:bCs/>
          <w:vertAlign w:val="superscript"/>
        </w:rPr>
        <w:t>*</w:t>
      </w:r>
      <w:r w:rsidRPr="00A93078">
        <w:rPr>
          <w:bCs/>
        </w:rPr>
        <w:t>, Schmitt, Rafael J. P</w:t>
      </w:r>
      <w:r w:rsidRPr="00A93078">
        <w:rPr>
          <w:bCs/>
          <w:vertAlign w:val="superscript"/>
        </w:rPr>
        <w:t>2,1</w:t>
      </w:r>
      <w:r>
        <w:rPr>
          <w:bCs/>
          <w:vertAlign w:val="superscript"/>
        </w:rPr>
        <w:t>*</w:t>
      </w:r>
      <w:r w:rsidRPr="00A93078">
        <w:rPr>
          <w:bCs/>
        </w:rPr>
        <w:t>,</w:t>
      </w:r>
      <w:r>
        <w:rPr>
          <w:bCs/>
        </w:rPr>
        <w:t xml:space="preserve"> </w:t>
      </w:r>
      <w:r w:rsidRPr="00A93078">
        <w:rPr>
          <w:bCs/>
        </w:rPr>
        <w:t>Carling, Paul</w:t>
      </w:r>
      <w:r>
        <w:rPr>
          <w:bCs/>
        </w:rPr>
        <w:t xml:space="preserve"> A.</w:t>
      </w:r>
      <w:r>
        <w:rPr>
          <w:bCs/>
          <w:vertAlign w:val="superscript"/>
        </w:rPr>
        <w:t>3</w:t>
      </w:r>
      <w:r w:rsidRPr="00A93078">
        <w:rPr>
          <w:bCs/>
        </w:rPr>
        <w:t xml:space="preserve">, </w:t>
      </w:r>
      <w:r>
        <w:rPr>
          <w:bCs/>
        </w:rPr>
        <w:t>Goichot, Marc</w:t>
      </w:r>
      <w:r>
        <w:rPr>
          <w:bCs/>
          <w:vertAlign w:val="superscript"/>
        </w:rPr>
        <w:t>4</w:t>
      </w:r>
      <w:r>
        <w:rPr>
          <w:bCs/>
        </w:rPr>
        <w:t>,</w:t>
      </w:r>
      <w:r w:rsidRPr="00032160">
        <w:rPr>
          <w:bCs/>
        </w:rPr>
        <w:t xml:space="preserve"> </w:t>
      </w:r>
      <w:r>
        <w:rPr>
          <w:bCs/>
        </w:rPr>
        <w:t>Keskinen, Marko</w:t>
      </w:r>
      <w:r>
        <w:rPr>
          <w:bCs/>
          <w:vertAlign w:val="superscript"/>
        </w:rPr>
        <w:t>5</w:t>
      </w:r>
      <w:r w:rsidRPr="008644BA">
        <w:rPr>
          <w:bCs/>
        </w:rPr>
        <w:t>,</w:t>
      </w:r>
      <w:r>
        <w:rPr>
          <w:bCs/>
        </w:rPr>
        <w:t xml:space="preserve"> </w:t>
      </w:r>
      <w:r w:rsidRPr="00A93078">
        <w:rPr>
          <w:bCs/>
        </w:rPr>
        <w:t>Arias, Mauricio</w:t>
      </w:r>
      <w:r>
        <w:rPr>
          <w:bCs/>
        </w:rPr>
        <w:t xml:space="preserve"> E.</w:t>
      </w:r>
      <w:r>
        <w:rPr>
          <w:bCs/>
          <w:vertAlign w:val="superscript"/>
        </w:rPr>
        <w:t>6</w:t>
      </w:r>
      <w:r w:rsidRPr="00A93078">
        <w:rPr>
          <w:bCs/>
        </w:rPr>
        <w:t>,</w:t>
      </w:r>
      <w:r>
        <w:rPr>
          <w:bCs/>
        </w:rPr>
        <w:t xml:space="preserve"> </w:t>
      </w:r>
      <w:r w:rsidRPr="00A93078">
        <w:rPr>
          <w:bCs/>
        </w:rPr>
        <w:t>Bizzi, Simone</w:t>
      </w:r>
      <w:r>
        <w:rPr>
          <w:bCs/>
          <w:vertAlign w:val="superscript"/>
        </w:rPr>
        <w:t>7</w:t>
      </w:r>
      <w:r w:rsidRPr="00A93078">
        <w:rPr>
          <w:bCs/>
        </w:rPr>
        <w:t>,</w:t>
      </w:r>
      <w:r>
        <w:rPr>
          <w:bCs/>
        </w:rPr>
        <w:t xml:space="preserve"> </w:t>
      </w:r>
      <w:proofErr w:type="spellStart"/>
      <w:r w:rsidRPr="00A93078">
        <w:rPr>
          <w:bCs/>
        </w:rPr>
        <w:t>Castelletti</w:t>
      </w:r>
      <w:proofErr w:type="spellEnd"/>
      <w:r w:rsidRPr="00A93078">
        <w:rPr>
          <w:bCs/>
        </w:rPr>
        <w:t>, Andrea</w:t>
      </w:r>
      <w:r>
        <w:rPr>
          <w:bCs/>
          <w:vertAlign w:val="superscript"/>
        </w:rPr>
        <w:t>8</w:t>
      </w:r>
      <w:r w:rsidRPr="00A93078">
        <w:rPr>
          <w:bCs/>
        </w:rPr>
        <w:t>,</w:t>
      </w:r>
      <w:r>
        <w:rPr>
          <w:bCs/>
        </w:rPr>
        <w:t xml:space="preserve"> </w:t>
      </w:r>
      <w:r w:rsidRPr="00A93078">
        <w:rPr>
          <w:bCs/>
        </w:rPr>
        <w:t>Cochrane, T</w:t>
      </w:r>
      <w:r>
        <w:rPr>
          <w:bCs/>
        </w:rPr>
        <w:t>h</w:t>
      </w:r>
      <w:r w:rsidRPr="00A93078">
        <w:rPr>
          <w:bCs/>
        </w:rPr>
        <w:t>om</w:t>
      </w:r>
      <w:r>
        <w:rPr>
          <w:bCs/>
        </w:rPr>
        <w:t>as</w:t>
      </w:r>
      <w:r>
        <w:rPr>
          <w:bCs/>
          <w:vertAlign w:val="superscript"/>
        </w:rPr>
        <w:t>9</w:t>
      </w:r>
      <w:r w:rsidRPr="00A93078">
        <w:rPr>
          <w:bCs/>
        </w:rPr>
        <w:t>,</w:t>
      </w:r>
      <w:r>
        <w:rPr>
          <w:bCs/>
        </w:rPr>
        <w:t xml:space="preserve"> </w:t>
      </w:r>
      <w:r w:rsidRPr="00A93078">
        <w:rPr>
          <w:bCs/>
        </w:rPr>
        <w:t>Darby, Ste</w:t>
      </w:r>
      <w:r>
        <w:rPr>
          <w:bCs/>
        </w:rPr>
        <w:t>phen E.</w:t>
      </w:r>
      <w:r>
        <w:rPr>
          <w:bCs/>
          <w:vertAlign w:val="superscript"/>
        </w:rPr>
        <w:t>3</w:t>
      </w:r>
      <w:proofErr w:type="gramStart"/>
      <w:r w:rsidRPr="00A93078">
        <w:rPr>
          <w:bCs/>
        </w:rPr>
        <w:t xml:space="preserve">, </w:t>
      </w:r>
      <w:r>
        <w:rPr>
          <w:bCs/>
        </w:rPr>
        <w:t xml:space="preserve"> </w:t>
      </w:r>
      <w:r w:rsidRPr="00A93078">
        <w:rPr>
          <w:bCs/>
        </w:rPr>
        <w:t>Kummu</w:t>
      </w:r>
      <w:proofErr w:type="gramEnd"/>
      <w:r w:rsidRPr="00A93078">
        <w:rPr>
          <w:bCs/>
        </w:rPr>
        <w:t>, Matti</w:t>
      </w:r>
      <w:r>
        <w:rPr>
          <w:bCs/>
          <w:vertAlign w:val="superscript"/>
        </w:rPr>
        <w:t>5</w:t>
      </w:r>
      <w:r w:rsidRPr="00A93078">
        <w:rPr>
          <w:bCs/>
        </w:rPr>
        <w:t>,</w:t>
      </w:r>
      <w:r>
        <w:rPr>
          <w:bCs/>
        </w:rPr>
        <w:t xml:space="preserve"> </w:t>
      </w:r>
      <w:r w:rsidRPr="00A93078">
        <w:rPr>
          <w:bCs/>
        </w:rPr>
        <w:t>Minderhoud, Philip S.J.</w:t>
      </w:r>
      <w:r w:rsidRPr="00A93078">
        <w:rPr>
          <w:bCs/>
          <w:vertAlign w:val="superscript"/>
        </w:rPr>
        <w:t xml:space="preserve"> </w:t>
      </w:r>
      <w:r>
        <w:rPr>
          <w:bCs/>
          <w:vertAlign w:val="superscript"/>
        </w:rPr>
        <w:t>10,11,12</w:t>
      </w:r>
      <w:r w:rsidRPr="00A93078">
        <w:rPr>
          <w:bCs/>
        </w:rPr>
        <w:t>, Nguyen, Dan</w:t>
      </w:r>
      <w:r w:rsidRPr="00A93078">
        <w:rPr>
          <w:bCs/>
          <w:vertAlign w:val="superscript"/>
        </w:rPr>
        <w:t>1</w:t>
      </w:r>
      <w:r>
        <w:rPr>
          <w:bCs/>
          <w:vertAlign w:val="superscript"/>
        </w:rPr>
        <w:t>3</w:t>
      </w:r>
      <w:r w:rsidRPr="00A93078">
        <w:rPr>
          <w:bCs/>
        </w:rPr>
        <w:t xml:space="preserve">, </w:t>
      </w:r>
      <w:r>
        <w:rPr>
          <w:bCs/>
        </w:rPr>
        <w:t>Nguyen, Huu Thien</w:t>
      </w:r>
      <w:r w:rsidRPr="00B3524E">
        <w:rPr>
          <w:bCs/>
          <w:vertAlign w:val="superscript"/>
        </w:rPr>
        <w:t>1</w:t>
      </w:r>
      <w:r>
        <w:rPr>
          <w:bCs/>
          <w:vertAlign w:val="superscript"/>
        </w:rPr>
        <w:t>4</w:t>
      </w:r>
      <w:r>
        <w:rPr>
          <w:bCs/>
        </w:rPr>
        <w:t xml:space="preserve">, </w:t>
      </w:r>
      <w:r w:rsidRPr="00A93078">
        <w:rPr>
          <w:bCs/>
        </w:rPr>
        <w:t>Nguyen</w:t>
      </w:r>
      <w:r>
        <w:rPr>
          <w:bCs/>
        </w:rPr>
        <w:t>,</w:t>
      </w:r>
      <w:r w:rsidRPr="00A93078">
        <w:rPr>
          <w:bCs/>
        </w:rPr>
        <w:t xml:space="preserve"> Ngoc</w:t>
      </w:r>
      <w:r>
        <w:rPr>
          <w:bCs/>
        </w:rPr>
        <w:t xml:space="preserve"> Tran</w:t>
      </w:r>
      <w:r w:rsidRPr="00A93078">
        <w:rPr>
          <w:bCs/>
          <w:vertAlign w:val="superscript"/>
        </w:rPr>
        <w:t>1</w:t>
      </w:r>
      <w:r>
        <w:rPr>
          <w:bCs/>
          <w:vertAlign w:val="superscript"/>
        </w:rPr>
        <w:t>5</w:t>
      </w:r>
      <w:r w:rsidRPr="00A93078">
        <w:rPr>
          <w:bCs/>
        </w:rPr>
        <w:t xml:space="preserve">, </w:t>
      </w:r>
      <w:proofErr w:type="spellStart"/>
      <w:r w:rsidRPr="00A93078">
        <w:rPr>
          <w:bCs/>
        </w:rPr>
        <w:t>Oeurng</w:t>
      </w:r>
      <w:proofErr w:type="spellEnd"/>
      <w:r w:rsidRPr="00A93078">
        <w:rPr>
          <w:bCs/>
        </w:rPr>
        <w:t>, Chantha</w:t>
      </w:r>
      <w:r w:rsidRPr="00A93078">
        <w:rPr>
          <w:bCs/>
          <w:vertAlign w:val="superscript"/>
        </w:rPr>
        <w:t>1</w:t>
      </w:r>
      <w:r>
        <w:rPr>
          <w:bCs/>
          <w:vertAlign w:val="superscript"/>
        </w:rPr>
        <w:t>6</w:t>
      </w:r>
      <w:r w:rsidRPr="00A93078">
        <w:rPr>
          <w:bCs/>
          <w:vertAlign w:val="superscript"/>
        </w:rPr>
        <w:t>,1</w:t>
      </w:r>
      <w:r w:rsidRPr="00A93078">
        <w:rPr>
          <w:bCs/>
        </w:rPr>
        <w:t>, Opperman, Jeff</w:t>
      </w:r>
      <w:r>
        <w:rPr>
          <w:bCs/>
        </w:rPr>
        <w:t xml:space="preserve"> </w:t>
      </w:r>
      <w:r>
        <w:rPr>
          <w:bCs/>
          <w:vertAlign w:val="superscript"/>
        </w:rPr>
        <w:t>17</w:t>
      </w:r>
      <w:r w:rsidRPr="00A93078">
        <w:rPr>
          <w:bCs/>
        </w:rPr>
        <w:t>, Rubin, Zan</w:t>
      </w:r>
      <w:r w:rsidRPr="00A93078">
        <w:rPr>
          <w:bCs/>
          <w:vertAlign w:val="superscript"/>
        </w:rPr>
        <w:t>1</w:t>
      </w:r>
      <w:r w:rsidRPr="00A93078">
        <w:rPr>
          <w:bCs/>
        </w:rPr>
        <w:t xml:space="preserve">, San, Dinh Cong </w:t>
      </w:r>
      <w:r w:rsidRPr="00A93078">
        <w:rPr>
          <w:bCs/>
          <w:vertAlign w:val="superscript"/>
        </w:rPr>
        <w:t>1</w:t>
      </w:r>
      <w:r>
        <w:rPr>
          <w:bCs/>
          <w:vertAlign w:val="superscript"/>
        </w:rPr>
        <w:t>8</w:t>
      </w:r>
      <w:r w:rsidRPr="00A93078">
        <w:rPr>
          <w:bCs/>
        </w:rPr>
        <w:t xml:space="preserve">, </w:t>
      </w:r>
      <w:r>
        <w:rPr>
          <w:bCs/>
        </w:rPr>
        <w:t>Schmeier, Susanne</w:t>
      </w:r>
      <w:r>
        <w:rPr>
          <w:bCs/>
          <w:vertAlign w:val="superscript"/>
        </w:rPr>
        <w:t>19</w:t>
      </w:r>
      <w:r>
        <w:rPr>
          <w:bCs/>
        </w:rPr>
        <w:t xml:space="preserve">, </w:t>
      </w:r>
      <w:r w:rsidRPr="00A93078">
        <w:rPr>
          <w:bCs/>
        </w:rPr>
        <w:t>Wild, T</w:t>
      </w:r>
      <w:r>
        <w:rPr>
          <w:bCs/>
        </w:rPr>
        <w:t>h</w:t>
      </w:r>
      <w:r w:rsidRPr="00A93078">
        <w:rPr>
          <w:bCs/>
        </w:rPr>
        <w:t>om</w:t>
      </w:r>
      <w:r>
        <w:rPr>
          <w:bCs/>
        </w:rPr>
        <w:t>as</w:t>
      </w:r>
      <w:r>
        <w:rPr>
          <w:bCs/>
          <w:vertAlign w:val="superscript"/>
        </w:rPr>
        <w:t>20</w:t>
      </w:r>
    </w:p>
    <w:p w14:paraId="4EB8FDFA" w14:textId="77777777" w:rsidR="00ED75F5" w:rsidRPr="00802778" w:rsidRDefault="00ED75F5" w:rsidP="00ED75F5">
      <w:pPr>
        <w:ind w:left="708"/>
        <w:rPr>
          <w:b/>
        </w:rPr>
      </w:pPr>
    </w:p>
    <w:p w14:paraId="29F450BD" w14:textId="77777777" w:rsidR="00ED75F5" w:rsidRPr="00454A03" w:rsidRDefault="00ED75F5" w:rsidP="00ED75F5">
      <w:pPr>
        <w:ind w:left="708"/>
        <w:rPr>
          <w:bCs/>
        </w:rPr>
      </w:pPr>
      <w:r w:rsidRPr="00182FF2">
        <w:rPr>
          <w:rFonts w:asciiTheme="minorHAnsi" w:eastAsiaTheme="minorEastAsia" w:hAnsiTheme="minorHAnsi" w:cstheme="minorBidi"/>
          <w:b/>
          <w:lang w:eastAsia="ja-JP"/>
        </w:rPr>
        <w:t>*</w:t>
      </w:r>
      <w:r w:rsidRPr="00EF0C2D">
        <w:rPr>
          <w:bCs/>
        </w:rPr>
        <w:t xml:space="preserve"> </w:t>
      </w:r>
      <w:proofErr w:type="gramStart"/>
      <w:r w:rsidRPr="00EF0C2D">
        <w:rPr>
          <w:bCs/>
        </w:rPr>
        <w:t>contributed</w:t>
      </w:r>
      <w:proofErr w:type="gramEnd"/>
      <w:r w:rsidRPr="00EF0C2D">
        <w:rPr>
          <w:bCs/>
        </w:rPr>
        <w:t xml:space="preserve"> equally</w:t>
      </w:r>
    </w:p>
    <w:p w14:paraId="1CCA323D" w14:textId="77777777" w:rsidR="00ED75F5" w:rsidRDefault="00ED75F5" w:rsidP="00ED75F5"/>
    <w:p w14:paraId="13F5FDE4" w14:textId="77777777" w:rsidR="00ED75F5" w:rsidRDefault="00ED75F5" w:rsidP="00ED75F5"/>
    <w:p w14:paraId="5F19E25A" w14:textId="77777777" w:rsidR="00ED75F5" w:rsidRDefault="00ED75F5" w:rsidP="00ED75F5"/>
    <w:p w14:paraId="7F0D7E51" w14:textId="77777777" w:rsidR="00ED75F5" w:rsidRDefault="00ED75F5" w:rsidP="00ED75F5"/>
    <w:p w14:paraId="43B3F1A5" w14:textId="77777777" w:rsidR="00ED75F5" w:rsidRDefault="00ED75F5" w:rsidP="00ED75F5"/>
    <w:p w14:paraId="694A2978" w14:textId="77777777" w:rsidR="00ED75F5" w:rsidRDefault="00ED75F5" w:rsidP="00ED75F5"/>
    <w:p w14:paraId="5D25DB53" w14:textId="77777777" w:rsidR="00ED75F5" w:rsidRDefault="00ED75F5" w:rsidP="00ED75F5"/>
    <w:p w14:paraId="105BED3A" w14:textId="77777777" w:rsidR="00ED75F5" w:rsidRDefault="00ED75F5" w:rsidP="00ED75F5"/>
    <w:p w14:paraId="31A87707" w14:textId="77777777" w:rsidR="00ED75F5" w:rsidRDefault="00ED75F5" w:rsidP="00ED75F5"/>
    <w:p w14:paraId="26EB20C9" w14:textId="77777777" w:rsidR="00ED75F5" w:rsidRDefault="00ED75F5" w:rsidP="00ED75F5"/>
    <w:p w14:paraId="25557F4F" w14:textId="77777777" w:rsidR="00ED75F5" w:rsidRDefault="00ED75F5" w:rsidP="00ED75F5"/>
    <w:p w14:paraId="5C01CDB1" w14:textId="77777777" w:rsidR="00ED75F5" w:rsidRDefault="00ED75F5" w:rsidP="00ED75F5"/>
    <w:p w14:paraId="4C3CF0E4" w14:textId="77777777" w:rsidR="00ED75F5" w:rsidRDefault="00ED75F5" w:rsidP="00ED75F5"/>
    <w:p w14:paraId="58F242C1" w14:textId="77777777" w:rsidR="00ED75F5" w:rsidRDefault="00ED75F5" w:rsidP="00ED75F5"/>
    <w:p w14:paraId="60F7BD7A" w14:textId="77777777" w:rsidR="00ED75F5" w:rsidRDefault="00ED75F5" w:rsidP="00ED75F5"/>
    <w:p w14:paraId="1B2CE995" w14:textId="77777777" w:rsidR="00ED75F5" w:rsidRDefault="00ED75F5" w:rsidP="00ED75F5"/>
    <w:p w14:paraId="2509C110" w14:textId="77777777" w:rsidR="00ED75F5" w:rsidRDefault="00ED75F5" w:rsidP="00ED75F5"/>
    <w:p w14:paraId="024044AE" w14:textId="77777777" w:rsidR="00ED75F5" w:rsidRDefault="00ED75F5" w:rsidP="00ED75F5"/>
    <w:p w14:paraId="76976DB9" w14:textId="77777777" w:rsidR="00ED75F5" w:rsidRDefault="00ED75F5" w:rsidP="00ED75F5"/>
    <w:p w14:paraId="2A5939FD" w14:textId="77777777" w:rsidR="00ED75F5" w:rsidRDefault="00ED75F5" w:rsidP="00ED75F5"/>
    <w:p w14:paraId="3C1258FB" w14:textId="77777777" w:rsidR="00ED75F5" w:rsidRDefault="00ED75F5" w:rsidP="00ED75F5"/>
    <w:p w14:paraId="26EC6642" w14:textId="77777777" w:rsidR="00ED75F5" w:rsidRDefault="00ED75F5" w:rsidP="00ED75F5"/>
    <w:p w14:paraId="561BB9FB" w14:textId="77777777" w:rsidR="00ED75F5" w:rsidRDefault="00ED75F5" w:rsidP="00ED75F5"/>
    <w:p w14:paraId="00BAC162" w14:textId="77777777" w:rsidR="00ED75F5" w:rsidRDefault="00ED75F5" w:rsidP="00ED75F5"/>
    <w:p w14:paraId="17996EFF" w14:textId="77777777" w:rsidR="00ED75F5" w:rsidRDefault="00ED75F5" w:rsidP="00ED75F5"/>
    <w:p w14:paraId="7443EE6C" w14:textId="77777777" w:rsidR="00ED75F5" w:rsidRDefault="00ED75F5" w:rsidP="00ED75F5"/>
    <w:p w14:paraId="6D1E9D01" w14:textId="77777777" w:rsidR="00ED75F5" w:rsidRDefault="00ED75F5" w:rsidP="00ED75F5"/>
    <w:p w14:paraId="4A7A2A05" w14:textId="77777777" w:rsidR="00ED75F5" w:rsidRDefault="00ED75F5" w:rsidP="00ED75F5"/>
    <w:p w14:paraId="4BAAE8FE" w14:textId="77777777" w:rsidR="00ED75F5" w:rsidRDefault="00ED75F5" w:rsidP="00ED75F5"/>
    <w:p w14:paraId="76B936AE" w14:textId="77777777" w:rsidR="00ED75F5" w:rsidRDefault="00ED75F5" w:rsidP="00ED75F5"/>
    <w:p w14:paraId="3A73AC52" w14:textId="77777777" w:rsidR="00ED75F5" w:rsidRDefault="00ED75F5" w:rsidP="00ED75F5"/>
    <w:p w14:paraId="02A68A0E" w14:textId="77777777" w:rsidR="00ED75F5" w:rsidRDefault="00ED75F5" w:rsidP="00ED75F5"/>
    <w:p w14:paraId="4A0ADA68" w14:textId="77777777" w:rsidR="00ED75F5" w:rsidRDefault="00ED75F5" w:rsidP="00ED75F5"/>
    <w:p w14:paraId="1D699EC7" w14:textId="77777777" w:rsidR="00ED75F5" w:rsidRDefault="00ED75F5" w:rsidP="00ED75F5"/>
    <w:p w14:paraId="77FCFE59" w14:textId="77777777" w:rsidR="00ED75F5" w:rsidRDefault="00ED75F5" w:rsidP="00ED75F5">
      <w:pPr>
        <w:pStyle w:val="Heading1"/>
      </w:pPr>
      <w:bookmarkStart w:id="9" w:name="_Toc95335449"/>
      <w:r>
        <w:t>Supplemental Table 1:</w:t>
      </w:r>
      <w:bookmarkEnd w:id="9"/>
      <w:r>
        <w:t xml:space="preserve"> </w:t>
      </w:r>
    </w:p>
    <w:p w14:paraId="5AABB095" w14:textId="58D86B98" w:rsidR="00ED75F5" w:rsidRPr="000A1915" w:rsidRDefault="00ED75F5" w:rsidP="00ED75F5">
      <w:pPr>
        <w:sectPr w:rsidR="00ED75F5" w:rsidRPr="000A1915" w:rsidSect="00F67377">
          <w:footerReference w:type="default" r:id="rId12"/>
          <w:pgSz w:w="11906" w:h="16838"/>
          <w:pgMar w:top="720" w:right="720" w:bottom="720" w:left="720" w:header="708" w:footer="708" w:gutter="0"/>
          <w:cols w:space="708"/>
          <w:docGrid w:linePitch="360"/>
        </w:sectPr>
      </w:pPr>
      <w:r>
        <w:t xml:space="preserve">Six proposed measures to prolong the life of the Mekong Delta through concerted action across delta and basin scales. Those measures are not without global precedents, (see references and detailed bibliography), yet most precedents have been at smaller scales, highlighting the need for better environmental governance and innovative financial mechanisms to make integrated management feasible in the Mekong Basin  </w:t>
      </w:r>
    </w:p>
    <w:tbl>
      <w:tblPr>
        <w:tblStyle w:val="PlainTable1"/>
        <w:tblpPr w:leftFromText="141" w:rightFromText="141" w:vertAnchor="page" w:horzAnchor="page" w:tblpX="705" w:tblpY="235"/>
        <w:tblW w:w="14995" w:type="dxa"/>
        <w:tblLook w:val="04A0" w:firstRow="1" w:lastRow="0" w:firstColumn="1" w:lastColumn="0" w:noHBand="0" w:noVBand="1"/>
      </w:tblPr>
      <w:tblGrid>
        <w:gridCol w:w="2385"/>
        <w:gridCol w:w="2199"/>
        <w:gridCol w:w="2763"/>
        <w:gridCol w:w="3421"/>
        <w:gridCol w:w="4227"/>
      </w:tblGrid>
      <w:tr w:rsidR="00ED75F5" w:rsidRPr="00AB25B0" w14:paraId="2DAE617E" w14:textId="77777777" w:rsidTr="00BF280E">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385" w:type="dxa"/>
            <w:hideMark/>
          </w:tcPr>
          <w:p w14:paraId="07A2307B" w14:textId="77777777" w:rsidR="00ED75F5" w:rsidRPr="00C22055" w:rsidRDefault="00ED75F5" w:rsidP="00BF280E">
            <w:pPr>
              <w:rPr>
                <w:sz w:val="20"/>
                <w:szCs w:val="20"/>
                <w:lang w:val="de-DE"/>
              </w:rPr>
            </w:pPr>
            <w:r w:rsidRPr="00C22055">
              <w:rPr>
                <w:sz w:val="20"/>
                <w:szCs w:val="20"/>
              </w:rPr>
              <w:lastRenderedPageBreak/>
              <w:t>Core measure</w:t>
            </w:r>
          </w:p>
        </w:tc>
        <w:tc>
          <w:tcPr>
            <w:tcW w:w="2199" w:type="dxa"/>
          </w:tcPr>
          <w:p w14:paraId="742A84D2" w14:textId="77777777" w:rsidR="00ED75F5" w:rsidRPr="00C22055" w:rsidRDefault="00ED75F5" w:rsidP="00BF280E">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22055">
              <w:rPr>
                <w:sz w:val="20"/>
                <w:szCs w:val="20"/>
              </w:rPr>
              <w:t>Scale</w:t>
            </w:r>
          </w:p>
        </w:tc>
        <w:tc>
          <w:tcPr>
            <w:tcW w:w="2763" w:type="dxa"/>
            <w:hideMark/>
          </w:tcPr>
          <w:p w14:paraId="1E365797" w14:textId="77777777" w:rsidR="00ED75F5" w:rsidRPr="00C22055" w:rsidRDefault="00ED75F5" w:rsidP="00BF280E">
            <w:pPr>
              <w:cnfStyle w:val="100000000000" w:firstRow="1" w:lastRow="0" w:firstColumn="0" w:lastColumn="0" w:oddVBand="0" w:evenVBand="0" w:oddHBand="0" w:evenHBand="0" w:firstRowFirstColumn="0" w:firstRowLastColumn="0" w:lastRowFirstColumn="0" w:lastRowLastColumn="0"/>
              <w:rPr>
                <w:sz w:val="20"/>
                <w:szCs w:val="20"/>
                <w:lang w:val="de-DE"/>
              </w:rPr>
            </w:pPr>
            <w:r w:rsidRPr="00C22055">
              <w:rPr>
                <w:sz w:val="20"/>
                <w:szCs w:val="20"/>
              </w:rPr>
              <w:t xml:space="preserve">Techno-economic-social enablers </w:t>
            </w:r>
          </w:p>
        </w:tc>
        <w:tc>
          <w:tcPr>
            <w:tcW w:w="3421" w:type="dxa"/>
            <w:hideMark/>
          </w:tcPr>
          <w:p w14:paraId="25CAF387" w14:textId="77777777" w:rsidR="00ED75F5" w:rsidRPr="00C22055" w:rsidRDefault="00ED75F5" w:rsidP="00BF280E">
            <w:pPr>
              <w:cnfStyle w:val="100000000000" w:firstRow="1" w:lastRow="0" w:firstColumn="0" w:lastColumn="0" w:oddVBand="0" w:evenVBand="0" w:oddHBand="0" w:evenHBand="0" w:firstRowFirstColumn="0" w:firstRowLastColumn="0" w:lastRowFirstColumn="0" w:lastRowLastColumn="0"/>
              <w:rPr>
                <w:sz w:val="20"/>
                <w:szCs w:val="20"/>
                <w:lang w:val="de-DE"/>
              </w:rPr>
            </w:pPr>
            <w:r w:rsidRPr="00C22055">
              <w:rPr>
                <w:sz w:val="20"/>
                <w:szCs w:val="20"/>
              </w:rPr>
              <w:t xml:space="preserve">Global precedence </w:t>
            </w:r>
          </w:p>
        </w:tc>
        <w:tc>
          <w:tcPr>
            <w:tcW w:w="4227" w:type="dxa"/>
            <w:hideMark/>
          </w:tcPr>
          <w:p w14:paraId="75ED5A4E" w14:textId="77777777" w:rsidR="00ED75F5" w:rsidRPr="00C22055" w:rsidRDefault="00ED75F5" w:rsidP="00BF280E">
            <w:pPr>
              <w:cnfStyle w:val="100000000000" w:firstRow="1" w:lastRow="0" w:firstColumn="0" w:lastColumn="0" w:oddVBand="0" w:evenVBand="0" w:oddHBand="0" w:evenHBand="0" w:firstRowFirstColumn="0" w:firstRowLastColumn="0" w:lastRowFirstColumn="0" w:lastRowLastColumn="0"/>
              <w:rPr>
                <w:sz w:val="20"/>
                <w:szCs w:val="20"/>
              </w:rPr>
            </w:pPr>
            <w:r w:rsidRPr="00C22055">
              <w:rPr>
                <w:sz w:val="20"/>
                <w:szCs w:val="20"/>
              </w:rPr>
              <w:t>Key roadblocks in the Mekong</w:t>
            </w:r>
          </w:p>
        </w:tc>
      </w:tr>
      <w:tr w:rsidR="00ED75F5" w:rsidRPr="00AB25B0" w14:paraId="18170B2E" w14:textId="77777777" w:rsidTr="00BF280E">
        <w:trPr>
          <w:cnfStyle w:val="000000100000" w:firstRow="0" w:lastRow="0" w:firstColumn="0" w:lastColumn="0" w:oddVBand="0" w:evenVBand="0" w:oddHBand="1" w:evenHBand="0"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2385" w:type="dxa"/>
            <w:hideMark/>
          </w:tcPr>
          <w:p w14:paraId="15DEDBB1" w14:textId="77777777" w:rsidR="00ED75F5" w:rsidRPr="00C22055" w:rsidRDefault="00ED75F5" w:rsidP="00BF280E">
            <w:pPr>
              <w:rPr>
                <w:sz w:val="20"/>
                <w:szCs w:val="20"/>
              </w:rPr>
            </w:pPr>
            <w:r w:rsidRPr="00C22055">
              <w:rPr>
                <w:sz w:val="20"/>
                <w:szCs w:val="20"/>
              </w:rPr>
              <w:t xml:space="preserve">Avoid high-impact dams </w:t>
            </w:r>
          </w:p>
        </w:tc>
        <w:tc>
          <w:tcPr>
            <w:tcW w:w="2199" w:type="dxa"/>
            <w:vMerge w:val="restart"/>
          </w:tcPr>
          <w:p w14:paraId="219EE2A1"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6768FF58"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218D066"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r w:rsidRPr="000A6F93">
              <w:rPr>
                <w:b/>
                <w:bCs/>
                <w:caps/>
                <w:sz w:val="20"/>
                <w:szCs w:val="20"/>
              </w:rPr>
              <w:t>Whole basin</w:t>
            </w:r>
          </w:p>
          <w:p w14:paraId="4CFFB571"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r>
              <w:rPr>
                <w:b/>
                <w:bCs/>
                <w:caps/>
                <w:noProof/>
                <w:sz w:val="20"/>
                <w:szCs w:val="20"/>
              </w:rPr>
              <mc:AlternateContent>
                <mc:Choice Requires="wps">
                  <w:drawing>
                    <wp:anchor distT="0" distB="0" distL="114300" distR="114300" simplePos="0" relativeHeight="251660288" behindDoc="0" locked="0" layoutInCell="1" allowOverlap="1" wp14:anchorId="49D0BFEE" wp14:editId="685FF6A8">
                      <wp:simplePos x="0" y="0"/>
                      <wp:positionH relativeFrom="column">
                        <wp:posOffset>477520</wp:posOffset>
                      </wp:positionH>
                      <wp:positionV relativeFrom="paragraph">
                        <wp:posOffset>77470</wp:posOffset>
                      </wp:positionV>
                      <wp:extent cx="285750" cy="4200525"/>
                      <wp:effectExtent l="57150" t="19050" r="76200" b="104775"/>
                      <wp:wrapNone/>
                      <wp:docPr id="3" name="Isosceles Triangle 3"/>
                      <wp:cNvGraphicFramePr/>
                      <a:graphic xmlns:a="http://schemas.openxmlformats.org/drawingml/2006/main">
                        <a:graphicData uri="http://schemas.microsoft.com/office/word/2010/wordprocessingShape">
                          <wps:wsp>
                            <wps:cNvSpPr/>
                            <wps:spPr>
                              <a:xfrm rot="10800000">
                                <a:off x="0" y="0"/>
                                <a:ext cx="285750" cy="420052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1263C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37.6pt;margin-top:6.1pt;width:22.5pt;height:330.7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" fillcolor="#4f81bd [3204]" strokecolor="#4579b8 [3044]">
                      <v:fill color2="#a7bfde [1620]" rotate="t" angle="180" focus="100%" type="gradient">
                        <o:fill v:ext="view" type="gradientUnscaled"/>
                      </v:fill>
                      <v:shadow on="t" color="black" opacity="22937f" origin=",.5" offset="0,.63889mm"/>
                    </v:shape>
                  </w:pict>
                </mc:Fallback>
              </mc:AlternateContent>
            </w:r>
          </w:p>
          <w:p w14:paraId="08E08878"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28E023F5"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39D048F8" w14:textId="77777777" w:rsidR="00ED75F5" w:rsidRPr="002452B3"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068C1934"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7AFA1D4"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37E015DC"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2AB37C94"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2BF0392"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34F8CEA8"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81CDBF9"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162FAA3D"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3DA2A447"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23850186"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0984154"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2C0F1094"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58FBC82B"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E3B019F"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8BA0F19"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24E1FFDC"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0D21633B"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54E88CC6"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786D6690"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18048BF7"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017A3AB5"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92AD92A"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0BDA0EEE"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477B8A44"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69742951" w14:textId="77777777" w:rsidR="00ED75F5" w:rsidRDefault="00ED75F5" w:rsidP="00BF280E">
            <w:pPr>
              <w:cnfStyle w:val="000000100000" w:firstRow="0" w:lastRow="0" w:firstColumn="0" w:lastColumn="0" w:oddVBand="0" w:evenVBand="0" w:oddHBand="1" w:evenHBand="0" w:firstRowFirstColumn="0" w:firstRowLastColumn="0" w:lastRowFirstColumn="0" w:lastRowLastColumn="0"/>
              <w:rPr>
                <w:b/>
                <w:bCs/>
                <w:caps/>
                <w:sz w:val="20"/>
                <w:szCs w:val="20"/>
              </w:rPr>
            </w:pPr>
          </w:p>
          <w:p w14:paraId="286207BB" w14:textId="77777777" w:rsidR="00ED75F5" w:rsidRDefault="00ED75F5" w:rsidP="00BF280E">
            <w:pPr>
              <w:jc w:val="center"/>
              <w:cnfStyle w:val="000000100000" w:firstRow="0" w:lastRow="0" w:firstColumn="0" w:lastColumn="0" w:oddVBand="0" w:evenVBand="0" w:oddHBand="1" w:evenHBand="0" w:firstRowFirstColumn="0" w:firstRowLastColumn="0" w:lastRowFirstColumn="0" w:lastRowLastColumn="0"/>
              <w:rPr>
                <w:b/>
                <w:bCs/>
                <w:caps/>
                <w:sz w:val="20"/>
                <w:szCs w:val="20"/>
              </w:rPr>
            </w:pPr>
          </w:p>
          <w:p w14:paraId="53CF5BB6" w14:textId="77777777" w:rsidR="00ED75F5" w:rsidRPr="00C22055" w:rsidRDefault="00ED75F5" w:rsidP="00BF280E">
            <w:pPr>
              <w:jc w:val="center"/>
              <w:cnfStyle w:val="000000100000" w:firstRow="0" w:lastRow="0" w:firstColumn="0" w:lastColumn="0" w:oddVBand="0" w:evenVBand="0" w:oddHBand="1" w:evenHBand="0" w:firstRowFirstColumn="0" w:firstRowLastColumn="0" w:lastRowFirstColumn="0" w:lastRowLastColumn="0"/>
              <w:rPr>
                <w:sz w:val="20"/>
                <w:szCs w:val="20"/>
              </w:rPr>
            </w:pPr>
            <w:r w:rsidRPr="00246882">
              <w:rPr>
                <w:b/>
                <w:bCs/>
                <w:caps/>
                <w:sz w:val="20"/>
                <w:szCs w:val="20"/>
              </w:rPr>
              <w:t>delta</w:t>
            </w:r>
            <w:r>
              <w:rPr>
                <w:b/>
                <w:bCs/>
                <w:caps/>
                <w:sz w:val="20"/>
                <w:szCs w:val="20"/>
              </w:rPr>
              <w:t xml:space="preserve"> and coastal</w:t>
            </w:r>
          </w:p>
        </w:tc>
        <w:tc>
          <w:tcPr>
            <w:tcW w:w="2763" w:type="dxa"/>
            <w:hideMark/>
          </w:tcPr>
          <w:p w14:paraId="54FE3998"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r w:rsidRPr="00C22055">
              <w:rPr>
                <w:sz w:val="20"/>
                <w:szCs w:val="20"/>
              </w:rPr>
              <w:t xml:space="preserve">Non-hydropower renewables and regional power grids enable foregoing high impact dams while reaching ambitious climate goals </w:t>
            </w:r>
            <w:r w:rsidRPr="00C22055">
              <w:rPr>
                <w:sz w:val="20"/>
                <w:szCs w:val="20"/>
              </w:rPr>
              <w:fldChar w:fldCharType="begin"/>
            </w:r>
            <w:r>
              <w:rPr>
                <w:sz w:val="20"/>
                <w:szCs w:val="20"/>
              </w:rPr>
              <w:instrText xml:space="preserve"> ADDIN ZOTERO_ITEM CSL_CITATION {"citationID":"F8afGCoM","properties":{"formattedCitation":"({\\i{}19}\\uc0\\u8211{}{\\i{}22})","plainCitation":"(19–22)","noteIndex":0},"citationItems":[{"id":6688,"uris":["http://zotero.org/users/1975400/items/Z7Q39VCR"],"uri":["http://zotero.org/users/1975400/items/Z7Q39VCR"],"itemData":{"id":6688,"type":"article-journal","abstract":"Strategic dam planning and the deployment of decentralized renewable technologies are two elements of the same problem, yet normally addressed in isolation. Here, we show that an integrated view of the power system capacity expansion problem could have transformative effects for Southeast Asia’s hydropower plans. We demonstrate that Thailand, Laos, and Cambodia have tangible opportunities for meeting projected electricity demand and CO2 emission targets with less hydropower than currently planned—options range from halting the construction of all dams in the Lower Mekong to building 82% of the planned ones. The key enabling strategies for these options to succeed are solar PV and regional coordination, expressed in the form of centralized planning and cross-border power trading. The alternative expansion plans would slightly increase the cumulative costs (up to 2.4%), but substantially limit the fragmentation of additional river reaches, thereby offering more sustainable pathways for the Mekong’s ecosystems and riparian people.","container-title":"Nature Communications","DOI":"10.1038/s41467-021-24437-6","ISSN":"2041-1723","issue":"1","journalAbbreviation":"Nat Commun","language":"en","note":"Bandiera_abtest: a\nCc_license_type: cc_by\nCg_type: Nature Research Journals\nnumber: 1\nPrimary_atype: Research\npublisher: Nature Publishing Group\nSubject_term: Environmental impact;Hydroelectricity;Hydrology;Power stations\nSubject_term_id: environmental-impact;hydroelectricity;hydrology;power-stations","page":"4159","source":"www-nature-com.stanford.idm.oclc.org","title":"Solar energy and regional coordination as a feasible alternative to large hydropower in Southeast Asia","volume":"12","author":[{"family":"Siala","given":"Kais"},{"family":"Chowdhury","given":"Afm Kamal"},{"family":"Dang","given":"Thanh Duc"},{"family":"Galelli","given":"Stefano"}],"issued":{"date-parts":[["2021",7,6]]}}},{"id":6365,"uris":["http://zotero.org/users/1975400/items/9DN6MDT6"],"uri":["http://zotero.org/users/1975400/items/9DN6MDT6"],"itemData":{"id":6365,"type":"article-journal","container-title":"Environmental Research Letters","title":"Joint strategic energy and river basin planning to reduce dam impacts on rivers in Myanmar","author":[{"family":"Schmitt","given":"R. J. P."},{"family":"Kittner","given":"Noah"},{"family":"Kondolf","given":"G Mathias"},{"family":"Kammen","given":"Daniel M."}],"issued":{"date-parts":[["2021"]]}}},{"id":4404,"uris":["http://zotero.org/users/1975400/items/FQWHH62L"],"uri":["http://zotero.org/users/1975400/items/FQWHH62L"],"itemData":{"id":4404,"type":"article-journal","abstract":"A contentious debate is taking place over plans for a series of mega-dams under development in Malaysian Borneo. There is little quantitative analysis of the energy options or cost and benefit trade-offs in the public discussion or the literature. To fill this gap we developed a model of the proposed energy system and alternative scenarios using the commercial energy market software PLEXOS. We prepared a 15 year long-term capacity energy expansion model for the state of Sarawak which includes existing generation, resource and operability constraints, direct and indirect costs. We explore a range of demand growth and policy assumptions and model the resulting generation mixes and economic trade-offs. Our central finding is that a diversified generation mix including solar and biomass waste resources can meet future demand at lower cost than additional dam construction.","container-title":"Energy Strategy Reviews","DOI":"10.1016/j.esr.2015.07.001","ISSN":"2211-467X","journalAbbreviation":"Energy Strategy Reviews","page":"15-29","source":"ScienceDirect","title":"Energy planning and development in Malaysian Borneo: Assessing the benefits of distributed technologies versus large scale energy mega-projects","title-short":"Energy planning and development in Malaysian Borneo","volume":"8","author":[{"family":"Shirley","given":"Rebekah"},{"family":"Kammen","given":"Daniel"}],"issued":{"date-parts":[["2015",7,1]]}}},{"id":4530,"uris":["http://zotero.org/users/1975400/items/CMM6PNJ3"],"uri":["http://zotero.org/users/1975400/items/CMM6PNJ3"],"itemData":{"id":4530,"type":"report","event-place":"Washington, D.C.","publisher":"WWF and The Nature Conservancy","publisher-place":"Washington, D.C.","title":"Connected and Flowing, A renewable future for rivers, climate and people.","author":[{"family":"Opperman","given":"J. J."},{"family":"Hartmann","given":"J."},{"family":"Lambrides","given":"M."},{"family":"Carvallo","given":"J. P."},{"family":"Chapin","given":"E."},{"family":"Baruch-Mordo","given":"S."},{"family":"Eyler","given":"B."},{"family":"Goichot","given":"M."},{"family":"Harou","given":"J."},{"family":"Hepp","given":"J."},{"family":"Kammen","given":"Daniel M."},{"family":"Kiesecker","given":"J."},{"family":"Newsock","given":"A."},{"family":"Schmitt","given":"R. J. P."},{"family":"Thieme","given":"M. L."},{"family":"Wang","given":"A."},{"family":"Weatherby","given":"C."},{"family":"Weber","given":"Chris"}],"issued":{"date-parts":[["2019"]]}}}],"schema":"https://github.com/citation-style-language/schema/raw/master/csl-citation.json"} </w:instrText>
            </w:r>
            <w:r w:rsidRPr="00C22055">
              <w:rPr>
                <w:sz w:val="20"/>
                <w:szCs w:val="20"/>
              </w:rPr>
              <w:fldChar w:fldCharType="separate"/>
            </w:r>
            <w:r w:rsidRPr="009D74F4">
              <w:rPr>
                <w:sz w:val="20"/>
              </w:rPr>
              <w:t>(</w:t>
            </w:r>
            <w:r w:rsidRPr="009D74F4">
              <w:rPr>
                <w:i/>
                <w:iCs/>
                <w:sz w:val="20"/>
              </w:rPr>
              <w:t>19</w:t>
            </w:r>
            <w:r w:rsidRPr="009D74F4">
              <w:rPr>
                <w:sz w:val="20"/>
              </w:rPr>
              <w:t>–</w:t>
            </w:r>
            <w:r w:rsidRPr="009D74F4">
              <w:rPr>
                <w:i/>
                <w:iCs/>
                <w:sz w:val="20"/>
              </w:rPr>
              <w:t>22</w:t>
            </w:r>
            <w:r w:rsidRPr="009D74F4">
              <w:rPr>
                <w:sz w:val="20"/>
              </w:rPr>
              <w:t>)</w:t>
            </w:r>
            <w:r w:rsidRPr="00C22055">
              <w:rPr>
                <w:sz w:val="20"/>
                <w:szCs w:val="20"/>
              </w:rPr>
              <w:fldChar w:fldCharType="end"/>
            </w:r>
            <w:r w:rsidRPr="00C22055">
              <w:rPr>
                <w:sz w:val="20"/>
                <w:szCs w:val="20"/>
              </w:rPr>
              <w:t>.</w:t>
            </w:r>
            <w:r w:rsidRPr="00C22055" w:rsidDel="00992321">
              <w:rPr>
                <w:sz w:val="20"/>
                <w:szCs w:val="20"/>
              </w:rPr>
              <w:t xml:space="preserve">  </w:t>
            </w:r>
          </w:p>
        </w:tc>
        <w:tc>
          <w:tcPr>
            <w:tcW w:w="3421" w:type="dxa"/>
            <w:hideMark/>
          </w:tcPr>
          <w:p w14:paraId="37F46C50"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r w:rsidRPr="00BC6E36">
              <w:rPr>
                <w:sz w:val="20"/>
                <w:szCs w:val="20"/>
              </w:rPr>
              <w:t xml:space="preserve">Moratorium on mainstem hydropower, canceling of high impact dams, national strategic planning processes throughout the region e.g., in Cambodia, Malaysia, Myanmar </w:t>
            </w:r>
            <w:r w:rsidRPr="00C22055">
              <w:rPr>
                <w:sz w:val="20"/>
                <w:szCs w:val="20"/>
              </w:rPr>
              <w:fldChar w:fldCharType="begin"/>
            </w:r>
            <w:r>
              <w:rPr>
                <w:sz w:val="20"/>
                <w:szCs w:val="20"/>
              </w:rPr>
              <w:instrText xml:space="preserve"> ADDIN ZOTERO_ITEM CSL_CITATION {"citationID":"mFEHHUtc","properties":{"formattedCitation":"({\\i{}21}, {\\i{}23}\\uc0\\u8211{}{\\i{}25})","plainCitation":"(21, 23–25)","noteIndex":0},"citationItems":[{"id":4404,"uris":["http://zotero.org/users/1975400/items/FQWHH62L"],"uri":["http://zotero.org/users/1975400/items/FQWHH62L"],"itemData":{"id":4404,"type":"article-journal","abstract":"A contentious debate is taking place over plans for a series of mega-dams under development in Malaysian Borneo. There is little quantitative analysis of the energy options or cost and benefit trade-offs in the public discussion or the literature. To fill this gap we developed a model of the proposed energy system and alternative scenarios using the commercial energy market software PLEXOS. We prepared a 15 year long-term capacity energy expansion model for the state of Sarawak which includes existing generation, resource and operability constraints, direct and indirect costs. We explore a range of demand growth and policy assumptions and model the resulting generation mixes and economic trade-offs. Our central finding is that a diversified generation mix including solar and biomass waste resources can meet future demand at lower cost than additional dam construction.","container-title":"Energy Strategy Reviews","DOI":"10.1016/j.esr.2015.07.001","ISSN":"2211-467X","journalAbbreviation":"Energy Strategy Reviews","page":"15-29","source":"ScienceDirect","title":"Energy planning and development in Malaysian Borneo: Assessing the benefits of distributed technologies versus large scale energy mega-projects","title-short":"Energy planning and development in Malaysian Borneo","volume":"8","author":[{"family":"Shirley","given":"Rebekah"},{"family":"Kammen","given":"Daniel"}],"issued":{"date-parts":[["2015",7,1]]}}},{"id":4695,"uris":["http://zotero.org/users/1975400/items/2KXY2HBC"],"uri":["http://zotero.org/users/1975400/items/2KXY2HBC"],"itemData":{"id":4695,"type":"report","event-place":"Washington DC","publisher":"International Finance Cooperation","publisher-place":"Washington DC","title":"Strategic Environmental Assessment of the Myanmar Hydropower Sector","author":[{"family":"International Finance Cooperation","given":""}],"issued":{"date-parts":[["2018"]]}}},{"id":4697,"uris":["http://zotero.org/users/1975400/items/KVIX9BIU"],"uri":["http://zotero.org/users/1975400/items/KVIX9BIU"],"itemData":{"id":4697,"type":"report","event-place":"Washington DC","publisher":"International Finance Cooperation","publisher-place":"Washington DC","title":"Cumulative Impact Assessment and Management of Renewable Energy Development in the Myitnge River Basin, Myanmar","URL":"https://www.ifc.org/wps/wcm/connect/f3487207-c90b-4010-be25-1d844a0c530b/Myitnge+River+Basin+Study+-+Introduction+-+20190211+final.pdf?MOD=AJPERES&amp;CVID=mzBnUIA","author":[{"family":"International Finance Cooperation","given":""}],"issued":{"date-parts":[["2019"]]}}},{"id":6793,"uris":["http://zotero.org/users/1975400/items/PA3L7TS4"],"uri":["http://zotero.org/users/1975400/items/PA3L7TS4"],"itemData":{"id":6793,"type":"article-newspaper","abstract":"Electricity-starved Cambodia will not develop new hydropower dams on the Mekong River for the next 10 years, a senior energy official said on Wednesday, as it reviews its policy to seek energy from coal, natural gas and solar.","container-title":"Reuters","language":"en","section":"APAC","source":"www.reuters.com","title":"Cambodia halts mainstream Mekong River dam plans for 10 years, official says","URL":"https://www.reuters.com/article/us-mekong-river-cambodia-idUSKBN215187","author":[{"family":"Prak Chan","given":"Thul"}],"accessed":{"date-parts":[["2021",9,21]]},"issued":{"date-parts":[["2020",3,18]]}}}],"schema":"https://github.com/citation-style-language/schema/raw/master/csl-citation.json"} </w:instrText>
            </w:r>
            <w:r w:rsidRPr="00C22055">
              <w:rPr>
                <w:sz w:val="20"/>
                <w:szCs w:val="20"/>
              </w:rPr>
              <w:fldChar w:fldCharType="separate"/>
            </w:r>
            <w:r w:rsidRPr="009D74F4">
              <w:rPr>
                <w:sz w:val="20"/>
              </w:rPr>
              <w:t>(</w:t>
            </w:r>
            <w:r w:rsidRPr="009D74F4">
              <w:rPr>
                <w:i/>
                <w:iCs/>
                <w:sz w:val="20"/>
              </w:rPr>
              <w:t>21</w:t>
            </w:r>
            <w:r w:rsidRPr="009D74F4">
              <w:rPr>
                <w:sz w:val="20"/>
              </w:rPr>
              <w:t xml:space="preserve">, </w:t>
            </w:r>
            <w:r w:rsidRPr="009D74F4">
              <w:rPr>
                <w:i/>
                <w:iCs/>
                <w:sz w:val="20"/>
              </w:rPr>
              <w:t>23</w:t>
            </w:r>
            <w:r w:rsidRPr="009D74F4">
              <w:rPr>
                <w:sz w:val="20"/>
              </w:rPr>
              <w:t>–</w:t>
            </w:r>
            <w:r w:rsidRPr="009D74F4">
              <w:rPr>
                <w:i/>
                <w:iCs/>
                <w:sz w:val="20"/>
              </w:rPr>
              <w:t>25</w:t>
            </w:r>
            <w:r w:rsidRPr="009D74F4">
              <w:rPr>
                <w:sz w:val="20"/>
              </w:rPr>
              <w:t>)</w:t>
            </w:r>
            <w:r w:rsidRPr="00C22055">
              <w:rPr>
                <w:sz w:val="20"/>
                <w:szCs w:val="20"/>
              </w:rPr>
              <w:fldChar w:fldCharType="end"/>
            </w:r>
            <w:r w:rsidRPr="00C22055">
              <w:rPr>
                <w:sz w:val="20"/>
                <w:szCs w:val="20"/>
              </w:rPr>
              <w:t>.</w:t>
            </w:r>
            <w:r w:rsidRPr="00BC6E36">
              <w:rPr>
                <w:sz w:val="20"/>
                <w:szCs w:val="20"/>
              </w:rPr>
              <w:t xml:space="preserve">   </w:t>
            </w:r>
          </w:p>
        </w:tc>
        <w:tc>
          <w:tcPr>
            <w:tcW w:w="4227" w:type="dxa"/>
            <w:hideMark/>
          </w:tcPr>
          <w:p w14:paraId="36EC08B6"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r w:rsidRPr="00C22055">
              <w:rPr>
                <w:sz w:val="20"/>
                <w:szCs w:val="20"/>
              </w:rPr>
              <w:t>Ambitious plans for hydropower exports in the basin’s countries and lack of incentives</w:t>
            </w:r>
            <w:r>
              <w:rPr>
                <w:sz w:val="20"/>
                <w:szCs w:val="20"/>
              </w:rPr>
              <w:t xml:space="preserve">, safeguards and </w:t>
            </w:r>
            <w:r w:rsidRPr="00C22055">
              <w:rPr>
                <w:sz w:val="20"/>
                <w:szCs w:val="20"/>
              </w:rPr>
              <w:t xml:space="preserve">compensation </w:t>
            </w:r>
            <w:r>
              <w:rPr>
                <w:sz w:val="20"/>
                <w:szCs w:val="20"/>
              </w:rPr>
              <w:t xml:space="preserve">even for Vietnamese </w:t>
            </w:r>
            <w:r w:rsidRPr="00C22055">
              <w:rPr>
                <w:sz w:val="20"/>
                <w:szCs w:val="20"/>
              </w:rPr>
              <w:t xml:space="preserve">developers to forgo </w:t>
            </w:r>
            <w:r>
              <w:rPr>
                <w:sz w:val="20"/>
                <w:szCs w:val="20"/>
              </w:rPr>
              <w:t xml:space="preserve">high-impact dams </w:t>
            </w:r>
            <w:r>
              <w:rPr>
                <w:sz w:val="20"/>
                <w:szCs w:val="20"/>
              </w:rPr>
              <w:fldChar w:fldCharType="begin"/>
            </w:r>
            <w:r>
              <w:rPr>
                <w:sz w:val="20"/>
                <w:szCs w:val="20"/>
              </w:rPr>
              <w:instrText xml:space="preserve"> ADDIN ZOTERO_ITEM CSL_CITATION {"citationID":"hhJlZz8k","properties":{"formattedCitation":"({\\i{}26})","plainCitation":"(26)","noteIndex":0},"citationItems":[{"id":7169,"uris":["http://zotero.org/users/1975400/items/CLT2X4IM"],"uri":["http://zotero.org/users/1975400/items/CLT2X4IM"],"itemData":{"id":7169,"type":"webpage","container-title":"iucn.org","language":"en","title":"The Xe Kong 1 dam: why it matters for Vietnam","title-short":"The Xe Kong 1 dam","URL":"https://www.iucn.org/news/viet-nam/201805/xe-kong-1-dam-why-it-matters-vietnam","author":[{"family":"International Union for Conservation of Nature","given":""}],"accessed":{"date-parts":[["2021",9,28]]},"issued":{"date-parts":[["2018",5,10]]}}}],"schema":"https://github.com/citation-style-language/schema/raw/master/csl-citation.json"} </w:instrText>
            </w:r>
            <w:r>
              <w:rPr>
                <w:sz w:val="20"/>
                <w:szCs w:val="20"/>
              </w:rPr>
              <w:fldChar w:fldCharType="separate"/>
            </w:r>
            <w:r w:rsidRPr="009D74F4">
              <w:rPr>
                <w:sz w:val="20"/>
              </w:rPr>
              <w:t>(</w:t>
            </w:r>
            <w:r w:rsidRPr="009D74F4">
              <w:rPr>
                <w:i/>
                <w:iCs/>
                <w:sz w:val="20"/>
              </w:rPr>
              <w:t>26</w:t>
            </w:r>
            <w:r w:rsidRPr="009D74F4">
              <w:rPr>
                <w:sz w:val="20"/>
              </w:rPr>
              <w:t>)</w:t>
            </w:r>
            <w:r>
              <w:rPr>
                <w:sz w:val="20"/>
                <w:szCs w:val="20"/>
              </w:rPr>
              <w:fldChar w:fldCharType="end"/>
            </w:r>
            <w:r w:rsidRPr="00C22055">
              <w:rPr>
                <w:sz w:val="20"/>
                <w:szCs w:val="20"/>
              </w:rPr>
              <w:t>.</w:t>
            </w:r>
          </w:p>
        </w:tc>
      </w:tr>
      <w:tr w:rsidR="00ED75F5" w:rsidRPr="00AB25B0" w14:paraId="45B6CB66" w14:textId="77777777" w:rsidTr="00BF280E">
        <w:trPr>
          <w:trHeight w:val="621"/>
        </w:trPr>
        <w:tc>
          <w:tcPr>
            <w:cnfStyle w:val="001000000000" w:firstRow="0" w:lastRow="0" w:firstColumn="1" w:lastColumn="0" w:oddVBand="0" w:evenVBand="0" w:oddHBand="0" w:evenHBand="0" w:firstRowFirstColumn="0" w:firstRowLastColumn="0" w:lastRowFirstColumn="0" w:lastRowLastColumn="0"/>
            <w:tcW w:w="2385" w:type="dxa"/>
            <w:hideMark/>
          </w:tcPr>
          <w:p w14:paraId="4714AE1D" w14:textId="77777777" w:rsidR="00ED75F5" w:rsidRPr="00C22055" w:rsidRDefault="00ED75F5" w:rsidP="00BF280E">
            <w:pPr>
              <w:rPr>
                <w:sz w:val="20"/>
                <w:szCs w:val="20"/>
              </w:rPr>
            </w:pPr>
            <w:r w:rsidRPr="00C22055">
              <w:rPr>
                <w:sz w:val="20"/>
                <w:szCs w:val="20"/>
              </w:rPr>
              <w:t>Increase sediment passage through existing dams</w:t>
            </w:r>
            <w:r w:rsidRPr="00C22055" w:rsidDel="00992321">
              <w:rPr>
                <w:sz w:val="20"/>
                <w:szCs w:val="20"/>
              </w:rPr>
              <w:t xml:space="preserve"> </w:t>
            </w:r>
          </w:p>
        </w:tc>
        <w:tc>
          <w:tcPr>
            <w:tcW w:w="2199" w:type="dxa"/>
            <w:vMerge/>
          </w:tcPr>
          <w:p w14:paraId="7F687688"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p>
        </w:tc>
        <w:tc>
          <w:tcPr>
            <w:tcW w:w="2763" w:type="dxa"/>
            <w:hideMark/>
          </w:tcPr>
          <w:p w14:paraId="6598441A"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r w:rsidRPr="00C22055">
              <w:rPr>
                <w:sz w:val="20"/>
                <w:szCs w:val="20"/>
              </w:rPr>
              <w:t xml:space="preserve">Non-hydropower renewables increase operational flexibility of dams </w:t>
            </w:r>
            <w:r w:rsidRPr="00C22055">
              <w:rPr>
                <w:sz w:val="20"/>
                <w:szCs w:val="20"/>
              </w:rPr>
              <w:fldChar w:fldCharType="begin"/>
            </w:r>
            <w:r>
              <w:rPr>
                <w:sz w:val="20"/>
                <w:szCs w:val="20"/>
              </w:rPr>
              <w:instrText xml:space="preserve"> ADDIN ZOTERO_ITEM CSL_CITATION {"citationID":"w0ZJPR40","properties":{"formattedCitation":"({\\i{}27})","plainCitation":"(27)","noteIndex":0},"citationItems":[{"id":5002,"uris":["http://zotero.org/users/1975400/items/I9S6ZD7E"],"uri":["http://zotero.org/users/1975400/items/I9S6ZD7E"],"itemData":{"id":5002,"type":"article-journal","abstract":"The role of solar and wind energy (SWE) in management of water-food-energy (WFE) nexus is largely neglected. Here the authors developed a trade-off frontier framework to quantify the water sustainability value of SWE and applied it in California, where they found that SWE penetration creates beneficial feedback for the WFE nexus by enhancing drought resilience and benefits groundwater sustainability over long run.","container-title":"Nature Communications","DOI":"10.1038/s41467-019-12810-5","ISSN":"2041-1723","issue":"1","journalAbbreviation":"Nat Commun","language":"en","page":"1-8","source":"www-nature-com.stanford.idm.oclc.org","title":"Solar and wind energy enhances drought resilience and groundwater sustainability","volume":"10","author":[{"family":"He","given":"Xiaogang"},{"family":"Feng","given":"Kairui"},{"family":"Li","given":"Xiaoyuan"},{"family":"Craft","given":"Amy B."},{"family":"Wada","given":"Yoshihide"},{"family":"Burek","given":"Peter"},{"family":"Wood","given":"Eric F."},{"family":"Sheffield","given":"Justin"}],"issued":{"date-parts":[["2019",11,6]]}}}],"schema":"https://github.com/citation-style-language/schema/raw/master/csl-citation.json"} </w:instrText>
            </w:r>
            <w:r w:rsidRPr="00C22055">
              <w:rPr>
                <w:sz w:val="20"/>
                <w:szCs w:val="20"/>
              </w:rPr>
              <w:fldChar w:fldCharType="separate"/>
            </w:r>
            <w:r w:rsidRPr="009D74F4">
              <w:rPr>
                <w:sz w:val="20"/>
              </w:rPr>
              <w:t>(</w:t>
            </w:r>
            <w:r w:rsidRPr="009D74F4">
              <w:rPr>
                <w:i/>
                <w:iCs/>
                <w:sz w:val="20"/>
              </w:rPr>
              <w:t>27</w:t>
            </w:r>
            <w:r w:rsidRPr="009D74F4">
              <w:rPr>
                <w:sz w:val="20"/>
              </w:rPr>
              <w:t>)</w:t>
            </w:r>
            <w:r w:rsidRPr="00C22055">
              <w:rPr>
                <w:sz w:val="20"/>
                <w:szCs w:val="20"/>
              </w:rPr>
              <w:fldChar w:fldCharType="end"/>
            </w:r>
          </w:p>
        </w:tc>
        <w:tc>
          <w:tcPr>
            <w:tcW w:w="3421" w:type="dxa"/>
            <w:hideMark/>
          </w:tcPr>
          <w:p w14:paraId="1D798DA9"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r w:rsidRPr="00C22055">
              <w:rPr>
                <w:sz w:val="20"/>
                <w:szCs w:val="20"/>
              </w:rPr>
              <w:t xml:space="preserve">Sediment passage through dams can be achieved through well-tested operational </w:t>
            </w:r>
            <w:r w:rsidRPr="00C22055">
              <w:rPr>
                <w:sz w:val="20"/>
                <w:szCs w:val="20"/>
              </w:rPr>
              <w:fldChar w:fldCharType="begin"/>
            </w:r>
            <w:r>
              <w:rPr>
                <w:sz w:val="20"/>
                <w:szCs w:val="20"/>
              </w:rPr>
              <w:instrText xml:space="preserve"> ADDIN ZOTERO_ITEM CSL_CITATION {"citationID":"uLMH3pId","properties":{"formattedCitation":"({\\i{}28}, {\\i{}29})","plainCitation":"(28, 29)","noteIndex":0},"citationItems":[{"id":4542,"uris":["http://zotero.org/users/1975400/items/KCBXNDUR"],"uri":["http://zotero.org/users/1975400/items/KCBXNDUR"],"itemData":{"id":4542,"type":"article-journal","abstract":"Water resource management (WRM) through dams or reservoirs is worldwide necessary to support key human-related activities, ranging from hydropower production to water allocation and flood risk mitigation. Designing of reservoir operations aims primarily to fulfill the main purpose (or purposes) for which the structure has been built. However, it is well known that reservoirs strongly influence river geomorphic processes, causing sediment deficits downstream, altering water, and sediment fluxes, leading to riverbed incision and causing infrastructure instability and ecological degradation. We propose a framework that, by combining physically based modeling, surrogate modeling techniques, and multiobjective (MO) optimization, allows to include fluvial geomorphology into MO optimization whose main objectives are the maximization of hydropower revenue and the minimization of riverbed degradation. The case study is a run-of-the-river power plant on the River Po (Italy). A 1-D mobile-bed hydro-morphological model simulated the riverbed evolution over a 10 year horizon for alternatives operation rules of the power plant. The knowledge provided by such a physically based model is integrated into a MO optimization routine via surrogate modeling using the response surface methodology. Hence, this framework overcomes the high computational costs that so far hindered the integration of river geomorphology into WRM. We provided numerical proof that river morphologic processes and hydropower production are indeed in conflict but that the conflict may be mitigated with appropriate control strategies.","container-title":"Water Resources Research","DOI":"10.1002/2014WR016237","ISSN":"1944-7973","issue":"7","language":"en","page":"5023-5040","source":"Wiley Online Library","title":"On the control of riverbed incision induced by run-of-river power plant","volume":"51","author":[{"family":"Bizzi","given":"Simone"},{"family":"Dinh","given":"Quang"},{"family":"Bernardi","given":"Dario"},{"family":"Denaro","given":"Simona"},{"family":"Schippa","given":"Leonardo"},{"family":"Soncini‐Sessa","given":"Rodolfo"}],"issued":{"date-parts":[["2015"]]}}},{"id":297,"uris":["http://zotero.org/users/1975400/items/A4AMNDG4"],"uri":["http://zotero.org/users/1975400/items/A4AMNDG4"],"itemData":{"id":297,"type":"article-journal","abstract":"Summary\nRiverine ecosystem protection requires the maintenance of natural flow and sediment regimes downstream from dams. In reservoir management schedules this requirement should be integrated with sedimentation control and human water supply. However, traditional eco-friendly reservoir operating methods have usually only considered the natural flow regime. This paper seeks to develop a reservoir operating method that accounts for both the natural flow and sediment regimes as well as optimizing the water supply allocations. Herein, reservoir water level (RWL), sediment-occupied ratio of reservoir volume (SOR) and rate of change of SOR (RCSOR) are adopted as three triggers of a drawdown-flushing-based sediment management policy. Two different groups of reservoir operating rule curves (RORCs) are designed for sediment-flushing and non-sediment-flushing years, and the three triggers, RWL, SOR and RCSOR, are used to change the “static” RORCs to “dynamic” ones. The approach is applied to the Wangkuai Reservoir, China to test its effectiveness. This shows that the approach can improve the flexibility of reservoir operators to balance the reservoir management, water supply management and the flow and sediment needs of the downstream riverine ecosystem.","container-title":"Journal of Hydrology","DOI":"10.1016/j.jhydrol.2014.02.037","ISSN":"0022-1694","journalAbbreviation":"Journal of Hydrology","note":"bibtex: Yin2014","page":"379-387","source":"ScienceDirect","title":"A reservoir operating method for riverine ecosystem protection, reservoir sedimentation control and water supply","volume":"512","author":[{"family":"Yin","given":"Xin-An"},{"family":"Yang","given":"Zhi-Feng"},{"family":"Petts","given":"Geoffrey E."},{"family":"Kondolf","given":"G. Mathias"}],"issued":{"date-parts":[["2014",5,6]]}}}],"schema":"https://github.com/citation-style-language/schema/raw/master/csl-citation.json"} </w:instrText>
            </w:r>
            <w:r w:rsidRPr="00C22055">
              <w:rPr>
                <w:sz w:val="20"/>
                <w:szCs w:val="20"/>
              </w:rPr>
              <w:fldChar w:fldCharType="separate"/>
            </w:r>
            <w:r w:rsidRPr="009D74F4">
              <w:rPr>
                <w:sz w:val="20"/>
              </w:rPr>
              <w:t>(</w:t>
            </w:r>
            <w:r w:rsidRPr="009D74F4">
              <w:rPr>
                <w:i/>
                <w:iCs/>
                <w:sz w:val="20"/>
              </w:rPr>
              <w:t>28</w:t>
            </w:r>
            <w:r w:rsidRPr="009D74F4">
              <w:rPr>
                <w:sz w:val="20"/>
              </w:rPr>
              <w:t xml:space="preserve">, </w:t>
            </w:r>
            <w:r w:rsidRPr="009D74F4">
              <w:rPr>
                <w:i/>
                <w:iCs/>
                <w:sz w:val="20"/>
              </w:rPr>
              <w:t>29</w:t>
            </w:r>
            <w:r w:rsidRPr="009D74F4">
              <w:rPr>
                <w:sz w:val="20"/>
              </w:rPr>
              <w:t>)</w:t>
            </w:r>
            <w:r w:rsidRPr="00C22055">
              <w:rPr>
                <w:sz w:val="20"/>
                <w:szCs w:val="20"/>
              </w:rPr>
              <w:fldChar w:fldCharType="end"/>
            </w:r>
            <w:r w:rsidRPr="00C22055">
              <w:rPr>
                <w:sz w:val="20"/>
                <w:szCs w:val="20"/>
              </w:rPr>
              <w:t xml:space="preserve">and structural measures </w:t>
            </w:r>
            <w:r w:rsidRPr="00C22055">
              <w:rPr>
                <w:sz w:val="20"/>
                <w:szCs w:val="20"/>
              </w:rPr>
              <w:fldChar w:fldCharType="begin"/>
            </w:r>
            <w:r>
              <w:rPr>
                <w:sz w:val="20"/>
                <w:szCs w:val="20"/>
              </w:rPr>
              <w:instrText xml:space="preserve"> ADDIN ZOTERO_ITEM CSL_CITATION {"citationID":"oWIYHDHN","properties":{"formattedCitation":"({\\i{}30}\\uc0\\u8211{}{\\i{}32})","plainCitation":"(30–32)","noteIndex":0},"citationItems":[{"id":6729,"uris":["http://zotero.org/users/1975400/items/GLXF3IPY"],"uri":["http://zotero.org/users/1975400/items/GLXF3IPY"],"itemData":{"id":6729,"type":"chapter","abstract":"ABSTRACT: Worldwide, a large number of reservoirs impounded by dams are rapidly \nfilling up with sediments. As on a global level the loss of reservoir volume due to sedimentation increases faster than the creation of new storage volume, the sustainability of reservoirs \nmay be questioned if  no countermeasures are taken. This paper gives an overview of the \namount and the processes of reservoir sedimentation and its impact on dams and reservoirs. \nFurthermore, sediment bypass tunnels as a countermeasure for small to medium sized reservoirs are discussed with their pros and cons. The issue of hydroabrasion is highlighted, and \nthe main design features to be applied for sediment bypass tunnels are given.","container-title":"Reservoir Sedimentation","ISBN":"978-0-429-22680-9","note":"number-of-pages: 8","publisher":"CRC Press","title":"Sediment bypass tunnels to mitigate reservoir sedimentation and restore sediment continuity","author":[{"family":"Boes","given":"R. M."},{"family":"Auel","given":"C."},{"family":"Albayrak","given":"M. Hagmann &amp; I."}],"issued":{"date-parts":[["2014"]]}}},{"id":1020,"uris":["http://zotero.org/users/1975400/items/ZUCIXZRN"],"uri":["http://zotero.org/users/1975400/items/ZUCIXZRN"],"itemData":{"id":1020,"type":"article-journal","abstract":"By trapping sediment in reservoirs, dams interrupt the continuity of sediment transport through rivers, resulting in loss of reservoir storage and reduced usable life, and depriving downstream reaches of sediments essential for channel form and aquatic habitats. With the acceleration of new dam construction globally, these impacts are increasingly widespread. There are proven techniques to pass sediment through or around reservoirs, to preserve reservoir capacity and to minimize downstream impacts, but they are not applied in many situations where they would be effective. This paper summarizes collective experience from five continents in managing reservoir sediments and mitigating downstream sediment starvation. Where geometry is favorable it is often possible to bypass sediment around the reservoir, which avoids reservoir sedimentation and supplies sediment to downstream reaches with rates and timing similar to pre-dam conditions. Sluicing (or drawdown routing) permits sediment to be transported through the reservoir rapidly to avoid sedimentation during high flows; it requires relatively large capacity outlets. Drawdown flushing involves scouring and re-suspending sediment deposited in the reservoir and transporting it downstream through low-level gates in the dam; it works best in narrow reservoirs with steep longitudinal gradients and with flow velocities maintained above the threshold to transport sediment. Turbidity currents can often be vented through the dam, with the advantage that the reservoir need not be drawn down to pass sediment. In planning dams, we recommend that these sediment management approaches be utilized where possible to sustain reservoir capacity and minimize environmental impacts of dams.","container-title":"Earth's Future","DOI":"10.1002/2013EF000184","ISSN":"2328-4277","issue":"5","journalAbbreviation":"Earth's Future","language":"en","note":"bibtex: Kondolf2014a","page":"256-280","source":"Wiley Online Library","title":"Sustainable sediment management in reservoirs and regulated rivers: Experiences from five continents","title-short":"Sustainable sediment management in reservoirs and regulated rivers","volume":"2","author":[{"family":"Kondolf","given":"G. M."},{"family":"Gao","given":"Yongxuan"},{"family":"Annandale","given":"George W."},{"family":"Morris","given":"Gregory L."},{"family":"Jiang","given":"Enhui"},{"family":"Zhang","given":"Junhua"},{"family":"Cao","given":"Yongtao"},{"family":"Carling","given":"Paul"},{"family":"Fu","given":"Kaidao"},{"family":"Guo","given":"Qingchao"},{"family":"Hotchkiss","given":"Rollin"},{"family":"Peteuil","given":"Christophe"},{"family":"Sumi","given":"Tetsuya"},{"family":"Wang","given":"Hsiao-Wen"},{"family":"Wang","given":"Zhongmei"},{"family":"Wei","given":"Zhilin"},{"family":"Wu","given":"Baosheng"},{"family":"Wu","given":"Caiping"},{"family":"Yang","given":"Chih Ted"}],"issued":{"date-parts":[["2014",5,1]]}}},{"id":6758,"uris":["http://zotero.org/users/1975400/items/W4IEDDZH"],"uri":["http://zotero.org/users/1975400/items/W4IEDDZH"],"itemData":{"id":6758,"type":"article-journal","abstract":"This paper focuses on sediment bypass tunnels for reservoir sedimentation management. Worldwide, number of constructed sediment bypass tunnels is very small because of topographical, hydrological or economical conditions. Bypass tunnels, however, have many advantages such as they can be constructed even at existing dams and prevent a loss of stored reservoir water caused by the lowering of the reservoir water level. They are also considered to have a relatively small impact on environment downstream because inflow discharge can pass through tunnels very naturally during flood times. In Japan, sediment bypass tunnels of the Nunobiki Dam completed in 1908, and of the Asahi Dam completed in 1995, have been successfully introduced to realize sustainable reservoir management. Sediment bypasses of the Miwa Dam, Koshibu Dam and Matsukawa Dam on the Tenryu River are expected to be next leading projects in Japan. In this paper, we discuss design criteria and lessons learned from existing facilities, and future challenges of planning projects. The focus is on tunnel geometries such as diameter, slope, bottom shape etc., and an abrasion-resistance design of the tunnel invert.","source":"ResearchGate","title":"Reservoir sedimentation management with bypass tunnels in Japan","author":[{"family":"Sumi","given":"Tetsuya"}],"issued":{"date-parts":[["2004",1,1]]}}}],"schema":"https://github.com/citation-style-language/schema/raw/master/csl-citation.json"} </w:instrText>
            </w:r>
            <w:r w:rsidRPr="00C22055">
              <w:rPr>
                <w:sz w:val="20"/>
                <w:szCs w:val="20"/>
              </w:rPr>
              <w:fldChar w:fldCharType="separate"/>
            </w:r>
            <w:r w:rsidRPr="009D74F4">
              <w:rPr>
                <w:sz w:val="20"/>
              </w:rPr>
              <w:t>(</w:t>
            </w:r>
            <w:r w:rsidRPr="009D74F4">
              <w:rPr>
                <w:i/>
                <w:iCs/>
                <w:sz w:val="20"/>
              </w:rPr>
              <w:t>30</w:t>
            </w:r>
            <w:r w:rsidRPr="009D74F4">
              <w:rPr>
                <w:sz w:val="20"/>
              </w:rPr>
              <w:t>–</w:t>
            </w:r>
            <w:r w:rsidRPr="009D74F4">
              <w:rPr>
                <w:i/>
                <w:iCs/>
                <w:sz w:val="20"/>
              </w:rPr>
              <w:t>32</w:t>
            </w:r>
            <w:r w:rsidRPr="009D74F4">
              <w:rPr>
                <w:sz w:val="20"/>
              </w:rPr>
              <w:t>)</w:t>
            </w:r>
            <w:r w:rsidRPr="00C22055">
              <w:rPr>
                <w:sz w:val="20"/>
                <w:szCs w:val="20"/>
              </w:rPr>
              <w:fldChar w:fldCharType="end"/>
            </w:r>
          </w:p>
          <w:p w14:paraId="5B3C5BAB"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p>
        </w:tc>
        <w:tc>
          <w:tcPr>
            <w:tcW w:w="4227" w:type="dxa"/>
            <w:hideMark/>
          </w:tcPr>
          <w:p w14:paraId="35958FB4"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Operational measures to increase s</w:t>
            </w:r>
            <w:r w:rsidRPr="00F9690C">
              <w:rPr>
                <w:sz w:val="20"/>
                <w:szCs w:val="20"/>
              </w:rPr>
              <w:t>ediment passage can reduce generation</w:t>
            </w:r>
            <w:r>
              <w:rPr>
                <w:sz w:val="20"/>
                <w:szCs w:val="20"/>
              </w:rPr>
              <w:t>.</w:t>
            </w:r>
            <w:r w:rsidRPr="00C22055">
              <w:rPr>
                <w:sz w:val="20"/>
                <w:szCs w:val="20"/>
              </w:rPr>
              <w:t xml:space="preserve"> High sediment releases at baseflow can have negative impacts on water users &amp; ecosystems </w:t>
            </w:r>
            <w:r w:rsidRPr="00C22055">
              <w:rPr>
                <w:sz w:val="20"/>
                <w:szCs w:val="20"/>
              </w:rPr>
              <w:fldChar w:fldCharType="begin"/>
            </w:r>
            <w:r>
              <w:rPr>
                <w:sz w:val="20"/>
                <w:szCs w:val="20"/>
              </w:rPr>
              <w:instrText xml:space="preserve"> ADDIN ZOTERO_ITEM CSL_CITATION {"citationID":"8BtcN0Nr","properties":{"formattedCitation":"({\\i{}33}, {\\i{}34})","plainCitation":"(33, 34)","noteIndex":0},"citationItems":[{"id":6734,"uris":["http://zotero.org/users/1975400/items/HFIGKEIZ"],"uri":["http://zotero.org/users/1975400/items/HFIGKEIZ"],"itemData":{"id":6734,"type":"article-journal","abstract":"Reservoir siltation is a major problem worldwide, decreasing reservoir storage capacity, trapping entrained sediment, and altering the natural sediment regime. Sediment By-pass Tunnels (SBTs) are used to connect reservoirs with downstream receiving waters during high flows to reduce sediment accumulation in the reservoir. When operating, large volumes of sediment-laden waters are released into the receiving river for short periods of time (h). The aim of this study was to assess the impact of SBT events on the downstream riverine ecosystem. We measured physico-chemical properties, sediment respiration, periphyton biomass and chlorophyll-a, and macroinvertebrate assemblages along a 5-km stretch of river during the first two years of SBT operation. During the study, five major SBT events occurred. Few changes were found in physico-chemical properties, mainly due to the input of tributaries entering the system. Results showed a clear reduction in sediment respiration, an indicator of ecosystem metabolism, especially after large SBT events. Periphyton levels and macroinvertebrate density/richness also decreased after SBT events. A non-metric multidimensional scaling distinguished both temporal and spatial shifts in macroinvertebrate assemblages after SBT events, being related to downstream distance and SBT event magnitude. In summary, SBT events acted as a pulse disturbance, similarly to natural floods, followed by recovery of measured ecosystem indicators. Sediment By-pass Tunnel events can enhance sediment and flow connectivity, although the magnitude and frequency of operations should be controlled to prevent catastrophic disturbances. Copyright © 2017 John Wiley &amp; Sons, Ltd.","container-title":"River Research and Applications","DOI":"10.1002/rra.3145","ISSN":"1535-1467","issue":"6","language":"en","note":"_eprint: https://onlinelibrary.wiley.com/doi/pdf/10.1002/rra.3145","page":"925-936","source":"Wiley Online Library","title":"Ecological Assessment of a Sediment By-pass Tunnel on a Receiving Stream in Switzerland","volume":"33","author":[{"family":"Martín","given":"E. J."},{"family":"Doering","given":"M."},{"family":"Robinson","given":"C. T."}],"issued":{"date-parts":[["2017"]]}}},{"id":1890,"uris":["http://zotero.org/users/1975400/items/XHKK5HRI"],"uri":["http://zotero.org/users/1975400/items/XHKK5HRI"],"itemData":{"id":1890,"type":"book","event-place":"New York","ISBN":"978-0-07-043302-1","language":"English","note":"OCLC: 36241652","publisher":"McGraw-Hill","publisher-place":"New York","source":"Open WorldCat","title":"Reservoir sedimentation handbook: design and management of dams, reservoirs, and watersheds for sustainable use","title-short":"Reservoir sedimentation handbook","author":[{"family":"Morris","given":"Gregory L"},{"family":"Fan","given":"Jiahua"}],"issued":{"date-parts":[["1998"]]}},"locator":"15.32"}],"schema":"https://github.com/citation-style-language/schema/raw/master/csl-citation.json"} </w:instrText>
            </w:r>
            <w:r w:rsidRPr="00C22055">
              <w:rPr>
                <w:sz w:val="20"/>
                <w:szCs w:val="20"/>
              </w:rPr>
              <w:fldChar w:fldCharType="separate"/>
            </w:r>
            <w:r w:rsidRPr="009D74F4">
              <w:rPr>
                <w:sz w:val="20"/>
              </w:rPr>
              <w:t>(</w:t>
            </w:r>
            <w:r w:rsidRPr="009D74F4">
              <w:rPr>
                <w:i/>
                <w:iCs/>
                <w:sz w:val="20"/>
              </w:rPr>
              <w:t>33</w:t>
            </w:r>
            <w:r w:rsidRPr="009D74F4">
              <w:rPr>
                <w:sz w:val="20"/>
              </w:rPr>
              <w:t xml:space="preserve">, </w:t>
            </w:r>
            <w:r w:rsidRPr="009D74F4">
              <w:rPr>
                <w:i/>
                <w:iCs/>
                <w:sz w:val="20"/>
              </w:rPr>
              <w:t>34</w:t>
            </w:r>
            <w:r w:rsidRPr="009D74F4">
              <w:rPr>
                <w:sz w:val="20"/>
              </w:rPr>
              <w:t>)</w:t>
            </w:r>
            <w:r w:rsidRPr="00C22055">
              <w:rPr>
                <w:sz w:val="20"/>
                <w:szCs w:val="20"/>
              </w:rPr>
              <w:fldChar w:fldCharType="end"/>
            </w:r>
            <w:r w:rsidRPr="00C22055">
              <w:rPr>
                <w:sz w:val="20"/>
                <w:szCs w:val="20"/>
              </w:rPr>
              <w:t xml:space="preserve">; retrofits and reoperation costly </w:t>
            </w:r>
            <w:r w:rsidRPr="00C22055">
              <w:rPr>
                <w:sz w:val="20"/>
                <w:szCs w:val="20"/>
              </w:rPr>
              <w:fldChar w:fldCharType="begin"/>
            </w:r>
            <w:r>
              <w:rPr>
                <w:sz w:val="20"/>
                <w:szCs w:val="20"/>
              </w:rPr>
              <w:instrText xml:space="preserve"> ADDIN ZOTERO_ITEM CSL_CITATION {"citationID":"ZN9FjaGp","properties":{"formattedCitation":"({\\i{}30})","plainCitation":"(30)","noteIndex":0},"citationItems":[{"id":6729,"uris":["http://zotero.org/users/1975400/items/GLXF3IPY"],"uri":["http://zotero.org/users/1975400/items/GLXF3IPY"],"itemData":{"id":6729,"type":"chapter","abstract":"ABSTRACT: Worldwide, a large number of reservoirs impounded by dams are rapidly \nfilling up with sediments. As on a global level the loss of reservoir volume due to sedimentation increases faster than the creation of new storage volume, the sustainability of reservoirs \nmay be questioned if  no countermeasures are taken. This paper gives an overview of the \namount and the processes of reservoir sedimentation and its impact on dams and reservoirs. \nFurthermore, sediment bypass tunnels as a countermeasure for small to medium sized reservoirs are discussed with their pros and cons. The issue of hydroabrasion is highlighted, and \nthe main design features to be applied for sediment bypass tunnels are given.","container-title":"Reservoir Sedimentation","ISBN":"978-0-429-22680-9","note":"number-of-pages: 8","publisher":"CRC Press","title":"Sediment bypass tunnels to mitigate reservoir sedimentation and restore sediment continuity","author":[{"family":"Boes","given":"R. M."},{"family":"Auel","given":"C."},{"family":"Albayrak","given":"M. Hagmann &amp; I."}],"issued":{"date-parts":[["2014"]]}}}],"schema":"https://github.com/citation-style-language/schema/raw/master/csl-citation.json"} </w:instrText>
            </w:r>
            <w:r w:rsidRPr="00C22055">
              <w:rPr>
                <w:sz w:val="20"/>
                <w:szCs w:val="20"/>
              </w:rPr>
              <w:fldChar w:fldCharType="separate"/>
            </w:r>
            <w:r w:rsidRPr="009D74F4">
              <w:rPr>
                <w:sz w:val="20"/>
              </w:rPr>
              <w:t>(</w:t>
            </w:r>
            <w:r w:rsidRPr="009D74F4">
              <w:rPr>
                <w:i/>
                <w:iCs/>
                <w:sz w:val="20"/>
              </w:rPr>
              <w:t>30</w:t>
            </w:r>
            <w:r w:rsidRPr="009D74F4">
              <w:rPr>
                <w:sz w:val="20"/>
              </w:rPr>
              <w:t>)</w:t>
            </w:r>
            <w:r w:rsidRPr="00C22055">
              <w:rPr>
                <w:sz w:val="20"/>
                <w:szCs w:val="20"/>
              </w:rPr>
              <w:fldChar w:fldCharType="end"/>
            </w:r>
            <w:r w:rsidRPr="00C22055">
              <w:rPr>
                <w:sz w:val="20"/>
                <w:szCs w:val="20"/>
              </w:rPr>
              <w:t>.</w:t>
            </w:r>
          </w:p>
        </w:tc>
      </w:tr>
      <w:tr w:rsidR="00ED75F5" w:rsidRPr="00AB25B0" w14:paraId="44D440F1" w14:textId="77777777" w:rsidTr="00BF280E">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2385" w:type="dxa"/>
            <w:hideMark/>
          </w:tcPr>
          <w:p w14:paraId="10A5EE2F" w14:textId="77777777" w:rsidR="00ED75F5" w:rsidRPr="00C22055" w:rsidRDefault="00ED75F5" w:rsidP="00BF280E">
            <w:pPr>
              <w:rPr>
                <w:sz w:val="20"/>
                <w:szCs w:val="20"/>
              </w:rPr>
            </w:pPr>
            <w:r w:rsidRPr="00C22055">
              <w:rPr>
                <w:sz w:val="20"/>
                <w:szCs w:val="20"/>
              </w:rPr>
              <w:t xml:space="preserve">Control and phase-out riverbed </w:t>
            </w:r>
          </w:p>
          <w:p w14:paraId="48AF4AA7" w14:textId="77777777" w:rsidR="00ED75F5" w:rsidRPr="00C22055" w:rsidRDefault="00ED75F5" w:rsidP="00BF280E">
            <w:pPr>
              <w:rPr>
                <w:sz w:val="20"/>
                <w:szCs w:val="20"/>
              </w:rPr>
            </w:pPr>
            <w:r w:rsidRPr="00C22055">
              <w:rPr>
                <w:sz w:val="20"/>
                <w:szCs w:val="20"/>
              </w:rPr>
              <w:t>sand mining</w:t>
            </w:r>
          </w:p>
        </w:tc>
        <w:tc>
          <w:tcPr>
            <w:tcW w:w="2199" w:type="dxa"/>
            <w:vMerge/>
          </w:tcPr>
          <w:p w14:paraId="07CFD0BF"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p>
        </w:tc>
        <w:tc>
          <w:tcPr>
            <w:tcW w:w="2763" w:type="dxa"/>
            <w:hideMark/>
          </w:tcPr>
          <w:p w14:paraId="4A87EE53"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r w:rsidRPr="00C22055">
              <w:rPr>
                <w:sz w:val="20"/>
                <w:szCs w:val="20"/>
              </w:rPr>
              <w:t xml:space="preserve">Alternative sourcing. Circular sand economy, less concrete-heavy building designs </w:t>
            </w:r>
            <w:r w:rsidRPr="00C22055">
              <w:rPr>
                <w:sz w:val="20"/>
                <w:szCs w:val="20"/>
              </w:rPr>
              <w:fldChar w:fldCharType="begin"/>
            </w:r>
            <w:r>
              <w:rPr>
                <w:sz w:val="20"/>
                <w:szCs w:val="20"/>
              </w:rPr>
              <w:instrText xml:space="preserve"> ADDIN ZOTERO_ITEM CSL_CITATION {"citationID":"cS8zLNpM","properties":{"formattedCitation":"({\\i{}35}, {\\i{}36})","plainCitation":"(35, 36)","noteIndex":0},"citationItems":[{"id":6742,"uris":["http://zotero.org/users/1975400/items/2IZDAVHI"],"uri":["http://zotero.org/users/1975400/items/2IZDAVHI"],"itemData":{"id":6742,"type":"article-journal","abstract":"Sand, gravel, and crushed rock, together referred to as construction aggregates, are the most extracted solid materials. Growing demand is damaging ecosystems, triggering social conflicts, and fueling concerns over sand scarcity. Balancing protection efforts and extraction to meet society's needs requires designing sustainable pathways at a system level. Here, we present a perspective on global sand sustainability that shifts the focus from the mining site to the entire sand-supply network (SSN) of a region understood as a coupled human-natural system whose backbone is the physical system of construction aggregates. We introduce the idea of transitions in sand production from subsistence mining toward larger-scale regional supply systems that include mega-quarries for crushed rock, marine dredging, and recycled secondary materials. We discuss claims of an imminent global sand scarcity, evaluate whether new mining frontiers such as Greenland could alleviate it, and highlight three action fields to foster a sustainable global sand system.","container-title":"One Earth","DOI":"10.1016/j.oneear.2021.04.011","ISSN":"2590-3322","issue":"5","journalAbbreviation":"One Earth","language":"en","page":"639-650","source":"ScienceDirect","title":"Sustainability of the global sand system in the Anthropocene","volume":"4","author":[{"family":"Torres","given":"Aurora"},{"family":"Simoni","given":"Mark U."},{"family":"Keiding","given":"Jakob K."},{"family":"Müller","given":"Daniel B."},{"family":"Ermgassen","given":"Sophus O. S. E.","non-dropping-particle":"zu"},{"family":"Liu","given":"Jianguo"},{"family":"Jaeger","given":"Jochen A. G."},{"family":"Winter","given":"Marten"},{"family":"Lambin","given":"Eric F."}],"issued":{"date-parts":[["2021",5,21]]}}},{"id":6746,"uris":["http://zotero.org/users/1975400/items/H97R74P3"],"uri":["http://zotero.org/users/1975400/items/H97R74P3"],"itemData":{"id":6746,"type":"article-journal","note":"publisher: United Nations Environment Programme","title":"Sand and sustainability: Finding new solutions for environmental governance of global sand resources","author":[{"family":"Gallagher","given":"Louise"},{"family":"Peduzzi","given":"Pascal"}],"issued":{"date-parts":[["2019"]]}}}],"schema":"https://github.com/citation-style-language/schema/raw/master/csl-citation.json"} </w:instrText>
            </w:r>
            <w:r w:rsidRPr="00C22055">
              <w:rPr>
                <w:sz w:val="20"/>
                <w:szCs w:val="20"/>
              </w:rPr>
              <w:fldChar w:fldCharType="separate"/>
            </w:r>
            <w:r w:rsidRPr="009D74F4">
              <w:rPr>
                <w:sz w:val="20"/>
              </w:rPr>
              <w:t>(</w:t>
            </w:r>
            <w:r w:rsidRPr="009D74F4">
              <w:rPr>
                <w:i/>
                <w:iCs/>
                <w:sz w:val="20"/>
              </w:rPr>
              <w:t>35</w:t>
            </w:r>
            <w:r w:rsidRPr="009D74F4">
              <w:rPr>
                <w:sz w:val="20"/>
              </w:rPr>
              <w:t xml:space="preserve">, </w:t>
            </w:r>
            <w:r w:rsidRPr="009D74F4">
              <w:rPr>
                <w:i/>
                <w:iCs/>
                <w:sz w:val="20"/>
              </w:rPr>
              <w:t>36</w:t>
            </w:r>
            <w:r w:rsidRPr="009D74F4">
              <w:rPr>
                <w:sz w:val="20"/>
              </w:rPr>
              <w:t>)</w:t>
            </w:r>
            <w:r w:rsidRPr="00C22055">
              <w:rPr>
                <w:sz w:val="20"/>
                <w:szCs w:val="20"/>
              </w:rPr>
              <w:fldChar w:fldCharType="end"/>
            </w:r>
            <w:r w:rsidRPr="00C22055">
              <w:rPr>
                <w:sz w:val="20"/>
                <w:szCs w:val="20"/>
              </w:rPr>
              <w:t xml:space="preserve">. </w:t>
            </w:r>
          </w:p>
        </w:tc>
        <w:tc>
          <w:tcPr>
            <w:tcW w:w="3421" w:type="dxa"/>
            <w:hideMark/>
          </w:tcPr>
          <w:p w14:paraId="5BCED62B"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r w:rsidRPr="00BC6E36">
              <w:rPr>
                <w:sz w:val="20"/>
                <w:szCs w:val="20"/>
              </w:rPr>
              <w:t xml:space="preserve">Riverbed mining has been phased out in many countries or limited to sustainable rates </w:t>
            </w:r>
            <w:r w:rsidRPr="00C22055">
              <w:rPr>
                <w:sz w:val="20"/>
                <w:szCs w:val="20"/>
              </w:rPr>
              <w:fldChar w:fldCharType="begin"/>
            </w:r>
            <w:r>
              <w:rPr>
                <w:sz w:val="20"/>
                <w:szCs w:val="20"/>
              </w:rPr>
              <w:instrText xml:space="preserve"> ADDIN ZOTERO_ITEM CSL_CITATION {"citationID":"ApJtXKw4","properties":{"formattedCitation":"({\\i{}37}, {\\i{}38})","plainCitation":"(37, 38)","noteIndex":0},"citationItems":[{"id":6778,"uris":["http://zotero.org/users/1975400/items/BQGJYMRG"],"uri":["http://zotero.org/users/1975400/items/BQGJYMRG"],"itemData":{"id":6778,"type":"article-journal","container-title":"Canadian Journal of Fisheries and Aquatic Sciences","DOI":"10.1139/F08-184","ISSN":"0706-652X","issue":"1","journalAbbreviation":"Can. J. Fish. Aquat. Sci.","note":"publisher: NRC Research Press","page":"52-71","source":"cdnsciencepub.com (Atypon)","title":"Physical and ecological response to disturbance by gravel mining in a large alluvial river","volume":"66","author":[{"family":"Rempel","given":"Laura L."},{"family":"Church","given":"Michael"}],"issued":{"date-parts":[["2009",1,1]]}}},{"id":5362,"uris":["http://zotero.org/users/1975400/items/VJ5HPN4Y"],"uri":["http://zotero.org/users/1975400/items/VJ5HPN4Y"],"itemData":{"id":5362,"type":"article-journal","abstract":"Sand mining (used here as a generic term that includes mining of any riverine aggregates regardless of particle size) is a global activity that is receiving increasing media attention due to perceived negative environmental and social impacts. As calls grow for stronger regulation of mining, there is a need to understand the scientific evidence to support effective management. This paper summarizes the results of a structured literature review addressing the question, “What evidence is there of impacts of sand mining on ecosystem structure, process, and biodiversity in rivers, floodplains, and estuaries?” The review found that most investigations have focused on temperate rivers where sand mining occurred historically but has now ceased. Channel incision was the most common physical impact identified; other physical responses, including habitat disturbance, alteration of riparian zones, and changes to downstream sediment transport, were highly variable and dependant on river characteristics. Ecosystem attributes affected included macroinvertebrate drift, fish movements, species abundance and community structures, and food web dynamics. Studies often inferred impacts on populations, but supporting data were scarce. Limited evidence suggests that rivers can sustain extraction if volumes are within the natural sediment load variability. Significantly, the countries and rivers for which there is science-based evidence related to sand mining are not those where extensive sand mining is currently reported. The lack of scientific and systematic studies of sand mining in these countries prevents accurate quantification of mined volumes or the type, extent, and magnitude of any impacts. Additional research into how sand mining is affecting ecosystem services, impacting biodiversity and particularly threatened species, and how mining impacts interact with other activities or threats is urgently required.","container-title":"River Research and Applications","DOI":"10.1002/rra.3586","ISSN":"1535-1467","issue":"3","language":"en","note":"_eprint: https://onlinelibrary.wiley.com/doi/pdf/10.1002/rra.3586","page":"362-370","source":"Wiley Online Library","title":"Impacts of riverine sand mining on freshwater ecosystems: A review of the scientific evidence and guidance for future research","title-short":"Impacts of riverine sand mining on freshwater ecosystems","volume":"36","author":[{"family":"Koehnken","given":"Lois"},{"family":"Rintoul","given":"Max S."},{"family":"Goichot","given":"Marc"},{"family":"Tickner","given":"David"},{"family":"Loftus","given":"Anne-Claire"},{"family":"Acreman","given":"Mike C."}],"issued":{"date-parts":[["2020"]]}}}],"schema":"https://github.com/citation-style-language/schema/raw/master/csl-citation.json"} </w:instrText>
            </w:r>
            <w:r w:rsidRPr="00C22055">
              <w:rPr>
                <w:sz w:val="20"/>
                <w:szCs w:val="20"/>
              </w:rPr>
              <w:fldChar w:fldCharType="separate"/>
            </w:r>
            <w:r w:rsidRPr="009D74F4">
              <w:rPr>
                <w:sz w:val="20"/>
              </w:rPr>
              <w:t>(</w:t>
            </w:r>
            <w:r w:rsidRPr="009D74F4">
              <w:rPr>
                <w:i/>
                <w:iCs/>
                <w:sz w:val="20"/>
              </w:rPr>
              <w:t>37</w:t>
            </w:r>
            <w:r w:rsidRPr="009D74F4">
              <w:rPr>
                <w:sz w:val="20"/>
              </w:rPr>
              <w:t xml:space="preserve">, </w:t>
            </w:r>
            <w:r w:rsidRPr="009D74F4">
              <w:rPr>
                <w:i/>
                <w:iCs/>
                <w:sz w:val="20"/>
              </w:rPr>
              <w:t>38</w:t>
            </w:r>
            <w:r w:rsidRPr="009D74F4">
              <w:rPr>
                <w:sz w:val="20"/>
              </w:rPr>
              <w:t>)</w:t>
            </w:r>
            <w:r w:rsidRPr="00C22055">
              <w:rPr>
                <w:sz w:val="20"/>
                <w:szCs w:val="20"/>
              </w:rPr>
              <w:fldChar w:fldCharType="end"/>
            </w:r>
            <w:r w:rsidRPr="00BC6E36">
              <w:rPr>
                <w:sz w:val="20"/>
                <w:szCs w:val="20"/>
              </w:rPr>
              <w:t xml:space="preserve">, being replaced with aggregate from alternative terrestrial sources </w:t>
            </w:r>
            <w:r w:rsidRPr="00C22055">
              <w:rPr>
                <w:sz w:val="20"/>
                <w:szCs w:val="20"/>
              </w:rPr>
              <w:fldChar w:fldCharType="begin"/>
            </w:r>
            <w:r>
              <w:rPr>
                <w:sz w:val="20"/>
                <w:szCs w:val="20"/>
              </w:rPr>
              <w:instrText xml:space="preserve"> ADDIN ZOTERO_ITEM CSL_CITATION {"citationID":"jaaA1GU3","properties":{"formattedCitation":"({\\i{}39}\\uc0\\u8211{}{\\i{}41})","plainCitation":"(39–41)","noteIndex":0},"citationItems":[{"id":49,"uris":["http://zotero.org/users/1975400/items/RVBVI9EA"],"uri":["http://zotero.org/users/1975400/items/RVBVI9EA"],"itemData":{"id":49,"type":"article-journal","container-title":"Environmental management","issue":"4","note":"bibtex: Kondolf1997a","page":"533–551","source":"Google Scholar","title":"Hungry water: effects of dams and gravel mining on river channels","title-short":"PROFILE","volume":"21","author":[{"family":"Kondolf","given":"G. Mathias"}],"issued":{"date-parts":[["1997"]]}}},{"id":2164,"uris":["http://zotero.org/users/1975400/items/JT63TS7X"],"uri":["http://zotero.org/users/1975400/items/JT63TS7X"],"itemData":{"id":2164,"type":"article-journal","abstract":"Based on a review of a number of documented case studies from various countries and a detailed analysis of sediment exploitation from five rivers in Italy and Poland, we discuss alluvial river response to extensive sediment mining. A sediment deficit caused by in-stream mining typically induces upstream- and downstream-progressing river incision, lateral channel instability and bed armouring. The resultant incision alters the frequency of floodplain inundation along the river courses, lowers valley-floor water tables and frequently leads to destruction of bridges and channelization structures. Mining also results in the loss or impoverishment of aquatic and riparian habitats. In the rivers of Italy and southern Poland studied, where mining coincided with other human activities that reduce sediment delivery to the channels, deep river downcutting, changes in channel pattern and, in one case, transformation from alluvial to bedrock boundary conditions were recorded over recent decades. The type and magnitude of channel response to sediment mining depend mainly on the ratio between extraction and sediment replenishment rates. The effects of mining will be especially severe and difficult to reverse: (i) where material is extracted at a rate greatly exceeding the replenishment rate; (ii) in single-thread rivers, that are generally associated with relatively low rates of catchment sediment supply; (iii) in channelized reaches; (iv) where rivers are underlain by a thin cover of alluvium over bedrock; and (v) where mining coincides with other human activities that reduce upstream sediment delivery. With a large number of detrimental effects of instream mining, the practice should be prohibited in most rivers except aggrading ones. Copyright © 2005 John Wiley &amp; Sons, Ltd.","container-title":"River Research and Applications","DOI":"10.1002/rra.884","ISSN":"1535-1467","issue":"7","journalAbbreviation":"River Res. Applic.","language":"en","page":"805-828","source":"Wiley Online Library","title":"Sediment mining in alluvial channels: physical effects and management perspectives","title-short":"Sediment mining in alluvial channels","volume":"21","author":[{"family":"Rinaldi","given":"M."},{"family":"Wyżga","given":"B."},{"family":"Surian","given":"N."}],"issued":{"date-parts":[["2005",9,1]]}}},{"id":6775,"uris":["http://zotero.org/users/1975400/items/EU6ZJ8JJ"],"uri":["http://zotero.org/users/1975400/items/EU6ZJ8JJ"],"itemData":{"id":6775,"type":"report","abstract":"The purpose of this paper is to examine sustainable construction practices with respect to the use of substitutes for sand in construction and the enforcement of the same through legislation. It is a well-known fact that the use of riverbed sand for construction purposes has gradually led to excessive sand mining. This has in turn affected the environment and further, the recent lack or high cost of availability of such sand has led to not only various malpractices, but also the need to find an eco-friendly cost effective substitute.","event-place":"Rochester, NY","genre":"SSRN Scholarly Paper","language":"en","number":"ID 2441706","publisher":"Social Science Research Network","publisher-place":"Rochester, NY","source":"papers.ssrn.com","title":"Sand Mining: Curbing the Evil to the Environment Through Sustainable Substitution and Legislative Action","title-short":"Sand Mining","URL":"https://papers.ssrn.com/abstract=2441706","author":[{"family":"Umesh","given":"Monica"},{"family":"Murthy","given":"Abishek"}],"accessed":{"date-parts":[["2021",9,3]]},"issued":{"date-parts":[["2014",5,25]]}}}],"schema":"https://github.com/citation-style-language/schema/raw/master/csl-citation.json"} </w:instrText>
            </w:r>
            <w:r w:rsidRPr="00C22055">
              <w:rPr>
                <w:sz w:val="20"/>
                <w:szCs w:val="20"/>
              </w:rPr>
              <w:fldChar w:fldCharType="separate"/>
            </w:r>
            <w:r w:rsidRPr="009D74F4">
              <w:rPr>
                <w:sz w:val="20"/>
              </w:rPr>
              <w:t>(</w:t>
            </w:r>
            <w:r w:rsidRPr="009D74F4">
              <w:rPr>
                <w:i/>
                <w:iCs/>
                <w:sz w:val="20"/>
              </w:rPr>
              <w:t>39</w:t>
            </w:r>
            <w:r w:rsidRPr="009D74F4">
              <w:rPr>
                <w:sz w:val="20"/>
              </w:rPr>
              <w:t>–</w:t>
            </w:r>
            <w:r w:rsidRPr="009D74F4">
              <w:rPr>
                <w:i/>
                <w:iCs/>
                <w:sz w:val="20"/>
              </w:rPr>
              <w:t>41</w:t>
            </w:r>
            <w:r w:rsidRPr="009D74F4">
              <w:rPr>
                <w:sz w:val="20"/>
              </w:rPr>
              <w:t>)</w:t>
            </w:r>
            <w:r w:rsidRPr="00C22055">
              <w:rPr>
                <w:sz w:val="20"/>
                <w:szCs w:val="20"/>
              </w:rPr>
              <w:fldChar w:fldCharType="end"/>
            </w:r>
            <w:r w:rsidRPr="00C22055">
              <w:rPr>
                <w:sz w:val="20"/>
                <w:szCs w:val="20"/>
              </w:rPr>
              <w:t xml:space="preserve">. </w:t>
            </w:r>
          </w:p>
        </w:tc>
        <w:tc>
          <w:tcPr>
            <w:tcW w:w="4227" w:type="dxa"/>
            <w:hideMark/>
          </w:tcPr>
          <w:p w14:paraId="28FB1EAB"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r w:rsidRPr="00C22055">
              <w:rPr>
                <w:sz w:val="20"/>
                <w:szCs w:val="20"/>
              </w:rPr>
              <w:t>Lack of business case, cost-benefit analyses, &amp; policy incentives for  economically competitive alternatives</w:t>
            </w:r>
            <w:r>
              <w:rPr>
                <w:sz w:val="20"/>
                <w:szCs w:val="20"/>
              </w:rPr>
              <w:t xml:space="preserve"> </w:t>
            </w:r>
            <w:r>
              <w:rPr>
                <w:sz w:val="20"/>
                <w:szCs w:val="20"/>
              </w:rPr>
              <w:fldChar w:fldCharType="begin"/>
            </w:r>
            <w:r>
              <w:rPr>
                <w:sz w:val="20"/>
                <w:szCs w:val="20"/>
              </w:rPr>
              <w:instrText xml:space="preserve"> ADDIN ZOTERO_ITEM CSL_CITATION {"citationID":"0qa2w49C","properties":{"formattedCitation":"({\\i{}42})","plainCitation":"(42)","noteIndex":0},"citationItems":[{"id":7163,"uris":["http://zotero.org/users/1975400/items/7HXL5ZTL"],"uri":["http://zotero.org/users/1975400/items/7HXL5ZTL"],"itemData":{"id":7163,"type":"article-journal","abstract":"Sand, gravel, and crushed stone are the most mined materials on Earth. Aggregates constitute the foundation for modern civilization and are essential for providing shelter, infrastructure, and communication, but are an increasingly scarce resource. Here, we review the interconnections between the impacts of aggregate mining and the services they provide. We show that the conflicting impacts on the environment and humankind disrupt the net positive effects of aggregate mining on sustainable development. Focusing on low- and middle-income countries, we link these interconnections to the United Nations Sustainable Development Goals and identify critical obstacles to a sustainable future for global aggregate resources. Our assessment identifies an urgent need to improve knowledge on: (1) direct and indirect impacts of extraction on human health, (2) system-level impacts on ecosystems and the services they provide, and (3) how to meet the projected trajectories of global aggregate demand.","container-title":"One Earth","DOI":"10.1016/j.oneear.2021.07.008","ISSN":"2590-3322","issue":"8","journalAbbreviation":"One Earth","language":"en","page":"1095-1111","source":"ScienceDirect","title":"Sand, gravel, and UN Sustainable Development Goals: Conflicts, synergies, and pathways forward","title-short":"Sand, gravel, and UN Sustainable Development Goals","volume":"4","author":[{"family":"Bendixen","given":"Mette"},{"family":"Iversen","given":"Lars L."},{"family":"Best","given":"Jim"},{"family":"Franks","given":"Daniel M."},{"family":"Hackney","given":"Christopher R."},{"family":"Latrubesse","given":"Edgardo M."},{"family":"Tusting","given":"Lucy S."}],"issued":{"date-parts":[["2021",8,20]]}}}],"schema":"https://github.com/citation-style-language/schema/raw/master/csl-citation.json"} </w:instrText>
            </w:r>
            <w:r>
              <w:rPr>
                <w:sz w:val="20"/>
                <w:szCs w:val="20"/>
              </w:rPr>
              <w:fldChar w:fldCharType="separate"/>
            </w:r>
            <w:r w:rsidRPr="009D74F4">
              <w:rPr>
                <w:sz w:val="20"/>
              </w:rPr>
              <w:t>(</w:t>
            </w:r>
            <w:r w:rsidRPr="009D74F4">
              <w:rPr>
                <w:i/>
                <w:iCs/>
                <w:sz w:val="20"/>
              </w:rPr>
              <w:t>42</w:t>
            </w:r>
            <w:r w:rsidRPr="009D74F4">
              <w:rPr>
                <w:sz w:val="20"/>
              </w:rPr>
              <w:t>)</w:t>
            </w:r>
            <w:r>
              <w:rPr>
                <w:sz w:val="20"/>
                <w:szCs w:val="20"/>
              </w:rPr>
              <w:fldChar w:fldCharType="end"/>
            </w:r>
            <w:r w:rsidRPr="00C22055">
              <w:rPr>
                <w:sz w:val="20"/>
                <w:szCs w:val="20"/>
              </w:rPr>
              <w:t xml:space="preserve">; revenues from sand export and land reclamation </w:t>
            </w:r>
            <w:r w:rsidRPr="00C22055">
              <w:rPr>
                <w:sz w:val="20"/>
                <w:szCs w:val="20"/>
              </w:rPr>
              <w:fldChar w:fldCharType="begin"/>
            </w:r>
            <w:r>
              <w:rPr>
                <w:sz w:val="20"/>
                <w:szCs w:val="20"/>
              </w:rPr>
              <w:instrText xml:space="preserve"> ADDIN ZOTERO_ITEM CSL_CITATION {"citationID":"HrLWSUFj","properties":{"formattedCitation":"({\\i{}5}, {\\i{}43}, {\\i{}44})","plainCitation":"(5, 43, 44)","noteIndex":0},"citationItems":[{"id":5326,"uris":["http://zotero.org/users/1975400/items/BM6IVYZD"],"uri":["http://zotero.org/users/1975400/items/BM6IVYZD"],"itemData":{"id":5326,"type":"article-journal","abstract":"Urbanization and economic development fuel demand for sand, used for concrete. This study finds that sediment loads are insufficient to replace the sand mined from the Mekong River delta, with mining rates high enough to make river banks unstable.","container-title":"Nature Sustainability","DOI":"10.1038/s41893-019-0455-3","ISSN":"2398-9629","issue":"3","language":"en","note":"number: 3\npublisher: Nature Publishing Group","page":"217-225","source":"www-nature-com.stanford.idm.oclc.org","title":"River bank instability from unsustainable sand mining in the lower Mekong River","volume":"3","author":[{"family":"Hackney","given":"Christopher R."},{"family":"Darby","given":"Stephen E."},{"family":"Parsons","given":"Daniel R."},{"family":"Leyland","given":"Julian"},{"family":"Best","given":"James L."},{"family":"Aalto","given":"Rolf"},{"family":"Nicholas","given":"Andrew P."},{"family":"Houseago","given":"Robert C."}],"issued":{"date-parts":[["2020",3]]}}},{"id":1165,"uris":["http://zotero.org/users/1975400/items/MJWDRM77"],"uri":["http://zotero.org/users/1975400/items/MJWDRM77"],"itemData":{"id":1165,"type":"article-journal","abstract":"L’extraction des sables et graviers en rivière a augmenté dans les pays développés depuis au moins le milieu du XXe siècle, en particulier pour la construction (béton) et les remblais (voies ferrées et routières, conquête de terrains en zone inondable, plates-formes en mer). Dans les 30 dernières années, ce phénomène a connu une grande expansion dans les pays en développement tels que la Chine, l’Inde et dans d’autres pays asiatiques à croissance rapide. Les impacts négatifs de l’extraction des ressources fluviales sont bien documentés en Europe et aux États-Unis depuis le début des années 1980 et des études sont maintenant disponibles sur les extractions en Asie du Sud-est et notamment en Chine. Le Bas Mékong et ses bassins tributaires sont des hauts lieux de la biodiversité mais ils ont connu un essor considérable de la construction des barrages, en particulier sur le cours chinois du Mékong, le Lancang. L’enjeu actuel le plus important dans le bassin du Mékong est sans aucun doute la menace qui pèse sur les côtes du delta car l’importance de ce dernier est remarquable en termes de sécurité alimentaire pour les populations en forte croissance du Vietnam et du Cambodge. Les raisons les plus souvent citées pour expliquer le recul du delta sont le piégeage des sédiments qui se fait dans les retenues du haut bassin et le changement climatique. Les extractions de sable et gravier dans le chenal du Mékong et sur ses affluents n’ont pas encore été prises en considération. Cet article fournit la première évaluation de l’extraction des ressources en granulat sur les 2 400 km du cours principal du Bas Mékong, de la frontière chinoise au delta. Le Fonds Mondial pour la Nature (WWF) a réalisé un relevé en 2011-2012. Des entretiens systématiques ont été réalisés dans les quatre pays du bas Mékong pour évaluer les types de matériaux extraits, les techniques utilisées, les volumes extraits, les tendances enregistrées ces dernières années et les changements attendus dans la géographie des extractions. Les résultats révèlent que le volume annuel de sable et de gravier extrait, en dépit d’une sous-évaluation évidente, excède le volume de sable et de gravier transporté par le fleuve. Les résultats soulignent aussi l’importance considérable de ce facteur dans les changements géomorphologiques et écologiques enregistrés dans les différents tronçons du Mékong et dans son delta.","container-title":"EchoGéo","DOI":"10.4000/echogeo.13659","ISSN":"1963-1197","issue":"26","language":"fr","source":"echogeo.revues.org","title":"Geography of Sand and Gravel Mining in the Lower Mekong River","URL":"https://echogeo.revues.org/13659","author":[{"family":"Bravard","given":"Jean-Paul"},{"family":"Goichot","given":"Marc"},{"family":"Gaillot","given":"Stéphane"}],"accessed":{"date-parts":[["2015",9,4]]},"issued":{"date-parts":[["2013",12,19]]}}},{"id":3466,"uris":["http://zotero.org/users/1975400/items/HS2BV2FJ"],"uri":["http://zotero.org/users/1975400/items/HS2BV2FJ"],"itemData":{"id":3466,"type":"article-journal","abstract":"Two decades after the construction of the first major dam, the Mekong basin and its six riparian countries have seen rapid economic growth and development of the river system. Hydropower dams, aggregate mines, flood-control dykes, and groundwater-irrigated agriculture have all provided short-term economic benefits throughout the basin. However, it is becoming evident that anthropic changes are significantly affecting the natural functioning of the river and its floodplains. We now ask if these changes are risking major adverse impacts for the 70 million people living in the Mekong Basin. Many livelihoods in the basin depend on ecosystem services that will be strongly impacted by alterations of the sediment transport processes that drive river and delta morpho-dynamics, which underpin a sustainable future for the Mekong basin and Delta.\nDrawing upon ongoing and recently published research, we provide an overview of key drivers of change (hydropower development, sand mining, dyking and water infrastructures, climate change, and accelerated subsidence from pumping) for the Mekong's sediment budget, and their likely individual and cumulative impacts on the river system. Our results quantify the degree to which the Mekong delta, which receives the impacts from the entire connected river basin, is increasingly vulnerable in the face of declining sediment loads, rising seas and subsiding land. Without concerted action, it is likely that nearly half of the Delta's land surface will be below sea level by 2100, with the remaining areas impacted by salinization and frequent flooding. The threat to the Delta can be understood only in the context of processes in the entire river basin. The Mekong River case can serve to raise awareness of how the connected functions of river systems in general depend on undisturbed sediment transport, thereby informing planning for other large river basins currently embarking on rapid economic development.","container-title":"Science of The Total Environment","DOI":"10.1016/j.scitotenv.2017.11.361","ISSN":"0048-9697","journalAbbreviation":"Science of The Total Environment","page":"114-134","source":"ScienceDirect","title":"Changing sediment budget of the Mekong: Cumulative threats and management strategies for a large river basin","title-short":"Changing sediment budget of the Mekong","volume":"625","author":[{"family":"Kondolf","given":"G. Mathias"},{"family":"Schmitt","given":"Rafael J. P."},{"family":"Carling","given":"Paul"},{"family":"Darby","given":"Steve"},{"family":"Arias","given":"Mauricio"},{"family":"Bizzi","given":"Simone"},{"family":"Castelletti","given":"Andrea"},{"family":"Cochrane","given":"Thomas A."},{"family":"Gibson","given":"Stanford"},{"family":"Kummu","given":"Matti"},{"family":"Oeurng","given":"Chantha"},{"family":"Rubin","given":"Zan"},{"family":"Wild","given":"Thomas"}],"issued":{"date-parts":[["2018",6,1]]}}}],"schema":"https://github.com/citation-style-language/schema/raw/master/csl-citation.json"} </w:instrText>
            </w:r>
            <w:r w:rsidRPr="00C22055">
              <w:rPr>
                <w:sz w:val="20"/>
                <w:szCs w:val="20"/>
              </w:rPr>
              <w:fldChar w:fldCharType="separate"/>
            </w:r>
            <w:r w:rsidRPr="009D74F4">
              <w:rPr>
                <w:sz w:val="20"/>
              </w:rPr>
              <w:t>(</w:t>
            </w:r>
            <w:r w:rsidRPr="009D74F4">
              <w:rPr>
                <w:i/>
                <w:iCs/>
                <w:sz w:val="20"/>
              </w:rPr>
              <w:t>5</w:t>
            </w:r>
            <w:r w:rsidRPr="009D74F4">
              <w:rPr>
                <w:sz w:val="20"/>
              </w:rPr>
              <w:t xml:space="preserve">, </w:t>
            </w:r>
            <w:r w:rsidRPr="009D74F4">
              <w:rPr>
                <w:i/>
                <w:iCs/>
                <w:sz w:val="20"/>
              </w:rPr>
              <w:t>43</w:t>
            </w:r>
            <w:r w:rsidRPr="009D74F4">
              <w:rPr>
                <w:sz w:val="20"/>
              </w:rPr>
              <w:t xml:space="preserve">, </w:t>
            </w:r>
            <w:r w:rsidRPr="009D74F4">
              <w:rPr>
                <w:i/>
                <w:iCs/>
                <w:sz w:val="20"/>
              </w:rPr>
              <w:t>44</w:t>
            </w:r>
            <w:r w:rsidRPr="009D74F4">
              <w:rPr>
                <w:sz w:val="20"/>
              </w:rPr>
              <w:t>)</w:t>
            </w:r>
            <w:r w:rsidRPr="00C22055">
              <w:rPr>
                <w:sz w:val="20"/>
                <w:szCs w:val="20"/>
              </w:rPr>
              <w:fldChar w:fldCharType="end"/>
            </w:r>
          </w:p>
        </w:tc>
      </w:tr>
      <w:tr w:rsidR="00ED75F5" w:rsidRPr="00AB25B0" w14:paraId="069F506D" w14:textId="77777777" w:rsidTr="00BF280E">
        <w:trPr>
          <w:trHeight w:val="829"/>
        </w:trPr>
        <w:tc>
          <w:tcPr>
            <w:cnfStyle w:val="001000000000" w:firstRow="0" w:lastRow="0" w:firstColumn="1" w:lastColumn="0" w:oddVBand="0" w:evenVBand="0" w:oddHBand="0" w:evenHBand="0" w:firstRowFirstColumn="0" w:firstRowLastColumn="0" w:lastRowFirstColumn="0" w:lastRowLastColumn="0"/>
            <w:tcW w:w="2385" w:type="dxa"/>
            <w:hideMark/>
          </w:tcPr>
          <w:p w14:paraId="1DCC2795" w14:textId="77777777" w:rsidR="00ED75F5" w:rsidRPr="00C22055" w:rsidRDefault="00ED75F5" w:rsidP="00BF280E">
            <w:pPr>
              <w:rPr>
                <w:sz w:val="20"/>
                <w:szCs w:val="20"/>
              </w:rPr>
            </w:pPr>
            <w:bookmarkStart w:id="10" w:name="_Hlk83712982"/>
            <w:r w:rsidRPr="00C22055">
              <w:rPr>
                <w:sz w:val="20"/>
                <w:szCs w:val="20"/>
              </w:rPr>
              <w:t xml:space="preserve">Adapt agricultural practices to minimize groundwater </w:t>
            </w:r>
          </w:p>
          <w:p w14:paraId="3C17444A" w14:textId="77777777" w:rsidR="00ED75F5" w:rsidRPr="00C22055" w:rsidRDefault="00ED75F5" w:rsidP="00BF280E">
            <w:pPr>
              <w:rPr>
                <w:sz w:val="20"/>
                <w:szCs w:val="20"/>
              </w:rPr>
            </w:pPr>
            <w:r w:rsidRPr="00C22055">
              <w:rPr>
                <w:sz w:val="20"/>
                <w:szCs w:val="20"/>
              </w:rPr>
              <w:t>extraction</w:t>
            </w:r>
            <w:bookmarkEnd w:id="10"/>
          </w:p>
        </w:tc>
        <w:tc>
          <w:tcPr>
            <w:tcW w:w="2199" w:type="dxa"/>
            <w:vMerge/>
          </w:tcPr>
          <w:p w14:paraId="63A39775"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p>
        </w:tc>
        <w:tc>
          <w:tcPr>
            <w:tcW w:w="2763" w:type="dxa"/>
            <w:hideMark/>
          </w:tcPr>
          <w:p w14:paraId="15F655C6"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r w:rsidRPr="00C22055">
              <w:rPr>
                <w:sz w:val="20"/>
                <w:szCs w:val="20"/>
              </w:rPr>
              <w:t xml:space="preserve">Precise and locally adopted </w:t>
            </w:r>
            <w:proofErr w:type="spellStart"/>
            <w:r w:rsidRPr="00C22055">
              <w:rPr>
                <w:sz w:val="20"/>
                <w:szCs w:val="20"/>
              </w:rPr>
              <w:t>agri</w:t>
            </w:r>
            <w:proofErr w:type="spellEnd"/>
            <w:r w:rsidRPr="00C22055">
              <w:rPr>
                <w:sz w:val="20"/>
                <w:szCs w:val="20"/>
              </w:rPr>
              <w:t xml:space="preserve">- and aquaculture </w:t>
            </w:r>
            <w:r w:rsidRPr="00C22055">
              <w:rPr>
                <w:sz w:val="20"/>
                <w:szCs w:val="20"/>
              </w:rPr>
              <w:fldChar w:fldCharType="begin"/>
            </w:r>
            <w:r>
              <w:rPr>
                <w:sz w:val="20"/>
                <w:szCs w:val="20"/>
              </w:rPr>
              <w:instrText xml:space="preserve"> ADDIN ZOTERO_ITEM CSL_CITATION {"citationID":"FtUfcuzk","properties":{"formattedCitation":"({\\i{}45})","plainCitation":"(45)","noteIndex":0},"citationItems":[{"id":6747,"uris":["http://zotero.org/users/1975400/items/549EQVFJ"],"uri":["http://zotero.org/users/1975400/items/549EQVFJ"],"itemData":{"id":6747,"type":"article-journal","abstract":"Promotion of integrated aquaculture with agriculture, including crops and livestock (IAA-farming), requires consideration of both bio-physical and socio-economic contexts. The major factors influencing the adoption of IAA-farming by households at three sites in the Mekong delta were identified. Special attention was given to the multiple roles ponds play in IAA-farming systems. Information was collected through semi-structured interviews and discussions with focus groups and key individuals. Data were analyzed using multivariate factor analysis, analysis of variance or participatory ranking methods. Three major IAA-systems were identified: (1) low-input fish farming integrated with intensive fruit production (system 1), (2) medium-input fish farming integrated with less intensive fruit production (system 2), and (3) high-input fish farming integrated with less intensive fruit production (system 3). System 1 was commonly practised in a rural fruit-dominated area with fertile soils, while systems 2 and 3 were more evident in peri-urban rice-dominated areas with less fertile soils. In the study area, only 6% of poor farmers adopted IAA-farming, while this was 42% for intermediate and 60% for rich households. Richer farmers tended to intensify fish farming and seek a more commercial orientation. The major factors why farmers did not start aquaculture were the inappropriateness of technology, insufficient land holding or poor access to extension services, limited farm management, and through a fear of conflicts associated with pesticide use on crops. The main motivations for practising IAA-farming included increased income and food for home consumption from the available farm resources while reducing environmental impacts. Further improvements to IAA-systems can be realized by strengthening nutrient recycling between different IAA-system components while enhancing farming output and safeguarding the environment.","container-title":"Agricultural Systems","DOI":"10.1016/j.agsy.2006.11.017","ISSN":"0308-521X","issue":"2","journalAbbreviation":"Agricultural Systems","language":"en","page":"445-458","source":"ScienceDirect","title":"Integrated freshwater aquaculture, crop and livestock production in the Mekong delta, Vietnam: Determinants and the role of the pond","title-short":"Integrated freshwater aquaculture, crop and livestock production in the Mekong delta, Vietnam","volume":"94","author":[{"family":"Nhan","given":"Dang K."},{"family":"Phong","given":"Le T."},{"family":"Verdegem","given":"Marc J. C."},{"family":"Duong","given":"Le T."},{"family":"Bosma","given":"Roel H."},{"family":"Little","given":"David C."}],"issued":{"date-parts":[["2007",5,1]]}}}],"schema":"https://github.com/citation-style-language/schema/raw/master/csl-citation.json"} </w:instrText>
            </w:r>
            <w:r w:rsidRPr="00C22055">
              <w:rPr>
                <w:sz w:val="20"/>
                <w:szCs w:val="20"/>
              </w:rPr>
              <w:fldChar w:fldCharType="separate"/>
            </w:r>
            <w:r w:rsidRPr="009D74F4">
              <w:rPr>
                <w:sz w:val="20"/>
              </w:rPr>
              <w:t>(</w:t>
            </w:r>
            <w:r w:rsidRPr="009D74F4">
              <w:rPr>
                <w:i/>
                <w:iCs/>
                <w:sz w:val="20"/>
              </w:rPr>
              <w:t>45</w:t>
            </w:r>
            <w:r w:rsidRPr="009D74F4">
              <w:rPr>
                <w:sz w:val="20"/>
              </w:rPr>
              <w:t>)</w:t>
            </w:r>
            <w:r w:rsidRPr="00C22055">
              <w:rPr>
                <w:sz w:val="20"/>
                <w:szCs w:val="20"/>
              </w:rPr>
              <w:fldChar w:fldCharType="end"/>
            </w:r>
            <w:r w:rsidRPr="00C22055">
              <w:rPr>
                <w:sz w:val="20"/>
                <w:szCs w:val="20"/>
              </w:rPr>
              <w:t xml:space="preserve"> to significantly increase the ‘crop per drop’ </w:t>
            </w:r>
          </w:p>
        </w:tc>
        <w:tc>
          <w:tcPr>
            <w:tcW w:w="3421" w:type="dxa"/>
            <w:hideMark/>
          </w:tcPr>
          <w:p w14:paraId="2645407B"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r w:rsidRPr="00C22055">
              <w:rPr>
                <w:sz w:val="20"/>
                <w:szCs w:val="20"/>
              </w:rPr>
              <w:t xml:space="preserve">Sustainable Groundwater Management Act (California) increases regional regulatory oversight while providing resources for better practices to agriculture and domestic users </w:t>
            </w:r>
            <w:r w:rsidRPr="00C22055">
              <w:rPr>
                <w:sz w:val="20"/>
                <w:szCs w:val="20"/>
              </w:rPr>
              <w:fldChar w:fldCharType="begin"/>
            </w:r>
            <w:r>
              <w:rPr>
                <w:sz w:val="20"/>
                <w:szCs w:val="20"/>
              </w:rPr>
              <w:instrText xml:space="preserve"> ADDIN ZOTERO_ITEM CSL_CITATION {"citationID":"eg5ZV08k","properties":{"formattedCitation":"({\\i{}46})","plainCitation":"(46)","noteIndex":0},"citationItems":[{"id":6761,"uris":["http://zotero.org/users/1975400/items/URZ447B7"],"uri":["http://zotero.org/users/1975400/items/URZ447B7"],"itemData":{"id":6761,"type":"article-journal","container-title":"Golden Gate University Environmental Law Journal","issue":"1","journalAbbreviation":"Golden Gate U. Envtl. L.J.","language":"eng","page":"5-40","source":"HeinOnline","title":"Desperate Times Call for Sensible Measures: The Making of the California Sustainable Groundwater Management Act The Waste of Water in 21st Century California","title-short":"Desperate Times Call for Sensible Measures","volume":"9","author":[{"family":"Leahy","given":"Tina Cannon"}],"issued":{"date-parts":[["2015"]],"season":"2016"}}}],"schema":"https://github.com/citation-style-language/schema/raw/master/csl-citation.json"} </w:instrText>
            </w:r>
            <w:r w:rsidRPr="00C22055">
              <w:rPr>
                <w:sz w:val="20"/>
                <w:szCs w:val="20"/>
              </w:rPr>
              <w:fldChar w:fldCharType="separate"/>
            </w:r>
            <w:r w:rsidRPr="009D74F4">
              <w:rPr>
                <w:sz w:val="20"/>
              </w:rPr>
              <w:t>(</w:t>
            </w:r>
            <w:r w:rsidRPr="009D74F4">
              <w:rPr>
                <w:i/>
                <w:iCs/>
                <w:sz w:val="20"/>
              </w:rPr>
              <w:t>46</w:t>
            </w:r>
            <w:r w:rsidRPr="009D74F4">
              <w:rPr>
                <w:sz w:val="20"/>
              </w:rPr>
              <w:t>)</w:t>
            </w:r>
            <w:r w:rsidRPr="00C22055">
              <w:rPr>
                <w:sz w:val="20"/>
                <w:szCs w:val="20"/>
              </w:rPr>
              <w:fldChar w:fldCharType="end"/>
            </w:r>
          </w:p>
        </w:tc>
        <w:tc>
          <w:tcPr>
            <w:tcW w:w="4227" w:type="dxa"/>
            <w:hideMark/>
          </w:tcPr>
          <w:p w14:paraId="49C78753"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r w:rsidRPr="00C22055">
              <w:rPr>
                <w:sz w:val="20"/>
                <w:szCs w:val="20"/>
              </w:rPr>
              <w:t xml:space="preserve">The Delta’s long legacy of high intensity rice cropping and freshwater aquaculture requires systemic shifts in agricultural production </w:t>
            </w:r>
            <w:r w:rsidRPr="00C22055">
              <w:rPr>
                <w:sz w:val="20"/>
                <w:szCs w:val="20"/>
              </w:rPr>
              <w:fldChar w:fldCharType="begin"/>
            </w:r>
            <w:r>
              <w:rPr>
                <w:sz w:val="20"/>
                <w:szCs w:val="20"/>
              </w:rPr>
              <w:instrText xml:space="preserve"> ADDIN ZOTERO_ITEM CSL_CITATION {"citationID":"oXDIiyrE","properties":{"formattedCitation":"({\\i{}47})","plainCitation":"(47)","noteIndex":0},"citationItems":[{"id":4712,"uris":["http://zotero.org/users/1975400/items/BGPQBZM3"],"uri":["http://zotero.org/users/1975400/items/BGPQBZM3"],"itemData":{"id":4712,"type":"article-journal","container-title":"Ecosystem Services","DOI":"10.1016/j.ecoser.2018.06.006","ISSN":"2212-0416","journalAbbreviation":"Ecosystem Services","page":"110-111","source":"ScienceDirect","title":"Dams and the economic value of sediment in the Vietnamese Mekong Delta","volume":"32","author":[{"family":"Chapman","given":"A. D."},{"family":"Darby","given":"S. E."}],"issued":{"date-parts":[["2018",8,1]]}}}],"schema":"https://github.com/citation-style-language/schema/raw/master/csl-citation.json"} </w:instrText>
            </w:r>
            <w:r w:rsidRPr="00C22055">
              <w:rPr>
                <w:sz w:val="20"/>
                <w:szCs w:val="20"/>
              </w:rPr>
              <w:fldChar w:fldCharType="separate"/>
            </w:r>
            <w:r w:rsidRPr="009D74F4">
              <w:rPr>
                <w:sz w:val="20"/>
              </w:rPr>
              <w:t>(</w:t>
            </w:r>
            <w:r w:rsidRPr="009D74F4">
              <w:rPr>
                <w:i/>
                <w:iCs/>
                <w:sz w:val="20"/>
              </w:rPr>
              <w:t>47</w:t>
            </w:r>
            <w:r w:rsidRPr="009D74F4">
              <w:rPr>
                <w:sz w:val="20"/>
              </w:rPr>
              <w:t>)</w:t>
            </w:r>
            <w:r w:rsidRPr="00C22055">
              <w:rPr>
                <w:sz w:val="20"/>
                <w:szCs w:val="20"/>
              </w:rPr>
              <w:fldChar w:fldCharType="end"/>
            </w:r>
            <w:r w:rsidRPr="00C22055">
              <w:rPr>
                <w:sz w:val="20"/>
                <w:szCs w:val="20"/>
              </w:rPr>
              <w:t xml:space="preserve"> </w:t>
            </w:r>
          </w:p>
        </w:tc>
      </w:tr>
      <w:tr w:rsidR="00ED75F5" w:rsidRPr="00AB25B0" w14:paraId="052B94FF" w14:textId="77777777" w:rsidTr="00BF280E">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385" w:type="dxa"/>
            <w:hideMark/>
          </w:tcPr>
          <w:p w14:paraId="28DD0DD6" w14:textId="77777777" w:rsidR="00ED75F5" w:rsidRPr="00C22055" w:rsidRDefault="00ED75F5" w:rsidP="00BF280E">
            <w:pPr>
              <w:rPr>
                <w:sz w:val="20"/>
                <w:szCs w:val="20"/>
              </w:rPr>
            </w:pPr>
            <w:r w:rsidRPr="00C22055">
              <w:rPr>
                <w:sz w:val="20"/>
                <w:szCs w:val="20"/>
              </w:rPr>
              <w:t xml:space="preserve">Maintain </w:t>
            </w:r>
          </w:p>
          <w:p w14:paraId="436892F9" w14:textId="77777777" w:rsidR="00ED75F5" w:rsidRPr="00C22055" w:rsidRDefault="00ED75F5" w:rsidP="00BF280E">
            <w:pPr>
              <w:rPr>
                <w:sz w:val="20"/>
                <w:szCs w:val="20"/>
              </w:rPr>
            </w:pPr>
            <w:r w:rsidRPr="00C22055">
              <w:rPr>
                <w:sz w:val="20"/>
                <w:szCs w:val="20"/>
              </w:rPr>
              <w:t xml:space="preserve">connectivity of </w:t>
            </w:r>
          </w:p>
          <w:p w14:paraId="1DDB3832" w14:textId="77777777" w:rsidR="00ED75F5" w:rsidRPr="00C22055" w:rsidRDefault="00ED75F5" w:rsidP="00BF280E">
            <w:pPr>
              <w:rPr>
                <w:sz w:val="20"/>
                <w:szCs w:val="20"/>
              </w:rPr>
            </w:pPr>
            <w:r w:rsidRPr="00C22055">
              <w:rPr>
                <w:sz w:val="20"/>
                <w:szCs w:val="20"/>
              </w:rPr>
              <w:t xml:space="preserve">delta </w:t>
            </w:r>
          </w:p>
          <w:p w14:paraId="7E07928E" w14:textId="77777777" w:rsidR="00ED75F5" w:rsidRPr="00C22055" w:rsidRDefault="00ED75F5" w:rsidP="00BF280E">
            <w:pPr>
              <w:rPr>
                <w:sz w:val="20"/>
                <w:szCs w:val="20"/>
              </w:rPr>
            </w:pPr>
            <w:r w:rsidRPr="00C22055">
              <w:rPr>
                <w:sz w:val="20"/>
                <w:szCs w:val="20"/>
              </w:rPr>
              <w:t>floodplains</w:t>
            </w:r>
          </w:p>
        </w:tc>
        <w:tc>
          <w:tcPr>
            <w:tcW w:w="2199" w:type="dxa"/>
            <w:vMerge/>
          </w:tcPr>
          <w:p w14:paraId="038E3ADD"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p>
        </w:tc>
        <w:tc>
          <w:tcPr>
            <w:tcW w:w="2763" w:type="dxa"/>
            <w:hideMark/>
          </w:tcPr>
          <w:p w14:paraId="0274EBB5"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p>
          <w:p w14:paraId="5A8333CD"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r w:rsidRPr="00BC6E36">
              <w:rPr>
                <w:sz w:val="20"/>
                <w:szCs w:val="20"/>
              </w:rPr>
              <w:t>Certification of ‘delta friendly’ agriculture increases incentives for better sectoral sediment management</w:t>
            </w:r>
          </w:p>
          <w:p w14:paraId="76673064"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r w:rsidRPr="00C22055">
              <w:rPr>
                <w:sz w:val="20"/>
                <w:szCs w:val="20"/>
              </w:rPr>
              <w:fldChar w:fldCharType="begin"/>
            </w:r>
            <w:r>
              <w:rPr>
                <w:sz w:val="20"/>
                <w:szCs w:val="20"/>
              </w:rPr>
              <w:instrText xml:space="preserve"> ADDIN ZOTERO_ITEM CSL_CITATION {"citationID":"eF8xU6yw","properties":{"formattedCitation":"({\\i{}48})","plainCitation":"(48)","noteIndex":0},"citationItems":[{"id":6751,"uris":["http://zotero.org/users/1975400/items/TDFIZLNL"],"uri":["http://zotero.org/users/1975400/items/TDFIZLNL"],"itemData":{"id":6751,"type":"webpage","abstract":"The World Wide Fund for Nature and the Dutch Fund for Climate and Development (DFCD) seal a groundbreaking partnership to reverse the degradation of the Mekong Delta in Southern Vietnam and to improve farmers’ income and resilience by introducing an integrated model to produce rice and shrimps.","container-title":"WWF","language":"nl","title":"WWF DFCD seals groundbreaking partnership to reverse degradation of Mekong Delta","URL":"https://www.wwf.nl/wat-we-doen/aanpak/internationaal/Dutch-Fund-for-Climate-and-Development/partnership-mekong-delta","author":[{"family":"Bevis","given":"S."}],"accessed":{"date-parts":[["2021",9,2]]},"issued":{"date-parts":[["2020"]]}}}],"schema":"https://github.com/citation-style-language/schema/raw/master/csl-citation.json"} </w:instrText>
            </w:r>
            <w:r w:rsidRPr="00C22055">
              <w:rPr>
                <w:sz w:val="20"/>
                <w:szCs w:val="20"/>
              </w:rPr>
              <w:fldChar w:fldCharType="separate"/>
            </w:r>
            <w:r w:rsidRPr="009D74F4">
              <w:rPr>
                <w:sz w:val="20"/>
              </w:rPr>
              <w:t>(</w:t>
            </w:r>
            <w:r w:rsidRPr="009D74F4">
              <w:rPr>
                <w:i/>
                <w:iCs/>
                <w:sz w:val="20"/>
              </w:rPr>
              <w:t>48</w:t>
            </w:r>
            <w:r w:rsidRPr="009D74F4">
              <w:rPr>
                <w:sz w:val="20"/>
              </w:rPr>
              <w:t>)</w:t>
            </w:r>
            <w:r w:rsidRPr="00C22055">
              <w:rPr>
                <w:sz w:val="20"/>
                <w:szCs w:val="20"/>
              </w:rPr>
              <w:fldChar w:fldCharType="end"/>
            </w:r>
            <w:r w:rsidRPr="00C22055">
              <w:rPr>
                <w:sz w:val="20"/>
                <w:szCs w:val="20"/>
              </w:rPr>
              <w:t>.</w:t>
            </w:r>
          </w:p>
        </w:tc>
        <w:tc>
          <w:tcPr>
            <w:tcW w:w="3421" w:type="dxa"/>
            <w:hideMark/>
          </w:tcPr>
          <w:p w14:paraId="6FB852E7"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r w:rsidRPr="00BC6E36">
              <w:rPr>
                <w:sz w:val="20"/>
                <w:szCs w:val="20"/>
              </w:rPr>
              <w:t xml:space="preserve">Artificial sediment splays and controlled flooding now applied, e.g., in the Mississippi </w:t>
            </w:r>
            <w:r w:rsidRPr="00C22055">
              <w:rPr>
                <w:sz w:val="20"/>
                <w:szCs w:val="20"/>
              </w:rPr>
              <w:fldChar w:fldCharType="begin"/>
            </w:r>
            <w:r>
              <w:rPr>
                <w:sz w:val="20"/>
                <w:szCs w:val="20"/>
              </w:rPr>
              <w:instrText xml:space="preserve"> ADDIN ZOTERO_ITEM CSL_CITATION {"citationID":"McPLW4Hw","properties":{"formattedCitation":"({\\i{}49}, {\\i{}50})","plainCitation":"(49, 50)","noteIndex":0},"citationItems":[{"id":6763,"uris":["http://zotero.org/users/1975400/items/ZDR9FRF4"],"uri":["http://zotero.org/users/1975400/items/ZDR9FRF4"],"itemData":{"id":6763,"type":"article-journal","container-title":"Journal of Hydrology","issue":"3-4","note":"publisher: Elsevier","page":"346–360","source":"Google Scholar","title":"The use of large water and sediment diversions in the lower Mississippi River (Louisiana) for coastal restoration","volume":"387","author":[{"family":"Allison","given":"Mead A."},{"family":"Meselhe","given":"Ehab A."}],"issued":{"date-parts":[["2010"]]}}},{"id":5595,"uris":["http://zotero.org/users/1975400/items/RVYBJFPP"],"uri":["http://zotero.org/users/1975400/items/RVYBJFPP"],"itemData":{"id":5595,"type":"article-journal","abstract":"Sea-level rise and river engineering spell disaster, say Liviu Giosan and colleagues.","container-title":"Nature News","DOI":"10.1038/516031a","issue":"7529","language":"en","note":"section: Comment","page":"31","source":"www-nature-com.stanford.idm.oclc.org","title":"Climate change: Protect the world's deltas","title-short":"Climate change","volume":"516","author":[{"family":"Giosan","given":"Liviu"},{"family":"Syvitski","given":"James"},{"family":"Constantinescu","given":"Stefan"},{"family":"Day","given":"John"}],"issued":{"date-parts":[["2014",12,4]]}}}],"schema":"https://github.com/citation-style-language/schema/raw/master/csl-citation.json"} </w:instrText>
            </w:r>
            <w:r w:rsidRPr="00C22055">
              <w:rPr>
                <w:sz w:val="20"/>
                <w:szCs w:val="20"/>
              </w:rPr>
              <w:fldChar w:fldCharType="separate"/>
            </w:r>
            <w:r w:rsidRPr="009D74F4">
              <w:rPr>
                <w:sz w:val="20"/>
              </w:rPr>
              <w:t>(</w:t>
            </w:r>
            <w:r w:rsidRPr="009D74F4">
              <w:rPr>
                <w:i/>
                <w:iCs/>
                <w:sz w:val="20"/>
              </w:rPr>
              <w:t>49</w:t>
            </w:r>
            <w:r w:rsidRPr="009D74F4">
              <w:rPr>
                <w:sz w:val="20"/>
              </w:rPr>
              <w:t xml:space="preserve">, </w:t>
            </w:r>
            <w:r w:rsidRPr="009D74F4">
              <w:rPr>
                <w:i/>
                <w:iCs/>
                <w:sz w:val="20"/>
              </w:rPr>
              <w:t>50</w:t>
            </w:r>
            <w:r w:rsidRPr="009D74F4">
              <w:rPr>
                <w:sz w:val="20"/>
              </w:rPr>
              <w:t>)</w:t>
            </w:r>
            <w:r w:rsidRPr="00C22055">
              <w:rPr>
                <w:sz w:val="20"/>
                <w:szCs w:val="20"/>
              </w:rPr>
              <w:fldChar w:fldCharType="end"/>
            </w:r>
            <w:r w:rsidRPr="00C22055">
              <w:rPr>
                <w:sz w:val="20"/>
                <w:szCs w:val="20"/>
              </w:rPr>
              <w:t xml:space="preserve"> </w:t>
            </w:r>
            <w:r w:rsidRPr="00BC6E36">
              <w:rPr>
                <w:sz w:val="20"/>
                <w:szCs w:val="20"/>
              </w:rPr>
              <w:t xml:space="preserve">and Ganges Brahmaputra </w:t>
            </w:r>
            <w:r w:rsidRPr="00C22055">
              <w:rPr>
                <w:sz w:val="20"/>
                <w:szCs w:val="20"/>
              </w:rPr>
              <w:fldChar w:fldCharType="begin"/>
            </w:r>
            <w:r>
              <w:rPr>
                <w:sz w:val="20"/>
                <w:szCs w:val="20"/>
              </w:rPr>
              <w:instrText xml:space="preserve"> ADDIN ZOTERO_ITEM CSL_CITATION {"citationID":"DaOC3NbO","properties":{"formattedCitation":"({\\i{}51})","plainCitation":"(51)","noteIndex":0},"citationItems":[{"id":6765,"uris":["http://zotero.org/users/1975400/items/VG4TEJJP"],"uri":["http://zotero.org/users/1975400/items/VG4TEJJP"],"itemData":{"id":6765,"type":"article-journal","abstract":"The Ganges-Brahmaputra-Meghna (GBM) delta plain within Bangladesh is one of the most vulnerable to relative sea level rise (RSLR) in the world especially under current anthropogenically modified (i.e., embanked) conditions. Tidal river management (TRM) as practiced in coastal regions of Bangladesh may provide an opportunity to combat RSLR by raising the land level through controlled sedimentation inside beels (depression within embanked polders) with re-opening of polders. To date, TRM has been applied to tide-dominated coastal regions, but the potential applicability of TRM for the beels within the polders of river-dominated and mixed flow (MF) regimes remains to be assessed. We apply a calibrated 2D numerical hydromorphodynamic model to quantify sediment deposition in a beel flooded through breaching of the polder dike under conditions of river-dominated, tide-dominated and MF regimes for different seasons and applying different regulation schemes for the flow into the beel. Simulation results show considerable seasonality in sediment deposition with largest deposition during the monsoon season. The potential of controlled flooding is highest in the tide-dominated region, where sediment accumulation can be up to 28 times higher than in the river-dominated region. Regulating flow into a beel increases trapping efficiency, but results in slightly lower total deposition than without regulation. We conclude that re-establishing flooding of the beel within the polder without regulating the flow into the beel through breaching of the polder dike is a promising strategy for the mixed and tide-dominated flow regions in the delta as the sediment accumulation can raise the land surface at a higher rate than RSLR and effective SLR (ESLR). In the more upstream river-dominated section of the delta, accumulation rates would be much lower, but the pressure of sea level rise on these areas is lower as well. Owing to the abundant availability of sediment, application of controlled flooding like TRM therefore provides an opportunity to counteract the impact of RSLR and ESLR by means of land raising, particularly along the tidal river reaches in the GBM delta.","container-title":"Hydrological Processes","DOI":"10.1002/hyp.14119","ISSN":"1099-1085","issue":"4","language":"en","note":"_eprint: https://onlinelibrary.wiley.com/doi/pdf/10.1002/hyp.14119","page":"e14119","source":"Wiley Online Library","title":"Spatial and seasonal variability of sediment accumulation potential through controlled flooding of the beels located in the polders of the Ganges-Brahmaputra-Meghna delta of Southwest Bangladesh","volume":"35","author":[{"family":"Islam","given":"Md Feroz"},{"family":"Middelkoop","given":"Hans"},{"family":"Schot","given":"Paul P."},{"family":"Dekker","given":"Stefan C."},{"family":"Griffioen","given":"Jasper"}],"issued":{"date-parts":[["2021"]]}}}],"schema":"https://github.com/citation-style-language/schema/raw/master/csl-citation.json"} </w:instrText>
            </w:r>
            <w:r w:rsidRPr="00C22055">
              <w:rPr>
                <w:sz w:val="20"/>
                <w:szCs w:val="20"/>
              </w:rPr>
              <w:fldChar w:fldCharType="separate"/>
            </w:r>
            <w:r w:rsidRPr="009D74F4">
              <w:rPr>
                <w:sz w:val="20"/>
              </w:rPr>
              <w:t>(</w:t>
            </w:r>
            <w:r w:rsidRPr="009D74F4">
              <w:rPr>
                <w:i/>
                <w:iCs/>
                <w:sz w:val="20"/>
              </w:rPr>
              <w:t>51</w:t>
            </w:r>
            <w:r w:rsidRPr="009D74F4">
              <w:rPr>
                <w:sz w:val="20"/>
              </w:rPr>
              <w:t>)</w:t>
            </w:r>
            <w:r w:rsidRPr="00C22055">
              <w:rPr>
                <w:sz w:val="20"/>
                <w:szCs w:val="20"/>
              </w:rPr>
              <w:fldChar w:fldCharType="end"/>
            </w:r>
            <w:r w:rsidRPr="00BC6E36">
              <w:rPr>
                <w:sz w:val="20"/>
                <w:szCs w:val="20"/>
              </w:rPr>
              <w:t xml:space="preserve"> Deltas to increase sedimentation.</w:t>
            </w:r>
          </w:p>
        </w:tc>
        <w:tc>
          <w:tcPr>
            <w:tcW w:w="4227" w:type="dxa"/>
            <w:hideMark/>
          </w:tcPr>
          <w:p w14:paraId="0D515B63" w14:textId="77777777" w:rsidR="00ED75F5" w:rsidRPr="00C22055" w:rsidRDefault="00ED75F5" w:rsidP="00BF280E">
            <w:pPr>
              <w:cnfStyle w:val="000000100000" w:firstRow="0" w:lastRow="0" w:firstColumn="0" w:lastColumn="0" w:oddVBand="0" w:evenVBand="0" w:oddHBand="1" w:evenHBand="0" w:firstRowFirstColumn="0" w:firstRowLastColumn="0" w:lastRowFirstColumn="0" w:lastRowLastColumn="0"/>
              <w:rPr>
                <w:sz w:val="20"/>
                <w:szCs w:val="20"/>
              </w:rPr>
            </w:pPr>
            <w:r w:rsidRPr="00BC6E36">
              <w:rPr>
                <w:sz w:val="20"/>
                <w:szCs w:val="20"/>
              </w:rPr>
              <w:t>Increasing infrastructure in floodplains and promotion of three season rice create a legacy of disconnected floodplains</w:t>
            </w:r>
            <w:r w:rsidRPr="00C22055" w:rsidDel="008307EB">
              <w:rPr>
                <w:sz w:val="20"/>
                <w:szCs w:val="20"/>
              </w:rPr>
              <w:t xml:space="preserve"> </w:t>
            </w:r>
            <w:r w:rsidRPr="00C22055">
              <w:rPr>
                <w:sz w:val="20"/>
                <w:szCs w:val="20"/>
              </w:rPr>
              <w:fldChar w:fldCharType="begin"/>
            </w:r>
            <w:r>
              <w:rPr>
                <w:sz w:val="20"/>
                <w:szCs w:val="20"/>
              </w:rPr>
              <w:instrText xml:space="preserve"> ADDIN ZOTERO_ITEM CSL_CITATION {"citationID":"zuMWCHTH","properties":{"formattedCitation":"({\\i{}47}, {\\i{}52}, {\\i{}53})","plainCitation":"(47, 52, 53)","noteIndex":0},"citationItems":[{"id":2965,"uris":["http://zotero.org/users/1975400/items/6NHH8HZ6"],"uri":["http://zotero.org/users/1975400/items/6NHH8HZ6"],"itemData":{"id":2965,"type":"article-journal","abstract":"In the Vietnamese part of the Mekong Delta (VMD) the areas with three rice crops per year have been expanded rapidly during the last 15 years. Paddy-rice cultivation during the flood season has been made possible by implementing high-dyke flood defenses and flood control structures. However, there are widespread claims that the high-dyke system has increased water levels in downstream areas. Our study aims at resolving this issue by attributing observed changes in flood characteristics to high-dyke construction and other possible causes. Maximum water levels and duration above the flood alarm level are analysed for gradual trends and step changes at different discharge gauges. Strong and robust increasing trends of peak water levels and duration downstream of the high-dyke areas are found with a step change in 2000/2001, i.e. immediately after the disastrous flood which initiated the high-dyke development. These changes are in contrast to the negative trends detected at stations upstream of the high-dyke areas. This spatially different behavior of changes in flood characteristics seems to support the public claims. To separate the impact of the high-dyke development from the impact of the other drivers, i.e. changes in the flood hydrograph entering the Mekong Delta, and changes in the tidal dynamics, hydraulic model simulations of the two recent large flood events in 2000 and 2011 are performed. The hydraulic model is run for a set of scenarios whereas the different drivers are interchanged. The simulations reveal that for the central VMD an increase of 9–13 cm in flood peak and 15 days in duration can be attributed to high-dyke development. However, for this area the tidal dynamics have an even larger effect in the range of 19–32 cm. However, the relative contributions of the three drivers of change vary in space across the delta. In summary, our study confirms the claims that the high-dyke development has raised the flood hazard downstream. However, it is not the only and not the most important driver of the observed changes. It has to be noted that changes in tidal levels caused by sea level rise in combination with the widely observed land subsidence and the temporal coincidence of high water levels and spring tides have even larger impacts. It is recommended to develop flood risk management strategies using the high-dyke areas as retention zones to mitigate the flood hazard downstream.","container-title":"Hydrol. Earth Syst. Sci. Discuss.","DOI":"10.5194/hess-2017-123","ISSN":"1812-2116","journalAbbreviation":"Hydrol. Earth Syst. Sci. Discuss.","page":"1-27","source":"Copernicus Online Journals","title":"Has dyke development in the Vietnamese Mekong Delta shifted flood hazard downstream?","volume":"2017","author":[{"family":"Triet","given":"N. V. K."},{"family":"Dung","given":"N. V."},{"family":"Fujii","given":"H."},{"family":"Kummu","given":"M."},{"family":"Merz","given":"B."},{"family":"Apel","given":"H."}],"issued":{"date-parts":[["2017",4,6]]}}},{"id":6749,"uris":["http://zotero.org/users/1975400/items/JV4ZNL6T"],"uri":["http://zotero.org/users/1975400/items/JV4ZNL6T"],"itemData":{"id":6749,"type":"article-journal","abstract":"Here we present a proof of concept evaluation of the impacts of riverbed-mining on river-wetland connectivity by analyzing the temporal trends of the flood frequencies in the Vietnamese Mekong Delta (VMD), while accounting for the effect of dyke constructions. We focus on the Long Xuyen Quadrangle (LXQ), which is significant in terms of biodiversity and economic contribution to the VMD as it is one of the most important food baskets of Southeast Asia that depends on seasonal flooding. Our results indicate that the flood frequency in LXQ has decreased significantly over the past 20 years (1995–2015). Time-series analyses of water level data at Chau Doc, Tan Chau, and Can Tho stations confirmed that the overall descending trend is statistically significant (p-value &lt; 0.001 and tau ~ 0.1). However, the river discharge at Kratie showed no significant trend (p-value = 0.98) over the same period. This indicates that the flood frequency is associated with the lowering of the riverbed (incision) other than climatic factors. The connectivity analysis also revealed a remarkable drop in the inundation duration after early 2000, which corresponds to the previous observations of the shifting shoreline of the VMD from construction to shrinking. Finally, regression and principal component analyses underpinned the strong causality between the riverbed-mining and the decreased seasonal flooding patterns in LXQ, while accounting for the effect of the dyke system over the last decades (R2 = 0.75). This study offers compelling evidences on the relationship between sand-mining in the river and the disrupted flood regimes in VMD. The reduction in water and sediments that is necessary for sustaining current rates of agricultural production in the long term would endanger the livelihoods of millions of VMD inhabitants.","container-title":"Science of The Total Environment","DOI":"10.1016/j.scitotenv.2020.138066","ISSN":"0048-9697","journalAbbreviation":"Science of The Total Environment","language":"en","page":"138066","source":"ScienceDirect","title":"Dramatic decrease of flood frequency in the Mekong Delta due to river-bed mining and dyke construction","volume":"723","author":[{"family":"Park","given":"Edward"},{"family":"Ho","given":"Huu Loc"},{"family":"Tran","given":"Dung Duc"},{"family":"Yang","given":"Xiankun"},{"family":"Alcantara","given":"Enner"},{"family":"Merino","given":"Eder"},{"family":"Son","given":"Vu Hai"}],"issued":{"date-parts":[["2020",6,25]]}}},{"id":4712,"uris":["http://zotero.org/users/1975400/items/BGPQBZM3"],"uri":["http://zotero.org/users/1975400/items/BGPQBZM3"],"itemData":{"id":4712,"type":"article-journal","container-title":"Ecosystem Services","DOI":"10.1016/j.ecoser.2018.06.006","ISSN":"2212-0416","journalAbbreviation":"Ecosystem Services","page":"110-111","source":"ScienceDirect","title":"Dams and the economic value of sediment in the Vietnamese Mekong Delta","volume":"32","author":[{"family":"Chapman","given":"A. D."},{"family":"Darby","given":"S. E."}],"issued":{"date-parts":[["2018",8,1]]}}}],"schema":"https://github.com/citation-style-language/schema/raw/master/csl-citation.json"} </w:instrText>
            </w:r>
            <w:r w:rsidRPr="00C22055">
              <w:rPr>
                <w:sz w:val="20"/>
                <w:szCs w:val="20"/>
              </w:rPr>
              <w:fldChar w:fldCharType="separate"/>
            </w:r>
            <w:r w:rsidRPr="009D74F4">
              <w:rPr>
                <w:sz w:val="20"/>
              </w:rPr>
              <w:t>(</w:t>
            </w:r>
            <w:r w:rsidRPr="009D74F4">
              <w:rPr>
                <w:i/>
                <w:iCs/>
                <w:sz w:val="20"/>
              </w:rPr>
              <w:t>47</w:t>
            </w:r>
            <w:r w:rsidRPr="009D74F4">
              <w:rPr>
                <w:sz w:val="20"/>
              </w:rPr>
              <w:t xml:space="preserve">, </w:t>
            </w:r>
            <w:r w:rsidRPr="009D74F4">
              <w:rPr>
                <w:i/>
                <w:iCs/>
                <w:sz w:val="20"/>
              </w:rPr>
              <w:t>52</w:t>
            </w:r>
            <w:r w:rsidRPr="009D74F4">
              <w:rPr>
                <w:sz w:val="20"/>
              </w:rPr>
              <w:t xml:space="preserve">, </w:t>
            </w:r>
            <w:r w:rsidRPr="009D74F4">
              <w:rPr>
                <w:i/>
                <w:iCs/>
                <w:sz w:val="20"/>
              </w:rPr>
              <w:t>53</w:t>
            </w:r>
            <w:r w:rsidRPr="009D74F4">
              <w:rPr>
                <w:sz w:val="20"/>
              </w:rPr>
              <w:t>)</w:t>
            </w:r>
            <w:r w:rsidRPr="00C22055">
              <w:rPr>
                <w:sz w:val="20"/>
                <w:szCs w:val="20"/>
              </w:rPr>
              <w:fldChar w:fldCharType="end"/>
            </w:r>
            <w:r w:rsidRPr="00C22055">
              <w:rPr>
                <w:sz w:val="20"/>
                <w:szCs w:val="20"/>
              </w:rPr>
              <w:t xml:space="preserve">. </w:t>
            </w:r>
          </w:p>
        </w:tc>
      </w:tr>
      <w:tr w:rsidR="00ED75F5" w:rsidRPr="00AB25B0" w14:paraId="3D378461" w14:textId="77777777" w:rsidTr="00BF280E">
        <w:trPr>
          <w:trHeight w:val="1451"/>
        </w:trPr>
        <w:tc>
          <w:tcPr>
            <w:cnfStyle w:val="001000000000" w:firstRow="0" w:lastRow="0" w:firstColumn="1" w:lastColumn="0" w:oddVBand="0" w:evenVBand="0" w:oddHBand="0" w:evenHBand="0" w:firstRowFirstColumn="0" w:firstRowLastColumn="0" w:lastRowFirstColumn="0" w:lastRowLastColumn="0"/>
            <w:tcW w:w="2385" w:type="dxa"/>
            <w:hideMark/>
          </w:tcPr>
          <w:p w14:paraId="73FFBEAB" w14:textId="77777777" w:rsidR="00ED75F5" w:rsidRPr="00C22055" w:rsidRDefault="00ED75F5" w:rsidP="00BF280E">
            <w:pPr>
              <w:rPr>
                <w:b w:val="0"/>
                <w:bCs w:val="0"/>
                <w:sz w:val="20"/>
                <w:szCs w:val="20"/>
              </w:rPr>
            </w:pPr>
            <w:r w:rsidRPr="00BC6E36">
              <w:rPr>
                <w:sz w:val="20"/>
                <w:szCs w:val="20"/>
              </w:rPr>
              <w:t>Leverage nature-based solutions for coastal protection</w:t>
            </w:r>
          </w:p>
        </w:tc>
        <w:tc>
          <w:tcPr>
            <w:tcW w:w="2199" w:type="dxa"/>
            <w:vMerge/>
          </w:tcPr>
          <w:p w14:paraId="3542A3A1"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p>
        </w:tc>
        <w:tc>
          <w:tcPr>
            <w:tcW w:w="2763" w:type="dxa"/>
            <w:hideMark/>
          </w:tcPr>
          <w:p w14:paraId="588C148E"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highlight w:val="red"/>
              </w:rPr>
            </w:pPr>
            <w:r w:rsidRPr="00C22055">
              <w:rPr>
                <w:sz w:val="20"/>
                <w:szCs w:val="20"/>
              </w:rPr>
              <w:t>International donors and local planners increasingly shift their priorities from grey to green infrastructure.</w:t>
            </w:r>
          </w:p>
        </w:tc>
        <w:tc>
          <w:tcPr>
            <w:tcW w:w="3421" w:type="dxa"/>
            <w:hideMark/>
          </w:tcPr>
          <w:p w14:paraId="10FD66DA"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r w:rsidRPr="00BC6E36">
              <w:rPr>
                <w:sz w:val="20"/>
                <w:szCs w:val="20"/>
              </w:rPr>
              <w:t xml:space="preserve">Successful coastal protection with nature based solutions (Vietnam, Florida, New York) and adaptation of </w:t>
            </w:r>
            <w:r w:rsidRPr="00BC6E36">
              <w:rPr>
                <w:rFonts w:ascii="Times-Roman" w:eastAsiaTheme="minorEastAsia" w:hAnsi="Times-Roman" w:cs="Times-Roman"/>
                <w:sz w:val="20"/>
                <w:szCs w:val="20"/>
                <w:lang w:eastAsia="ja-JP"/>
              </w:rPr>
              <w:t xml:space="preserve">shrimp farming-forestry enterprises (SFFEs) in Vietnam </w:t>
            </w:r>
            <w:r w:rsidRPr="00C22055">
              <w:rPr>
                <w:sz w:val="20"/>
                <w:szCs w:val="20"/>
              </w:rPr>
              <w:fldChar w:fldCharType="begin"/>
            </w:r>
            <w:r>
              <w:rPr>
                <w:sz w:val="20"/>
                <w:szCs w:val="20"/>
              </w:rPr>
              <w:instrText xml:space="preserve"> ADDIN ZOTERO_ITEM CSL_CITATION {"citationID":"d28YAe1q","properties":{"formattedCitation":"({\\i{}54}\\uc0\\u8211{}{\\i{}56})","plainCitation":"(54–56)","noteIndex":0},"citationItems":[{"id":6769,"uris":["http://zotero.org/users/1975400/items/NME2SKA9"],"uri":["http://zotero.org/users/1975400/items/NME2SKA9"],"itemData":{"id":6769,"type":"article-journal","abstract":"Coastal populations are particularly vulnerable to the impacts of extreme events such as storms and hurricanes, and these pressures may be exacerbated through the influence of climate change and sea level rise. Coastal ecosystems such as mangrove forests are increasingly being promoted and used as a tool in coastal defence strategies. There remains, however, a pressing need to better understand the roles that ecosystems can play in defending coasts. This report focuses on mangrove forests and the role they can play in reducing wind and swell waves. While mangrove forests are usually found on shores with little incoming wave energy, they may receive larger waves during storms, hurricanes and periods of high winds. Large wind and swell waves can cause flooding and damage to coastal infrastructure. By reducing wave energy and height, mangroves can potentially reduce associated damage. All evidence suggests that mangroves can reduce the height of wind and swell waves over relatively short distances: wave height can be reduced by between 13 and 66% over 100 m of mangroves. The highest rate of wave height reduction per unit distance occurs near the mangrove edge, as waves begin their passage through the mangroves. A number of characteristics of mangroves affect the rate of reduction of wave height with distance, most notably the physical structure of the trees. Waves are most rapidly reduced when they pass through a greater density of obstacles. Mangroves with aerial roots will attenuate waves in shallow water more rapidly than those without. At greater water depths, waves may pass above aerial roots, but the lower branches can perform a similar function. The slope of the shore and the height of the waves also affect wave reduction rates through mangroves. To understand the level of protection provided by mangroves, and to plan how to increase it, the passage of waves through mangroves has been modelled numerically using both a standard wave model used by coastal engineers called SWAN (Simulating WAves Nearshore) (Suzuki et al., 2011), as well as a model developed specifically for waves in mangroves called WAPROMAN (WAve PROpagation in MANgrove Forest) (Vo-Luong and Massel, 2008). These models are able to predict typical levels of wave attenuation given a knowledge of the mangrove characteristics, the wave parameters and the local bathymetry and topography. A statistical model has also been developed to explore the relationship between some standard forest measurements (tree height, tree density and canopy closure) and wave attenuation with distance (Bao, 2011). This model has been able to predict wave reduction within the Vietnamese mangroves where it was developed, and could be used to determine the width of mangrove belt needed to deliver a predefined level of protection from waves. While there is a general confirmation that mangroves can attenuate wind and swell waves, research has focused on small waves (wave height &amp;lt; 70 cm), and there is a need to measure the attenuation of larger wind and swell waves associated with greater water depths, which may occur during storms and cyclones. More datasets are also needed to test the wider validity of the existing wave models under different wave conditions and in areas with different types of mangrove forest and different topographies.","container-title":"Natural Coastal Protection Series: Report 1. Cambridge Coastal Research Unit Working Paper 40. ISSN 2050-7941.","language":"en","note":"publisher: The Nature Conservancy and Wetlands International","source":"repository.tudelft.nl","title":"Reduction of Wind and Swell Waves by Mangroves","URL":"https://repository.tudelft.nl/islandora/object/uuid%3Ac77ceec8-8db6-4080-b5bb-f414dca9d39d","author":[{"family":"McIvor","given":"A. L."},{"family":"Möller","given":"I."},{"family":"Spencer","given":"T."},{"family":"Spalding","given":"M."}],"accessed":{"date-parts":[["2021",9,3]]},"issued":{"date-parts":[["2012"]]}}},{"id":6772,"uris":["http://zotero.org/users/1975400/items/ZPE5IYEA"],"uri":["http://zotero.org/users/1975400/items/ZPE5IYEA"],"itemData":{"id":6772,"type":"article-journal","abstract":"The objective of this research is to obtain generic relations between attenuated wave heights and various vegetation and topographical scenarios. Subsequently, it is aimed to find out what is the actual cost profit of a dike construction behind a mangrove zone comparing to the case when mangroves are absent. The graphs and formulas developed in this research may serve as a first approximation during feasibility studies or conceptual designs of a coastal dike incorporating mangrove vegetation. They allow calculating the design wave height attenuated by site specific or planned for restoration mangrove forests, for different design met-ocean conditions. Calculated wave reduction coefficients can be later on translated to the cost savings of a coastal dike raised behind the mangrove forests.","container-title":"Coastal Engineering Proceedings","DOI":"10.9753/icce.v34.management.45","journalAbbreviation":"Coastal Engineering Proceedings","page":"45","source":"ResearchGate","title":"THE USE OF MANGROVES IN COASTAL PROTECTION","volume":"1","author":[{"family":"Tusinski","given":"Andrzej"},{"family":"Verhagen","given":"Henk"}],"issued":{"date-parts":[["2014",1,26]]}}},{"id":6795,"uris":["http://zotero.org/users/1975400/items/KUF3V2PT"],"uri":["http://zotero.org/users/1975400/items/KUF3V2PT"],"itemData":{"id":6795,"type":"chapter","abstract":"In the Mekong Delta of Vietnam, losses of mangroves have been especially severe over the last decades mainly due to clearing for shrimp farming leading to a land use conflict between mangrove silviculture and shrimp aquaculture. Following the law on rules for land use and natural resource utilisation for reforestation of mangrove forests (1999), shrimp farming-forestry enterprises (SFFEs) have therefore been established where shrimp are cultured together with mangroves in integrated farming systems whereby 60% of the farm area must be protected mangrove. Monitoring tools are therefore required to map the extent of mangroves and aquaculture and to delineate the percentage of mangroves in mixed mangrove-aquaculture farms. Current methodologies in forest mapping and mangrove area estimation require a large amount of manual work. In addition, currently applied methodologies in base data acquisition and transformation into statistics or maps are varying. This is leading to different estimates of mangrove area of the same region in different statistical surveys. Similar problems arise for actual mangrove distribution maps which are generated based on different sources and methodologies. Precise and reliable mangrove maps are of increasing importance, since changes in these ecosystems often occur rapidly. There is a growing demand for detecting and assessing changes especially in the context of climate change, sea level rise and related threats to coastal ecosystems. International organizations and government agencies in several countries are, for this reason, urgently implementing programs of mapping and monitoring to measure the extent of decline of these important ecosystems. Remote sensing enables large-scale, rapid, long-term, and cost-effective mapping and monitoring of mangrove ecosystems and with that provides important information for resource inventory mapping, change detection, and monitoring aquaculture activities. It also supports various management requests, ecosystem evaluation, productivity measurement, water quality assessment, or disaster management.","collection-title":"Springer Environmental Science and Engineering","container-title":"The Mekong Delta System: Interdisciplinary Analyses of a River Delta","event-place":"Dordrecht","ISBN":"978-94-007-3962-8","language":"en","note":"DOI: 10.1007/978-94-007-3962-8_12","page":"315-330","publisher":"Springer Netherlands","publisher-place":"Dordrecht","source":"Springer Link","title":"Mangrove Ecosystems in the Mekong Delta – Overcoming Uncertainties in Inventory Mapping Using Satellite Remote Sensing Data","URL":"https://doi.org/10.1007/978-94-007-3962-8_12","author":[{"family":"Gebhardt","given":"Steffen"},{"family":"Nguyen","given":"Lam Dao"},{"family":"Kuenzer","given":"Claudia"}],"editor":[{"family":"Renaud","given":"Fabrice G."},{"family":"Kuenzer","given":"Claudia"}],"accessed":{"date-parts":[["2021",9,21]]},"issued":{"date-parts":[["2012"]]}}}],"schema":"https://github.com/citation-style-language/schema/raw/master/csl-citation.json"} </w:instrText>
            </w:r>
            <w:r w:rsidRPr="00C22055">
              <w:rPr>
                <w:sz w:val="20"/>
                <w:szCs w:val="20"/>
              </w:rPr>
              <w:fldChar w:fldCharType="separate"/>
            </w:r>
            <w:r w:rsidRPr="009D74F4">
              <w:rPr>
                <w:sz w:val="20"/>
              </w:rPr>
              <w:t>(</w:t>
            </w:r>
            <w:r w:rsidRPr="009D74F4">
              <w:rPr>
                <w:i/>
                <w:iCs/>
                <w:sz w:val="20"/>
              </w:rPr>
              <w:t>54</w:t>
            </w:r>
            <w:r w:rsidRPr="009D74F4">
              <w:rPr>
                <w:sz w:val="20"/>
              </w:rPr>
              <w:t>–</w:t>
            </w:r>
            <w:r w:rsidRPr="009D74F4">
              <w:rPr>
                <w:i/>
                <w:iCs/>
                <w:sz w:val="20"/>
              </w:rPr>
              <w:t>56</w:t>
            </w:r>
            <w:r w:rsidRPr="009D74F4">
              <w:rPr>
                <w:sz w:val="20"/>
              </w:rPr>
              <w:t>)</w:t>
            </w:r>
            <w:r w:rsidRPr="00C22055">
              <w:rPr>
                <w:sz w:val="20"/>
                <w:szCs w:val="20"/>
              </w:rPr>
              <w:fldChar w:fldCharType="end"/>
            </w:r>
            <w:r w:rsidRPr="00C22055">
              <w:rPr>
                <w:sz w:val="20"/>
                <w:szCs w:val="20"/>
              </w:rPr>
              <w:t xml:space="preserve">. </w:t>
            </w:r>
          </w:p>
        </w:tc>
        <w:tc>
          <w:tcPr>
            <w:tcW w:w="4227" w:type="dxa"/>
            <w:hideMark/>
          </w:tcPr>
          <w:p w14:paraId="645F75CF" w14:textId="77777777" w:rsidR="00ED75F5" w:rsidRPr="00C22055" w:rsidRDefault="00ED75F5" w:rsidP="00BF280E">
            <w:pPr>
              <w:cnfStyle w:val="000000000000" w:firstRow="0" w:lastRow="0" w:firstColumn="0" w:lastColumn="0" w:oddVBand="0" w:evenVBand="0" w:oddHBand="0" w:evenHBand="0" w:firstRowFirstColumn="0" w:firstRowLastColumn="0" w:lastRowFirstColumn="0" w:lastRowLastColumn="0"/>
              <w:rPr>
                <w:sz w:val="20"/>
                <w:szCs w:val="20"/>
              </w:rPr>
            </w:pPr>
            <w:r w:rsidRPr="00BC6E36">
              <w:rPr>
                <w:sz w:val="20"/>
                <w:szCs w:val="20"/>
              </w:rPr>
              <w:t xml:space="preserve">Existing wetland and mangrove forests are destroyed or degraded for other uses. Lack of sediment decreases effectiveness of nature-based solutions, e.g., Mangroves, to protect coastlines and build land </w:t>
            </w:r>
            <w:r w:rsidRPr="00C22055">
              <w:rPr>
                <w:sz w:val="20"/>
                <w:szCs w:val="20"/>
              </w:rPr>
              <w:fldChar w:fldCharType="begin"/>
            </w:r>
            <w:r>
              <w:rPr>
                <w:sz w:val="20"/>
                <w:szCs w:val="20"/>
              </w:rPr>
              <w:instrText xml:space="preserve"> ADDIN ZOTERO_ITEM CSL_CITATION {"citationID":"c3XtnAOw","properties":{"formattedCitation":"({\\i{}57}\\uc0\\u8211{}{\\i{}60})","plainCitation":"(57–60)","noteIndex":0},"citationItems":[{"id":5158,"uris":["http://zotero.org/users/1975400/items/9TCLKRKI"],"uri":["http://zotero.org/users/1975400/items/9TCLKRKI"],"itemData":{"id":5158,"type":"article-journal","abstract":"New York City (NYC) is representative of many vulnerable coastal urban populations, infrastructures, and economies threatened by global sea level rise. The steady loss of marshes in NYC’s Jamaica Bay is typical of many urban estuaries worldwide. Essential to the restoration and preservation of these key wetlands is an understanding of their sedimentation. Here we present a reconstruction of the history of mineral and organic sediment fluxes in Jamaica Bay marshes over three centuries, using a combination of density measurements and a detailed accretion model. Accretion rate is calculated using historical land use and pollution markers, through a wide variety of sediment core analyses including geochemical, isotopic, and paleobotanical analyses. We find that, since 1800 CE, urban development dramatically reduced the input of marsh-stabilizing mineral sediment. However, as mineral flux decreased, organic matter flux increased. While this organic accumulation increase allowed vertical accumulation to outpace sea level, reduced mineral content causes structural weakness and edge failure. Marsh integrity now requires mineral sediment addition to both marshes and subsurface channels and borrow pits, a solution applicable to drowning estuaries worldwide. Integration of marsh mineral/organic accretion history with modeling provides parameters for marsh preservation at specific locales with sea level rise.","container-title":"Proceedings of the National Academy of Sciences","DOI":"10.1073/pnas.1715392115","ISSN":"0027-8424, 1091-6490","issue":"41","journalAbbreviation":"PNAS","language":"en","note":"publisher: National Academy of Sciences\nsection: Physical Sciences\nPMID: 30249641","page":"10281-10286","source":"www-pnas-org.stanford.idm.oclc.org","title":"Sediment starvation destroys New York City marshes’ resistance to sea level rise","volume":"115","author":[{"family":"Peteet","given":"Dorothy M."},{"family":"Nichols","given":"Jonathan"},{"family":"Kenna","given":"Timothy"},{"family":"Chang","given":"Clara"},{"family":"Browne","given":"James"},{"family":"Reza","given":"Mohammad"},{"family":"Kovari","given":"Stephen"},{"family":"Liberman","given":"Louisa"},{"family":"Stern-Protz","given":"Stephanie"}],"issued":{"date-parts":[["2018",10,9]]}}},{"id":4526,"uris":["http://zotero.org/users/1975400/items/GCMYAF6Y"],"uri":["http://zotero.org/users/1975400/items/GCMYAF6Y"],"itemData":{"id":4526,"type":"article-journal","abstract":"We tested how sediment trapping by hydroelectric dams affects tropical estuaries by comparing two dammed and two undammed rivers on Mexico’s Pacific coast. We found that dams demonstrably affected the stability and productivity of the estuaries. The two rivers dammed for hydroelectricity had a rapid coastal recession (between 7.9 and 21.5 ha year−1) in what should otherwise be an accretional coastline. The economic consequences of this dam-induced coastal erosion include loss of habitat for fisheries, loss of coastal protection, release of carbon sequestered in coastal sediments, loss of biodiversity, and the decline of estuarine livelihoods. We estimate that the cost of the environmental damages a dam can cause in the lower part of basin almost doubles the purported benefits of emission reductions from hydroelectric generation.\nComparison of free versus dammed tropical rivers reveals sediment trapping in dams has devastating consequences for estuaries.\nComparison of free versus dammed tropical rivers reveals sediment trapping in dams has devastating consequences for estuaries.","container-title":"Science Advances","DOI":"10.1126/sciadv.aau9875","ISSN":"2375-2548","issue":"3","language":"en","page":"eaau9875","source":"advances-sciencemag-org.stanford.idm.oclc.org","title":"A natural experiment reveals the impact of hydroelectric dams on the estuaries of tropical rivers","volume":"5","author":[{"family":"Ezcurra","given":"E."},{"family":"Barrios","given":"E."},{"family":"Ezcurra","given":"P."},{"family":"Ezcurra","given":"A."},{"family":"Vanderplank","given":"S."},{"family":"Vidal","given":"O."},{"family":"Villanueva-Almanza","given":"L."},{"family":"Aburto-Oropeza","given":"O."}],"issued":{"date-parts":[["2019",3,1]]}}},{"id":6791,"uris":["http://zotero.org/users/1975400/items/WQHGYEFI"],"uri":["http://zotero.org/users/1975400/items/WQHGYEFI"],"itemData":{"id":6791,"type":"article-journal","abstract":"In this paper, we analyzed the changes in mangrove forests along the coastal districts of Ben Tre Province in Mekong Delta, in southern Vietnam from 1998 to 2015 using Landsat image series (TM and OLI) using vegetation and water indices, and field data. Decadal changes in aquaculture ponds and area of rice crops were also estimated using satellite and field data in order to understand the influence of intensive aquaculture on mangrove deforestation and agriculture in this region. Furthermore, predictions have been made on the changes in mangrove forests, rice crops and aquaculture ponds in case of 1 m and 2 m sea level rise. About 52.5% of the mangrove forests were cleared between 1998 and 2015 for aquaculture and infrastructure developments in Ben Tre during the study period. Thanh Phu District showed highest loss of mangrove forests (59.3%) and increase in the area covered by aquaculture ponds (120%) during this period. Overall reduction in the rice crops areas in Ben Tre was 23.4% whereas this was 31.5% in the coastal districts due to the conversion of freshwater rice fields into brackish shrimp ponds. It is estimated that a 1 m rise in the current sea level would clear 45.2% of the remaining mangrove forests, 60.9% of the current areas planted with rice, 65% of the aquaculture ponds and 46% of the entire province would be under the water. This study shows a clear picture of the coastal environmental changes going on in the Mekong Delta of Vietnam.","container-title":"Estuarine, Coastal and Shelf Science","DOI":"10.1016/j.ecss.2019.106273","ISSN":"0272-7714","journalAbbreviation":"Estuarine, Coastal and Shelf Science","language":"en","page":"106273","source":"ScienceDirect","title":"Changes in mangrove vegetation, aquaculture and paddy cultivation in the Mekong Delta: A study from Ben Tre Province, southern Vietnam","title-short":"Changes in mangrove vegetation, aquaculture and paddy cultivation in the Mekong Delta","volume":"226","author":[{"family":"Veettil","given":"Bijeesh Kozhikkodan"},{"family":"Quang","given":"Ngo Xuan"},{"family":"Thu Trang","given":"Ngo Thi"}],"issued":{"date-parts":[["2019",10,15]]}}},{"id":6787,"uris":["http://zotero.org/users/1975400/items/UK36V3K5"],"uri":["http://zotero.org/users/1975400/items/UK36V3K5"],"itemData":{"id":6787,"type":"article-journal","abstract":"ABSTRACT. Mangroves colonize tropical shorelines, protecting coastal communities and providing valuable ecosystem services. Mangroves associated with deltas cope with a very dynamic environment characterized by strong gradients in salinity, deposition triggered by sediment inputs, and erosion caused by waves and currents. Mangroves are adapted to this ever-changing landscape, with different species colonizing different elevations in response to inundation frequency. A series of feedbacks between hydrodynamics, sediment transport, and mangroves was observed in a fringe forest of the Mekong Delta, Vietnam. Sonneratia spp. rapidly encroach upon sandy areas because the stable substrate favors seedling establishment. In contrast, fewer seedlings are present in muddy locations where currents and waves frequently rework the bottom. Along muddy shorelines that are eroding, turbulence increases local scour near roots and trunks, undercutting the trees. Enhanced sediment accumulation due to delta progradation can smother the mangrove roots and lead to forest dieback. We find clear evidence that mangroves affect both hydrodynamics and sediment transport, thus engineering the landscape and enhancing sediment trapping and delta progradation. Sonneratia spp. are replaced by Aegiceras corniculatum, Avicennia marina, and Nypa fruticans when the seabed becomes high enough, indicating that ecological succession is present in a fast prograding deltaic environment. Thus, it is imperative to determine the small-scale feedbacks between mangroves, hydrodynamics, and sediment transport in order to build quantitative ecogeomorphic models of deltaic sedimentation that can be used to explain the distribution of mangrove species, the forest structure, and large-scale dynamics in a tropical deltaic setting.","container-title":"Oceanography","ISSN":"1042-8275","issue":"3","note":"publisher: Oceanography Society","page":"48-59","source":"JSTOR","title":"Buried Alive or Washed Away: The Challenging Life of Mangroves in the Mekong Delta","title-short":"Buried Alive or Washed Away","volume":"30","author":[{"family":"Fagherazzi","given":"Sergio"},{"family":"Bryan","given":"Karin R."},{"family":"Nardin","given":"William"}],"issued":{"date-parts":[["2017"]]}}}],"schema":"https://github.com/citation-style-language/schema/raw/master/csl-citation.json"} </w:instrText>
            </w:r>
            <w:r w:rsidRPr="00C22055">
              <w:rPr>
                <w:sz w:val="20"/>
                <w:szCs w:val="20"/>
              </w:rPr>
              <w:fldChar w:fldCharType="separate"/>
            </w:r>
            <w:r w:rsidRPr="009D74F4">
              <w:rPr>
                <w:sz w:val="20"/>
              </w:rPr>
              <w:t>(</w:t>
            </w:r>
            <w:r w:rsidRPr="009D74F4">
              <w:rPr>
                <w:i/>
                <w:iCs/>
                <w:sz w:val="20"/>
              </w:rPr>
              <w:t>57</w:t>
            </w:r>
            <w:r w:rsidRPr="009D74F4">
              <w:rPr>
                <w:sz w:val="20"/>
              </w:rPr>
              <w:t>–</w:t>
            </w:r>
            <w:r w:rsidRPr="009D74F4">
              <w:rPr>
                <w:i/>
                <w:iCs/>
                <w:sz w:val="20"/>
              </w:rPr>
              <w:t>60</w:t>
            </w:r>
            <w:r w:rsidRPr="009D74F4">
              <w:rPr>
                <w:sz w:val="20"/>
              </w:rPr>
              <w:t>)</w:t>
            </w:r>
            <w:r w:rsidRPr="00C22055">
              <w:rPr>
                <w:sz w:val="20"/>
                <w:szCs w:val="20"/>
              </w:rPr>
              <w:fldChar w:fldCharType="end"/>
            </w:r>
            <w:r w:rsidRPr="00C22055">
              <w:rPr>
                <w:sz w:val="20"/>
                <w:szCs w:val="20"/>
              </w:rPr>
              <w:t>.</w:t>
            </w:r>
          </w:p>
        </w:tc>
      </w:tr>
    </w:tbl>
    <w:p w14:paraId="15DE5296" w14:textId="77777777" w:rsidR="00ED75F5" w:rsidRDefault="00ED75F5" w:rsidP="00ED75F5"/>
    <w:p w14:paraId="0D12F3B3" w14:textId="77777777" w:rsidR="00ED75F5" w:rsidRDefault="00ED75F5" w:rsidP="00ED75F5"/>
    <w:p w14:paraId="2B1BDE24" w14:textId="77777777" w:rsidR="00ED75F5" w:rsidRDefault="00ED75F5" w:rsidP="00ED75F5"/>
    <w:p w14:paraId="6725C2D3" w14:textId="77777777" w:rsidR="00ED75F5" w:rsidRDefault="00ED75F5" w:rsidP="00ED75F5"/>
    <w:bookmarkEnd w:id="8"/>
    <w:p w14:paraId="2EAFF7E3" w14:textId="77777777" w:rsidR="00ED75F5" w:rsidRDefault="00ED75F5" w:rsidP="00ED75F5">
      <w:pPr>
        <w:sectPr w:rsidR="00ED75F5" w:rsidSect="006C47D2">
          <w:pgSz w:w="16838" w:h="11906" w:orient="landscape"/>
          <w:pgMar w:top="0" w:right="1440" w:bottom="0" w:left="1440" w:header="708" w:footer="0" w:gutter="0"/>
          <w:cols w:space="708"/>
          <w:docGrid w:linePitch="360"/>
        </w:sectPr>
      </w:pPr>
    </w:p>
    <w:p w14:paraId="2FC59423" w14:textId="77777777" w:rsidR="00ED75F5" w:rsidRDefault="00ED75F5" w:rsidP="00ED75F5"/>
    <w:p w14:paraId="3BDB3864" w14:textId="24E0ECA5" w:rsidR="009D74F4" w:rsidRDefault="009D74F4">
      <w:pPr>
        <w:rPr>
          <w:rFonts w:asciiTheme="majorHAnsi" w:eastAsiaTheme="majorEastAsia" w:hAnsiTheme="majorHAnsi" w:cstheme="majorBidi"/>
          <w:spacing w:val="-10"/>
          <w:kern w:val="28"/>
          <w:sz w:val="56"/>
          <w:szCs w:val="56"/>
        </w:rPr>
      </w:pPr>
      <w:r>
        <w:br w:type="page"/>
      </w:r>
      <w:bookmarkEnd w:id="6"/>
      <w:bookmarkEnd w:id="7"/>
    </w:p>
    <w:sectPr w:rsidR="009D74F4" w:rsidSect="001477F6">
      <w:footerReference w:type="even" r:id="rId13"/>
      <w:footerReference w:type="default" r:id="rId14"/>
      <w:pgSz w:w="11906" w:h="16838"/>
      <w:pgMar w:top="720" w:right="720" w:bottom="720" w:left="72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62CD3" w14:textId="77777777" w:rsidR="00451FAD" w:rsidRDefault="00451FAD" w:rsidP="006918EE">
      <w:r>
        <w:separator/>
      </w:r>
    </w:p>
  </w:endnote>
  <w:endnote w:type="continuationSeparator" w:id="0">
    <w:p w14:paraId="33342C57" w14:textId="77777777" w:rsidR="00451FAD" w:rsidRDefault="00451FAD" w:rsidP="006918EE">
      <w:r>
        <w:continuationSeparator/>
      </w:r>
    </w:p>
  </w:endnote>
  <w:endnote w:type="continuationNotice" w:id="1">
    <w:p w14:paraId="5739CF21" w14:textId="77777777" w:rsidR="00451FAD" w:rsidRDefault="00451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Lucida Grande">
    <w:charset w:val="00"/>
    <w:family w:val="swiss"/>
    <w:pitch w:val="variable"/>
    <w:sig w:usb0="E1000AEF" w:usb1="5000A1FF" w:usb2="00000000" w:usb3="00000000" w:csb0="000001BF" w:csb1="00000000"/>
  </w:font>
  <w:font w:name="Code">
    <w:altName w:val="Cambria"/>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513048"/>
      <w:docPartObj>
        <w:docPartGallery w:val="Page Numbers (Bottom of Page)"/>
        <w:docPartUnique/>
      </w:docPartObj>
    </w:sdtPr>
    <w:sdtEndPr/>
    <w:sdtContent>
      <w:p w14:paraId="44868C22" w14:textId="77777777" w:rsidR="00ED75F5" w:rsidRDefault="00ED75F5">
        <w:pPr>
          <w:pStyle w:val="Footer"/>
        </w:pPr>
        <w:r>
          <w:fldChar w:fldCharType="begin"/>
        </w:r>
        <w:r>
          <w:instrText>PAGE   \* MERGEFORMAT</w:instrText>
        </w:r>
        <w:r>
          <w:fldChar w:fldCharType="separate"/>
        </w:r>
        <w:r>
          <w:rPr>
            <w:lang w:val="de-DE"/>
          </w:rPr>
          <w:t>2</w:t>
        </w:r>
        <w:r>
          <w:fldChar w:fldCharType="end"/>
        </w:r>
      </w:p>
    </w:sdtContent>
  </w:sdt>
  <w:p w14:paraId="78BACCEA" w14:textId="77777777" w:rsidR="00ED75F5" w:rsidRDefault="00ED75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1161045"/>
      <w:docPartObj>
        <w:docPartGallery w:val="Page Numbers (Bottom of Page)"/>
        <w:docPartUnique/>
      </w:docPartObj>
    </w:sdtPr>
    <w:sdtEndPr>
      <w:rPr>
        <w:rStyle w:val="PageNumber"/>
      </w:rPr>
    </w:sdtEndPr>
    <w:sdtContent>
      <w:p w14:paraId="6015627F" w14:textId="0D2AEB23" w:rsidR="006918EE" w:rsidRDefault="006918EE" w:rsidP="00AE19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D936BB" w14:textId="77777777" w:rsidR="006918EE" w:rsidRDefault="006918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6399190"/>
      <w:docPartObj>
        <w:docPartGallery w:val="Page Numbers (Bottom of Page)"/>
        <w:docPartUnique/>
      </w:docPartObj>
    </w:sdtPr>
    <w:sdtEndPr>
      <w:rPr>
        <w:rStyle w:val="PageNumber"/>
      </w:rPr>
    </w:sdtEndPr>
    <w:sdtContent>
      <w:p w14:paraId="7592C6B4" w14:textId="42E932DD" w:rsidR="006918EE" w:rsidRDefault="006918EE" w:rsidP="00AE19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D0135">
          <w:rPr>
            <w:rStyle w:val="PageNumber"/>
            <w:noProof/>
          </w:rPr>
          <w:t>2</w:t>
        </w:r>
        <w:r>
          <w:rPr>
            <w:rStyle w:val="PageNumber"/>
          </w:rPr>
          <w:fldChar w:fldCharType="end"/>
        </w:r>
      </w:p>
    </w:sdtContent>
  </w:sdt>
  <w:p w14:paraId="2584E004" w14:textId="77777777" w:rsidR="006918EE" w:rsidRDefault="006918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E40AC" w14:textId="77777777" w:rsidR="00451FAD" w:rsidRDefault="00451FAD" w:rsidP="006918EE">
      <w:r>
        <w:separator/>
      </w:r>
    </w:p>
  </w:footnote>
  <w:footnote w:type="continuationSeparator" w:id="0">
    <w:p w14:paraId="0FB40FB9" w14:textId="77777777" w:rsidR="00451FAD" w:rsidRDefault="00451FAD" w:rsidP="006918EE">
      <w:r>
        <w:continuationSeparator/>
      </w:r>
    </w:p>
  </w:footnote>
  <w:footnote w:type="continuationNotice" w:id="1">
    <w:p w14:paraId="6D06519B" w14:textId="77777777" w:rsidR="00451FAD" w:rsidRDefault="00451F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86B"/>
    <w:multiLevelType w:val="hybridMultilevel"/>
    <w:tmpl w:val="C9B6DF98"/>
    <w:lvl w:ilvl="0" w:tplc="04070001">
      <w:start w:val="17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F37B48"/>
    <w:multiLevelType w:val="multilevel"/>
    <w:tmpl w:val="5E04564A"/>
    <w:lvl w:ilvl="0">
      <w:start w:val="1"/>
      <w:numFmt w:val="decimal"/>
      <w:lvlText w:val="%1"/>
      <w:lvlJc w:val="left"/>
      <w:pPr>
        <w:ind w:left="720" w:hanging="360"/>
      </w:pPr>
      <w:rPr>
        <w:rFonts w:hint="default"/>
        <w:vertAlign w:val="superscrip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BAE4EAB"/>
    <w:multiLevelType w:val="hybridMultilevel"/>
    <w:tmpl w:val="5FA82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07251F"/>
    <w:multiLevelType w:val="hybridMultilevel"/>
    <w:tmpl w:val="4EF0C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365487"/>
    <w:multiLevelType w:val="hybridMultilevel"/>
    <w:tmpl w:val="0D222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7C3390"/>
    <w:multiLevelType w:val="hybridMultilevel"/>
    <w:tmpl w:val="0A7A4B3C"/>
    <w:lvl w:ilvl="0" w:tplc="96DABCF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0051A"/>
    <w:multiLevelType w:val="hybridMultilevel"/>
    <w:tmpl w:val="16FC131E"/>
    <w:lvl w:ilvl="0" w:tplc="14CAD84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1319AB"/>
    <w:multiLevelType w:val="hybridMultilevel"/>
    <w:tmpl w:val="CBA63F4A"/>
    <w:lvl w:ilvl="0" w:tplc="DD62AB50">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6B4556D"/>
    <w:multiLevelType w:val="hybridMultilevel"/>
    <w:tmpl w:val="099AB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AB415D"/>
    <w:multiLevelType w:val="hybridMultilevel"/>
    <w:tmpl w:val="83D87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DB5004"/>
    <w:multiLevelType w:val="hybridMultilevel"/>
    <w:tmpl w:val="59A2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442"/>
    <w:multiLevelType w:val="hybridMultilevel"/>
    <w:tmpl w:val="863AEF28"/>
    <w:lvl w:ilvl="0" w:tplc="969A2B60">
      <w:start w:val="175"/>
      <w:numFmt w:val="bullet"/>
      <w:lvlText w:val=""/>
      <w:lvlJc w:val="left"/>
      <w:pPr>
        <w:ind w:left="1080" w:hanging="360"/>
      </w:pPr>
      <w:rPr>
        <w:rFonts w:ascii="Symbol" w:eastAsiaTheme="minorEastAsia"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4A6A0C1A"/>
    <w:multiLevelType w:val="multilevel"/>
    <w:tmpl w:val="EA74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5B2BCA"/>
    <w:multiLevelType w:val="hybridMultilevel"/>
    <w:tmpl w:val="FFCCF9B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4157B52"/>
    <w:multiLevelType w:val="hybridMultilevel"/>
    <w:tmpl w:val="AA76F9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8C3036A"/>
    <w:multiLevelType w:val="hybridMultilevel"/>
    <w:tmpl w:val="10423164"/>
    <w:lvl w:ilvl="0" w:tplc="EDA4721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D641A1"/>
    <w:multiLevelType w:val="hybridMultilevel"/>
    <w:tmpl w:val="E4DC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106BCB"/>
    <w:multiLevelType w:val="hybridMultilevel"/>
    <w:tmpl w:val="E82EF04C"/>
    <w:lvl w:ilvl="0" w:tplc="9B162558">
      <w:start w:val="1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FC21EC"/>
    <w:multiLevelType w:val="hybridMultilevel"/>
    <w:tmpl w:val="A59005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1FA449F"/>
    <w:multiLevelType w:val="hybridMultilevel"/>
    <w:tmpl w:val="74848620"/>
    <w:lvl w:ilvl="0" w:tplc="FB442994">
      <w:start w:val="1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2003C6"/>
    <w:multiLevelType w:val="hybridMultilevel"/>
    <w:tmpl w:val="EC2615D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CF1094F"/>
    <w:multiLevelType w:val="hybridMultilevel"/>
    <w:tmpl w:val="337CAD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EB37852"/>
    <w:multiLevelType w:val="hybridMultilevel"/>
    <w:tmpl w:val="8ACE6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2"/>
  </w:num>
  <w:num w:numId="4">
    <w:abstractNumId w:val="1"/>
  </w:num>
  <w:num w:numId="5">
    <w:abstractNumId w:val="20"/>
  </w:num>
  <w:num w:numId="6">
    <w:abstractNumId w:val="13"/>
  </w:num>
  <w:num w:numId="7">
    <w:abstractNumId w:val="0"/>
  </w:num>
  <w:num w:numId="8">
    <w:abstractNumId w:val="11"/>
  </w:num>
  <w:num w:numId="9">
    <w:abstractNumId w:val="21"/>
  </w:num>
  <w:num w:numId="10">
    <w:abstractNumId w:val="8"/>
  </w:num>
  <w:num w:numId="11">
    <w:abstractNumId w:val="18"/>
  </w:num>
  <w:num w:numId="12">
    <w:abstractNumId w:val="2"/>
  </w:num>
  <w:num w:numId="13">
    <w:abstractNumId w:val="14"/>
  </w:num>
  <w:num w:numId="14">
    <w:abstractNumId w:val="22"/>
  </w:num>
  <w:num w:numId="15">
    <w:abstractNumId w:val="9"/>
  </w:num>
  <w:num w:numId="16">
    <w:abstractNumId w:val="3"/>
  </w:num>
  <w:num w:numId="17">
    <w:abstractNumId w:val="5"/>
  </w:num>
  <w:num w:numId="18">
    <w:abstractNumId w:val="17"/>
  </w:num>
  <w:num w:numId="19">
    <w:abstractNumId w:val="19"/>
  </w:num>
  <w:num w:numId="20">
    <w:abstractNumId w:val="6"/>
  </w:num>
  <w:num w:numId="21">
    <w:abstractNumId w:val="10"/>
  </w:num>
  <w:num w:numId="22">
    <w:abstractNumId w:val="1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21B"/>
    <w:rsid w:val="00000E38"/>
    <w:rsid w:val="00001231"/>
    <w:rsid w:val="0000234B"/>
    <w:rsid w:val="00003EF5"/>
    <w:rsid w:val="0000659E"/>
    <w:rsid w:val="000115BF"/>
    <w:rsid w:val="000122DB"/>
    <w:rsid w:val="00012D41"/>
    <w:rsid w:val="00013B5E"/>
    <w:rsid w:val="00021CF4"/>
    <w:rsid w:val="00023AF6"/>
    <w:rsid w:val="00025FAA"/>
    <w:rsid w:val="00032160"/>
    <w:rsid w:val="0003307D"/>
    <w:rsid w:val="00036169"/>
    <w:rsid w:val="00040F83"/>
    <w:rsid w:val="0004305D"/>
    <w:rsid w:val="00045F5F"/>
    <w:rsid w:val="00047CC9"/>
    <w:rsid w:val="00051D14"/>
    <w:rsid w:val="00053C67"/>
    <w:rsid w:val="000541C5"/>
    <w:rsid w:val="00055DD4"/>
    <w:rsid w:val="0006430E"/>
    <w:rsid w:val="00064354"/>
    <w:rsid w:val="000659E8"/>
    <w:rsid w:val="00066216"/>
    <w:rsid w:val="00071D01"/>
    <w:rsid w:val="00073F2C"/>
    <w:rsid w:val="00073F6B"/>
    <w:rsid w:val="00075C33"/>
    <w:rsid w:val="000803C6"/>
    <w:rsid w:val="00081DA8"/>
    <w:rsid w:val="000820CF"/>
    <w:rsid w:val="00082D2F"/>
    <w:rsid w:val="0008468E"/>
    <w:rsid w:val="00084907"/>
    <w:rsid w:val="00085484"/>
    <w:rsid w:val="00086BA2"/>
    <w:rsid w:val="000904C4"/>
    <w:rsid w:val="00090864"/>
    <w:rsid w:val="00091944"/>
    <w:rsid w:val="00092351"/>
    <w:rsid w:val="000A06C3"/>
    <w:rsid w:val="000A0CBE"/>
    <w:rsid w:val="000A1E09"/>
    <w:rsid w:val="000A2768"/>
    <w:rsid w:val="000A4BE3"/>
    <w:rsid w:val="000A5F32"/>
    <w:rsid w:val="000B0851"/>
    <w:rsid w:val="000B65D8"/>
    <w:rsid w:val="000C045B"/>
    <w:rsid w:val="000C07B7"/>
    <w:rsid w:val="000C1E99"/>
    <w:rsid w:val="000C235A"/>
    <w:rsid w:val="000C39DF"/>
    <w:rsid w:val="000C49D3"/>
    <w:rsid w:val="000C4FFD"/>
    <w:rsid w:val="000C549C"/>
    <w:rsid w:val="000C567D"/>
    <w:rsid w:val="000C56D0"/>
    <w:rsid w:val="000C5702"/>
    <w:rsid w:val="000C7B2C"/>
    <w:rsid w:val="000D034A"/>
    <w:rsid w:val="000D21FC"/>
    <w:rsid w:val="000D2E26"/>
    <w:rsid w:val="000D5787"/>
    <w:rsid w:val="000D5DD6"/>
    <w:rsid w:val="000D666A"/>
    <w:rsid w:val="000D740F"/>
    <w:rsid w:val="000E1E11"/>
    <w:rsid w:val="000F107B"/>
    <w:rsid w:val="000F26E1"/>
    <w:rsid w:val="000F7CED"/>
    <w:rsid w:val="00102C99"/>
    <w:rsid w:val="001049C4"/>
    <w:rsid w:val="00105DFE"/>
    <w:rsid w:val="00111B23"/>
    <w:rsid w:val="001152AB"/>
    <w:rsid w:val="00116435"/>
    <w:rsid w:val="00117279"/>
    <w:rsid w:val="00117BB8"/>
    <w:rsid w:val="00122FC6"/>
    <w:rsid w:val="00123A9B"/>
    <w:rsid w:val="001243C2"/>
    <w:rsid w:val="00124C92"/>
    <w:rsid w:val="00126CD6"/>
    <w:rsid w:val="0013157F"/>
    <w:rsid w:val="00132427"/>
    <w:rsid w:val="001324A8"/>
    <w:rsid w:val="001408DA"/>
    <w:rsid w:val="001424B0"/>
    <w:rsid w:val="00144874"/>
    <w:rsid w:val="00145538"/>
    <w:rsid w:val="001477F6"/>
    <w:rsid w:val="0015264B"/>
    <w:rsid w:val="001526D9"/>
    <w:rsid w:val="001527FF"/>
    <w:rsid w:val="001530F8"/>
    <w:rsid w:val="00153ED5"/>
    <w:rsid w:val="001552E2"/>
    <w:rsid w:val="00156B11"/>
    <w:rsid w:val="001570C0"/>
    <w:rsid w:val="001575D4"/>
    <w:rsid w:val="0016052C"/>
    <w:rsid w:val="00161CD3"/>
    <w:rsid w:val="001621A7"/>
    <w:rsid w:val="00162FED"/>
    <w:rsid w:val="00163BEB"/>
    <w:rsid w:val="00166C5B"/>
    <w:rsid w:val="001715C9"/>
    <w:rsid w:val="00175500"/>
    <w:rsid w:val="0017611B"/>
    <w:rsid w:val="00176686"/>
    <w:rsid w:val="00180C38"/>
    <w:rsid w:val="0018243A"/>
    <w:rsid w:val="00182A0D"/>
    <w:rsid w:val="00182FF2"/>
    <w:rsid w:val="001908E2"/>
    <w:rsid w:val="00191C44"/>
    <w:rsid w:val="00192EBC"/>
    <w:rsid w:val="001A129B"/>
    <w:rsid w:val="001A129E"/>
    <w:rsid w:val="001A361C"/>
    <w:rsid w:val="001A3667"/>
    <w:rsid w:val="001A5BD3"/>
    <w:rsid w:val="001A71E8"/>
    <w:rsid w:val="001B0763"/>
    <w:rsid w:val="001B0F27"/>
    <w:rsid w:val="001B243B"/>
    <w:rsid w:val="001B2AE7"/>
    <w:rsid w:val="001B2D0F"/>
    <w:rsid w:val="001B3BB9"/>
    <w:rsid w:val="001C0B7A"/>
    <w:rsid w:val="001C3A5B"/>
    <w:rsid w:val="001C55E2"/>
    <w:rsid w:val="001C626B"/>
    <w:rsid w:val="001C7068"/>
    <w:rsid w:val="001D0885"/>
    <w:rsid w:val="001D163B"/>
    <w:rsid w:val="001D489A"/>
    <w:rsid w:val="001D6BFB"/>
    <w:rsid w:val="001D7728"/>
    <w:rsid w:val="001E5AA7"/>
    <w:rsid w:val="001E5E86"/>
    <w:rsid w:val="001F057D"/>
    <w:rsid w:val="001F2B50"/>
    <w:rsid w:val="001F488D"/>
    <w:rsid w:val="001F5E40"/>
    <w:rsid w:val="001F618E"/>
    <w:rsid w:val="001F6CD4"/>
    <w:rsid w:val="002011E4"/>
    <w:rsid w:val="0020352B"/>
    <w:rsid w:val="0020403E"/>
    <w:rsid w:val="00205395"/>
    <w:rsid w:val="00206DA8"/>
    <w:rsid w:val="002073C8"/>
    <w:rsid w:val="00217AF8"/>
    <w:rsid w:val="002200AB"/>
    <w:rsid w:val="002200AC"/>
    <w:rsid w:val="0022134A"/>
    <w:rsid w:val="002221C9"/>
    <w:rsid w:val="0022249C"/>
    <w:rsid w:val="00223D4C"/>
    <w:rsid w:val="00226925"/>
    <w:rsid w:val="002269B8"/>
    <w:rsid w:val="00232736"/>
    <w:rsid w:val="00233F8E"/>
    <w:rsid w:val="00237A19"/>
    <w:rsid w:val="0024045E"/>
    <w:rsid w:val="00244200"/>
    <w:rsid w:val="002452B3"/>
    <w:rsid w:val="00245695"/>
    <w:rsid w:val="002468C5"/>
    <w:rsid w:val="00247458"/>
    <w:rsid w:val="00247A2C"/>
    <w:rsid w:val="00253440"/>
    <w:rsid w:val="00255AE4"/>
    <w:rsid w:val="002570BD"/>
    <w:rsid w:val="0026154C"/>
    <w:rsid w:val="002620F3"/>
    <w:rsid w:val="00263250"/>
    <w:rsid w:val="002729AB"/>
    <w:rsid w:val="00272C48"/>
    <w:rsid w:val="00273E85"/>
    <w:rsid w:val="00274469"/>
    <w:rsid w:val="002751BC"/>
    <w:rsid w:val="00276A11"/>
    <w:rsid w:val="00281376"/>
    <w:rsid w:val="00281A44"/>
    <w:rsid w:val="00283D8D"/>
    <w:rsid w:val="0028556A"/>
    <w:rsid w:val="00286F6F"/>
    <w:rsid w:val="00291728"/>
    <w:rsid w:val="002931BA"/>
    <w:rsid w:val="002957DC"/>
    <w:rsid w:val="002A08BD"/>
    <w:rsid w:val="002A38F5"/>
    <w:rsid w:val="002A64FD"/>
    <w:rsid w:val="002A736B"/>
    <w:rsid w:val="002B7259"/>
    <w:rsid w:val="002C2826"/>
    <w:rsid w:val="002C49C3"/>
    <w:rsid w:val="002C57A9"/>
    <w:rsid w:val="002C5980"/>
    <w:rsid w:val="002C5CAB"/>
    <w:rsid w:val="002C5E77"/>
    <w:rsid w:val="002C6DC9"/>
    <w:rsid w:val="002C733F"/>
    <w:rsid w:val="002C7A21"/>
    <w:rsid w:val="002D2616"/>
    <w:rsid w:val="002E1B9A"/>
    <w:rsid w:val="002E2E63"/>
    <w:rsid w:val="002E3A2C"/>
    <w:rsid w:val="002E5113"/>
    <w:rsid w:val="002F3ED4"/>
    <w:rsid w:val="002F4856"/>
    <w:rsid w:val="002F53A3"/>
    <w:rsid w:val="002F7D4E"/>
    <w:rsid w:val="003022FC"/>
    <w:rsid w:val="003035A3"/>
    <w:rsid w:val="003051D3"/>
    <w:rsid w:val="00305ABB"/>
    <w:rsid w:val="00312994"/>
    <w:rsid w:val="00317776"/>
    <w:rsid w:val="00317D88"/>
    <w:rsid w:val="00317F55"/>
    <w:rsid w:val="00321710"/>
    <w:rsid w:val="003221D5"/>
    <w:rsid w:val="0032409E"/>
    <w:rsid w:val="00325EC1"/>
    <w:rsid w:val="0032792D"/>
    <w:rsid w:val="0033369F"/>
    <w:rsid w:val="00333CF6"/>
    <w:rsid w:val="00337CEE"/>
    <w:rsid w:val="00340594"/>
    <w:rsid w:val="0034269F"/>
    <w:rsid w:val="003471C2"/>
    <w:rsid w:val="00350AA0"/>
    <w:rsid w:val="00352856"/>
    <w:rsid w:val="00353455"/>
    <w:rsid w:val="00354226"/>
    <w:rsid w:val="00356FE7"/>
    <w:rsid w:val="00361091"/>
    <w:rsid w:val="003619F7"/>
    <w:rsid w:val="00363E5C"/>
    <w:rsid w:val="00367FE5"/>
    <w:rsid w:val="003721AD"/>
    <w:rsid w:val="003722E6"/>
    <w:rsid w:val="00373B3B"/>
    <w:rsid w:val="003742A2"/>
    <w:rsid w:val="00376265"/>
    <w:rsid w:val="00377963"/>
    <w:rsid w:val="00377F9F"/>
    <w:rsid w:val="0038179F"/>
    <w:rsid w:val="00382FF6"/>
    <w:rsid w:val="00384946"/>
    <w:rsid w:val="003928EA"/>
    <w:rsid w:val="00393A5A"/>
    <w:rsid w:val="0039461D"/>
    <w:rsid w:val="003947A6"/>
    <w:rsid w:val="00396F2C"/>
    <w:rsid w:val="003976F3"/>
    <w:rsid w:val="003A0754"/>
    <w:rsid w:val="003A3E6F"/>
    <w:rsid w:val="003A6C5A"/>
    <w:rsid w:val="003A7614"/>
    <w:rsid w:val="003B011D"/>
    <w:rsid w:val="003B0D2B"/>
    <w:rsid w:val="003B2244"/>
    <w:rsid w:val="003B235F"/>
    <w:rsid w:val="003B25EC"/>
    <w:rsid w:val="003B31E5"/>
    <w:rsid w:val="003B4BF1"/>
    <w:rsid w:val="003B67A3"/>
    <w:rsid w:val="003B6BA4"/>
    <w:rsid w:val="003B7335"/>
    <w:rsid w:val="003B79E6"/>
    <w:rsid w:val="003C18D5"/>
    <w:rsid w:val="003C4FAD"/>
    <w:rsid w:val="003C5310"/>
    <w:rsid w:val="003C707D"/>
    <w:rsid w:val="003D0A77"/>
    <w:rsid w:val="003D221B"/>
    <w:rsid w:val="003D4AED"/>
    <w:rsid w:val="003D7C50"/>
    <w:rsid w:val="003E30B2"/>
    <w:rsid w:val="003E43FE"/>
    <w:rsid w:val="003E578E"/>
    <w:rsid w:val="003F40C0"/>
    <w:rsid w:val="003F6DA5"/>
    <w:rsid w:val="003F7C68"/>
    <w:rsid w:val="003F7D46"/>
    <w:rsid w:val="004019B8"/>
    <w:rsid w:val="004115A8"/>
    <w:rsid w:val="00415DB0"/>
    <w:rsid w:val="004200AB"/>
    <w:rsid w:val="00433193"/>
    <w:rsid w:val="004340A2"/>
    <w:rsid w:val="00434938"/>
    <w:rsid w:val="00437854"/>
    <w:rsid w:val="004378AE"/>
    <w:rsid w:val="004463D7"/>
    <w:rsid w:val="00447096"/>
    <w:rsid w:val="004477A6"/>
    <w:rsid w:val="004478B5"/>
    <w:rsid w:val="00451FAD"/>
    <w:rsid w:val="0045428C"/>
    <w:rsid w:val="00454A03"/>
    <w:rsid w:val="00455F8C"/>
    <w:rsid w:val="00457151"/>
    <w:rsid w:val="0046025E"/>
    <w:rsid w:val="0046084B"/>
    <w:rsid w:val="00465EAA"/>
    <w:rsid w:val="00465ECE"/>
    <w:rsid w:val="00471E0F"/>
    <w:rsid w:val="004738BB"/>
    <w:rsid w:val="00474A3D"/>
    <w:rsid w:val="00474DC7"/>
    <w:rsid w:val="004756CA"/>
    <w:rsid w:val="004757D7"/>
    <w:rsid w:val="00481584"/>
    <w:rsid w:val="00485D6A"/>
    <w:rsid w:val="00485F41"/>
    <w:rsid w:val="004860AF"/>
    <w:rsid w:val="0049366D"/>
    <w:rsid w:val="00496249"/>
    <w:rsid w:val="0049722F"/>
    <w:rsid w:val="00497936"/>
    <w:rsid w:val="004A13C5"/>
    <w:rsid w:val="004A5421"/>
    <w:rsid w:val="004A5443"/>
    <w:rsid w:val="004A76B5"/>
    <w:rsid w:val="004A7773"/>
    <w:rsid w:val="004B78C2"/>
    <w:rsid w:val="004C198D"/>
    <w:rsid w:val="004C2918"/>
    <w:rsid w:val="004C67A7"/>
    <w:rsid w:val="004D1247"/>
    <w:rsid w:val="004D1427"/>
    <w:rsid w:val="004D21F9"/>
    <w:rsid w:val="004E1B2A"/>
    <w:rsid w:val="004E2E37"/>
    <w:rsid w:val="004E3556"/>
    <w:rsid w:val="004E3DE5"/>
    <w:rsid w:val="004E5B93"/>
    <w:rsid w:val="004E615D"/>
    <w:rsid w:val="004E6363"/>
    <w:rsid w:val="004E6C0C"/>
    <w:rsid w:val="004E716A"/>
    <w:rsid w:val="004F0A7D"/>
    <w:rsid w:val="004F553B"/>
    <w:rsid w:val="004F579B"/>
    <w:rsid w:val="004F6733"/>
    <w:rsid w:val="004F7708"/>
    <w:rsid w:val="00501507"/>
    <w:rsid w:val="00503AC7"/>
    <w:rsid w:val="00504D6B"/>
    <w:rsid w:val="00507AA9"/>
    <w:rsid w:val="0051063A"/>
    <w:rsid w:val="00511E6E"/>
    <w:rsid w:val="00512210"/>
    <w:rsid w:val="00513661"/>
    <w:rsid w:val="00515D7E"/>
    <w:rsid w:val="005165BB"/>
    <w:rsid w:val="00520065"/>
    <w:rsid w:val="0052042A"/>
    <w:rsid w:val="00520520"/>
    <w:rsid w:val="00524C78"/>
    <w:rsid w:val="00526E18"/>
    <w:rsid w:val="00530254"/>
    <w:rsid w:val="005309E4"/>
    <w:rsid w:val="00532448"/>
    <w:rsid w:val="00533299"/>
    <w:rsid w:val="00533681"/>
    <w:rsid w:val="005367F5"/>
    <w:rsid w:val="00536D16"/>
    <w:rsid w:val="00537EA2"/>
    <w:rsid w:val="00540946"/>
    <w:rsid w:val="00543322"/>
    <w:rsid w:val="00544047"/>
    <w:rsid w:val="0054434E"/>
    <w:rsid w:val="00545C68"/>
    <w:rsid w:val="00555263"/>
    <w:rsid w:val="0055631D"/>
    <w:rsid w:val="0055646D"/>
    <w:rsid w:val="00556AAB"/>
    <w:rsid w:val="0056093E"/>
    <w:rsid w:val="0056344E"/>
    <w:rsid w:val="0056576D"/>
    <w:rsid w:val="00573E56"/>
    <w:rsid w:val="00575A11"/>
    <w:rsid w:val="00581343"/>
    <w:rsid w:val="005847C5"/>
    <w:rsid w:val="00586297"/>
    <w:rsid w:val="00587EDF"/>
    <w:rsid w:val="00590283"/>
    <w:rsid w:val="00590412"/>
    <w:rsid w:val="00590B17"/>
    <w:rsid w:val="00591030"/>
    <w:rsid w:val="0059258A"/>
    <w:rsid w:val="0059531C"/>
    <w:rsid w:val="00596A52"/>
    <w:rsid w:val="00596BE5"/>
    <w:rsid w:val="005A17E1"/>
    <w:rsid w:val="005A3AF7"/>
    <w:rsid w:val="005A3F5F"/>
    <w:rsid w:val="005A58EA"/>
    <w:rsid w:val="005B0056"/>
    <w:rsid w:val="005B070D"/>
    <w:rsid w:val="005B61FD"/>
    <w:rsid w:val="005B69B7"/>
    <w:rsid w:val="005C01F0"/>
    <w:rsid w:val="005C0F81"/>
    <w:rsid w:val="005C1DAD"/>
    <w:rsid w:val="005C47BC"/>
    <w:rsid w:val="005C62BC"/>
    <w:rsid w:val="005C6CCE"/>
    <w:rsid w:val="005C7CD2"/>
    <w:rsid w:val="005D10F0"/>
    <w:rsid w:val="005D46AA"/>
    <w:rsid w:val="005D4DC7"/>
    <w:rsid w:val="005D5AE2"/>
    <w:rsid w:val="005D6090"/>
    <w:rsid w:val="005D69DB"/>
    <w:rsid w:val="005D6E01"/>
    <w:rsid w:val="005D762E"/>
    <w:rsid w:val="005E0BDB"/>
    <w:rsid w:val="005E66CB"/>
    <w:rsid w:val="005E73CC"/>
    <w:rsid w:val="005F003E"/>
    <w:rsid w:val="005F07C2"/>
    <w:rsid w:val="005F1EED"/>
    <w:rsid w:val="005F4B1F"/>
    <w:rsid w:val="005F505E"/>
    <w:rsid w:val="005F7B12"/>
    <w:rsid w:val="00602214"/>
    <w:rsid w:val="00602C1B"/>
    <w:rsid w:val="00607CF4"/>
    <w:rsid w:val="00611BD9"/>
    <w:rsid w:val="00614FC2"/>
    <w:rsid w:val="006171B2"/>
    <w:rsid w:val="006220F5"/>
    <w:rsid w:val="00634AC7"/>
    <w:rsid w:val="006378AC"/>
    <w:rsid w:val="00640FEC"/>
    <w:rsid w:val="00641870"/>
    <w:rsid w:val="00644E97"/>
    <w:rsid w:val="00644FBD"/>
    <w:rsid w:val="0064548D"/>
    <w:rsid w:val="0064671C"/>
    <w:rsid w:val="006535EC"/>
    <w:rsid w:val="0065455C"/>
    <w:rsid w:val="00656984"/>
    <w:rsid w:val="006622CB"/>
    <w:rsid w:val="00662AB1"/>
    <w:rsid w:val="00663141"/>
    <w:rsid w:val="00664174"/>
    <w:rsid w:val="00665622"/>
    <w:rsid w:val="00665693"/>
    <w:rsid w:val="00666748"/>
    <w:rsid w:val="00666937"/>
    <w:rsid w:val="0067154C"/>
    <w:rsid w:val="00671AD4"/>
    <w:rsid w:val="00672668"/>
    <w:rsid w:val="00673560"/>
    <w:rsid w:val="00675D1E"/>
    <w:rsid w:val="00680D5E"/>
    <w:rsid w:val="006916ED"/>
    <w:rsid w:val="006918EE"/>
    <w:rsid w:val="00694F2E"/>
    <w:rsid w:val="00697CBE"/>
    <w:rsid w:val="006A0E09"/>
    <w:rsid w:val="006A4D40"/>
    <w:rsid w:val="006A73E1"/>
    <w:rsid w:val="006A7D52"/>
    <w:rsid w:val="006B26D6"/>
    <w:rsid w:val="006B7E73"/>
    <w:rsid w:val="006B7F84"/>
    <w:rsid w:val="006C02AE"/>
    <w:rsid w:val="006C1A94"/>
    <w:rsid w:val="006C759E"/>
    <w:rsid w:val="006D0135"/>
    <w:rsid w:val="006D143B"/>
    <w:rsid w:val="006D3B20"/>
    <w:rsid w:val="006D5188"/>
    <w:rsid w:val="006D5B4C"/>
    <w:rsid w:val="006D6F07"/>
    <w:rsid w:val="006E0CA4"/>
    <w:rsid w:val="006E10FB"/>
    <w:rsid w:val="006E3B45"/>
    <w:rsid w:val="006E5E2A"/>
    <w:rsid w:val="006E5E6E"/>
    <w:rsid w:val="006E6D97"/>
    <w:rsid w:val="006E7FC3"/>
    <w:rsid w:val="006F1C08"/>
    <w:rsid w:val="006F2D60"/>
    <w:rsid w:val="006F3DFE"/>
    <w:rsid w:val="006F4FD4"/>
    <w:rsid w:val="006F5565"/>
    <w:rsid w:val="006F7085"/>
    <w:rsid w:val="0070434B"/>
    <w:rsid w:val="00704632"/>
    <w:rsid w:val="00704A0E"/>
    <w:rsid w:val="00705191"/>
    <w:rsid w:val="00705942"/>
    <w:rsid w:val="00713D8A"/>
    <w:rsid w:val="0071447C"/>
    <w:rsid w:val="00714985"/>
    <w:rsid w:val="00714DD7"/>
    <w:rsid w:val="0071569D"/>
    <w:rsid w:val="00717980"/>
    <w:rsid w:val="00720DBD"/>
    <w:rsid w:val="0072126F"/>
    <w:rsid w:val="007223D4"/>
    <w:rsid w:val="00722721"/>
    <w:rsid w:val="007255AA"/>
    <w:rsid w:val="0072676F"/>
    <w:rsid w:val="00726924"/>
    <w:rsid w:val="0073060B"/>
    <w:rsid w:val="00731199"/>
    <w:rsid w:val="00731DE1"/>
    <w:rsid w:val="00732026"/>
    <w:rsid w:val="007328AA"/>
    <w:rsid w:val="00735FC0"/>
    <w:rsid w:val="00736CF1"/>
    <w:rsid w:val="00736E17"/>
    <w:rsid w:val="00740CA6"/>
    <w:rsid w:val="007412F8"/>
    <w:rsid w:val="007444CC"/>
    <w:rsid w:val="00744797"/>
    <w:rsid w:val="00745166"/>
    <w:rsid w:val="00747825"/>
    <w:rsid w:val="00751D54"/>
    <w:rsid w:val="00753A27"/>
    <w:rsid w:val="007540A5"/>
    <w:rsid w:val="007555E9"/>
    <w:rsid w:val="00762D22"/>
    <w:rsid w:val="00763BDF"/>
    <w:rsid w:val="00763D1A"/>
    <w:rsid w:val="007661B5"/>
    <w:rsid w:val="007665B0"/>
    <w:rsid w:val="0076661A"/>
    <w:rsid w:val="00767799"/>
    <w:rsid w:val="00771F23"/>
    <w:rsid w:val="00772C09"/>
    <w:rsid w:val="00772D97"/>
    <w:rsid w:val="00775554"/>
    <w:rsid w:val="00777056"/>
    <w:rsid w:val="00777FCB"/>
    <w:rsid w:val="007833E3"/>
    <w:rsid w:val="007857DB"/>
    <w:rsid w:val="007876E8"/>
    <w:rsid w:val="0079231C"/>
    <w:rsid w:val="00792796"/>
    <w:rsid w:val="007929C6"/>
    <w:rsid w:val="00792A44"/>
    <w:rsid w:val="00794540"/>
    <w:rsid w:val="00795851"/>
    <w:rsid w:val="00796AF0"/>
    <w:rsid w:val="00797F11"/>
    <w:rsid w:val="007A1ABD"/>
    <w:rsid w:val="007A1B08"/>
    <w:rsid w:val="007A35B2"/>
    <w:rsid w:val="007A494C"/>
    <w:rsid w:val="007A4CE7"/>
    <w:rsid w:val="007A66C1"/>
    <w:rsid w:val="007B17EA"/>
    <w:rsid w:val="007B3C65"/>
    <w:rsid w:val="007C15AE"/>
    <w:rsid w:val="007C2F6D"/>
    <w:rsid w:val="007C4D77"/>
    <w:rsid w:val="007C6EFF"/>
    <w:rsid w:val="007C79F3"/>
    <w:rsid w:val="007D12B7"/>
    <w:rsid w:val="007D1FE1"/>
    <w:rsid w:val="007D2481"/>
    <w:rsid w:val="007D50ED"/>
    <w:rsid w:val="007D7856"/>
    <w:rsid w:val="007E141E"/>
    <w:rsid w:val="007E44E2"/>
    <w:rsid w:val="007E4908"/>
    <w:rsid w:val="007E5FB9"/>
    <w:rsid w:val="007E60C7"/>
    <w:rsid w:val="007F12A9"/>
    <w:rsid w:val="007F3832"/>
    <w:rsid w:val="007F4E4D"/>
    <w:rsid w:val="007F50AF"/>
    <w:rsid w:val="008013A7"/>
    <w:rsid w:val="00801C6A"/>
    <w:rsid w:val="00802778"/>
    <w:rsid w:val="00803D1E"/>
    <w:rsid w:val="0080696B"/>
    <w:rsid w:val="00807252"/>
    <w:rsid w:val="00811140"/>
    <w:rsid w:val="0081660B"/>
    <w:rsid w:val="008168C3"/>
    <w:rsid w:val="00816A21"/>
    <w:rsid w:val="0082124F"/>
    <w:rsid w:val="008243E0"/>
    <w:rsid w:val="008248EE"/>
    <w:rsid w:val="0082706B"/>
    <w:rsid w:val="008272FC"/>
    <w:rsid w:val="008302AB"/>
    <w:rsid w:val="00830634"/>
    <w:rsid w:val="008309F7"/>
    <w:rsid w:val="00831EE7"/>
    <w:rsid w:val="00833556"/>
    <w:rsid w:val="00834509"/>
    <w:rsid w:val="00835B28"/>
    <w:rsid w:val="00835DD5"/>
    <w:rsid w:val="00837070"/>
    <w:rsid w:val="00840735"/>
    <w:rsid w:val="00840921"/>
    <w:rsid w:val="008418E4"/>
    <w:rsid w:val="00842A56"/>
    <w:rsid w:val="00843335"/>
    <w:rsid w:val="00844641"/>
    <w:rsid w:val="008448A0"/>
    <w:rsid w:val="00846182"/>
    <w:rsid w:val="00846DE6"/>
    <w:rsid w:val="008471E6"/>
    <w:rsid w:val="008503B2"/>
    <w:rsid w:val="00854116"/>
    <w:rsid w:val="00854AF8"/>
    <w:rsid w:val="00861097"/>
    <w:rsid w:val="00861831"/>
    <w:rsid w:val="00862242"/>
    <w:rsid w:val="008644BA"/>
    <w:rsid w:val="0086483F"/>
    <w:rsid w:val="00867009"/>
    <w:rsid w:val="00867126"/>
    <w:rsid w:val="0087026F"/>
    <w:rsid w:val="008709C0"/>
    <w:rsid w:val="008747F3"/>
    <w:rsid w:val="00876A3F"/>
    <w:rsid w:val="00877096"/>
    <w:rsid w:val="008845FB"/>
    <w:rsid w:val="00884EE5"/>
    <w:rsid w:val="0088544A"/>
    <w:rsid w:val="00886938"/>
    <w:rsid w:val="008872F6"/>
    <w:rsid w:val="0089254C"/>
    <w:rsid w:val="00892D91"/>
    <w:rsid w:val="00893D4B"/>
    <w:rsid w:val="00894724"/>
    <w:rsid w:val="008A2345"/>
    <w:rsid w:val="008A3ADF"/>
    <w:rsid w:val="008A3DC1"/>
    <w:rsid w:val="008A40C9"/>
    <w:rsid w:val="008A5495"/>
    <w:rsid w:val="008A5BA5"/>
    <w:rsid w:val="008A6FB3"/>
    <w:rsid w:val="008B0CE2"/>
    <w:rsid w:val="008B5F8E"/>
    <w:rsid w:val="008B78CB"/>
    <w:rsid w:val="008C0FFB"/>
    <w:rsid w:val="008C208D"/>
    <w:rsid w:val="008C36F8"/>
    <w:rsid w:val="008C4B60"/>
    <w:rsid w:val="008C7E6D"/>
    <w:rsid w:val="008D3C32"/>
    <w:rsid w:val="008D4E8F"/>
    <w:rsid w:val="008D55C8"/>
    <w:rsid w:val="008D7777"/>
    <w:rsid w:val="008E23DF"/>
    <w:rsid w:val="008E339E"/>
    <w:rsid w:val="008E57E9"/>
    <w:rsid w:val="008E621D"/>
    <w:rsid w:val="008F0F9E"/>
    <w:rsid w:val="008F3646"/>
    <w:rsid w:val="008F6F44"/>
    <w:rsid w:val="009023D9"/>
    <w:rsid w:val="009030E0"/>
    <w:rsid w:val="009042BF"/>
    <w:rsid w:val="009068D3"/>
    <w:rsid w:val="00910987"/>
    <w:rsid w:val="00911372"/>
    <w:rsid w:val="00912480"/>
    <w:rsid w:val="009129E7"/>
    <w:rsid w:val="00914EAB"/>
    <w:rsid w:val="00920F08"/>
    <w:rsid w:val="009230A4"/>
    <w:rsid w:val="0092719D"/>
    <w:rsid w:val="0093084A"/>
    <w:rsid w:val="00931690"/>
    <w:rsid w:val="00931B81"/>
    <w:rsid w:val="0093204E"/>
    <w:rsid w:val="009369DD"/>
    <w:rsid w:val="00937A6A"/>
    <w:rsid w:val="009411E1"/>
    <w:rsid w:val="009418A7"/>
    <w:rsid w:val="009470B6"/>
    <w:rsid w:val="00950691"/>
    <w:rsid w:val="009509C7"/>
    <w:rsid w:val="00950EDF"/>
    <w:rsid w:val="009531DC"/>
    <w:rsid w:val="00954EFC"/>
    <w:rsid w:val="009565D6"/>
    <w:rsid w:val="00956D8A"/>
    <w:rsid w:val="00957FE9"/>
    <w:rsid w:val="009607ED"/>
    <w:rsid w:val="0096345A"/>
    <w:rsid w:val="00964A57"/>
    <w:rsid w:val="00967638"/>
    <w:rsid w:val="00972928"/>
    <w:rsid w:val="00972E39"/>
    <w:rsid w:val="009763DC"/>
    <w:rsid w:val="00976C49"/>
    <w:rsid w:val="00976CF4"/>
    <w:rsid w:val="0098076C"/>
    <w:rsid w:val="00981C75"/>
    <w:rsid w:val="009830C1"/>
    <w:rsid w:val="00983636"/>
    <w:rsid w:val="00983C1B"/>
    <w:rsid w:val="009867C2"/>
    <w:rsid w:val="00986ACB"/>
    <w:rsid w:val="00986B78"/>
    <w:rsid w:val="00986B86"/>
    <w:rsid w:val="00991430"/>
    <w:rsid w:val="009934FC"/>
    <w:rsid w:val="009948BD"/>
    <w:rsid w:val="009A0612"/>
    <w:rsid w:val="009A24CA"/>
    <w:rsid w:val="009A51AC"/>
    <w:rsid w:val="009B53CF"/>
    <w:rsid w:val="009B59A4"/>
    <w:rsid w:val="009B5D11"/>
    <w:rsid w:val="009B5D3B"/>
    <w:rsid w:val="009B7CC4"/>
    <w:rsid w:val="009B7F0F"/>
    <w:rsid w:val="009C4ACF"/>
    <w:rsid w:val="009C55EA"/>
    <w:rsid w:val="009C65E1"/>
    <w:rsid w:val="009C72CD"/>
    <w:rsid w:val="009D0BF2"/>
    <w:rsid w:val="009D1535"/>
    <w:rsid w:val="009D17B2"/>
    <w:rsid w:val="009D2394"/>
    <w:rsid w:val="009D74F4"/>
    <w:rsid w:val="009D7714"/>
    <w:rsid w:val="009E00FD"/>
    <w:rsid w:val="009E1673"/>
    <w:rsid w:val="009E1942"/>
    <w:rsid w:val="009E2662"/>
    <w:rsid w:val="009E4A94"/>
    <w:rsid w:val="009E56E1"/>
    <w:rsid w:val="009F245C"/>
    <w:rsid w:val="00A0435A"/>
    <w:rsid w:val="00A04C83"/>
    <w:rsid w:val="00A05AD3"/>
    <w:rsid w:val="00A05FBF"/>
    <w:rsid w:val="00A0678B"/>
    <w:rsid w:val="00A06E4D"/>
    <w:rsid w:val="00A10275"/>
    <w:rsid w:val="00A151BA"/>
    <w:rsid w:val="00A157C0"/>
    <w:rsid w:val="00A17A9D"/>
    <w:rsid w:val="00A22656"/>
    <w:rsid w:val="00A22A21"/>
    <w:rsid w:val="00A2505A"/>
    <w:rsid w:val="00A2775C"/>
    <w:rsid w:val="00A27970"/>
    <w:rsid w:val="00A32820"/>
    <w:rsid w:val="00A32CB9"/>
    <w:rsid w:val="00A3408A"/>
    <w:rsid w:val="00A3621B"/>
    <w:rsid w:val="00A364D5"/>
    <w:rsid w:val="00A36E7B"/>
    <w:rsid w:val="00A40BA0"/>
    <w:rsid w:val="00A41B24"/>
    <w:rsid w:val="00A4284B"/>
    <w:rsid w:val="00A42D13"/>
    <w:rsid w:val="00A43307"/>
    <w:rsid w:val="00A43A15"/>
    <w:rsid w:val="00A44C8E"/>
    <w:rsid w:val="00A5007B"/>
    <w:rsid w:val="00A5304C"/>
    <w:rsid w:val="00A56A1C"/>
    <w:rsid w:val="00A602C8"/>
    <w:rsid w:val="00A608DF"/>
    <w:rsid w:val="00A612F2"/>
    <w:rsid w:val="00A66AD1"/>
    <w:rsid w:val="00A71448"/>
    <w:rsid w:val="00A7580D"/>
    <w:rsid w:val="00A75AE0"/>
    <w:rsid w:val="00A8016B"/>
    <w:rsid w:val="00A81729"/>
    <w:rsid w:val="00A81CEE"/>
    <w:rsid w:val="00A823C1"/>
    <w:rsid w:val="00A82D40"/>
    <w:rsid w:val="00A8500F"/>
    <w:rsid w:val="00A85C7B"/>
    <w:rsid w:val="00A862B1"/>
    <w:rsid w:val="00A879FA"/>
    <w:rsid w:val="00A87DCF"/>
    <w:rsid w:val="00A91644"/>
    <w:rsid w:val="00A9181B"/>
    <w:rsid w:val="00A93078"/>
    <w:rsid w:val="00A93BFE"/>
    <w:rsid w:val="00A93C23"/>
    <w:rsid w:val="00A9510B"/>
    <w:rsid w:val="00A95A3F"/>
    <w:rsid w:val="00A97095"/>
    <w:rsid w:val="00A973D1"/>
    <w:rsid w:val="00A976BF"/>
    <w:rsid w:val="00AA069F"/>
    <w:rsid w:val="00AA0952"/>
    <w:rsid w:val="00AA1495"/>
    <w:rsid w:val="00AA3FC1"/>
    <w:rsid w:val="00AA58C5"/>
    <w:rsid w:val="00AA6B8F"/>
    <w:rsid w:val="00AA7BD0"/>
    <w:rsid w:val="00AB2388"/>
    <w:rsid w:val="00AC13E1"/>
    <w:rsid w:val="00AC2D78"/>
    <w:rsid w:val="00AC344F"/>
    <w:rsid w:val="00AC438A"/>
    <w:rsid w:val="00AC5BE6"/>
    <w:rsid w:val="00AC5D36"/>
    <w:rsid w:val="00AC5F7F"/>
    <w:rsid w:val="00AD083D"/>
    <w:rsid w:val="00AD0A8C"/>
    <w:rsid w:val="00AD1B14"/>
    <w:rsid w:val="00AD5D1A"/>
    <w:rsid w:val="00AE18D5"/>
    <w:rsid w:val="00AE1920"/>
    <w:rsid w:val="00AE268C"/>
    <w:rsid w:val="00AE499E"/>
    <w:rsid w:val="00AE56F8"/>
    <w:rsid w:val="00AF0036"/>
    <w:rsid w:val="00AF0E26"/>
    <w:rsid w:val="00AF1B04"/>
    <w:rsid w:val="00AF3ACC"/>
    <w:rsid w:val="00AF3B16"/>
    <w:rsid w:val="00AF4832"/>
    <w:rsid w:val="00AF5A60"/>
    <w:rsid w:val="00B00AA2"/>
    <w:rsid w:val="00B00E9D"/>
    <w:rsid w:val="00B00EFD"/>
    <w:rsid w:val="00B010AE"/>
    <w:rsid w:val="00B0123E"/>
    <w:rsid w:val="00B01C81"/>
    <w:rsid w:val="00B02F85"/>
    <w:rsid w:val="00B041FB"/>
    <w:rsid w:val="00B05AEC"/>
    <w:rsid w:val="00B067F6"/>
    <w:rsid w:val="00B06ECC"/>
    <w:rsid w:val="00B1092C"/>
    <w:rsid w:val="00B11042"/>
    <w:rsid w:val="00B125CB"/>
    <w:rsid w:val="00B14E54"/>
    <w:rsid w:val="00B1551B"/>
    <w:rsid w:val="00B25548"/>
    <w:rsid w:val="00B25910"/>
    <w:rsid w:val="00B2670C"/>
    <w:rsid w:val="00B316E4"/>
    <w:rsid w:val="00B319B4"/>
    <w:rsid w:val="00B32920"/>
    <w:rsid w:val="00B3501E"/>
    <w:rsid w:val="00B3524E"/>
    <w:rsid w:val="00B36C58"/>
    <w:rsid w:val="00B41053"/>
    <w:rsid w:val="00B41C87"/>
    <w:rsid w:val="00B43C6F"/>
    <w:rsid w:val="00B4736D"/>
    <w:rsid w:val="00B47CE5"/>
    <w:rsid w:val="00B5570D"/>
    <w:rsid w:val="00B5617B"/>
    <w:rsid w:val="00B57CCE"/>
    <w:rsid w:val="00B604FC"/>
    <w:rsid w:val="00B63794"/>
    <w:rsid w:val="00B64864"/>
    <w:rsid w:val="00B64B4B"/>
    <w:rsid w:val="00B667C5"/>
    <w:rsid w:val="00B67E20"/>
    <w:rsid w:val="00B70A46"/>
    <w:rsid w:val="00B71172"/>
    <w:rsid w:val="00B72C4D"/>
    <w:rsid w:val="00B73338"/>
    <w:rsid w:val="00B7347D"/>
    <w:rsid w:val="00B75E2E"/>
    <w:rsid w:val="00B803C6"/>
    <w:rsid w:val="00B82AB3"/>
    <w:rsid w:val="00B868F7"/>
    <w:rsid w:val="00B873CD"/>
    <w:rsid w:val="00B90A1F"/>
    <w:rsid w:val="00B94097"/>
    <w:rsid w:val="00B97998"/>
    <w:rsid w:val="00BA10A7"/>
    <w:rsid w:val="00BA48DD"/>
    <w:rsid w:val="00BA5672"/>
    <w:rsid w:val="00BA600C"/>
    <w:rsid w:val="00BA7D07"/>
    <w:rsid w:val="00BB09BA"/>
    <w:rsid w:val="00BB15E6"/>
    <w:rsid w:val="00BB28B1"/>
    <w:rsid w:val="00BB4047"/>
    <w:rsid w:val="00BC0B2B"/>
    <w:rsid w:val="00BC1313"/>
    <w:rsid w:val="00BC170C"/>
    <w:rsid w:val="00BC26F8"/>
    <w:rsid w:val="00BC39E3"/>
    <w:rsid w:val="00BD040C"/>
    <w:rsid w:val="00BD0A13"/>
    <w:rsid w:val="00BD2DEF"/>
    <w:rsid w:val="00BD30D3"/>
    <w:rsid w:val="00BD3136"/>
    <w:rsid w:val="00BD46D9"/>
    <w:rsid w:val="00BD67C6"/>
    <w:rsid w:val="00BE2F41"/>
    <w:rsid w:val="00BE42F4"/>
    <w:rsid w:val="00BE4E51"/>
    <w:rsid w:val="00BE5127"/>
    <w:rsid w:val="00BE6890"/>
    <w:rsid w:val="00BF01AE"/>
    <w:rsid w:val="00BF07B8"/>
    <w:rsid w:val="00BF4AB9"/>
    <w:rsid w:val="00BF5767"/>
    <w:rsid w:val="00BF79BB"/>
    <w:rsid w:val="00C000D5"/>
    <w:rsid w:val="00C04D59"/>
    <w:rsid w:val="00C0673B"/>
    <w:rsid w:val="00C072D7"/>
    <w:rsid w:val="00C10283"/>
    <w:rsid w:val="00C114F4"/>
    <w:rsid w:val="00C11629"/>
    <w:rsid w:val="00C12AA9"/>
    <w:rsid w:val="00C13887"/>
    <w:rsid w:val="00C1442C"/>
    <w:rsid w:val="00C1482F"/>
    <w:rsid w:val="00C15796"/>
    <w:rsid w:val="00C15F30"/>
    <w:rsid w:val="00C23878"/>
    <w:rsid w:val="00C2471A"/>
    <w:rsid w:val="00C275C7"/>
    <w:rsid w:val="00C30C5D"/>
    <w:rsid w:val="00C31C26"/>
    <w:rsid w:val="00C330A6"/>
    <w:rsid w:val="00C3738D"/>
    <w:rsid w:val="00C40956"/>
    <w:rsid w:val="00C40F02"/>
    <w:rsid w:val="00C41EC9"/>
    <w:rsid w:val="00C44E97"/>
    <w:rsid w:val="00C456AB"/>
    <w:rsid w:val="00C45CC4"/>
    <w:rsid w:val="00C507E8"/>
    <w:rsid w:val="00C524BB"/>
    <w:rsid w:val="00C52536"/>
    <w:rsid w:val="00C53564"/>
    <w:rsid w:val="00C539BE"/>
    <w:rsid w:val="00C54467"/>
    <w:rsid w:val="00C5549B"/>
    <w:rsid w:val="00C57C80"/>
    <w:rsid w:val="00C62E5F"/>
    <w:rsid w:val="00C63004"/>
    <w:rsid w:val="00C637AF"/>
    <w:rsid w:val="00C70037"/>
    <w:rsid w:val="00C70234"/>
    <w:rsid w:val="00C7366D"/>
    <w:rsid w:val="00C73BD6"/>
    <w:rsid w:val="00C804A0"/>
    <w:rsid w:val="00C82FA6"/>
    <w:rsid w:val="00C83D1E"/>
    <w:rsid w:val="00C84142"/>
    <w:rsid w:val="00C84C91"/>
    <w:rsid w:val="00C85579"/>
    <w:rsid w:val="00C87730"/>
    <w:rsid w:val="00C878EF"/>
    <w:rsid w:val="00C919B4"/>
    <w:rsid w:val="00C9432A"/>
    <w:rsid w:val="00C95D4B"/>
    <w:rsid w:val="00C96328"/>
    <w:rsid w:val="00CA0B1E"/>
    <w:rsid w:val="00CA1BAA"/>
    <w:rsid w:val="00CA30B3"/>
    <w:rsid w:val="00CA471B"/>
    <w:rsid w:val="00CA4993"/>
    <w:rsid w:val="00CA5C40"/>
    <w:rsid w:val="00CB3330"/>
    <w:rsid w:val="00CB7151"/>
    <w:rsid w:val="00CB7B7B"/>
    <w:rsid w:val="00CC3625"/>
    <w:rsid w:val="00CC369A"/>
    <w:rsid w:val="00CD048B"/>
    <w:rsid w:val="00CD10F4"/>
    <w:rsid w:val="00CD2C66"/>
    <w:rsid w:val="00CD2F2B"/>
    <w:rsid w:val="00CD3297"/>
    <w:rsid w:val="00CE2BC2"/>
    <w:rsid w:val="00CE4D6D"/>
    <w:rsid w:val="00CE5C43"/>
    <w:rsid w:val="00CE7AC6"/>
    <w:rsid w:val="00CE7C97"/>
    <w:rsid w:val="00CF4CD8"/>
    <w:rsid w:val="00CF5AF5"/>
    <w:rsid w:val="00CF6512"/>
    <w:rsid w:val="00D020B2"/>
    <w:rsid w:val="00D02DC3"/>
    <w:rsid w:val="00D14724"/>
    <w:rsid w:val="00D156D6"/>
    <w:rsid w:val="00D16C91"/>
    <w:rsid w:val="00D17880"/>
    <w:rsid w:val="00D20FBB"/>
    <w:rsid w:val="00D21287"/>
    <w:rsid w:val="00D248BA"/>
    <w:rsid w:val="00D25C52"/>
    <w:rsid w:val="00D269B0"/>
    <w:rsid w:val="00D30123"/>
    <w:rsid w:val="00D31C0F"/>
    <w:rsid w:val="00D32670"/>
    <w:rsid w:val="00D32DD9"/>
    <w:rsid w:val="00D34995"/>
    <w:rsid w:val="00D361E8"/>
    <w:rsid w:val="00D412E3"/>
    <w:rsid w:val="00D42819"/>
    <w:rsid w:val="00D44A5A"/>
    <w:rsid w:val="00D4572C"/>
    <w:rsid w:val="00D47584"/>
    <w:rsid w:val="00D520B8"/>
    <w:rsid w:val="00D52BE6"/>
    <w:rsid w:val="00D5482A"/>
    <w:rsid w:val="00D54AC3"/>
    <w:rsid w:val="00D578FB"/>
    <w:rsid w:val="00D621F0"/>
    <w:rsid w:val="00D62A5B"/>
    <w:rsid w:val="00D62DDF"/>
    <w:rsid w:val="00D714F6"/>
    <w:rsid w:val="00D77E8E"/>
    <w:rsid w:val="00D80533"/>
    <w:rsid w:val="00D8078B"/>
    <w:rsid w:val="00D84259"/>
    <w:rsid w:val="00D86522"/>
    <w:rsid w:val="00D8699C"/>
    <w:rsid w:val="00D93426"/>
    <w:rsid w:val="00D93E59"/>
    <w:rsid w:val="00D93FF3"/>
    <w:rsid w:val="00DA7352"/>
    <w:rsid w:val="00DA7C06"/>
    <w:rsid w:val="00DB35D5"/>
    <w:rsid w:val="00DB39C7"/>
    <w:rsid w:val="00DB4D2D"/>
    <w:rsid w:val="00DB4EE1"/>
    <w:rsid w:val="00DB5588"/>
    <w:rsid w:val="00DB5B1F"/>
    <w:rsid w:val="00DB5FE0"/>
    <w:rsid w:val="00DC0FDB"/>
    <w:rsid w:val="00DC17C0"/>
    <w:rsid w:val="00DC290B"/>
    <w:rsid w:val="00DC332F"/>
    <w:rsid w:val="00DC43AE"/>
    <w:rsid w:val="00DC6AE1"/>
    <w:rsid w:val="00DC7C4E"/>
    <w:rsid w:val="00DD0A47"/>
    <w:rsid w:val="00DD565B"/>
    <w:rsid w:val="00DD65B0"/>
    <w:rsid w:val="00DD6E4F"/>
    <w:rsid w:val="00DE11AD"/>
    <w:rsid w:val="00DE2059"/>
    <w:rsid w:val="00DE54BC"/>
    <w:rsid w:val="00DF4386"/>
    <w:rsid w:val="00DF5348"/>
    <w:rsid w:val="00DF78AE"/>
    <w:rsid w:val="00E02822"/>
    <w:rsid w:val="00E028F1"/>
    <w:rsid w:val="00E03B33"/>
    <w:rsid w:val="00E06C5F"/>
    <w:rsid w:val="00E070AF"/>
    <w:rsid w:val="00E12AED"/>
    <w:rsid w:val="00E179A1"/>
    <w:rsid w:val="00E17A96"/>
    <w:rsid w:val="00E2118D"/>
    <w:rsid w:val="00E21A0D"/>
    <w:rsid w:val="00E34AF3"/>
    <w:rsid w:val="00E36F72"/>
    <w:rsid w:val="00E40E60"/>
    <w:rsid w:val="00E410B2"/>
    <w:rsid w:val="00E45C4F"/>
    <w:rsid w:val="00E47F02"/>
    <w:rsid w:val="00E50800"/>
    <w:rsid w:val="00E50CEE"/>
    <w:rsid w:val="00E51673"/>
    <w:rsid w:val="00E546B7"/>
    <w:rsid w:val="00E57915"/>
    <w:rsid w:val="00E64F1B"/>
    <w:rsid w:val="00E6592E"/>
    <w:rsid w:val="00E67503"/>
    <w:rsid w:val="00E7382F"/>
    <w:rsid w:val="00E73C1E"/>
    <w:rsid w:val="00E74211"/>
    <w:rsid w:val="00E74EF9"/>
    <w:rsid w:val="00E7585E"/>
    <w:rsid w:val="00E77464"/>
    <w:rsid w:val="00E77B31"/>
    <w:rsid w:val="00E8042D"/>
    <w:rsid w:val="00E8360F"/>
    <w:rsid w:val="00E83C68"/>
    <w:rsid w:val="00E878C4"/>
    <w:rsid w:val="00E91C21"/>
    <w:rsid w:val="00E93601"/>
    <w:rsid w:val="00E97012"/>
    <w:rsid w:val="00EA1826"/>
    <w:rsid w:val="00EA1C1F"/>
    <w:rsid w:val="00EA797C"/>
    <w:rsid w:val="00EB34E9"/>
    <w:rsid w:val="00EC19DF"/>
    <w:rsid w:val="00EC356F"/>
    <w:rsid w:val="00EC384D"/>
    <w:rsid w:val="00EC48A7"/>
    <w:rsid w:val="00EC7964"/>
    <w:rsid w:val="00ED1597"/>
    <w:rsid w:val="00ED1FC3"/>
    <w:rsid w:val="00ED1FF5"/>
    <w:rsid w:val="00ED2A6F"/>
    <w:rsid w:val="00ED37AE"/>
    <w:rsid w:val="00ED4149"/>
    <w:rsid w:val="00ED75F5"/>
    <w:rsid w:val="00EE0FEC"/>
    <w:rsid w:val="00EE1728"/>
    <w:rsid w:val="00EE38A5"/>
    <w:rsid w:val="00EE467F"/>
    <w:rsid w:val="00EE4B82"/>
    <w:rsid w:val="00EE4EE0"/>
    <w:rsid w:val="00EE64E6"/>
    <w:rsid w:val="00EE6E9A"/>
    <w:rsid w:val="00EE7966"/>
    <w:rsid w:val="00EF0C2D"/>
    <w:rsid w:val="00EF1466"/>
    <w:rsid w:val="00EF155D"/>
    <w:rsid w:val="00EF28F8"/>
    <w:rsid w:val="00EF466C"/>
    <w:rsid w:val="00EF61BE"/>
    <w:rsid w:val="00EF7578"/>
    <w:rsid w:val="00EF7D97"/>
    <w:rsid w:val="00F00948"/>
    <w:rsid w:val="00F01B16"/>
    <w:rsid w:val="00F04A22"/>
    <w:rsid w:val="00F06644"/>
    <w:rsid w:val="00F071DD"/>
    <w:rsid w:val="00F1287F"/>
    <w:rsid w:val="00F148E3"/>
    <w:rsid w:val="00F17618"/>
    <w:rsid w:val="00F17DEE"/>
    <w:rsid w:val="00F20DDF"/>
    <w:rsid w:val="00F2277A"/>
    <w:rsid w:val="00F2333B"/>
    <w:rsid w:val="00F23672"/>
    <w:rsid w:val="00F23A57"/>
    <w:rsid w:val="00F24805"/>
    <w:rsid w:val="00F30A95"/>
    <w:rsid w:val="00F30D32"/>
    <w:rsid w:val="00F319DF"/>
    <w:rsid w:val="00F34AC0"/>
    <w:rsid w:val="00F3581F"/>
    <w:rsid w:val="00F400C0"/>
    <w:rsid w:val="00F402A8"/>
    <w:rsid w:val="00F43861"/>
    <w:rsid w:val="00F443CF"/>
    <w:rsid w:val="00F5030B"/>
    <w:rsid w:val="00F50892"/>
    <w:rsid w:val="00F51D0B"/>
    <w:rsid w:val="00F5205F"/>
    <w:rsid w:val="00F53379"/>
    <w:rsid w:val="00F54BBC"/>
    <w:rsid w:val="00F55041"/>
    <w:rsid w:val="00F55EAD"/>
    <w:rsid w:val="00F55EF1"/>
    <w:rsid w:val="00F55FC7"/>
    <w:rsid w:val="00F6353D"/>
    <w:rsid w:val="00F649CB"/>
    <w:rsid w:val="00F76067"/>
    <w:rsid w:val="00F77D3E"/>
    <w:rsid w:val="00F80A6B"/>
    <w:rsid w:val="00F80A7A"/>
    <w:rsid w:val="00F821DC"/>
    <w:rsid w:val="00F82BE6"/>
    <w:rsid w:val="00F82D4C"/>
    <w:rsid w:val="00F83F3F"/>
    <w:rsid w:val="00F845AF"/>
    <w:rsid w:val="00F8631A"/>
    <w:rsid w:val="00F91143"/>
    <w:rsid w:val="00F923DB"/>
    <w:rsid w:val="00F95F13"/>
    <w:rsid w:val="00F9690C"/>
    <w:rsid w:val="00F977CD"/>
    <w:rsid w:val="00F97D62"/>
    <w:rsid w:val="00FA1087"/>
    <w:rsid w:val="00FA11CF"/>
    <w:rsid w:val="00FA28FE"/>
    <w:rsid w:val="00FA71C0"/>
    <w:rsid w:val="00FB051B"/>
    <w:rsid w:val="00FB08FE"/>
    <w:rsid w:val="00FB2721"/>
    <w:rsid w:val="00FB538C"/>
    <w:rsid w:val="00FB6E3E"/>
    <w:rsid w:val="00FC2E2F"/>
    <w:rsid w:val="00FC4A8C"/>
    <w:rsid w:val="00FC5745"/>
    <w:rsid w:val="00FC668D"/>
    <w:rsid w:val="00FC72C0"/>
    <w:rsid w:val="00FC7C9B"/>
    <w:rsid w:val="00FD4E6B"/>
    <w:rsid w:val="00FE026B"/>
    <w:rsid w:val="00FE0DDB"/>
    <w:rsid w:val="00FE34D3"/>
    <w:rsid w:val="00FE3EE7"/>
    <w:rsid w:val="00FE5E9E"/>
    <w:rsid w:val="00FF24D4"/>
    <w:rsid w:val="00FF37D1"/>
    <w:rsid w:val="00FF3AE9"/>
    <w:rsid w:val="00FF4FD9"/>
    <w:rsid w:val="00FF5E0C"/>
    <w:rsid w:val="00FF7401"/>
    <w:rsid w:val="05C42673"/>
    <w:rsid w:val="08F295D5"/>
    <w:rsid w:val="098D37E7"/>
    <w:rsid w:val="19935F05"/>
    <w:rsid w:val="2784A02F"/>
    <w:rsid w:val="28F3BA9F"/>
    <w:rsid w:val="3250CFB3"/>
    <w:rsid w:val="421FC26E"/>
    <w:rsid w:val="45A7B8BD"/>
    <w:rsid w:val="4799A4D2"/>
    <w:rsid w:val="5E15EEA5"/>
    <w:rsid w:val="6531094C"/>
    <w:rsid w:val="68E5B0BC"/>
    <w:rsid w:val="74814C79"/>
  </w:rsids>
  <m:mathPr>
    <m:mathFont m:val="Cambria Math"/>
    <m:brkBin m:val="before"/>
    <m:brkBinSub m:val="--"/>
    <m:smallFrac m:val="0"/>
    <m:dispDef m:val="0"/>
    <m:lMargin m:val="0"/>
    <m:rMargin m:val="0"/>
    <m:defJc m:val="centerGroup"/>
    <m:wrapRight/>
    <m:intLim m:val="subSup"/>
    <m:naryLim m:val="subSup"/>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187472A"/>
  <w15:docId w15:val="{A5222E48-E58E-4ED5-A118-2D12A4C4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62E"/>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6F4FD4"/>
    <w:pPr>
      <w:keepNext/>
      <w:keepLines/>
      <w:spacing w:before="240"/>
      <w:outlineLvl w:val="0"/>
    </w:pPr>
    <w:rPr>
      <w:rFonts w:asciiTheme="majorHAnsi" w:eastAsiaTheme="majorEastAsia" w:hAnsiTheme="majorHAnsi" w:cstheme="majorBidi"/>
      <w:color w:val="365F91" w:themeColor="accent1" w:themeShade="BF"/>
      <w:sz w:val="32"/>
      <w:szCs w:val="32"/>
      <w:lang w:eastAsia="ja-JP"/>
    </w:rPr>
  </w:style>
  <w:style w:type="paragraph" w:styleId="Heading2">
    <w:name w:val="heading 2"/>
    <w:basedOn w:val="Normal"/>
    <w:next w:val="Normal"/>
    <w:link w:val="Heading2Char"/>
    <w:uiPriority w:val="9"/>
    <w:unhideWhenUsed/>
    <w:qFormat/>
    <w:rsid w:val="006F4FD4"/>
    <w:pPr>
      <w:keepNext/>
      <w:keepLines/>
      <w:spacing w:before="40"/>
      <w:outlineLvl w:val="1"/>
    </w:pPr>
    <w:rPr>
      <w:rFonts w:asciiTheme="majorHAnsi" w:eastAsiaTheme="majorEastAsia" w:hAnsiTheme="majorHAnsi" w:cstheme="majorBidi"/>
      <w:color w:val="365F91" w:themeColor="accent1" w:themeShade="BF"/>
      <w:sz w:val="26"/>
      <w:szCs w:val="26"/>
      <w:lang w:eastAsia="ja-JP"/>
    </w:rPr>
  </w:style>
  <w:style w:type="paragraph" w:styleId="Heading3">
    <w:name w:val="heading 3"/>
    <w:basedOn w:val="Normal"/>
    <w:link w:val="Heading3Char"/>
    <w:uiPriority w:val="9"/>
    <w:qFormat/>
    <w:rsid w:val="00D44A5A"/>
    <w:pPr>
      <w:spacing w:before="100" w:beforeAutospacing="1" w:after="100" w:afterAutospacing="1"/>
      <w:outlineLvl w:val="2"/>
    </w:pPr>
    <w:rPr>
      <w:b/>
      <w:bCs/>
      <w:sz w:val="27"/>
      <w:szCs w:val="27"/>
      <w:lang w:bidi="km-K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2F63"/>
    <w:rPr>
      <w:rFonts w:ascii="Lucida Grande" w:eastAsiaTheme="minorEastAsia" w:hAnsi="Lucida Grande" w:cstheme="minorBidi"/>
      <w:sz w:val="18"/>
      <w:szCs w:val="18"/>
      <w:lang w:eastAsia="ja-JP"/>
    </w:rPr>
  </w:style>
  <w:style w:type="paragraph" w:customStyle="1" w:styleId="Normal1">
    <w:name w:val="Normal1"/>
    <w:rsid w:val="003D221B"/>
    <w:rPr>
      <w:rFonts w:ascii="Cambria" w:eastAsia="Cambria" w:hAnsi="Cambria" w:cs="Cambria"/>
      <w:color w:val="000000"/>
      <w:sz w:val="24"/>
      <w:szCs w:val="24"/>
      <w:lang w:eastAsia="en-US"/>
    </w:rPr>
  </w:style>
  <w:style w:type="paragraph" w:styleId="Bibliography">
    <w:name w:val="Bibliography"/>
    <w:basedOn w:val="Normal"/>
    <w:next w:val="Normal"/>
    <w:uiPriority w:val="37"/>
    <w:unhideWhenUsed/>
    <w:rsid w:val="00D84259"/>
    <w:pPr>
      <w:tabs>
        <w:tab w:val="left" w:pos="504"/>
      </w:tabs>
      <w:spacing w:after="240"/>
      <w:ind w:left="504" w:hanging="504"/>
    </w:pPr>
    <w:rPr>
      <w:rFonts w:asciiTheme="minorHAnsi" w:eastAsiaTheme="minorEastAsia" w:hAnsiTheme="minorHAnsi" w:cstheme="minorBidi"/>
      <w:lang w:eastAsia="ja-JP"/>
    </w:rPr>
  </w:style>
  <w:style w:type="paragraph" w:customStyle="1" w:styleId="Default">
    <w:name w:val="Default"/>
    <w:rsid w:val="00717980"/>
    <w:pPr>
      <w:widowControl w:val="0"/>
      <w:autoSpaceDE w:val="0"/>
      <w:autoSpaceDN w:val="0"/>
      <w:adjustRightInd w:val="0"/>
    </w:pPr>
    <w:rPr>
      <w:rFonts w:ascii="Code" w:hAnsi="Code" w:cs="Code"/>
      <w:color w:val="000000"/>
      <w:sz w:val="24"/>
      <w:szCs w:val="24"/>
    </w:rPr>
  </w:style>
  <w:style w:type="character" w:styleId="CommentReference">
    <w:name w:val="annotation reference"/>
    <w:basedOn w:val="DefaultParagraphFont"/>
    <w:uiPriority w:val="99"/>
    <w:semiHidden/>
    <w:unhideWhenUsed/>
    <w:rsid w:val="001F057D"/>
    <w:rPr>
      <w:sz w:val="16"/>
      <w:szCs w:val="16"/>
    </w:rPr>
  </w:style>
  <w:style w:type="paragraph" w:styleId="CommentText">
    <w:name w:val="annotation text"/>
    <w:basedOn w:val="Normal"/>
    <w:link w:val="CommentTextChar"/>
    <w:uiPriority w:val="99"/>
    <w:unhideWhenUsed/>
    <w:rsid w:val="001F057D"/>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rsid w:val="001F057D"/>
  </w:style>
  <w:style w:type="paragraph" w:styleId="CommentSubject">
    <w:name w:val="annotation subject"/>
    <w:basedOn w:val="CommentText"/>
    <w:next w:val="CommentText"/>
    <w:link w:val="CommentSubjectChar"/>
    <w:uiPriority w:val="99"/>
    <w:semiHidden/>
    <w:unhideWhenUsed/>
    <w:rsid w:val="001F057D"/>
    <w:rPr>
      <w:b/>
      <w:bCs/>
    </w:rPr>
  </w:style>
  <w:style w:type="character" w:customStyle="1" w:styleId="CommentSubjectChar">
    <w:name w:val="Comment Subject Char"/>
    <w:basedOn w:val="CommentTextChar"/>
    <w:link w:val="CommentSubject"/>
    <w:uiPriority w:val="99"/>
    <w:semiHidden/>
    <w:rsid w:val="001F057D"/>
    <w:rPr>
      <w:b/>
      <w:bCs/>
    </w:rPr>
  </w:style>
  <w:style w:type="paragraph" w:styleId="ListParagraph">
    <w:name w:val="List Paragraph"/>
    <w:basedOn w:val="Normal"/>
    <w:uiPriority w:val="34"/>
    <w:qFormat/>
    <w:rsid w:val="001B2AE7"/>
    <w:pPr>
      <w:ind w:left="720"/>
      <w:contextualSpacing/>
    </w:pPr>
    <w:rPr>
      <w:rFonts w:asciiTheme="minorHAnsi" w:eastAsiaTheme="minorEastAsia" w:hAnsiTheme="minorHAnsi" w:cstheme="minorBidi"/>
      <w:lang w:eastAsia="ja-JP"/>
    </w:rPr>
  </w:style>
  <w:style w:type="character" w:styleId="Hyperlink">
    <w:name w:val="Hyperlink"/>
    <w:basedOn w:val="DefaultParagraphFont"/>
    <w:uiPriority w:val="99"/>
    <w:unhideWhenUsed/>
    <w:rsid w:val="00704632"/>
    <w:rPr>
      <w:color w:val="0000FF" w:themeColor="hyperlink"/>
      <w:u w:val="single"/>
    </w:rPr>
  </w:style>
  <w:style w:type="paragraph" w:styleId="Revision">
    <w:name w:val="Revision"/>
    <w:hidden/>
    <w:uiPriority w:val="99"/>
    <w:semiHidden/>
    <w:rsid w:val="00704632"/>
    <w:rPr>
      <w:sz w:val="24"/>
      <w:szCs w:val="24"/>
    </w:rPr>
  </w:style>
  <w:style w:type="character" w:styleId="FollowedHyperlink">
    <w:name w:val="FollowedHyperlink"/>
    <w:basedOn w:val="DefaultParagraphFont"/>
    <w:uiPriority w:val="99"/>
    <w:semiHidden/>
    <w:unhideWhenUsed/>
    <w:rsid w:val="008168C3"/>
    <w:rPr>
      <w:color w:val="800080" w:themeColor="followedHyperlink"/>
      <w:u w:val="single"/>
    </w:rPr>
  </w:style>
  <w:style w:type="character" w:customStyle="1" w:styleId="Heading3Char">
    <w:name w:val="Heading 3 Char"/>
    <w:basedOn w:val="DefaultParagraphFont"/>
    <w:link w:val="Heading3"/>
    <w:uiPriority w:val="9"/>
    <w:rsid w:val="00D44A5A"/>
    <w:rPr>
      <w:rFonts w:ascii="Times New Roman" w:eastAsia="Times New Roman" w:hAnsi="Times New Roman" w:cs="Times New Roman"/>
      <w:b/>
      <w:bCs/>
      <w:sz w:val="27"/>
      <w:szCs w:val="27"/>
      <w:lang w:eastAsia="en-US" w:bidi="km-KH"/>
    </w:rPr>
  </w:style>
  <w:style w:type="character" w:customStyle="1" w:styleId="UnresolvedMention1">
    <w:name w:val="Unresolved Mention1"/>
    <w:basedOn w:val="DefaultParagraphFont"/>
    <w:uiPriority w:val="99"/>
    <w:semiHidden/>
    <w:unhideWhenUsed/>
    <w:rsid w:val="00C52536"/>
    <w:rPr>
      <w:color w:val="605E5C"/>
      <w:shd w:val="clear" w:color="auto" w:fill="E1DFDD"/>
    </w:rPr>
  </w:style>
  <w:style w:type="character" w:customStyle="1" w:styleId="apple-converted-space">
    <w:name w:val="apple-converted-space"/>
    <w:basedOn w:val="DefaultParagraphFont"/>
    <w:rsid w:val="00E40E60"/>
  </w:style>
  <w:style w:type="paragraph" w:styleId="NormalWeb">
    <w:name w:val="Normal (Web)"/>
    <w:basedOn w:val="Normal"/>
    <w:uiPriority w:val="99"/>
    <w:unhideWhenUsed/>
    <w:rsid w:val="00DC17C0"/>
    <w:pPr>
      <w:spacing w:before="100" w:beforeAutospacing="1" w:after="100" w:afterAutospacing="1"/>
    </w:pPr>
  </w:style>
  <w:style w:type="paragraph" w:styleId="Footer">
    <w:name w:val="footer"/>
    <w:basedOn w:val="Normal"/>
    <w:link w:val="FooterChar"/>
    <w:uiPriority w:val="99"/>
    <w:unhideWhenUsed/>
    <w:rsid w:val="006918EE"/>
    <w:pPr>
      <w:tabs>
        <w:tab w:val="center" w:pos="4680"/>
        <w:tab w:val="right" w:pos="936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6918EE"/>
    <w:rPr>
      <w:sz w:val="24"/>
      <w:szCs w:val="24"/>
    </w:rPr>
  </w:style>
  <w:style w:type="character" w:styleId="PageNumber">
    <w:name w:val="page number"/>
    <w:basedOn w:val="DefaultParagraphFont"/>
    <w:uiPriority w:val="99"/>
    <w:semiHidden/>
    <w:unhideWhenUsed/>
    <w:rsid w:val="006918EE"/>
  </w:style>
  <w:style w:type="character" w:customStyle="1" w:styleId="Heading2Char">
    <w:name w:val="Heading 2 Char"/>
    <w:basedOn w:val="DefaultParagraphFont"/>
    <w:link w:val="Heading2"/>
    <w:uiPriority w:val="9"/>
    <w:rsid w:val="006F4FD4"/>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6F4FD4"/>
    <w:rPr>
      <w:rFonts w:asciiTheme="majorHAnsi" w:eastAsiaTheme="majorEastAsia" w:hAnsiTheme="majorHAnsi" w:cstheme="majorBidi"/>
      <w:color w:val="365F91" w:themeColor="accent1" w:themeShade="BF"/>
      <w:sz w:val="32"/>
      <w:szCs w:val="32"/>
    </w:rPr>
  </w:style>
  <w:style w:type="character" w:customStyle="1" w:styleId="UnresolvedMention2">
    <w:name w:val="Unresolved Mention2"/>
    <w:basedOn w:val="DefaultParagraphFont"/>
    <w:uiPriority w:val="99"/>
    <w:semiHidden/>
    <w:unhideWhenUsed/>
    <w:rsid w:val="00E34AF3"/>
    <w:rPr>
      <w:color w:val="605E5C"/>
      <w:shd w:val="clear" w:color="auto" w:fill="E1DFDD"/>
    </w:rPr>
  </w:style>
  <w:style w:type="paragraph" w:styleId="Header">
    <w:name w:val="header"/>
    <w:basedOn w:val="Normal"/>
    <w:link w:val="HeaderChar"/>
    <w:uiPriority w:val="99"/>
    <w:unhideWhenUsed/>
    <w:rsid w:val="00520520"/>
    <w:pPr>
      <w:tabs>
        <w:tab w:val="center" w:pos="4513"/>
        <w:tab w:val="right" w:pos="9026"/>
      </w:tabs>
    </w:pPr>
  </w:style>
  <w:style w:type="character" w:customStyle="1" w:styleId="HeaderChar">
    <w:name w:val="Header Char"/>
    <w:basedOn w:val="DefaultParagraphFont"/>
    <w:link w:val="Header"/>
    <w:uiPriority w:val="99"/>
    <w:rsid w:val="00520520"/>
    <w:rPr>
      <w:rFonts w:ascii="Times New Roman" w:eastAsia="Times New Roman" w:hAnsi="Times New Roman" w:cs="Times New Roman"/>
      <w:sz w:val="24"/>
      <w:szCs w:val="24"/>
      <w:lang w:eastAsia="en-US"/>
    </w:rPr>
  </w:style>
  <w:style w:type="table" w:styleId="TableGrid">
    <w:name w:val="Table Grid"/>
    <w:basedOn w:val="TableNormal"/>
    <w:uiPriority w:val="59"/>
    <w:rsid w:val="00160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71E0F"/>
    <w:pPr>
      <w:spacing w:after="200"/>
    </w:pPr>
    <w:rPr>
      <w:i/>
      <w:iCs/>
      <w:color w:val="1F497D" w:themeColor="text2"/>
      <w:sz w:val="18"/>
      <w:szCs w:val="18"/>
    </w:rPr>
  </w:style>
  <w:style w:type="table" w:styleId="PlainTable1">
    <w:name w:val="Plain Table 1"/>
    <w:basedOn w:val="TableNormal"/>
    <w:uiPriority w:val="41"/>
    <w:rsid w:val="00C919B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9D74F4"/>
    <w:pPr>
      <w:spacing w:line="259" w:lineRule="auto"/>
      <w:outlineLvl w:val="9"/>
    </w:pPr>
    <w:rPr>
      <w:lang w:eastAsia="en-US"/>
    </w:rPr>
  </w:style>
  <w:style w:type="paragraph" w:styleId="TOC1">
    <w:name w:val="toc 1"/>
    <w:basedOn w:val="Normal"/>
    <w:next w:val="Normal"/>
    <w:autoRedefine/>
    <w:uiPriority w:val="39"/>
    <w:unhideWhenUsed/>
    <w:rsid w:val="009D74F4"/>
    <w:pPr>
      <w:spacing w:after="100"/>
    </w:pPr>
  </w:style>
  <w:style w:type="paragraph" w:styleId="TOC2">
    <w:name w:val="toc 2"/>
    <w:basedOn w:val="Normal"/>
    <w:next w:val="Normal"/>
    <w:autoRedefine/>
    <w:uiPriority w:val="39"/>
    <w:unhideWhenUsed/>
    <w:rsid w:val="009D74F4"/>
    <w:pPr>
      <w:spacing w:after="100"/>
      <w:ind w:left="240"/>
    </w:pPr>
  </w:style>
  <w:style w:type="paragraph" w:styleId="Title">
    <w:name w:val="Title"/>
    <w:basedOn w:val="Normal"/>
    <w:next w:val="Normal"/>
    <w:link w:val="TitleChar"/>
    <w:uiPriority w:val="10"/>
    <w:qFormat/>
    <w:rsid w:val="009D74F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74F4"/>
    <w:rPr>
      <w:rFonts w:asciiTheme="majorHAnsi" w:eastAsiaTheme="majorEastAsia" w:hAnsiTheme="majorHAnsi" w:cstheme="majorBidi"/>
      <w:spacing w:val="-10"/>
      <w:kern w:val="28"/>
      <w:sz w:val="56"/>
      <w:szCs w:val="56"/>
      <w:lang w:eastAsia="en-US"/>
    </w:rPr>
  </w:style>
  <w:style w:type="paragraph" w:styleId="TOC3">
    <w:name w:val="toc 3"/>
    <w:basedOn w:val="Normal"/>
    <w:next w:val="Normal"/>
    <w:autoRedefine/>
    <w:uiPriority w:val="39"/>
    <w:unhideWhenUsed/>
    <w:rsid w:val="009D74F4"/>
    <w:pPr>
      <w:spacing w:after="100"/>
      <w:ind w:left="480"/>
    </w:pPr>
  </w:style>
  <w:style w:type="character" w:styleId="UnresolvedMention">
    <w:name w:val="Unresolved Mention"/>
    <w:basedOn w:val="DefaultParagraphFont"/>
    <w:uiPriority w:val="99"/>
    <w:semiHidden/>
    <w:unhideWhenUsed/>
    <w:rsid w:val="009948BD"/>
    <w:rPr>
      <w:color w:val="605E5C"/>
      <w:shd w:val="clear" w:color="auto" w:fill="E1DFDD"/>
    </w:rPr>
  </w:style>
  <w:style w:type="character" w:styleId="LineNumber">
    <w:name w:val="line number"/>
    <w:basedOn w:val="DefaultParagraphFont"/>
    <w:uiPriority w:val="99"/>
    <w:semiHidden/>
    <w:unhideWhenUsed/>
    <w:rsid w:val="00A17A9D"/>
  </w:style>
  <w:style w:type="character" w:customStyle="1" w:styleId="cf01">
    <w:name w:val="cf01"/>
    <w:basedOn w:val="DefaultParagraphFont"/>
    <w:rsid w:val="00772D97"/>
    <w:rPr>
      <w:rFonts w:ascii="Segoe UI" w:hAnsi="Segoe UI" w:cs="Segoe UI" w:hint="default"/>
      <w:sz w:val="18"/>
      <w:szCs w:val="18"/>
    </w:rPr>
  </w:style>
  <w:style w:type="character" w:customStyle="1" w:styleId="cf11">
    <w:name w:val="cf11"/>
    <w:basedOn w:val="DefaultParagraphFont"/>
    <w:rsid w:val="00772D9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8263">
      <w:bodyDiv w:val="1"/>
      <w:marLeft w:val="0"/>
      <w:marRight w:val="0"/>
      <w:marTop w:val="0"/>
      <w:marBottom w:val="0"/>
      <w:divBdr>
        <w:top w:val="none" w:sz="0" w:space="0" w:color="auto"/>
        <w:left w:val="none" w:sz="0" w:space="0" w:color="auto"/>
        <w:bottom w:val="none" w:sz="0" w:space="0" w:color="auto"/>
        <w:right w:val="none" w:sz="0" w:space="0" w:color="auto"/>
      </w:divBdr>
    </w:div>
    <w:div w:id="69469107">
      <w:bodyDiv w:val="1"/>
      <w:marLeft w:val="0"/>
      <w:marRight w:val="0"/>
      <w:marTop w:val="0"/>
      <w:marBottom w:val="0"/>
      <w:divBdr>
        <w:top w:val="none" w:sz="0" w:space="0" w:color="auto"/>
        <w:left w:val="none" w:sz="0" w:space="0" w:color="auto"/>
        <w:bottom w:val="none" w:sz="0" w:space="0" w:color="auto"/>
        <w:right w:val="none" w:sz="0" w:space="0" w:color="auto"/>
      </w:divBdr>
      <w:divsChild>
        <w:div w:id="793058383">
          <w:marLeft w:val="0"/>
          <w:marRight w:val="0"/>
          <w:marTop w:val="0"/>
          <w:marBottom w:val="0"/>
          <w:divBdr>
            <w:top w:val="none" w:sz="0" w:space="0" w:color="auto"/>
            <w:left w:val="none" w:sz="0" w:space="0" w:color="auto"/>
            <w:bottom w:val="none" w:sz="0" w:space="0" w:color="auto"/>
            <w:right w:val="none" w:sz="0" w:space="0" w:color="auto"/>
          </w:divBdr>
          <w:divsChild>
            <w:div w:id="1785466952">
              <w:marLeft w:val="0"/>
              <w:marRight w:val="0"/>
              <w:marTop w:val="0"/>
              <w:marBottom w:val="0"/>
              <w:divBdr>
                <w:top w:val="none" w:sz="0" w:space="0" w:color="auto"/>
                <w:left w:val="none" w:sz="0" w:space="0" w:color="auto"/>
                <w:bottom w:val="none" w:sz="0" w:space="0" w:color="auto"/>
                <w:right w:val="none" w:sz="0" w:space="0" w:color="auto"/>
              </w:divBdr>
              <w:divsChild>
                <w:div w:id="1035026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33787987">
      <w:bodyDiv w:val="1"/>
      <w:marLeft w:val="0"/>
      <w:marRight w:val="0"/>
      <w:marTop w:val="0"/>
      <w:marBottom w:val="0"/>
      <w:divBdr>
        <w:top w:val="none" w:sz="0" w:space="0" w:color="auto"/>
        <w:left w:val="none" w:sz="0" w:space="0" w:color="auto"/>
        <w:bottom w:val="none" w:sz="0" w:space="0" w:color="auto"/>
        <w:right w:val="none" w:sz="0" w:space="0" w:color="auto"/>
      </w:divBdr>
    </w:div>
    <w:div w:id="760218835">
      <w:bodyDiv w:val="1"/>
      <w:marLeft w:val="0"/>
      <w:marRight w:val="0"/>
      <w:marTop w:val="0"/>
      <w:marBottom w:val="0"/>
      <w:divBdr>
        <w:top w:val="none" w:sz="0" w:space="0" w:color="auto"/>
        <w:left w:val="none" w:sz="0" w:space="0" w:color="auto"/>
        <w:bottom w:val="none" w:sz="0" w:space="0" w:color="auto"/>
        <w:right w:val="none" w:sz="0" w:space="0" w:color="auto"/>
      </w:divBdr>
    </w:div>
    <w:div w:id="1125735185">
      <w:bodyDiv w:val="1"/>
      <w:marLeft w:val="0"/>
      <w:marRight w:val="0"/>
      <w:marTop w:val="0"/>
      <w:marBottom w:val="0"/>
      <w:divBdr>
        <w:top w:val="none" w:sz="0" w:space="0" w:color="auto"/>
        <w:left w:val="none" w:sz="0" w:space="0" w:color="auto"/>
        <w:bottom w:val="none" w:sz="0" w:space="0" w:color="auto"/>
        <w:right w:val="none" w:sz="0" w:space="0" w:color="auto"/>
      </w:divBdr>
    </w:div>
    <w:div w:id="1188064370">
      <w:bodyDiv w:val="1"/>
      <w:marLeft w:val="0"/>
      <w:marRight w:val="0"/>
      <w:marTop w:val="0"/>
      <w:marBottom w:val="0"/>
      <w:divBdr>
        <w:top w:val="none" w:sz="0" w:space="0" w:color="auto"/>
        <w:left w:val="none" w:sz="0" w:space="0" w:color="auto"/>
        <w:bottom w:val="none" w:sz="0" w:space="0" w:color="auto"/>
        <w:right w:val="none" w:sz="0" w:space="0" w:color="auto"/>
      </w:divBdr>
    </w:div>
    <w:div w:id="1380855712">
      <w:bodyDiv w:val="1"/>
      <w:marLeft w:val="0"/>
      <w:marRight w:val="0"/>
      <w:marTop w:val="0"/>
      <w:marBottom w:val="0"/>
      <w:divBdr>
        <w:top w:val="none" w:sz="0" w:space="0" w:color="auto"/>
        <w:left w:val="none" w:sz="0" w:space="0" w:color="auto"/>
        <w:bottom w:val="none" w:sz="0" w:space="0" w:color="auto"/>
        <w:right w:val="none" w:sz="0" w:space="0" w:color="auto"/>
      </w:divBdr>
    </w:div>
    <w:div w:id="1386836196">
      <w:bodyDiv w:val="1"/>
      <w:marLeft w:val="0"/>
      <w:marRight w:val="0"/>
      <w:marTop w:val="0"/>
      <w:marBottom w:val="0"/>
      <w:divBdr>
        <w:top w:val="none" w:sz="0" w:space="0" w:color="auto"/>
        <w:left w:val="none" w:sz="0" w:space="0" w:color="auto"/>
        <w:bottom w:val="none" w:sz="0" w:space="0" w:color="auto"/>
        <w:right w:val="none" w:sz="0" w:space="0" w:color="auto"/>
      </w:divBdr>
    </w:div>
    <w:div w:id="1461145590">
      <w:bodyDiv w:val="1"/>
      <w:marLeft w:val="0"/>
      <w:marRight w:val="0"/>
      <w:marTop w:val="0"/>
      <w:marBottom w:val="0"/>
      <w:divBdr>
        <w:top w:val="none" w:sz="0" w:space="0" w:color="auto"/>
        <w:left w:val="none" w:sz="0" w:space="0" w:color="auto"/>
        <w:bottom w:val="none" w:sz="0" w:space="0" w:color="auto"/>
        <w:right w:val="none" w:sz="0" w:space="0" w:color="auto"/>
      </w:divBdr>
    </w:div>
    <w:div w:id="1513371916">
      <w:bodyDiv w:val="1"/>
      <w:marLeft w:val="0"/>
      <w:marRight w:val="0"/>
      <w:marTop w:val="0"/>
      <w:marBottom w:val="0"/>
      <w:divBdr>
        <w:top w:val="none" w:sz="0" w:space="0" w:color="auto"/>
        <w:left w:val="none" w:sz="0" w:space="0" w:color="auto"/>
        <w:bottom w:val="none" w:sz="0" w:space="0" w:color="auto"/>
        <w:right w:val="none" w:sz="0" w:space="0" w:color="auto"/>
      </w:divBdr>
    </w:div>
    <w:div w:id="1747417461">
      <w:bodyDiv w:val="1"/>
      <w:marLeft w:val="0"/>
      <w:marRight w:val="0"/>
      <w:marTop w:val="0"/>
      <w:marBottom w:val="0"/>
      <w:divBdr>
        <w:top w:val="none" w:sz="0" w:space="0" w:color="auto"/>
        <w:left w:val="none" w:sz="0" w:space="0" w:color="auto"/>
        <w:bottom w:val="none" w:sz="0" w:space="0" w:color="auto"/>
        <w:right w:val="none" w:sz="0" w:space="0" w:color="auto"/>
      </w:divBdr>
    </w:div>
    <w:div w:id="1848396706">
      <w:bodyDiv w:val="1"/>
      <w:marLeft w:val="0"/>
      <w:marRight w:val="0"/>
      <w:marTop w:val="0"/>
      <w:marBottom w:val="0"/>
      <w:divBdr>
        <w:top w:val="none" w:sz="0" w:space="0" w:color="auto"/>
        <w:left w:val="none" w:sz="0" w:space="0" w:color="auto"/>
        <w:bottom w:val="none" w:sz="0" w:space="0" w:color="auto"/>
        <w:right w:val="none" w:sz="0" w:space="0" w:color="auto"/>
      </w:divBdr>
    </w:div>
    <w:div w:id="1864710897">
      <w:bodyDiv w:val="1"/>
      <w:marLeft w:val="0"/>
      <w:marRight w:val="0"/>
      <w:marTop w:val="0"/>
      <w:marBottom w:val="0"/>
      <w:divBdr>
        <w:top w:val="none" w:sz="0" w:space="0" w:color="auto"/>
        <w:left w:val="none" w:sz="0" w:space="0" w:color="auto"/>
        <w:bottom w:val="none" w:sz="0" w:space="0" w:color="auto"/>
        <w:right w:val="none" w:sz="0" w:space="0" w:color="auto"/>
      </w:divBdr>
    </w:div>
    <w:div w:id="1892575355">
      <w:bodyDiv w:val="1"/>
      <w:marLeft w:val="0"/>
      <w:marRight w:val="0"/>
      <w:marTop w:val="0"/>
      <w:marBottom w:val="0"/>
      <w:divBdr>
        <w:top w:val="none" w:sz="0" w:space="0" w:color="auto"/>
        <w:left w:val="none" w:sz="0" w:space="0" w:color="auto"/>
        <w:bottom w:val="none" w:sz="0" w:space="0" w:color="auto"/>
        <w:right w:val="none" w:sz="0" w:space="0" w:color="auto"/>
      </w:divBdr>
      <w:divsChild>
        <w:div w:id="1445804429">
          <w:marLeft w:val="0"/>
          <w:marRight w:val="0"/>
          <w:marTop w:val="0"/>
          <w:marBottom w:val="0"/>
          <w:divBdr>
            <w:top w:val="none" w:sz="0" w:space="0" w:color="auto"/>
            <w:left w:val="none" w:sz="0" w:space="0" w:color="auto"/>
            <w:bottom w:val="none" w:sz="0" w:space="0" w:color="auto"/>
            <w:right w:val="none" w:sz="0" w:space="0" w:color="auto"/>
          </w:divBdr>
          <w:divsChild>
            <w:div w:id="1891963697">
              <w:marLeft w:val="0"/>
              <w:marRight w:val="0"/>
              <w:marTop w:val="0"/>
              <w:marBottom w:val="0"/>
              <w:divBdr>
                <w:top w:val="none" w:sz="0" w:space="0" w:color="auto"/>
                <w:left w:val="none" w:sz="0" w:space="0" w:color="auto"/>
                <w:bottom w:val="none" w:sz="0" w:space="0" w:color="auto"/>
                <w:right w:val="none" w:sz="0" w:space="0" w:color="auto"/>
              </w:divBdr>
              <w:divsChild>
                <w:div w:id="5414758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0939615">
      <w:bodyDiv w:val="1"/>
      <w:marLeft w:val="0"/>
      <w:marRight w:val="0"/>
      <w:marTop w:val="0"/>
      <w:marBottom w:val="0"/>
      <w:divBdr>
        <w:top w:val="none" w:sz="0" w:space="0" w:color="auto"/>
        <w:left w:val="none" w:sz="0" w:space="0" w:color="auto"/>
        <w:bottom w:val="none" w:sz="0" w:space="0" w:color="auto"/>
        <w:right w:val="none" w:sz="0" w:space="0" w:color="auto"/>
      </w:divBdr>
    </w:div>
    <w:div w:id="1996839056">
      <w:bodyDiv w:val="1"/>
      <w:marLeft w:val="0"/>
      <w:marRight w:val="0"/>
      <w:marTop w:val="0"/>
      <w:marBottom w:val="0"/>
      <w:divBdr>
        <w:top w:val="none" w:sz="0" w:space="0" w:color="auto"/>
        <w:left w:val="none" w:sz="0" w:space="0" w:color="auto"/>
        <w:bottom w:val="none" w:sz="0" w:space="0" w:color="auto"/>
        <w:right w:val="none" w:sz="0" w:space="0" w:color="auto"/>
      </w:divBdr>
      <w:divsChild>
        <w:div w:id="1416122146">
          <w:marLeft w:val="0"/>
          <w:marRight w:val="0"/>
          <w:marTop w:val="0"/>
          <w:marBottom w:val="0"/>
          <w:divBdr>
            <w:top w:val="none" w:sz="0" w:space="0" w:color="auto"/>
            <w:left w:val="none" w:sz="0" w:space="0" w:color="auto"/>
            <w:bottom w:val="none" w:sz="0" w:space="0" w:color="auto"/>
            <w:right w:val="none" w:sz="0" w:space="0" w:color="auto"/>
          </w:divBdr>
          <w:divsChild>
            <w:div w:id="379986021">
              <w:marLeft w:val="0"/>
              <w:marRight w:val="0"/>
              <w:marTop w:val="0"/>
              <w:marBottom w:val="0"/>
              <w:divBdr>
                <w:top w:val="none" w:sz="0" w:space="0" w:color="auto"/>
                <w:left w:val="none" w:sz="0" w:space="0" w:color="auto"/>
                <w:bottom w:val="none" w:sz="0" w:space="0" w:color="auto"/>
                <w:right w:val="none" w:sz="0" w:space="0" w:color="auto"/>
              </w:divBdr>
              <w:divsChild>
                <w:div w:id="7446419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63552075">
      <w:bodyDiv w:val="1"/>
      <w:marLeft w:val="0"/>
      <w:marRight w:val="0"/>
      <w:marTop w:val="0"/>
      <w:marBottom w:val="0"/>
      <w:divBdr>
        <w:top w:val="none" w:sz="0" w:space="0" w:color="auto"/>
        <w:left w:val="none" w:sz="0" w:space="0" w:color="auto"/>
        <w:bottom w:val="none" w:sz="0" w:space="0" w:color="auto"/>
        <w:right w:val="none" w:sz="0" w:space="0" w:color="auto"/>
      </w:divBdr>
    </w:div>
    <w:div w:id="2076010440">
      <w:bodyDiv w:val="1"/>
      <w:marLeft w:val="0"/>
      <w:marRight w:val="0"/>
      <w:marTop w:val="0"/>
      <w:marBottom w:val="0"/>
      <w:divBdr>
        <w:top w:val="none" w:sz="0" w:space="0" w:color="auto"/>
        <w:left w:val="none" w:sz="0" w:space="0" w:color="auto"/>
        <w:bottom w:val="none" w:sz="0" w:space="0" w:color="auto"/>
        <w:right w:val="none" w:sz="0" w:space="0" w:color="auto"/>
      </w:divBdr>
      <w:divsChild>
        <w:div w:id="561017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318293">
              <w:marLeft w:val="0"/>
              <w:marRight w:val="0"/>
              <w:marTop w:val="0"/>
              <w:marBottom w:val="0"/>
              <w:divBdr>
                <w:top w:val="none" w:sz="0" w:space="0" w:color="auto"/>
                <w:left w:val="none" w:sz="0" w:space="0" w:color="auto"/>
                <w:bottom w:val="none" w:sz="0" w:space="0" w:color="auto"/>
                <w:right w:val="none" w:sz="0" w:space="0" w:color="auto"/>
              </w:divBdr>
              <w:divsChild>
                <w:div w:id="284640">
                  <w:marLeft w:val="0"/>
                  <w:marRight w:val="0"/>
                  <w:marTop w:val="0"/>
                  <w:marBottom w:val="0"/>
                  <w:divBdr>
                    <w:top w:val="none" w:sz="0" w:space="0" w:color="auto"/>
                    <w:left w:val="none" w:sz="0" w:space="0" w:color="auto"/>
                    <w:bottom w:val="none" w:sz="0" w:space="0" w:color="auto"/>
                    <w:right w:val="none" w:sz="0" w:space="0" w:color="auto"/>
                  </w:divBdr>
                  <w:divsChild>
                    <w:div w:id="89577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8052556">
                          <w:marLeft w:val="0"/>
                          <w:marRight w:val="0"/>
                          <w:marTop w:val="0"/>
                          <w:marBottom w:val="0"/>
                          <w:divBdr>
                            <w:top w:val="none" w:sz="0" w:space="0" w:color="auto"/>
                            <w:left w:val="none" w:sz="0" w:space="0" w:color="auto"/>
                            <w:bottom w:val="none" w:sz="0" w:space="0" w:color="auto"/>
                            <w:right w:val="none" w:sz="0" w:space="0" w:color="auto"/>
                          </w:divBdr>
                          <w:divsChild>
                            <w:div w:id="2097362529">
                              <w:marLeft w:val="0"/>
                              <w:marRight w:val="0"/>
                              <w:marTop w:val="0"/>
                              <w:marBottom w:val="0"/>
                              <w:divBdr>
                                <w:top w:val="none" w:sz="0" w:space="0" w:color="auto"/>
                                <w:left w:val="none" w:sz="0" w:space="0" w:color="auto"/>
                                <w:bottom w:val="none" w:sz="0" w:space="0" w:color="auto"/>
                                <w:right w:val="none" w:sz="0" w:space="0" w:color="auto"/>
                              </w:divBdr>
                              <w:divsChild>
                                <w:div w:id="887767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119366">
                                      <w:marLeft w:val="0"/>
                                      <w:marRight w:val="0"/>
                                      <w:marTop w:val="0"/>
                                      <w:marBottom w:val="0"/>
                                      <w:divBdr>
                                        <w:top w:val="none" w:sz="0" w:space="0" w:color="auto"/>
                                        <w:left w:val="none" w:sz="0" w:space="0" w:color="auto"/>
                                        <w:bottom w:val="none" w:sz="0" w:space="0" w:color="auto"/>
                                        <w:right w:val="none" w:sz="0" w:space="0" w:color="auto"/>
                                      </w:divBdr>
                                      <w:divsChild>
                                        <w:div w:id="1637567228">
                                          <w:marLeft w:val="0"/>
                                          <w:marRight w:val="0"/>
                                          <w:marTop w:val="0"/>
                                          <w:marBottom w:val="0"/>
                                          <w:divBdr>
                                            <w:top w:val="none" w:sz="0" w:space="0" w:color="auto"/>
                                            <w:left w:val="none" w:sz="0" w:space="0" w:color="auto"/>
                                            <w:bottom w:val="none" w:sz="0" w:space="0" w:color="auto"/>
                                            <w:right w:val="none" w:sz="0" w:space="0" w:color="auto"/>
                                          </w:divBdr>
                                          <w:divsChild>
                                            <w:div w:id="1382947297">
                                              <w:marLeft w:val="0"/>
                                              <w:marRight w:val="0"/>
                                              <w:marTop w:val="0"/>
                                              <w:marBottom w:val="0"/>
                                              <w:divBdr>
                                                <w:top w:val="none" w:sz="0" w:space="0" w:color="auto"/>
                                                <w:left w:val="none" w:sz="0" w:space="0" w:color="auto"/>
                                                <w:bottom w:val="none" w:sz="0" w:space="0" w:color="auto"/>
                                                <w:right w:val="none" w:sz="0" w:space="0" w:color="auto"/>
                                              </w:divBdr>
                                              <w:divsChild>
                                                <w:div w:id="12997189">
                                                  <w:marLeft w:val="0"/>
                                                  <w:marRight w:val="0"/>
                                                  <w:marTop w:val="0"/>
                                                  <w:marBottom w:val="0"/>
                                                  <w:divBdr>
                                                    <w:top w:val="none" w:sz="0" w:space="0" w:color="auto"/>
                                                    <w:left w:val="none" w:sz="0" w:space="0" w:color="auto"/>
                                                    <w:bottom w:val="none" w:sz="0" w:space="0" w:color="auto"/>
                                                    <w:right w:val="none" w:sz="0" w:space="0" w:color="auto"/>
                                                  </w:divBdr>
                                                  <w:divsChild>
                                                    <w:div w:id="1888447229">
                                                      <w:marLeft w:val="0"/>
                                                      <w:marRight w:val="0"/>
                                                      <w:marTop w:val="0"/>
                                                      <w:marBottom w:val="0"/>
                                                      <w:divBdr>
                                                        <w:top w:val="none" w:sz="0" w:space="0" w:color="auto"/>
                                                        <w:left w:val="none" w:sz="0" w:space="0" w:color="auto"/>
                                                        <w:bottom w:val="none" w:sz="0" w:space="0" w:color="auto"/>
                                                        <w:right w:val="none" w:sz="0" w:space="0" w:color="auto"/>
                                                      </w:divBdr>
                                                      <w:divsChild>
                                                        <w:div w:id="965739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2502265">
                                                              <w:marLeft w:val="0"/>
                                                              <w:marRight w:val="0"/>
                                                              <w:marTop w:val="0"/>
                                                              <w:marBottom w:val="0"/>
                                                              <w:divBdr>
                                                                <w:top w:val="none" w:sz="0" w:space="0" w:color="auto"/>
                                                                <w:left w:val="none" w:sz="0" w:space="0" w:color="auto"/>
                                                                <w:bottom w:val="none" w:sz="0" w:space="0" w:color="auto"/>
                                                                <w:right w:val="none" w:sz="0" w:space="0" w:color="auto"/>
                                                              </w:divBdr>
                                                              <w:divsChild>
                                                                <w:div w:id="296380575">
                                                                  <w:marLeft w:val="0"/>
                                                                  <w:marRight w:val="0"/>
                                                                  <w:marTop w:val="0"/>
                                                                  <w:marBottom w:val="0"/>
                                                                  <w:divBdr>
                                                                    <w:top w:val="none" w:sz="0" w:space="0" w:color="auto"/>
                                                                    <w:left w:val="none" w:sz="0" w:space="0" w:color="auto"/>
                                                                    <w:bottom w:val="none" w:sz="0" w:space="0" w:color="auto"/>
                                                                    <w:right w:val="none" w:sz="0" w:space="0" w:color="auto"/>
                                                                  </w:divBdr>
                                                                  <w:divsChild>
                                                                    <w:div w:id="1326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1390131">
      <w:bodyDiv w:val="1"/>
      <w:marLeft w:val="0"/>
      <w:marRight w:val="0"/>
      <w:marTop w:val="0"/>
      <w:marBottom w:val="0"/>
      <w:divBdr>
        <w:top w:val="none" w:sz="0" w:space="0" w:color="auto"/>
        <w:left w:val="none" w:sz="0" w:space="0" w:color="auto"/>
        <w:bottom w:val="none" w:sz="0" w:space="0" w:color="auto"/>
        <w:right w:val="none" w:sz="0" w:space="0" w:color="auto"/>
      </w:divBdr>
      <w:divsChild>
        <w:div w:id="734549111">
          <w:marLeft w:val="0"/>
          <w:marRight w:val="0"/>
          <w:marTop w:val="0"/>
          <w:marBottom w:val="0"/>
          <w:divBdr>
            <w:top w:val="none" w:sz="0" w:space="0" w:color="auto"/>
            <w:left w:val="none" w:sz="0" w:space="0" w:color="auto"/>
            <w:bottom w:val="none" w:sz="0" w:space="0" w:color="auto"/>
            <w:right w:val="none" w:sz="0" w:space="0" w:color="auto"/>
          </w:divBdr>
          <w:divsChild>
            <w:div w:id="1476802245">
              <w:marLeft w:val="0"/>
              <w:marRight w:val="0"/>
              <w:marTop w:val="0"/>
              <w:marBottom w:val="0"/>
              <w:divBdr>
                <w:top w:val="none" w:sz="0" w:space="0" w:color="auto"/>
                <w:left w:val="none" w:sz="0" w:space="0" w:color="auto"/>
                <w:bottom w:val="none" w:sz="0" w:space="0" w:color="auto"/>
                <w:right w:val="none" w:sz="0" w:space="0" w:color="auto"/>
              </w:divBdr>
              <w:divsChild>
                <w:div w:id="10434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706">
      <w:bodyDiv w:val="1"/>
      <w:marLeft w:val="0"/>
      <w:marRight w:val="0"/>
      <w:marTop w:val="0"/>
      <w:marBottom w:val="0"/>
      <w:divBdr>
        <w:top w:val="none" w:sz="0" w:space="0" w:color="auto"/>
        <w:left w:val="none" w:sz="0" w:space="0" w:color="auto"/>
        <w:bottom w:val="none" w:sz="0" w:space="0" w:color="auto"/>
        <w:right w:val="none" w:sz="0" w:space="0" w:color="auto"/>
      </w:divBdr>
      <w:divsChild>
        <w:div w:id="21975409">
          <w:marLeft w:val="0"/>
          <w:marRight w:val="0"/>
          <w:marTop w:val="0"/>
          <w:marBottom w:val="0"/>
          <w:divBdr>
            <w:top w:val="none" w:sz="0" w:space="0" w:color="auto"/>
            <w:left w:val="none" w:sz="0" w:space="0" w:color="auto"/>
            <w:bottom w:val="none" w:sz="0" w:space="0" w:color="auto"/>
            <w:right w:val="none" w:sz="0" w:space="0" w:color="auto"/>
          </w:divBdr>
        </w:div>
        <w:div w:id="3353067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882B4821953ED4F9FC460529B5DFDA1" ma:contentTypeVersion="7" ma:contentTypeDescription="Create a new document." ma:contentTypeScope="" ma:versionID="d298dcf72e8b63a02fbb0079915cd4e4">
  <xsd:schema xmlns:xsd="http://www.w3.org/2001/XMLSchema" xmlns:xs="http://www.w3.org/2001/XMLSchema" xmlns:p="http://schemas.microsoft.com/office/2006/metadata/properties" xmlns:ns3="549ef1ac-adcd-4d71-8648-643359a478c5" xmlns:ns4="c614f4e8-2015-43f5-9241-dc160e40bf01" targetNamespace="http://schemas.microsoft.com/office/2006/metadata/properties" ma:root="true" ma:fieldsID="d2c6e246be0710dab079871010e23a0b" ns3:_="" ns4:_="">
    <xsd:import namespace="549ef1ac-adcd-4d71-8648-643359a478c5"/>
    <xsd:import namespace="c614f4e8-2015-43f5-9241-dc160e40bf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ef1ac-adcd-4d71-8648-643359a47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14f4e8-2015-43f5-9241-dc160e40bf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8C98EC-97A2-40E8-9E34-EE4B671292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E7E9FD-2F22-D64E-884D-88F081B2818D}">
  <ds:schemaRefs>
    <ds:schemaRef ds:uri="http://schemas.openxmlformats.org/officeDocument/2006/bibliography"/>
  </ds:schemaRefs>
</ds:datastoreItem>
</file>

<file path=customXml/itemProps3.xml><?xml version="1.0" encoding="utf-8"?>
<ds:datastoreItem xmlns:ds="http://schemas.openxmlformats.org/officeDocument/2006/customXml" ds:itemID="{468F796D-C1E0-4463-9D06-10B971C47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ef1ac-adcd-4d71-8648-643359a478c5"/>
    <ds:schemaRef ds:uri="c614f4e8-2015-43f5-9241-dc160e40b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A0F6C5-0CA3-4A06-BA8E-E45276164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24677</Words>
  <Characters>140664</Characters>
  <Application>Microsoft Office Word</Application>
  <DocSecurity>4</DocSecurity>
  <Lines>1172</Lines>
  <Paragraphs>330</Paragraphs>
  <ScaleCrop>false</ScaleCrop>
  <HeadingPairs>
    <vt:vector size="2" baseType="variant">
      <vt:variant>
        <vt:lpstr>Title</vt:lpstr>
      </vt:variant>
      <vt:variant>
        <vt:i4>1</vt:i4>
      </vt:variant>
    </vt:vector>
  </HeadingPairs>
  <TitlesOfParts>
    <vt:vector size="1" baseType="lpstr">
      <vt:lpstr/>
    </vt:vector>
  </TitlesOfParts>
  <Company>University of California, Berkeley</Company>
  <LinksUpToDate>false</LinksUpToDate>
  <CharactersWithSpaces>165011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Kondolf</dc:creator>
  <cp:keywords/>
  <dc:description/>
  <cp:lastModifiedBy>Steve Darby</cp:lastModifiedBy>
  <cp:revision>2</cp:revision>
  <cp:lastPrinted>2021-09-20T00:38:00Z</cp:lastPrinted>
  <dcterms:created xsi:type="dcterms:W3CDTF">2022-04-26T16:23:00Z</dcterms:created>
  <dcterms:modified xsi:type="dcterms:W3CDTF">2022-04-26T16:23:00Z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id="F0BhSg7K"/&gt;&lt;style id="http://www.zotero.org/styles/science"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value="true"/&gt;&lt;/prefs&gt;&lt;/data&gt;</vt:lpwstr>
  </property>
  <property fmtid="{D5CDD505-2E9C-101B-9397-08002B2CF9AE}" pid="4" name="ContentTypeId">
    <vt:lpwstr>0x0101001882B4821953ED4F9FC460529B5DFDA1</vt:lpwstr>
  </property>
</Properties>
</file>