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B80D3" w14:textId="314DAD60" w:rsidR="00DE5D33" w:rsidRDefault="00DE5D33" w:rsidP="00DE5D33">
      <w:pPr>
        <w:pBdr>
          <w:bottom w:val="single" w:sz="6" w:space="1" w:color="auto"/>
        </w:pBdr>
        <w:ind w:left="720" w:firstLine="0"/>
        <w:rPr>
          <w:b/>
          <w:bCs/>
          <w:sz w:val="32"/>
        </w:rPr>
      </w:pPr>
      <w:r>
        <w:rPr>
          <w:b/>
          <w:bCs/>
          <w:sz w:val="32"/>
        </w:rPr>
        <w:t>P</w:t>
      </w:r>
      <w:r w:rsidRPr="00482E19">
        <w:rPr>
          <w:b/>
          <w:bCs/>
          <w:sz w:val="32"/>
        </w:rPr>
        <w:t xml:space="preserve">redictable </w:t>
      </w:r>
      <w:r w:rsidR="000C1E8B">
        <w:rPr>
          <w:b/>
          <w:bCs/>
          <w:sz w:val="32"/>
        </w:rPr>
        <w:t>C</w:t>
      </w:r>
      <w:r w:rsidRPr="00482E19">
        <w:rPr>
          <w:b/>
          <w:bCs/>
          <w:sz w:val="32"/>
        </w:rPr>
        <w:t xml:space="preserve">hanges in </w:t>
      </w:r>
      <w:r w:rsidR="000C1E8B">
        <w:rPr>
          <w:b/>
          <w:bCs/>
          <w:sz w:val="32"/>
        </w:rPr>
        <w:t>E</w:t>
      </w:r>
      <w:r w:rsidRPr="00482E19">
        <w:rPr>
          <w:b/>
          <w:bCs/>
          <w:sz w:val="32"/>
        </w:rPr>
        <w:t xml:space="preserve">xtreme </w:t>
      </w:r>
      <w:r w:rsidR="000C1E8B">
        <w:rPr>
          <w:b/>
          <w:bCs/>
          <w:sz w:val="32"/>
        </w:rPr>
        <w:t>S</w:t>
      </w:r>
      <w:r>
        <w:rPr>
          <w:b/>
          <w:bCs/>
          <w:sz w:val="32"/>
        </w:rPr>
        <w:t xml:space="preserve">ea </w:t>
      </w:r>
      <w:r w:rsidR="000C1E8B">
        <w:rPr>
          <w:b/>
          <w:bCs/>
          <w:sz w:val="32"/>
        </w:rPr>
        <w:t>L</w:t>
      </w:r>
      <w:r>
        <w:rPr>
          <w:b/>
          <w:bCs/>
          <w:sz w:val="32"/>
        </w:rPr>
        <w:t xml:space="preserve">evels </w:t>
      </w:r>
      <w:r w:rsidRPr="00482E19">
        <w:rPr>
          <w:b/>
          <w:bCs/>
          <w:sz w:val="32"/>
        </w:rPr>
        <w:t xml:space="preserve">and </w:t>
      </w:r>
      <w:r w:rsidR="000C1E8B">
        <w:rPr>
          <w:b/>
          <w:bCs/>
          <w:sz w:val="32"/>
        </w:rPr>
        <w:t>C</w:t>
      </w:r>
      <w:r w:rsidRPr="00482E19">
        <w:rPr>
          <w:b/>
          <w:bCs/>
          <w:sz w:val="32"/>
        </w:rPr>
        <w:t xml:space="preserve">oastal </w:t>
      </w:r>
      <w:r w:rsidR="000C1E8B">
        <w:rPr>
          <w:b/>
          <w:bCs/>
          <w:sz w:val="32"/>
        </w:rPr>
        <w:t>F</w:t>
      </w:r>
      <w:r w:rsidRPr="00482E19">
        <w:rPr>
          <w:b/>
          <w:bCs/>
          <w:sz w:val="32"/>
        </w:rPr>
        <w:t xml:space="preserve">lood </w:t>
      </w:r>
      <w:r w:rsidR="000C1E8B">
        <w:rPr>
          <w:b/>
          <w:bCs/>
          <w:sz w:val="32"/>
        </w:rPr>
        <w:t>R</w:t>
      </w:r>
      <w:r w:rsidRPr="00482E19">
        <w:rPr>
          <w:b/>
          <w:bCs/>
          <w:sz w:val="32"/>
        </w:rPr>
        <w:t xml:space="preserve">isk </w:t>
      </w:r>
      <w:r w:rsidR="000C1E8B">
        <w:rPr>
          <w:b/>
          <w:bCs/>
          <w:sz w:val="32"/>
        </w:rPr>
        <w:t>D</w:t>
      </w:r>
      <w:r w:rsidRPr="00482E19">
        <w:rPr>
          <w:b/>
          <w:bCs/>
          <w:sz w:val="32"/>
        </w:rPr>
        <w:t xml:space="preserve">ue </w:t>
      </w:r>
      <w:proofErr w:type="gramStart"/>
      <w:r w:rsidR="000C1E8B">
        <w:rPr>
          <w:b/>
          <w:bCs/>
          <w:sz w:val="32"/>
        </w:rPr>
        <w:t>T</w:t>
      </w:r>
      <w:r w:rsidRPr="00482E19">
        <w:rPr>
          <w:b/>
          <w:bCs/>
          <w:sz w:val="32"/>
        </w:rPr>
        <w:t>o</w:t>
      </w:r>
      <w:proofErr w:type="gramEnd"/>
      <w:r w:rsidRPr="00482E19">
        <w:rPr>
          <w:b/>
          <w:bCs/>
          <w:sz w:val="32"/>
        </w:rPr>
        <w:t xml:space="preserve"> </w:t>
      </w:r>
      <w:r w:rsidR="000C1E8B">
        <w:rPr>
          <w:b/>
          <w:bCs/>
          <w:sz w:val="32"/>
        </w:rPr>
        <w:t>L</w:t>
      </w:r>
      <w:r w:rsidR="006A4404">
        <w:rPr>
          <w:b/>
          <w:bCs/>
          <w:sz w:val="32"/>
        </w:rPr>
        <w:t>ong-</w:t>
      </w:r>
      <w:r w:rsidR="000C1E8B">
        <w:rPr>
          <w:b/>
          <w:bCs/>
          <w:sz w:val="32"/>
        </w:rPr>
        <w:t>T</w:t>
      </w:r>
      <w:r w:rsidR="006A4404">
        <w:rPr>
          <w:b/>
          <w:bCs/>
          <w:sz w:val="32"/>
        </w:rPr>
        <w:t xml:space="preserve">erm </w:t>
      </w:r>
      <w:r w:rsidR="000C1E8B">
        <w:rPr>
          <w:b/>
          <w:bCs/>
          <w:sz w:val="32"/>
        </w:rPr>
        <w:t>T</w:t>
      </w:r>
      <w:r w:rsidR="006A4404">
        <w:rPr>
          <w:b/>
          <w:bCs/>
          <w:sz w:val="32"/>
        </w:rPr>
        <w:t xml:space="preserve">idal </w:t>
      </w:r>
      <w:r w:rsidR="000C1E8B">
        <w:rPr>
          <w:b/>
          <w:bCs/>
          <w:sz w:val="32"/>
        </w:rPr>
        <w:t>C</w:t>
      </w:r>
      <w:r w:rsidR="006A4404">
        <w:rPr>
          <w:b/>
          <w:bCs/>
          <w:sz w:val="32"/>
        </w:rPr>
        <w:t>ycles</w:t>
      </w:r>
    </w:p>
    <w:p w14:paraId="420A0FB8" w14:textId="56EDE680" w:rsidR="00DE5D33" w:rsidRPr="000C1E8B" w:rsidRDefault="00DE5D33" w:rsidP="00DE5D33">
      <w:pPr>
        <w:pStyle w:val="Alex"/>
        <w:rPr>
          <w:lang w:val="en-US"/>
        </w:rPr>
      </w:pPr>
      <w:r w:rsidRPr="000C1E8B">
        <w:rPr>
          <w:lang w:val="en-US"/>
        </w:rPr>
        <w:t>Alejandra R. Enr</w:t>
      </w:r>
      <w:r w:rsidR="000C1E8B" w:rsidRPr="000C1E8B">
        <w:rPr>
          <w:lang w:val="en-US"/>
        </w:rPr>
        <w:t>í</w:t>
      </w:r>
      <w:r w:rsidRPr="000C1E8B">
        <w:rPr>
          <w:lang w:val="en-US"/>
        </w:rPr>
        <w:t>quez</w:t>
      </w:r>
      <w:r w:rsidRPr="000C1E8B">
        <w:rPr>
          <w:vertAlign w:val="superscript"/>
          <w:lang w:val="en-US"/>
        </w:rPr>
        <w:t>1</w:t>
      </w:r>
      <w:r w:rsidRPr="000C1E8B">
        <w:rPr>
          <w:lang w:val="en-US"/>
        </w:rPr>
        <w:t>, Thomas Wahl</w:t>
      </w:r>
      <w:r w:rsidRPr="000C1E8B">
        <w:rPr>
          <w:vertAlign w:val="superscript"/>
          <w:lang w:val="en-US"/>
        </w:rPr>
        <w:t>1</w:t>
      </w:r>
      <w:r w:rsidRPr="000C1E8B">
        <w:rPr>
          <w:lang w:val="en-US"/>
        </w:rPr>
        <w:t>, Hannah E. Baranes</w:t>
      </w:r>
      <w:r w:rsidRPr="000C1E8B">
        <w:rPr>
          <w:vertAlign w:val="superscript"/>
          <w:lang w:val="en-US"/>
        </w:rPr>
        <w:t>2</w:t>
      </w:r>
      <w:r w:rsidRPr="000C1E8B">
        <w:rPr>
          <w:lang w:val="en-US"/>
        </w:rPr>
        <w:t>, Stefan A. Talke</w:t>
      </w:r>
      <w:r w:rsidRPr="000C1E8B">
        <w:rPr>
          <w:vertAlign w:val="superscript"/>
          <w:lang w:val="en-US"/>
        </w:rPr>
        <w:t>3</w:t>
      </w:r>
      <w:r w:rsidRPr="000C1E8B">
        <w:rPr>
          <w:lang w:val="en-US"/>
        </w:rPr>
        <w:t>, Philip M. Orton</w:t>
      </w:r>
      <w:r w:rsidRPr="000C1E8B">
        <w:rPr>
          <w:vertAlign w:val="superscript"/>
          <w:lang w:val="en-US"/>
        </w:rPr>
        <w:t>4</w:t>
      </w:r>
      <w:r w:rsidRPr="000C1E8B">
        <w:rPr>
          <w:lang w:val="en-US"/>
        </w:rPr>
        <w:t>, James F. Booth</w:t>
      </w:r>
      <w:r w:rsidRPr="000C1E8B">
        <w:rPr>
          <w:vertAlign w:val="superscript"/>
          <w:lang w:val="en-US"/>
        </w:rPr>
        <w:t>5</w:t>
      </w:r>
      <w:r w:rsidRPr="000C1E8B">
        <w:rPr>
          <w:lang w:val="en-US"/>
        </w:rPr>
        <w:t>, Ivan D. Haigh</w:t>
      </w:r>
      <w:r w:rsidRPr="000C1E8B">
        <w:rPr>
          <w:vertAlign w:val="superscript"/>
          <w:lang w:val="en-US"/>
        </w:rPr>
        <w:t>6</w:t>
      </w:r>
    </w:p>
    <w:p w14:paraId="1709E35B" w14:textId="77777777" w:rsidR="00DE5D33" w:rsidRDefault="00DE5D33" w:rsidP="00DE5D33">
      <w:pPr>
        <w:ind w:left="1080" w:hanging="360"/>
        <w:rPr>
          <w:b/>
          <w:bCs/>
        </w:rPr>
      </w:pPr>
    </w:p>
    <w:p w14:paraId="31047850" w14:textId="4B355210" w:rsidR="00DE5D33" w:rsidRDefault="00DE5D33" w:rsidP="00B04DA1">
      <w:pPr>
        <w:spacing w:line="240" w:lineRule="auto"/>
        <w:ind w:firstLine="0"/>
        <w:jc w:val="left"/>
      </w:pPr>
      <w:r w:rsidRPr="00007075">
        <w:rPr>
          <w:vertAlign w:val="superscript"/>
        </w:rPr>
        <w:t>1</w:t>
      </w:r>
      <w:r w:rsidRPr="001E51EE">
        <w:t>Department of Civil, Environmental and Construction Engineering</w:t>
      </w:r>
      <w:r w:rsidR="00B04DA1">
        <w:t>,</w:t>
      </w:r>
      <w:r w:rsidRPr="001E51EE">
        <w:t xml:space="preserve"> National Center for Integrated Coastal Research, University of Central Florida, Orlando, FL, USA</w:t>
      </w:r>
      <w:r w:rsidR="00B04DA1">
        <w:t xml:space="preserve">, </w:t>
      </w:r>
      <w:r w:rsidRPr="00BC0E03">
        <w:rPr>
          <w:vertAlign w:val="superscript"/>
        </w:rPr>
        <w:t>2</w:t>
      </w:r>
      <w:r>
        <w:t xml:space="preserve">Gulf of Main Research Institute, Portland, </w:t>
      </w:r>
      <w:r w:rsidR="00B04DA1">
        <w:t>ME</w:t>
      </w:r>
      <w:r>
        <w:t>, USA</w:t>
      </w:r>
      <w:r w:rsidR="00B04DA1">
        <w:t xml:space="preserve">, </w:t>
      </w:r>
      <w:r>
        <w:rPr>
          <w:vertAlign w:val="superscript"/>
        </w:rPr>
        <w:t>3</w:t>
      </w:r>
      <w:r w:rsidRPr="00007075">
        <w:t>Department of Civil and Environmental Engineering, California Polytechnic State University, San Luis Obispo, CA, USA</w:t>
      </w:r>
      <w:r w:rsidR="00B04DA1">
        <w:t xml:space="preserve">, </w:t>
      </w:r>
      <w:r w:rsidRPr="009B3E58">
        <w:rPr>
          <w:vertAlign w:val="superscript"/>
        </w:rPr>
        <w:t>4</w:t>
      </w:r>
      <w:r w:rsidR="00A82091">
        <w:t>Davidson Laboratory, Department of Civil, Environmental and Ocean Engineering</w:t>
      </w:r>
      <w:r>
        <w:t>, Stevens Institute of Technology, Hoboken, NJ, USA</w:t>
      </w:r>
      <w:r w:rsidR="00B04DA1">
        <w:t xml:space="preserve">, </w:t>
      </w:r>
      <w:r w:rsidRPr="00735202">
        <w:rPr>
          <w:vertAlign w:val="superscript"/>
        </w:rPr>
        <w:t>5</w:t>
      </w:r>
      <w:r w:rsidR="00B04DA1">
        <w:t>Department of E</w:t>
      </w:r>
      <w:r>
        <w:t>arth and Atmospheric Sciences, City College of New York, City University of New York, New York, NY, USA</w:t>
      </w:r>
      <w:r w:rsidR="00B04DA1">
        <w:t xml:space="preserve">, </w:t>
      </w:r>
      <w:r w:rsidRPr="00F143C1">
        <w:rPr>
          <w:vertAlign w:val="superscript"/>
        </w:rPr>
        <w:t>6</w:t>
      </w:r>
      <w:r>
        <w:t>School of Ocean and Earth Science, National Oceanography Centre Southampton, University of Southampton, Southampton</w:t>
      </w:r>
      <w:r w:rsidR="00B04DA1">
        <w:t>,</w:t>
      </w:r>
      <w:r>
        <w:t xml:space="preserve"> UK</w:t>
      </w:r>
    </w:p>
    <w:p w14:paraId="13884FBC" w14:textId="77777777" w:rsidR="00DE5D33" w:rsidRDefault="00DE5D33" w:rsidP="00DE5D33">
      <w:pPr>
        <w:ind w:firstLine="0"/>
      </w:pPr>
    </w:p>
    <w:p w14:paraId="6F679B63" w14:textId="7884B99D" w:rsidR="00DE5D33" w:rsidRPr="00C90592" w:rsidRDefault="00DE5D33" w:rsidP="00DE5D33">
      <w:pPr>
        <w:pStyle w:val="Affiliation"/>
        <w:rPr>
          <w:lang w:val="es-ES"/>
        </w:rPr>
      </w:pPr>
      <w:proofErr w:type="spellStart"/>
      <w:r w:rsidRPr="00C90592">
        <w:rPr>
          <w:lang w:val="es-ES"/>
        </w:rPr>
        <w:t>Corresponding</w:t>
      </w:r>
      <w:proofErr w:type="spellEnd"/>
      <w:r w:rsidRPr="00C90592">
        <w:rPr>
          <w:lang w:val="es-ES"/>
        </w:rPr>
        <w:t xml:space="preserve"> </w:t>
      </w:r>
      <w:proofErr w:type="spellStart"/>
      <w:r w:rsidRPr="00C90592">
        <w:rPr>
          <w:lang w:val="es-ES"/>
        </w:rPr>
        <w:t>author</w:t>
      </w:r>
      <w:proofErr w:type="spellEnd"/>
      <w:r w:rsidRPr="00C90592">
        <w:rPr>
          <w:lang w:val="es-ES"/>
        </w:rPr>
        <w:t>: Alejandra R. En</w:t>
      </w:r>
      <w:r>
        <w:rPr>
          <w:lang w:val="es-ES"/>
        </w:rPr>
        <w:t>riquez</w:t>
      </w:r>
      <w:r w:rsidRPr="00C90592">
        <w:rPr>
          <w:lang w:val="es-ES"/>
        </w:rPr>
        <w:t xml:space="preserve"> (</w:t>
      </w:r>
      <w:r w:rsidR="00550983">
        <w:rPr>
          <w:lang w:val="es-ES"/>
        </w:rPr>
        <w:t>a.enriquez@ucf.edu)</w:t>
      </w:r>
    </w:p>
    <w:p w14:paraId="74C118BA" w14:textId="77777777" w:rsidR="00DE5D33" w:rsidRPr="00C90592" w:rsidRDefault="00DE5D33" w:rsidP="00DE5D33">
      <w:pPr>
        <w:ind w:firstLine="0"/>
        <w:rPr>
          <w:b/>
          <w:bCs/>
          <w:lang w:val="es-ES"/>
        </w:rPr>
      </w:pPr>
    </w:p>
    <w:p w14:paraId="2EDE89D6" w14:textId="77777777" w:rsidR="00DE5D33" w:rsidRDefault="00DE5D33" w:rsidP="00DE5D33">
      <w:pPr>
        <w:pStyle w:val="Heading-Main"/>
      </w:pPr>
      <w:r>
        <w:t>Key Points:</w:t>
      </w:r>
    </w:p>
    <w:p w14:paraId="2A5AB0BC" w14:textId="7D010E60" w:rsidR="00DE5D33" w:rsidRDefault="00DE5D33" w:rsidP="00DE5D33">
      <w:pPr>
        <w:pStyle w:val="KeyPoints"/>
        <w:numPr>
          <w:ilvl w:val="0"/>
          <w:numId w:val="21"/>
        </w:numPr>
      </w:pPr>
      <w:r>
        <w:t>Long-term tidal cycles (</w:t>
      </w:r>
      <w:r w:rsidR="0059720D">
        <w:t xml:space="preserve">4.4-yr and </w:t>
      </w:r>
      <w:r>
        <w:t>18.6-yr) modulate extreme sea levels and affect estimates of flood risk</w:t>
      </w:r>
    </w:p>
    <w:p w14:paraId="743AD58A" w14:textId="0FA6FBD6" w:rsidR="00DE5D33" w:rsidRDefault="00DE5D33" w:rsidP="00DE5D33">
      <w:pPr>
        <w:pStyle w:val="KeyPoints"/>
        <w:numPr>
          <w:ilvl w:val="0"/>
          <w:numId w:val="21"/>
        </w:numPr>
      </w:pPr>
      <w:r>
        <w:t>T</w:t>
      </w:r>
      <w:r w:rsidRPr="00E541EB">
        <w:t>he</w:t>
      </w:r>
      <w:r>
        <w:t xml:space="preserve"> timing of the</w:t>
      </w:r>
      <w:r w:rsidRPr="00E541EB">
        <w:t xml:space="preserve"> peak of </w:t>
      </w:r>
      <w:r w:rsidR="0059720D">
        <w:t>both</w:t>
      </w:r>
      <w:r w:rsidRPr="00E541EB">
        <w:t xml:space="preserve"> modulation</w:t>
      </w:r>
      <w:r w:rsidR="0059720D">
        <w:t>s</w:t>
      </w:r>
      <w:r w:rsidRPr="00E541EB">
        <w:t xml:space="preserve"> </w:t>
      </w:r>
      <w:r>
        <w:t>is influenced by</w:t>
      </w:r>
      <w:r w:rsidRPr="00E541EB">
        <w:t xml:space="preserve"> the </w:t>
      </w:r>
      <w:r>
        <w:t>relative</w:t>
      </w:r>
      <w:r w:rsidRPr="00E541EB">
        <w:t xml:space="preserve"> importance </w:t>
      </w:r>
      <w:r>
        <w:t xml:space="preserve">of each cycle </w:t>
      </w:r>
      <w:r w:rsidRPr="00E541EB">
        <w:t>over the total amplitude</w:t>
      </w:r>
      <w:r>
        <w:t xml:space="preserve"> </w:t>
      </w:r>
    </w:p>
    <w:p w14:paraId="101F06A6" w14:textId="77777777" w:rsidR="00DE5D33" w:rsidRPr="00C81368" w:rsidRDefault="00DE5D33" w:rsidP="00DE5D33">
      <w:pPr>
        <w:pStyle w:val="KeyPoints"/>
        <w:numPr>
          <w:ilvl w:val="0"/>
          <w:numId w:val="21"/>
        </w:numPr>
      </w:pPr>
      <w:proofErr w:type="gramStart"/>
      <w:r>
        <w:t>Tidally-induced</w:t>
      </w:r>
      <w:proofErr w:type="gramEnd"/>
      <w:r>
        <w:t xml:space="preserve"> changes in extreme sea levels affect estimates of total inundation area</w:t>
      </w:r>
    </w:p>
    <w:p w14:paraId="114EB6FE" w14:textId="77777777" w:rsidR="00DE5D33" w:rsidRDefault="00DE5D33" w:rsidP="00DE5D33">
      <w:pPr>
        <w:rPr>
          <w:b/>
          <w:bCs/>
        </w:rPr>
      </w:pPr>
    </w:p>
    <w:p w14:paraId="13CEF9F4" w14:textId="77777777" w:rsidR="00DE5D33" w:rsidRDefault="00DE5D33" w:rsidP="00DE5D33">
      <w:pPr>
        <w:rPr>
          <w:b/>
          <w:bCs/>
        </w:rPr>
      </w:pPr>
    </w:p>
    <w:p w14:paraId="0657CAA7" w14:textId="38CFFD46" w:rsidR="00DE5D33" w:rsidRPr="00671AB4" w:rsidRDefault="00DE5D33" w:rsidP="00DE5D33">
      <w:pPr>
        <w:rPr>
          <w:b/>
          <w:bCs/>
        </w:rPr>
      </w:pPr>
      <w:r w:rsidRPr="51888674">
        <w:rPr>
          <w:b/>
          <w:bCs/>
        </w:rPr>
        <w:t xml:space="preserve">Keywords: </w:t>
      </w:r>
      <w:r w:rsidR="00A82091">
        <w:rPr>
          <w:b/>
          <w:bCs/>
        </w:rPr>
        <w:t>nodal</w:t>
      </w:r>
      <w:r w:rsidRPr="51888674">
        <w:rPr>
          <w:b/>
          <w:bCs/>
        </w:rPr>
        <w:t xml:space="preserve"> </w:t>
      </w:r>
      <w:r w:rsidR="006E2B14">
        <w:rPr>
          <w:b/>
          <w:bCs/>
        </w:rPr>
        <w:t>cycle</w:t>
      </w:r>
      <w:r w:rsidRPr="51888674">
        <w:rPr>
          <w:b/>
          <w:bCs/>
        </w:rPr>
        <w:t xml:space="preserve">, </w:t>
      </w:r>
      <w:r w:rsidR="00A82091">
        <w:rPr>
          <w:b/>
          <w:bCs/>
        </w:rPr>
        <w:t>tide</w:t>
      </w:r>
      <w:r w:rsidRPr="51888674">
        <w:rPr>
          <w:b/>
          <w:bCs/>
        </w:rPr>
        <w:t>, flood mapping, flood hazard, extreme sea levels.</w:t>
      </w:r>
    </w:p>
    <w:p w14:paraId="7106274E" w14:textId="77777777" w:rsidR="00DE5D33" w:rsidRDefault="00DE5D33" w:rsidP="00DE5D33">
      <w:pPr>
        <w:ind w:left="1080" w:hanging="360"/>
        <w:rPr>
          <w:b/>
          <w:bCs/>
        </w:rPr>
      </w:pPr>
    </w:p>
    <w:p w14:paraId="141ED5D9" w14:textId="77777777" w:rsidR="00DE5D33" w:rsidRDefault="00DE5D33" w:rsidP="00DE5D33">
      <w:pPr>
        <w:ind w:firstLine="0"/>
        <w:rPr>
          <w:b/>
          <w:bCs/>
        </w:rPr>
      </w:pPr>
    </w:p>
    <w:p w14:paraId="7DFE98B4" w14:textId="77777777" w:rsidR="00DE5D33" w:rsidRDefault="00DE5D33" w:rsidP="00DE5D33">
      <w:pPr>
        <w:ind w:firstLine="0"/>
        <w:rPr>
          <w:b/>
          <w:bCs/>
        </w:rPr>
      </w:pPr>
    </w:p>
    <w:p w14:paraId="2B353E68" w14:textId="77777777" w:rsidR="00DE5D33" w:rsidRPr="006815FB" w:rsidRDefault="00DE5D33" w:rsidP="00DE5D33">
      <w:pPr>
        <w:ind w:firstLine="0"/>
        <w:rPr>
          <w:b/>
          <w:bCs/>
        </w:rPr>
      </w:pPr>
    </w:p>
    <w:p w14:paraId="34A7EFED" w14:textId="77777777" w:rsidR="00DE5D33" w:rsidRDefault="00DE5D33" w:rsidP="00DE5D33">
      <w:pPr>
        <w:ind w:left="1080" w:hanging="360"/>
        <w:rPr>
          <w:b/>
          <w:bCs/>
        </w:rPr>
      </w:pPr>
      <w:r>
        <w:rPr>
          <w:b/>
          <w:bCs/>
        </w:rPr>
        <w:t>Abstract</w:t>
      </w:r>
    </w:p>
    <w:p w14:paraId="29AC3044" w14:textId="4684543E" w:rsidR="00DE5D33" w:rsidRPr="00DE5D33" w:rsidRDefault="00DE5D33" w:rsidP="00DE5D33">
      <w:pPr>
        <w:pStyle w:val="Alex"/>
        <w:rPr>
          <w:lang w:val="en-US"/>
        </w:rPr>
      </w:pPr>
      <w:r w:rsidRPr="00DE5D33">
        <w:rPr>
          <w:lang w:val="en-US"/>
        </w:rPr>
        <w:t xml:space="preserve">We demonstrate that long-term </w:t>
      </w:r>
      <w:proofErr w:type="gramStart"/>
      <w:r w:rsidRPr="00DE5D33">
        <w:rPr>
          <w:lang w:val="en-US"/>
        </w:rPr>
        <w:t>tidally-induced</w:t>
      </w:r>
      <w:proofErr w:type="gramEnd"/>
      <w:r w:rsidRPr="00DE5D33">
        <w:rPr>
          <w:lang w:val="en-US"/>
        </w:rPr>
        <w:t xml:space="preserve"> changes in extreme sea levels affect estimates of major flood hazard in a predictable way. Long-term variations in tides due to the </w:t>
      </w:r>
      <w:r w:rsidR="0059720D">
        <w:rPr>
          <w:lang w:val="en-US"/>
        </w:rPr>
        <w:t xml:space="preserve">4.4-yr and </w:t>
      </w:r>
      <w:r w:rsidRPr="00DE5D33">
        <w:rPr>
          <w:lang w:val="en-US"/>
        </w:rPr>
        <w:t>18.6-y</w:t>
      </w:r>
      <w:r w:rsidR="0059720D">
        <w:rPr>
          <w:lang w:val="en-US"/>
        </w:rPr>
        <w:t>r</w:t>
      </w:r>
      <w:r w:rsidRPr="00DE5D33">
        <w:rPr>
          <w:lang w:val="en-US"/>
        </w:rPr>
        <w:t xml:space="preserve"> cycles influence extreme sea levels at 380 global tide gauges out of a total of 581 analyzed. Results show coherent regions where the amplitudes of the modulations are particularly relevant in the 100-year return sea level, reaching</w:t>
      </w:r>
      <w:r w:rsidR="00E5261A">
        <w:rPr>
          <w:lang w:val="en-US"/>
        </w:rPr>
        <w:t xml:space="preserve"> </w:t>
      </w:r>
      <w:r w:rsidR="007F0277">
        <w:rPr>
          <w:lang w:val="en-US"/>
        </w:rPr>
        <w:t xml:space="preserve">more than </w:t>
      </w:r>
      <w:r w:rsidR="007F0277">
        <w:rPr>
          <w:lang w:val="en-US"/>
        </w:rPr>
        <w:lastRenderedPageBreak/>
        <w:t>20 cm in</w:t>
      </w:r>
      <w:r w:rsidR="00E5261A">
        <w:rPr>
          <w:lang w:val="en-US"/>
        </w:rPr>
        <w:t xml:space="preserve"> some </w:t>
      </w:r>
      <w:r w:rsidR="007F0277">
        <w:rPr>
          <w:lang w:val="en-US"/>
        </w:rPr>
        <w:t>regions</w:t>
      </w:r>
      <w:r w:rsidR="00E5261A">
        <w:rPr>
          <w:lang w:val="en-US"/>
        </w:rPr>
        <w:t xml:space="preserve"> (</w:t>
      </w:r>
      <w:r w:rsidRPr="00DE5D33">
        <w:rPr>
          <w:lang w:val="en-US"/>
        </w:rPr>
        <w:t xml:space="preserve">western </w:t>
      </w:r>
      <w:r w:rsidR="00E5261A">
        <w:rPr>
          <w:lang w:val="en-US"/>
        </w:rPr>
        <w:t>Europe, north Australia, and Singapore</w:t>
      </w:r>
      <w:r w:rsidRPr="00DE5D33">
        <w:rPr>
          <w:lang w:val="en-US"/>
        </w:rPr>
        <w:t>). We identify locations that are currently in a positive phase of the modulation and therefore at a higher risk of flooding, as well as when (year) the next peak of the long-term tidal modulations is expected to occur. The timing of the peak of the modulation is spatially coherent and influenced by the relative importance of each cycle (</w:t>
      </w:r>
      <w:r w:rsidR="0059720D">
        <w:rPr>
          <w:lang w:val="en-US"/>
        </w:rPr>
        <w:t xml:space="preserve">4.4-yr or </w:t>
      </w:r>
      <w:r w:rsidRPr="00DE5D33">
        <w:rPr>
          <w:lang w:val="en-US"/>
        </w:rPr>
        <w:t>18.6-y</w:t>
      </w:r>
      <w:r w:rsidR="0059720D">
        <w:rPr>
          <w:lang w:val="en-US"/>
        </w:rPr>
        <w:t>r</w:t>
      </w:r>
      <w:r w:rsidRPr="00DE5D33">
        <w:rPr>
          <w:lang w:val="en-US"/>
        </w:rPr>
        <w:t xml:space="preserve">) over the total amplitude. An evaluation of four locations suggests that the potentially flooded area in a 100-year event can vary up to ~45% (in Boston) </w:t>
      </w:r>
      <w:proofErr w:type="gramStart"/>
      <w:r w:rsidRPr="00DE5D33">
        <w:rPr>
          <w:lang w:val="en-US"/>
        </w:rPr>
        <w:t>as a result of</w:t>
      </w:r>
      <w:proofErr w:type="gramEnd"/>
      <w:r w:rsidRPr="00DE5D33">
        <w:rPr>
          <w:lang w:val="en-US"/>
        </w:rPr>
        <w:t xml:space="preserve"> the long-term tidal cycles; however, </w:t>
      </w:r>
      <w:r w:rsidR="007F0277">
        <w:rPr>
          <w:lang w:val="en-US"/>
        </w:rPr>
        <w:t>the flooded area</w:t>
      </w:r>
      <w:r w:rsidRPr="00DE5D33">
        <w:rPr>
          <w:lang w:val="en-US"/>
        </w:rPr>
        <w:t xml:space="preserve"> varies due to local topography and tidal characteristics (6-13%). We conclude that </w:t>
      </w:r>
      <w:proofErr w:type="gramStart"/>
      <w:r w:rsidRPr="00DE5D33">
        <w:rPr>
          <w:lang w:val="en-US"/>
        </w:rPr>
        <w:t>tidally-modulated</w:t>
      </w:r>
      <w:proofErr w:type="gramEnd"/>
      <w:r w:rsidRPr="00DE5D33">
        <w:rPr>
          <w:lang w:val="en-US"/>
        </w:rPr>
        <w:t xml:space="preserve"> changes in extreme sea levels can alter the potentially inundated area in a 100-year event and that the traditional, fixed 100-year floodplain is inadequate for describing coastal flood risk</w:t>
      </w:r>
      <w:r w:rsidR="00767B6E">
        <w:rPr>
          <w:lang w:val="en-US"/>
        </w:rPr>
        <w:t>, even without considering sea-level rise</w:t>
      </w:r>
      <w:r w:rsidRPr="00DE5D33">
        <w:rPr>
          <w:lang w:val="en-US"/>
        </w:rPr>
        <w:t>.</w:t>
      </w:r>
    </w:p>
    <w:p w14:paraId="4DC45A06" w14:textId="77777777" w:rsidR="00DE5D33" w:rsidRPr="00DE5D33" w:rsidRDefault="00DE5D33" w:rsidP="00DE5D33">
      <w:pPr>
        <w:pStyle w:val="Alex"/>
        <w:rPr>
          <w:lang w:val="en-US"/>
        </w:rPr>
      </w:pPr>
    </w:p>
    <w:p w14:paraId="00BE704D" w14:textId="77777777" w:rsidR="00DE5D33" w:rsidRPr="00DE5D33" w:rsidRDefault="00DE5D33" w:rsidP="00DE5D33">
      <w:pPr>
        <w:pStyle w:val="Alex"/>
        <w:rPr>
          <w:b/>
          <w:bCs/>
          <w:lang w:val="en-US"/>
        </w:rPr>
      </w:pPr>
      <w:r w:rsidRPr="00DE5D33">
        <w:rPr>
          <w:b/>
          <w:bCs/>
          <w:lang w:val="en-US"/>
        </w:rPr>
        <w:t>Plain Language Summary</w:t>
      </w:r>
    </w:p>
    <w:p w14:paraId="24E6DE77" w14:textId="7F9F2B3F" w:rsidR="00DE5D33" w:rsidRPr="00DE5D33" w:rsidRDefault="00DE5D33" w:rsidP="00DE5D33">
      <w:pPr>
        <w:pStyle w:val="Alex"/>
        <w:rPr>
          <w:lang w:val="en-US"/>
        </w:rPr>
      </w:pPr>
      <w:r w:rsidRPr="00DE5D33">
        <w:rPr>
          <w:lang w:val="en-US"/>
        </w:rPr>
        <w:t>Interannual and decadal (long-term) variations in tides modulate extreme sea levels, increasing the risk of flooding at specific and predictable times. Here, we use a dataset of 581 tide gauges to estimate the magnitude of the long-term tidally induced changes in extreme sea levels as well as to identify the timing of the peak of the modulations. We find significant amplitudes of the long-term tidal modulations in extreme water levels</w:t>
      </w:r>
      <w:r w:rsidR="00157186">
        <w:rPr>
          <w:lang w:val="en-US"/>
        </w:rPr>
        <w:t xml:space="preserve">. </w:t>
      </w:r>
      <w:r w:rsidRPr="00DE5D33">
        <w:rPr>
          <w:lang w:val="en-US"/>
        </w:rPr>
        <w:t xml:space="preserve">We conclude that the long-term modulations in tides influence the total inundation area and, therefore, they should be </w:t>
      </w:r>
      <w:proofErr w:type="gramStart"/>
      <w:r w:rsidRPr="00DE5D33">
        <w:rPr>
          <w:lang w:val="en-US"/>
        </w:rPr>
        <w:t>taken into account</w:t>
      </w:r>
      <w:proofErr w:type="gramEnd"/>
      <w:r w:rsidRPr="00DE5D33">
        <w:rPr>
          <w:lang w:val="en-US"/>
        </w:rPr>
        <w:t xml:space="preserve"> when assessing coastal vulnerability.</w:t>
      </w:r>
    </w:p>
    <w:p w14:paraId="47F14051" w14:textId="77777777" w:rsidR="00DE5D33" w:rsidRDefault="00DE5D33" w:rsidP="00DE5D33">
      <w:pPr>
        <w:ind w:firstLine="0"/>
        <w:rPr>
          <w:b/>
          <w:bCs/>
        </w:rPr>
      </w:pPr>
    </w:p>
    <w:p w14:paraId="0D3D348A" w14:textId="77777777" w:rsidR="00DE5D33" w:rsidRPr="00761C7A" w:rsidRDefault="00DE5D33" w:rsidP="00DE5D33">
      <w:pPr>
        <w:pStyle w:val="ListParagraph"/>
        <w:numPr>
          <w:ilvl w:val="0"/>
          <w:numId w:val="9"/>
        </w:numPr>
        <w:rPr>
          <w:b/>
        </w:rPr>
      </w:pPr>
      <w:r>
        <w:rPr>
          <w:b/>
        </w:rPr>
        <w:t>Introduction</w:t>
      </w:r>
    </w:p>
    <w:p w14:paraId="00154A7C" w14:textId="4308DFCF" w:rsidR="00DE5D33" w:rsidRDefault="00DE5D33" w:rsidP="00DE5D33">
      <w:r>
        <w:t xml:space="preserve">Flooding can severely impact coastal communities, producing large economic losses, damage to critical infrastructure, and casualties. In the United States (U.S.), annual damages caused by extreme sea levels typically exceed tens of billions of dollars </w:t>
      </w:r>
      <w:r>
        <w:fldChar w:fldCharType="begin" w:fldLock="1"/>
      </w:r>
      <w:r>
        <w:instrText>ADDIN CSL_CITATION {"citationItems":[{"id":"ITEM-1","itemData":{"DOI":"10.1007/s11069-012-0215-4","ISSN":"0921030X","abstract":"No other region is more threatened by natural perils than coasts. Fierce winds, storm surges, large waves and tsunamis expend their destructive energy when they reach the coastline. Constituting, in many cases, the boundary between continental plates, coasts experience earthquakes and volcanic eruptions more frequently. The changing climate poses the threat of sea level rise. Most global trade crosses the oceans; ports are the entry and exit points of a nation's trade. As a consequence, coasts attract people, businesses and industries. Some coastal regions rank among the top places in the world in terms of population and value accumulation. Enormous catastrophe loss potentials have been created and are increasing. Risk is the result of a natural hazard, the values at risk and their vulnerability. Living with and reducing the risk requires awareness at all levels of society and partnership between the public authorities, the people and enterprises concerned, and the financial sector. Great natural events are not avoidable, great disasters are. Catastrophes are not only products of chance but also the outcome of the interaction between political, financial, social, technical and natural circumstances. Effective safeguards are both achievable and indispensable, but they will never provide complete protection. In order to manage the risks faced by a society, we have to be aware of that. © 2012 Springer Science+Business Media B.V.","author":[{"dropping-particle":"","family":"Kron","given":"Wolfgang","non-dropping-particle":"","parse-names":false,"suffix":""}],"container-title":"Natural Hazards","id":"ITEM-1","issue":"3","issued":{"date-parts":[["2013"]]},"page":"1363-1382","title":"Coasts: The high-risk areas of the world","type":"article-journal","volume":"66"},"uris":["http://www.mendeley.com/documents/?uuid=2928992c-f7cc-4f99-b7f5-6dcba63526b3"]}],"mendeley":{"formattedCitation":"(Kron, 2013)","plainTextFormattedCitation":"(Kron, 2013)","previouslyFormattedCitation":"(Kron, 2013)"},"properties":{"noteIndex":0},"schema":"https://github.com/citation-style-language/schema/raw/master/csl-citation.json"}</w:instrText>
      </w:r>
      <w:r>
        <w:fldChar w:fldCharType="separate"/>
      </w:r>
      <w:r w:rsidRPr="00AD3E86">
        <w:rPr>
          <w:noProof/>
        </w:rPr>
        <w:t>(Kron, 2013)</w:t>
      </w:r>
      <w:r>
        <w:fldChar w:fldCharType="end"/>
      </w:r>
      <w:r>
        <w:rPr>
          <w:noProof/>
        </w:rPr>
        <w:t xml:space="preserve"> and they </w:t>
      </w:r>
      <w:r w:rsidRPr="23E2D115">
        <w:rPr>
          <w:noProof/>
        </w:rPr>
        <w:t>are</w:t>
      </w:r>
      <w:r>
        <w:t xml:space="preserve"> expected to increase due to mean sea-level rise and the continued population growth along the coasts </w:t>
      </w:r>
      <w:r>
        <w:fldChar w:fldCharType="begin" w:fldLock="1"/>
      </w:r>
      <w:r>
        <w:instrText>ADDIN CSL_CITATION {"citationItems":[{"id":"ITEM-1","itemData":{"DOI":"10.1016/j.gloenvcha.2013.02.009","ISSN":"09593780","abstract":"Despite improvements in disaster risk management in the United States, a trend toward increasing economic losses from extreme weather events has been observed. This trend has been attributed to growth in socioeconomic exposure to extremes, a process characterized by strong path dependence. To understand the influence of path dependence on past and future losses, an index of potential socioeconomic exposure was developed at the U.S. county level based upon population size and inflation-adjusted wealth proxies. Since 1960, exposure has increased preferentially in the U.S. Southeast (particularly coastal and urban counties) and Southwest relative to the Great Plains and Northeast. Projected changes in exposure from 2009 to 2054 based upon scenarios of future demographic and economic change suggest a long-term commitment to increasing, but spatially heterogeneous, exposure to extremes, independent of climate change. The implications of this path dependence are examined in the context of several natural hazards. Using methods previously reported in the literature, annualized county-level losses from 1960 to 2008 for five climate-related natural hazards were normalized to 2009 values and then scaled based upon projected changes in exposure and two different estimates of the exposure elasticity of losses. Results indicate that losses from extreme events will grow by a factor of 1.3-1.7 and 1.8-3.9 by 2025 and 2050, respectively, with the exposure elasticity representing a major source of uncertainty. The implications of increasing physical vulnerability to extreme weather events for investments in disaster risk management are ultimately contingent upon the normative values of societal actors. © 2013 Elsevier Ltd.","author":[{"dropping-particle":"","family":"Preston","given":"Benjamin L.","non-dropping-particle":"","parse-names":false,"suffix":""}],"container-title":"Global Environmental Change","id":"ITEM-1","issue":"4","issued":{"date-parts":[["2013"]]},"page":"719-732","publisher":"Elsevier Ltd","title":"Local path dependence of U.S. socioeconomic exposure to climate extremes and the vulnerability commitment","type":"article-journal","volume":"23"},"uris":["http://www.mendeley.com/documents/?uuid=23946dad-88e8-4b66-8549-1d9be9bc6dbc"]},{"id":"ITEM-2","itemData":{"DOI":"10.1088/1748-9326/4/4/044008","ISSN":"17489326","abstract":"Rising sea level threatens existing coastal wetlands. Overall ecosystems could often survive by migrating inland, if adjacent lands remained vacant. On the basis of 131 state and local land use plans, we estimate that almost 60% of the land below 1m along the US Atlantic coast is expected to be developed and thus unavailable for the inland migration of wetlands. Less than 10% of the land below 1m has been set aside for conservation. Environmental regulators routinely grant permits for shore protection structures (which block wetland migration) on the basis of a federal finding that these structures have no cumulative environmental impact. Our results suggest that shore protection does have a cumulative impact. If sea level rise is taken into account, wetland policies that previously seemed to comply with federal law probably violate the Clean Water Act. © 2009 IOP Publishing Ltd.","author":[{"dropping-particle":"","family":"Titus","given":"J. G.","non-dropping-particle":"","parse-names":false,"suffix":""},{"dropping-particle":"","family":"Hudgens","given":"D. E.","non-dropping-particle":"","parse-names":false,"suffix":""},{"dropping-particle":"","family":"Trescott","given":"D. L.","non-dropping-particle":"","parse-names":false,"suffix":""},{"dropping-particle":"","family":"Craghan","given":"M.","non-dropping-particle":"","parse-names":false,"suffix":""},{"dropping-particle":"","family":"Nuckols","given":"W. H.","non-dropping-particle":"","parse-names":false,"suffix":""},{"dropping-particle":"","family":"Hershner","given":"C. H.","non-dropping-particle":"","parse-names":false,"suffix":""},{"dropping-particle":"","family":"Kassakian","given":"J. M.","non-dropping-particle":"","parse-names":false,"suffix":""},{"dropping-particle":"","family":"Linn","given":"C. J.","non-dropping-particle":"","parse-names":false,"suffix":""},{"dropping-particle":"","family":"Merritt","given":"P. G.","non-dropping-particle":"","parse-names":false,"suffix":""},{"dropping-particle":"","family":"McCue","given":"T. M.","non-dropping-particle":"","parse-names":false,"suffix":""},{"dropping-particle":"","family":"O'Connell","given":"J. F.","non-dropping-particle":"","parse-names":false,"suffix":""},{"dropping-particle":"","family":"Tanski","given":"J.","non-dropping-particle":"","parse-names":false,"suffix":""},{"dropping-particle":"","family":"Wang","given":"J.","non-dropping-particle":"","parse-names":false,"suffix":""}],"container-title":"Environmental Research Letters","id":"ITEM-2","issue":"4","issued":{"date-parts":[["2009"]]},"title":"State and local governments plan for development of most land vulnerable to rising sea level along the US Atlantic coast","type":"article-journal","volume":"4"},"uris":["http://www.mendeley.com/documents/?uuid=9c34d77e-4b00-43fe-9e17-eeef093cebf5"]}],"mendeley":{"formattedCitation":"(Preston, 2013; Titus et al., 2009)","plainTextFormattedCitation":"(Preston, 2013; Titus et al., 2009)","previouslyFormattedCitation":"(Preston, 2013; Titus et al., 2009)"},"properties":{"noteIndex":0},"schema":"https://github.com/citation-style-language/schema/raw/master/csl-citation.json"}</w:instrText>
      </w:r>
      <w:r>
        <w:fldChar w:fldCharType="separate"/>
      </w:r>
      <w:r w:rsidRPr="00F1480A">
        <w:rPr>
          <w:noProof/>
        </w:rPr>
        <w:t>(Preston, 2013; Titus et al., 2009)</w:t>
      </w:r>
      <w:r>
        <w:fldChar w:fldCharType="end"/>
      </w:r>
      <w:r w:rsidRPr="00F1480A">
        <w:t xml:space="preserve">. </w:t>
      </w:r>
      <w:r>
        <w:t>Indeed, hurricane and flood</w:t>
      </w:r>
      <w:r w:rsidRPr="0075266E">
        <w:t xml:space="preserve"> </w:t>
      </w:r>
      <w:r>
        <w:t xml:space="preserve">losses, including riverine and coastal, have already tripled over the past fifty years </w:t>
      </w:r>
      <w:r>
        <w:fldChar w:fldCharType="begin" w:fldLock="1"/>
      </w:r>
      <w:r>
        <w:instrText>ADDIN CSL_CITATION {"citationItems":[{"id":"ITEM-1","itemData":{"DOI":"10.3390/su3112157","ISBN":"1225578442","ISSN":"20711050","abstract":"In the United States, direct losses from natural hazards are on the rise with hurricanes, flooding, and severe storms contributing about three quarters of the total damages. While losses from severe storms have been stable over the past fifty years, hurricane and flood losses have tripled. Per capita losses are also increasing showing that impacts outpace population growth with high per capita losses occurring largely in the Southeast and Midwest. If the loss escalation of the past two decades continues into the future, then direct losses of $300 to $400 billion within a single decade are possible. In order to reverse this trend, sustainable development, vulnerability reduction, and hazard mitigation must become priorities and current loss reduction efforts need to be evaluated and re-assessed in terms of their effectiveness. These conclusions are drawn from the analysis of spatial and temporal trends in direct losses from natural hazards using SHELDUS™ data from 1960 through 2009. Loss data are adjusted for inflation, population, and wealth to capture both trends in total losses and per capita losses. The loss data are then compared to disaster-related federal government and private insurance expenditures. © 2011 by the authors.","author":[{"dropping-particle":"","family":"Gall","given":"Melanie","non-dropping-particle":"","parse-names":false,"suffix":""},{"dropping-particle":"","family":"Borden","given":"Kevin A.","non-dropping-particle":"","parse-names":false,"suffix":""},{"dropping-particle":"","family":"Emrich","given":"Christopher T.","non-dropping-particle":"","parse-names":false,"suffix":""},{"dropping-particle":"","family":"Cutter","given":"Susan L.","non-dropping-particle":"","parse-names":false,"suffix":""}],"container-title":"Sustainability","id":"ITEM-1","issue":"11","issued":{"date-parts":[["2011"]]},"page":"2157-2181","title":"The unsustainable trend of natural hazard losses in the United States","type":"article-journal","volume":"3"},"uris":["http://www.mendeley.com/documents/?uuid=471fbe6e-dd67-4433-bb72-0f7726b8bb36"]}],"mendeley":{"formattedCitation":"(Gall et al., 2011)","plainTextFormattedCitation":"(Gall et al., 2011)","previouslyFormattedCitation":"(Gall et al., 2011)"},"properties":{"noteIndex":0},"schema":"https://github.com/citation-style-language/schema/raw/master/csl-citation.json"}</w:instrText>
      </w:r>
      <w:r>
        <w:fldChar w:fldCharType="separate"/>
      </w:r>
      <w:r w:rsidRPr="00411ECF">
        <w:rPr>
          <w:noProof/>
        </w:rPr>
        <w:t>(Gall et al., 2011)</w:t>
      </w:r>
      <w:r>
        <w:fldChar w:fldCharType="end"/>
      </w:r>
      <w:r>
        <w:t xml:space="preserve">. Local-scale flood mapping and vulnerability assessments are often developed to aid in adaptation planning </w:t>
      </w:r>
      <w:r>
        <w:fldChar w:fldCharType="begin" w:fldLock="1"/>
      </w:r>
      <w:r>
        <w:instrText>ADDIN CSL_CITATION {"citationItems":[{"id":"ITEM-1","itemData":{"DOI":"10.3390/rs12010154","ISSN":"20724292","abstract":"Majuro Atoll in the central Pacific has high coastal vulnerability due to low-lying islands, rising sea level, high wave events, eroding shorelines, a dense population center, and limited freshwater resources. Land elevation is the primary geophysical variable that determines exposure to inundation in coastal settings. Accordingly, coastal elevation data (with accuracy information) are critical for assessments of inundation exposure. Previous research has demonstrated the importance of using high-accuracy elevation data and rigorously accounting for uncertainty in inundation assessments. A quantitative analysis of inundation exposure was conducted for Majuro Atoll, including accounting for the cumulative vertical uncertainty from the input digital elevation model (DEM) and datum transformation. The project employed a recently produced and validated DEM derived from structure-from-motion processing of very-high-resolution aerial imagery. Areas subject to marine inundation (direct hydrologic connection to the ocean) and low-lying lands (disconnected hydrologically from the ocean) were mapped and characterized for three inundation levels using deterministic and probabilistic methods. At the highest water level modeled (3.75 ft, or 1.143 m), more than 34% of the atoll study area is likely to be exposed to inundation (68% chance or greater), while more than 20% of the atoll is extremely likely to be exposed (95% chance or greater). The study demonstrates the substantial value of a high-accuracy DEM for assessing inundation exposure of low-relief islands and the enhanced information from accounting for vertical uncertainty.","author":[{"dropping-particle":"","family":"Gesch","given":"Dean","non-dropping-particle":"","parse-names":false,"suffix":""},{"dropping-particle":"","family":"Palaseanu-Lovejoy","given":"Monica","non-dropping-particle":"","parse-names":false,"suffix":""},{"dropping-particle":"","family":"Danielson","given":"Jeffrey","non-dropping-particle":"","parse-names":false,"suffix":""},{"dropping-particle":"","family":"Fletcher","given":"Charles","non-dropping-particle":"","parse-names":false,"suffix":""},{"dropping-particle":"","family":"Kottermair","given":"Maria","non-dropping-particle":"","parse-names":false,"suffix":""},{"dropping-particle":"","family":"Barbee","given":"Matthew","non-dropping-particle":"","parse-names":false,"suffix":""},{"dropping-particle":"","family":"Jalandoni","given":"Andrea","non-dropping-particle":"","parse-names":false,"suffix":""}],"container-title":"Remote Sensing","id":"ITEM-1","issue":"1","issued":{"date-parts":[["2020"]]},"title":"Inundation exposure assessment for majuro atoll, republic of the Marshall islands using a high-accuracy digital elevation model","type":"article-journal","volume":"12"},"uris":["http://www.mendeley.com/documents/?uuid=f8632b9d-865a-4ab7-9e50-75be445e1c25"]},{"id":"ITEM-2","itemData":{"DOI":"10.1007/s11069-020-03861-9","ISBN":"0123456789","ISSN":"15730840","abstract":"Coastal inundation due to storm tides is computed using ADvanced CIRCulation (ADCIRC) model along the east coast of India. Inland inundation due to storm tides is calculated every 10 km along the coast by using synthetic tracks as described in Rao et al. (Nat Hazards, 2019. https://doi.org/10.1007/s11069-019-03804-z). The cyclonic winds are computed using a maximum pressure drop of the cyclone based on a 100-year return period. The coast is mapped for the maximum possible extent of inland inundation with water levels at the district level. The influence of climate change impact as a result of global warming on the coastal inundation is evaluated by enhancing the intensity of the cyclones. Peak water levels of about 10–12 m are found along the north of Odisha coast. The most vulnerable region in terms of coastal inundation in the present scenario is found in the districts of West Bengal; however, they are the least affected by about 5–6% due to climate change scenario (CCS). The most affected inundated districts by more than 50% due to CCS are observed in the Godavari deltaic region in Andhra Pradesh. Though the water levels in the Ramanathapuram District in Tamil Nadu reach more than 8 m in any scenario, the region is unaffected by the coastal inundation due to high local topography. By examining the inundated area of different water levels, it is revealed that more than 75% of the total area is inundated with greater than 2 m water levels in the northern districts of Odisha and Ramanathapuram District in Tamil Nadu.","author":[{"dropping-particle":"","family":"Rao","given":"A. D.","non-dropping-particle":"","parse-names":false,"suffix":""},{"dropping-particle":"","family":"Upadhaya","given":"Puja","non-dropping-particle":"","parse-names":false,"suffix":""},{"dropping-particle":"","family":"Ali","given":"Hyder","non-dropping-particle":"","parse-names":false,"suffix":""},{"dropping-particle":"","family":"Pandey","given":"Smita","non-dropping-particle":"","parse-names":false,"suffix":""},{"dropping-particle":"","family":"Warrier","given":"Vidya","non-dropping-particle":"","parse-names":false,"suffix":""}],"container-title":"Natural Hazards","id":"ITEM-2","issue":"1","issued":{"date-parts":[["2020"]]},"page":"39-57","publisher":"Springer Netherlands","title":"Coastal inundation due to tropical cyclones along the east coast of India: an influence of climate change impact","type":"article-journal","volume":"101"},"uris":["http://www.mendeley.com/documents/?uuid=00e2a5b8-3224-45dd-9212-f0a1aa67ce9c"]},{"id":"ITEM-3","itemData":{"DOI":"10.1016/j.crm.2014.02.004","ISSN":"22120963","abstract":"The consequences of future sea-level rise for coastal communities are a priority concern arising from anthropogenic climate change. Here, previously published methods are scaled up in order to undertake a first pass assessment of exposure to hurricane storm surge and sea-level rise for the U.S. Gulf of Mexico and Atlantic coasts. Sea-level rise scenarios ranging from +0.50 to +0.82. m by 2100 increased estimates of the area exposed to inundation by 4-13% and 7-20%, respectively, among different Saffir-Simpson hurricane intensity categories. Potential applications of these hazard layers for vulnerability assessment are demonstrated with two contrasting case studies: potential exposure of current energy infrastructure in the U.S. Southeast and exposure of current and future housing along both the Gulf and Atlantic Coasts. Estimates of the number of Southeast electricity generation facilities potentially exposed to hurricane storm surge ranged from 69 to 291 for category 1 and category 5 storms, respectively. Sea-level rise increased the number of exposed facilities by 6-60%, depending on the sea-level rise scenario and the intensity of the hurricane under consideration. Meanwhile, estimates of the number of housing units currently exposed to hurricane storm surge ranged from 4.1 to 9.4 million for category 1 and category 4 storms, respectively, while exposure for category 5 storms was estimated at 7.1 million due to the absence of landfalling category 5 hurricanes in the New England region. Housing exposure was projected to increase 83-230% by 2100 among different sea-level rise and housing scenarios, with the majority of this increase attributed to future housing development. These case studies highlight the utility of geospatial hazard information for national-scale coastal exposure or vulnerability assessment as well as the importance of future socioeconomic development in the assessment of coastal vulnerability. © 2014 The Authors.","author":[{"dropping-particle":"","family":"Maloney","given":"Megan C.","non-dropping-particle":"","parse-names":false,"suffix":""},{"dropping-particle":"","family":"Preston","given":"Benjamin L.","non-dropping-particle":"","parse-names":false,"suffix":""}],"container-title":"Climate Risk Management","id":"ITEM-3","issue":"July 2014","issued":{"date-parts":[["2014"]]},"page":"26-41","publisher":"Elsevier B.V.","title":"A geospatial dataset for U.S. hurricane storm surge and sea-level rise vulnerability: Development and case study applications","type":"article-journal","volume":"2"},"uris":["http://www.mendeley.com/documents/?uuid=9ba82224-4d4b-4c99-a7d2-a33676fd8245"]},{"id":"ITEM-4","itemData":{"DOI":"10.1007/s11069-010-9599-1","ISSN":"0921030X","abstract":"Coastal flooding poses serious threats to coastal areas, and the vulnerability of coastal communities and economic sectors to flooding will increase in the coming decades due to environmental and socioeconomic changes. It is increasingly recognised that estimates of the vulnerability of cities are essential for planning adaptation measures. Jakarta is a case in point, since parts of the city are subjected to regular flooding on a near-monthly basis. In order to assess the current and future coastal flood hazard, we set up a GIS-based flood model of northern Jakarta to simulate inundated area and value of exposed assets. Under current conditions, estimated damage exposure to extreme coastal flood events with return periods of 100 and 1,000 years is high (€4.0 and €5.2 billion, respectively). Under the scenario for 2100, damage exposure associated with these events increases by a factor 4-5, with little difference between low/high sea-level rise scenarios. This increase is mainly due to rapid land subsidence and excludes socioeconomic developments. We also develop a detemporalised inundation scenario for assessing impacts associated with any coastal flood scenario. This allows for the identification of critical points above which large increases in damage exposure can be expected and also for the assessment of adaptation options against hypothetical user-defined levels of change, rather than being bound to a discrete set of a priori scenarios. The study highlights the need for urgent attention to the land subsidence problem; a continuation of the current rate would result in catastrophic increases in damage exposure. © 2010 The Author(s).","author":[{"dropping-particle":"","family":"Ward","given":"P. J.","non-dropping-particle":"","parse-names":false,"suffix":""},{"dropping-particle":"","family":"Marfai","given":"M. A.","non-dropping-particle":"","parse-names":false,"suffix":""},{"dropping-particle":"","family":"Yulianto","given":"F.","non-dropping-particle":"","parse-names":false,"suffix":""},{"dropping-particle":"","family":"Hizbaron","given":"D. R.","non-dropping-particle":"","parse-names":false,"suffix":""},{"dropping-particle":"","family":"Aerts","given":"J. C.J.H.","non-dropping-particle":"","parse-names":false,"suffix":""}],"container-title":"Natural Hazards","id":"ITEM-4","issue":"3","issued":{"date-parts":[["2011"]]},"page":"899-916","title":"Coastal inundation and damage exposure estimation: A case study for Jakarta","type":"article-journal","volume":"56"},"uris":["http://www.mendeley.com/documents/?uuid=ba5f0bd0-b74b-47a9-8b76-5ec9b994163e"]}],"mendeley":{"formattedCitation":"(Gesch et al., 2020; Maloney &amp; Preston, 2014; Rao et al., 2020; Ward et al., 2011)","manualFormatting":"(some examples are Gesch et al., 2020; Maloney and Preston, 2014; Rao et al., 2020; Ward et al., 2011)","plainTextFormattedCitation":"(Gesch et al., 2020; Maloney &amp; Preston, 2014; Rao et al., 2020; Ward et al., 2011)","previouslyFormattedCitation":"(Gesch et al., 2020; Maloney &amp; Preston, 2014; Rao et al., 2020; Ward et al., 2011)"},"properties":{"noteIndex":0},"schema":"https://github.com/citation-style-language/schema/raw/master/csl-citation.json"}</w:instrText>
      </w:r>
      <w:r>
        <w:fldChar w:fldCharType="separate"/>
      </w:r>
      <w:r w:rsidRPr="001B452E">
        <w:rPr>
          <w:noProof/>
        </w:rPr>
        <w:t>(</w:t>
      </w:r>
      <w:r>
        <w:rPr>
          <w:noProof/>
        </w:rPr>
        <w:t xml:space="preserve">some examples are </w:t>
      </w:r>
      <w:r w:rsidRPr="001B452E">
        <w:rPr>
          <w:noProof/>
        </w:rPr>
        <w:t>Gesch et al., 2020; Maloney and Preston, 2014; Rao et al., 2020; Ward et al., 2011)</w:t>
      </w:r>
      <w:r>
        <w:fldChar w:fldCharType="end"/>
      </w:r>
      <w:r>
        <w:t xml:space="preserve">. Such flood maps often determine land-use policies, flood mitigation strategies, and infrastructure development. </w:t>
      </w:r>
      <w:r>
        <w:lastRenderedPageBreak/>
        <w:t xml:space="preserve">In the </w:t>
      </w:r>
      <w:r w:rsidR="00767B6E">
        <w:t>United States</w:t>
      </w:r>
      <w:r>
        <w:t xml:space="preserve">, the Federal Emergency Management Agency (FEMA) determines flood insurance requirements based on flood maps; </w:t>
      </w:r>
      <w:r w:rsidRPr="00645B63">
        <w:t>owners, renters</w:t>
      </w:r>
      <w:r>
        <w:t>,</w:t>
      </w:r>
      <w:r w:rsidRPr="00645B63">
        <w:t xml:space="preserve"> and businesses in FEMA-designated zones with a </w:t>
      </w:r>
      <w:r>
        <w:t xml:space="preserve">1% </w:t>
      </w:r>
      <w:r w:rsidRPr="00645B63">
        <w:t xml:space="preserve">annual recurrence probability of flooding </w:t>
      </w:r>
      <w:r>
        <w:t xml:space="preserve">are required to purchase flood insurance on </w:t>
      </w:r>
      <w:proofErr w:type="gramStart"/>
      <w:r>
        <w:t>federally-backed</w:t>
      </w:r>
      <w:proofErr w:type="gramEnd"/>
      <w:r>
        <w:t xml:space="preserve"> loans.</w:t>
      </w:r>
    </w:p>
    <w:p w14:paraId="4BD71AF0" w14:textId="6CCE7025" w:rsidR="00DE5D33" w:rsidRDefault="00DE5D33" w:rsidP="00DE5D33">
      <w:r>
        <w:t>Coastal flood maps and hazard assessments in a regulatory framework are typically developed under the assumption of stationarity. That is, all components of the water-level spectrum (mean sea level variability, astronomical tides, meteorologically induced storm surges, waves, etc.) are assumed to be unaffected by long-term trends or predictable cycles, after removing the effects of mean sea-level rise. However, astronomical tides are a quasi-deterministic part of measured water levels, and they strongly influence coastal water levels at daily, fortnightly, seasonal, interannual, and decadal time scales. Interannual and decadal variations in tides mainly result from the 4.4-y</w:t>
      </w:r>
      <w:r w:rsidR="006A4404">
        <w:t>r</w:t>
      </w:r>
      <w:r>
        <w:t xml:space="preserve"> cycle and 18.6-y</w:t>
      </w:r>
      <w:r w:rsidR="006A4404">
        <w:t>r</w:t>
      </w:r>
      <w:r>
        <w:t xml:space="preserve"> cycle. The 4.4-y</w:t>
      </w:r>
      <w:r w:rsidR="0012047D">
        <w:t>r</w:t>
      </w:r>
      <w:r>
        <w:t xml:space="preserve"> tidal modulations in extrem</w:t>
      </w:r>
      <w:r w:rsidR="007F0277">
        <w:t>e tide levels are</w:t>
      </w:r>
      <w:r>
        <w:t xml:space="preserve"> explained in the following (the reader is referred to </w:t>
      </w:r>
      <w:r>
        <w:fldChar w:fldCharType="begin" w:fldLock="1"/>
      </w:r>
      <w:r w:rsidR="0012047D">
        <w:instrText>ADDIN CSL_CITATION {"citationItems":[{"id":"ITEM-1","itemData":{"DOI":"10.1029/2019JC015061","ISSN":"21699291","abstract":"In most places extreme high tides undergo a clear seasonal variation. It is well known that semidiurnal tides tend to peak during equinox seasons, and diurnals during solstice seasons. This is a consequence of the solar and lunar declinations, which when large maximize diurnal tides at the expense of semidiurnals. The semiannual range modulation of tidal extremes for a pure semidiurnal tide is determined mainly by the amplitude of the K2 constituent; a pure diurnal is determined mainly by P1. Mixed tidal regimes tend to experience maxima very roughly around the times of solstice, but not always, with the semiannual modulation generally a complicated function of constituent amplitudes and phases. These modulations are here mapped worldwide by analyzing tidal extremes predicted with a global tide model. The known 4.4-year modulation in extreme tides is a consequence of declinational and perigean effects coming in and out of phase. The phase of the 4.4-year modulation is controlled by the phase of the semiannual modulation, irrespective of whether the tide is diurnal, semidiurnal, or mixed.","author":[{"dropping-particle":"","family":"Ray","given":"R. D.","non-dropping-particle":"","parse-names":false,"suffix":""},{"dropping-particle":"","family":"Merrifield","given":"M. A.","non-dropping-particle":"","parse-names":false,"suffix":""}],"container-title":"Journal of Geophysical Research: Oceans","id":"ITEM-1","issue":"8","issued":{"date-parts":[["2019"]]},"page":"5907-5922","title":"The Semiannual and 4.4-Year Modulations of Extreme High Tides","type":"article-journal","volume":"124"},"uris":["http://www.mendeley.com/documents/?uuid=ccc9d7a6-5427-4f19-a268-62f0190c7cb0"]}],"mendeley":{"formattedCitation":"(R. D. Ray &amp; Merrifield, 2019)","manualFormatting":"Ray and Merrifield (2019","plainTextFormattedCitation":"(R. D. Ray &amp; Merrifield, 2019)","previouslyFormattedCitation":"(R. D. Ray &amp; Merrifield, 2019)"},"properties":{"noteIndex":0},"schema":"https://github.com/citation-style-language/schema/raw/master/csl-citation.json"}</w:instrText>
      </w:r>
      <w:r>
        <w:fldChar w:fldCharType="separate"/>
      </w:r>
      <w:r w:rsidRPr="51888674">
        <w:rPr>
          <w:noProof/>
        </w:rPr>
        <w:t xml:space="preserve">Ray and Merrifield </w:t>
      </w:r>
      <w:r w:rsidR="0012047D">
        <w:rPr>
          <w:noProof/>
        </w:rPr>
        <w:t>(</w:t>
      </w:r>
      <w:r w:rsidRPr="51888674">
        <w:rPr>
          <w:noProof/>
        </w:rPr>
        <w:t>2019</w:t>
      </w:r>
      <w:r>
        <w:fldChar w:fldCharType="end"/>
      </w:r>
      <w:r w:rsidR="0012047D">
        <w:t>)</w:t>
      </w:r>
      <w:r>
        <w:t xml:space="preserve"> for a more detailed explanation): Spring tides result from the astronomical alignment of the Sun, Moon</w:t>
      </w:r>
      <w:r w:rsidR="007F0277">
        <w:t>,</w:t>
      </w:r>
      <w:r>
        <w:t xml:space="preserve"> and Earth, which occurs </w:t>
      </w:r>
      <w:r w:rsidR="00B319CD">
        <w:t xml:space="preserve">approximately </w:t>
      </w:r>
      <w:r>
        <w:t>twice a month. The spring tides are exacerbated when the astronomical alignment coincides approximately with the Moon’s perigee (the least distance between the Moon and the Earth), leading to the so</w:t>
      </w:r>
      <w:r w:rsidR="007F0277">
        <w:t>-</w:t>
      </w:r>
      <w:r>
        <w:t>called “perigean spring tides”. This coincidence happens approximately twice a year. The perigean spring tides are further exacerbated every ~4.4 years. The process leading to the 4.4-y</w:t>
      </w:r>
      <w:r w:rsidR="006A4404">
        <w:t>r</w:t>
      </w:r>
      <w:r>
        <w:t xml:space="preserve"> modulation differs between the semidiurnal and the diurnal tidal regime areas. In the semidiurnal tidal regimes, the perigean spring tides peak when the perigee crosses an equinox (the time when the plane of the Earth’s equator passes through the geometric center of the Sun). This happens every ~4.4 years because the perigee processes in a</w:t>
      </w:r>
      <w:r w:rsidR="007F0277">
        <w:t>n</w:t>
      </w:r>
      <w:r>
        <w:t xml:space="preserve"> 8.85-y</w:t>
      </w:r>
      <w:r w:rsidR="006A4404">
        <w:t>r</w:t>
      </w:r>
      <w:r>
        <w:t xml:space="preserve"> </w:t>
      </w:r>
      <w:proofErr w:type="gramStart"/>
      <w:r>
        <w:t>cycle, and</w:t>
      </w:r>
      <w:proofErr w:type="gramEnd"/>
      <w:r>
        <w:t xml:space="preserve"> crosses the equinoxes twice during its cycle. On the other hand, the 4.4-y</w:t>
      </w:r>
      <w:r w:rsidR="006A4404">
        <w:t>r</w:t>
      </w:r>
      <w:r>
        <w:t xml:space="preserve"> modulation in diurnal tidal regimes depends on the Sun declination; </w:t>
      </w:r>
      <w:r w:rsidR="00767B6E">
        <w:t xml:space="preserve">the ~ </w:t>
      </w:r>
      <w:proofErr w:type="gramStart"/>
      <w:r w:rsidR="00767B6E">
        <w:t>13.7 day</w:t>
      </w:r>
      <w:proofErr w:type="gramEnd"/>
      <w:r w:rsidR="00767B6E">
        <w:t xml:space="preserve"> modulation in diurnal tides is maximal</w:t>
      </w:r>
      <w:r>
        <w:t xml:space="preserve"> when the Sun is at a maximum declination, i.e., the angle between the rays of the Sun and the plane of the Earth’s equator. On the other hand, the 18.6-y</w:t>
      </w:r>
      <w:r w:rsidR="006A4404">
        <w:t>r</w:t>
      </w:r>
      <w:r>
        <w:t xml:space="preserve"> nodal </w:t>
      </w:r>
      <w:r w:rsidR="006E2B14">
        <w:t>cycle</w:t>
      </w:r>
      <w:r>
        <w:t xml:space="preserve"> is produced by the relative movement of the plane in which the Moon orbits the Earth. This plane is inclined at 5° 09’ to the plane of the ecliptic (the plane in which the Earth orbits the Sun</w:t>
      </w:r>
      <w:r w:rsidR="004E29A8">
        <w:t xml:space="preserve">, </w:t>
      </w:r>
      <w:r w:rsidR="004E29A8">
        <w:fldChar w:fldCharType="begin" w:fldLock="1"/>
      </w:r>
      <w:r w:rsidR="00D975B4">
        <w:instrText>ADDIN CSL_CITATION {"citationItems":[{"id":"ITEM-1","itemData":{"DOI":"10.1175/JCLI4193.1","ISSN":"08948755","abstract":"A possible connection between oceanic tides and climate variability arises from modulations in tidally induced vertical mixing. The idea is reexamined here with emphasis on near-decadal time scales. Occasional extreme tides caused by unusually favorable alignments of the moon and sun are unlikely to influence decadal climate, since these tides are of short duration and, in fact, are barely larger than the typical spring tide near lunar perigee. The argument by Keeling and Whorf in favor of extreme tides is further handicapped by an insufficiently precise catalog of extreme tides. A more plausible connection between tides and near-decadal climate is through \"harmonic beating\" of nearby tidal spectral lines. The 18.6-yr modulation of diurnal tides is the most likely to be detectable. Possible evidence for this is reviewed. Some of the most promising candidates rely on temperature data in the vicinity of the North Pacific Ocean where diurnal tides are large, but definitive detection is hindered by the shortness of the time series. Paleoclimate temperature data deduced from tree rings are suggestive, but one of the best examples shows a phase reversal, which is evidence against a tidal connection.","author":[{"dropping-particle":"","family":"Ray","given":"Richard D.","non-dropping-particle":"","parse-names":false,"suffix":""}],"container-title":"Journal of Climate","id":"ITEM-1","issue":"14","issued":{"date-parts":[["2007"]]},"page":"3542-3560","title":"Decadal climate variability: Is there a tidal connection?","type":"article-journal","volume":"20"},"uris":["http://www.mendeley.com/documents/?uuid=0f2ce417-afda-408b-9d01-f7ac5ceb0564"]}],"mendeley":{"formattedCitation":"(Richard D. Ray, 2007)","manualFormatting":"(Ray, 2007)","plainTextFormattedCitation":"(Richard D. Ray, 2007)","previouslyFormattedCitation":"(Richard D. Ray, 2007)"},"properties":{"noteIndex":0},"schema":"https://github.com/citation-style-language/schema/raw/master/csl-citation.json"}</w:instrText>
      </w:r>
      <w:r w:rsidR="004E29A8">
        <w:fldChar w:fldCharType="separate"/>
      </w:r>
      <w:r w:rsidR="004E29A8" w:rsidRPr="004E29A8">
        <w:rPr>
          <w:noProof/>
        </w:rPr>
        <w:t>(Ray, 2007)</w:t>
      </w:r>
      <w:r w:rsidR="004E29A8">
        <w:fldChar w:fldCharType="end"/>
      </w:r>
      <w:r>
        <w:t xml:space="preserve">) and </w:t>
      </w:r>
      <w:proofErr w:type="spellStart"/>
      <w:r w:rsidR="006E2B14">
        <w:t>precesses</w:t>
      </w:r>
      <w:proofErr w:type="spellEnd"/>
      <w:r w:rsidR="0012047D">
        <w:t xml:space="preserve"> slowly over a period of ~18.6</w:t>
      </w:r>
      <w:r w:rsidR="006D5F74">
        <w:t>-yr</w:t>
      </w:r>
      <w:r>
        <w:t xml:space="preserve">, affecting the </w:t>
      </w:r>
      <w:r w:rsidR="00325CA8">
        <w:t>short-period tides</w:t>
      </w:r>
      <w:r>
        <w:t xml:space="preserve"> at the same frequency</w:t>
      </w:r>
      <w:r w:rsidR="00017CDE">
        <w:t xml:space="preserve"> </w:t>
      </w:r>
      <w:r w:rsidR="00017CDE">
        <w:fldChar w:fldCharType="begin" w:fldLock="1"/>
      </w:r>
      <w:r w:rsidR="004A6E7D">
        <w:instrText>ADDIN CSL_CITATION {"citationItems":[{"id":"ITEM-1","itemData":{"ISBN":"1107028191","author":[{"dropping-particle":"","family":"Pugh","given":"David","non-dropping-particle":"","parse-names":false,"suffix":""},{"dropping-particle":"","family":"Woodworth","given":"Philip","non-dropping-particle":"","parse-names":false,"suffix":""}],"chapter-number":"Chapter 3.","container-title":"Sea-level science: understanding tides, surges, tsunamis and mean sea-level changes","id":"ITEM-1","issued":{"date-parts":[["2014"]]},"publisher":"Cambridge University Press","title":"Tidal forces (Chapter 3)","type":"chapter"},"uris":["http://www.mendeley.com/documents/?uuid=5ebc69e6-8c7a-4ee6-b71a-e09fa5d40963"]}],"mendeley":{"formattedCitation":"(D. Pugh &amp; Woodworth, 2014b)","manualFormatting":"(Pugh &amp; Woodworth, 2014b)","plainTextFormattedCitation":"(D. Pugh &amp; Woodworth, 2014b)","previouslyFormattedCitation":"(D. Pugh &amp; Woodworth, 2014b)"},"properties":{"noteIndex":0},"schema":"https://github.com/citation-style-language/schema/raw/master/csl-citation.json"}</w:instrText>
      </w:r>
      <w:r w:rsidR="00017CDE">
        <w:fldChar w:fldCharType="separate"/>
      </w:r>
      <w:r w:rsidR="00D975B4" w:rsidRPr="00D975B4">
        <w:rPr>
          <w:noProof/>
        </w:rPr>
        <w:t>(Pugh &amp; Woodworth, 2014b)</w:t>
      </w:r>
      <w:r w:rsidR="00017CDE">
        <w:fldChar w:fldCharType="end"/>
      </w:r>
      <w:r>
        <w:t>. The 4.4-y</w:t>
      </w:r>
      <w:r w:rsidR="006A4404">
        <w:t>r</w:t>
      </w:r>
      <w:r>
        <w:t xml:space="preserve"> and 18.6-y</w:t>
      </w:r>
      <w:r w:rsidR="006A4404">
        <w:t>r</w:t>
      </w:r>
      <w:r>
        <w:t xml:space="preserve"> tidal cycles are referred </w:t>
      </w:r>
      <w:r w:rsidR="007F0277">
        <w:t xml:space="preserve">to </w:t>
      </w:r>
      <w:r>
        <w:t>as long-term tidal cycles hereinafter.</w:t>
      </w:r>
    </w:p>
    <w:p w14:paraId="16314341" w14:textId="4A203EE9" w:rsidR="00DE5D33" w:rsidRPr="00D659FC" w:rsidRDefault="00DE5D33" w:rsidP="00DE5D33">
      <w:r>
        <w:lastRenderedPageBreak/>
        <w:t xml:space="preserve">Recent studies have shown that the long-term tidal cycles can lead to more recurrent minor tidal flooding, resulting in substantial socio-economic disruptions and damages </w:t>
      </w:r>
      <w:r>
        <w:fldChar w:fldCharType="begin" w:fldLock="1"/>
      </w:r>
      <w:r w:rsidR="00225B12">
        <w:instrText>ADDIN CSL_CITATION {"citationItems":[{"id":"ITEM-1","itemData":{"DOI":"10.1126/sciadv.abe2412","ISSN":"23752548","PMID":"33674309","abstract":"Nuisance flooding (NF) is defined as minor, nondestructive flooding that causes substantial, accumulating socioeconomic impacts to coastal communities. While sea-level rise is the main driver for the observed increase in NF events in the United States, we show here that secular changes in tides also contribute. An analysis of 40 tidal gauge records from U.S. coasts finds that, at 18 locations, NF increased due to tidal amplification, while decreases in tidal range suppressed NF at 11 locations. Estuaries show the largest changes in NF attributable to tide changes, and these can often be traced to anthropogenic alterations. Limited long-term measurements from estuaries suggest that the effects of evolving tides are more widespread than the locations considered here. The total number of NF days caused by tidal changes has increased at an exponential rate since 1950, adding ~27% to the total number of NF events observed in 2019 across locations with tidal amplification.","author":[{"dropping-particle":"","family":"Li","given":"Sida","non-dropping-particle":"","parse-names":false,"suffix":""},{"dropping-particle":"","family":"Wahl","given":"Thomas","non-dropping-particle":"","parse-names":false,"suffix":""},{"dropping-particle":"","family":"Talke","given":"Stefan A.","non-dropping-particle":"","parse-names":false,"suffix":""},{"dropping-particle":"","family":"Jay","given":"David A.","non-dropping-particle":"","parse-names":false,"suffix":""},{"dropping-particle":"","family":"Orton","given":"Philip M.","non-dropping-particle":"","parse-names":false,"suffix":""},{"dropping-particle":"","family":"Liang","given":"Xinghui","non-dropping-particle":"","parse-names":false,"suffix":""},{"dropping-particle":"","family":"Wang","given":"Guocheng","non-dropping-particle":"","parse-names":false,"suffix":""},{"dropping-particle":"","family":"Liu","given":"Lintao","non-dropping-particle":"","parse-names":false,"suffix":""}],"container-title":"Science Advances","id":"ITEM-1","issue":"10","issued":{"date-parts":[["2021"]]},"page":"1-10","title":"Evolving tides aggravate nuisance flooding along the U.S. coastline","type":"article-journal","volume":"7"},"uris":["http://www.mendeley.com/documents/?uuid=2a6282e9-44a2-48ab-8850-59823dd5f489"]},{"id":"ITEM-2","itemData":{"DOI":"10.1038/s41558-021-01077-8","ISSN":"17586798","abstract":"Coastal locations around the United States, particularly along the Atlantic coast, are experiencing recurrent flooding at high tide. Continued sea-level rise (SLR) will exacerbate the issue where present, and many more locations will begin to experience recurrent high-tide flooding (HTF) in the coming decades. Here we use established SLR scenarios and flooding thresholds to demonstrate how the combined effects of SLR and nodal cycle modulations of tidal amplitude lead to acute inflections in projections of future HTF. The mid-2030s, in particular, may see the onset of rapid increases in the frequency of HTF in multiple US coastal regions. We also show how annual cycles and sea-level anomalies lead to extreme seasons or months during which many days of HTF cluster together. Clustering can lead to critical frequencies of HTF occurring during monthly or seasonal periods one to two decades prior to being expected on an annual basis.","author":[{"dropping-particle":"","family":"Thompson","given":"Philip R.","non-dropping-particle":"","parse-names":false,"suffix":""},{"dropping-particle":"","family":"Widlansky","given":"Matthew J.","non-dropping-particle":"","parse-names":false,"suffix":""},{"dropping-particle":"","family":"Hamlington","given":"Benjamin D.","non-dropping-particle":"","parse-names":false,"suffix":""},{"dropping-particle":"","family":"Merrifield","given":"Mark A.","non-dropping-particle":"","parse-names":false,"suffix":""},{"dropping-particle":"","family":"Marra","given":"John J.","non-dropping-particle":"","parse-names":false,"suffix":""},{"dropping-particle":"","family":"Mitchum","given":"Gary T.","non-dropping-particle":"","parse-names":false,"suffix":""},{"dropping-particle":"","family":"Sweet","given":"William","non-dropping-particle":"","parse-names":false,"suffix":""}],"container-title":"Nature Climate Change","id":"ITEM-2","issue":"7","issued":{"date-parts":[["2021"]]},"page":"584-590","publisher":"Springer US","title":"Rapid increases and extreme months in projections of United States high-tide flooding","type":"article-journal","volume":"11"},"uris":["http://www.mendeley.com/documents/?uuid=63c176dc-ad37-4acd-8a2d-a2355682bc2e"]},{"id":"ITEM-3","itemData":{"DOI":"10.1002/2016EF000423","ISSN":"23284277","abstract":"Sea level rise necessarily triggers more occurrences of minor, or nuisance, flooding events along coastlines, a fact well documented in recent studies. At some locations nuisance flooding can be brought about merely by high spring tides, independent of storms, winds, or other atmospheric conditions. Analysis of observed water levels at Boston indicates that tidal flooding began to occur there in 2011 and will become more frequent in subsequent years. A compilation of all predicted nuisance-flooding events, induced by astronomical tides alone, is presented through year 2050. The accuracy of the tide prediction is improved when several unusual properties of Gulf of Maine tides, including secular changes, are properly accounted for. Future mean sea-level rise at Boston cannot be predicted with comparable confidence, so two very different climate scenarios are adopted; both predict a large increase in the frequency and the magnitude of tidal flooding events.","author":[{"dropping-particle":"","family":"Ray","given":"Richard","non-dropping-particle":"","parse-names":false,"suffix":""},{"dropping-particle":"","family":"Foster","given":"Grant","non-dropping-particle":"","parse-names":false,"suffix":""}],"container-title":"Earth's Future","id":"ITEM-3","issue":"12","issued":{"date-parts":[["2016"]]},"page":"578-587","title":"Future nuisance flooding at Boston caused by astronomical tides alone","type":"article-journal","volume":"4"},"uris":["http://www.mendeley.com/documents/?uuid=a60a08cb-84e2-4055-bf4a-2979446ff8c7"]}],"mendeley":{"formattedCitation":"(Li et al., 2021; R. Ray &amp; Foster, 2016; Thompson et al., 2021)","manualFormatting":"(Li et al., 2021; Ray &amp; Foster, 2016; Thompson et al., 2021)","plainTextFormattedCitation":"(Li et al., 2021; R. Ray &amp; Foster, 2016; Thompson et al., 2021)","previouslyFormattedCitation":"(Li et al., 2021; R. Ray &amp; Foster, 2016; Thompson et al., 2021)"},"properties":{"noteIndex":0},"schema":"https://github.com/citation-style-language/schema/raw/master/csl-citation.json"}</w:instrText>
      </w:r>
      <w:r>
        <w:fldChar w:fldCharType="separate"/>
      </w:r>
      <w:r w:rsidR="007F0277">
        <w:rPr>
          <w:noProof/>
        </w:rPr>
        <w:t xml:space="preserve">(Li et al., 2021; </w:t>
      </w:r>
      <w:r w:rsidRPr="00D76C43">
        <w:rPr>
          <w:noProof/>
        </w:rPr>
        <w:t>Ray &amp; Foster, 2016; Thompson et al., 2021)</w:t>
      </w:r>
      <w:r>
        <w:fldChar w:fldCharType="end"/>
      </w:r>
      <w:r>
        <w:t xml:space="preserve">. Long-term tidal cycles have been also reported in high tide levels at </w:t>
      </w:r>
      <w:r w:rsidR="000B217B">
        <w:t xml:space="preserve">a </w:t>
      </w:r>
      <w:r>
        <w:t xml:space="preserve">global scale either using numerical models </w:t>
      </w:r>
      <w:r>
        <w:fldChar w:fldCharType="begin" w:fldLock="1"/>
      </w:r>
      <w:r w:rsidR="00225B12">
        <w:instrText>ADDIN CSL_CITATION {"citationItems":[{"id":"ITEM-1","itemData":{"DOI":"10.1029/2010JC006645","ISSN":"21699291","abstract":"Periods of high astronomically generated tides contribute to the occurrence of extreme sea levels. Over interannual time scales, two precessions associated with the orbit of the Moon cause systematic variation of high tides. A global assessment of when these tidal modulations occur allows for the prediction of periods when the enhanced risk of coastal flooding is likely in different parts of the world. This paper uses modeled tides to assess the influence of the 18.61 year lunar nodal cycle and the 8.85 year cycle of lunar perigee (which affects high tidal levels as a quasi 4.4 year cycle) on high tidal levels on a global scale. Tidal constituents from the TPXO7.2 global tidal model are used, with satellite modulation corrections based on equilibrium tide expectations, to predict multidecadal hourly time series of tides on a one-quarter degree global grid. These time series are used to determine the amplitude and phase of tidal modulations using harmonic analysis fitted to 18.61, 9.305, 8.85, and 4.425 year sinusoidal signals. The spatial variations in the range and phase of the tidal modulations are related to the global distribution of the main tidal constituents and tidal characteristics (diurnal or semidiurnal and tidal range). Results indicate that the 18.61 year nodal cycle has the greatest influence in diurnal regions with tidal ranges of &gt;4 m and that the 4.4 year cycle is largest in semidiurnal regions where the tidal range is &gt;6 m. The phase of the interannual tidal modulations is shown to relate to the form of the tide. Copyright 2011 by the American Geophysical Union.","author":[{"dropping-particle":"","family":"Haigh","given":"Ivan D.","non-dropping-particle":"","parse-names":false,"suffix":""},{"dropping-particle":"","family":"Eliot","given":"Matt","non-dropping-particle":"","parse-names":false,"suffix":""},{"dropping-particle":"","family":"Pattiaratchi","given":"Charitha","non-dropping-particle":"","parse-names":false,"suffix":""}],"container-title":"Journal of Geophysical Research: Oceans","id":"ITEM-1","issue":"6","issued":{"date-parts":[["2011"]]},"page":"1-16","title":"Global influences of the 18.61 year nodal cycle and 8.85 year cycle of lunar perigee on high tidal levels","type":"article-journal","volume":"116"},"uris":["http://www.mendeley.com/documents/?uuid=c9fd7f95-5094-42d4-82c2-96d6bde7a12d"]}],"mendeley":{"formattedCitation":"(Ivan D. Haigh et al., 2011)","manualFormatting":"(Haigh et al., 2011)","plainTextFormattedCitation":"(Ivan D. Haigh et al., 2011)","previouslyFormattedCitation":"(Ivan D. Haigh et al., 2011)"},"properties":{"noteIndex":0},"schema":"https://github.com/citation-style-language/schema/raw/master/csl-citation.json"}</w:instrText>
      </w:r>
      <w:r>
        <w:fldChar w:fldCharType="separate"/>
      </w:r>
      <w:r w:rsidRPr="00D76C43">
        <w:rPr>
          <w:noProof/>
        </w:rPr>
        <w:t>(Haigh et al., 2011)</w:t>
      </w:r>
      <w:r>
        <w:fldChar w:fldCharType="end"/>
      </w:r>
      <w:r>
        <w:t xml:space="preserve"> or tide gauge observations </w:t>
      </w:r>
      <w:r>
        <w:fldChar w:fldCharType="begin" w:fldLock="1"/>
      </w:r>
      <w:r>
        <w:instrText>ADDIN CSL_CITATION {"citationItems":[{"id":"ITEM-1","itemData":{"DOI":"10.1029/2018JC014695","ISSN":"21699291","abstract":"The lunar nodal cycle, produced by the varying declination of the Moon over a period of 18.61 years, drives changes in tidal amplitude globally. However, constraining the range of changes in tidal amplitude that can be expected over a nodal cycle from real observations is rarely considered for coastal hazard planning. In this study, we use hourly tide gauge observations with record lengths &gt;19 years from 574 stations distributed worldwide to examine the contribution of the nodal modulation to monthly high water levels. Our results show that the influence of the lunar nodal cycle on high water levels is largest at tide gauge stations located in the Gulf of Tonkin, English Channel, and Bristol Channel, amounting up to 30 cm in range, suggesting that in the coming decades the impact of the nodal cycle on high water levels in those regions could be greater than that of global mean sea level rise, which is up to 17 cm by 2030, according to the Intergovernmental Panel on Climate Change fifth assessment report projections. We also examine the phase of nodal modulation and show that the estimated phases exhibit two clusters: one cluster (111° ± 10°) corresponds with the locations having a diurnal form of tides, whereas the other cluster (−59° ± 11°) corresponds with the locations exhibiting a semidiurnal form of tides. Nodal modulation in the diurnal and semidiurnal locations will peak again in 2025 and 2034, respectively, resulting in enhanced potential for coastal hazard in the respective regions.","author":[{"dropping-particle":"","family":"Peng","given":"Dongju","non-dropping-particle":"","parse-names":false,"suffix":""},{"dropping-particle":"","family":"Hill","given":"Emma M.","non-dropping-particle":"","parse-names":false,"suffix":""},{"dropping-particle":"","family":"Meltzner","given":"Aron J.","non-dropping-particle":"","parse-names":false,"suffix":""},{"dropping-particle":"","family":"Switzer","given":"Adam D.","non-dropping-particle":"","parse-names":false,"suffix":""}],"container-title":"Journal of Geophysical Research: Oceans","id":"ITEM-1","issue":"1","issued":{"date-parts":[["2019"]]},"page":"736-749","title":"Tide Gauge Records Show That the 18.61-Year Nodal Tidal Cycle Can Change High Water Levels by up to 30 cm","type":"article-journal","volume":"124"},"uris":["http://www.mendeley.com/documents/?uuid=c769c08e-7e52-4ba5-9da6-c49a9242862e"]},{"id":"ITEM-2","itemData":{"DOI":"10.1029/2009JC005997","ISSN":"21699291","abstract":"A quasi-global sea level data set from tide gauges has been used to investigate extreme sea level events and their spatial and temporal variabilities. Modern methods based on a nonstationary extreme value analysis have been applied to the maxima of the total elevations and surges for the period of 1970 and onward. A subset of the data was used to study changes over the 20th century. The analyses demonstrate the magnitude and timing of the seasonal cycle of extreme sea level occurrence, the magnitude of long-term trends in extreme sea levels, the evidence for perigean and nodal astronomical tidal components in the extremes, and the relationship of the interannual variability in high water levels to other ocean and atmosphere variations as represented by climate indices. The subtraction from the extreme sea levels of the corresponding annual median sea level results in a reduction in the magnitude of trends at most stations, leading to the conclusion that much of the change in the extremes is due to change in the mean values. Copyright 2010 by the American Geophysical Union.","author":[{"dropping-particle":"","family":"Menéndez","given":"Melisa","non-dropping-particle":"","parse-names":false,"suffix":""},{"dropping-particle":"","family":"Woodworth","given":"Philip L.","non-dropping-particle":"","parse-names":false,"suffix":""}],"container-title":"Journal of Geophysical Research: Oceans","id":"ITEM-2","issue":"10","issued":{"date-parts":[["2010"]]},"page":"1-15","title":"Changes in extreme high water levels based on a quasi-global tide-gauge data set","type":"article-journal","volume":"115"},"uris":["http://www.mendeley.com/documents/?uuid=9f61516f-ff0a-46b6-bf8a-6568464721c7"]}],"mendeley":{"formattedCitation":"(Menéndez &amp; Woodworth, 2010; Peng et al., 2019)","plainTextFormattedCitation":"(Menéndez &amp; Woodworth, 2010; Peng et al., 2019)","previouslyFormattedCitation":"(Menéndez &amp; Woodworth, 2010; Peng et al., 2019)"},"properties":{"noteIndex":0},"schema":"https://github.com/citation-style-language/schema/raw/master/csl-citation.json"}</w:instrText>
      </w:r>
      <w:r>
        <w:fldChar w:fldCharType="separate"/>
      </w:r>
      <w:r w:rsidRPr="00D76C43">
        <w:rPr>
          <w:noProof/>
        </w:rPr>
        <w:t>(Menéndez &amp; Woodworth, 2010; Peng et al., 2019)</w:t>
      </w:r>
      <w:r>
        <w:fldChar w:fldCharType="end"/>
      </w:r>
      <w:r>
        <w:t>. However, long-term tidal modulations in low-frequency</w:t>
      </w:r>
      <w:r w:rsidR="00B319CD">
        <w:t>, high impact</w:t>
      </w:r>
      <w:r>
        <w:t xml:space="preserve"> extreme sea levels have been </w:t>
      </w:r>
      <w:r w:rsidR="0075373B">
        <w:t xml:space="preserve">only </w:t>
      </w:r>
      <w:r>
        <w:t>assessed regionally. In the Gulf of Maine, U.S., the 18.6-y</w:t>
      </w:r>
      <w:r w:rsidR="008B364B">
        <w:t>r</w:t>
      </w:r>
      <w:r>
        <w:t xml:space="preserve"> cycle drives decadal-time scale variability in the 10- and 100-y</w:t>
      </w:r>
      <w:r w:rsidR="008B364B">
        <w:t>r</w:t>
      </w:r>
      <w:r>
        <w:t xml:space="preserve"> </w:t>
      </w:r>
      <w:r w:rsidR="00280D71">
        <w:t xml:space="preserve">return </w:t>
      </w:r>
      <w:r>
        <w:t xml:space="preserve">levels at a rate exceeding the historical rate of sea-level rise </w:t>
      </w:r>
      <w:r>
        <w:fldChar w:fldCharType="begin" w:fldLock="1"/>
      </w:r>
      <w:r>
        <w:instrText>ADDIN CSL_CITATION {"citationItems":[{"id":"ITEM-1","itemData":{"DOI":"10.1029/2017JC013645","ISSN":"21699291","abstract":"Using newly-discovered archival measurements, we construct an instrumental record of water levels and storm tides in Boston (MA) since 1825. After ascertaining the 19th century datum and correcting for a 0–0.03 m bias in the modern tide-gauge record, we show that local, decadally-averaged relative sea level (RSL) rose by 0.28 ± 0.05 m since 1826, with an acceleration of 0.023 ± 0.009 mm/yr2. Tide range decreased by 5.5% between 1830 and 1910, due in large part to dredging and filling of Boston Harbor, and trended slightly upward thereafter. An evaluation of storm events since 1825 suggests that trends in flood risk are driven by RSL rise, with a small contribution by tidal trends. Sea-level rise also interacts with the 18.6 year nodal cycle in tide amplitudes to produce decadal fluctuations in hazard. Conditional sampling of the 1825–2018 record shows that storm tides with a 0.01–0.5 annual probability (100 and 2 year events) are 0.1–0.2 m larger during periods with above-average tidal amplitudes. Similarly, the once-in-25 year event during elevated tidal forcing becomes a once-in-100 year event during periods of reduced tides. A plurality of historic flood events—including floods in 1851, 1978, and 2018—occurred near the peak of the tidal nodal cycle. Projections to the year 2100 suggest that decadal fluctuations in tide characteristics will interact with relative sea-level rise to produce a fluctuating hazard over time, with periods of relative stationarity (e.g., the 2020s) bracketed by relatively abrupt increases in flood hazard (the early 2030s).","author":[{"dropping-particle":"","family":"Talke","given":"S. A.","non-dropping-particle":"","parse-names":false,"suffix":""},{"dropping-particle":"","family":"Kemp","given":"A. C.","non-dropping-particle":"","parse-names":false,"suffix":""},{"dropping-particle":"","family":"Woodruff","given":"J.","non-dropping-particle":"","parse-names":false,"suffix":""}],"container-title":"Journal of Geophysical Research: Oceans","id":"ITEM-1","issue":"6","issued":{"date-parts":[["2018"]]},"page":"3895-3914","title":"Relative Sea Level, Tides, and Extreme Water Levels in Boston Harbor From 1825 to 2018","type":"article-journal","volume":"123"},"uris":["http://www.mendeley.com/documents/?uuid=64f4c87c-8746-4b0b-99b4-ba04a3374e68"]},{"id":"ITEM-2","itemData":{"DOI":"10.1029/2020JC016291","ISSN":"21699291","abstract":"Astronomical variations in tidal magnitude can strongly modulate the severity of coastal flooding on daily, monthly, and interannual timescales. Here we present a new quasi-nonstationary skew surge joint probability method (qn-SSJPM) that estimates interannual fluctuations in flood hazard caused by the 18.6- and quasi 4.4-year modulations of tides. We demonstrate that qn-SSJPM-derived storm tide frequency estimates are more precise and stable compared with the standard practice of fitting an extreme value distribution to measured storm tides, which is often biased by the largest few events within the observational period. Applying the qn-SSJPM in the Gulf of Maine, we find significant tidal forcing of winter storm season flood hazard by the 18.6-year nodal cycle, whereas 4.4-year modulations and a secular trend in tides are small compared to interannual variation and long-term trends in sea-level. The nodal cycle forces decadal oscillations in the 1% annual chance storm tide at an average rate of ±13.5 mm/year in Eastport, ME; ±4.0 mm/year in Portland, ME; and ±5.9 mm/year in Boston, MA. Currently (in 2020), nodal forcing is counteracting the sea-level rise-induced increase in flood hazard; however, in 2025, the nodal cycle will reach a minimum and then begin to accelerate flood hazard increase as it moves toward its maximum phase over the subsequent decade. Along the world's meso-to-macrotidal coastlines, it is therefore critical to consider both sea-level rise and tidal nonstationarity in planning for the transition to chronic flooding that will be driven by sea-level rise in many regions over the next century.","author":[{"dropping-particle":"","family":"Baranes","given":"H. E.","non-dropping-particle":"","parse-names":false,"suffix":""},{"dropping-particle":"","family":"Woodruff","given":"J. D.","non-dropping-particle":"","parse-names":false,"suffix":""},{"dropping-particle":"","family":"Talke","given":"S. A.","non-dropping-particle":"","parse-names":false,"suffix":""},{"dropping-particle":"","family":"Kopp","given":"R. E.","non-dropping-particle":"","parse-names":false,"suffix":""},{"dropping-particle":"","family":"Ray","given":"R. D.","non-dropping-particle":"","parse-names":false,"suffix":""},{"dropping-particle":"","family":"DeConto","given":"R. M.","non-dropping-particle":"","parse-names":false,"suffix":""}],"container-title":"Journal of Geophysical Research: Oceans","id":"ITEM-2","issue":"10","issued":{"date-parts":[["2020"]]},"title":"Tidally Driven Interannual Variation in Extreme Sea Level Frequencies in the Gulf of Maine","type":"article-journal","volume":"125"},"uris":["http://www.mendeley.com/documents/?uuid=fc45af6f-0a1d-4fec-a7c4-6ace4fe4871a"]}],"mendeley":{"formattedCitation":"(Baranes et al., 2020; Talke et al., 2018)","plainTextFormattedCitation":"(Baranes et al., 2020; Talke et al., 2018)","previouslyFormattedCitation":"(Baranes et al., 2020; Talke et al., 2018)"},"properties":{"noteIndex":0},"schema":"https://github.com/citation-style-language/schema/raw/master/csl-citation.json"}</w:instrText>
      </w:r>
      <w:r>
        <w:fldChar w:fldCharType="separate"/>
      </w:r>
      <w:r w:rsidRPr="51888674">
        <w:rPr>
          <w:noProof/>
        </w:rPr>
        <w:t>(Baranes et al., 2020; Talke et al., 2018)</w:t>
      </w:r>
      <w:r>
        <w:fldChar w:fldCharType="end"/>
      </w:r>
      <w:r>
        <w:t xml:space="preserve">. Along the western Australian coast, the long-term tidal amplitudes in the </w:t>
      </w:r>
      <w:r w:rsidR="00280D71">
        <w:t>20-yr return</w:t>
      </w:r>
      <w:r>
        <w:t xml:space="preserve"> tide levels can reach 7 and 9 cm, respectively </w:t>
      </w:r>
      <w:r>
        <w:fldChar w:fldCharType="begin" w:fldLock="1"/>
      </w:r>
      <w:r>
        <w:instrText>ADDIN CSL_CITATION {"citationItems":[{"id":"ITEM-1","itemData":{"DOI":"10.1029/2010JC006306","ISSN":"21699291","abstract":"Diurnal and semidiurnal tides are modulated over a range of time scales, including systematic annual and interannual variations. Although identified for other parts of the world, the effects of interannual tidal modulations have had limited attention on the Western Australian coast. Research described here identified that tidal modulations are a significant and regular factor in the frequency with which high water level thresholds are exceeded. Hence, tidal modulations provide a predictable contribution to the coastal management effort required on a year-to-year basis and allow prediction of periods where there is enhanced risk of flooding to coastal infrastructure. As has been demonstrated elsewhere, these cycles are obscured within conventional harmonic and extreme analysis, and their identification requires dedicated techniques. In this study, annual standard deviations and exceedance frequency have been used to examine both hourly and high-pass-filtered water levels to establish the influence of tidal modulations. The relative contribution of the two principal cycles and their subharmonics varies along the Western Australian coast from north to south and hence is strongly linked to the tidal form. High-tide levels for Western Australian locations with diurnal tidal dominance are dominated by the lunar nodal cycle, with a clear 18.6 year signal in the Fremantle-Bunbury region. The cycle most recently peaked in 2007 with declining tidal peaks expected until 2017. High-tide levels for locations with semidiurnal tidal dominance are mainly affected by the lunar perigean subharmonic, causing a 4.4 year cycle along the Northwest Shelf. The last peak occurred in 2006 with the next peak due in 2011. © 2010 by the American Geophysical Union.","author":[{"dropping-particle":"","family":"Eliot","given":"Matt","non-dropping-particle":"","parse-names":false,"suffix":""}],"container-title":"Journal of Geophysical Research: Oceans","id":"ITEM-1","issue":"11","issued":{"date-parts":[["2010"]]},"page":"1-11","title":"Influence of interannual tidal modulation on coastal flooding along the Western Australian coast","type":"article-journal","volume":"115"},"uris":["http://www.mendeley.com/documents/?uuid=bdcfddea-9e39-4f63-8174-fc62b9c83785"]}],"mendeley":{"formattedCitation":"(Eliot, 2010)","plainTextFormattedCitation":"(Eliot, 2010)","previouslyFormattedCitation":"(Eliot, 2010)"},"properties":{"noteIndex":0},"schema":"https://github.com/citation-style-language/schema/raw/master/csl-citation.json"}</w:instrText>
      </w:r>
      <w:r>
        <w:fldChar w:fldCharType="separate"/>
      </w:r>
      <w:r w:rsidRPr="51888674">
        <w:rPr>
          <w:noProof/>
        </w:rPr>
        <w:t>(Eliot, 2010)</w:t>
      </w:r>
      <w:r>
        <w:fldChar w:fldCharType="end"/>
      </w:r>
      <w:r>
        <w:t>.</w:t>
      </w:r>
      <w:r w:rsidRPr="00D659FC">
        <w:t xml:space="preserve"> </w:t>
      </w:r>
      <w:r>
        <w:fldChar w:fldCharType="begin" w:fldLock="1"/>
      </w:r>
      <w:r>
        <w:instrText>ADDIN CSL_CITATION {"citationItems":[{"id":"ITEM-1","itemData":{"DOI":"10.1016/j.coastaleng.2004.09.003","ISSN":"03783839","abstract":"A methodology for the prediction of low end and high end extremes in sustained water level is established. The observational data base is a long-duration sequence of monthly high and low extremes. The data identifies a deterministic trend attributable to Mean Sea Level rise and the nominal 19-year forcing in the astronomical tide. The data is pre-conditioned to remove these trends, defining a net data series suitable for extreme value analysis. Context-specific issues in the extreme value analysis are identified and resolved. These include probability model compatibility with elevation datums, rational estimation of the distribution parameters, and the estimation of confidence limits. The predictions for extreme low and high water levels are both real time and return period dependent. © 2004 Elsevier B.V. All rights reserved.","author":[{"dropping-particle":"","family":"Sobey","given":"Rodney J.","non-dropping-particle":"","parse-names":false,"suffix":""}],"container-title":"Coastal Engineering","id":"ITEM-1","issue":"1","issued":{"date-parts":[["2005"]]},"page":"63-77","title":"Extreme low and high water levels","type":"article-journal","volume":"52"},"uris":["http://www.mendeley.com/documents/?uuid=827984aa-7b3d-47bd-869c-99f24731c337"]}],"mendeley":{"formattedCitation":"(Sobey, 2005)","manualFormatting":"Sobey (2005)","plainTextFormattedCitation":"(Sobey, 2005)","previouslyFormattedCitation":"(Sobey, 2005)"},"properties":{"noteIndex":0},"schema":"https://github.com/citation-style-language/schema/raw/master/csl-citation.json"}</w:instrText>
      </w:r>
      <w:r>
        <w:fldChar w:fldCharType="separate"/>
      </w:r>
      <w:r w:rsidRPr="00E16FE8">
        <w:rPr>
          <w:noProof/>
        </w:rPr>
        <w:t xml:space="preserve">Sobey </w:t>
      </w:r>
      <w:r>
        <w:rPr>
          <w:noProof/>
        </w:rPr>
        <w:t>(</w:t>
      </w:r>
      <w:r w:rsidRPr="00E16FE8">
        <w:rPr>
          <w:noProof/>
        </w:rPr>
        <w:t>2005)</w:t>
      </w:r>
      <w:r>
        <w:fldChar w:fldCharType="end"/>
      </w:r>
      <w:r>
        <w:t xml:space="preserve"> also identified the </w:t>
      </w:r>
      <w:r w:rsidR="008B364B">
        <w:t>18.6-yr</w:t>
      </w:r>
      <w:r>
        <w:t xml:space="preserve"> cycle in the 10-, 50-, and 100-y</w:t>
      </w:r>
      <w:r w:rsidR="008B364B">
        <w:t>r</w:t>
      </w:r>
      <w:r>
        <w:t xml:space="preserve"> return sea levels at </w:t>
      </w:r>
      <w:r w:rsidR="007F0277">
        <w:t xml:space="preserve">the </w:t>
      </w:r>
      <w:r>
        <w:t xml:space="preserve">San Francisco tide gauge. </w:t>
      </w:r>
    </w:p>
    <w:p w14:paraId="157DE944" w14:textId="6FA11528" w:rsidR="00BE313B" w:rsidRDefault="00DE5D33" w:rsidP="00DE5D33">
      <w:r>
        <w:t xml:space="preserve">Here, we assess the impact of long-term </w:t>
      </w:r>
      <w:proofErr w:type="gramStart"/>
      <w:r>
        <w:t>tidally-induced</w:t>
      </w:r>
      <w:proofErr w:type="gramEnd"/>
      <w:r>
        <w:t xml:space="preserve"> variations in flood hazard by studying the</w:t>
      </w:r>
      <w:r w:rsidR="008B364B">
        <w:t xml:space="preserve"> 4.4-yr and 18.6-yr</w:t>
      </w:r>
      <w:r>
        <w:t xml:space="preserve"> cycles in low-frequency extreme sea </w:t>
      </w:r>
      <w:r w:rsidR="006E2B14">
        <w:t>levels (100-y</w:t>
      </w:r>
      <w:r w:rsidR="006D5F74">
        <w:t>r</w:t>
      </w:r>
      <w:r>
        <w:t xml:space="preserve"> return period) using </w:t>
      </w:r>
      <w:r w:rsidR="00C02344">
        <w:t xml:space="preserve">global </w:t>
      </w:r>
      <w:r>
        <w:t>tide gauge observations. To do so, we use the quasi-nonstationary skew surge joint-probability method (</w:t>
      </w:r>
      <w:proofErr w:type="spellStart"/>
      <w:r>
        <w:t>qn</w:t>
      </w:r>
      <w:proofErr w:type="spellEnd"/>
      <w:r>
        <w:t xml:space="preserve">-SSJPM) of </w:t>
      </w:r>
      <w:r>
        <w:fldChar w:fldCharType="begin" w:fldLock="1"/>
      </w:r>
      <w:r>
        <w:instrText>ADDIN CSL_CITATION {"citationItems":[{"id":"ITEM-1","itemData":{"DOI":"10.1029/2020JC016291","ISSN":"21699291","abstract":"Astronomical variations in tidal magnitude can strongly modulate the severity of coastal flooding on daily, monthly, and interannual timescales. Here we present a new quasi-nonstationary skew surge joint probability method (qn-SSJPM) that estimates interannual fluctuations in flood hazard caused by the 18.6- and quasi 4.4-year modulations of tides. We demonstrate that qn-SSJPM-derived storm tide frequency estimates are more precise and stable compared with the standard practice of fitting an extreme value distribution to measured storm tides, which is often biased by the largest few events within the observational period. Applying the qn-SSJPM in the Gulf of Maine, we find significant tidal forcing of winter storm season flood hazard by the 18.6-year nodal cycle, whereas 4.4-year modulations and a secular trend in tides are small compared to interannual variation and long-term trends in sea-level. The nodal cycle forces decadal oscillations in the 1% annual chance storm tide at an average rate of ±13.5 mm/year in Eastport, ME; ±4.0 mm/year in Portland, ME; and ±5.9 mm/year in Boston, MA. Currently (in 2020), nodal forcing is counteracting the sea-level rise-induced increase in flood hazard; however, in 2025, the nodal cycle will reach a minimum and then begin to accelerate flood hazard increase as it moves toward its maximum phase over the subsequent decade. Along the world's meso-to-macrotidal coastlines, it is therefore critical to consider both sea-level rise and tidal nonstationarity in planning for the transition to chronic flooding that will be driven by sea-level rise in many regions over the next century.","author":[{"dropping-particle":"","family":"Baranes","given":"H. E.","non-dropping-particle":"","parse-names":false,"suffix":""},{"dropping-particle":"","family":"Woodruff","given":"J. D.","non-dropping-particle":"","parse-names":false,"suffix":""},{"dropping-particle":"","family":"Talke","given":"S. A.","non-dropping-particle":"","parse-names":false,"suffix":""},{"dropping-particle":"","family":"Kopp","given":"R. E.","non-dropping-particle":"","parse-names":false,"suffix":""},{"dropping-particle":"","family":"Ray","given":"R. D.","non-dropping-particle":"","parse-names":false,"suffix":""},{"dropping-particle":"","family":"DeConto","given":"R. M.","non-dropping-particle":"","parse-names":false,"suffix":""}],"container-title":"Journal of Geophysical Research: Oceans","id":"ITEM-1","issue":"10","issued":{"date-parts":[["2020"]]},"title":"Tidally Driven Interannual Variation in Extreme Sea Level Frequencies in the Gulf of Maine","type":"article-journal","volume":"125"},"uris":["http://www.mendeley.com/documents/?uuid=fc45af6f-0a1d-4fec-a7c4-6ace4fe4871a"]}],"mendeley":{"formattedCitation":"(Baranes et al., 2020)","manualFormatting":"Baranes et al. (2020)","plainTextFormattedCitation":"(Baranes et al., 2020)","previouslyFormattedCitation":"(Baranes et al., 2020)"},"properties":{"noteIndex":0},"schema":"https://github.com/citation-style-language/schema/raw/master/csl-citation.json"}</w:instrText>
      </w:r>
      <w:r>
        <w:fldChar w:fldCharType="separate"/>
      </w:r>
      <w:r w:rsidRPr="7167B51F">
        <w:rPr>
          <w:noProof/>
        </w:rPr>
        <w:t>Baranes et al. (2020)</w:t>
      </w:r>
      <w:r>
        <w:fldChar w:fldCharType="end"/>
      </w:r>
      <w:r>
        <w:t xml:space="preserve">. </w:t>
      </w:r>
      <w:r w:rsidR="00C02344">
        <w:t>N</w:t>
      </w:r>
      <w:r>
        <w:t>o studies</w:t>
      </w:r>
      <w:r w:rsidR="00C02344">
        <w:t>, to our knowledge,</w:t>
      </w:r>
      <w:r>
        <w:t xml:space="preserve"> have assessed how </w:t>
      </w:r>
      <w:proofErr w:type="gramStart"/>
      <w:r>
        <w:t>tidally-induced</w:t>
      </w:r>
      <w:proofErr w:type="gramEnd"/>
      <w:r>
        <w:t xml:space="preserve"> </w:t>
      </w:r>
      <w:r w:rsidR="00BE313B">
        <w:t>modulations</w:t>
      </w:r>
      <w:r>
        <w:t xml:space="preserve"> in extreme sea levels </w:t>
      </w:r>
      <w:r w:rsidR="00C02344">
        <w:t xml:space="preserve">can </w:t>
      </w:r>
      <w:r>
        <w:t xml:space="preserve">change </w:t>
      </w:r>
      <w:r w:rsidR="00BE313B">
        <w:t xml:space="preserve">the </w:t>
      </w:r>
      <w:r>
        <w:t>potentially flooded area</w:t>
      </w:r>
      <w:r w:rsidR="00C02344">
        <w:t xml:space="preserve"> under given extreme sea </w:t>
      </w:r>
      <w:proofErr w:type="spellStart"/>
      <w:r w:rsidR="00C02344">
        <w:t>levele</w:t>
      </w:r>
      <w:proofErr w:type="spellEnd"/>
      <w:r w:rsidR="00C02344">
        <w:t xml:space="preserve"> events</w:t>
      </w:r>
      <w:r>
        <w:t xml:space="preserve">, and </w:t>
      </w:r>
      <w:r w:rsidR="00BE313B">
        <w:t>thus</w:t>
      </w:r>
      <w:r>
        <w:t>, the consequences for inundat</w:t>
      </w:r>
      <w:r w:rsidR="00BE313B">
        <w:t xml:space="preserve">ion go unaddressed. </w:t>
      </w:r>
      <w:r w:rsidR="00C02344">
        <w:t>Hence, w</w:t>
      </w:r>
      <w:r>
        <w:t xml:space="preserve">e also evaluate how important these variations </w:t>
      </w:r>
      <w:r w:rsidR="00C02344">
        <w:t>are for</w:t>
      </w:r>
      <w:r>
        <w:t xml:space="preserve"> flood inundation. </w:t>
      </w:r>
    </w:p>
    <w:p w14:paraId="7AEDE276" w14:textId="0A93A478" w:rsidR="00DE5D33" w:rsidRDefault="0055104E" w:rsidP="00BE313B">
      <w:r>
        <w:t xml:space="preserve">The </w:t>
      </w:r>
      <w:r w:rsidR="00BE313B">
        <w:t xml:space="preserve">study is structured in </w:t>
      </w:r>
      <w:r w:rsidR="006D5F74">
        <w:t>two</w:t>
      </w:r>
      <w:r>
        <w:t xml:space="preserve"> main </w:t>
      </w:r>
      <w:r w:rsidR="00BE313B">
        <w:t>sections</w:t>
      </w:r>
      <w:r>
        <w:t>, w</w:t>
      </w:r>
      <w:r w:rsidR="00DE5D33" w:rsidRPr="0055104E">
        <w:t>e</w:t>
      </w:r>
      <w:r w:rsidR="00DE5D33">
        <w:t xml:space="preserve"> first </w:t>
      </w:r>
      <w:r w:rsidR="00BE313B">
        <w:t>assess</w:t>
      </w:r>
      <w:r w:rsidR="00DE5D33">
        <w:t xml:space="preserve"> the long-term tidal cycles in the</w:t>
      </w:r>
      <w:r w:rsidR="00BE313B">
        <w:t xml:space="preserve"> </w:t>
      </w:r>
      <w:r w:rsidR="006D5F74">
        <w:t>100-yr annual extreme sea levels</w:t>
      </w:r>
      <w:r w:rsidR="00BE313B">
        <w:t xml:space="preserve"> </w:t>
      </w:r>
      <w:r w:rsidR="00DE5D33">
        <w:t xml:space="preserve">at a global network of 581 tide gauges. To do so, we combine the </w:t>
      </w:r>
      <w:r w:rsidR="00017CDE">
        <w:t xml:space="preserve">skew surge levels </w:t>
      </w:r>
      <w:r w:rsidR="00DE5D33">
        <w:t xml:space="preserve">and the </w:t>
      </w:r>
      <w:r w:rsidR="008B364B">
        <w:t>astronomical</w:t>
      </w:r>
      <w:r w:rsidR="00DE5D33">
        <w:t xml:space="preserve"> tides to obtain the amplitude and peak timing of the long-term </w:t>
      </w:r>
      <w:proofErr w:type="gramStart"/>
      <w:r w:rsidR="00DE5D33">
        <w:t>tidally-induced</w:t>
      </w:r>
      <w:proofErr w:type="gramEnd"/>
      <w:r w:rsidR="00DE5D33">
        <w:t xml:space="preserve"> changes in the annual 100-</w:t>
      </w:r>
      <w:r w:rsidR="00BE313B">
        <w:t>y</w:t>
      </w:r>
      <w:r w:rsidR="006D5F74">
        <w:t>r</w:t>
      </w:r>
      <w:r w:rsidR="00DE5D33">
        <w:t xml:space="preserve"> return sea levels at the tide gauges</w:t>
      </w:r>
      <w:r w:rsidR="00BE313B">
        <w:t xml:space="preserve">. </w:t>
      </w:r>
      <w:r w:rsidR="00C02344">
        <w:t>W</w:t>
      </w:r>
      <w:r w:rsidR="00BE313B" w:rsidRPr="00BE313B">
        <w:t>e also analyze the relative importance of 18.6-</w:t>
      </w:r>
      <w:r w:rsidR="00BE313B">
        <w:t>y</w:t>
      </w:r>
      <w:r w:rsidR="008B364B">
        <w:t>r</w:t>
      </w:r>
      <w:r w:rsidR="00BE313B" w:rsidRPr="00BE313B">
        <w:t xml:space="preserve"> versus 4.4-</w:t>
      </w:r>
      <w:r w:rsidR="00BE313B">
        <w:t>y</w:t>
      </w:r>
      <w:r w:rsidR="008B364B">
        <w:t>r</w:t>
      </w:r>
      <w:r w:rsidR="00BE313B">
        <w:t xml:space="preserve"> cycles in the </w:t>
      </w:r>
      <w:r w:rsidR="00BE313B" w:rsidRPr="00BE313B">
        <w:t>100-</w:t>
      </w:r>
      <w:r w:rsidR="00BE313B">
        <w:t>y</w:t>
      </w:r>
      <w:r w:rsidR="006D5F74">
        <w:t>r</w:t>
      </w:r>
      <w:r w:rsidR="00BE313B">
        <w:t xml:space="preserve"> return </w:t>
      </w:r>
      <w:r w:rsidR="00BE313B" w:rsidRPr="00BE313B">
        <w:t xml:space="preserve">sea levels. </w:t>
      </w:r>
      <w:r w:rsidR="00C02344">
        <w:t>In the second part</w:t>
      </w:r>
      <w:r w:rsidR="00DE5D33">
        <w:t xml:space="preserve">, we assess the </w:t>
      </w:r>
      <w:proofErr w:type="gramStart"/>
      <w:r w:rsidR="00DE5D33">
        <w:t>tidally-driven</w:t>
      </w:r>
      <w:proofErr w:type="gramEnd"/>
      <w:r w:rsidR="00DE5D33">
        <w:t xml:space="preserve"> variation in the spatial extent of flooding for four U.S. coastal cities</w:t>
      </w:r>
      <w:r w:rsidR="00C02344">
        <w:t>:</w:t>
      </w:r>
      <w:r w:rsidR="00DE5D33">
        <w:t xml:space="preserve"> Boston (Massachusetts), Santa Barbara (California), Miami (Florida), and South San Francisco Bay (California), where digital elevation model (DEM) </w:t>
      </w:r>
      <w:r w:rsidR="00C02344">
        <w:t xml:space="preserve">with high spatial resolution </w:t>
      </w:r>
      <w:r w:rsidR="00DE5D33">
        <w:t>are available.</w:t>
      </w:r>
    </w:p>
    <w:p w14:paraId="1315BE82" w14:textId="77777777" w:rsidR="00DE5D33" w:rsidRDefault="00DE5D33" w:rsidP="00DE5D33">
      <w:pPr>
        <w:ind w:firstLine="0"/>
      </w:pPr>
    </w:p>
    <w:p w14:paraId="443A3B99" w14:textId="77777777" w:rsidR="00DE5D33" w:rsidRPr="008563F8" w:rsidRDefault="00DE5D33" w:rsidP="00DE5D33">
      <w:pPr>
        <w:pStyle w:val="ListParagraph"/>
        <w:numPr>
          <w:ilvl w:val="0"/>
          <w:numId w:val="9"/>
        </w:numPr>
        <w:rPr>
          <w:b/>
          <w:bCs/>
        </w:rPr>
      </w:pPr>
      <w:r w:rsidRPr="008563F8">
        <w:rPr>
          <w:b/>
          <w:bCs/>
        </w:rPr>
        <w:t>Data</w:t>
      </w:r>
    </w:p>
    <w:p w14:paraId="090D232B" w14:textId="77777777" w:rsidR="00DE5D33" w:rsidRPr="009A3FD0" w:rsidRDefault="00DE5D33" w:rsidP="00DE5D33">
      <w:r w:rsidRPr="009A3FD0">
        <w:t>Two main sources of data are used in this study: (1) water level records</w:t>
      </w:r>
      <w:r>
        <w:t>,</w:t>
      </w:r>
      <w:r w:rsidRPr="009A3FD0">
        <w:t xml:space="preserve"> and (2) elevation data</w:t>
      </w:r>
      <w:r>
        <w:t>. T</w:t>
      </w:r>
      <w:r w:rsidRPr="009A3FD0">
        <w:t xml:space="preserve">hese are described in turn below. </w:t>
      </w:r>
    </w:p>
    <w:p w14:paraId="580AE024" w14:textId="77777777" w:rsidR="00DE5D33" w:rsidRPr="009A3FD0" w:rsidRDefault="00DE5D33" w:rsidP="00DE5D33">
      <w:pPr>
        <w:ind w:left="720" w:firstLine="0"/>
        <w:rPr>
          <w:b/>
          <w:bCs/>
        </w:rPr>
      </w:pPr>
    </w:p>
    <w:p w14:paraId="3445B5C5" w14:textId="77777777" w:rsidR="00DE5D33" w:rsidRPr="009A2F75" w:rsidRDefault="00DE5D33" w:rsidP="00DE5D33">
      <w:pPr>
        <w:pStyle w:val="ListParagraph"/>
        <w:numPr>
          <w:ilvl w:val="1"/>
          <w:numId w:val="14"/>
        </w:numPr>
        <w:rPr>
          <w:b/>
          <w:bCs/>
        </w:rPr>
      </w:pPr>
      <w:r w:rsidRPr="009A2F75">
        <w:rPr>
          <w:b/>
          <w:bCs/>
        </w:rPr>
        <w:t>Observed water levels</w:t>
      </w:r>
    </w:p>
    <w:p w14:paraId="715B2799" w14:textId="22E17D87" w:rsidR="00DE5D33" w:rsidRDefault="00DE5D33" w:rsidP="00DE5D33">
      <w:r>
        <w:t>We use hourly water level observations from the Global Extreme Sea Level Analysis (GESLA-3;</w:t>
      </w:r>
      <w:r>
        <w:fldChar w:fldCharType="begin" w:fldLock="1"/>
      </w:r>
      <w:r>
        <w:instrText>ADDIN CSL_CITATION {"citationItems":[{"id":"ITEM-1","itemData":{"ISSN":"2049-6060","author":[{"dropping-particle":"","family":"Woodworth","given":"Philip L","non-dropping-particle":"","parse-names":false,"suffix":""},{"dropping-particle":"","family":"Hunter","given":"J R","non-dropping-particle":"","parse-names":false,"suffix":""},{"dropping-particle":"","family":"Marcos","given":"Marta","non-dropping-particle":"","parse-names":false,"suffix":""},{"dropping-particle":"","family":"Caldwell","given":"P","non-dropping-particle":"","parse-names":false,"suffix":""},{"dropping-particle":"","family":"Menéndez","given":"Margarita","non-dropping-particle":"","parse-names":false,"suffix":""},{"dropping-particle":"","family":"Haigh","given":"I","non-dropping-particle":"","parse-names":false,"suffix":""}],"container-title":"Geoscience Data Journal","id":"ITEM-1","issue":"2","issued":{"date-parts":[["2016"]]},"page":"50-59","publisher":"Wiley Online Library","title":"Towards a global higher‐frequency sea level dataset","type":"article-journal","volume":"3"},"uris":["http://www.mendeley.com/documents/?uuid=036e2935-1ce8-4192-aed3-c6f5c6f5bc5b"]}],"mendeley":{"formattedCitation":"(Woodworth et al., 2016)","manualFormatting":" ","plainTextFormattedCitation":"(Woodworth et al., 2016)","previouslyFormattedCitation":"(Woodworth et al., 2016)"},"properties":{"noteIndex":0},"schema":"https://github.com/citation-style-language/schema/raw/master/csl-citation.json"}</w:instrText>
      </w:r>
      <w:r>
        <w:fldChar w:fldCharType="separate"/>
      </w:r>
      <w:r w:rsidRPr="63946A85">
        <w:rPr>
          <w:noProof/>
        </w:rPr>
        <w:t xml:space="preserve"> </w:t>
      </w:r>
      <w:r>
        <w:fldChar w:fldCharType="end"/>
      </w:r>
      <w:r>
        <w:fldChar w:fldCharType="begin" w:fldLock="1"/>
      </w:r>
      <w:r w:rsidR="00225B12">
        <w:instrText>ADDIN CSL_CITATION {"citationItems":[{"id":"ITEM-1","itemData":{"author":[{"dropping-particle":"","family":"Haigh","given":"I D","non-dropping-particle":"","parse-names":false,"suffix":""},{"dropping-particle":"","family":"Marcos","given":"M","non-dropping-particle":"","parse-names":false,"suffix":""},{"dropping-particle":"","family":"Talke","given":"S A","non-dropping-particle":"","parse-names":false,"suffix":""},{"dropping-particle":"","family":"Woodworth","given":"P L","non-dropping-particle":"","parse-names":false,"suffix":""},{"dropping-particle":"","family":"Hunter","given":"J R","non-dropping-particle":"","parse-names":false,"suffix":""},{"dropping-particle":"","family":"Hague","given":"B S","non-dropping-particle":"","parse-names":false,"suffix":""},{"dropping-particle":"","family":"Bradshaw","given":"E","non-dropping-particle":"","parse-names":false,"suffix":""},{"dropping-particle":"","family":"Thompson","given":"P","non-dropping-particle":"","parse-names":false,"suffix":""}],"id":"ITEM-1","issue":"released","issued":{"date-parts":[["2021"]]},"page":"1-34","title":"GESLA Version 3 : A major update to the global","type":"article-journal"},"uris":["http://www.mendeley.com/documents/?uuid=0ff7381a-e7af-4afa-9e65-d917a5e483a2"]}],"mendeley":{"formattedCitation":"(I D Haigh et al., 2021)","manualFormatting":"Haigh et al., 2021)","plainTextFormattedCitation":"(I D Haigh et al., 2021)","previouslyFormattedCitation":"(I D Haigh et al., 2021)"},"properties":{"noteIndex":0},"schema":"https://github.com/citation-style-language/schema/raw/master/csl-citation.json"}</w:instrText>
      </w:r>
      <w:r>
        <w:fldChar w:fldCharType="separate"/>
      </w:r>
      <w:r w:rsidRPr="00D76C43">
        <w:rPr>
          <w:noProof/>
        </w:rPr>
        <w:t>Haigh et al., 2021)</w:t>
      </w:r>
      <w:r>
        <w:fldChar w:fldCharType="end"/>
      </w:r>
      <w:r>
        <w:t xml:space="preserve">. The GESLA-3 database contains 5,119 water level records with hourly or higher temporal frequency from tide gauges located along the global coasts. The tide gauge records in GESLA-3 are retrieved from a range of different sources, including the University of Hawaii Sea Level Center </w:t>
      </w:r>
      <w:r>
        <w:fldChar w:fldCharType="begin" w:fldLock="1"/>
      </w:r>
      <w:r>
        <w:instrText>ADDIN CSL_CITATION {"citationItems":[{"id":"ITEM-1","itemData":{"author":[{"dropping-particle":"","family":"Caldwell","given":"PC","non-dropping-particle":"","parse-names":false,"suffix":""},{"dropping-particle":"","family":"Merrifield","given":"MA","non-dropping-particle":"","parse-names":false,"suffix":""}],"id":"ITEM-1","issued":{"date-parts":[["2015"]]},"publisher":"JIMAR Contribution No. 15-392. Data Report No. 24.","title":"Joint Archive for Sea Level (JASL). Data Report: October 2015","type":"article"},"uris":["http://www.mendeley.com/documents/?uuid=a473d2c1-3456-4013-9445-e139c8f26385"]}],"mendeley":{"formattedCitation":"(Caldwell &amp; Merrifield, 2015)","manualFormatting":"(UHSLC, Caldwell and Merrifield, 2015)","plainTextFormattedCitation":"(Caldwell &amp; Merrifield, 2015)","previouslyFormattedCitation":"(Caldwell &amp; Merrifield, 2015)"},"properties":{"noteIndex":0},"schema":"https://github.com/citation-style-language/schema/raw/master/csl-citation.json"}</w:instrText>
      </w:r>
      <w:r>
        <w:fldChar w:fldCharType="separate"/>
      </w:r>
      <w:r w:rsidRPr="63946A85">
        <w:rPr>
          <w:noProof/>
        </w:rPr>
        <w:t>(UHSLC, Caldwell and Merrifield, 2015)</w:t>
      </w:r>
      <w:r>
        <w:fldChar w:fldCharType="end"/>
      </w:r>
      <w:r>
        <w:t xml:space="preserve">, the Japan Meteorological Agency </w:t>
      </w:r>
      <w:r>
        <w:fldChar w:fldCharType="begin" w:fldLock="1"/>
      </w:r>
      <w:r>
        <w:instrText>ADDIN CSL_CITATION {"citationItems":[{"id":"ITEM-1","itemData":{"URL":"http://www.jma.go.jp/jma/indexe.html","author":[{"dropping-particle":"","family":"JMA","given":"Japan Meteorological Agency","non-dropping-particle":"","parse-names":false,"suffix":""}],"id":"ITEM-1","issued":{"date-parts":[["0"]]},"title":"Japan Meteorological Agency","type":"webpage"},"uris":["http://www.mendeley.com/documents/?uuid=52609836-d18c-4485-a557-cfe47d237377"]}],"mendeley":{"formattedCitation":"(JMA, n.d.)","manualFormatting":"(JMA)","plainTextFormattedCitation":"(JMA, n.d.)","previouslyFormattedCitation":"(JMA, n.d.)"},"properties":{"noteIndex":0},"schema":"https://github.com/citation-style-language/schema/raw/master/csl-citation.json"}</w:instrText>
      </w:r>
      <w:r>
        <w:fldChar w:fldCharType="separate"/>
      </w:r>
      <w:r w:rsidRPr="63946A85">
        <w:rPr>
          <w:noProof/>
        </w:rPr>
        <w:t>(JMA)</w:t>
      </w:r>
      <w:r>
        <w:fldChar w:fldCharType="end"/>
      </w:r>
      <w:r>
        <w:t xml:space="preserve">, the National Tidal Centre Australia </w:t>
      </w:r>
      <w:r>
        <w:fldChar w:fldCharType="begin" w:fldLock="1"/>
      </w:r>
      <w:r>
        <w:instrText>ADDIN CSL_CITATION {"citationItems":[{"id":"ITEM-1","itemData":{"URL":"http://www.bom.gov.au/oceanography/projects/ntc/ntc.shtml","author":[{"dropping-particle":"","family":"NTCA","given":"National Tidal Centre Australia","non-dropping-particle":"","parse-names":false,"suffix":""}],"id":"ITEM-1","issued":{"date-parts":[["0"]]},"title":"National Operations Centre (NOC) Tidal Unit","type":"webpage"},"uris":["http://www.mendeley.com/documents/?uuid=95de1c93-0b5a-43f6-8b75-5088165aab8c"]}],"mendeley":{"formattedCitation":"(NTCA, n.d.)","manualFormatting":"(NTCA)","plainTextFormattedCitation":"(NTCA, n.d.)","previouslyFormattedCitation":"(NTCA, n.d.)"},"properties":{"noteIndex":0},"schema":"https://github.com/citation-style-language/schema/raw/master/csl-citation.json"}</w:instrText>
      </w:r>
      <w:r>
        <w:fldChar w:fldCharType="separate"/>
      </w:r>
      <w:r w:rsidRPr="63946A85">
        <w:rPr>
          <w:noProof/>
        </w:rPr>
        <w:t>(NTCA)</w:t>
      </w:r>
      <w:r>
        <w:fldChar w:fldCharType="end"/>
      </w:r>
      <w:r>
        <w:t xml:space="preserve">, the National Oceanic and Atmospheric Administration </w:t>
      </w:r>
      <w:r>
        <w:fldChar w:fldCharType="begin" w:fldLock="1"/>
      </w:r>
      <w:r>
        <w:instrText>ADDIN CSL_CITATION {"citationItems":[{"id":"ITEM-1","itemData":{"URL":"https://tidesandcurrents.noaa.gov/","accessed":{"date-parts":[["2021","9","22"]]},"author":[{"dropping-particle":"","family":"NOAA","given":"","non-dropping-particle":"","parse-names":false,"suffix":""}],"id":"ITEM-1","issued":{"date-parts":[["0"]]},"title":"NOAA Tides &amp; Currents","type":"webpage"},"uris":["http://www.mendeley.com/documents/?uuid=e929cd55-6d0d-4bcc-963d-1a09887cc9f5"]}],"mendeley":{"formattedCitation":"(NOAA, n.d.)","manualFormatting":"(NOAA)","plainTextFormattedCitation":"(NOAA, n.d.)","previouslyFormattedCitation":"(NOAA, n.d.)"},"properties":{"noteIndex":0},"schema":"https://github.com/citation-style-language/schema/raw/master/csl-citation.json"}</w:instrText>
      </w:r>
      <w:r>
        <w:fldChar w:fldCharType="separate"/>
      </w:r>
      <w:r w:rsidRPr="63946A85">
        <w:rPr>
          <w:noProof/>
        </w:rPr>
        <w:t>(NOAA)</w:t>
      </w:r>
      <w:r>
        <w:fldChar w:fldCharType="end"/>
      </w:r>
      <w:r>
        <w:t xml:space="preserve">, and the British Oceanographic Data Centre </w:t>
      </w:r>
      <w:r>
        <w:fldChar w:fldCharType="begin" w:fldLock="1"/>
      </w:r>
      <w:r>
        <w:instrText>ADDIN CSL_CITATION {"citationItems":[{"id":"ITEM-1","itemData":{"URL":"https://www.bodc.ac.uk/data/hosted_data_systems/sea_level/uk_tide_gauge_network/","author":[{"dropping-particle":"","family":"BODC","given":"British Oceanographic Data Dentre","non-dropping-particle":"","parse-names":false,"suffix":""}],"id":"ITEM-1","issued":{"date-parts":[["0"]]},"title":"UK Tide Gauge Network","type":"webpage"},"uris":["http://www.mendeley.com/documents/?uuid=5090336c-f929-4cdb-aad0-0153b142a13c"]}],"mendeley":{"formattedCitation":"(BODC, n.d.)","manualFormatting":"(BODC)","plainTextFormattedCitation":"(BODC, n.d.)","previouslyFormattedCitation":"(BODC, n.d.)"},"properties":{"noteIndex":0},"schema":"https://github.com/citation-style-language/schema/raw/master/csl-citation.json"}</w:instrText>
      </w:r>
      <w:r>
        <w:fldChar w:fldCharType="separate"/>
      </w:r>
      <w:r w:rsidRPr="63946A85">
        <w:rPr>
          <w:noProof/>
        </w:rPr>
        <w:t>(BODC)</w:t>
      </w:r>
      <w:r>
        <w:fldChar w:fldCharType="end"/>
      </w:r>
      <w:r>
        <w:t xml:space="preserve">. Out of the 5,119 records </w:t>
      </w:r>
      <w:r w:rsidR="00C02344">
        <w:t xml:space="preserve">in </w:t>
      </w:r>
      <w:r>
        <w:t xml:space="preserve">GESLA-3, we select a </w:t>
      </w:r>
      <w:r w:rsidRPr="00583D00">
        <w:t xml:space="preserve">subset of </w:t>
      </w:r>
      <w:r w:rsidRPr="00CD2D39">
        <w:t>581</w:t>
      </w:r>
      <w:r w:rsidRPr="00583D00">
        <w:t xml:space="preserve"> records</w:t>
      </w:r>
      <w:r>
        <w:t xml:space="preserve"> according to the following criteria:</w:t>
      </w:r>
    </w:p>
    <w:p w14:paraId="1C57C4D9" w14:textId="77777777" w:rsidR="00BE02C1" w:rsidRDefault="00DE5D33" w:rsidP="00BE02C1">
      <w:pPr>
        <w:pStyle w:val="ListParagraph"/>
        <w:numPr>
          <w:ilvl w:val="0"/>
          <w:numId w:val="5"/>
        </w:numPr>
      </w:pPr>
      <w:r>
        <w:t>Coastal tide gauges: GESLA-3 includes river, lake</w:t>
      </w:r>
      <w:r w:rsidR="00BE313B">
        <w:t>,</w:t>
      </w:r>
      <w:r>
        <w:t xml:space="preserve"> and coastal tide gauges. Only coastal tide gauges are included in the analysis. 4,159 tide gauges remain </w:t>
      </w:r>
      <w:r w:rsidRPr="00BE02C1">
        <w:t>after removing tide gauges in lakes and rivers.</w:t>
      </w:r>
    </w:p>
    <w:p w14:paraId="2D4D7C2F" w14:textId="36FFF489" w:rsidR="00DE5D33" w:rsidRPr="00BE02C1" w:rsidRDefault="00DE5D33" w:rsidP="00BE02C1">
      <w:pPr>
        <w:pStyle w:val="ListParagraph"/>
        <w:numPr>
          <w:ilvl w:val="0"/>
          <w:numId w:val="5"/>
        </w:numPr>
      </w:pPr>
      <w:r w:rsidRPr="00BE02C1">
        <w:t xml:space="preserve">Record length and completeness: </w:t>
      </w:r>
      <w:proofErr w:type="gramStart"/>
      <w:r w:rsidRPr="00BE02C1">
        <w:t>In order to</w:t>
      </w:r>
      <w:proofErr w:type="gramEnd"/>
      <w:r w:rsidRPr="00BE02C1">
        <w:t xml:space="preserve"> ensure </w:t>
      </w:r>
      <w:r w:rsidR="00C02344">
        <w:t xml:space="preserve">robust results from </w:t>
      </w:r>
      <w:r w:rsidR="0055104E" w:rsidRPr="00BE02C1">
        <w:t>the tidal</w:t>
      </w:r>
      <w:r w:rsidRPr="00BE02C1">
        <w:t xml:space="preserve"> harmonic analysis</w:t>
      </w:r>
      <w:r w:rsidR="0055104E" w:rsidRPr="00BE02C1">
        <w:t xml:space="preserve"> (Section 3.1)</w:t>
      </w:r>
      <w:r w:rsidRPr="00BE02C1">
        <w:t>, only years with at least 70% data completeness are analyzed</w:t>
      </w:r>
      <w:r>
        <w:t xml:space="preserve">. </w:t>
      </w:r>
      <w:r w:rsidR="0055104E">
        <w:t>In addition, t</w:t>
      </w:r>
      <w:r>
        <w:t xml:space="preserve">o </w:t>
      </w:r>
      <w:r w:rsidR="00BE313B">
        <w:t xml:space="preserve">evaluate the effect of the </w:t>
      </w:r>
      <w:r w:rsidR="00BE02C1">
        <w:t xml:space="preserve">4.4-yr and </w:t>
      </w:r>
      <w:r w:rsidR="00BE313B">
        <w:t>18.6</w:t>
      </w:r>
      <w:r>
        <w:t>-</w:t>
      </w:r>
      <w:r w:rsidR="00BE02C1">
        <w:t xml:space="preserve">yr </w:t>
      </w:r>
      <w:r>
        <w:t xml:space="preserve">cycles, only stations with record lengths &gt;30 years are used. </w:t>
      </w:r>
      <w:r w:rsidR="006939B4">
        <w:t xml:space="preserve">A total of </w:t>
      </w:r>
      <w:r>
        <w:t>822 time</w:t>
      </w:r>
      <w:r w:rsidR="000B217B">
        <w:t>-</w:t>
      </w:r>
      <w:r>
        <w:t xml:space="preserve">series </w:t>
      </w:r>
      <w:proofErr w:type="gramStart"/>
      <w:r>
        <w:t>remain</w:t>
      </w:r>
      <w:proofErr w:type="gramEnd"/>
      <w:r>
        <w:t xml:space="preserve"> after </w:t>
      </w:r>
      <w:r w:rsidR="00BE313B">
        <w:t>applying these criteria</w:t>
      </w:r>
      <w:r>
        <w:t>.</w:t>
      </w:r>
    </w:p>
    <w:p w14:paraId="0FC37FA4" w14:textId="1BE55424" w:rsidR="00BE02C1" w:rsidRDefault="00DE5D33" w:rsidP="00BE02C1">
      <w:pPr>
        <w:pStyle w:val="ListParagraph"/>
        <w:numPr>
          <w:ilvl w:val="0"/>
          <w:numId w:val="5"/>
        </w:numPr>
      </w:pPr>
      <w:r>
        <w:t>Duplications: For some stations, the same water level information is retrieved from different providers, creating duplications. In such cases, we retain the longest record available. After removing duplicates, 665</w:t>
      </w:r>
      <w:r w:rsidR="000B217B">
        <w:t>-</w:t>
      </w:r>
      <w:r>
        <w:t>time series remain.</w:t>
      </w:r>
    </w:p>
    <w:p w14:paraId="2FA132CF" w14:textId="48B78466" w:rsidR="00DE5D33" w:rsidRPr="00BE02C1" w:rsidRDefault="00DE5D33" w:rsidP="00BE02C1">
      <w:pPr>
        <w:pStyle w:val="ListParagraph"/>
        <w:numPr>
          <w:ilvl w:val="0"/>
          <w:numId w:val="5"/>
        </w:numPr>
      </w:pPr>
      <w:r w:rsidRPr="00AC7A8F">
        <w:t>Quality check: After performing the tidal calculation, water level records are visually checked</w:t>
      </w:r>
      <w:r>
        <w:t>, and physically unrealistic jumps in water level</w:t>
      </w:r>
      <w:r w:rsidR="00C62E05">
        <w:t>s</w:t>
      </w:r>
      <w:r>
        <w:t xml:space="preserve"> are </w:t>
      </w:r>
      <w:r w:rsidRPr="00282224">
        <w:t>removed</w:t>
      </w:r>
      <w:r w:rsidRPr="006C5DE8">
        <w:t>.</w:t>
      </w:r>
      <w:r>
        <w:t xml:space="preserve"> Also, tide gauges with visible changes in </w:t>
      </w:r>
      <w:r w:rsidR="00BE313B">
        <w:t xml:space="preserve">the </w:t>
      </w:r>
      <w:r>
        <w:t xml:space="preserve">datum were removed. After the quality check, the 70% completeness and 30-year length criteria were again applied, resulting in </w:t>
      </w:r>
      <w:r w:rsidR="00BE313B">
        <w:t xml:space="preserve">a total of </w:t>
      </w:r>
      <w:r w:rsidR="00BE02C1">
        <w:t>581 tide gauges. Tide gauges and d</w:t>
      </w:r>
      <w:r>
        <w:t xml:space="preserve">ata removed </w:t>
      </w:r>
      <w:r w:rsidR="00BE313B">
        <w:t>in</w:t>
      </w:r>
      <w:r>
        <w:t xml:space="preserve"> the quality check is </w:t>
      </w:r>
      <w:r w:rsidR="00017CDE">
        <w:t>included</w:t>
      </w:r>
      <w:r>
        <w:t xml:space="preserve"> in Table </w:t>
      </w:r>
      <w:r w:rsidR="00BE313B">
        <w:t>S</w:t>
      </w:r>
      <w:r>
        <w:t xml:space="preserve">1 </w:t>
      </w:r>
      <w:r w:rsidR="00BE313B">
        <w:t>(</w:t>
      </w:r>
      <w:r>
        <w:t>Supplementary Material</w:t>
      </w:r>
      <w:r w:rsidR="00BE313B">
        <w:t>)</w:t>
      </w:r>
      <w:r>
        <w:t>.</w:t>
      </w:r>
    </w:p>
    <w:p w14:paraId="56270CB5" w14:textId="77777777" w:rsidR="00DE5D33" w:rsidRDefault="00DE5D33" w:rsidP="00DE5D33">
      <w:pPr>
        <w:ind w:firstLine="0"/>
      </w:pPr>
    </w:p>
    <w:p w14:paraId="331F6FF8" w14:textId="77777777" w:rsidR="00DE5D33" w:rsidRPr="008563F8" w:rsidRDefault="00DE5D33" w:rsidP="00DE5D33">
      <w:pPr>
        <w:pStyle w:val="ListParagraph"/>
        <w:numPr>
          <w:ilvl w:val="1"/>
          <w:numId w:val="13"/>
        </w:numPr>
        <w:rPr>
          <w:b/>
          <w:bCs/>
        </w:rPr>
      </w:pPr>
      <w:r w:rsidRPr="008563F8">
        <w:rPr>
          <w:b/>
          <w:bCs/>
        </w:rPr>
        <w:t>Digital elevation models</w:t>
      </w:r>
    </w:p>
    <w:p w14:paraId="58174C5E" w14:textId="3B6FB5E4" w:rsidR="00DE5D33" w:rsidRDefault="00017CDE" w:rsidP="00DE5D33">
      <w:r>
        <w:t>Digital elevation models (DEM)</w:t>
      </w:r>
      <w:r w:rsidR="00DE5D33">
        <w:t xml:space="preserve"> for Santa Barbara, South San Francisco Bay, Boston, and Miami (U.S.) are based on high-resolution LiDAR data downloaded from the NOAA Digital Coast Data Access Viewer </w:t>
      </w:r>
      <w:r w:rsidR="00DE5D33">
        <w:fldChar w:fldCharType="begin" w:fldLock="1"/>
      </w:r>
      <w:r w:rsidR="00DE5D33">
        <w:instrText>ADDIN CSL_CITATION {"citationItems":[{"id":"ITEM-1","itemData":{"URL":"https://coast.noaa.gov/htdata/lidar1_z/","accessed":{"date-parts":[["2021","8","24"]]},"author":[{"dropping-particle":"","family":"NOAA","given":"","non-dropping-particle":"","parse-names":false,"suffix":""}],"id":"ITEM-1","issued":{"date-parts":[["2021"]]},"title":"Lidar Datasets at NOAA Digital Coast","type":"webpage"},"uris":["http://www.mendeley.com/documents/?uuid=22b5d2cd-955d-4365-b963-8125406262d8"]}],"mendeley":{"formattedCitation":"(NOAA, 2021)","plainTextFormattedCitation":"(NOAA, 2021)","previouslyFormattedCitation":"(NOAA, 2021)"},"properties":{"noteIndex":0},"schema":"https://github.com/citation-style-language/schema/raw/master/csl-citation.json"}</w:instrText>
      </w:r>
      <w:r w:rsidR="00DE5D33">
        <w:fldChar w:fldCharType="separate"/>
      </w:r>
      <w:r w:rsidR="00DE5D33" w:rsidRPr="00411ECF">
        <w:rPr>
          <w:noProof/>
        </w:rPr>
        <w:t>(NOAA, 2021)</w:t>
      </w:r>
      <w:r w:rsidR="00DE5D33">
        <w:fldChar w:fldCharType="end"/>
      </w:r>
      <w:r w:rsidR="00DE5D33">
        <w:t xml:space="preserve">. The name and resolution </w:t>
      </w:r>
      <w:r w:rsidR="00DE5D33">
        <w:lastRenderedPageBreak/>
        <w:t xml:space="preserve">of the LiDAR dataset used in each study area as well as their horizontal resolution are shown in Table 1. Each LiDAR dataset is composed of several TIFF-format files, from which we only use those including topographic information along the coast. In the case of South San Francisco Bay, we reduce the horizontal point spacing from 0.7 cm (the original point LiDAR resolution) to 3 meters </w:t>
      </w:r>
      <w:proofErr w:type="gramStart"/>
      <w:r w:rsidR="00DE5D33">
        <w:t>in order to</w:t>
      </w:r>
      <w:proofErr w:type="gramEnd"/>
      <w:r w:rsidR="00DE5D33">
        <w:t xml:space="preserve"> alleviate the computational and time demand when </w:t>
      </w:r>
      <w:r w:rsidR="00C62E05">
        <w:t xml:space="preserve">deriving </w:t>
      </w:r>
      <w:r w:rsidR="00DE5D33">
        <w:t xml:space="preserve">the flooding </w:t>
      </w:r>
      <w:r w:rsidR="00DE5D33" w:rsidRPr="00DF7C20">
        <w:t>maps (Section 3.</w:t>
      </w:r>
      <w:r>
        <w:t>5</w:t>
      </w:r>
      <w:r w:rsidR="00DE5D33" w:rsidRPr="00DF7C20">
        <w:t>). The vertical</w:t>
      </w:r>
      <w:r w:rsidR="00DE5D33">
        <w:t xml:space="preserve"> datum of each LiDAR dataset is adjusted to reflect the datum (mean sea level) corresponding to the closest tide gauge included in our dataset (the datums used in the present study can be found in</w:t>
      </w:r>
      <w:r w:rsidR="00D975B4">
        <w:t xml:space="preserve"> </w:t>
      </w:r>
      <w:r w:rsidR="00D975B4">
        <w:fldChar w:fldCharType="begin" w:fldLock="1"/>
      </w:r>
      <w:r w:rsidR="00D975B4">
        <w:instrText>ADDIN CSL_CITATION {"citationItems":[{"id":"ITEM-1","itemData":{"URL":"https://tidesandcurrents.noaa.gov/","accessed":{"date-parts":[["2021","9","22"]]},"author":[{"dropping-particle":"","family":"NOAA","given":"","non-dropping-particle":"","parse-names":false,"suffix":""}],"id":"ITEM-1","issued":{"date-parts":[["0"]]},"title":"NOAA Tides &amp; Currents","type":"webpage"},"uris":["http://www.mendeley.com/documents/?uuid=e929cd55-6d0d-4bcc-963d-1a09887cc9f5"]}],"mendeley":{"formattedCitation":"(NOAA, n.d.)","manualFormatting":"NOAA, 2022)","plainTextFormattedCitation":"(NOAA, n.d.)","previouslyFormattedCitation":"(NOAA, n.d.)"},"properties":{"noteIndex":0},"schema":"https://github.com/citation-style-language/schema/raw/master/csl-citation.json"}</w:instrText>
      </w:r>
      <w:r w:rsidR="00D975B4">
        <w:fldChar w:fldCharType="separate"/>
      </w:r>
      <w:r w:rsidR="00D975B4" w:rsidRPr="00D975B4">
        <w:rPr>
          <w:noProof/>
        </w:rPr>
        <w:t xml:space="preserve">NOAA, </w:t>
      </w:r>
      <w:r w:rsidR="00D975B4">
        <w:rPr>
          <w:noProof/>
        </w:rPr>
        <w:t>2022</w:t>
      </w:r>
      <w:r w:rsidR="00D975B4" w:rsidRPr="00D975B4">
        <w:rPr>
          <w:noProof/>
        </w:rPr>
        <w:t>)</w:t>
      </w:r>
      <w:r w:rsidR="00D975B4">
        <w:fldChar w:fldCharType="end"/>
      </w:r>
      <w:r w:rsidR="00DE5D33">
        <w:t xml:space="preserve">. </w:t>
      </w:r>
    </w:p>
    <w:p w14:paraId="10D992BC" w14:textId="77777777" w:rsidR="00DE5D33" w:rsidRDefault="00DE5D33" w:rsidP="00DE5D33">
      <w:pPr>
        <w:ind w:firstLine="0"/>
      </w:pPr>
    </w:p>
    <w:p w14:paraId="05DEEEF2" w14:textId="6017B03A" w:rsidR="00DE5D33" w:rsidRDefault="00DE5D33" w:rsidP="00DE5D33">
      <w:pPr>
        <w:ind w:firstLine="0"/>
      </w:pPr>
      <w:r>
        <w:t xml:space="preserve">Table </w:t>
      </w:r>
      <w:r>
        <w:fldChar w:fldCharType="begin"/>
      </w:r>
      <w:r>
        <w:instrText>SEQ Table \* ARABIC</w:instrText>
      </w:r>
      <w:r>
        <w:fldChar w:fldCharType="separate"/>
      </w:r>
      <w:r w:rsidR="00A71C7F">
        <w:rPr>
          <w:noProof/>
        </w:rPr>
        <w:t>1</w:t>
      </w:r>
      <w:r>
        <w:fldChar w:fldCharType="end"/>
      </w:r>
      <w:r>
        <w:t>. Name and spatial resolution of the LiDAR datasets used in each study case.</w:t>
      </w:r>
    </w:p>
    <w:tbl>
      <w:tblPr>
        <w:tblStyle w:val="PlainTable5"/>
        <w:tblW w:w="9351" w:type="dxa"/>
        <w:tblLook w:val="04A0" w:firstRow="1" w:lastRow="0" w:firstColumn="1" w:lastColumn="0" w:noHBand="0" w:noVBand="1"/>
      </w:tblPr>
      <w:tblGrid>
        <w:gridCol w:w="2410"/>
        <w:gridCol w:w="4536"/>
        <w:gridCol w:w="2405"/>
      </w:tblGrid>
      <w:tr w:rsidR="00DE5D33" w14:paraId="1079DFCF" w14:textId="77777777" w:rsidTr="005510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548179AD" w14:textId="77777777" w:rsidR="00DE5D33" w:rsidRPr="000528A0" w:rsidRDefault="00DE5D33" w:rsidP="0055104E">
            <w:pPr>
              <w:ind w:firstLine="0"/>
              <w:rPr>
                <w:b/>
                <w:bCs/>
              </w:rPr>
            </w:pPr>
            <w:r>
              <w:rPr>
                <w:b/>
                <w:bCs/>
              </w:rPr>
              <w:t>Study area</w:t>
            </w:r>
          </w:p>
        </w:tc>
        <w:tc>
          <w:tcPr>
            <w:tcW w:w="4536" w:type="dxa"/>
          </w:tcPr>
          <w:p w14:paraId="0625D1CB" w14:textId="77777777" w:rsidR="00DE5D33" w:rsidRPr="000528A0" w:rsidRDefault="00DE5D33" w:rsidP="0055104E">
            <w:pPr>
              <w:ind w:firstLine="0"/>
              <w:cnfStyle w:val="100000000000" w:firstRow="1" w:lastRow="0" w:firstColumn="0" w:lastColumn="0" w:oddVBand="0" w:evenVBand="0" w:oddHBand="0" w:evenHBand="0" w:firstRowFirstColumn="0" w:firstRowLastColumn="0" w:lastRowFirstColumn="0" w:lastRowLastColumn="0"/>
              <w:rPr>
                <w:b/>
                <w:bCs/>
              </w:rPr>
            </w:pPr>
            <w:r w:rsidRPr="000528A0">
              <w:rPr>
                <w:b/>
                <w:bCs/>
              </w:rPr>
              <w:t xml:space="preserve">Lidar dataset </w:t>
            </w:r>
          </w:p>
        </w:tc>
        <w:tc>
          <w:tcPr>
            <w:tcW w:w="2405" w:type="dxa"/>
          </w:tcPr>
          <w:p w14:paraId="73EE1A75" w14:textId="77777777" w:rsidR="00DE5D33" w:rsidRPr="000528A0" w:rsidRDefault="00DE5D33" w:rsidP="0055104E">
            <w:pPr>
              <w:ind w:firstLine="0"/>
              <w:jc w:val="left"/>
              <w:cnfStyle w:val="100000000000" w:firstRow="1" w:lastRow="0" w:firstColumn="0" w:lastColumn="0" w:oddVBand="0" w:evenVBand="0" w:oddHBand="0" w:evenHBand="0" w:firstRowFirstColumn="0" w:firstRowLastColumn="0" w:lastRowFirstColumn="0" w:lastRowLastColumn="0"/>
              <w:rPr>
                <w:b/>
                <w:bCs/>
              </w:rPr>
            </w:pPr>
            <w:r w:rsidRPr="000528A0">
              <w:rPr>
                <w:b/>
                <w:bCs/>
              </w:rPr>
              <w:t>Spatial resolution (m)</w:t>
            </w:r>
          </w:p>
        </w:tc>
      </w:tr>
      <w:tr w:rsidR="00DE5D33" w14:paraId="055ACA00" w14:textId="77777777" w:rsidTr="00551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E8BD1DB" w14:textId="77777777" w:rsidR="00DE5D33" w:rsidRDefault="00DE5D33" w:rsidP="0055104E">
            <w:pPr>
              <w:ind w:firstLine="0"/>
            </w:pPr>
            <w:r>
              <w:t>California</w:t>
            </w:r>
          </w:p>
        </w:tc>
        <w:tc>
          <w:tcPr>
            <w:tcW w:w="4536" w:type="dxa"/>
          </w:tcPr>
          <w:p w14:paraId="44FE873D" w14:textId="77777777" w:rsidR="00DE5D33" w:rsidRDefault="00DE5D33" w:rsidP="0055104E">
            <w:pPr>
              <w:ind w:firstLine="0"/>
              <w:jc w:val="left"/>
              <w:cnfStyle w:val="000000100000" w:firstRow="0" w:lastRow="0" w:firstColumn="0" w:lastColumn="0" w:oddVBand="0" w:evenVBand="0" w:oddHBand="1" w:evenHBand="0" w:firstRowFirstColumn="0" w:firstRowLastColumn="0" w:lastRowFirstColumn="0" w:lastRowLastColumn="0"/>
            </w:pPr>
            <w:r>
              <w:t xml:space="preserve">2002/2003 </w:t>
            </w:r>
            <w:proofErr w:type="spellStart"/>
            <w:r>
              <w:t>IfSAR</w:t>
            </w:r>
            <w:proofErr w:type="spellEnd"/>
            <w:r>
              <w:t xml:space="preserve"> data for Southern California</w:t>
            </w:r>
          </w:p>
        </w:tc>
        <w:tc>
          <w:tcPr>
            <w:tcW w:w="2405" w:type="dxa"/>
            <w:vAlign w:val="center"/>
          </w:tcPr>
          <w:p w14:paraId="73971057" w14:textId="77777777" w:rsidR="00DE5D33" w:rsidRDefault="00DE5D33" w:rsidP="0055104E">
            <w:pPr>
              <w:ind w:firstLine="0"/>
              <w:jc w:val="right"/>
              <w:cnfStyle w:val="000000100000" w:firstRow="0" w:lastRow="0" w:firstColumn="0" w:lastColumn="0" w:oddVBand="0" w:evenVBand="0" w:oddHBand="1" w:evenHBand="0" w:firstRowFirstColumn="0" w:firstRowLastColumn="0" w:lastRowFirstColumn="0" w:lastRowLastColumn="0"/>
            </w:pPr>
            <w:r>
              <w:t>3</w:t>
            </w:r>
          </w:p>
        </w:tc>
      </w:tr>
      <w:tr w:rsidR="00DE5D33" w14:paraId="1FF0E6D7" w14:textId="77777777" w:rsidTr="0055104E">
        <w:tc>
          <w:tcPr>
            <w:cnfStyle w:val="001000000000" w:firstRow="0" w:lastRow="0" w:firstColumn="1" w:lastColumn="0" w:oddVBand="0" w:evenVBand="0" w:oddHBand="0" w:evenHBand="0" w:firstRowFirstColumn="0" w:firstRowLastColumn="0" w:lastRowFirstColumn="0" w:lastRowLastColumn="0"/>
            <w:tcW w:w="2410" w:type="dxa"/>
          </w:tcPr>
          <w:p w14:paraId="0704272A" w14:textId="77777777" w:rsidR="00DE5D33" w:rsidRDefault="00DE5D33" w:rsidP="0055104E">
            <w:pPr>
              <w:ind w:firstLine="0"/>
            </w:pPr>
            <w:r>
              <w:t>South San Francisco Bay</w:t>
            </w:r>
          </w:p>
        </w:tc>
        <w:tc>
          <w:tcPr>
            <w:tcW w:w="4536" w:type="dxa"/>
          </w:tcPr>
          <w:p w14:paraId="455F1C79" w14:textId="77777777" w:rsidR="00DE5D33" w:rsidRPr="00D47E11" w:rsidRDefault="00DE5D33" w:rsidP="0055104E">
            <w:pPr>
              <w:ind w:firstLine="0"/>
              <w:jc w:val="left"/>
              <w:cnfStyle w:val="000000000000" w:firstRow="0" w:lastRow="0" w:firstColumn="0" w:lastColumn="0" w:oddVBand="0" w:evenVBand="0" w:oddHBand="0" w:evenHBand="0" w:firstRowFirstColumn="0" w:firstRowLastColumn="0" w:lastRowFirstColumn="0" w:lastRowLastColumn="0"/>
              <w:rPr>
                <w:lang w:val="es-ES"/>
              </w:rPr>
            </w:pPr>
            <w:r w:rsidRPr="00502D54">
              <w:rPr>
                <w:lang w:val="es-ES"/>
              </w:rPr>
              <w:t xml:space="preserve">2010 USGS </w:t>
            </w:r>
            <w:proofErr w:type="spellStart"/>
            <w:r w:rsidRPr="00502D54">
              <w:rPr>
                <w:lang w:val="es-ES"/>
              </w:rPr>
              <w:t>Lidar</w:t>
            </w:r>
            <w:proofErr w:type="spellEnd"/>
            <w:r w:rsidRPr="00502D54">
              <w:rPr>
                <w:lang w:val="es-ES"/>
              </w:rPr>
              <w:t>: San Francisco (CA)</w:t>
            </w:r>
          </w:p>
        </w:tc>
        <w:tc>
          <w:tcPr>
            <w:tcW w:w="2405" w:type="dxa"/>
          </w:tcPr>
          <w:p w14:paraId="6CD419DB" w14:textId="77777777" w:rsidR="00DE5D33" w:rsidRDefault="00DE5D33" w:rsidP="0055104E">
            <w:pPr>
              <w:ind w:firstLine="0"/>
              <w:jc w:val="right"/>
              <w:cnfStyle w:val="000000000000" w:firstRow="0" w:lastRow="0" w:firstColumn="0" w:lastColumn="0" w:oddVBand="0" w:evenVBand="0" w:oddHBand="0" w:evenHBand="0" w:firstRowFirstColumn="0" w:firstRowLastColumn="0" w:lastRowFirstColumn="0" w:lastRowLastColumn="0"/>
            </w:pPr>
            <w:r>
              <w:t>3</w:t>
            </w:r>
          </w:p>
        </w:tc>
      </w:tr>
      <w:tr w:rsidR="00DE5D33" w:rsidRPr="00901BAE" w14:paraId="295FC002" w14:textId="77777777" w:rsidTr="00551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7D47861" w14:textId="77777777" w:rsidR="00DE5D33" w:rsidRPr="004726A1" w:rsidRDefault="00DE5D33" w:rsidP="0055104E">
            <w:pPr>
              <w:ind w:firstLine="0"/>
            </w:pPr>
            <w:r>
              <w:t>Boston</w:t>
            </w:r>
          </w:p>
        </w:tc>
        <w:tc>
          <w:tcPr>
            <w:tcW w:w="4536" w:type="dxa"/>
          </w:tcPr>
          <w:p w14:paraId="2D1B1CDF" w14:textId="77777777" w:rsidR="00DE5D33" w:rsidRPr="00D47E11" w:rsidRDefault="00DE5D33" w:rsidP="0055104E">
            <w:pPr>
              <w:ind w:firstLine="0"/>
              <w:jc w:val="left"/>
              <w:cnfStyle w:val="000000100000" w:firstRow="0" w:lastRow="0" w:firstColumn="0" w:lastColumn="0" w:oddVBand="0" w:evenVBand="0" w:oddHBand="1" w:evenHBand="0" w:firstRowFirstColumn="0" w:firstRowLastColumn="0" w:lastRowFirstColumn="0" w:lastRowLastColumn="0"/>
              <w:rPr>
                <w:lang w:val="es-ES"/>
              </w:rPr>
            </w:pPr>
            <w:r>
              <w:t>2009 Boston &amp; Cambridge (MA)</w:t>
            </w:r>
          </w:p>
        </w:tc>
        <w:tc>
          <w:tcPr>
            <w:tcW w:w="2405" w:type="dxa"/>
            <w:vAlign w:val="center"/>
          </w:tcPr>
          <w:p w14:paraId="042F65C4" w14:textId="77777777" w:rsidR="00DE5D33" w:rsidRPr="00D47E11" w:rsidRDefault="00DE5D33" w:rsidP="0055104E">
            <w:pPr>
              <w:ind w:firstLine="0"/>
              <w:jc w:val="right"/>
              <w:cnfStyle w:val="000000100000" w:firstRow="0" w:lastRow="0" w:firstColumn="0" w:lastColumn="0" w:oddVBand="0" w:evenVBand="0" w:oddHBand="1" w:evenHBand="0" w:firstRowFirstColumn="0" w:firstRowLastColumn="0" w:lastRowFirstColumn="0" w:lastRowLastColumn="0"/>
              <w:rPr>
                <w:lang w:val="es-ES"/>
              </w:rPr>
            </w:pPr>
            <w:r>
              <w:t>1</w:t>
            </w:r>
          </w:p>
        </w:tc>
      </w:tr>
      <w:tr w:rsidR="00DE5D33" w14:paraId="4734D8AC" w14:textId="77777777" w:rsidTr="0055104E">
        <w:tc>
          <w:tcPr>
            <w:cnfStyle w:val="001000000000" w:firstRow="0" w:lastRow="0" w:firstColumn="1" w:lastColumn="0" w:oddVBand="0" w:evenVBand="0" w:oddHBand="0" w:evenHBand="0" w:firstRowFirstColumn="0" w:firstRowLastColumn="0" w:lastRowFirstColumn="0" w:lastRowLastColumn="0"/>
            <w:tcW w:w="2410" w:type="dxa"/>
          </w:tcPr>
          <w:p w14:paraId="5955E238" w14:textId="77777777" w:rsidR="00DE5D33" w:rsidRDefault="00DE5D33" w:rsidP="0055104E">
            <w:pPr>
              <w:ind w:firstLine="0"/>
            </w:pPr>
            <w:r>
              <w:t>Miami</w:t>
            </w:r>
          </w:p>
        </w:tc>
        <w:tc>
          <w:tcPr>
            <w:tcW w:w="4536" w:type="dxa"/>
          </w:tcPr>
          <w:p w14:paraId="4ED461D9" w14:textId="77777777" w:rsidR="00DE5D33" w:rsidRPr="004726A1" w:rsidRDefault="00DE5D33" w:rsidP="0055104E">
            <w:pPr>
              <w:ind w:firstLine="0"/>
              <w:jc w:val="left"/>
              <w:cnfStyle w:val="000000000000" w:firstRow="0" w:lastRow="0" w:firstColumn="0" w:lastColumn="0" w:oddVBand="0" w:evenVBand="0" w:oddHBand="0" w:evenHBand="0" w:firstRowFirstColumn="0" w:firstRowLastColumn="0" w:lastRowFirstColumn="0" w:lastRowLastColumn="0"/>
            </w:pPr>
            <w:r w:rsidRPr="004726A1">
              <w:t>2018 Miami-Dade County ITD Lidar DEM</w:t>
            </w:r>
          </w:p>
        </w:tc>
        <w:tc>
          <w:tcPr>
            <w:tcW w:w="2405" w:type="dxa"/>
            <w:vAlign w:val="center"/>
          </w:tcPr>
          <w:p w14:paraId="44BAA410" w14:textId="77777777" w:rsidR="00DE5D33" w:rsidRDefault="00DE5D33" w:rsidP="0055104E">
            <w:pPr>
              <w:ind w:firstLine="0"/>
              <w:jc w:val="right"/>
              <w:cnfStyle w:val="000000000000" w:firstRow="0" w:lastRow="0" w:firstColumn="0" w:lastColumn="0" w:oddVBand="0" w:evenVBand="0" w:oddHBand="0" w:evenHBand="0" w:firstRowFirstColumn="0" w:firstRowLastColumn="0" w:lastRowFirstColumn="0" w:lastRowLastColumn="0"/>
            </w:pPr>
            <w:r>
              <w:t>1.5</w:t>
            </w:r>
          </w:p>
        </w:tc>
      </w:tr>
    </w:tbl>
    <w:p w14:paraId="516916AD" w14:textId="77777777" w:rsidR="00DE5D33" w:rsidRDefault="00DE5D33" w:rsidP="00DE5D33"/>
    <w:p w14:paraId="4797BCAB" w14:textId="77777777" w:rsidR="00DE5D33" w:rsidRDefault="00DE5D33" w:rsidP="00DE5D33">
      <w:pPr>
        <w:ind w:firstLine="0"/>
      </w:pPr>
    </w:p>
    <w:p w14:paraId="232DD373" w14:textId="77777777" w:rsidR="00DE5D33" w:rsidRPr="00993F79" w:rsidRDefault="00DE5D33" w:rsidP="00DE5D33">
      <w:pPr>
        <w:pStyle w:val="ListParagraph"/>
        <w:numPr>
          <w:ilvl w:val="0"/>
          <w:numId w:val="9"/>
        </w:numPr>
        <w:rPr>
          <w:u w:val="single"/>
        </w:rPr>
      </w:pPr>
      <w:r w:rsidRPr="00DD7091">
        <w:rPr>
          <w:b/>
          <w:bCs/>
        </w:rPr>
        <w:t>Methods</w:t>
      </w:r>
    </w:p>
    <w:p w14:paraId="3015A8C3" w14:textId="77777777" w:rsidR="00DE5D33" w:rsidRPr="00566A81" w:rsidRDefault="00DE5D33" w:rsidP="00DE5D33">
      <w:pPr>
        <w:pStyle w:val="ListParagraph"/>
        <w:numPr>
          <w:ilvl w:val="1"/>
          <w:numId w:val="15"/>
        </w:numPr>
        <w:rPr>
          <w:b/>
          <w:bCs/>
        </w:rPr>
      </w:pPr>
      <w:r>
        <w:rPr>
          <w:b/>
          <w:bCs/>
        </w:rPr>
        <w:t>T</w:t>
      </w:r>
      <w:r w:rsidRPr="00566A81">
        <w:rPr>
          <w:b/>
          <w:bCs/>
        </w:rPr>
        <w:t>idal analysis</w:t>
      </w:r>
      <w:r>
        <w:rPr>
          <w:b/>
          <w:bCs/>
        </w:rPr>
        <w:t xml:space="preserve"> </w:t>
      </w:r>
    </w:p>
    <w:p w14:paraId="3BD3D2DA" w14:textId="323C20F4" w:rsidR="00BE02C1" w:rsidRDefault="00DE5D33" w:rsidP="00574035">
      <w:r>
        <w:t xml:space="preserve">Water levels recorded at each </w:t>
      </w:r>
      <w:r w:rsidRPr="00DD1F75">
        <w:t>tide gauge (Section 2.1) are</w:t>
      </w:r>
      <w:r>
        <w:t xml:space="preserve"> the sum of mean sea level, astronomical tide, and the non-tidal residual (i.e., observed water level minus astronomical tide and mean sea level). Given that most cities and tide gauges are located inside estuaries and wave-sheltered </w:t>
      </w:r>
      <w:proofErr w:type="spellStart"/>
      <w:r>
        <w:t>embayments</w:t>
      </w:r>
      <w:proofErr w:type="spellEnd"/>
      <w:r>
        <w:t xml:space="preserve">, the effect of wave breaking raising mean water levels has a minimal effect on the residual, and thus, we neglect this component. </w:t>
      </w:r>
      <w:r w:rsidR="00574035">
        <w:t>Before performing the tidal analysis, w</w:t>
      </w:r>
      <w:r>
        <w:t xml:space="preserve">e first remove the influence of mean sea level variation by subtracting a 12-month moving average from the hourly water level time series. </w:t>
      </w:r>
      <w:r w:rsidR="00BE02C1">
        <w:t>Then, two types of astronomical predicted tides are obtained at each site:</w:t>
      </w:r>
    </w:p>
    <w:p w14:paraId="5FE2421E" w14:textId="54C7ACB4" w:rsidR="00BE313B" w:rsidRDefault="00DE5D33" w:rsidP="00BE313B">
      <w:pPr>
        <w:pStyle w:val="ListParagraph"/>
        <w:numPr>
          <w:ilvl w:val="0"/>
          <w:numId w:val="24"/>
        </w:numPr>
      </w:pPr>
      <w:r>
        <w:t>Time series of predicted astronomical tides</w:t>
      </w:r>
      <w:r w:rsidR="00BE313B">
        <w:t xml:space="preserve"> where the nodal modulation has</w:t>
      </w:r>
    </w:p>
    <w:p w14:paraId="363054F4" w14:textId="5FFF8C6A" w:rsidR="00DE5D33" w:rsidRDefault="00DE5D33" w:rsidP="00BE313B">
      <w:pPr>
        <w:pStyle w:val="ListParagraph"/>
        <w:ind w:left="1080" w:firstLine="0"/>
      </w:pPr>
      <w:r>
        <w:t xml:space="preserve">been included in the tidal analysis, and therefore, </w:t>
      </w:r>
      <w:r w:rsidR="006A7F82">
        <w:t>the nodal cycle</w:t>
      </w:r>
      <w:r>
        <w:t xml:space="preserve"> is not included in the time series of astronomical predicted tides (hereinafter referred as AT</w:t>
      </w:r>
      <w:proofErr w:type="gramStart"/>
      <w:r>
        <w:t>);</w:t>
      </w:r>
      <w:proofErr w:type="gramEnd"/>
      <w:r>
        <w:t xml:space="preserve"> </w:t>
      </w:r>
    </w:p>
    <w:p w14:paraId="7737ECE7" w14:textId="7015A7DC" w:rsidR="00DE5D33" w:rsidRDefault="00DE5D33" w:rsidP="006A3C5F">
      <w:pPr>
        <w:pStyle w:val="ListParagraph"/>
        <w:numPr>
          <w:ilvl w:val="0"/>
          <w:numId w:val="24"/>
        </w:numPr>
      </w:pPr>
      <w:r>
        <w:lastRenderedPageBreak/>
        <w:t>Predicted astronomical tides calculated with</w:t>
      </w:r>
      <w:r w:rsidR="00BE313B">
        <w:t xml:space="preserve">out nodal corrections; thus, the modulation </w:t>
      </w:r>
      <w:r>
        <w:t xml:space="preserve">remains in </w:t>
      </w:r>
      <w:r w:rsidR="00BE313B">
        <w:t xml:space="preserve">the predicted astronomical tides (referred to as </w:t>
      </w:r>
      <w:proofErr w:type="spellStart"/>
      <w:r w:rsidR="00BE313B">
        <w:t>ATNodal</w:t>
      </w:r>
      <w:proofErr w:type="spellEnd"/>
      <w:r w:rsidR="00BE313B">
        <w:t>).</w:t>
      </w:r>
    </w:p>
    <w:p w14:paraId="419AD570" w14:textId="08EDD78A" w:rsidR="00DE5D33" w:rsidRDefault="00DE5D33" w:rsidP="007F4569">
      <w:r>
        <w:t xml:space="preserve">AT and </w:t>
      </w:r>
      <w:proofErr w:type="spellStart"/>
      <w:r>
        <w:t>ATNodal</w:t>
      </w:r>
      <w:proofErr w:type="spellEnd"/>
      <w:r>
        <w:t xml:space="preserve"> are estimated at each station using the MATLAB U-Tide harmonic analysis tool </w:t>
      </w:r>
      <w:r>
        <w:fldChar w:fldCharType="begin" w:fldLock="1"/>
      </w:r>
      <w:r>
        <w:instrText>ADDIN CSL_CITATION {"citationItems":[{"id":"ITEM-1","itemData":{"DOI":"10.13140/RG.2.1.3761.2008","abstract":"A unified tidal analysis a nd prediction framework is de veloped. A self-consistent and complete set of equations is presented that incorporates several recent advances, with emphasis on facilitating applicability to the case of irregularly distributed times, and includes as special cases nearly all prior methods. The two-dimensional case treated is suitable for ocean currents, yields current ellip se parameters, and naturally reduces to the one-dimensional case suitable for sea level. The complex number formulation is used for matrix solution but relationships to the real formulation, need ed for confidence interval estimation with irregular times, are incl uded. The two-dimensional generalization of Foreman et al. (2009) leads to expressions (i ncluding in-matrix treatment instead of post- fit corrections) in corporating exact times in nodal/satel lite corrections and in calculation of Greenwich phase from the astronomical argument, as well as exact constituent inference. Some of the resulting capabilities include accurate nodal/satellite corrections for records longer than 1-2 years, and infe rence of multiple constituents from a single reference. A comprehensive set of constituent selection diagnostics is summarized. Diagnostics to assess constituent independe nce are the conventiona l Rayleigh criterion and its noise-modified variant, the basis matrix condition number relative to the all- constituent signal-to-noise ratio (SNR), and a newly defined maximum correlation between model parameters; diagnostics to assess constituent significance are the SNR and percent energy. A confid ence interval estimation method for current ellipse parameters, based on complex bivariate normal st atistics, is presented that generalizes the colored Monte Carlo method of Pawlowicz et al (2002): the model parameter covariance matrix is not constrained to a presumed fo rm and is scaled using both auto- and cross- spectra of the residual, as computed by fast Fourier transform or Lomb-Scargle periodogram in the case of regularly or irregularly distributed times respectively. Descriptions are provided for the functi onality and syntax of a pair of Matlab functions denoted “UTide”— ut_solv() and ut_reconstr() —that implement the unified analysis and prediction framework. Output of ut_solv() includes a table of all diagnostics, organized to make constituent selection effici ent. The robust iterativ ely-reweighted least squares (IRLS) L 1 /L 2 solution method, explored by Lef…","author":[{"dropping-particle":"","family":"Codiga","given":"Daniel L.","non-dropping-particle":"","parse-names":false,"suffix":""}],"id":"ITEM-1","issue":"September","issued":{"date-parts":[["2011"]]},"page":"59","title":"Unified Tidal Analysis and Prediction Using the UTide Matlab Functions","type":"article-journal"},"uris":["http://www.mendeley.com/documents/?uuid=6e6fd30b-fd03-40d9-a988-83628d1ddd3e"]}],"mendeley":{"formattedCitation":"(Codiga, 2011)","plainTextFormattedCitation":"(Codiga, 2011)","previouslyFormattedCitation":"(Codiga, 2011)"},"properties":{"noteIndex":0},"schema":"https://github.com/citation-style-language/schema/raw/master/csl-citation.json"}</w:instrText>
      </w:r>
      <w:r>
        <w:fldChar w:fldCharType="separate"/>
      </w:r>
      <w:r w:rsidRPr="00411ECF">
        <w:rPr>
          <w:noProof/>
        </w:rPr>
        <w:t>(Codiga, 2011)</w:t>
      </w:r>
      <w:r>
        <w:fldChar w:fldCharType="end"/>
      </w:r>
      <w:r>
        <w:t xml:space="preserve">. U-tide is applied using the least-squares method, white noise floor assumption for confidence intervals, and an automated choice of constituents resulting in </w:t>
      </w:r>
      <w:r w:rsidRPr="00CD2D39">
        <w:t>67</w:t>
      </w:r>
      <w:r w:rsidRPr="00C338A7">
        <w:t xml:space="preserve"> tidal constituents</w:t>
      </w:r>
      <w:r>
        <w:t xml:space="preserve"> per year on average. </w:t>
      </w:r>
      <w:r w:rsidR="00BE313B">
        <w:t xml:space="preserve">The tidal analysis was performed on </w:t>
      </w:r>
      <w:proofErr w:type="gramStart"/>
      <w:r w:rsidR="00BE313B">
        <w:t>369 day</w:t>
      </w:r>
      <w:proofErr w:type="gramEnd"/>
      <w:r w:rsidR="00BE313B">
        <w:t xml:space="preserve"> period</w:t>
      </w:r>
      <w:r w:rsidR="00C62E05">
        <w:t>s</w:t>
      </w:r>
      <w:r>
        <w:t xml:space="preserve"> (12.5 lunar months) to consider a time span close to multiples of the synodic periods of the short-term tidal constituents. AT is used to obtain the </w:t>
      </w:r>
      <w:r w:rsidR="006A7F82">
        <w:t xml:space="preserve">skew surge levels </w:t>
      </w:r>
      <w:r w:rsidR="007F4569">
        <w:t>(Section 3.2</w:t>
      </w:r>
      <w:r w:rsidR="00BE313B" w:rsidRPr="00B635E4">
        <w:t>) while</w:t>
      </w:r>
      <w:r w:rsidRPr="00B635E4">
        <w:t xml:space="preserve"> </w:t>
      </w:r>
      <w:proofErr w:type="spellStart"/>
      <w:r w:rsidRPr="00B635E4">
        <w:t>ATNodal</w:t>
      </w:r>
      <w:proofErr w:type="spellEnd"/>
      <w:r w:rsidRPr="00B635E4">
        <w:t xml:space="preserve"> allows us to assess the influence of the </w:t>
      </w:r>
      <w:r w:rsidR="00BE02C1">
        <w:t>long-term tidal</w:t>
      </w:r>
      <w:r w:rsidRPr="00B635E4">
        <w:t xml:space="preserve"> cycles in extreme sea levels by combining the </w:t>
      </w:r>
      <w:r w:rsidR="006A7F82">
        <w:t xml:space="preserve">skew surge </w:t>
      </w:r>
      <w:r w:rsidRPr="00B635E4">
        <w:t>and</w:t>
      </w:r>
      <w:r w:rsidRPr="00B635E4">
        <w:rPr>
          <w:rStyle w:val="CommentReference"/>
        </w:rPr>
        <w:t xml:space="preserve"> </w:t>
      </w:r>
      <w:proofErr w:type="spellStart"/>
      <w:r w:rsidRPr="00B635E4">
        <w:t>ATNodal</w:t>
      </w:r>
      <w:proofErr w:type="spellEnd"/>
      <w:r w:rsidRPr="00B635E4">
        <w:t xml:space="preserve"> (Section 3.</w:t>
      </w:r>
      <w:r w:rsidR="007F4569">
        <w:t>3</w:t>
      </w:r>
      <w:r w:rsidRPr="00B635E4">
        <w:t xml:space="preserve">). </w:t>
      </w:r>
    </w:p>
    <w:p w14:paraId="1FEFA36C" w14:textId="77777777" w:rsidR="007F4569" w:rsidRPr="007F4569" w:rsidRDefault="007F4569" w:rsidP="007F4569"/>
    <w:p w14:paraId="6BFB00C0" w14:textId="77777777" w:rsidR="00DE5D33" w:rsidRPr="00CD2D39" w:rsidRDefault="00DE5D33" w:rsidP="00DE5D33">
      <w:pPr>
        <w:pStyle w:val="ListParagraph"/>
        <w:numPr>
          <w:ilvl w:val="1"/>
          <w:numId w:val="15"/>
        </w:numPr>
        <w:rPr>
          <w:b/>
          <w:bCs/>
        </w:rPr>
      </w:pPr>
      <w:r w:rsidRPr="00CD2D39">
        <w:rPr>
          <w:b/>
          <w:bCs/>
        </w:rPr>
        <w:t>Skew surge</w:t>
      </w:r>
    </w:p>
    <w:p w14:paraId="1758C881" w14:textId="113DEF48" w:rsidR="00DE5D33" w:rsidRDefault="006A7F82" w:rsidP="00DE5D33">
      <w:r w:rsidRPr="00B635E4">
        <w:t>Before</w:t>
      </w:r>
      <w:r>
        <w:t xml:space="preserve"> calculating the </w:t>
      </w:r>
      <w:r w:rsidR="00FA44CC">
        <w:t>skew surge levels</w:t>
      </w:r>
      <w:r>
        <w:t xml:space="preserve">, we fit a 6-minute cubic spline function to the hourly measured water levels and </w:t>
      </w:r>
      <w:r w:rsidR="00FA44CC">
        <w:t xml:space="preserve">AT </w:t>
      </w:r>
      <w:r>
        <w:t>to reduce the peak truncation by the hourly time resolution (Baranes et al., 2020).</w:t>
      </w:r>
      <w:r w:rsidR="00FA44CC">
        <w:t xml:space="preserve"> For consistency, the 6-minute fitting is also applied to the </w:t>
      </w:r>
      <w:proofErr w:type="spellStart"/>
      <w:r w:rsidR="00FA44CC">
        <w:t>ATNodal</w:t>
      </w:r>
      <w:proofErr w:type="spellEnd"/>
      <w:r w:rsidR="00FA44CC">
        <w:t>.</w:t>
      </w:r>
      <w:r w:rsidR="00615B65">
        <w:t xml:space="preserve"> </w:t>
      </w:r>
      <w:r w:rsidR="00DE5D33">
        <w:t xml:space="preserve">Skew surges are calculated as the difference between the maximum observed water </w:t>
      </w:r>
      <w:r w:rsidR="00225B12">
        <w:t xml:space="preserve">level </w:t>
      </w:r>
      <w:r w:rsidR="00DE5D33">
        <w:t>(after detrending)</w:t>
      </w:r>
      <w:r w:rsidR="00225B12">
        <w:t xml:space="preserve"> and the maximum predicted AT within</w:t>
      </w:r>
      <w:r w:rsidR="00DE5D33">
        <w:t xml:space="preserve"> each tidal cycle, regardless of its timing. </w:t>
      </w:r>
      <w:r w:rsidR="00225B12">
        <w:t>Here, tidal cycle refers to the</w:t>
      </w:r>
      <w:r w:rsidR="0050388E">
        <w:t xml:space="preserve"> daily or higher frequency</w:t>
      </w:r>
      <w:r w:rsidR="00225B12">
        <w:t xml:space="preserve"> cycle </w:t>
      </w:r>
      <w:r w:rsidR="0050388E">
        <w:t>of the astronomical tide</w:t>
      </w:r>
      <w:r w:rsidR="00225B12">
        <w:t xml:space="preserve"> (see </w:t>
      </w:r>
      <w:r w:rsidR="002122DF">
        <w:fldChar w:fldCharType="begin" w:fldLock="1"/>
      </w:r>
      <w:r w:rsidR="0042575E">
        <w:instrText>ADDIN CSL_CITATION {"citationItems":[{"id":"ITEM-1","itemData":{"ISBN":"1107028191","author":[{"dropping-particle":"","family":"Pugh","given":"David","non-dropping-particle":"","parse-names":false,"suffix":""},{"dropping-particle":"","family":"Woodworth","given":"Philip","non-dropping-particle":"","parse-names":false,"suffix":""}],"chapter-number":"Chapter 7","container-title":"Sea-level science: understanding tides, surges, tsunamis and mean sea-level changes","id":"ITEM-1","issued":{"date-parts":[["2014"]]},"publisher":"Cambridge University Press","title":"Storm surges, meteotsunamis and other meteorological effects on sea level (Chapter 7)","type":"chapter"},"uris":["http://www.mendeley.com/documents/?uuid=54b7911e-4155-44da-933f-f0d670f2ac04"]}],"mendeley":{"formattedCitation":"(D. Pugh &amp; Woodworth, 2014a)","manualFormatting":"Pugh &amp; Woodworth, 2014b","plainTextFormattedCitation":"(D. Pugh &amp; Woodworth, 2014a)","previouslyFormattedCitation":"(D. Pugh &amp; Woodworth, 2014a)"},"properties":{"noteIndex":0},"schema":"https://github.com/citation-style-language/schema/raw/master/csl-citation.json"}</w:instrText>
      </w:r>
      <w:r w:rsidR="002122DF">
        <w:fldChar w:fldCharType="separate"/>
      </w:r>
      <w:r w:rsidR="002122DF" w:rsidRPr="002122DF">
        <w:rPr>
          <w:noProof/>
        </w:rPr>
        <w:t>Pugh &amp; Woodworth, 2014b</w:t>
      </w:r>
      <w:r w:rsidR="002122DF">
        <w:fldChar w:fldCharType="end"/>
      </w:r>
      <w:r w:rsidR="002122DF">
        <w:t xml:space="preserve"> </w:t>
      </w:r>
      <w:r w:rsidR="00225B12">
        <w:t>for a detailed description of skew surge</w:t>
      </w:r>
      <w:r w:rsidR="0050388E">
        <w:t>)</w:t>
      </w:r>
      <w:r w:rsidR="00225B12">
        <w:t>.</w:t>
      </w:r>
    </w:p>
    <w:p w14:paraId="4410AEFE" w14:textId="77777777" w:rsidR="00DE5D33" w:rsidRDefault="00DE5D33" w:rsidP="00DE5D33">
      <w:pPr>
        <w:ind w:firstLine="0"/>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w:t>
      </w:r>
    </w:p>
    <w:p w14:paraId="4F160D9B" w14:textId="457B85A1" w:rsidR="00DE5D33" w:rsidRPr="007F4569" w:rsidRDefault="00DE5D33" w:rsidP="007F4569">
      <w:pPr>
        <w:pStyle w:val="ListParagraph"/>
        <w:numPr>
          <w:ilvl w:val="1"/>
          <w:numId w:val="15"/>
        </w:numPr>
        <w:rPr>
          <w:b/>
          <w:bCs/>
        </w:rPr>
      </w:pPr>
      <w:r w:rsidRPr="007F4569">
        <w:rPr>
          <w:b/>
          <w:bCs/>
        </w:rPr>
        <w:t>Probability distribution of sea levels</w:t>
      </w:r>
    </w:p>
    <w:p w14:paraId="5CB2AEAA" w14:textId="72312D4C" w:rsidR="00BE313B" w:rsidRDefault="00DE5D33" w:rsidP="00DE5D33">
      <w:pPr>
        <w:rPr>
          <w:rFonts w:eastAsiaTheme="minorEastAsia"/>
        </w:rPr>
      </w:pPr>
      <w:r>
        <w:t xml:space="preserve">Following </w:t>
      </w:r>
      <w:r>
        <w:fldChar w:fldCharType="begin" w:fldLock="1"/>
      </w:r>
      <w:r>
        <w:instrText>ADDIN CSL_CITATION {"citationItems":[{"id":"ITEM-1","itemData":{"DOI":"10.1029/2020JC016291","ISSN":"21699291","abstract":"Astronomical variations in tidal magnitude can strongly modulate the severity of coastal flooding on daily, monthly, and interannual timescales. Here we present a new quasi-nonstationary skew surge joint probability method (qn-SSJPM) that estimates interannual fluctuations in flood hazard caused by the 18.6- and quasi 4.4-year modulations of tides. We demonstrate that qn-SSJPM-derived storm tide frequency estimates are more precise and stable compared with the standard practice of fitting an extreme value distribution to measured storm tides, which is often biased by the largest few events within the observational period. Applying the qn-SSJPM in the Gulf of Maine, we find significant tidal forcing of winter storm season flood hazard by the 18.6-year nodal cycle, whereas 4.4-year modulations and a secular trend in tides are small compared to interannual variation and long-term trends in sea-level. The nodal cycle forces decadal oscillations in the 1% annual chance storm tide at an average rate of ±13.5 mm/year in Eastport, ME; ±4.0 mm/year in Portland, ME; and ±5.9 mm/year in Boston, MA. Currently (in 2020), nodal forcing is counteracting the sea-level rise-induced increase in flood hazard; however, in 2025, the nodal cycle will reach a minimum and then begin to accelerate flood hazard increase as it moves toward its maximum phase over the subsequent decade. Along the world's meso-to-macrotidal coastlines, it is therefore critical to consider both sea-level rise and tidal nonstationarity in planning for the transition to chronic flooding that will be driven by sea-level rise in many regions over the next century.","author":[{"dropping-particle":"","family":"Baranes","given":"H. E.","non-dropping-particle":"","parse-names":false,"suffix":""},{"dropping-particle":"","family":"Woodruff","given":"J. D.","non-dropping-particle":"","parse-names":false,"suffix":""},{"dropping-particle":"","family":"Talke","given":"S. A.","non-dropping-particle":"","parse-names":false,"suffix":""},{"dropping-particle":"","family":"Kopp","given":"R. E.","non-dropping-particle":"","parse-names":false,"suffix":""},{"dropping-particle":"","family":"Ray","given":"R. D.","non-dropping-particle":"","parse-names":false,"suffix":""},{"dropping-particle":"","family":"DeConto","given":"R. M.","non-dropping-particle":"","parse-names":false,"suffix":""}],"container-title":"Journal of Geophysical Research: Oceans","id":"ITEM-1","issue":"10","issued":{"date-parts":[["2020"]]},"title":"Tidally Driven Interannual Variation in Extreme Sea Level Frequencies in the Gulf of Maine","type":"article-journal","volume":"125"},"uris":["http://www.mendeley.com/documents/?uuid=fc45af6f-0a1d-4fec-a7c4-6ace4fe4871a"]}],"mendeley":{"formattedCitation":"(Baranes et al., 2020)","manualFormatting":"Baranes et al. (2020)","plainTextFormattedCitation":"(Baranes et al., 2020)","previouslyFormattedCitation":"(Baranes et al., 2020)"},"properties":{"noteIndex":0},"schema":"https://github.com/citation-style-language/schema/raw/master/csl-citation.json"}</w:instrText>
      </w:r>
      <w:r>
        <w:fldChar w:fldCharType="separate"/>
      </w:r>
      <w:r w:rsidRPr="007155E6">
        <w:rPr>
          <w:noProof/>
        </w:rPr>
        <w:t>Baranes et al.</w:t>
      </w:r>
      <w:r>
        <w:rPr>
          <w:noProof/>
        </w:rPr>
        <w:t xml:space="preserve"> (</w:t>
      </w:r>
      <w:r w:rsidRPr="007155E6">
        <w:rPr>
          <w:noProof/>
        </w:rPr>
        <w:t>2020)</w:t>
      </w:r>
      <w:r>
        <w:fldChar w:fldCharType="end"/>
      </w:r>
      <w:r>
        <w:t>, we use the quasi-nonstationary skew surge joint-probability method (</w:t>
      </w:r>
      <w:proofErr w:type="spellStart"/>
      <w:r>
        <w:t>qn</w:t>
      </w:r>
      <w:proofErr w:type="spellEnd"/>
      <w:r>
        <w:t xml:space="preserve">-SSJPM) to derive the probability distribution of sea levels (i.e., the sum of the astronomical tide and skew surge above annual mean sea level). The </w:t>
      </w:r>
      <w:proofErr w:type="spellStart"/>
      <w:r>
        <w:t>qn</w:t>
      </w:r>
      <w:proofErr w:type="spellEnd"/>
      <w:r>
        <w:t>-SSJPM method fits separate probability distributions to skew surge and the astronomical tide and convolves the two to obtain the joint sea</w:t>
      </w:r>
      <w:r w:rsidR="00BE313B">
        <w:t>-</w:t>
      </w:r>
      <w:r>
        <w:t xml:space="preserve">level distribution. </w:t>
      </w:r>
      <w:r w:rsidR="00BE313B">
        <w:rPr>
          <w:rFonts w:eastAsiaTheme="minorEastAsia"/>
        </w:rPr>
        <w:t xml:space="preserve">Here, we use the </w:t>
      </w:r>
      <w:proofErr w:type="spellStart"/>
      <w:r w:rsidR="00BE313B">
        <w:rPr>
          <w:rFonts w:eastAsiaTheme="minorEastAsia"/>
        </w:rPr>
        <w:t>ATNodal</w:t>
      </w:r>
      <w:proofErr w:type="spellEnd"/>
      <w:r w:rsidR="00BE313B">
        <w:rPr>
          <w:rFonts w:eastAsiaTheme="minorEastAsia"/>
        </w:rPr>
        <w:t xml:space="preserve"> as the astronomical tide </w:t>
      </w:r>
      <w:proofErr w:type="gramStart"/>
      <w:r w:rsidR="00BE313B">
        <w:rPr>
          <w:rFonts w:eastAsiaTheme="minorEastAsia"/>
        </w:rPr>
        <w:t>in order to</w:t>
      </w:r>
      <w:proofErr w:type="gramEnd"/>
      <w:r w:rsidR="00BE313B">
        <w:rPr>
          <w:rFonts w:eastAsiaTheme="minorEastAsia"/>
        </w:rPr>
        <w:t xml:space="preserve"> account for the </w:t>
      </w:r>
      <w:r w:rsidR="002122DF">
        <w:rPr>
          <w:rFonts w:eastAsiaTheme="minorEastAsia"/>
        </w:rPr>
        <w:t>long-term tidal</w:t>
      </w:r>
      <w:r w:rsidR="00BE313B">
        <w:rPr>
          <w:rFonts w:eastAsiaTheme="minorEastAsia"/>
        </w:rPr>
        <w:t xml:space="preserve"> cycles. </w:t>
      </w:r>
    </w:p>
    <w:p w14:paraId="1C14CA27" w14:textId="38C0EF8C" w:rsidR="00DE5D33" w:rsidRPr="008A58B2" w:rsidRDefault="00DE5D33" w:rsidP="00DE5D33">
      <w:r w:rsidRPr="008A58B2">
        <w:t>The probability distribution function is obtained separately for extreme and non-extreme skew surge events. In the present study, we define extreme events as those above the 0.997</w:t>
      </w:r>
      <w:r w:rsidRPr="008A58B2">
        <w:rPr>
          <w:vertAlign w:val="superscript"/>
        </w:rPr>
        <w:t>th</w:t>
      </w:r>
      <w:r w:rsidRPr="008A58B2">
        <w:t xml:space="preserve"> percentile calculated at each station (similar thresholds were chosen in past studies: </w:t>
      </w:r>
      <w:r w:rsidRPr="008A58B2">
        <w:fldChar w:fldCharType="begin" w:fldLock="1"/>
      </w:r>
      <w:r>
        <w:instrText>ADDIN CSL_CITATION {"citationItems":[{"id":"ITEM-1","itemData":{"DOI":"10.1029/2009JC005997","ISSN":"21699291","abstract":"A quasi-global sea level data set from tide gauges has been used to investigate extreme sea level events and their spatial and temporal variabilities. Modern methods based on a nonstationary extreme value analysis have been applied to the maxima of the total elevations and surges for the period of 1970 and onward. A subset of the data was used to study changes over the 20th century. The analyses demonstrate the magnitude and timing of the seasonal cycle of extreme sea level occurrence, the magnitude of long-term trends in extreme sea levels, the evidence for perigean and nodal astronomical tidal components in the extremes, and the relationship of the interannual variability in high water levels to other ocean and atmosphere variations as represented by climate indices. The subtraction from the extreme sea levels of the corresponding annual median sea level results in a reduction in the magnitude of trends at most stations, leading to the conclusion that much of the change in the extremes is due to change in the mean values. Copyright 2010 by the American Geophysical Union.","author":[{"dropping-particle":"","family":"Menéndez","given":"Melisa","non-dropping-particle":"","parse-names":false,"suffix":""},{"dropping-particle":"","family":"Woodworth","given":"Philip L.","non-dropping-particle":"","parse-names":false,"suffix":""}],"container-title":"Journal of Geophysical Research: Oceans","id":"ITEM-1","issue":"10","issued":{"date-parts":[["2010"]]},"page":"1-15","title":"Changes in extreme high water levels based on a quasi-global tide-gauge data set","type":"article-journal","volume":"115"},"uris":["http://www.mendeley.com/documents/?uuid=9f61516f-ff0a-46b6-bf8a-6568464721c7"]},{"id":"ITEM-2","itemData":{"DOI":"10.1016/j.coastaleng.2013.07.003","ISSN":"03783839","abstract":"Over the past five decades, several approaches for estimating probabilities of extreme still water levels have been developed. Currently, different methods are applied not only on transnational, but also on national scales, resulting in a heterogeneous level of protection. Applying different statistical methods can yield significantly different estimates of return water levels, but even the use of the same technique can produce large discrepancies, because there is subjective parameter choice at several steps in the model setup. In this paper, we compare probabilities of extreme still water levels estimated using the main direct methods (i.e. the block maxima method and the peaks over threshold method) considering a wide range of strategies to create extreme value dataset and a range of different model setups. We primarily use tide gauge records from the German Bight but also consider data from sites around the UK and Australia for comparison. The focus is on testing the influence of the following three main factors, which can affect the estimates of extreme value statistics: (1) detrending the original data sets; (2) building samples of extreme values from the original data sets; and (3) the record lengths of the original data sets. We find that using different detrending techniques biases the results from extreme value statistics. Hence, we recommend using a 1-year moving average of high waters (or hourly records if these are available) to correct the original data sets for seasonal and long-term sea level changes. Our results highlight that the peaks over threshold method yields more reliable and more stable (i.e. using short records leads to the same results as when using long records) estimates of probabilities of extreme still water levels than the block maxima method. In analysing a variety of threshold selection methods we find that using the 99.7th percentile water level leads to the most stable return water level estimates along the German Bight. This is also valid for the international stations considered. Finally, to provide guidance for coastal engineers and operators, we recommend the peaks over threshold method and define an objective approach for setting up the model. If this is applied routinely around a country, it will help overcome the problem of heterogeneous levels of protection resulting from different methods and varying model setups. © 2013 Elsevier B.V.","author":[{"dropping-particle":"","family":"Arns","given":"A.","non-dropping-particle":"","parse-names":false,"suffix":""},{"dropping-particle":"","family":"Wahl","given":"T.","non-dropping-particle":"","parse-names":false,"suffix":""},{"dropping-particle":"","family":"Haigh","given":"I. D.","non-dropping-particle":"","parse-names":false,"suffix":""},{"dropping-particle":"","family":"Jensen","given":"J.","non-dropping-particle":"","parse-names":false,"suffix":""},{"dropping-particle":"","family":"Pattiaratchi","given":"C.","non-dropping-particle":"","parse-names":false,"suffix":""}],"container-title":"Coastal Engineering","id":"ITEM-2","issued":{"date-parts":[["2013"]]},"page":"51-66","title":"Estimating extreme water level probabilities: A comparison of the direct methods and recommendations for best practise","type":"article-journal","volume":"81"},"uris":["http://www.mendeley.com/documents/?uuid=1503bc5a-4da2-4289-8adc-1212559db9b1"]},{"id":"ITEM-3","itemData":{"DOI":"10.1029/2020JC016291","ISSN":"21699291","abstract":"Astronomical variations in tidal magnitude can strongly modulate the severity of coastal flooding on daily, monthly, and interannual timescales. Here we present a new quasi-nonstationary skew surge joint probability method (qn-SSJPM) that estimates interannual fluctuations in flood hazard caused by the 18.6- and quasi 4.4-year modulations of tides. We demonstrate that qn-SSJPM-derived storm tide frequency estimates are more precise and stable compared with the standard practice of fitting an extreme value distribution to measured storm tides, which is often biased by the largest few events within the observational period. Applying the qn-SSJPM in the Gulf of Maine, we find significant tidal forcing of winter storm season flood hazard by the 18.6-year nodal cycle, whereas 4.4-year modulations and a secular trend in tides are small compared to interannual variation and long-term trends in sea-level. The nodal cycle forces decadal oscillations in the 1% annual chance storm tide at an average rate of ±13.5 mm/year in Eastport, ME; ±4.0 mm/year in Portland, ME; and ±5.9 mm/year in Boston, MA. Currently (in 2020), nodal forcing is counteracting the sea-level rise-induced increase in flood hazard; however, in 2025, the nodal cycle will reach a minimum and then begin to accelerate flood hazard increase as it moves toward its maximum phase over the subsequent decade. Along the world's meso-to-macrotidal coastlines, it is therefore critical to consider both sea-level rise and tidal nonstationarity in planning for the transition to chronic flooding that will be driven by sea-level rise in many regions over the next century.","author":[{"dropping-particle":"","family":"Baranes","given":"H. E.","non-dropping-particle":"","parse-names":false,"suffix":""},{"dropping-particle":"","family":"Woodruff","given":"J. D.","non-dropping-particle":"","parse-names":false,"suffix":""},{"dropping-particle":"","family":"Talke","given":"S. A.","non-dropping-particle":"","parse-names":false,"suffix":""},{"dropping-particle":"","family":"Kopp","given":"R. E.","non-dropping-particle":"","parse-names":false,"suffix":""},{"dropping-particle":"","family":"Ray","given":"R. D.","non-dropping-particle":"","parse-names":false,"suffix":""},{"dropping-particle":"","family":"DeConto","given":"R. M.","non-dropping-particle":"","parse-names":false,"suffix":""}],"container-title":"Journal of Geophysical Research: Oceans","id":"ITEM-3","issue":"10","issued":{"date-parts":[["2020"]]},"title":"Tidally Driven Interannual Variation in Extreme Sea Level Frequencies in the Gulf of Maine","type":"article-journal","volume":"125"},"uris":["http://www.mendeley.com/documents/?uuid=fc45af6f-0a1d-4fec-a7c4-6ace4fe4871a"]}],"mendeley":{"formattedCitation":"(Arns et al., 2013; Baranes et al., 2020; Menéndez &amp; Woodworth, 2010)","manualFormatting":"Arns et al., 2013; Baranes et al., 2020; Menéndez &amp; Woodworth, 2010)","plainTextFormattedCitation":"(Arns et al., 2013; Baranes et al., 2020; Menéndez &amp; Woodworth, 2010)","previouslyFormattedCitation":"(Arns et al., 2013; Baranes et al., 2020; Menéndez &amp; Woodworth, 2010)"},"properties":{"noteIndex":0},"schema":"https://github.com/citation-style-language/schema/raw/master/csl-citation.json"}</w:instrText>
      </w:r>
      <w:r w:rsidRPr="008A58B2">
        <w:fldChar w:fldCharType="separate"/>
      </w:r>
      <w:r w:rsidRPr="008A58B2">
        <w:rPr>
          <w:noProof/>
        </w:rPr>
        <w:t>Arns et al., 2013; Baranes et al., 2020; Menéndez &amp; Woodworth, 2010)</w:t>
      </w:r>
      <w:r w:rsidRPr="008A58B2">
        <w:fldChar w:fldCharType="end"/>
      </w:r>
      <w:r w:rsidRPr="008A58B2">
        <w:t xml:space="preserve">. We </w:t>
      </w:r>
      <w:r w:rsidRPr="008A58B2">
        <w:lastRenderedPageBreak/>
        <w:t>derive the empirical probability for the non-extreme skew surge values through the Weibull formula:</w:t>
      </w:r>
    </w:p>
    <w:p w14:paraId="649C01A6" w14:textId="18F7C587" w:rsidR="00DE5D33" w:rsidRPr="008A58B2" w:rsidRDefault="00DA15A3" w:rsidP="00DE5D33">
      <w:pPr>
        <w:ind w:firstLine="0"/>
        <w:rPr>
          <w:rFonts w:eastAsiaTheme="minorEastAsia"/>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SS</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 xml:space="preserve">= </m:t>
        </m:r>
        <m:f>
          <m:fPr>
            <m:ctrlPr>
              <w:rPr>
                <w:rFonts w:ascii="Cambria Math" w:hAnsi="Cambria Math"/>
                <w:i/>
              </w:rPr>
            </m:ctrlPr>
          </m:fPr>
          <m:num>
            <m:r>
              <w:rPr>
                <w:rFonts w:ascii="Cambria Math" w:hAnsi="Cambria Math"/>
              </w:rPr>
              <m:t>i</m:t>
            </m:r>
          </m:num>
          <m:den>
            <m:r>
              <w:rPr>
                <w:rFonts w:ascii="Cambria Math" w:hAnsi="Cambria Math"/>
              </w:rPr>
              <m:t>n+1</m:t>
            </m:r>
          </m:den>
        </m:f>
      </m:oMath>
      <w:r w:rsidR="00720518">
        <w:rPr>
          <w:rFonts w:eastAsiaTheme="minorEastAsia"/>
        </w:rPr>
        <w:tab/>
      </w:r>
      <w:r w:rsidR="00720518">
        <w:rPr>
          <w:rFonts w:eastAsiaTheme="minorEastAsia"/>
        </w:rPr>
        <w:tab/>
      </w:r>
      <w:r w:rsidR="00720518">
        <w:rPr>
          <w:rFonts w:eastAsiaTheme="minorEastAsia"/>
        </w:rPr>
        <w:tab/>
      </w:r>
      <w:r w:rsidR="00720518">
        <w:rPr>
          <w:rFonts w:eastAsiaTheme="minorEastAsia"/>
        </w:rPr>
        <w:tab/>
      </w:r>
      <w:r w:rsidR="00720518">
        <w:rPr>
          <w:rFonts w:eastAsiaTheme="minorEastAsia"/>
        </w:rPr>
        <w:tab/>
      </w:r>
      <w:r w:rsidR="00720518">
        <w:rPr>
          <w:rFonts w:eastAsiaTheme="minorEastAsia"/>
        </w:rPr>
        <w:tab/>
      </w:r>
      <w:r w:rsidR="00720518">
        <w:rPr>
          <w:rFonts w:eastAsiaTheme="minorEastAsia"/>
        </w:rPr>
        <w:tab/>
      </w:r>
      <w:r w:rsidR="00720518">
        <w:rPr>
          <w:rFonts w:eastAsiaTheme="minorEastAsia"/>
        </w:rPr>
        <w:tab/>
      </w:r>
      <w:r w:rsidR="00720518">
        <w:rPr>
          <w:rFonts w:eastAsiaTheme="minorEastAsia"/>
        </w:rPr>
        <w:tab/>
      </w:r>
      <w:r w:rsidR="00720518">
        <w:rPr>
          <w:rFonts w:eastAsiaTheme="minorEastAsia"/>
        </w:rPr>
        <w:tab/>
        <w:t xml:space="preserve">       </w:t>
      </w:r>
      <w:r w:rsidR="00DE5D33" w:rsidRPr="008A58B2">
        <w:rPr>
          <w:rFonts w:eastAsiaTheme="minorEastAsia"/>
        </w:rPr>
        <w:t>(</w:t>
      </w:r>
      <w:r w:rsidR="0049566C">
        <w:rPr>
          <w:rFonts w:eastAsiaTheme="minorEastAsia"/>
        </w:rPr>
        <w:t>1</w:t>
      </w:r>
      <w:r w:rsidR="00DE5D33" w:rsidRPr="008A58B2">
        <w:rPr>
          <w:rFonts w:eastAsiaTheme="minorEastAsia"/>
        </w:rPr>
        <w:t>)</w:t>
      </w:r>
    </w:p>
    <w:p w14:paraId="4FF82215" w14:textId="0C6E40D8" w:rsidR="00DE5D33" w:rsidRPr="008A58B2" w:rsidRDefault="00DE5D33" w:rsidP="00DE5D33">
      <w:pPr>
        <w:ind w:firstLine="0"/>
      </w:pPr>
      <w:r>
        <w:rPr>
          <w:rFonts w:eastAsiaTheme="minorEastAsia"/>
        </w:rPr>
        <w:t>w</w:t>
      </w:r>
      <w:r w:rsidRPr="008A58B2">
        <w:rPr>
          <w:rFonts w:eastAsiaTheme="minorEastAsia"/>
        </w:rPr>
        <w:t xml:space="preserve">here </w:t>
      </w:r>
      <w:r w:rsidRPr="008A58B2">
        <w:rPr>
          <w:rFonts w:eastAsiaTheme="minorEastAsia"/>
        </w:rPr>
        <w:tab/>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8A58B2">
        <w:rPr>
          <w:rFonts w:eastAsiaTheme="minorEastAsia"/>
        </w:rPr>
        <w:t xml:space="preserve"> is the </w:t>
      </w:r>
      <w:proofErr w:type="spellStart"/>
      <w:r w:rsidRPr="00263DE8">
        <w:rPr>
          <w:rFonts w:eastAsiaTheme="minorEastAsia"/>
          <w:i/>
        </w:rPr>
        <w:t>i</w:t>
      </w:r>
      <w:r w:rsidRPr="008A58B2">
        <w:rPr>
          <w:rFonts w:eastAsiaTheme="minorEastAsia"/>
        </w:rPr>
        <w:t>th</w:t>
      </w:r>
      <w:proofErr w:type="spellEnd"/>
      <w:r w:rsidRPr="008A58B2">
        <w:rPr>
          <w:rFonts w:eastAsiaTheme="minorEastAsia"/>
        </w:rPr>
        <w:t xml:space="preserve">-largest skew surge and </w:t>
      </w:r>
      <w:r w:rsidRPr="00263DE8">
        <w:rPr>
          <w:rFonts w:eastAsiaTheme="minorEastAsia"/>
          <w:i/>
        </w:rPr>
        <w:t>n</w:t>
      </w:r>
      <w:r w:rsidRPr="008A58B2">
        <w:rPr>
          <w:rFonts w:eastAsiaTheme="minorEastAsia"/>
        </w:rPr>
        <w:t xml:space="preserve"> the total number of skew </w:t>
      </w:r>
      <w:proofErr w:type="gramStart"/>
      <w:r w:rsidRPr="008A58B2">
        <w:rPr>
          <w:rFonts w:eastAsiaTheme="minorEastAsia"/>
        </w:rPr>
        <w:t>surges.</w:t>
      </w:r>
      <w:proofErr w:type="gramEnd"/>
      <w:r w:rsidRPr="008A58B2">
        <w:t xml:space="preserve"> </w:t>
      </w:r>
      <w:r w:rsidRPr="000E3885">
        <w:t xml:space="preserve">For values above the threshold, a Generalized Pareto Distribution (GPD) is fitted to </w:t>
      </w:r>
      <w:r w:rsidRPr="007B1E64">
        <w:t>represent the upper tail of the distribution:</w:t>
      </w:r>
    </w:p>
    <w:p w14:paraId="7D40653A" w14:textId="71A1846C" w:rsidR="00DE5D33" w:rsidRPr="007B1E64" w:rsidRDefault="00DA15A3" w:rsidP="00DE5D33">
      <w:pPr>
        <w:ind w:firstLine="0"/>
        <w:rPr>
          <w:rFonts w:eastAsiaTheme="minorEastAsia"/>
        </w:rPr>
      </w:pPr>
      <m:oMath>
        <m:sSub>
          <m:sSubPr>
            <m:ctrlPr>
              <w:rPr>
                <w:rFonts w:ascii="Cambria Math" w:hAnsi="Cambria Math"/>
                <w:i/>
              </w:rPr>
            </m:ctrlPr>
          </m:sSubPr>
          <m:e>
            <m:r>
              <w:rPr>
                <w:rFonts w:ascii="Cambria Math" w:hAnsi="Cambria Math"/>
              </w:rPr>
              <m:t>G</m:t>
            </m:r>
          </m:e>
          <m:sub>
            <m:r>
              <w:rPr>
                <w:rFonts w:ascii="Cambria Math" w:hAnsi="Cambria Math"/>
              </w:rPr>
              <m:t>ss</m:t>
            </m:r>
          </m:sub>
        </m:sSub>
        <m:d>
          <m:dPr>
            <m:ctrlPr>
              <w:rPr>
                <w:rFonts w:ascii="Cambria Math" w:hAnsi="Cambria Math"/>
                <w:i/>
              </w:rPr>
            </m:ctrlPr>
          </m:dPr>
          <m:e>
            <m:r>
              <w:rPr>
                <w:rFonts w:ascii="Cambria Math" w:hAnsi="Cambria Math"/>
              </w:rPr>
              <m:t>x</m:t>
            </m:r>
          </m:e>
        </m:d>
        <m:r>
          <w:rPr>
            <w:rFonts w:ascii="Cambria Math" w:hAnsi="Cambria Math"/>
          </w:rPr>
          <m:t>=1-</m:t>
        </m:r>
        <m:sSup>
          <m:sSupPr>
            <m:ctrlPr>
              <w:rPr>
                <w:rFonts w:ascii="Cambria Math" w:hAnsi="Cambria Math"/>
                <w:i/>
              </w:rPr>
            </m:ctrlPr>
          </m:sSupPr>
          <m:e>
            <m:d>
              <m:dPr>
                <m:ctrlPr>
                  <w:rPr>
                    <w:rFonts w:ascii="Cambria Math" w:eastAsiaTheme="minorEastAsia" w:hAnsi="Cambria Math"/>
                    <w:i/>
                  </w:rPr>
                </m:ctrlPr>
              </m:dPr>
              <m:e>
                <m:r>
                  <w:rPr>
                    <w:rFonts w:ascii="Cambria Math" w:eastAsiaTheme="minorEastAsia" w:hAnsi="Cambria Math"/>
                  </w:rPr>
                  <m:t>1+ξ</m:t>
                </m:r>
                <m:f>
                  <m:fPr>
                    <m:ctrlPr>
                      <w:rPr>
                        <w:rFonts w:ascii="Cambria Math" w:eastAsiaTheme="minorEastAsia" w:hAnsi="Cambria Math"/>
                        <w:i/>
                      </w:rPr>
                    </m:ctrlPr>
                  </m:fPr>
                  <m:num>
                    <m:r>
                      <w:rPr>
                        <w:rFonts w:ascii="Cambria Math" w:eastAsiaTheme="minorEastAsia" w:hAnsi="Cambria Math"/>
                      </w:rPr>
                      <m:t>x-μ</m:t>
                    </m:r>
                  </m:num>
                  <m:den>
                    <m:r>
                      <w:rPr>
                        <w:rFonts w:ascii="Cambria Math" w:eastAsiaTheme="minorEastAsia" w:hAnsi="Cambria Math"/>
                      </w:rPr>
                      <m:t>σ</m:t>
                    </m:r>
                  </m:den>
                </m:f>
              </m:e>
            </m:d>
          </m:e>
          <m:sup>
            <m:r>
              <w:rPr>
                <w:rFonts w:ascii="Cambria Math" w:hAnsi="Cambria Math"/>
              </w:rPr>
              <m:t>-1/</m:t>
            </m:r>
            <m:r>
              <w:rPr>
                <w:rFonts w:ascii="Cambria Math" w:eastAsiaTheme="minorEastAsia" w:hAnsi="Cambria Math"/>
              </w:rPr>
              <m:t>ξ</m:t>
            </m:r>
          </m:sup>
        </m:sSup>
      </m:oMath>
      <w:r w:rsidR="00DE5D33" w:rsidRPr="008A58B2">
        <w:rPr>
          <w:rFonts w:eastAsiaTheme="minorEastAsia"/>
        </w:rPr>
        <w:tab/>
      </w:r>
      <w:r w:rsidR="00DE5D33" w:rsidRPr="008A58B2">
        <w:rPr>
          <w:rFonts w:eastAsiaTheme="minorEastAsia"/>
        </w:rPr>
        <w:tab/>
      </w:r>
      <w:r w:rsidR="00DE5D33" w:rsidRPr="008A58B2">
        <w:rPr>
          <w:rFonts w:eastAsiaTheme="minorEastAsia"/>
        </w:rPr>
        <w:tab/>
      </w:r>
      <w:r w:rsidR="00DE5D33" w:rsidRPr="008A58B2">
        <w:rPr>
          <w:rFonts w:eastAsiaTheme="minorEastAsia"/>
        </w:rPr>
        <w:tab/>
      </w:r>
      <w:r w:rsidR="00DE5D33" w:rsidRPr="008A58B2">
        <w:rPr>
          <w:rFonts w:eastAsiaTheme="minorEastAsia"/>
        </w:rPr>
        <w:tab/>
      </w:r>
      <w:r w:rsidR="00DE5D33" w:rsidRPr="007B1E64">
        <w:rPr>
          <w:rFonts w:eastAsiaTheme="minorEastAsia"/>
        </w:rPr>
        <w:t xml:space="preserve">                       </w:t>
      </w:r>
      <w:r w:rsidR="00720518">
        <w:rPr>
          <w:rFonts w:eastAsiaTheme="minorEastAsia"/>
        </w:rPr>
        <w:tab/>
        <w:t xml:space="preserve">       </w:t>
      </w:r>
      <w:r w:rsidR="00DE5D33" w:rsidRPr="007B1E64">
        <w:rPr>
          <w:rFonts w:eastAsiaTheme="minorEastAsia"/>
        </w:rPr>
        <w:t>(</w:t>
      </w:r>
      <w:r w:rsidR="0049566C">
        <w:rPr>
          <w:rFonts w:eastAsiaTheme="minorEastAsia"/>
        </w:rPr>
        <w:t>2</w:t>
      </w:r>
      <w:r w:rsidR="00DE5D33" w:rsidRPr="007B1E64">
        <w:rPr>
          <w:rFonts w:eastAsiaTheme="minorEastAsia"/>
        </w:rPr>
        <w:t>)</w:t>
      </w:r>
    </w:p>
    <w:p w14:paraId="2A786DF7" w14:textId="77777777" w:rsidR="00DE5D33" w:rsidRPr="007B1E64" w:rsidRDefault="00DE5D33" w:rsidP="00DE5D33">
      <w:pPr>
        <w:ind w:firstLine="0"/>
        <w:rPr>
          <w:rFonts w:eastAsiaTheme="minorEastAsia"/>
        </w:rPr>
      </w:pPr>
      <w:r>
        <w:rPr>
          <w:rFonts w:eastAsiaTheme="minorEastAsia"/>
        </w:rPr>
        <w:t>w</w:t>
      </w:r>
      <w:r w:rsidRPr="007B1E64">
        <w:rPr>
          <w:rFonts w:eastAsiaTheme="minorEastAsia"/>
        </w:rPr>
        <w:t xml:space="preserve">here </w:t>
      </w:r>
      <m:oMath>
        <m:r>
          <w:rPr>
            <w:rFonts w:ascii="Cambria Math" w:eastAsiaTheme="minorEastAsia" w:hAnsi="Cambria Math"/>
          </w:rPr>
          <m:t>ξ</m:t>
        </m:r>
      </m:oMath>
      <w:r w:rsidRPr="007B1E64">
        <w:rPr>
          <w:rFonts w:eastAsiaTheme="minorEastAsia"/>
        </w:rPr>
        <w:t xml:space="preserve"> (</w:t>
      </w:r>
      <w:r w:rsidRPr="007B1E64">
        <w:rPr>
          <w:rFonts w:eastAsiaTheme="minorEastAsia" w:cs="Times New Roman" w:hint="eastAsia"/>
        </w:rPr>
        <w:t>≠</w:t>
      </w:r>
      <w:r w:rsidRPr="007B1E64">
        <w:rPr>
          <w:rFonts w:eastAsiaTheme="minorEastAsia"/>
        </w:rPr>
        <w:t xml:space="preserve">0) and </w:t>
      </w:r>
      <m:oMath>
        <m:r>
          <w:rPr>
            <w:rFonts w:ascii="Cambria Math" w:eastAsiaTheme="minorEastAsia" w:hAnsi="Cambria Math"/>
          </w:rPr>
          <m:t>σ</m:t>
        </m:r>
      </m:oMath>
      <w:r w:rsidRPr="007B1E64">
        <w:rPr>
          <w:rFonts w:eastAsiaTheme="minorEastAsia"/>
        </w:rPr>
        <w:t xml:space="preserve"> (&gt;0) are the shape and scale parameter</w:t>
      </w:r>
      <w:r>
        <w:rPr>
          <w:rFonts w:eastAsiaTheme="minorEastAsia"/>
        </w:rPr>
        <w:t>s</w:t>
      </w:r>
      <w:r w:rsidRPr="007B1E64">
        <w:rPr>
          <w:rFonts w:eastAsiaTheme="minorEastAsia"/>
        </w:rPr>
        <w:t xml:space="preserve">, respectively, and </w:t>
      </w:r>
      <m:oMath>
        <m:r>
          <w:rPr>
            <w:rFonts w:ascii="Cambria Math" w:eastAsiaTheme="minorEastAsia" w:hAnsi="Cambria Math"/>
          </w:rPr>
          <m:t>μ</m:t>
        </m:r>
      </m:oMath>
      <w:r w:rsidRPr="007B1E64">
        <w:rPr>
          <w:rFonts w:eastAsiaTheme="minorEastAsia"/>
        </w:rPr>
        <w:t xml:space="preserve"> is the threshold.</w:t>
      </w:r>
      <w:r>
        <w:rPr>
          <w:rFonts w:eastAsiaTheme="minorEastAsia"/>
        </w:rPr>
        <w:t xml:space="preserve"> T</w:t>
      </w:r>
      <w:r w:rsidRPr="007B1E64">
        <w:rPr>
          <w:rFonts w:eastAsiaTheme="minorEastAsia"/>
        </w:rPr>
        <w:t xml:space="preserve">he cumulative distribution function of all skew surges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ss</m:t>
            </m:r>
          </m:sub>
        </m:sSub>
        <m:r>
          <w:rPr>
            <w:rFonts w:ascii="Cambria Math" w:eastAsiaTheme="minorEastAsia" w:hAnsi="Cambria Math"/>
          </w:rPr>
          <m:t>(x)</m:t>
        </m:r>
      </m:oMath>
      <w:r w:rsidRPr="007B1E64">
        <w:rPr>
          <w:rFonts w:eastAsiaTheme="minorEastAsia"/>
        </w:rPr>
        <w:t xml:space="preserve"> is</w:t>
      </w:r>
    </w:p>
    <w:p w14:paraId="691F5500" w14:textId="5C9D4C9E" w:rsidR="00DE5D33" w:rsidRPr="007B1E64" w:rsidRDefault="00DA15A3" w:rsidP="00DE5D33">
      <w:pPr>
        <w:ind w:firstLine="0"/>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ss</m:t>
            </m:r>
          </m:sub>
        </m:sSub>
        <m:d>
          <m:dPr>
            <m:ctrlPr>
              <w:rPr>
                <w:rFonts w:ascii="Cambria Math" w:eastAsiaTheme="minorEastAsia" w:hAnsi="Cambria Math"/>
                <w:i/>
              </w:rPr>
            </m:ctrlPr>
          </m:dPr>
          <m:e>
            <m:r>
              <w:rPr>
                <w:rFonts w:ascii="Cambria Math" w:hAnsi="Cambria Math"/>
              </w:rPr>
              <m:t>x</m:t>
            </m:r>
          </m:e>
        </m:d>
        <m:r>
          <w:rPr>
            <w:rFonts w:ascii="Cambria Math"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SS</m:t>
                    </m:r>
                  </m:sub>
                </m:sSub>
                <m:r>
                  <w:rPr>
                    <w:rFonts w:ascii="Cambria Math" w:hAnsi="Cambria Math"/>
                  </w:rPr>
                  <m:t>(x),  &amp;x&lt;μ</m:t>
                </m:r>
              </m:e>
              <m:e>
                <m:d>
                  <m:dPr>
                    <m:ctrlPr>
                      <w:rPr>
                        <w:rFonts w:ascii="Cambria Math" w:eastAsiaTheme="minorEastAsia" w:hAnsi="Cambria Math"/>
                        <w:i/>
                      </w:rPr>
                    </m:ctrlPr>
                  </m:dPr>
                  <m:e>
                    <m:r>
                      <w:rPr>
                        <w:rFonts w:ascii="Cambria Math" w:eastAsiaTheme="minorEastAsia" w:hAnsi="Cambria Math"/>
                      </w:rPr>
                      <m:t>1-0.997</m:t>
                    </m:r>
                  </m:e>
                </m:d>
                <m:r>
                  <w:rPr>
                    <w:rFonts w:ascii="Cambria Math" w:eastAsiaTheme="minorEastAsia" w:hAnsi="Cambria Math"/>
                  </w:rPr>
                  <m:t>*</m:t>
                </m:r>
                <m:sSub>
                  <m:sSubPr>
                    <m:ctrlPr>
                      <w:rPr>
                        <w:rFonts w:ascii="Cambria Math" w:hAnsi="Cambria Math"/>
                        <w:i/>
                      </w:rPr>
                    </m:ctrlPr>
                  </m:sSubPr>
                  <m:e>
                    <m:r>
                      <w:rPr>
                        <w:rFonts w:ascii="Cambria Math" w:hAnsi="Cambria Math"/>
                      </w:rPr>
                      <m:t>G</m:t>
                    </m:r>
                  </m:e>
                  <m:sub>
                    <m:r>
                      <w:rPr>
                        <w:rFonts w:ascii="Cambria Math" w:hAnsi="Cambria Math"/>
                      </w:rPr>
                      <m:t>ss</m:t>
                    </m:r>
                  </m:sub>
                </m:sSub>
                <m:d>
                  <m:dPr>
                    <m:ctrlPr>
                      <w:rPr>
                        <w:rFonts w:ascii="Cambria Math" w:hAnsi="Cambria Math"/>
                        <w:i/>
                      </w:rPr>
                    </m:ctrlPr>
                  </m:dPr>
                  <m:e>
                    <m:r>
                      <w:rPr>
                        <w:rFonts w:ascii="Cambria Math" w:hAnsi="Cambria Math"/>
                      </w:rPr>
                      <m:t>x</m:t>
                    </m:r>
                  </m:e>
                </m:d>
                <m:r>
                  <w:rPr>
                    <w:rFonts w:ascii="Cambria Math" w:hAnsi="Cambria Math"/>
                  </w:rPr>
                  <m:t xml:space="preserve"> + 0.997,  &amp;x≥μ</m:t>
                </m:r>
              </m:e>
            </m:eqArr>
          </m:e>
        </m:d>
      </m:oMath>
      <w:r w:rsidR="00DE5D33" w:rsidRPr="007B1E64">
        <w:rPr>
          <w:rFonts w:eastAsiaTheme="minorEastAsia"/>
        </w:rPr>
        <w:t xml:space="preserve"> </w:t>
      </w:r>
      <w:r w:rsidR="00DE5D33" w:rsidRPr="008A58B2">
        <w:rPr>
          <w:rFonts w:eastAsiaTheme="minorEastAsia"/>
        </w:rPr>
        <w:tab/>
      </w:r>
      <w:r w:rsidR="00DE5D33" w:rsidRPr="008A58B2">
        <w:rPr>
          <w:rFonts w:eastAsiaTheme="minorEastAsia"/>
        </w:rPr>
        <w:tab/>
      </w:r>
      <w:r w:rsidR="00DE5D33" w:rsidRPr="007B1E64">
        <w:rPr>
          <w:rFonts w:eastAsiaTheme="minorEastAsia"/>
        </w:rPr>
        <w:t xml:space="preserve"> </w:t>
      </w:r>
      <w:r w:rsidR="00DE5D33" w:rsidRPr="008A58B2">
        <w:rPr>
          <w:rFonts w:eastAsiaTheme="minorEastAsia"/>
        </w:rPr>
        <w:tab/>
      </w:r>
      <w:r w:rsidR="00DE5D33" w:rsidRPr="008A58B2">
        <w:rPr>
          <w:rFonts w:eastAsiaTheme="minorEastAsia"/>
        </w:rPr>
        <w:tab/>
      </w:r>
      <w:r w:rsidR="00DE5D33" w:rsidRPr="008A58B2">
        <w:rPr>
          <w:rFonts w:eastAsiaTheme="minorEastAsia"/>
        </w:rPr>
        <w:tab/>
      </w:r>
      <w:r w:rsidR="00DE5D33" w:rsidRPr="007B1E64">
        <w:rPr>
          <w:rFonts w:eastAsiaTheme="minorEastAsia"/>
        </w:rPr>
        <w:t xml:space="preserve">       (</w:t>
      </w:r>
      <w:r w:rsidR="0049566C">
        <w:rPr>
          <w:rFonts w:eastAsiaTheme="minorEastAsia"/>
        </w:rPr>
        <w:t>3</w:t>
      </w:r>
      <w:r w:rsidR="00DE5D33" w:rsidRPr="007B1E64">
        <w:rPr>
          <w:rFonts w:eastAsiaTheme="minorEastAsia"/>
        </w:rPr>
        <w:t>)</w:t>
      </w:r>
    </w:p>
    <w:p w14:paraId="720CCAA5" w14:textId="57CAB914" w:rsidR="00DE5D33" w:rsidRPr="008A58B2" w:rsidRDefault="00DE5D33" w:rsidP="00DE5D33">
      <w:pPr>
        <w:rPr>
          <w:rFonts w:eastAsiaTheme="minorEastAsia"/>
        </w:rPr>
      </w:pPr>
      <w:r w:rsidRPr="007B1E64">
        <w:rPr>
          <w:rFonts w:eastAsiaTheme="minorEastAsia"/>
        </w:rPr>
        <w:t xml:space="preserve">The probability distribution of </w:t>
      </w:r>
      <w:r>
        <w:rPr>
          <w:rFonts w:eastAsiaTheme="minorEastAsia"/>
        </w:rPr>
        <w:t xml:space="preserve">sea levels </w:t>
      </w:r>
      <w:r w:rsidRPr="007B1E64">
        <w:rPr>
          <w:rFonts w:eastAsiaTheme="minorEastAsia"/>
        </w:rPr>
        <w:t>(</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SL</m:t>
            </m:r>
          </m:sub>
        </m:sSub>
      </m:oMath>
      <w:r w:rsidRPr="007B1E64">
        <w:rPr>
          <w:rFonts w:eastAsiaTheme="minorEastAsia"/>
        </w:rPr>
        <w:t xml:space="preserve">) is calculated by computing the joint probability of the resulting skew surge distribution function and the </w:t>
      </w:r>
      <w:proofErr w:type="spellStart"/>
      <w:r>
        <w:rPr>
          <w:rFonts w:eastAsiaTheme="minorEastAsia"/>
        </w:rPr>
        <w:t>ATNodal</w:t>
      </w:r>
      <w:proofErr w:type="spellEnd"/>
      <w:r w:rsidRPr="007B1E64">
        <w:rPr>
          <w:rFonts w:eastAsiaTheme="minorEastAsia"/>
        </w:rPr>
        <w:t>. Thus, we assume that the skew surge is independent of the tidal cycle, which</w:t>
      </w:r>
      <w:r w:rsidR="00C62E05">
        <w:rPr>
          <w:rFonts w:eastAsiaTheme="minorEastAsia"/>
        </w:rPr>
        <w:t xml:space="preserve"> has been shown to be </w:t>
      </w:r>
      <w:r w:rsidR="006939B4">
        <w:rPr>
          <w:rFonts w:eastAsiaTheme="minorEastAsia"/>
        </w:rPr>
        <w:t>statistically supported at</w:t>
      </w:r>
      <w:r w:rsidR="00C62E05">
        <w:rPr>
          <w:rFonts w:eastAsiaTheme="minorEastAsia"/>
        </w:rPr>
        <w:t xml:space="preserve"> most (though not all)</w:t>
      </w:r>
      <w:r w:rsidRPr="008A58B2">
        <w:rPr>
          <w:rFonts w:eastAsiaTheme="minorEastAsia"/>
        </w:rPr>
        <w:t xml:space="preserve"> coastal locations in past studies </w:t>
      </w:r>
      <w:r w:rsidRPr="008A58B2">
        <w:rPr>
          <w:rFonts w:eastAsiaTheme="minorEastAsia"/>
        </w:rPr>
        <w:fldChar w:fldCharType="begin" w:fldLock="1"/>
      </w:r>
      <w:r>
        <w:rPr>
          <w:rFonts w:eastAsiaTheme="minorEastAsia"/>
        </w:rPr>
        <w:instrText>ADDIN CSL_CITATION {"citationItems":[{"id":"ITEM-1","itemData":{"DOI":"10.1016/j.oceaneng.2013.02.003","ISSN":"00298018","abstract":"The impacts of storm surges represent an increasing risk to the world's coastlines. Coastal planners require accurate estimates of flood risk in order to provide suitable defensive measures. Therefore a reliable methodology is required for the estimation of extreme sea-level probabilities at high spatial resolution along coastlines. This paper describes a new method for estimating these probabilities, with application to the UK coastline. The method consists of two components: the estimation of extreme sea-levels by applying a newly developed statistical method, termed the Skew Surge Joint Probability Method, with tide gauge records, and the use of hindcast sea-levels to dynamically interpolate these estimates around complex coastlines. The skew surge parameter is a more reliable indicator of meteorological impacts on sea-level than the non-tidal residual used in the Revised Joint Probability Method, as previously used in the United Kingdom. The method has been applied to the UK coastline to provide a database of extreme sea-level probabilities for the Environment Agency for England and Wales and the Scottish Environment Protection Agency. The database will be used to inform coastal defense strategy, flood mapping and forecasting and to support policy, implementation and operational decision-making. © 2013 Elsevier Ltd. All rights reserved.","author":[{"dropping-particle":"","family":"Batstone","given":"Crispian","non-dropping-particle":"","parse-names":false,"suffix":""},{"dropping-particle":"","family":"Lawless","given":"Mark","non-dropping-particle":"","parse-names":false,"suffix":""},{"dropping-particle":"","family":"Tawn","given":"Jonathan","non-dropping-particle":"","parse-names":false,"suffix":""},{"dropping-particle":"","family":"Horsburgh","given":"Kevin","non-dropping-particle":"","parse-names":false,"suffix":""},{"dropping-particle":"","family":"Blackman","given":"David","non-dropping-particle":"","parse-names":false,"suffix":""},{"dropping-particle":"","family":"McMillan","given":"Alastair","non-dropping-particle":"","parse-names":false,"suffix":""},{"dropping-particle":"","family":"Worth","given":"David","non-dropping-particle":"","parse-names":false,"suffix":""},{"dropping-particle":"","family":"Laeger","given":"Stefan","non-dropping-particle":"","parse-names":false,"suffix":""},{"dropping-particle":"","family":"Hunt","given":"Tim","non-dropping-particle":"","parse-names":false,"suffix":""}],"container-title":"Ocean Engineering","id":"ITEM-1","issued":{"date-parts":[["2013"]]},"page":"28-39","publisher":"Elsevier","title":"A UK best-practice approach for extreme sea-level analysis along complex topographic coastlines","type":"article-journal","volume":"71"},"uris":["http://www.mendeley.com/documents/?uuid=15ab3c56-116b-441c-8709-7f389403000e"]},{"id":"ITEM-2","itemData":{"DOI":"10.1029/2020JC016291","ISSN":"21699291","abstract":"Astronomical variations in tidal magnitude can strongly modulate the severity of coastal flooding on daily, monthly, and interannual timescales. Here we present a new quasi-nonstationary skew surge joint probability method (qn-SSJPM) that estimates interannual fluctuations in flood hazard caused by the 18.6- and quasi 4.4-year modulations of tides. We demonstrate that qn-SSJPM-derived storm tide frequency estimates are more precise and stable compared with the standard practice of fitting an extreme value distribution to measured storm tides, which is often biased by the largest few events within the observational period. Applying the qn-SSJPM in the Gulf of Maine, we find significant tidal forcing of winter storm season flood hazard by the 18.6-year nodal cycle, whereas 4.4-year modulations and a secular trend in tides are small compared to interannual variation and long-term trends in sea-level. The nodal cycle forces decadal oscillations in the 1% annual chance storm tide at an average rate of ±13.5 mm/year in Eastport, ME; ±4.0 mm/year in Portland, ME; and ±5.9 mm/year in Boston, MA. Currently (in 2020), nodal forcing is counteracting the sea-level rise-induced increase in flood hazard; however, in 2025, the nodal cycle will reach a minimum and then begin to accelerate flood hazard increase as it moves toward its maximum phase over the subsequent decade. Along the world's meso-to-macrotidal coastlines, it is therefore critical to consider both sea-level rise and tidal nonstationarity in planning for the transition to chronic flooding that will be driven by sea-level rise in many regions over the next century.","author":[{"dropping-particle":"","family":"Baranes","given":"H. E.","non-dropping-particle":"","parse-names":false,"suffix":""},{"dropping-particle":"","family":"Woodruff","given":"J. D.","non-dropping-particle":"","parse-names":false,"suffix":""},{"dropping-particle":"","family":"Talke","given":"S. A.","non-dropping-particle":"","parse-names":false,"suffix":""},{"dropping-particle":"","family":"Kopp","given":"R. E.","non-dropping-particle":"","parse-names":false,"suffix":""},{"dropping-particle":"","family":"Ray","given":"R. D.","non-dropping-particle":"","parse-names":false,"suffix":""},{"dropping-particle":"","family":"DeConto","given":"R. M.","non-dropping-particle":"","parse-names":false,"suffix":""}],"container-title":"Journal of Geophysical Research: Oceans","id":"ITEM-2","issue":"10","issued":{"date-parts":[["2020"]]},"title":"Tidally Driven Interannual Variation in Extreme Sea Level Frequencies in the Gulf of Maine","type":"article-journal","volume":"125"},"uris":["http://www.mendeley.com/documents/?uuid=fc45af6f-0a1d-4fec-a7c4-6ace4fe4871a"]},{"id":"ITEM-3","itemData":{"DOI":"10.1029/2018JC014282","ISSN":"21699291","abstract":"Based on previous studies of tide-gauge records from locations with semidiurnal tidal regimes, extreme skew surges are always assumed independent of the high water (HW). However, differences in water depth between HW peaks of semidiurnal tidal regimes can be much lower than those in mixed semidiurnal regimes, where one daily HW is higher than the other. We statistically analyze tide-gauge records of 15 sites worldwide with a mixed semidiurnal regime and find that for approximately half of these sites extreme skew surges occur more often during smaller HWs. This dependence is not caused by seasonality effects, and the places that show dependence are all located in areas with a shallow continental shelf, thus indicating possible tide-skew surge interactions. In those cases where dependence exists, using the skew surge does not seem to offer any advantages over the nontidal residual.","author":[{"dropping-particle":"","family":"Santamaria-Aguilar","given":"S.","non-dropping-particle":"","parse-names":false,"suffix":""},{"dropping-particle":"","family":"Vafeidis","given":"A. T.","non-dropping-particle":"","parse-names":false,"suffix":""}],"container-title":"Journal of Geophysical Research: Oceans","id":"ITEM-3","issue":"12","issued":{"date-parts":[["2018"]]},"page":"8877-8886","title":"Are Extreme Skew Surges Independent of High Water Levels in a Mixed Semidiurnal Tidal Regime?","type":"article-journal","volume":"123"},"uris":["http://www.mendeley.com/documents/?uuid=4159a975-c04f-4566-a316-72ca65f7f47d"]},{"id":"ITEM-4","itemData":{"DOI":"10.1002/2016GL069522","ISSN":"19448007","abstract":"Storm surges are a significant hazard to coastal communities around the world, putting lives at risk and costing billions of dollars in damage. Understanding how storm surges and high tides interact is crucial for estimating extreme water levels so that we can protect coastal communities. We demonstrate that in a tidal regime the best measure of a storm surge is the skew surge, the difference between the observed and predicted high water within a tidal cycle. Based on tide gauge records spanning decades from the UK, U.S., Netherlands, and Ireland we show that the magnitude of high water exerts no influence on the size of the most extreme skew surges. This is the first systematic proof that any storm surge can occur on any tide, which is essential for understanding worst-case scenarios. The lack of surge generation dependency on water depth emphasizes the dominant natural variability of weather systems in an observation-based analysis. Weak seasonal relationships between skew surges and high waters were identified at a minority of locations where long-period changes to the tidal cycle interact with the s</w:instrText>
      </w:r>
      <w:r w:rsidRPr="00CD2D39">
        <w:rPr>
          <w:rFonts w:eastAsiaTheme="minorEastAsia"/>
          <w:lang w:val="es-ES"/>
        </w:rPr>
        <w:instrText>torm season. Our results allow advances to be made in methods for estimating the joint probabilities of storm surges and tides.","author":[{"dropping-particle":"","family":"Williams","given":"Joanne","non-dropping-particle":"","parse-names":false,"suffix":""},{"dropping-particle":"","family":"Horsburgh","given":"Kevin J.","non-dropping-particle":"","parse-names":false,"suffix":""},{"dropping-particle":"","family":"Williams","given":"Jane A.","non-dropping-particle":"","parse-names":false,"suffix":""},{"dropping-particle":"","family":"Proctor","given":"Robert N.F.","non-dropping-particle":"","parse-names":false,"suffix":""}],"container-title":"Geophysical Research Letters","id":"ITEM-4","issue":"12","issued":{"date-parts":[["2016"]]},"page":"6410-6417","title":"Tide and skew surge independence: New insights for flood risk","type":"article-journal","volume":"43"},"uris":["http://www.mendeley.com/documents/?uuid=ef2c560c-12ae-43df-872a-f20953dc6a46"]}],"mendeley":{"formattedCitation":"(Baranes et al., 2020; Batstone et al., 2013; Santamaria-Aguilar &amp; Vafeidis, 2018; Williams et al., 2016)","plainTextFormattedCitation":"(Baranes et al., 2020; Batstone et al., 2013; Santamaria-Aguilar &amp; Vafeidis, 2018; Williams et al., 2016)","previouslyFormattedCitation":"(Baranes et al., 2020; Batstone et al., 2013; Santamaria-Aguilar &amp; Vafeidis, 2018; Williams et al., 2016)"},"properties":{"noteIndex":0},"schema":"https://github.com/citation-style-language/schema/raw/master/csl-citation.json"}</w:instrText>
      </w:r>
      <w:r w:rsidRPr="008A58B2">
        <w:rPr>
          <w:rFonts w:eastAsiaTheme="minorEastAsia"/>
        </w:rPr>
        <w:fldChar w:fldCharType="separate"/>
      </w:r>
      <w:r w:rsidRPr="00CD2D39">
        <w:rPr>
          <w:rFonts w:eastAsiaTheme="minorEastAsia"/>
          <w:noProof/>
          <w:lang w:val="es-ES"/>
        </w:rPr>
        <w:t>(Baranes et al., 2020; Batstone et al., 2013; Santamaria-Aguilar &amp; Vafeidis, 2018; Williams et al., 2016)</w:t>
      </w:r>
      <w:r w:rsidRPr="008A58B2">
        <w:rPr>
          <w:rFonts w:eastAsiaTheme="minorEastAsia"/>
        </w:rPr>
        <w:fldChar w:fldCharType="end"/>
      </w:r>
      <w:r w:rsidRPr="00CD2D39">
        <w:rPr>
          <w:rFonts w:eastAsiaTheme="minorEastAsia"/>
          <w:lang w:val="es-ES"/>
        </w:rPr>
        <w:t xml:space="preserve">. </w:t>
      </w:r>
      <w:r w:rsidRPr="008A58B2">
        <w:rPr>
          <w:rFonts w:eastAsiaTheme="minorEastAsia"/>
        </w:rPr>
        <w:t xml:space="preserve">The distribution function for the </w:t>
      </w:r>
      <w:r>
        <w:rPr>
          <w:rFonts w:eastAsiaTheme="minorEastAsia"/>
        </w:rPr>
        <w:t xml:space="preserve">maximum sea level within </w:t>
      </w:r>
      <w:r w:rsidRPr="008A58B2">
        <w:rPr>
          <w:rFonts w:eastAsiaTheme="minorEastAsia"/>
        </w:rPr>
        <w:t>a tidal cycle is,</w:t>
      </w:r>
    </w:p>
    <w:p w14:paraId="6FC7207D" w14:textId="0EDF36E5" w:rsidR="00DE5D33" w:rsidRPr="008A58B2" w:rsidRDefault="00DA15A3" w:rsidP="00DE5D33">
      <w:pPr>
        <w:ind w:firstLine="0"/>
        <w:rPr>
          <w:rFonts w:eastAsiaTheme="minorEastAsia"/>
        </w:rPr>
      </w:pP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SL</m:t>
            </m:r>
          </m:sub>
        </m:sSub>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 xml:space="preserve">= </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sSubSup>
                  <m:sSubSupPr>
                    <m:ctrlPr>
                      <w:rPr>
                        <w:rFonts w:ascii="Cambria Math" w:eastAsiaTheme="minorEastAsia" w:hAnsi="Cambria Math"/>
                      </w:rPr>
                    </m:ctrlPr>
                  </m:sSubSupPr>
                  <m:e>
                    <m:r>
                      <m:rPr>
                        <m:sty m:val="p"/>
                      </m:rPr>
                      <w:rPr>
                        <w:rFonts w:ascii="Cambria Math" w:eastAsiaTheme="minorEastAsia" w:hAnsi="Cambria Math"/>
                      </w:rPr>
                      <m:t>Π</m:t>
                    </m:r>
                  </m:e>
                  <m:sub>
                    <m:r>
                      <w:rPr>
                        <w:rFonts w:ascii="Cambria Math" w:eastAsiaTheme="minorEastAsia" w:hAnsi="Cambria Math"/>
                      </w:rPr>
                      <m:t>t=1</m:t>
                    </m:r>
                  </m:sub>
                  <m:sup>
                    <m:r>
                      <w:rPr>
                        <w:rFonts w:ascii="Cambria Math" w:eastAsiaTheme="minorEastAsia" w:hAnsi="Cambria Math"/>
                      </w:rPr>
                      <m:t>M</m:t>
                    </m:r>
                  </m:sup>
                </m:sSubSup>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SS</m:t>
                    </m:r>
                  </m:sub>
                </m:sSub>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r>
                  <w:rPr>
                    <w:rFonts w:ascii="Cambria Math" w:eastAsiaTheme="minorEastAsia" w:hAnsi="Cambria Math"/>
                  </w:rPr>
                  <m:t>)</m:t>
                </m:r>
              </m:e>
            </m:d>
          </m:e>
          <m:sup>
            <m:r>
              <w:rPr>
                <w:rFonts w:ascii="Cambria Math" w:eastAsiaTheme="minorEastAsia" w:hAnsi="Cambria Math"/>
              </w:rPr>
              <m:t>1/M</m:t>
            </m:r>
          </m:sup>
        </m:sSup>
      </m:oMath>
      <w:r w:rsidR="00DE5D33" w:rsidRPr="008A58B2">
        <w:rPr>
          <w:rFonts w:eastAsiaTheme="minorEastAsia"/>
        </w:rPr>
        <w:t xml:space="preserve">                                                                      </w:t>
      </w:r>
      <w:r w:rsidR="00720518">
        <w:rPr>
          <w:rFonts w:eastAsiaTheme="minorEastAsia"/>
        </w:rPr>
        <w:t xml:space="preserve">      </w:t>
      </w:r>
      <w:r w:rsidR="00720518">
        <w:rPr>
          <w:rFonts w:eastAsiaTheme="minorEastAsia"/>
        </w:rPr>
        <w:tab/>
        <w:t xml:space="preserve">     </w:t>
      </w:r>
      <w:r w:rsidR="00C779E8">
        <w:rPr>
          <w:rFonts w:eastAsiaTheme="minorEastAsia"/>
        </w:rPr>
        <w:t xml:space="preserve">  </w:t>
      </w:r>
      <w:r w:rsidR="00DE5D33" w:rsidRPr="008A58B2">
        <w:rPr>
          <w:rFonts w:eastAsiaTheme="minorEastAsia"/>
        </w:rPr>
        <w:t>(</w:t>
      </w:r>
      <w:r w:rsidR="0049566C">
        <w:rPr>
          <w:rFonts w:eastAsiaTheme="minorEastAsia"/>
        </w:rPr>
        <w:t>4</w:t>
      </w:r>
      <w:r w:rsidR="00DE5D33" w:rsidRPr="008A58B2">
        <w:rPr>
          <w:rFonts w:eastAsiaTheme="minorEastAsia"/>
        </w:rPr>
        <w:t>)</w:t>
      </w:r>
    </w:p>
    <w:p w14:paraId="453641B0" w14:textId="77777777" w:rsidR="00DE5D33" w:rsidRPr="008A58B2" w:rsidRDefault="00DE5D33" w:rsidP="00DE5D33">
      <w:pPr>
        <w:ind w:firstLine="0"/>
        <w:rPr>
          <w:rFonts w:eastAsiaTheme="minorEastAsia"/>
        </w:rPr>
      </w:pPr>
      <w:r>
        <w:rPr>
          <w:rFonts w:eastAsiaTheme="minorEastAsia"/>
        </w:rPr>
        <w:t>w</w:t>
      </w:r>
      <w:r w:rsidRPr="008A58B2">
        <w:rPr>
          <w:rFonts w:eastAsiaTheme="minorEastAsia"/>
        </w:rPr>
        <w:t xml:space="preserve">here </w:t>
      </w:r>
      <m:oMath>
        <m:r>
          <w:rPr>
            <w:rFonts w:ascii="Cambria Math" w:eastAsiaTheme="minorEastAsia" w:hAnsi="Cambria Math"/>
          </w:rPr>
          <m:t>z</m:t>
        </m:r>
      </m:oMath>
      <w:r w:rsidRPr="008A58B2">
        <w:rPr>
          <w:rFonts w:eastAsiaTheme="minorEastAsia"/>
        </w:rPr>
        <w:t xml:space="preserve"> is </w:t>
      </w:r>
      <w:r>
        <w:rPr>
          <w:rFonts w:eastAsiaTheme="minorEastAsia"/>
        </w:rPr>
        <w:t>the sea level</w:t>
      </w:r>
      <w:r w:rsidRPr="008A58B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oMath>
      <w:r w:rsidRPr="008A58B2">
        <w:rPr>
          <w:rFonts w:eastAsiaTheme="minorEastAsia"/>
        </w:rPr>
        <w:t xml:space="preserve"> is the peak astronomical tide level at each cycle </w:t>
      </w:r>
      <m:oMath>
        <m:r>
          <w:rPr>
            <w:rFonts w:ascii="Cambria Math" w:eastAsiaTheme="minorEastAsia" w:hAnsi="Cambria Math"/>
          </w:rPr>
          <m:t>t</m:t>
        </m:r>
      </m:oMath>
      <w:r w:rsidRPr="008A58B2">
        <w:rPr>
          <w:rFonts w:eastAsiaTheme="minorEastAsia"/>
        </w:rPr>
        <w:t xml:space="preserve">, </w:t>
      </w:r>
      <m:oMath>
        <m:r>
          <w:rPr>
            <w:rFonts w:ascii="Cambria Math" w:eastAsiaTheme="minorEastAsia" w:hAnsi="Cambria Math"/>
          </w:rPr>
          <m:t>M</m:t>
        </m:r>
      </m:oMath>
      <w:r w:rsidRPr="008A58B2">
        <w:rPr>
          <w:rFonts w:eastAsiaTheme="minorEastAsia"/>
        </w:rPr>
        <w:t xml:space="preserve"> is the total number of peak astronomical tide levels, and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SS</m:t>
            </m:r>
          </m:sub>
        </m:sSub>
      </m:oMath>
      <w:r w:rsidRPr="008A58B2">
        <w:rPr>
          <w:rFonts w:eastAsiaTheme="minorEastAsia"/>
        </w:rPr>
        <w:t xml:space="preserve"> is the cumulative distribution function of all skew surges. </w:t>
      </w:r>
      <w:r>
        <w:rPr>
          <w:rFonts w:eastAsiaTheme="minorEastAsia"/>
        </w:rPr>
        <w:t>Tides are convolved with 1,000 skew surge GPDs and the 50</w:t>
      </w:r>
      <w:r w:rsidRPr="00650996">
        <w:rPr>
          <w:rFonts w:eastAsiaTheme="minorEastAsia"/>
          <w:vertAlign w:val="superscript"/>
        </w:rPr>
        <w:t>th</w:t>
      </w:r>
      <w:r>
        <w:rPr>
          <w:rFonts w:eastAsiaTheme="minorEastAsia"/>
        </w:rPr>
        <w:t xml:space="preserve"> quantile of the resulting 1,000 sea levels are used to calculate the annual exceedances. </w:t>
      </w:r>
    </w:p>
    <w:p w14:paraId="4D82D487" w14:textId="696858A7" w:rsidR="00DE5D33" w:rsidRPr="008A58B2" w:rsidRDefault="00DE5D33" w:rsidP="00DE5D33">
      <w:pPr>
        <w:rPr>
          <w:rFonts w:eastAsiaTheme="minorEastAsia"/>
        </w:rPr>
      </w:pPr>
      <w:r w:rsidRPr="008A58B2">
        <w:rPr>
          <w:rFonts w:eastAsiaTheme="minorEastAsia"/>
        </w:rPr>
        <w:t>To satisfy the assumption of independence between extreme s</w:t>
      </w:r>
      <w:r>
        <w:rPr>
          <w:rFonts w:eastAsiaTheme="minorEastAsia"/>
        </w:rPr>
        <w:t>ea</w:t>
      </w:r>
      <w:r w:rsidR="000B217B">
        <w:rPr>
          <w:rFonts w:eastAsiaTheme="minorEastAsia"/>
        </w:rPr>
        <w:t>-</w:t>
      </w:r>
      <w:r>
        <w:rPr>
          <w:rFonts w:eastAsiaTheme="minorEastAsia"/>
        </w:rPr>
        <w:t xml:space="preserve">level </w:t>
      </w:r>
      <w:r w:rsidRPr="008A58B2">
        <w:rPr>
          <w:rFonts w:eastAsiaTheme="minorEastAsia"/>
        </w:rPr>
        <w:t>events, we apply the extremal index (</w:t>
      </w:r>
      <m:oMath>
        <m:r>
          <w:rPr>
            <w:rFonts w:ascii="Cambria Math" w:eastAsiaTheme="minorEastAsia" w:hAnsi="Cambria Math"/>
          </w:rPr>
          <m:t>θ(z)</m:t>
        </m:r>
      </m:oMath>
      <w:r w:rsidRPr="008A58B2">
        <w:rPr>
          <w:rFonts w:eastAsiaTheme="minorEastAsia"/>
        </w:rPr>
        <w:t xml:space="preserve">) to each </w:t>
      </w:r>
      <w:r>
        <w:rPr>
          <w:rFonts w:eastAsiaTheme="minorEastAsia"/>
        </w:rPr>
        <w:t xml:space="preserve">sea level </w:t>
      </w:r>
      <w:r w:rsidRPr="008A58B2">
        <w:rPr>
          <w:rFonts w:eastAsiaTheme="minorEastAsia"/>
        </w:rPr>
        <w:t xml:space="preserve">time series, thus removing the possible clustering of high </w:t>
      </w:r>
      <w:r>
        <w:rPr>
          <w:rFonts w:eastAsiaTheme="minorEastAsia"/>
        </w:rPr>
        <w:t xml:space="preserve">sea levels </w:t>
      </w:r>
      <w:r w:rsidRPr="008A58B2">
        <w:rPr>
          <w:rFonts w:eastAsiaTheme="minorEastAsia"/>
        </w:rPr>
        <w:t xml:space="preserve">corresponding to a single extreme event. As pointed out in </w:t>
      </w:r>
      <w:r w:rsidRPr="008A58B2">
        <w:rPr>
          <w:rFonts w:eastAsiaTheme="minorEastAsia"/>
        </w:rPr>
        <w:fldChar w:fldCharType="begin" w:fldLock="1"/>
      </w:r>
      <w:r>
        <w:rPr>
          <w:rFonts w:eastAsiaTheme="minorEastAsia"/>
        </w:rPr>
        <w:instrText>ADDIN CSL_CITATION {"citationItems":[{"id":"ITEM-1","itemData":{"DOI":"10.1016/j.oceaneng.2013.02.003","ISSN":"00298018","abstract":"The impacts of storm surges represent an increasing risk to the world's coastlines. Coastal planners require accurate estimates of flood risk in order to provide suitable defensive measures. Therefore a reliable methodology is required for the estimation of extreme sea-level probabilities at high spatial resolution along coastlines. This paper describes a new method for estimating these probabilities, with application to the UK coastline. The method consists of two components: the estimation of extreme sea-levels by applying a newly developed statistical method, termed the Skew Surge Joint Probability Method, with tide gauge records, and the use of hindcast sea-levels to dynamically interpolate these estimates around complex coastlines. The skew surge parameter is a more reliable indicator of meteorological impacts on sea-level than the non-tidal residual used in the Revised Joint Probability Method, as previously used in the United Kingdom. The method has been applied to the UK coastline to provide a database of extreme sea-level probabilities for the Environment Agency for England and Wales and the Scottish Environment Protection Agency. The database will be used to inform coastal defense strategy, flood mapping and forecasting and to support policy, implementation and operational decision-making. © 2013 Elsevier Ltd. All rights reserved.","author":[{"dropping-particle":"","family":"Batstone","given":"Crispian","non-dropping-particle":"","parse-names":false,"suffix":""},{"dropping-particle":"","family":"Lawless","given":"Mark","non-dropping-particle":"","parse-names":false,"suffix":""},{"dropping-particle":"","family":"Tawn","given":"Jonathan","non-dropping-particle":"","parse-names":false,"suffix":""},{"dropping-particle":"","family":"Horsburgh","given":"Kevin","non-dropping-particle":"","parse-names":false,"suffix":""},{"dropping-particle":"","family":"Blackman","given":"David","non-dropping-particle":"","parse-names":false,"suffix":""},{"dropping-particle":"","family":"McMillan","given":"Alastair","non-dropping-particle":"","parse-names":false,"suffix":""},{"dropping-particle":"","family":"Worth","given":"David","non-dropping-particle":"","parse-names":false,"suffix":""},{"dropping-particle":"","family":"Laeger","given":"Stefan","non-dropping-particle":"","parse-names":false,"suffix":""},{"dropping-particle":"","family":"Hunt","given":"Tim","non-dropping-particle":"","parse-names":false,"suffix":""}],"container-title":"Ocean Engineering","id":"ITEM-1","issued":{"date-parts":[["2013"]]},"page":"28-39","publisher":"Elsevier","title":"A UK best-practice approach for extreme sea-level analysis along complex topographic coastlines","type":"article-journal","volume":"71"},"uris":["http://www.mendeley.com/documents/?uuid=15ab3c56-116b-441c-8709-7f389403000e"]}],"mendeley":{"formattedCitation":"(Batstone et al., 2013)","manualFormatting":"Batstone et al. (2013)","plainTextFormattedCitation":"(Batstone et al., 2013)","previouslyFormattedCitation":"(Batstone et al., 2013)"},"properties":{"noteIndex":0},"schema":"https://github.com/citation-style-language/schema/raw/master/csl-citation.json"}</w:instrText>
      </w:r>
      <w:r w:rsidRPr="008A58B2">
        <w:rPr>
          <w:rFonts w:eastAsiaTheme="minorEastAsia"/>
        </w:rPr>
        <w:fldChar w:fldCharType="separate"/>
      </w:r>
      <w:r w:rsidRPr="008A58B2">
        <w:rPr>
          <w:rFonts w:eastAsiaTheme="minorEastAsia"/>
          <w:noProof/>
        </w:rPr>
        <w:t xml:space="preserve">Batstone et al. </w:t>
      </w:r>
      <w:r>
        <w:rPr>
          <w:rFonts w:eastAsiaTheme="minorEastAsia"/>
          <w:noProof/>
        </w:rPr>
        <w:t>(</w:t>
      </w:r>
      <w:r w:rsidRPr="008A58B2">
        <w:rPr>
          <w:rFonts w:eastAsiaTheme="minorEastAsia"/>
          <w:noProof/>
        </w:rPr>
        <w:t>2013)</w:t>
      </w:r>
      <w:r w:rsidRPr="008A58B2">
        <w:rPr>
          <w:rFonts w:eastAsiaTheme="minorEastAsia"/>
        </w:rPr>
        <w:fldChar w:fldCharType="end"/>
      </w:r>
      <w:r w:rsidRPr="008A58B2">
        <w:rPr>
          <w:rFonts w:eastAsiaTheme="minorEastAsia"/>
        </w:rPr>
        <w:t xml:space="preserve">, if this dependence between high </w:t>
      </w:r>
      <w:r>
        <w:rPr>
          <w:rFonts w:eastAsiaTheme="minorEastAsia"/>
        </w:rPr>
        <w:t xml:space="preserve">sea levels </w:t>
      </w:r>
      <w:r w:rsidRPr="008A58B2">
        <w:rPr>
          <w:rFonts w:eastAsiaTheme="minorEastAsia"/>
        </w:rPr>
        <w:t xml:space="preserve">is not accounted for, the return period of extreme events could be overestimated. Following </w:t>
      </w:r>
      <w:r w:rsidRPr="008A58B2">
        <w:rPr>
          <w:rFonts w:eastAsiaTheme="minorEastAsia"/>
        </w:rPr>
        <w:fldChar w:fldCharType="begin" w:fldLock="1"/>
      </w:r>
      <w:r>
        <w:rPr>
          <w:rFonts w:eastAsiaTheme="minorEastAsia"/>
        </w:rPr>
        <w:instrText>ADDIN CSL_CITATION {"citationItems":[{"id":"ITEM-1","itemData":{"author":[{"dropping-particle":"","family":"Ferro","given":"A. T. Christopher","non-dropping-particle":"","parse-names":false,"suffix":""},{"dropping-particle":"","family":"Segers","given":"Johan","non-dropping-particle":"","parse-names":false,"suffix":""}],"container-title":"Royal Statistical Society","id":"ITEM-1","issue":"2","issued":{"date-parts":[["2003"]]},"page":"545-556","title":"Inference for Clusters of Extreme Values","type":"article-journal","volume":"65"},"uris":["http://www.mendeley.com/documents/?uuid=d85b0e62-52c1-4ab5-9922-f660cb0424ad"]}],"mendeley":{"formattedCitation":"(Ferro &amp; Segers, 2003)","manualFormatting":"Ferro and Segers (2003)","plainTextFormattedCitation":"(Ferro &amp; Segers, 2003)","previouslyFormattedCitation":"(Ferro &amp; Segers, 2003)"},"properties":{"noteIndex":0},"schema":"https://github.com/citation-style-language/schema/raw/master/csl-citation.json"}</w:instrText>
      </w:r>
      <w:r w:rsidRPr="008A58B2">
        <w:rPr>
          <w:rFonts w:eastAsiaTheme="minorEastAsia"/>
        </w:rPr>
        <w:fldChar w:fldCharType="separate"/>
      </w:r>
      <w:r w:rsidRPr="008A58B2">
        <w:rPr>
          <w:rFonts w:eastAsiaTheme="minorEastAsia"/>
          <w:noProof/>
        </w:rPr>
        <w:t xml:space="preserve">Ferro and Segers </w:t>
      </w:r>
      <w:r>
        <w:rPr>
          <w:rFonts w:eastAsiaTheme="minorEastAsia"/>
          <w:noProof/>
        </w:rPr>
        <w:t>(</w:t>
      </w:r>
      <w:r w:rsidRPr="008A58B2">
        <w:rPr>
          <w:rFonts w:eastAsiaTheme="minorEastAsia"/>
          <w:noProof/>
        </w:rPr>
        <w:t>2003)</w:t>
      </w:r>
      <w:r w:rsidRPr="008A58B2">
        <w:rPr>
          <w:rFonts w:eastAsiaTheme="minorEastAsia"/>
        </w:rPr>
        <w:fldChar w:fldCharType="end"/>
      </w:r>
      <w:r w:rsidRPr="008A58B2">
        <w:rPr>
          <w:rFonts w:eastAsiaTheme="minorEastAsia"/>
        </w:rPr>
        <w:t xml:space="preserve"> and </w:t>
      </w:r>
      <w:r w:rsidRPr="008A58B2">
        <w:rPr>
          <w:rFonts w:eastAsiaTheme="minorEastAsia"/>
        </w:rPr>
        <w:fldChar w:fldCharType="begin" w:fldLock="1"/>
      </w:r>
      <w:r>
        <w:rPr>
          <w:rFonts w:eastAsiaTheme="minorEastAsia"/>
        </w:rPr>
        <w:instrText>ADDIN CSL_CITATION {"citationItems":[{"id":"ITEM-1","itemData":{"DOI":"10.1029/2020JC016291","ISSN":"21699291","abstract":"Astronomical variations in tidal magnitude can strongly modulate the severity of coastal flooding on daily, monthly, and interannual timescales. Here we present a new quasi-nonstationary skew surge joint probability method (qn-SSJPM) that estimates interannual fluctuations in flood hazard caused by the 18.6- and quasi 4.4-year modulations of tides. We demonstrate that qn-SSJPM-derived storm tide frequency estimates are more precise and stable compared with the standard practice of fitting an extreme value distribution to measured storm tides, which is often biased by the largest few events within the observational period. Applying the qn-SSJPM in the Gulf of Maine, we find significant tidal forcing of winter storm season flood hazard by the 18.6-year nodal cycle, whereas 4.4-year modulations and a secular trend in tides are small compared to interannual variation and long-term trends in sea-level. The nodal cycle forces decadal oscillations in the 1% annual chance storm tide at an average rate of ±13.5 mm/year in Eastport, ME; ±4.0 mm/year in Portland, ME; and ±5.9 mm/year in Boston, MA. Currently (in 2020), nodal forcing is counteracting the sea-level rise-induced increase in flood hazard; however, in 2025, the nodal cycle will reach a minimum and then begin to accelerate flood hazard increase as it moves toward its maximum phase over the subsequent decade. Along the world's meso-to-macrotidal coastlines, it is therefore critical to consider both sea-level rise and tidal nonstationarity in planning for the transition to chronic flooding that will be driven by sea-level rise in many regions over the next century.","author":[{"dropping-particle":"","family":"Baranes","given":"H. E.","non-dropping-particle":"","parse-names":false,"suffix":""},{"dropping-particle":"","family":"Woodruff","given":"J. D.","non-dropping-particle":"","parse-names":false,"suffix":""},{"dropping-particle":"","family":"Talke","given":"S. A.","non-dropping-particle":"","parse-names":false,"suffix":""},{"dropping-particle":"","family":"Kopp","given":"R. E.","non-dropping-particle":"","parse-names":false,"suffix":""},{"dropping-particle":"","family":"Ray","given":"R. D.","non-dropping-particle":"","parse-names":false,"suffix":""},{"dropping-particle":"","family":"DeConto","given":"R. M.","non-dropping-particle":"","parse-names":false,"suffix":""}],"container-title":"Journal of Geophysical Research: Oceans","id":"ITEM-1","issue":"10","issued":{"date-parts":[["2020"]]},"title":"Tidally Driven Interannual Variation in Extreme Sea Level Frequencies in the Gulf of Maine","type":"article-journal","volume":"125"},"uris":["http://www.mendeley.com/documents/?uuid=fc45af6f-0a1d-4fec-a7c4-6ace4fe4871a"]}],"mendeley":{"formattedCitation":"(Baranes et al., 2020)","manualFormatting":"Baranes et al. (2020)","plainTextFormattedCitation":"(Baranes et al., 2020)","previouslyFormattedCitation":"(Baranes et al., 2020)"},"properties":{"noteIndex":0},"schema":"https://github.com/citation-style-language/schema/raw/master/csl-citation.json"}</w:instrText>
      </w:r>
      <w:r w:rsidRPr="008A58B2">
        <w:rPr>
          <w:rFonts w:eastAsiaTheme="minorEastAsia"/>
        </w:rPr>
        <w:fldChar w:fldCharType="separate"/>
      </w:r>
      <w:r w:rsidRPr="008A58B2">
        <w:rPr>
          <w:rFonts w:eastAsiaTheme="minorEastAsia"/>
          <w:noProof/>
        </w:rPr>
        <w:t xml:space="preserve">Baranes et al. </w:t>
      </w:r>
      <w:r>
        <w:rPr>
          <w:rFonts w:eastAsiaTheme="minorEastAsia"/>
          <w:noProof/>
        </w:rPr>
        <w:t>(</w:t>
      </w:r>
      <w:r w:rsidRPr="008A58B2">
        <w:rPr>
          <w:rFonts w:eastAsiaTheme="minorEastAsia"/>
          <w:noProof/>
        </w:rPr>
        <w:t>2020)</w:t>
      </w:r>
      <w:r w:rsidRPr="008A58B2">
        <w:rPr>
          <w:rFonts w:eastAsiaTheme="minorEastAsia"/>
        </w:rPr>
        <w:fldChar w:fldCharType="end"/>
      </w:r>
      <w:r w:rsidRPr="008A58B2">
        <w:rPr>
          <w:rFonts w:eastAsiaTheme="minorEastAsia"/>
        </w:rPr>
        <w:t>, the extremal index is the inverse of the mean cluster size:</w:t>
      </w:r>
    </w:p>
    <w:p w14:paraId="2F2025D9" w14:textId="303E7148" w:rsidR="00DE5D33" w:rsidRPr="008A58B2" w:rsidRDefault="00DA15A3" w:rsidP="00DE5D33">
      <w:pPr>
        <w:ind w:firstLine="0"/>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0</m:t>
                </m:r>
              </m:sub>
            </m:sSub>
            <m:r>
              <w:rPr>
                <w:rFonts w:ascii="Cambria Math" w:eastAsiaTheme="minorEastAsia" w:hAnsi="Cambria Math"/>
              </w:rPr>
              <m:t>(z)</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N-1</m:t>
                        </m:r>
                      </m:sup>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i</m:t>
                                </m:r>
                              </m:sub>
                            </m:sSub>
                            <m:r>
                              <w:rPr>
                                <w:rFonts w:ascii="Cambria Math" w:eastAsiaTheme="minorEastAsia" w:hAnsi="Cambria Math"/>
                              </w:rPr>
                              <m:t>-1</m:t>
                            </m:r>
                          </m:e>
                        </m:d>
                      </m:e>
                    </m:nary>
                  </m:e>
                </m:d>
              </m:e>
              <m:sup>
                <m:r>
                  <w:rPr>
                    <w:rFonts w:ascii="Cambria Math" w:eastAsiaTheme="minorEastAsia" w:hAnsi="Cambria Math"/>
                  </w:rPr>
                  <m:t>2</m:t>
                </m:r>
              </m:sup>
            </m:sSup>
          </m:num>
          <m:den>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m:t>
                </m:r>
              </m:sub>
              <m:sup>
                <m:r>
                  <w:rPr>
                    <w:rFonts w:ascii="Cambria Math" w:eastAsiaTheme="minorEastAsia" w:hAnsi="Cambria Math"/>
                  </w:rPr>
                  <m:t>N-1</m:t>
                </m:r>
              </m:sup>
              <m:e>
                <m:d>
                  <m:dPr>
                    <m:begChr m:val="["/>
                    <m:endChr m:val="]"/>
                    <m:ctrlPr>
                      <w:rPr>
                        <w:rFonts w:ascii="Cambria Math" w:eastAsiaTheme="minorEastAsia" w:hAnsi="Cambria Math"/>
                        <w:i/>
                      </w:rPr>
                    </m:ctrlPr>
                  </m:d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i</m:t>
                            </m:r>
                          </m:sub>
                        </m:sSub>
                        <m:r>
                          <w:rPr>
                            <w:rFonts w:ascii="Cambria Math" w:eastAsiaTheme="minorEastAsia" w:hAnsi="Cambria Math"/>
                          </w:rPr>
                          <m:t>-1</m:t>
                        </m:r>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i</m:t>
                            </m:r>
                          </m:sub>
                        </m:sSub>
                        <m:r>
                          <w:rPr>
                            <w:rFonts w:ascii="Cambria Math" w:eastAsiaTheme="minorEastAsia" w:hAnsi="Cambria Math"/>
                          </w:rPr>
                          <m:t>-2</m:t>
                        </m:r>
                      </m:e>
                    </m:d>
                  </m:e>
                </m:d>
              </m:e>
            </m:nary>
          </m:den>
        </m:f>
      </m:oMath>
      <w:r w:rsidR="00720518">
        <w:rPr>
          <w:rFonts w:eastAsiaTheme="minorEastAsia"/>
        </w:rPr>
        <w:tab/>
      </w:r>
      <w:r w:rsidR="00720518">
        <w:rPr>
          <w:rFonts w:eastAsiaTheme="minorEastAsia"/>
        </w:rPr>
        <w:tab/>
      </w:r>
      <w:r w:rsidR="00720518">
        <w:rPr>
          <w:rFonts w:eastAsiaTheme="minorEastAsia"/>
        </w:rPr>
        <w:tab/>
      </w:r>
      <w:r w:rsidR="00720518">
        <w:rPr>
          <w:rFonts w:eastAsiaTheme="minorEastAsia"/>
        </w:rPr>
        <w:tab/>
      </w:r>
      <w:r w:rsidR="00720518">
        <w:rPr>
          <w:rFonts w:eastAsiaTheme="minorEastAsia"/>
        </w:rPr>
        <w:tab/>
      </w:r>
      <w:r w:rsidR="00720518">
        <w:rPr>
          <w:rFonts w:eastAsiaTheme="minorEastAsia"/>
        </w:rPr>
        <w:tab/>
      </w:r>
      <w:r w:rsidR="00720518">
        <w:rPr>
          <w:rFonts w:eastAsiaTheme="minorEastAsia"/>
        </w:rPr>
        <w:tab/>
        <w:t xml:space="preserve">     </w:t>
      </w:r>
      <w:r w:rsidR="00DE5D33" w:rsidRPr="008A58B2">
        <w:rPr>
          <w:rFonts w:eastAsiaTheme="minorEastAsia"/>
        </w:rPr>
        <w:t>(</w:t>
      </w:r>
      <w:r w:rsidR="0049566C">
        <w:rPr>
          <w:rFonts w:eastAsiaTheme="minorEastAsia"/>
        </w:rPr>
        <w:t>5</w:t>
      </w:r>
      <w:r w:rsidR="00DE5D33" w:rsidRPr="008A58B2">
        <w:rPr>
          <w:rFonts w:eastAsiaTheme="minorEastAsia"/>
        </w:rPr>
        <w:t>)</w:t>
      </w:r>
    </w:p>
    <w:p w14:paraId="7F58B166" w14:textId="4F4EE06E" w:rsidR="00DE5D33" w:rsidRDefault="00DE5D33" w:rsidP="00DE5D33">
      <w:pPr>
        <w:ind w:firstLine="0"/>
        <w:rPr>
          <w:rFonts w:eastAsiaTheme="minorEastAsia"/>
        </w:rPr>
      </w:pPr>
      <w:r>
        <w:t>w</w:t>
      </w:r>
      <w:r w:rsidRPr="008A58B2">
        <w:t xml:space="preserve">here </w:t>
      </w:r>
      <m:oMath>
        <m:r>
          <w:rPr>
            <w:rFonts w:ascii="Cambria Math" w:eastAsiaTheme="minorEastAsia" w:hAnsi="Cambria Math"/>
          </w:rPr>
          <m:t>N</m:t>
        </m:r>
      </m:oMath>
      <w:r w:rsidRPr="008A58B2">
        <w:rPr>
          <w:rFonts w:eastAsiaTheme="minorEastAsia"/>
        </w:rPr>
        <w:t xml:space="preserve"> is the number of measured </w:t>
      </w:r>
      <w:r>
        <w:rPr>
          <w:rFonts w:eastAsiaTheme="minorEastAsia"/>
        </w:rPr>
        <w:t xml:space="preserve">sea levels </w:t>
      </w:r>
      <w:r w:rsidRPr="008A58B2">
        <w:rPr>
          <w:rFonts w:eastAsiaTheme="minorEastAsia"/>
        </w:rPr>
        <w:t xml:space="preserve">exceeding </w:t>
      </w:r>
      <m:oMath>
        <m:r>
          <w:rPr>
            <w:rFonts w:ascii="Cambria Math" w:eastAsiaTheme="minorEastAsia" w:hAnsi="Cambria Math"/>
          </w:rPr>
          <m:t>z</m:t>
        </m:r>
      </m:oMath>
      <w:r w:rsidRPr="008A58B2">
        <w:rPr>
          <w:rFonts w:eastAsiaTheme="minorEastAsia"/>
        </w:rPr>
        <w:t xml:space="preserve">, and </w:t>
      </w:r>
      <m:oMath>
        <m:r>
          <w:rPr>
            <w:rFonts w:ascii="Cambria Math" w:eastAsiaTheme="minorEastAsia" w:hAnsi="Cambria Math"/>
          </w:rPr>
          <m:t>I</m:t>
        </m:r>
      </m:oMath>
      <w:r w:rsidRPr="008A58B2">
        <w:rPr>
          <w:rFonts w:eastAsiaTheme="minorEastAsia"/>
        </w:rPr>
        <w:t xml:space="preserve"> is the inter-exceedance </w:t>
      </w:r>
      <w:proofErr w:type="gramStart"/>
      <w:r w:rsidRPr="008A58B2">
        <w:rPr>
          <w:rFonts w:eastAsiaTheme="minorEastAsia"/>
        </w:rPr>
        <w:t>time.</w:t>
      </w:r>
      <w:proofErr w:type="gramEnd"/>
      <w:r w:rsidRPr="008A58B2">
        <w:rPr>
          <w:rFonts w:eastAsiaTheme="minorEastAsia"/>
        </w:rPr>
        <w:t xml:space="preserve"> The inter-exceedance time varies with the </w:t>
      </w:r>
      <w:r>
        <w:rPr>
          <w:rFonts w:eastAsiaTheme="minorEastAsia"/>
        </w:rPr>
        <w:t xml:space="preserve">sea level </w:t>
      </w:r>
      <w:r w:rsidRPr="008A58B2">
        <w:rPr>
          <w:rFonts w:eastAsiaTheme="minorEastAsia"/>
        </w:rPr>
        <w:t xml:space="preserve">time </w:t>
      </w:r>
      <w:proofErr w:type="gramStart"/>
      <w:r w:rsidRPr="008A58B2">
        <w:rPr>
          <w:rFonts w:eastAsiaTheme="minorEastAsia"/>
        </w:rPr>
        <w:t>series</w:t>
      </w:r>
      <w:proofErr w:type="gramEnd"/>
      <w:r w:rsidRPr="008A58B2">
        <w:rPr>
          <w:rFonts w:eastAsiaTheme="minorEastAsia"/>
        </w:rPr>
        <w:t xml:space="preserve"> and it is defined as </w:t>
      </w:r>
      <w:r w:rsidRPr="008A58B2">
        <w:rPr>
          <w:rFonts w:eastAsiaTheme="minorEastAsia"/>
        </w:rPr>
        <w:lastRenderedPageBreak/>
        <w:t xml:space="preserve">the time difference between each value above the threshold. </w:t>
      </w:r>
      <w:r>
        <w:rPr>
          <w:rFonts w:eastAsiaTheme="minorEastAsia"/>
        </w:rPr>
        <w:t xml:space="preserve">Thus, </w:t>
      </w:r>
      <m:oMath>
        <m:r>
          <w:rPr>
            <w:rFonts w:ascii="Cambria Math" w:eastAsiaTheme="minorEastAsia" w:hAnsi="Cambria Math"/>
          </w:rPr>
          <m:t>θ=1</m:t>
        </m:r>
      </m:oMath>
      <w:r>
        <w:rPr>
          <w:rFonts w:eastAsiaTheme="minorEastAsia"/>
        </w:rPr>
        <w:t xml:space="preserve"> when there is no clustering in the time series and </w:t>
      </w:r>
      <m:oMath>
        <m:r>
          <w:rPr>
            <w:rFonts w:ascii="Cambria Math" w:eastAsiaTheme="minorEastAsia" w:hAnsi="Cambria Math"/>
          </w:rPr>
          <m:t>θ&lt;1</m:t>
        </m:r>
      </m:oMath>
      <w:r>
        <w:rPr>
          <w:rFonts w:eastAsiaTheme="minorEastAsia"/>
        </w:rPr>
        <w:t xml:space="preserve"> otherwise. </w:t>
      </w:r>
      <w:r w:rsidRPr="008A58B2">
        <w:rPr>
          <w:rFonts w:eastAsiaTheme="minorEastAsia"/>
        </w:rPr>
        <w:t>We use the top 3</w:t>
      </w:r>
      <w:r w:rsidR="00972B97">
        <w:rPr>
          <w:rFonts w:eastAsiaTheme="minorEastAsia"/>
        </w:rPr>
        <w:t>,</w:t>
      </w:r>
      <w:r w:rsidRPr="008A58B2">
        <w:rPr>
          <w:rFonts w:eastAsiaTheme="minorEastAsia"/>
        </w:rPr>
        <w:t xml:space="preserve">000 high </w:t>
      </w:r>
      <w:r>
        <w:rPr>
          <w:rFonts w:eastAsiaTheme="minorEastAsia"/>
        </w:rPr>
        <w:t>sea</w:t>
      </w:r>
      <w:r w:rsidRPr="008A58B2">
        <w:rPr>
          <w:rFonts w:eastAsiaTheme="minorEastAsia"/>
        </w:rPr>
        <w:t xml:space="preserve"> levels </w:t>
      </w:r>
      <m:oMath>
        <m:r>
          <w:rPr>
            <w:rFonts w:ascii="Cambria Math" w:eastAsiaTheme="minorEastAsia" w:hAnsi="Cambria Math"/>
          </w:rPr>
          <m:t>(z)</m:t>
        </m:r>
      </m:oMath>
      <w:r>
        <w:rPr>
          <w:rFonts w:eastAsiaTheme="minorEastAsia"/>
        </w:rPr>
        <w:t xml:space="preserve"> </w:t>
      </w:r>
      <w:r w:rsidRPr="008A58B2">
        <w:rPr>
          <w:rFonts w:eastAsiaTheme="minorEastAsia"/>
        </w:rPr>
        <w:t>as thresholds to calculate the extremal index at each tide gauge.</w:t>
      </w:r>
      <w:r w:rsidRPr="00C207E6">
        <w:rPr>
          <w:rFonts w:eastAsiaTheme="minorEastAsia"/>
        </w:rPr>
        <w:t xml:space="preserve"> </w:t>
      </w:r>
      <w:r>
        <w:rPr>
          <w:rFonts w:eastAsiaTheme="minorEastAsia"/>
        </w:rPr>
        <w:t xml:space="preserve">Results are then fitted through a least-square </w:t>
      </w:r>
      <w:proofErr w:type="gramStart"/>
      <w:r>
        <w:rPr>
          <w:rFonts w:eastAsiaTheme="minorEastAsia"/>
        </w:rPr>
        <w:t xml:space="preserve">regression </w:t>
      </w:r>
      <w:r w:rsidR="00972B97">
        <w:rPr>
          <w:rFonts w:eastAsiaTheme="minorEastAsia"/>
        </w:rPr>
        <w:t xml:space="preserve"> of</w:t>
      </w:r>
      <w:proofErr w:type="gramEnd"/>
      <w:r>
        <w:rPr>
          <w:rFonts w:eastAsiaTheme="minorEastAsia"/>
        </w:rPr>
        <w:t xml:space="preserve"> the form:</w:t>
      </w:r>
    </w:p>
    <w:p w14:paraId="089A7F68" w14:textId="7A5D7856" w:rsidR="00DE5D33" w:rsidRDefault="00DE5D33" w:rsidP="00DE5D33">
      <w:pPr>
        <w:ind w:firstLine="0"/>
        <w:rPr>
          <w:rFonts w:eastAsiaTheme="minorEastAsia"/>
        </w:rPr>
      </w:pPr>
      <m:oMath>
        <m:r>
          <w:rPr>
            <w:rFonts w:ascii="Cambria Math" w:eastAsiaTheme="minorEastAsia" w:hAnsi="Cambria Math"/>
          </w:rPr>
          <m:t>θ(z)= 1+a*</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-(b*z)</m:t>
            </m:r>
          </m:sup>
        </m:sSup>
      </m:oMath>
      <w:r>
        <w:rPr>
          <w:rFonts w:eastAsiaTheme="minorEastAsia"/>
        </w:rPr>
        <w:t xml:space="preserve"> </w:t>
      </w:r>
      <w:r>
        <w:rPr>
          <w:rFonts w:eastAsiaTheme="minorEastAsia"/>
        </w:rPr>
        <w:tab/>
      </w:r>
      <w:r>
        <w:rPr>
          <w:rFonts w:eastAsiaTheme="minorEastAsia"/>
        </w:rPr>
        <w:tab/>
        <w:t xml:space="preserve">             </w:t>
      </w:r>
      <w:r w:rsidR="008E1FCB">
        <w:rPr>
          <w:rFonts w:eastAsiaTheme="minorEastAsia"/>
        </w:rPr>
        <w:t xml:space="preserve">      </w:t>
      </w:r>
      <w:r w:rsidR="008E1FCB">
        <w:rPr>
          <w:rFonts w:eastAsiaTheme="minorEastAsia"/>
        </w:rPr>
        <w:tab/>
        <w:t xml:space="preserve">    </w:t>
      </w:r>
      <w:r w:rsidR="008E1FCB">
        <w:rPr>
          <w:rFonts w:eastAsiaTheme="minorEastAsia"/>
        </w:rPr>
        <w:tab/>
      </w:r>
      <w:r w:rsidR="008E1FCB">
        <w:rPr>
          <w:rFonts w:eastAsiaTheme="minorEastAsia"/>
        </w:rPr>
        <w:tab/>
      </w:r>
      <w:r w:rsidR="008E1FCB">
        <w:rPr>
          <w:rFonts w:eastAsiaTheme="minorEastAsia"/>
        </w:rPr>
        <w:tab/>
      </w:r>
      <w:r w:rsidR="008E1FCB">
        <w:rPr>
          <w:rFonts w:eastAsiaTheme="minorEastAsia"/>
        </w:rPr>
        <w:tab/>
        <w:t xml:space="preserve">     </w:t>
      </w:r>
      <w:r w:rsidR="0049566C">
        <w:rPr>
          <w:rFonts w:eastAsiaTheme="minorEastAsia"/>
        </w:rPr>
        <w:t>(6</w:t>
      </w:r>
      <w:r>
        <w:rPr>
          <w:rFonts w:eastAsiaTheme="minorEastAsia"/>
        </w:rPr>
        <w:t>)</w:t>
      </w:r>
    </w:p>
    <w:p w14:paraId="2A167B3F" w14:textId="547664FC" w:rsidR="00DE5D33" w:rsidRDefault="00DE5D33" w:rsidP="00DE5D33">
      <w:pPr>
        <w:rPr>
          <w:rFonts w:eastAsiaTheme="minorEastAsia"/>
        </w:rPr>
      </w:pPr>
      <w:r>
        <w:rPr>
          <w:rFonts w:eastAsiaTheme="minorEastAsia"/>
        </w:rPr>
        <w:t xml:space="preserve">In the present paper, we focus on the annual extreme sea </w:t>
      </w:r>
      <w:r w:rsidR="007F4569">
        <w:rPr>
          <w:rFonts w:eastAsiaTheme="minorEastAsia"/>
        </w:rPr>
        <w:t>level corresponding to a 100-y</w:t>
      </w:r>
      <w:r>
        <w:rPr>
          <w:rFonts w:eastAsiaTheme="minorEastAsia"/>
        </w:rPr>
        <w:t>r return period (hereinafter, 100-ESL), i.e., 1% annual chance. The return period</w:t>
      </w:r>
      <w:r w:rsidR="00972B97">
        <w:rPr>
          <w:rFonts w:eastAsiaTheme="minorEastAsia"/>
        </w:rPr>
        <w:t>s</w:t>
      </w:r>
      <w:r>
        <w:rPr>
          <w:rFonts w:eastAsiaTheme="minorEastAsia"/>
        </w:rPr>
        <w:t xml:space="preserve"> of extreme sea levels </w:t>
      </w:r>
      <m:oMath>
        <m:r>
          <w:rPr>
            <w:rFonts w:ascii="Cambria Math" w:eastAsiaTheme="minorEastAsia" w:hAnsi="Cambria Math"/>
          </w:rPr>
          <m:t>T(z)</m:t>
        </m:r>
      </m:oMath>
      <w:r>
        <w:rPr>
          <w:rFonts w:eastAsiaTheme="minorEastAsia"/>
        </w:rPr>
        <w:t xml:space="preserve"> </w:t>
      </w:r>
      <w:r w:rsidR="00972B97">
        <w:rPr>
          <w:rFonts w:eastAsiaTheme="minorEastAsia"/>
        </w:rPr>
        <w:t xml:space="preserve">are </w:t>
      </w:r>
      <w:r>
        <w:rPr>
          <w:rFonts w:eastAsiaTheme="minorEastAsia"/>
        </w:rPr>
        <w:t>calculated as</w:t>
      </w:r>
      <w:r w:rsidR="008E1FCB">
        <w:rPr>
          <w:rFonts w:eastAsiaTheme="minorEastAsia"/>
        </w:rPr>
        <w:t>,</w:t>
      </w:r>
    </w:p>
    <w:p w14:paraId="3B82D7C9" w14:textId="0FFB40FD" w:rsidR="00DE5D33" w:rsidRDefault="00DE5D33" w:rsidP="00DE5D33">
      <w:pPr>
        <w:ind w:firstLine="0"/>
        <w:rPr>
          <w:rFonts w:eastAsiaTheme="minorEastAsia"/>
        </w:rPr>
      </w:pPr>
      <m:oMath>
        <m:r>
          <w:rPr>
            <w:rFonts w:ascii="Cambria Math" w:eastAsiaTheme="minorEastAsia" w:hAnsi="Cambria Math"/>
          </w:rPr>
          <m:t>T(z)=</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θ</m:t>
                </m:r>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*N*</m:t>
                </m:r>
                <m:d>
                  <m:dPr>
                    <m:begChr m:val="["/>
                    <m:endChr m:val="]"/>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SL</m:t>
                        </m:r>
                      </m:sub>
                    </m:sSub>
                    <m:r>
                      <w:rPr>
                        <w:rFonts w:ascii="Cambria Math" w:eastAsiaTheme="minorEastAsia" w:hAnsi="Cambria Math"/>
                      </w:rPr>
                      <m:t>(z)</m:t>
                    </m:r>
                  </m:e>
                </m:d>
              </m:e>
            </m:d>
          </m:e>
          <m:sup>
            <m:r>
              <w:rPr>
                <w:rFonts w:ascii="Cambria Math" w:eastAsiaTheme="minorEastAsia" w:hAnsi="Cambria Math"/>
              </w:rPr>
              <m:t>-1</m:t>
            </m:r>
          </m:sup>
        </m:sSup>
      </m:oMath>
      <w:r w:rsidR="008E1FCB">
        <w:rPr>
          <w:rFonts w:eastAsiaTheme="minorEastAsia"/>
        </w:rPr>
        <w:tab/>
        <w:t xml:space="preserve">             </w:t>
      </w:r>
      <w:r w:rsidR="008E1FCB">
        <w:rPr>
          <w:rFonts w:eastAsiaTheme="minorEastAsia"/>
        </w:rPr>
        <w:tab/>
      </w:r>
      <w:r w:rsidR="008E1FCB">
        <w:rPr>
          <w:rFonts w:eastAsiaTheme="minorEastAsia"/>
        </w:rPr>
        <w:tab/>
      </w:r>
      <w:r w:rsidR="008E1FCB">
        <w:rPr>
          <w:rFonts w:eastAsiaTheme="minorEastAsia"/>
        </w:rPr>
        <w:tab/>
      </w:r>
      <w:r w:rsidR="008E1FCB">
        <w:rPr>
          <w:rFonts w:eastAsiaTheme="minorEastAsia"/>
        </w:rPr>
        <w:tab/>
      </w:r>
      <w:r w:rsidR="008E1FCB">
        <w:rPr>
          <w:rFonts w:eastAsiaTheme="minorEastAsia"/>
        </w:rPr>
        <w:tab/>
        <w:t xml:space="preserve">     </w:t>
      </w:r>
      <w:r w:rsidR="0049566C">
        <w:rPr>
          <w:rFonts w:eastAsiaTheme="minorEastAsia"/>
        </w:rPr>
        <w:t>(7</w:t>
      </w:r>
      <w:r>
        <w:rPr>
          <w:rFonts w:eastAsiaTheme="minorEastAsia"/>
        </w:rPr>
        <w:t>)</w:t>
      </w:r>
    </w:p>
    <w:p w14:paraId="34F8D3CC" w14:textId="0A61A6B2" w:rsidR="00615B65" w:rsidRPr="00F50E0D" w:rsidRDefault="00615B65" w:rsidP="00615B65">
      <w:pPr>
        <w:pStyle w:val="Alex"/>
        <w:rPr>
          <w:lang w:val="en-US"/>
        </w:rPr>
      </w:pPr>
      <w:r w:rsidRPr="00F50E0D">
        <w:rPr>
          <w:lang w:val="en-US"/>
        </w:rPr>
        <w:t>Thus, we obtain time series of annual 100-ESL at each station.</w:t>
      </w:r>
    </w:p>
    <w:p w14:paraId="259D00D4" w14:textId="77777777" w:rsidR="00DE5D33" w:rsidRDefault="00DE5D33" w:rsidP="00DE5D33"/>
    <w:p w14:paraId="13359172" w14:textId="77777777" w:rsidR="00DE5D33" w:rsidRPr="00DD7091" w:rsidRDefault="00DE5D33" w:rsidP="007F4569">
      <w:pPr>
        <w:pStyle w:val="ListParagraph"/>
        <w:numPr>
          <w:ilvl w:val="1"/>
          <w:numId w:val="15"/>
        </w:numPr>
        <w:rPr>
          <w:b/>
          <w:bCs/>
        </w:rPr>
      </w:pPr>
      <w:r>
        <w:rPr>
          <w:b/>
          <w:bCs/>
        </w:rPr>
        <w:t>Long-term tidal</w:t>
      </w:r>
      <w:r w:rsidRPr="00DD7091">
        <w:rPr>
          <w:b/>
          <w:bCs/>
        </w:rPr>
        <w:t xml:space="preserve"> modulation</w:t>
      </w:r>
      <w:r>
        <w:rPr>
          <w:b/>
          <w:bCs/>
        </w:rPr>
        <w:t>s</w:t>
      </w:r>
      <w:r w:rsidRPr="00DD7091">
        <w:rPr>
          <w:b/>
          <w:bCs/>
        </w:rPr>
        <w:t xml:space="preserve"> </w:t>
      </w:r>
      <w:r>
        <w:rPr>
          <w:b/>
          <w:bCs/>
        </w:rPr>
        <w:t>in</w:t>
      </w:r>
      <w:r w:rsidRPr="1700F926">
        <w:rPr>
          <w:b/>
          <w:bCs/>
        </w:rPr>
        <w:t xml:space="preserve"> </w:t>
      </w:r>
      <w:r>
        <w:rPr>
          <w:b/>
          <w:bCs/>
        </w:rPr>
        <w:t>extreme sea levels</w:t>
      </w:r>
    </w:p>
    <w:p w14:paraId="2991D85E" w14:textId="74C56D26" w:rsidR="00615B65" w:rsidRDefault="00615B65" w:rsidP="00DE5D33">
      <w:r>
        <w:t xml:space="preserve">We fit a least-squares regression to the annual 100-ESL to estimate the </w:t>
      </w:r>
      <w:proofErr w:type="gramStart"/>
      <w:r>
        <w:t>tidally-induced</w:t>
      </w:r>
      <w:proofErr w:type="gramEnd"/>
      <w:r>
        <w:t xml:space="preserve"> changes in extreme levels:</w:t>
      </w:r>
    </w:p>
    <w:p w14:paraId="325EEB65" w14:textId="471297A8" w:rsidR="00DE5D33" w:rsidRPr="0004437C" w:rsidRDefault="007F4569" w:rsidP="00DE5D33">
      <w:pPr>
        <w:ind w:firstLine="0"/>
        <w:rPr>
          <w:rFonts w:eastAsiaTheme="minorEastAsia"/>
        </w:rPr>
      </w:pPr>
      <m:oMath>
        <m:r>
          <w:rPr>
            <w:rFonts w:ascii="Cambria Math" w:hAnsi="Cambria Math"/>
            <w:sz w:val="22"/>
            <w:szCs w:val="20"/>
          </w:rPr>
          <m:t>H</m:t>
        </m:r>
        <m:d>
          <m:dPr>
            <m:ctrlPr>
              <w:rPr>
                <w:rFonts w:ascii="Cambria Math" w:hAnsi="Cambria Math"/>
                <w:i/>
                <w:sz w:val="22"/>
                <w:szCs w:val="20"/>
              </w:rPr>
            </m:ctrlPr>
          </m:dPr>
          <m:e>
            <m:r>
              <w:rPr>
                <w:rFonts w:ascii="Cambria Math" w:hAnsi="Cambria Math"/>
                <w:sz w:val="22"/>
                <w:szCs w:val="20"/>
              </w:rPr>
              <m:t>t</m:t>
            </m:r>
          </m:e>
        </m:d>
        <m:r>
          <w:rPr>
            <w:rFonts w:ascii="Cambria Math" w:hAnsi="Cambria Math"/>
            <w:sz w:val="22"/>
            <w:szCs w:val="20"/>
          </w:rPr>
          <m:t>=β+</m:t>
        </m:r>
        <m:sSub>
          <m:sSubPr>
            <m:ctrlPr>
              <w:rPr>
                <w:rFonts w:ascii="Cambria Math" w:hAnsi="Cambria Math"/>
                <w:i/>
                <w:sz w:val="22"/>
                <w:szCs w:val="20"/>
              </w:rPr>
            </m:ctrlPr>
          </m:sSubPr>
          <m:e>
            <m:r>
              <w:rPr>
                <w:rFonts w:ascii="Cambria Math" w:hAnsi="Cambria Math"/>
                <w:sz w:val="22"/>
                <w:szCs w:val="20"/>
              </w:rPr>
              <m:t>β</m:t>
            </m:r>
          </m:e>
          <m:sub>
            <m:r>
              <w:rPr>
                <w:rFonts w:ascii="Cambria Math" w:hAnsi="Cambria Math"/>
                <w:sz w:val="22"/>
                <w:szCs w:val="20"/>
              </w:rPr>
              <m:t>1</m:t>
            </m:r>
          </m:sub>
        </m:sSub>
        <m:d>
          <m:dPr>
            <m:ctrlPr>
              <w:rPr>
                <w:rFonts w:ascii="Cambria Math" w:hAnsi="Cambria Math"/>
                <w:i/>
                <w:sz w:val="22"/>
                <w:szCs w:val="20"/>
              </w:rPr>
            </m:ctrlPr>
          </m:dPr>
          <m:e>
            <m:r>
              <w:rPr>
                <w:rFonts w:ascii="Cambria Math" w:hAnsi="Cambria Math"/>
                <w:sz w:val="22"/>
                <w:szCs w:val="20"/>
              </w:rPr>
              <m:t>t</m:t>
            </m:r>
          </m:e>
        </m:d>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β</m:t>
            </m:r>
          </m:e>
          <m:sub>
            <m:r>
              <w:rPr>
                <w:rFonts w:ascii="Cambria Math" w:hAnsi="Cambria Math"/>
                <w:sz w:val="22"/>
                <w:szCs w:val="20"/>
              </w:rPr>
              <m:t>2</m:t>
            </m:r>
          </m:sub>
        </m:sSub>
        <m:func>
          <m:funcPr>
            <m:ctrlPr>
              <w:rPr>
                <w:rFonts w:ascii="Cambria Math" w:hAnsi="Cambria Math"/>
                <w:i/>
                <w:sz w:val="22"/>
                <w:szCs w:val="20"/>
              </w:rPr>
            </m:ctrlPr>
          </m:funcPr>
          <m:fName>
            <m:r>
              <m:rPr>
                <m:sty m:val="p"/>
              </m:rPr>
              <w:rPr>
                <w:rFonts w:ascii="Cambria Math" w:hAnsi="Cambria Math"/>
                <w:sz w:val="22"/>
                <w:szCs w:val="20"/>
              </w:rPr>
              <m:t>cos</m:t>
            </m:r>
          </m:fName>
          <m:e>
            <m:d>
              <m:dPr>
                <m:ctrlPr>
                  <w:rPr>
                    <w:rFonts w:ascii="Cambria Math" w:hAnsi="Cambria Math"/>
                    <w:i/>
                    <w:sz w:val="22"/>
                    <w:szCs w:val="20"/>
                  </w:rPr>
                </m:ctrlPr>
              </m:dPr>
              <m:e>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4.4</m:t>
                    </m:r>
                  </m:den>
                </m:f>
                <m:r>
                  <m:rPr>
                    <m:sty m:val="p"/>
                  </m:rPr>
                  <w:rPr>
                    <w:rFonts w:ascii="Cambria Math" w:eastAsiaTheme="minorEastAsia" w:hAnsi="Cambria Math"/>
                  </w:rPr>
                  <m:t xml:space="preserve"> </m:t>
                </m:r>
                <m:r>
                  <w:rPr>
                    <w:rFonts w:ascii="Cambria Math" w:hAnsi="Cambria Math"/>
                    <w:sz w:val="22"/>
                    <w:szCs w:val="20"/>
                  </w:rPr>
                  <m:t>t</m:t>
                </m:r>
              </m:e>
            </m:d>
          </m:e>
        </m:func>
        <m:r>
          <w:rPr>
            <w:rFonts w:ascii="Cambria Math" w:hAnsi="Cambria Math"/>
            <w:sz w:val="22"/>
            <w:szCs w:val="20"/>
          </w:rPr>
          <m:t xml:space="preserve">+ </m:t>
        </m:r>
        <m:sSub>
          <m:sSubPr>
            <m:ctrlPr>
              <w:rPr>
                <w:rFonts w:ascii="Cambria Math" w:hAnsi="Cambria Math"/>
                <w:i/>
                <w:sz w:val="22"/>
                <w:szCs w:val="20"/>
              </w:rPr>
            </m:ctrlPr>
          </m:sSubPr>
          <m:e>
            <m:r>
              <w:rPr>
                <w:rFonts w:ascii="Cambria Math" w:hAnsi="Cambria Math"/>
                <w:sz w:val="22"/>
                <w:szCs w:val="20"/>
              </w:rPr>
              <m:t>β</m:t>
            </m:r>
          </m:e>
          <m:sub>
            <m:r>
              <w:rPr>
                <w:rFonts w:ascii="Cambria Math" w:hAnsi="Cambria Math"/>
                <w:sz w:val="22"/>
                <w:szCs w:val="20"/>
              </w:rPr>
              <m:t>3</m:t>
            </m:r>
          </m:sub>
        </m:sSub>
        <m:func>
          <m:funcPr>
            <m:ctrlPr>
              <w:rPr>
                <w:rFonts w:ascii="Cambria Math" w:hAnsi="Cambria Math"/>
                <w:i/>
                <w:sz w:val="22"/>
                <w:szCs w:val="20"/>
              </w:rPr>
            </m:ctrlPr>
          </m:funcPr>
          <m:fName>
            <m:r>
              <m:rPr>
                <m:sty m:val="p"/>
              </m:rPr>
              <w:rPr>
                <w:rFonts w:ascii="Cambria Math" w:hAnsi="Cambria Math"/>
                <w:sz w:val="22"/>
                <w:szCs w:val="20"/>
              </w:rPr>
              <m:t>sin</m:t>
            </m:r>
          </m:fName>
          <m:e>
            <m:d>
              <m:dPr>
                <m:ctrlPr>
                  <w:rPr>
                    <w:rFonts w:ascii="Cambria Math" w:hAnsi="Cambria Math"/>
                    <w:i/>
                    <w:sz w:val="22"/>
                    <w:szCs w:val="20"/>
                  </w:rPr>
                </m:ctrlPr>
              </m:dPr>
              <m:e>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4.4</m:t>
                    </m:r>
                  </m:den>
                </m:f>
                <m:r>
                  <m:rPr>
                    <m:sty m:val="p"/>
                  </m:rPr>
                  <w:rPr>
                    <w:rFonts w:ascii="Cambria Math" w:eastAsiaTheme="minorEastAsia" w:hAnsi="Cambria Math"/>
                  </w:rPr>
                  <m:t xml:space="preserve"> </m:t>
                </m:r>
                <m:r>
                  <w:rPr>
                    <w:rFonts w:ascii="Cambria Math" w:hAnsi="Cambria Math"/>
                    <w:sz w:val="22"/>
                    <w:szCs w:val="20"/>
                  </w:rPr>
                  <m:t>t</m:t>
                </m:r>
              </m:e>
            </m:d>
          </m:e>
        </m:func>
        <m:r>
          <w:rPr>
            <w:rFonts w:ascii="Cambria Math" w:hAnsi="Cambria Math"/>
            <w:sz w:val="22"/>
            <w:szCs w:val="20"/>
          </w:rPr>
          <m:t xml:space="preserve">+ </m:t>
        </m:r>
        <m:sSub>
          <m:sSubPr>
            <m:ctrlPr>
              <w:rPr>
                <w:rFonts w:ascii="Cambria Math" w:hAnsi="Cambria Math"/>
                <w:i/>
                <w:sz w:val="22"/>
                <w:szCs w:val="20"/>
              </w:rPr>
            </m:ctrlPr>
          </m:sSubPr>
          <m:e>
            <m:r>
              <w:rPr>
                <w:rFonts w:ascii="Cambria Math" w:hAnsi="Cambria Math"/>
                <w:sz w:val="22"/>
                <w:szCs w:val="20"/>
              </w:rPr>
              <m:t>β</m:t>
            </m:r>
          </m:e>
          <m:sub>
            <m:r>
              <w:rPr>
                <w:rFonts w:ascii="Cambria Math" w:hAnsi="Cambria Math"/>
                <w:sz w:val="22"/>
                <w:szCs w:val="20"/>
              </w:rPr>
              <m:t>4</m:t>
            </m:r>
          </m:sub>
        </m:sSub>
        <m:func>
          <m:funcPr>
            <m:ctrlPr>
              <w:rPr>
                <w:rFonts w:ascii="Cambria Math" w:hAnsi="Cambria Math"/>
                <w:i/>
                <w:sz w:val="22"/>
                <w:szCs w:val="20"/>
              </w:rPr>
            </m:ctrlPr>
          </m:funcPr>
          <m:fName>
            <m:r>
              <m:rPr>
                <m:sty m:val="p"/>
              </m:rPr>
              <w:rPr>
                <w:rFonts w:ascii="Cambria Math" w:hAnsi="Cambria Math"/>
                <w:sz w:val="22"/>
                <w:szCs w:val="20"/>
              </w:rPr>
              <m:t>cos</m:t>
            </m:r>
          </m:fName>
          <m:e>
            <m:d>
              <m:dPr>
                <m:ctrlPr>
                  <w:rPr>
                    <w:rFonts w:ascii="Cambria Math" w:hAnsi="Cambria Math"/>
                    <w:i/>
                    <w:sz w:val="22"/>
                    <w:szCs w:val="20"/>
                  </w:rPr>
                </m:ctrlPr>
              </m:dPr>
              <m:e>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18.6</m:t>
                    </m:r>
                  </m:den>
                </m:f>
                <m:r>
                  <m:rPr>
                    <m:sty m:val="p"/>
                  </m:rPr>
                  <w:rPr>
                    <w:rFonts w:ascii="Cambria Math" w:eastAsiaTheme="minorEastAsia" w:hAnsi="Cambria Math"/>
                  </w:rPr>
                  <m:t xml:space="preserve"> </m:t>
                </m:r>
                <m:r>
                  <w:rPr>
                    <w:rFonts w:ascii="Cambria Math" w:hAnsi="Cambria Math"/>
                    <w:sz w:val="22"/>
                    <w:szCs w:val="20"/>
                  </w:rPr>
                  <m:t>t</m:t>
                </m:r>
              </m:e>
            </m:d>
          </m:e>
        </m:func>
        <m:r>
          <w:rPr>
            <w:rFonts w:ascii="Cambria Math" w:hAnsi="Cambria Math"/>
            <w:sz w:val="22"/>
            <w:szCs w:val="20"/>
          </w:rPr>
          <m:t xml:space="preserve">+ </m:t>
        </m:r>
        <m:sSub>
          <m:sSubPr>
            <m:ctrlPr>
              <w:rPr>
                <w:rFonts w:ascii="Cambria Math" w:hAnsi="Cambria Math"/>
                <w:i/>
                <w:sz w:val="22"/>
                <w:szCs w:val="20"/>
              </w:rPr>
            </m:ctrlPr>
          </m:sSubPr>
          <m:e>
            <m:r>
              <w:rPr>
                <w:rFonts w:ascii="Cambria Math" w:hAnsi="Cambria Math"/>
                <w:sz w:val="22"/>
                <w:szCs w:val="20"/>
              </w:rPr>
              <m:t>β</m:t>
            </m:r>
          </m:e>
          <m:sub>
            <m:r>
              <w:rPr>
                <w:rFonts w:ascii="Cambria Math" w:hAnsi="Cambria Math"/>
                <w:sz w:val="22"/>
                <w:szCs w:val="20"/>
              </w:rPr>
              <m:t>5</m:t>
            </m:r>
          </m:sub>
        </m:sSub>
        <m:func>
          <m:funcPr>
            <m:ctrlPr>
              <w:rPr>
                <w:rFonts w:ascii="Cambria Math" w:hAnsi="Cambria Math"/>
                <w:i/>
                <w:sz w:val="22"/>
                <w:szCs w:val="20"/>
              </w:rPr>
            </m:ctrlPr>
          </m:funcPr>
          <m:fName>
            <m:r>
              <m:rPr>
                <m:sty m:val="p"/>
              </m:rPr>
              <w:rPr>
                <w:rFonts w:ascii="Cambria Math" w:hAnsi="Cambria Math"/>
                <w:sz w:val="22"/>
                <w:szCs w:val="20"/>
              </w:rPr>
              <m:t>sin</m:t>
            </m:r>
          </m:fName>
          <m:e>
            <m:d>
              <m:dPr>
                <m:ctrlPr>
                  <w:rPr>
                    <w:rFonts w:ascii="Cambria Math" w:hAnsi="Cambria Math"/>
                    <w:i/>
                    <w:sz w:val="22"/>
                    <w:szCs w:val="20"/>
                  </w:rPr>
                </m:ctrlPr>
              </m:dPr>
              <m:e>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18.6</m:t>
                    </m:r>
                  </m:den>
                </m:f>
                <m:r>
                  <m:rPr>
                    <m:sty m:val="p"/>
                  </m:rPr>
                  <w:rPr>
                    <w:rFonts w:ascii="Cambria Math" w:eastAsiaTheme="minorEastAsia" w:hAnsi="Cambria Math"/>
                  </w:rPr>
                  <m:t xml:space="preserve"> </m:t>
                </m:r>
                <m:r>
                  <w:rPr>
                    <w:rFonts w:ascii="Cambria Math" w:hAnsi="Cambria Math"/>
                    <w:sz w:val="22"/>
                    <w:szCs w:val="20"/>
                  </w:rPr>
                  <m:t>t</m:t>
                </m:r>
              </m:e>
            </m:d>
          </m:e>
        </m:func>
        <m:r>
          <w:rPr>
            <w:rFonts w:ascii="Cambria Math" w:hAnsi="Cambria Math"/>
            <w:sz w:val="22"/>
            <w:szCs w:val="20"/>
          </w:rPr>
          <m:t xml:space="preserve"> </m:t>
        </m:r>
      </m:oMath>
      <w:r w:rsidR="0049566C">
        <w:rPr>
          <w:rFonts w:eastAsiaTheme="minorEastAsia"/>
          <w:sz w:val="22"/>
          <w:szCs w:val="20"/>
        </w:rPr>
        <w:t xml:space="preserve">     </w:t>
      </w:r>
      <w:r w:rsidR="0049566C">
        <w:rPr>
          <w:rFonts w:eastAsiaTheme="minorEastAsia"/>
        </w:rPr>
        <w:t>(8</w:t>
      </w:r>
      <w:r w:rsidR="00DE5D33">
        <w:rPr>
          <w:rFonts w:eastAsiaTheme="minorEastAsia"/>
        </w:rPr>
        <w:t>)</w:t>
      </w:r>
    </w:p>
    <w:p w14:paraId="7E795994" w14:textId="16218C5C" w:rsidR="00DE5D33" w:rsidRDefault="00DE5D33" w:rsidP="00DE5D33">
      <w:pPr>
        <w:ind w:firstLine="0"/>
        <w:rPr>
          <w:rFonts w:eastAsiaTheme="minorEastAsia"/>
        </w:rPr>
      </w:pPr>
      <w:r w:rsidRPr="02656F89">
        <w:rPr>
          <w:rFonts w:eastAsiaTheme="minorEastAsia"/>
        </w:rPr>
        <w:t xml:space="preserve">The amplitudes of </w:t>
      </w:r>
      <w:r w:rsidR="006354F3">
        <w:rPr>
          <w:rFonts w:eastAsiaTheme="minorEastAsia"/>
        </w:rPr>
        <w:t>the 4.4-yr and 18.6-yr modulation</w:t>
      </w:r>
      <w:r w:rsidR="008E1FCB">
        <w:rPr>
          <w:rFonts w:eastAsiaTheme="minorEastAsia"/>
        </w:rPr>
        <w:t xml:space="preserve"> in 100-ESL are</w:t>
      </w:r>
      <w:r>
        <w:rPr>
          <w:rFonts w:eastAsiaTheme="minorEastAsia"/>
        </w:rPr>
        <w:t xml:space="preserve"> computed </w:t>
      </w:r>
      <w:r w:rsidR="00615B65">
        <w:rPr>
          <w:rFonts w:eastAsiaTheme="minorEastAsia"/>
        </w:rPr>
        <w:t>as</w:t>
      </w:r>
    </w:p>
    <w:p w14:paraId="106E8572" w14:textId="2ACABC08" w:rsidR="00DE5D33" w:rsidRDefault="00DA15A3" w:rsidP="00DE5D33">
      <w:pPr>
        <w:ind w:firstLine="0"/>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4.4</m:t>
            </m:r>
          </m:sub>
        </m:sSub>
        <m:r>
          <w:rPr>
            <w:rFonts w:ascii="Cambria Math" w:eastAsiaTheme="minorEastAsia" w:hAnsi="Cambria Math"/>
          </w:rPr>
          <m:t xml:space="preserve">= </m:t>
        </m:r>
        <m:rad>
          <m:radPr>
            <m:degHide m:val="1"/>
            <m:ctrlPr>
              <w:rPr>
                <w:rFonts w:ascii="Cambria Math" w:eastAsiaTheme="minorEastAsia" w:hAnsi="Cambria Math"/>
                <w:i/>
              </w:rPr>
            </m:ctrlPr>
          </m:radPr>
          <m:deg/>
          <m:e>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3</m:t>
                </m:r>
              </m:sub>
              <m:sup>
                <m:r>
                  <w:rPr>
                    <w:rFonts w:ascii="Cambria Math" w:eastAsiaTheme="minorEastAsia" w:hAnsi="Cambria Math"/>
                  </w:rPr>
                  <m:t>2</m:t>
                </m:r>
              </m:sup>
            </m:sSubSup>
          </m:e>
        </m:rad>
      </m:oMath>
      <w:r w:rsidR="008E1FCB">
        <w:rPr>
          <w:rFonts w:eastAsiaTheme="minorEastAsia"/>
        </w:rPr>
        <w:tab/>
        <w:t xml:space="preserve"> </w:t>
      </w:r>
      <w:r w:rsidR="0049566C">
        <w:rPr>
          <w:rFonts w:eastAsiaTheme="minorEastAsia"/>
        </w:rPr>
        <w:t xml:space="preserve">  </w:t>
      </w:r>
      <w:r w:rsidR="008E1FCB">
        <w:rPr>
          <w:rFonts w:eastAsiaTheme="minorEastAsia"/>
        </w:rPr>
        <w:tab/>
      </w:r>
      <w:r w:rsidR="008E1FCB">
        <w:rPr>
          <w:rFonts w:eastAsiaTheme="minorEastAsia"/>
        </w:rPr>
        <w:tab/>
      </w:r>
      <w:r w:rsidR="008E1FCB">
        <w:rPr>
          <w:rFonts w:eastAsiaTheme="minorEastAsia"/>
        </w:rPr>
        <w:tab/>
      </w:r>
      <w:r w:rsidR="008E1FCB">
        <w:rPr>
          <w:rFonts w:eastAsiaTheme="minorEastAsia"/>
        </w:rPr>
        <w:tab/>
      </w:r>
      <w:r w:rsidR="008E1FCB">
        <w:rPr>
          <w:rFonts w:eastAsiaTheme="minorEastAsia"/>
        </w:rPr>
        <w:tab/>
      </w:r>
      <w:r w:rsidR="008E1FCB">
        <w:rPr>
          <w:rFonts w:eastAsiaTheme="minorEastAsia"/>
        </w:rPr>
        <w:tab/>
      </w:r>
      <w:r w:rsidR="008E1FCB">
        <w:rPr>
          <w:rFonts w:eastAsiaTheme="minorEastAsia"/>
        </w:rPr>
        <w:tab/>
        <w:t xml:space="preserve">     </w:t>
      </w:r>
      <w:r w:rsidR="0049566C">
        <w:rPr>
          <w:rFonts w:eastAsiaTheme="minorEastAsia"/>
        </w:rPr>
        <w:t xml:space="preserve">             (9)</w:t>
      </w:r>
    </w:p>
    <w:p w14:paraId="19661FFD" w14:textId="276F3FBC" w:rsidR="00DE5D33" w:rsidRDefault="00DA15A3" w:rsidP="00DE5D33">
      <w:pPr>
        <w:ind w:firstLine="0"/>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18.6</m:t>
            </m:r>
          </m:sub>
        </m:sSub>
        <m:r>
          <w:rPr>
            <w:rFonts w:ascii="Cambria Math" w:eastAsiaTheme="minorEastAsia" w:hAnsi="Cambria Math"/>
          </w:rPr>
          <m:t xml:space="preserve">= </m:t>
        </m:r>
        <m:rad>
          <m:radPr>
            <m:degHide m:val="1"/>
            <m:ctrlPr>
              <w:rPr>
                <w:rFonts w:ascii="Cambria Math" w:eastAsiaTheme="minorEastAsia" w:hAnsi="Cambria Math"/>
                <w:i/>
              </w:rPr>
            </m:ctrlPr>
          </m:radPr>
          <m:deg/>
          <m:e>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4</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5</m:t>
                </m:r>
              </m:sub>
              <m:sup>
                <m:r>
                  <w:rPr>
                    <w:rFonts w:ascii="Cambria Math" w:eastAsiaTheme="minorEastAsia" w:hAnsi="Cambria Math"/>
                  </w:rPr>
                  <m:t>2</m:t>
                </m:r>
              </m:sup>
            </m:sSubSup>
          </m:e>
        </m:rad>
      </m:oMath>
      <w:r w:rsidR="008E1FCB">
        <w:rPr>
          <w:rFonts w:eastAsiaTheme="minorEastAsia"/>
        </w:rPr>
        <w:tab/>
        <w:t xml:space="preserve"> </w:t>
      </w:r>
      <w:r w:rsidR="008E1FCB">
        <w:rPr>
          <w:rFonts w:eastAsiaTheme="minorEastAsia"/>
        </w:rPr>
        <w:tab/>
      </w:r>
      <w:r w:rsidR="008E1FCB">
        <w:rPr>
          <w:rFonts w:eastAsiaTheme="minorEastAsia"/>
        </w:rPr>
        <w:tab/>
      </w:r>
      <w:r w:rsidR="008E1FCB">
        <w:rPr>
          <w:rFonts w:eastAsiaTheme="minorEastAsia"/>
        </w:rPr>
        <w:tab/>
      </w:r>
      <w:r w:rsidR="008E1FCB">
        <w:rPr>
          <w:rFonts w:eastAsiaTheme="minorEastAsia"/>
        </w:rPr>
        <w:tab/>
      </w:r>
      <w:r w:rsidR="008E1FCB">
        <w:rPr>
          <w:rFonts w:eastAsiaTheme="minorEastAsia"/>
        </w:rPr>
        <w:tab/>
      </w:r>
      <w:r w:rsidR="008E1FCB">
        <w:rPr>
          <w:rFonts w:eastAsiaTheme="minorEastAsia"/>
        </w:rPr>
        <w:tab/>
      </w:r>
      <w:r w:rsidR="008E1FCB">
        <w:rPr>
          <w:rFonts w:eastAsiaTheme="minorEastAsia"/>
        </w:rPr>
        <w:tab/>
        <w:t xml:space="preserve">    </w:t>
      </w:r>
      <w:r w:rsidR="0049566C">
        <w:rPr>
          <w:rFonts w:eastAsiaTheme="minorEastAsia"/>
        </w:rPr>
        <w:t xml:space="preserve">            </w:t>
      </w:r>
      <w:r w:rsidR="008E1FCB">
        <w:rPr>
          <w:rFonts w:eastAsiaTheme="minorEastAsia"/>
        </w:rPr>
        <w:t xml:space="preserve"> </w:t>
      </w:r>
      <w:r w:rsidR="0049566C">
        <w:rPr>
          <w:rFonts w:eastAsiaTheme="minorEastAsia"/>
        </w:rPr>
        <w:t>(10</w:t>
      </w:r>
      <w:r w:rsidR="00DE5D33">
        <w:rPr>
          <w:rFonts w:eastAsiaTheme="minorEastAsia"/>
        </w:rPr>
        <w:t>)</w:t>
      </w:r>
    </w:p>
    <w:p w14:paraId="718B63BE" w14:textId="1E255AED" w:rsidR="006354F3" w:rsidRDefault="00DE5D33" w:rsidP="008E1FCB">
      <w:pPr>
        <w:ind w:firstLine="0"/>
        <w:rPr>
          <w:rFonts w:eastAsiaTheme="minorEastAsia"/>
        </w:rPr>
      </w:pPr>
      <w:r w:rsidRPr="4D484CA9">
        <w:rPr>
          <w:rFonts w:eastAsiaTheme="minorEastAsia"/>
        </w:rPr>
        <w:t xml:space="preserve">The </w:t>
      </w:r>
      <w:r>
        <w:rPr>
          <w:rFonts w:eastAsiaTheme="minorEastAsia"/>
        </w:rPr>
        <w:t xml:space="preserve">total </w:t>
      </w:r>
      <w:r w:rsidRPr="4D484CA9">
        <w:rPr>
          <w:rFonts w:eastAsiaTheme="minorEastAsia"/>
        </w:rPr>
        <w:t xml:space="preserve">amplitude of the </w:t>
      </w:r>
      <w:r>
        <w:rPr>
          <w:rFonts w:eastAsiaTheme="minorEastAsia"/>
        </w:rPr>
        <w:t>long-term tidal</w:t>
      </w:r>
      <w:r w:rsidRPr="4D484CA9">
        <w:rPr>
          <w:rFonts w:eastAsiaTheme="minorEastAsia"/>
        </w:rPr>
        <w:t xml:space="preserve"> modulations </w:t>
      </w:r>
      <w:r>
        <w:rPr>
          <w:rFonts w:eastAsiaTheme="minorEastAsia"/>
        </w:rPr>
        <w:t>in</w:t>
      </w:r>
      <w:r w:rsidRPr="4D484CA9">
        <w:rPr>
          <w:rFonts w:eastAsiaTheme="minorEastAsia"/>
        </w:rPr>
        <w:t xml:space="preserve"> </w:t>
      </w:r>
      <w:r>
        <w:rPr>
          <w:rFonts w:eastAsiaTheme="minorEastAsia"/>
        </w:rPr>
        <w:t>100-ESL is defined as</w:t>
      </w:r>
      <w:r w:rsidR="002122DF">
        <w:rPr>
          <w:rFonts w:eastAsiaTheme="minorEastAsia"/>
        </w:rPr>
        <w:t xml:space="preserve"> the sum of</w:t>
      </w:r>
      <w:r>
        <w:rPr>
          <w:rFonts w:eastAsiaTheme="minorEastAsia"/>
        </w:rPr>
        <w:t xml:space="preserve"> </w:t>
      </w:r>
      <m:oMath>
        <m:sSub>
          <m:sSubPr>
            <m:ctrlPr>
              <w:rPr>
                <w:rFonts w:ascii="Cambria Math" w:hAnsi="Cambria Math"/>
                <w:i/>
              </w:rPr>
            </m:ctrlPr>
          </m:sSubPr>
          <m:e>
            <m:r>
              <w:rPr>
                <w:rFonts w:ascii="Cambria Math" w:hAnsi="Cambria Math"/>
              </w:rPr>
              <m:t>A</m:t>
            </m:r>
          </m:e>
          <m:sub>
            <m:r>
              <w:rPr>
                <w:rFonts w:ascii="Cambria Math" w:hAnsi="Cambria Math"/>
              </w:rPr>
              <m:t>4.4</m:t>
            </m:r>
          </m:sub>
        </m:sSub>
      </m:oMath>
      <w:r w:rsidR="002122DF">
        <w:rPr>
          <w:rFonts w:eastAsiaTheme="minorEastAsia"/>
        </w:rPr>
        <w:t xml:space="preserve"> and </w:t>
      </w:r>
      <m:oMath>
        <m:sSub>
          <m:sSubPr>
            <m:ctrlPr>
              <w:rPr>
                <w:rFonts w:ascii="Cambria Math" w:hAnsi="Cambria Math"/>
                <w:i/>
              </w:rPr>
            </m:ctrlPr>
          </m:sSubPr>
          <m:e>
            <m:r>
              <w:rPr>
                <w:rFonts w:ascii="Cambria Math" w:hAnsi="Cambria Math"/>
              </w:rPr>
              <m:t>A</m:t>
            </m:r>
          </m:e>
          <m:sub>
            <m:r>
              <w:rPr>
                <w:rFonts w:ascii="Cambria Math" w:hAnsi="Cambria Math"/>
              </w:rPr>
              <m:t>18.6</m:t>
            </m:r>
          </m:sub>
        </m:sSub>
      </m:oMath>
      <w:r w:rsidR="002122DF">
        <w:rPr>
          <w:rFonts w:eastAsiaTheme="minorEastAsia"/>
        </w:rPr>
        <w:t xml:space="preserve">. </w:t>
      </w:r>
      <w:r w:rsidRPr="4D484CA9">
        <w:rPr>
          <w:rFonts w:eastAsiaTheme="minorEastAsia"/>
        </w:rPr>
        <w:t xml:space="preserve">The average </w:t>
      </w:r>
      <w:r>
        <w:rPr>
          <w:rFonts w:eastAsiaTheme="minorEastAsia"/>
        </w:rPr>
        <w:t>100-ESL</w:t>
      </w:r>
      <w:r w:rsidRPr="4D484CA9">
        <w:rPr>
          <w:rFonts w:eastAsiaTheme="minorEastAsia"/>
        </w:rPr>
        <w:t xml:space="preserve"> </w:t>
      </w:r>
      <w:r>
        <w:rPr>
          <w:rFonts w:eastAsiaTheme="minorEastAsia"/>
        </w:rPr>
        <w:t>(</w:t>
      </w:r>
      <m:oMath>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acc>
          <m:accPr>
            <m:chr m:val="̅"/>
            <m:ctrlPr>
              <w:rPr>
                <w:rFonts w:ascii="Cambria Math" w:hAnsi="Cambria Math"/>
                <w:i/>
              </w:rPr>
            </m:ctrlPr>
          </m:accPr>
          <m:e>
            <m:r>
              <w:rPr>
                <w:rFonts w:ascii="Cambria Math" w:hAnsi="Cambria Math"/>
              </w:rPr>
              <m:t>t</m:t>
            </m:r>
          </m:e>
        </m:acc>
        <m:r>
          <w:rPr>
            <w:rFonts w:ascii="Cambria Math" w:hAnsi="Cambria Math"/>
          </w:rPr>
          <m:t xml:space="preserve">) </m:t>
        </m:r>
      </m:oMath>
      <w:r w:rsidRPr="4D484CA9">
        <w:rPr>
          <w:rFonts w:eastAsiaTheme="minorEastAsia"/>
        </w:rPr>
        <w:t xml:space="preserve">is then combined with the </w:t>
      </w:r>
      <w:r w:rsidR="002122DF">
        <w:rPr>
          <w:rFonts w:eastAsiaTheme="minorEastAsia"/>
        </w:rPr>
        <w:t xml:space="preserve">4.4-yr and </w:t>
      </w:r>
      <w:r>
        <w:rPr>
          <w:rFonts w:eastAsiaTheme="minorEastAsia"/>
        </w:rPr>
        <w:t>18.6-</w:t>
      </w:r>
      <w:r w:rsidR="002122DF">
        <w:rPr>
          <w:rFonts w:eastAsiaTheme="minorEastAsia"/>
        </w:rPr>
        <w:t>yr</w:t>
      </w:r>
      <w:r w:rsidRPr="4D484CA9">
        <w:rPr>
          <w:rFonts w:eastAsiaTheme="minorEastAsia"/>
        </w:rPr>
        <w:t xml:space="preserve"> </w:t>
      </w:r>
      <w:r>
        <w:rPr>
          <w:rFonts w:eastAsiaTheme="minorEastAsia"/>
        </w:rPr>
        <w:t>amplitudes</w:t>
      </w:r>
      <w:r w:rsidRPr="4D484CA9">
        <w:rPr>
          <w:rFonts w:eastAsiaTheme="minorEastAsia"/>
        </w:rPr>
        <w:t xml:space="preserve"> to assess the </w:t>
      </w:r>
      <w:proofErr w:type="gramStart"/>
      <w:r w:rsidRPr="4D484CA9">
        <w:rPr>
          <w:rFonts w:eastAsiaTheme="minorEastAsia"/>
        </w:rPr>
        <w:t>tidally-induced</w:t>
      </w:r>
      <w:proofErr w:type="gramEnd"/>
      <w:r w:rsidRPr="4D484CA9">
        <w:rPr>
          <w:rFonts w:eastAsiaTheme="minorEastAsia"/>
        </w:rPr>
        <w:t xml:space="preserve"> changes in flood </w:t>
      </w:r>
      <w:r>
        <w:rPr>
          <w:rFonts w:eastAsiaTheme="minorEastAsia"/>
        </w:rPr>
        <w:t>hazard during a</w:t>
      </w:r>
      <w:r w:rsidRPr="4D484CA9">
        <w:rPr>
          <w:rFonts w:eastAsiaTheme="minorEastAsia"/>
        </w:rPr>
        <w:t xml:space="preserve"> </w:t>
      </w:r>
      <w:r>
        <w:rPr>
          <w:rFonts w:eastAsiaTheme="minorEastAsia"/>
        </w:rPr>
        <w:t>crest</w:t>
      </w:r>
      <w:r w:rsidRPr="4D484CA9">
        <w:rPr>
          <w:rFonts w:eastAsiaTheme="minor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C</m:t>
            </m:r>
          </m:sub>
        </m:sSub>
      </m:oMath>
      <w:r w:rsidRPr="4D484CA9">
        <w:rPr>
          <w:rFonts w:eastAsiaTheme="minorEastAsia"/>
        </w:rPr>
        <w:t xml:space="preserve">) and </w:t>
      </w:r>
      <w:r>
        <w:rPr>
          <w:rFonts w:eastAsiaTheme="minorEastAsia"/>
        </w:rPr>
        <w:t>a trough</w:t>
      </w:r>
      <w:r w:rsidRPr="4D484CA9">
        <w:rPr>
          <w:rFonts w:eastAsiaTheme="minor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T</m:t>
            </m:r>
          </m:sub>
        </m:sSub>
      </m:oMath>
      <w:r w:rsidRPr="4D484CA9">
        <w:rPr>
          <w:rFonts w:eastAsiaTheme="minorEastAsia"/>
        </w:rPr>
        <w:t xml:space="preserve">) </w:t>
      </w:r>
      <w:r>
        <w:rPr>
          <w:rFonts w:eastAsiaTheme="minorEastAsia"/>
        </w:rPr>
        <w:t>of the long-term tidal cycles</w:t>
      </w:r>
      <w:r w:rsidR="006354F3">
        <w:rPr>
          <w:rFonts w:eastAsiaTheme="minorEastAsia"/>
        </w:rPr>
        <w:t>:</w:t>
      </w:r>
    </w:p>
    <w:p w14:paraId="2F8FE856" w14:textId="6F0AD08A" w:rsidR="006354F3" w:rsidRDefault="00DA15A3" w:rsidP="008E1FCB">
      <w:pPr>
        <w:ind w:firstLine="0"/>
        <w:rPr>
          <w:rFonts w:eastAsiaTheme="minorEastAsia"/>
        </w:rPr>
      </w:p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 xml:space="preserve">C </m:t>
            </m:r>
          </m:sub>
        </m:sSub>
        <m:r>
          <w:rPr>
            <w:rFonts w:ascii="Cambria Math" w:eastAsiaTheme="minorEastAsia"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acc>
          <m:accPr>
            <m:chr m:val="̅"/>
            <m:ctrlPr>
              <w:rPr>
                <w:rFonts w:ascii="Cambria Math" w:hAnsi="Cambria Math"/>
                <w:i/>
              </w:rPr>
            </m:ctrlPr>
          </m:accPr>
          <m:e>
            <m:r>
              <w:rPr>
                <w:rFonts w:ascii="Cambria Math" w:hAnsi="Cambria Math"/>
              </w:rPr>
              <m:t>t</m:t>
            </m:r>
          </m:e>
        </m:acc>
        <m:r>
          <w:rPr>
            <w:rFonts w:ascii="Cambria Math" w:eastAsiaTheme="minorEastAsia"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4.4</m:t>
            </m:r>
          </m:sub>
        </m:sSub>
        <m:r>
          <w:rPr>
            <w:rFonts w:ascii="Cambria Math" w:eastAsiaTheme="minorEastAsia" w:hAnsi="Cambria Math"/>
          </w:rPr>
          <m:t>+</m:t>
        </m:r>
        <m:sSub>
          <m:sSubPr>
            <m:ctrlPr>
              <w:rPr>
                <w:rFonts w:ascii="Cambria Math" w:hAnsi="Cambria Math"/>
                <w:i/>
              </w:rPr>
            </m:ctrlPr>
          </m:sSubPr>
          <m:e>
            <m:r>
              <w:rPr>
                <w:rFonts w:ascii="Cambria Math" w:hAnsi="Cambria Math"/>
              </w:rPr>
              <m:t>A</m:t>
            </m:r>
          </m:e>
          <m:sub>
            <m:r>
              <w:rPr>
                <w:rFonts w:ascii="Cambria Math" w:hAnsi="Cambria Math"/>
              </w:rPr>
              <m:t>18.6</m:t>
            </m:r>
          </m:sub>
        </m:sSub>
      </m:oMath>
      <w:r w:rsidR="006354F3">
        <w:rPr>
          <w:rFonts w:eastAsiaTheme="minorEastAsia"/>
        </w:rPr>
        <w:tab/>
      </w:r>
      <w:r w:rsidR="006354F3">
        <w:rPr>
          <w:rFonts w:eastAsiaTheme="minorEastAsia"/>
        </w:rPr>
        <w:tab/>
      </w:r>
      <w:r w:rsidR="006354F3">
        <w:rPr>
          <w:rFonts w:eastAsiaTheme="minorEastAsia"/>
        </w:rPr>
        <w:tab/>
      </w:r>
      <w:r w:rsidR="006354F3">
        <w:rPr>
          <w:rFonts w:eastAsiaTheme="minorEastAsia"/>
        </w:rPr>
        <w:tab/>
      </w:r>
      <w:r w:rsidR="006354F3">
        <w:rPr>
          <w:rFonts w:eastAsiaTheme="minorEastAsia"/>
        </w:rPr>
        <w:tab/>
      </w:r>
      <w:r w:rsidR="006354F3">
        <w:rPr>
          <w:rFonts w:eastAsiaTheme="minorEastAsia"/>
        </w:rPr>
        <w:tab/>
      </w:r>
      <w:r w:rsidR="006354F3">
        <w:rPr>
          <w:rFonts w:eastAsiaTheme="minorEastAsia"/>
        </w:rPr>
        <w:tab/>
        <w:t xml:space="preserve">     (11)</w:t>
      </w:r>
    </w:p>
    <w:p w14:paraId="39538AF2" w14:textId="23262BCD" w:rsidR="006354F3" w:rsidRDefault="00DA15A3" w:rsidP="008E1FCB">
      <w:pPr>
        <w:ind w:firstLine="0"/>
        <w:rPr>
          <w:rFonts w:eastAsiaTheme="minorEastAsia"/>
        </w:rPr>
      </w:p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 xml:space="preserve">T </m:t>
            </m:r>
          </m:sub>
        </m:sSub>
        <m:r>
          <w:rPr>
            <w:rFonts w:ascii="Cambria Math" w:eastAsiaTheme="minorEastAsia"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acc>
          <m:accPr>
            <m:chr m:val="̅"/>
            <m:ctrlPr>
              <w:rPr>
                <w:rFonts w:ascii="Cambria Math" w:hAnsi="Cambria Math"/>
                <w:i/>
              </w:rPr>
            </m:ctrlPr>
          </m:accPr>
          <m:e>
            <m:r>
              <w:rPr>
                <w:rFonts w:ascii="Cambria Math" w:hAnsi="Cambria Math"/>
              </w:rPr>
              <m:t>t</m:t>
            </m:r>
          </m:e>
        </m:acc>
        <m:r>
          <w:rPr>
            <w:rFonts w:ascii="Cambria Math" w:eastAsiaTheme="minorEastAsia" w:hAnsi="Cambria Math"/>
          </w:rPr>
          <m:t>-</m:t>
        </m:r>
        <m:sSub>
          <m:sSubPr>
            <m:ctrlPr>
              <w:rPr>
                <w:rFonts w:ascii="Cambria Math" w:hAnsi="Cambria Math"/>
                <w:i/>
              </w:rPr>
            </m:ctrlPr>
          </m:sSubPr>
          <m:e>
            <m:r>
              <w:rPr>
                <w:rFonts w:ascii="Cambria Math" w:hAnsi="Cambria Math"/>
              </w:rPr>
              <m:t>A</m:t>
            </m:r>
          </m:e>
          <m:sub>
            <m:r>
              <w:rPr>
                <w:rFonts w:ascii="Cambria Math" w:hAnsi="Cambria Math"/>
              </w:rPr>
              <m:t>4.4</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18.6</m:t>
            </m:r>
          </m:sub>
        </m:sSub>
      </m:oMath>
      <w:r w:rsidR="006354F3">
        <w:rPr>
          <w:rFonts w:eastAsiaTheme="minorEastAsia"/>
        </w:rPr>
        <w:tab/>
      </w:r>
      <w:r w:rsidR="006354F3">
        <w:rPr>
          <w:rFonts w:eastAsiaTheme="minorEastAsia"/>
        </w:rPr>
        <w:tab/>
      </w:r>
      <w:r w:rsidR="006354F3">
        <w:rPr>
          <w:rFonts w:eastAsiaTheme="minorEastAsia"/>
        </w:rPr>
        <w:tab/>
      </w:r>
      <w:r w:rsidR="006354F3">
        <w:rPr>
          <w:rFonts w:eastAsiaTheme="minorEastAsia"/>
        </w:rPr>
        <w:tab/>
      </w:r>
      <w:r w:rsidR="006354F3">
        <w:rPr>
          <w:rFonts w:eastAsiaTheme="minorEastAsia"/>
        </w:rPr>
        <w:tab/>
      </w:r>
      <w:r w:rsidR="006354F3">
        <w:rPr>
          <w:rFonts w:eastAsiaTheme="minorEastAsia"/>
        </w:rPr>
        <w:tab/>
      </w:r>
      <w:r w:rsidR="006354F3">
        <w:rPr>
          <w:rFonts w:eastAsiaTheme="minorEastAsia"/>
        </w:rPr>
        <w:tab/>
        <w:t xml:space="preserve">     (12)</w:t>
      </w:r>
    </w:p>
    <w:p w14:paraId="202A77C9" w14:textId="1D04206A" w:rsidR="00DE5D33" w:rsidRPr="00C779E8" w:rsidRDefault="00D500FC" w:rsidP="00C779E8">
      <w:pPr>
        <w:pStyle w:val="Alex"/>
        <w:rPr>
          <w:lang w:val="en-US"/>
        </w:rPr>
      </w:pPr>
      <w:r w:rsidRPr="00C779E8">
        <w:rPr>
          <w:lang w:val="en-US"/>
        </w:rPr>
        <w:t>Finally, t</w:t>
      </w:r>
      <w:r w:rsidR="00DE5D33" w:rsidRPr="00C779E8">
        <w:rPr>
          <w:lang w:val="en-US"/>
        </w:rPr>
        <w:t>he relative importance of the two cycles in modulating 100-ESL is calculated as the ratio of the amplitude of the 18.6-y</w:t>
      </w:r>
      <w:r w:rsidR="00C779E8" w:rsidRPr="00C779E8">
        <w:rPr>
          <w:lang w:val="en-US"/>
        </w:rPr>
        <w:t>r</w:t>
      </w:r>
      <w:r w:rsidR="00DE5D33" w:rsidRPr="00C779E8">
        <w:rPr>
          <w:lang w:val="en-US"/>
        </w:rPr>
        <w:t xml:space="preserve"> modulation in 100-ESL to the combined amplitude of </w:t>
      </w:r>
      <w:r w:rsidR="00C779E8">
        <w:rPr>
          <w:lang w:val="en-US"/>
        </w:rPr>
        <w:t xml:space="preserve">4.4-yr and </w:t>
      </w:r>
      <w:r w:rsidR="00DE5D33" w:rsidRPr="00C779E8">
        <w:rPr>
          <w:lang w:val="en-US"/>
        </w:rPr>
        <w:t>18.6-</w:t>
      </w:r>
      <w:r w:rsidR="00C779E8">
        <w:rPr>
          <w:lang w:val="en-US"/>
        </w:rPr>
        <w:t>yr</w:t>
      </w:r>
      <w:r w:rsidR="00DE5D33" w:rsidRPr="00C779E8">
        <w:rPr>
          <w:lang w:val="en-US"/>
        </w:rPr>
        <w:t xml:space="preserve"> modulations:</w:t>
      </w:r>
    </w:p>
    <w:p w14:paraId="1842209B" w14:textId="35C8605C" w:rsidR="00DE5D33" w:rsidRDefault="00DA15A3" w:rsidP="00DE5D33">
      <w:pPr>
        <w:rPr>
          <w:rFonts w:eastAsiaTheme="minorEastAsia"/>
        </w:rPr>
      </w:pPr>
      <m:oMath>
        <m:f>
          <m:fPr>
            <m:ctrlPr>
              <w:rPr>
                <w:rFonts w:ascii="Cambria Math" w:eastAsiaTheme="minorEastAsia" w:hAnsi="Cambria Math"/>
                <w:i/>
                <w:sz w:val="28"/>
                <w:szCs w:val="24"/>
              </w:rPr>
            </m:ctrlPr>
          </m:fPr>
          <m:num>
            <m:sSub>
              <m:sSubPr>
                <m:ctrlPr>
                  <w:rPr>
                    <w:rFonts w:ascii="Cambria Math" w:eastAsiaTheme="minorEastAsia" w:hAnsi="Cambria Math"/>
                    <w:i/>
                    <w:sz w:val="28"/>
                    <w:szCs w:val="24"/>
                  </w:rPr>
                </m:ctrlPr>
              </m:sSubPr>
              <m:e>
                <m:r>
                  <w:rPr>
                    <w:rFonts w:ascii="Cambria Math" w:eastAsiaTheme="minorEastAsia" w:hAnsi="Cambria Math"/>
                    <w:sz w:val="28"/>
                    <w:szCs w:val="24"/>
                  </w:rPr>
                  <m:t>A</m:t>
                </m:r>
              </m:e>
              <m:sub>
                <m:r>
                  <w:rPr>
                    <w:rFonts w:ascii="Cambria Math" w:eastAsiaTheme="minorEastAsia" w:hAnsi="Cambria Math"/>
                    <w:sz w:val="28"/>
                    <w:szCs w:val="24"/>
                  </w:rPr>
                  <m:t>18.6</m:t>
                </m:r>
              </m:sub>
            </m:sSub>
          </m:num>
          <m:den>
            <m:sSub>
              <m:sSubPr>
                <m:ctrlPr>
                  <w:rPr>
                    <w:rFonts w:ascii="Cambria Math" w:eastAsiaTheme="minorEastAsia" w:hAnsi="Cambria Math"/>
                    <w:i/>
                    <w:sz w:val="28"/>
                    <w:szCs w:val="24"/>
                  </w:rPr>
                </m:ctrlPr>
              </m:sSubPr>
              <m:e>
                <m:r>
                  <w:rPr>
                    <w:rFonts w:ascii="Cambria Math" w:eastAsiaTheme="minorEastAsia" w:hAnsi="Cambria Math"/>
                    <w:sz w:val="28"/>
                    <w:szCs w:val="24"/>
                  </w:rPr>
                  <m:t>A</m:t>
                </m:r>
              </m:e>
              <m:sub>
                <m:r>
                  <w:rPr>
                    <w:rFonts w:ascii="Cambria Math" w:eastAsiaTheme="minorEastAsia" w:hAnsi="Cambria Math"/>
                    <w:sz w:val="28"/>
                    <w:szCs w:val="24"/>
                  </w:rPr>
                  <m:t>4.4</m:t>
                </m:r>
              </m:sub>
            </m:sSub>
            <m:r>
              <w:rPr>
                <w:rFonts w:ascii="Cambria Math" w:eastAsiaTheme="minorEastAsia" w:hAnsi="Cambria Math"/>
                <w:sz w:val="28"/>
                <w:szCs w:val="24"/>
              </w:rPr>
              <m:t>+</m:t>
            </m:r>
            <m:sSub>
              <m:sSubPr>
                <m:ctrlPr>
                  <w:rPr>
                    <w:rFonts w:ascii="Cambria Math" w:eastAsiaTheme="minorEastAsia" w:hAnsi="Cambria Math"/>
                    <w:i/>
                    <w:sz w:val="28"/>
                    <w:szCs w:val="24"/>
                  </w:rPr>
                </m:ctrlPr>
              </m:sSubPr>
              <m:e>
                <m:r>
                  <w:rPr>
                    <w:rFonts w:ascii="Cambria Math" w:eastAsiaTheme="minorEastAsia" w:hAnsi="Cambria Math"/>
                    <w:sz w:val="28"/>
                    <w:szCs w:val="24"/>
                  </w:rPr>
                  <m:t>A</m:t>
                </m:r>
              </m:e>
              <m:sub>
                <m:r>
                  <w:rPr>
                    <w:rFonts w:ascii="Cambria Math" w:eastAsiaTheme="minorEastAsia" w:hAnsi="Cambria Math"/>
                    <w:sz w:val="28"/>
                    <w:szCs w:val="24"/>
                  </w:rPr>
                  <m:t>18.6</m:t>
                </m:r>
              </m:sub>
            </m:sSub>
          </m:den>
        </m:f>
        <m:r>
          <w:rPr>
            <w:rFonts w:ascii="Cambria Math" w:eastAsiaTheme="minorEastAsia" w:hAnsi="Cambria Math"/>
            <w:sz w:val="28"/>
            <w:szCs w:val="24"/>
          </w:rPr>
          <m:t xml:space="preserve"> </m:t>
        </m:r>
      </m:oMath>
      <w:r w:rsidR="00DE5D33">
        <w:rPr>
          <w:rFonts w:eastAsiaTheme="minorEastAsia"/>
        </w:rPr>
        <w:t xml:space="preserve">                                                                                          </w:t>
      </w:r>
      <w:r w:rsidR="00C779E8">
        <w:rPr>
          <w:rFonts w:eastAsiaTheme="minorEastAsia"/>
        </w:rPr>
        <w:t xml:space="preserve">                          (</w:t>
      </w:r>
      <w:r w:rsidR="006354F3">
        <w:rPr>
          <w:rFonts w:eastAsiaTheme="minorEastAsia"/>
        </w:rPr>
        <w:t>13</w:t>
      </w:r>
      <w:r w:rsidR="00DE5D33">
        <w:rPr>
          <w:rFonts w:eastAsiaTheme="minorEastAsia"/>
        </w:rPr>
        <w:t>)</w:t>
      </w:r>
    </w:p>
    <w:p w14:paraId="3BE991D5" w14:textId="6E528B0C" w:rsidR="00DE5D33" w:rsidRPr="001E4461" w:rsidRDefault="00DE5D33" w:rsidP="00DE5D33">
      <w:pPr>
        <w:rPr>
          <w:rFonts w:eastAsiaTheme="minorEastAsia"/>
        </w:rPr>
      </w:pPr>
      <w:r w:rsidRPr="4D484CA9">
        <w:rPr>
          <w:rFonts w:eastAsiaTheme="minorEastAsia"/>
        </w:rPr>
        <w:t xml:space="preserve">The statistical significance of the </w:t>
      </w:r>
      <w:r>
        <w:rPr>
          <w:rFonts w:eastAsiaTheme="minorEastAsia"/>
        </w:rPr>
        <w:t>long-term tidal</w:t>
      </w:r>
      <w:r w:rsidRPr="4D484CA9">
        <w:rPr>
          <w:rFonts w:eastAsiaTheme="minorEastAsia"/>
        </w:rPr>
        <w:t xml:space="preserve"> modulation</w:t>
      </w:r>
      <w:r>
        <w:rPr>
          <w:rFonts w:eastAsiaTheme="minorEastAsia"/>
        </w:rPr>
        <w:t>s</w:t>
      </w:r>
      <w:r w:rsidRPr="4D484CA9">
        <w:rPr>
          <w:rFonts w:eastAsiaTheme="minorEastAsia"/>
        </w:rPr>
        <w:t xml:space="preserve"> </w:t>
      </w:r>
      <w:r>
        <w:rPr>
          <w:rFonts w:eastAsiaTheme="minorEastAsia"/>
        </w:rPr>
        <w:t>i</w:t>
      </w:r>
      <w:r w:rsidRPr="4D484CA9">
        <w:rPr>
          <w:rFonts w:eastAsiaTheme="minorEastAsia"/>
        </w:rPr>
        <w:t xml:space="preserve">n </w:t>
      </w:r>
      <w:r>
        <w:rPr>
          <w:rFonts w:eastAsiaTheme="minorEastAsia"/>
        </w:rPr>
        <w:t>100-ESL</w:t>
      </w:r>
      <w:r w:rsidRPr="4D484CA9">
        <w:rPr>
          <w:rFonts w:eastAsiaTheme="minorEastAsia"/>
        </w:rPr>
        <w:t xml:space="preserve"> is assessed by computing the </w:t>
      </w:r>
      <w:r>
        <w:rPr>
          <w:rFonts w:eastAsiaTheme="minorEastAsia"/>
        </w:rPr>
        <w:t>0</w:t>
      </w:r>
      <w:r w:rsidRPr="4D484CA9">
        <w:rPr>
          <w:rFonts w:eastAsiaTheme="minorEastAsia"/>
        </w:rPr>
        <w:t>.9</w:t>
      </w:r>
      <w:r>
        <w:rPr>
          <w:rFonts w:eastAsiaTheme="minorEastAsia"/>
        </w:rPr>
        <w:t>5</w:t>
      </w:r>
      <w:r w:rsidRPr="4D484CA9">
        <w:rPr>
          <w:rFonts w:eastAsiaTheme="minorEastAsia"/>
        </w:rPr>
        <w:t xml:space="preserve"> confidence interval of each parameter in </w:t>
      </w:r>
      <w:r w:rsidRPr="006354F3">
        <w:rPr>
          <w:rFonts w:eastAsiaTheme="minorEastAsia"/>
        </w:rPr>
        <w:t xml:space="preserve">Equation </w:t>
      </w:r>
      <w:r w:rsidR="0049566C">
        <w:rPr>
          <w:rFonts w:eastAsiaTheme="minorEastAsia"/>
        </w:rPr>
        <w:t>8</w:t>
      </w:r>
      <w:r w:rsidRPr="4D484CA9">
        <w:rPr>
          <w:rFonts w:eastAsiaTheme="minorEastAsia"/>
        </w:rPr>
        <w:t>.</w:t>
      </w:r>
    </w:p>
    <w:p w14:paraId="0A8C62B6" w14:textId="77777777" w:rsidR="00DE5D33" w:rsidRDefault="00DE5D33" w:rsidP="00DE5D33">
      <w:pPr>
        <w:ind w:firstLine="0"/>
      </w:pPr>
    </w:p>
    <w:p w14:paraId="46B39AC9" w14:textId="77777777" w:rsidR="00DE5D33" w:rsidRPr="00E41D1F" w:rsidRDefault="00DE5D33" w:rsidP="007F4569">
      <w:pPr>
        <w:pStyle w:val="ListParagraph"/>
        <w:numPr>
          <w:ilvl w:val="1"/>
          <w:numId w:val="15"/>
        </w:numPr>
        <w:rPr>
          <w:b/>
          <w:bCs/>
        </w:rPr>
      </w:pPr>
      <w:r>
        <w:rPr>
          <w:b/>
          <w:bCs/>
        </w:rPr>
        <w:t xml:space="preserve">Mapping flood </w:t>
      </w:r>
      <w:r w:rsidRPr="23E2D115">
        <w:rPr>
          <w:b/>
          <w:bCs/>
        </w:rPr>
        <w:t>hazard</w:t>
      </w:r>
    </w:p>
    <w:p w14:paraId="7345F379" w14:textId="66CF714B" w:rsidR="00DE5D33" w:rsidRDefault="00DE5D33" w:rsidP="00DE5D33">
      <w:r>
        <w:lastRenderedPageBreak/>
        <w:t xml:space="preserve">Changes in the flood extension derived from the </w:t>
      </w:r>
      <w:proofErr w:type="gramStart"/>
      <w:r>
        <w:t>tidally-induced</w:t>
      </w:r>
      <w:proofErr w:type="gramEnd"/>
      <w:r>
        <w:t xml:space="preserve"> variations in extreme sea levels are estimated </w:t>
      </w:r>
      <w:r w:rsidR="00972B97">
        <w:t xml:space="preserve">for </w:t>
      </w:r>
      <w:r>
        <w:t xml:space="preserve">the four </w:t>
      </w:r>
      <w:r w:rsidR="00972B97">
        <w:t xml:space="preserve">case </w:t>
      </w:r>
      <w:r>
        <w:t>stud</w:t>
      </w:r>
      <w:r w:rsidR="00972B97">
        <w:t>ies</w:t>
      </w:r>
      <w:r>
        <w:t xml:space="preserve"> (Section 2.2). We map the area inundated by the water level corresponding to the variation of the 100-ESL due to the long-term tidal cycles. We use a </w:t>
      </w:r>
      <w:r w:rsidR="00F50E0D">
        <w:t>static</w:t>
      </w:r>
      <w:r>
        <w:t xml:space="preserve"> inundation approach in which areas hydraulically connected with the sea and below a specific water level are considered flooded. The inundation method is developed in MATLAB by making use of a preprocessing image software package. Thus, we can identify the hydrologic connections with the sea and the extension of the flooded areas under different water levels with a low computational cost. </w:t>
      </w:r>
    </w:p>
    <w:p w14:paraId="5D9A5CB8" w14:textId="77777777" w:rsidR="00DE5D33" w:rsidRDefault="00DE5D33" w:rsidP="00DE5D33">
      <w:r>
        <w:t xml:space="preserve">The methodology is based on the identification and delimitation of all independent polygons present in a two-dimensional grid. We convert the positive (land) and negative (water) values in the DEM into a mask of zeros and ones, respectively, transforming the DEM into a black and white image. We then apply the image preprocessing software to find all polygons included in the grid and identify those areas connected to the sea (i.e., included in the polygon defined as “sea”). The flooded area is obtained as the difference between the area of the “sea-polygon” under non-flooding conditions (i.e., the original DEM) and the area of the “sea-polygon” obtained after inundating the DEM (reducing the elevations by a specific water level). </w:t>
      </w:r>
    </w:p>
    <w:p w14:paraId="05E3F11D" w14:textId="77777777" w:rsidR="00DE5D33" w:rsidRDefault="00DE5D33" w:rsidP="00DE5D33">
      <w:r>
        <w:t xml:space="preserve">We acknowledge that dynamic inundation models, if run at sufficiently high resolution to resolve urban infrastructure, could produce more accurate absolute results in terms of the flood extent, but our focus here is on assessing the differences when using two 100-ESL values modulated only by long-period tidal fluctuations. Hence the simplistic but computationally more efficient static approach is preferred. </w:t>
      </w:r>
    </w:p>
    <w:p w14:paraId="14A59917" w14:textId="27A73A61" w:rsidR="00DE5D33" w:rsidRDefault="00DE5D33" w:rsidP="00F310F4">
      <w:pPr>
        <w:rPr>
          <w:rFonts w:eastAsiaTheme="minorEastAsia"/>
        </w:rPr>
      </w:pPr>
      <w:r>
        <w:t>The impact of the long-term tidal modulations in 100-ESL on the estimated flood extent is estimated by comparing the area flooded by a 100-ESL under a po</w:t>
      </w:r>
      <w:r w:rsidR="00C04C6B">
        <w:t xml:space="preserve">sitive phase of the modulation </w:t>
      </w:r>
      <w:r>
        <w:rPr>
          <w:rFonts w:eastAsiaTheme="minorEastAsia"/>
        </w:rPr>
        <w:t>and under a negative phase</w:t>
      </w:r>
      <w:r w:rsidR="00F310F4">
        <w:rPr>
          <w:rFonts w:eastAsiaTheme="minorEastAsia"/>
        </w:rPr>
        <w:t xml:space="preserve">. The area flooded under a positive phase of both cycles, </w:t>
      </w:r>
      <m:oMath>
        <m:sSub>
          <m:sSubPr>
            <m:ctrlPr>
              <w:rPr>
                <w:rFonts w:ascii="Cambria Math" w:hAnsi="Cambria Math"/>
                <w:i/>
              </w:rPr>
            </m:ctrlPr>
          </m:sSubPr>
          <m:e>
            <m:r>
              <w:rPr>
                <w:rFonts w:ascii="Cambria Math" w:hAnsi="Cambria Math"/>
              </w:rPr>
              <m:t>AF</m:t>
            </m:r>
          </m:e>
          <m:sub>
            <m:r>
              <w:rPr>
                <w:rFonts w:ascii="Cambria Math" w:hAnsi="Cambria Math"/>
              </w:rPr>
              <m:t>C</m:t>
            </m:r>
          </m:sub>
        </m:sSub>
      </m:oMath>
      <w:r w:rsidR="00F310F4">
        <w:rPr>
          <w:rFonts w:eastAsiaTheme="minorEastAsia"/>
        </w:rPr>
        <w:t xml:space="preserve">, is obtained by running the inundation tool under a </w:t>
      </w:r>
      <m:oMath>
        <m:sSub>
          <m:sSubPr>
            <m:ctrlPr>
              <w:rPr>
                <w:rFonts w:ascii="Cambria Math" w:hAnsi="Cambria Math"/>
                <w:i/>
              </w:rPr>
            </m:ctrlPr>
          </m:sSubPr>
          <m:e>
            <m:r>
              <w:rPr>
                <w:rFonts w:ascii="Cambria Math" w:hAnsi="Cambria Math"/>
              </w:rPr>
              <m:t>M</m:t>
            </m:r>
          </m:e>
          <m:sub>
            <m:r>
              <w:rPr>
                <w:rFonts w:ascii="Cambria Math" w:hAnsi="Cambria Math"/>
              </w:rPr>
              <m:t>C</m:t>
            </m:r>
          </m:sub>
        </m:sSub>
      </m:oMath>
      <w:r w:rsidR="00F310F4">
        <w:rPr>
          <w:rFonts w:eastAsiaTheme="minorEastAsia"/>
        </w:rPr>
        <w:t xml:space="preserve"> water level, while </w:t>
      </w:r>
      <m:oMath>
        <m:sSub>
          <m:sSubPr>
            <m:ctrlPr>
              <w:rPr>
                <w:rFonts w:ascii="Cambria Math" w:hAnsi="Cambria Math"/>
                <w:i/>
              </w:rPr>
            </m:ctrlPr>
          </m:sSubPr>
          <m:e>
            <m:r>
              <w:rPr>
                <w:rFonts w:ascii="Cambria Math" w:hAnsi="Cambria Math"/>
              </w:rPr>
              <m:t>M</m:t>
            </m:r>
          </m:e>
          <m:sub>
            <m:r>
              <w:rPr>
                <w:rFonts w:ascii="Cambria Math" w:hAnsi="Cambria Math"/>
              </w:rPr>
              <m:t>T</m:t>
            </m:r>
          </m:sub>
        </m:sSub>
      </m:oMath>
      <w:r w:rsidR="00F310F4">
        <w:rPr>
          <w:rFonts w:eastAsiaTheme="minorEastAsia"/>
        </w:rPr>
        <w:t xml:space="preserve"> is used to measure the area flooded in a negative phase, </w:t>
      </w:r>
      <m:oMath>
        <m:sSub>
          <m:sSubPr>
            <m:ctrlPr>
              <w:rPr>
                <w:rFonts w:ascii="Cambria Math" w:hAnsi="Cambria Math"/>
                <w:i/>
              </w:rPr>
            </m:ctrlPr>
          </m:sSubPr>
          <m:e>
            <m:r>
              <w:rPr>
                <w:rFonts w:ascii="Cambria Math" w:hAnsi="Cambria Math"/>
              </w:rPr>
              <m:t>AF</m:t>
            </m:r>
          </m:e>
          <m:sub>
            <m:r>
              <w:rPr>
                <w:rFonts w:ascii="Cambria Math" w:hAnsi="Cambria Math"/>
              </w:rPr>
              <m:t>T</m:t>
            </m:r>
          </m:sub>
        </m:sSub>
      </m:oMath>
      <w:r w:rsidR="00F310F4">
        <w:rPr>
          <w:rFonts w:eastAsiaTheme="minorEastAsia"/>
        </w:rPr>
        <w:t>. The</w:t>
      </w:r>
      <w:r>
        <w:rPr>
          <w:rFonts w:eastAsiaTheme="minorEastAsia"/>
        </w:rPr>
        <w:t xml:space="preserve"> difference in the areas is then computed as the ratio in % of change over the largest flooded area:</w:t>
      </w:r>
    </w:p>
    <w:p w14:paraId="2FEEB9A2" w14:textId="4DBE12BB" w:rsidR="00DE5D33" w:rsidRDefault="00DE5D33" w:rsidP="00E32C33">
      <w:pPr>
        <w:ind w:firstLine="0"/>
      </w:pPr>
      <m:oMath>
        <m:r>
          <w:rPr>
            <w:rFonts w:ascii="Cambria Math" w:hAnsi="Cambria Math"/>
          </w:rPr>
          <m:t xml:space="preserve">∆F= </m:t>
        </m:r>
        <m:f>
          <m:fPr>
            <m:ctrlPr>
              <w:rPr>
                <w:rFonts w:ascii="Cambria Math" w:hAnsi="Cambria Math"/>
                <w:i/>
              </w:rPr>
            </m:ctrlPr>
          </m:fPr>
          <m:num>
            <m:sSub>
              <m:sSubPr>
                <m:ctrlPr>
                  <w:rPr>
                    <w:rFonts w:ascii="Cambria Math" w:hAnsi="Cambria Math"/>
                    <w:i/>
                  </w:rPr>
                </m:ctrlPr>
              </m:sSubPr>
              <m:e>
                <m:r>
                  <w:rPr>
                    <w:rFonts w:ascii="Cambria Math" w:hAnsi="Cambria Math"/>
                  </w:rPr>
                  <m:t>AF</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AF</m:t>
                </m:r>
              </m:e>
              <m:sub>
                <m:r>
                  <w:rPr>
                    <w:rFonts w:ascii="Cambria Math" w:hAnsi="Cambria Math"/>
                  </w:rPr>
                  <m:t>T</m:t>
                </m:r>
              </m:sub>
            </m:sSub>
          </m:num>
          <m:den>
            <m:sSub>
              <m:sSubPr>
                <m:ctrlPr>
                  <w:rPr>
                    <w:rFonts w:ascii="Cambria Math" w:hAnsi="Cambria Math"/>
                    <w:i/>
                  </w:rPr>
                </m:ctrlPr>
              </m:sSubPr>
              <m:e>
                <m:r>
                  <w:rPr>
                    <w:rFonts w:ascii="Cambria Math" w:hAnsi="Cambria Math"/>
                  </w:rPr>
                  <m:t>AF</m:t>
                </m:r>
              </m:e>
              <m:sub>
                <m:r>
                  <w:rPr>
                    <w:rFonts w:ascii="Cambria Math" w:hAnsi="Cambria Math"/>
                  </w:rPr>
                  <m:t>C</m:t>
                </m:r>
              </m:sub>
            </m:sSub>
          </m:den>
        </m:f>
        <m:r>
          <w:rPr>
            <w:rFonts w:ascii="Cambria Math" w:eastAsiaTheme="minorEastAsia" w:hAnsi="Cambria Math"/>
          </w:rPr>
          <m:t xml:space="preserve"> x 100</m:t>
        </m:r>
      </m:oMath>
      <w:r w:rsidR="001C09B6">
        <w:rPr>
          <w:rFonts w:eastAsiaTheme="minorEastAsia"/>
        </w:rPr>
        <w:tab/>
      </w:r>
      <w:r w:rsidR="001C09B6">
        <w:rPr>
          <w:rFonts w:eastAsiaTheme="minorEastAsia"/>
        </w:rPr>
        <w:tab/>
      </w:r>
      <w:r w:rsidR="00E32C33">
        <w:rPr>
          <w:rFonts w:eastAsiaTheme="minorEastAsia"/>
        </w:rPr>
        <w:tab/>
      </w:r>
      <w:r w:rsidR="00E32C33">
        <w:rPr>
          <w:rFonts w:eastAsiaTheme="minorEastAsia"/>
        </w:rPr>
        <w:tab/>
      </w:r>
      <w:r w:rsidR="001C09B6">
        <w:rPr>
          <w:rFonts w:eastAsiaTheme="minorEastAsia"/>
        </w:rPr>
        <w:tab/>
      </w:r>
      <w:r w:rsidR="001C09B6">
        <w:rPr>
          <w:rFonts w:eastAsiaTheme="minorEastAsia"/>
        </w:rPr>
        <w:tab/>
      </w:r>
      <w:r w:rsidR="001C09B6">
        <w:rPr>
          <w:rFonts w:eastAsiaTheme="minorEastAsia"/>
        </w:rPr>
        <w:tab/>
      </w:r>
      <w:r w:rsidR="001C09B6">
        <w:rPr>
          <w:rFonts w:eastAsiaTheme="minorEastAsia"/>
        </w:rPr>
        <w:tab/>
      </w:r>
      <w:r w:rsidR="001C09B6">
        <w:rPr>
          <w:rFonts w:eastAsiaTheme="minorEastAsia"/>
        </w:rPr>
        <w:tab/>
        <w:t xml:space="preserve">    </w:t>
      </w:r>
      <w:r>
        <w:rPr>
          <w:rFonts w:eastAsiaTheme="minorEastAsia"/>
        </w:rPr>
        <w:t xml:space="preserve"> (</w:t>
      </w:r>
      <w:r w:rsidR="00E32C33">
        <w:rPr>
          <w:rFonts w:eastAsiaTheme="minorEastAsia"/>
        </w:rPr>
        <w:t>14</w:t>
      </w:r>
      <w:r>
        <w:rPr>
          <w:rFonts w:eastAsiaTheme="minorEastAsia"/>
        </w:rPr>
        <w:t>)</w:t>
      </w:r>
    </w:p>
    <w:p w14:paraId="7454511E" w14:textId="74BD2945" w:rsidR="00DE5D33" w:rsidRDefault="00DE5D33" w:rsidP="001C09B6">
      <w:pPr>
        <w:ind w:firstLine="0"/>
      </w:pPr>
      <w:r>
        <w:rPr>
          <w:rFonts w:eastAsiaTheme="minorEastAsia"/>
        </w:rPr>
        <w:t xml:space="preserve">Thus, </w:t>
      </w:r>
      <m:oMath>
        <m:r>
          <w:rPr>
            <w:rFonts w:ascii="Cambria Math" w:hAnsi="Cambria Math"/>
          </w:rPr>
          <m:t>∆F</m:t>
        </m:r>
      </m:oMath>
      <w:r>
        <w:rPr>
          <w:rFonts w:eastAsiaTheme="minorEastAsia"/>
        </w:rPr>
        <w:t xml:space="preserve"> is the ratio of change in flooded area.</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w:t>
      </w:r>
    </w:p>
    <w:p w14:paraId="61B8E0DC" w14:textId="77777777" w:rsidR="00DE5D33" w:rsidRDefault="00DE5D33" w:rsidP="00DE5D33"/>
    <w:p w14:paraId="187EA1EC" w14:textId="7F43309B" w:rsidR="00DE5D33" w:rsidRPr="0049566C" w:rsidRDefault="00DE5D33" w:rsidP="0049566C">
      <w:pPr>
        <w:pStyle w:val="ListParagraph"/>
        <w:numPr>
          <w:ilvl w:val="0"/>
          <w:numId w:val="9"/>
        </w:numPr>
        <w:rPr>
          <w:b/>
          <w:bCs/>
        </w:rPr>
      </w:pPr>
      <w:r w:rsidRPr="00FD4430">
        <w:rPr>
          <w:b/>
          <w:bCs/>
        </w:rPr>
        <w:t>Results</w:t>
      </w:r>
    </w:p>
    <w:p w14:paraId="4D168B10" w14:textId="77777777" w:rsidR="00DE5D33" w:rsidRPr="005D3327" w:rsidRDefault="00DE5D33" w:rsidP="00DE5D33">
      <w:pPr>
        <w:pStyle w:val="ListParagraph"/>
        <w:numPr>
          <w:ilvl w:val="1"/>
          <w:numId w:val="16"/>
        </w:numPr>
        <w:rPr>
          <w:b/>
          <w:bCs/>
        </w:rPr>
      </w:pPr>
      <w:proofErr w:type="gramStart"/>
      <w:r w:rsidRPr="005D3327">
        <w:rPr>
          <w:b/>
          <w:bCs/>
        </w:rPr>
        <w:t>Tidally-induced</w:t>
      </w:r>
      <w:proofErr w:type="gramEnd"/>
      <w:r w:rsidRPr="005D3327">
        <w:rPr>
          <w:b/>
          <w:bCs/>
        </w:rPr>
        <w:t xml:space="preserve"> changes in 100-ESL</w:t>
      </w:r>
    </w:p>
    <w:p w14:paraId="74E1C4B8" w14:textId="35464B0C" w:rsidR="00DE5D33" w:rsidRDefault="00DE5D33" w:rsidP="00DE5D33">
      <w:r>
        <w:rPr>
          <w:rFonts w:eastAsiaTheme="minorEastAsia"/>
        </w:rPr>
        <w:lastRenderedPageBreak/>
        <w:t>We find statistically significant long-term tidal modulations in 100-ESL at 380 of the 581 tide gauges</w:t>
      </w:r>
      <w:r w:rsidRPr="23E2D115">
        <w:rPr>
          <w:rFonts w:eastAsiaTheme="minorEastAsia"/>
        </w:rPr>
        <w:t xml:space="preserve"> (</w:t>
      </w:r>
      <w:r>
        <w:rPr>
          <w:rFonts w:eastAsiaTheme="minorEastAsia"/>
        </w:rPr>
        <w:t>65.4</w:t>
      </w:r>
      <w:r w:rsidRPr="23E2D115">
        <w:rPr>
          <w:rFonts w:eastAsiaTheme="minorEastAsia"/>
        </w:rPr>
        <w:t>%)</w:t>
      </w:r>
      <w:r>
        <w:rPr>
          <w:rFonts w:eastAsiaTheme="minorEastAsia"/>
        </w:rPr>
        <w:t>. The</w:t>
      </w:r>
      <w:r w:rsidR="00C02024">
        <w:rPr>
          <w:rFonts w:eastAsiaTheme="minorEastAsia"/>
        </w:rPr>
        <w:t xml:space="preserve"> 4.4-yr cycle is present at 240 tide gauges while the</w:t>
      </w:r>
      <w:r>
        <w:rPr>
          <w:rFonts w:eastAsiaTheme="minorEastAsia"/>
        </w:rPr>
        <w:t xml:space="preserve"> 18.6-y</w:t>
      </w:r>
      <w:r w:rsidR="00C02024">
        <w:rPr>
          <w:rFonts w:eastAsiaTheme="minorEastAsia"/>
        </w:rPr>
        <w:t>r</w:t>
      </w:r>
      <w:r>
        <w:rPr>
          <w:rFonts w:eastAsiaTheme="minorEastAsia"/>
        </w:rPr>
        <w:t xml:space="preserve"> cycle is </w:t>
      </w:r>
      <w:r w:rsidR="0049566C">
        <w:rPr>
          <w:rFonts w:eastAsiaTheme="minorEastAsia"/>
        </w:rPr>
        <w:t>signif</w:t>
      </w:r>
      <w:r w:rsidR="000B217B">
        <w:rPr>
          <w:rFonts w:eastAsiaTheme="minorEastAsia"/>
        </w:rPr>
        <w:t>i</w:t>
      </w:r>
      <w:r w:rsidR="0049566C">
        <w:rPr>
          <w:rFonts w:eastAsiaTheme="minorEastAsia"/>
        </w:rPr>
        <w:t>cant</w:t>
      </w:r>
      <w:r>
        <w:rPr>
          <w:rFonts w:eastAsiaTheme="minorEastAsia"/>
        </w:rPr>
        <w:t xml:space="preserve"> at 292 tide gauges</w:t>
      </w:r>
      <w:r w:rsidR="00C02024">
        <w:rPr>
          <w:rFonts w:eastAsiaTheme="minorEastAsia"/>
        </w:rPr>
        <w:t xml:space="preserve"> (note that both cycles can be significant at the same tide gauge)</w:t>
      </w:r>
      <w:r w:rsidRPr="23E2D115">
        <w:rPr>
          <w:rFonts w:eastAsiaTheme="minorEastAsia"/>
        </w:rPr>
        <w:t>.</w:t>
      </w:r>
      <w:r w:rsidRPr="1E896CEA">
        <w:rPr>
          <w:rFonts w:eastAsiaTheme="minorEastAsia"/>
        </w:rPr>
        <w:t xml:space="preserve"> </w:t>
      </w:r>
      <w:r w:rsidR="0049566C">
        <w:t>Figure 1</w:t>
      </w:r>
      <w:r>
        <w:t xml:space="preserve"> shows, as an example, the annual (colored lines) and time-averaged (bold dashed black line) sea level exceedance curves for five sites located in areas with different tidal regimes: 1. Fremantle in Australia (diurnal), 2. San Francisco in the U.S. (mixed mainly semidiurnal), 3. Cristobal in Panama (mixed mainly diurnal), 4. Vigo in Spain (semidiurnal), and 5. Nagoya in Japan (mixed mainly semidiurnal). The tidal regime for each station is shown in</w:t>
      </w:r>
      <w:r w:rsidRPr="00020EF3">
        <w:t xml:space="preserve"> </w:t>
      </w:r>
      <w:r w:rsidRPr="00E40A69">
        <w:t xml:space="preserve">Figure </w:t>
      </w:r>
      <w:r w:rsidR="00A864D2" w:rsidRPr="00E40A69">
        <w:t>S1</w:t>
      </w:r>
      <w:r w:rsidR="00020EF3" w:rsidRPr="00E40A69">
        <w:t xml:space="preserve"> (Supplementary</w:t>
      </w:r>
      <w:r w:rsidR="00020EF3">
        <w:t xml:space="preserve"> Material)</w:t>
      </w:r>
      <w:r>
        <w:t>. In some areas, such as Fremantle and San Francisco, a secular temporal evolution is clear; most recent return period curves are located above the time-averaged curve, i.e., a particular sea level would have a higher probability of occurrence in recent years.</w:t>
      </w:r>
      <w:r w:rsidRPr="00E85CE2">
        <w:t xml:space="preserve"> </w:t>
      </w:r>
      <w:r w:rsidR="00A864D2">
        <w:t>In Figure 1</w:t>
      </w:r>
      <w:r>
        <w:t>, the annual 100-ESL corresponds to those values falling on the vertical red dashed line.</w:t>
      </w:r>
    </w:p>
    <w:p w14:paraId="1444B3DE" w14:textId="102491D7" w:rsidR="00DE5D33" w:rsidRDefault="00A864D2" w:rsidP="00AD6DD6">
      <w:r>
        <w:t>Figure 2</w:t>
      </w:r>
      <w:r w:rsidR="00DE5D33">
        <w:t xml:space="preserve"> displays the annual 100-ESL (black lines) as well </w:t>
      </w:r>
      <w:r w:rsidR="00DE5D33" w:rsidRPr="00CD2D39">
        <w:t>as</w:t>
      </w:r>
      <w:r w:rsidR="00DE5D33">
        <w:t xml:space="preserve"> the harmonic </w:t>
      </w:r>
      <w:r w:rsidR="00972B97">
        <w:t xml:space="preserve">fits </w:t>
      </w:r>
      <w:r w:rsidR="00DE5D33">
        <w:t>(red bold line</w:t>
      </w:r>
      <w:r w:rsidR="00972B97">
        <w:t>s</w:t>
      </w:r>
      <w:r w:rsidR="00DE5D33">
        <w:t xml:space="preserve">) resulting from </w:t>
      </w:r>
      <w:r w:rsidR="00DE5D33" w:rsidRPr="00E40A69">
        <w:t xml:space="preserve">Equation </w:t>
      </w:r>
      <w:r w:rsidR="00E40A69">
        <w:t>8</w:t>
      </w:r>
      <w:r w:rsidR="00DE5D33">
        <w:t xml:space="preserve">, for the same </w:t>
      </w:r>
      <w:r>
        <w:t>five locations shown in Figure 1</w:t>
      </w:r>
      <w:r w:rsidR="00DE5D33">
        <w:t xml:space="preserve">. Note that the long-term tidal modulations in 100-ESL in Freemantle, San Francisco, and Cristobal are out of phase with Vigo and Nagoya. The phases of the </w:t>
      </w:r>
      <w:r w:rsidR="00C02024">
        <w:t xml:space="preserve">4.4-yr </w:t>
      </w:r>
      <w:r w:rsidR="00DE5D33">
        <w:t xml:space="preserve">and </w:t>
      </w:r>
      <w:r w:rsidR="00C02024">
        <w:t>18.6</w:t>
      </w:r>
      <w:r w:rsidR="00DE5D33">
        <w:t>-y</w:t>
      </w:r>
      <w:r w:rsidR="00C02024">
        <w:t>r</w:t>
      </w:r>
      <w:r w:rsidR="00DE5D33">
        <w:t xml:space="preserve"> signals depend on the form of the tide; based on equilibrium theory, when the nodal modulation of diurnal tides is at a maximum, the nodal modulation of semidiurnal tides is at a minimum</w:t>
      </w:r>
      <w:r w:rsidR="00C02024">
        <w:t xml:space="preserve"> </w:t>
      </w:r>
      <w:r w:rsidR="00C02024">
        <w:fldChar w:fldCharType="begin" w:fldLock="1"/>
      </w:r>
      <w:r w:rsidR="0042575E">
        <w:instrText>ADDIN CSL_CITATION {"citationItems":[{"id":"ITEM-1","itemData":{"ISBN":"1107028191","author":[{"dropping-particle":"","family":"Pugh","given":"David","non-dropping-particle":"","parse-names":false,"suffix":""},{"dropping-particle":"","family":"Woodworth","given":"Philip","non-dropping-particle":"","parse-names":false,"suffix":""}],"chapter-number":"Chapter 3.","container-title":"Sea-level science: understanding tides, surges, tsunamis and mean sea-level changes","id":"ITEM-1","issued":{"date-parts":[["2014"]]},"publisher":"Cambridge University Press","title":"Tidal forces (Chapter 3)","type":"chapter"},"uris":["http://www.mendeley.com/documents/?uuid=5ebc69e6-8c7a-4ee6-b71a-e09fa5d40963"]}],"mendeley":{"formattedCitation":"(D. Pugh &amp; Woodworth, 2014b)","manualFormatting":"(Pugh &amp; Woodworth, 2014b)","plainTextFormattedCitation":"(D. Pugh &amp; Woodworth, 2014b)","previouslyFormattedCitation":"(D. Pugh &amp; Woodworth, 2014b)"},"properties":{"noteIndex":0},"schema":"https://github.com/citation-style-language/schema/raw/master/csl-citation.json"}</w:instrText>
      </w:r>
      <w:r w:rsidR="00C02024">
        <w:fldChar w:fldCharType="separate"/>
      </w:r>
      <w:r w:rsidR="00D975B4" w:rsidRPr="00D975B4">
        <w:rPr>
          <w:noProof/>
        </w:rPr>
        <w:t>(Pugh &amp; Woodworth, 2014b)</w:t>
      </w:r>
      <w:r w:rsidR="00C02024">
        <w:fldChar w:fldCharType="end"/>
      </w:r>
      <w:r w:rsidR="00DE5D33">
        <w:t xml:space="preserve">. Thus, the results for Fremantle, Cristobal, Vigo, and Nagoya agree with the equilibrium theory. San Francisco, however, last peaked in 2008, corresponding with the nodal modulation of diurnal tides. </w:t>
      </w:r>
      <w:r w:rsidR="00AD6DD6">
        <w:t xml:space="preserve">This results reflects the </w:t>
      </w:r>
      <w:r w:rsidR="00AD6DD6">
        <w:rPr>
          <w:rFonts w:ascii="TimesNewRoman" w:hAnsi="TimesNewRoman" w:cs="TimesNewRoman"/>
          <w:szCs w:val="24"/>
        </w:rPr>
        <w:t xml:space="preserve">strong diurnal signal in San Francisco </w:t>
      </w:r>
      <w:r w:rsidR="00AD6DD6">
        <w:fldChar w:fldCharType="begin" w:fldLock="1"/>
      </w:r>
      <w:r w:rsidR="004A6E7D">
        <w:instrText>ADDIN CSL_CITATION {"citationItems":[{"id":"ITEM-1","itemData":{"author":[{"dropping-particle":"","family":"Parker","given":"Bruce B.","non-dropping-particle":"","parse-names":false,"suffix":""}],"container-title":"Tidal Analysis and Prediction","id":"ITEM-1","issued":{"date-parts":[["2007"]]},"publisher":"NOAA Special Publication NOS CO-OPS 3","publisher-place":"Silver Spring, Maryland","title":"Chapter 6. Nonharmonic Analysis of Water Level and Current Data","type":"chapter"},"uris":["http://www.mendeley.com/documents/?uuid=fcf6fb9a-eebe-408d-bd88-14810332d275"]},{"id":"ITEM-2","itemData":{"author":[{"dropping-particle":"","family":"Zetler","given":"B. D.","non-dropping-particle":"","parse-names":false,"suffix":""},{"dropping-particle":"","family":"Flick","given":"R.E.","non-dropping-particle":"","parse-names":false,"suffix":""}],"container-title":"Journal of physical oceanography","id":"ITEM-2","issue":"3","issued":{"date-parts":[["1985"]]},"page":"357-359","title":"Predicted extreme high tides for mixed-tide regimes","type":"article-journal","volume":"15"},"uris":["http://www.mendeley.com/documents/?uuid=a45b9957-9c0c-4e01-89fe-ab2621d9d5cd"]}],"mendeley":{"formattedCitation":"(Parker, 2007; Zetler &amp; Flick, 1985)","plainTextFormattedCitation":"(Parker, 2007; Zetler &amp; Flick, 1985)","previouslyFormattedCitation":"(Parker, 2007)"},"properties":{"noteIndex":0},"schema":"https://github.com/citation-style-language/schema/raw/master/csl-citation.json"}</w:instrText>
      </w:r>
      <w:r w:rsidR="00AD6DD6">
        <w:fldChar w:fldCharType="separate"/>
      </w:r>
      <w:r w:rsidR="004A6E7D" w:rsidRPr="004A6E7D">
        <w:rPr>
          <w:noProof/>
        </w:rPr>
        <w:t>(Parker, 2007</w:t>
      </w:r>
      <w:r w:rsidR="00820D4F" w:rsidRPr="004A6E7D">
        <w:rPr>
          <w:noProof/>
        </w:rPr>
        <w:t>; Zetler &amp; Flick, 1985</w:t>
      </w:r>
      <w:r w:rsidR="004A6E7D" w:rsidRPr="004A6E7D">
        <w:rPr>
          <w:noProof/>
        </w:rPr>
        <w:t>)</w:t>
      </w:r>
      <w:r w:rsidR="00AD6DD6">
        <w:fldChar w:fldCharType="end"/>
      </w:r>
      <w:r w:rsidR="00AD6DD6">
        <w:t xml:space="preserve">, </w:t>
      </w:r>
      <w:r w:rsidR="00DE5D33">
        <w:t xml:space="preserve">the </w:t>
      </w:r>
      <w:r w:rsidR="00C9386D">
        <w:t>influence of diurnal constituents on Mean Higher High Water</w:t>
      </w:r>
      <w:r w:rsidR="00B11D34">
        <w:t xml:space="preserve"> (MHHW)</w:t>
      </w:r>
      <w:r w:rsidR="00C9386D">
        <w:t xml:space="preserve">, and their larger </w:t>
      </w:r>
      <w:r w:rsidR="00F61252">
        <w:t>nodal variabili</w:t>
      </w:r>
      <w:r w:rsidR="00C9386D">
        <w:t>ty.</w:t>
      </w:r>
      <w:r w:rsidR="00F61252">
        <w:t xml:space="preserve"> Astronomical forcing induces a 23% and 37.4% variability in the primary K1 and O1 constituents over half a nodal cycle, but only ~7.5% for M2 </w:t>
      </w:r>
      <w:r w:rsidR="00D975B4">
        <w:fldChar w:fldCharType="begin" w:fldLock="1"/>
      </w:r>
      <w:r w:rsidR="0042575E">
        <w:instrText>ADDIN CSL_CITATION {"citationItems":[{"id":"ITEM-1","itemData":{"author":[{"dropping-particle":"","family":"Pugh","given":"David T","non-dropping-particle":"","parse-names":false,"suffix":""}],"id":"ITEM-1","issued":{"date-parts":[["1987"]]},"publisher":"John Wiley and Sons Inc., New York, NY","title":"Tides, surges and mean sea level","type":"article-journal"},"uris":["http://www.mendeley.com/documents/?uuid=f063b6ea-ebbb-4129-bc77-ab81d707a188"]}],"mendeley":{"formattedCitation":"(D. T. Pugh, 1987)","manualFormatting":"(Pugh, 1987)","plainTextFormattedCitation":"(D. T. Pugh, 1987)","previouslyFormattedCitation":"(D. T. Pugh, 1987)"},"properties":{"noteIndex":0},"schema":"https://github.com/citation-style-language/schema/raw/master/csl-citation.json"}</w:instrText>
      </w:r>
      <w:r w:rsidR="00D975B4">
        <w:fldChar w:fldCharType="separate"/>
      </w:r>
      <w:r w:rsidR="00D975B4" w:rsidRPr="00D975B4">
        <w:rPr>
          <w:noProof/>
        </w:rPr>
        <w:t>(Pugh, 1987)</w:t>
      </w:r>
      <w:r w:rsidR="00D975B4">
        <w:fldChar w:fldCharType="end"/>
      </w:r>
      <w:r w:rsidR="00F61252">
        <w:t>.</w:t>
      </w:r>
      <w:r w:rsidR="00C9386D">
        <w:t xml:space="preserve"> Since M2 (0.576 m) is approximately equal to the sum of the K1 and O1 constituents in San Francisco (0.6 m), the diurnal nodal cycle dominates the 100-</w:t>
      </w:r>
      <w:proofErr w:type="gramStart"/>
      <w:r w:rsidR="00B11D34">
        <w:t>ESL  Similarly</w:t>
      </w:r>
      <w:proofErr w:type="gramEnd"/>
      <w:r w:rsidR="00B11D34">
        <w:t xml:space="preserve">, </w:t>
      </w:r>
      <w:r w:rsidR="00C9386D">
        <w:t>mean tidal range</w:t>
      </w:r>
      <w:r w:rsidR="00B11D34">
        <w:t xml:space="preserve"> and MHW follow the semidiurnal no</w:t>
      </w:r>
      <w:r w:rsidR="0042575E">
        <w:t>d</w:t>
      </w:r>
      <w:r w:rsidR="00B11D34">
        <w:t>al cycle, whereas MHHW and the Great Diurnal Range follow the diurnal nodal cycle</w:t>
      </w:r>
      <w:r w:rsidR="00653F45">
        <w:t>.</w:t>
      </w:r>
      <w:r w:rsidR="00DE5D33">
        <w:t xml:space="preserve"> </w:t>
      </w:r>
      <w:r w:rsidR="00B11D34">
        <w:t xml:space="preserve">In addition, within an estuary or confined coastal region, </w:t>
      </w:r>
      <w:r w:rsidR="00DE5D33">
        <w:t xml:space="preserve">differences in the phase of the nodal modulation in high water levels can result from the bathymetry </w:t>
      </w:r>
      <w:r w:rsidR="00DE5D33">
        <w:fldChar w:fldCharType="begin" w:fldLock="1"/>
      </w:r>
      <w:r w:rsidR="00DE5D33">
        <w:instrText>ADDIN CSL_CITATION {"citationItems":[{"id":"ITEM-1","itemData":{"DOI":"10.1029/2018JC014695","ISSN":"21699291","abstract":"The lunar nodal cycle, produced by the varying declination of the Moon over a period of 18.61 years, drives changes in tidal amplitude globally. However, constraining the range of changes in tidal amplitude that can be expected over a nodal cycle from real observations is rarely considered for coastal hazard planning. In this study, we use hourly tide gauge observations with record lengths &gt;19 years from 574 stations distributed worldwide to examine the contribution of the nodal modulation to monthly high water levels. Our results show that the influence of the lunar nodal cycle on high water levels is largest at tide gauge stations located in the Gulf of Tonkin, English Channel, and Bristol Channel, amounting up to 30 cm in range, suggesting that in the coming decades the impact of the nodal cycle on high water levels in those regions could be greater than that of global mean sea level rise, which is up to 17 cm by 2030, according to the Intergovernmental Panel on Climate Change fifth assessment report projections. We also examine the phase of nodal modulation and show that the estimated phases exhibit two clusters: one cluster (111° ± 10°) corresponds with the locations having a diurnal form of tides, whereas the other cluster (−59° ± 11°) corresponds with the locations exhibiting a semidiurnal form of tides. Nodal modulation in the diurnal and semidiurnal locations will peak again in 2025 and 2034, respectively, resulting in enhanced potential for coastal hazard in the respective regions.","author":[{"dropping-particle":"","family":"Peng","given":"Dongju","non-dropping-particle":"","parse-names":false,"suffix":""},{"dropping-particle":"","family":"Hill","given":"Emma M.","non-dropping-particle":"","parse-names":false,"suffix":""},{"dropping-particle":"","family":"Meltzner","given":"Aron J.","non-dropping-particle":"","parse-names":false,"suffix":""},{"dropping-particle":"","family":"Switzer","given":"Adam D.","non-dropping-particle":"","parse-names":false,"suffix":""}],"container-title":"Journal of Geophysical Research: Oceans","id":"ITEM-1","issue":"1","issued":{"date-parts":[["2019"]]},"page":"736-749","title":"Tide Gauge Records Show That the 18.61-Year Nodal Tidal Cycle Can Change High Water Levels by up to 30 cm","type":"article-journal","volume":"124"},"uris":["http://www.mendeley.com/documents/?uuid=c769c08e-7e52-4ba5-9da6-c49a9242862e"]}],"mendeley":{"formattedCitation":"(Peng et al., 2019)","plainTextFormattedCitation":"(Peng et al., 2019)","previouslyFormattedCitation":"(Peng et al., 2019)"},"properties":{"noteIndex":0},"schema":"https://github.com/citation-style-language/schema/raw/master/csl-citation.json"}</w:instrText>
      </w:r>
      <w:r w:rsidR="00DE5D33">
        <w:fldChar w:fldCharType="separate"/>
      </w:r>
      <w:r w:rsidR="00DE5D33" w:rsidRPr="00411ECF">
        <w:rPr>
          <w:noProof/>
        </w:rPr>
        <w:t>(Peng et al., 2019)</w:t>
      </w:r>
      <w:r w:rsidR="00DE5D33">
        <w:fldChar w:fldCharType="end"/>
      </w:r>
      <w:r w:rsidR="00DE5D33">
        <w:t xml:space="preserve"> and shallow-water interactions between semidiurnal and diurnal constituents </w:t>
      </w:r>
      <w:r w:rsidR="00AD6DD6">
        <w:fldChar w:fldCharType="begin" w:fldLock="1"/>
      </w:r>
      <w:r w:rsidR="004A6E7D">
        <w:instrText>ADDIN CSL_CITATION {"citationItems":[{"id":"ITEM-1","itemData":{"DOI":"10.1007/s10236-006-0060-7","ISBN":"4535362475","ISSN":"16167341","abstract":"Overtides and compound tides are generated by nonlinear mechanisms operative primarily in shallow waters. Their presence complicates tidal analysis owing to the multitude of new constituents and their possible frequency overlap with astronomical tides. The science of nonlinear tides was greatly advanced by the pioneering researches of Christian Le Provost who employed analytical theory, physical modeling, and numerical modeling in many extensive studies, especially of the tides of the English Channel. Le Provost's complementary work with satellite altimetry motivates our attempts to merge these two interests. After a brief review, we describe initial steps toward the assimilation of altimetry into models of nonlinear tides via generalized inverse methods. A series of barotropic inverse solutions is computed for the M4 tide over the northwest European Shelf. Future applications of altimetry to regions with fewer in situ measurements will require improved understanding of error covariance models because these control the tradeoffs between fitting hydrodynamics and data, a delicate issue in coastal regions. While M4 can now be robustly determined along the Topex/Poseidon satellite ground tracks, many other compound tides face serious aliasing problems. © Springer-Verlag 2006.","author":[{"dropping-particle":"","family":"Andersen","given":"Ole B.","non-dropping-particle":"","parse-names":false,"suffix":""},{"dropping-particle":"","family":"Egbert","given":"Gary D.","non-dropping-particle":"","parse-names":false,"suffix":""},{"dropping-particle":"","family":"Erofeeva","given":"Svetlana Y.","non-dropping-particle":"","parse-names":false,"suffix":""},{"dropping-particle":"","family":"Ray","given":"Richard D.","non-dropping-particle":"","parse-names":false,"suffix":""}],"container-title":"Ocean Dynamics","id":"ITEM-1","issue":"5-6","issued":{"date-parts":[["2006"]]},"page":"416-429","title":"Mapping nonlinear shallow-water tides: A look at the past and future","type":"article-journal","volume":"56"},"uris":["http://www.mendeley.com/documents/?uuid=85a00561-5572-42a0-bb6c-028a5c590b73"]}],"mendeley":{"formattedCitation":"(Andersen et al., 2006)","manualFormatting":"(Andersen et al., 2006;","plainTextFormattedCitation":"(Andersen et al., 2006)","previouslyFormattedCitation":"(Andersen et al., 2006)"},"properties":{"noteIndex":0},"schema":"https://github.com/citation-style-language/schema/raw/master/csl-citation.json"}</w:instrText>
      </w:r>
      <w:r w:rsidR="00AD6DD6">
        <w:fldChar w:fldCharType="separate"/>
      </w:r>
      <w:r w:rsidR="00AD6DD6" w:rsidRPr="00AD6DD6">
        <w:rPr>
          <w:noProof/>
        </w:rPr>
        <w:t>(Andersen et al., 2006</w:t>
      </w:r>
      <w:r w:rsidR="00AD6DD6">
        <w:rPr>
          <w:noProof/>
        </w:rPr>
        <w:t>;</w:t>
      </w:r>
      <w:r w:rsidR="00AD6DD6">
        <w:fldChar w:fldCharType="end"/>
      </w:r>
      <w:r w:rsidR="00AD6DD6">
        <w:t xml:space="preserve"> </w:t>
      </w:r>
      <w:r w:rsidR="00DE5D33">
        <w:fldChar w:fldCharType="begin" w:fldLock="1"/>
      </w:r>
      <w:r w:rsidR="004A6E7D">
        <w:instrText xml:space="preserve">ADDIN CSL_CITATION {"citationItems":[{"id":"ITEM-1","itemData":{"DOI":"10.1002/2014JC010312","ISSN":"21699291","abstract":"The long-term changes in the main tidal constituents (O1, K1, M2, N2, and S2) along the coasts of China and in adjacent seas are investigated based on 17 tide-gauge records covering the period 1954-2012. The observed 18.61 year nodal modulations of the diurnal constituents O1 and K1 are in agreement with the equilibrium tidal theory, except in the South China Sea. The observed modulations of the M2 and N2 amplitudes are smaller than theoretically predicted at the northern stations and larger at the southern stations. The discrepancies between the theoretically predicted nodal variations and the observations are discussed. The 8.85 year perigean cycle is identifiable in the N2 parameters at most stations, except those in the South China Sea. The radiational component of S2 contributes on average 16% of the observed S2 except in the Gulf of Tonkin, on the south coast, where it accounts for up to 65%. We confirmed the existence of nodal modulation in S2, which is stronger on the north coast. The semidiurnal tidal parameters show significant secular trends in the Bohai and Yellow Seas, on the north coast, and in the Taiwan Strait. The largest increase is found for M2 for which the amplitude increases by 4-7 mm/yr in the Yellow Sea. The potential causes for the linear trends in tidal constants are discussed.","author":[{"dropping-particle":"","family":"Feng","given":"Xiangbo","non-dropping-particle":"","parse-names":false,"suffix":""},{"dropping-particle":"","family":"Tsimplis","given":"Michael N.","non-dropping-particle":"","parse-names":false,"suffix":""},{"dropping-particle":"","family":"Woodworth","given":"Philip L.","non-dropping-particle":"","parse-names":false,"suffix":""}],"container-title":"Journal of Geophysical Research: Oceans","id":"ITEM-1","issue":"2","issued":{"date-parts":[["2015"]]},"page":"1215-1232","title":"Nodal variations and long-term changes in the main tides on the coasts of China","type":"article-journal","volume":"120"},"uris":["http://www.mendeley.com/documents/?uuid=1a8bfacd-e9bf-4360-8291-ccfc49f814c8"]},{"id":"ITEM-2","itemData":{"DOI":"10.1029/2019JC015277","ISSN":"21699291","abstract":"Since the early twentieth century, the amplitudes of tidal constituents in the Gulf of Maine and Bay of Fundy display clear secular trends that are among the largest anywhere observed for a regional body of water. The M2 amplitude at Eastport, Maine, increased at a rate of 14.1 ± 1.2 cm per century until it temporarily dropped during 1980–1990, apparently in response to changes in the wider North Atlantic. Annual tidal analyses indicate M2 reached an all-time high amplitude last year (2018). Here we report new estimates of tides derived from nineteenth century water-level measurements found in the U.S. National Archives. Results from Eastport, Portland, and Pulpit Harbor (tied to Bar Harbor) do not follow the twentieth century trends and indicate that the Gulf of Maine tide changes commenced sometime in the late nineteenth or early twentieth centuries, coincident with a transition to modern rates of sea-level rise as observed at Boston and Portland. General agreement is that sea level rise alone is insufficient to cause the twentieth-century tide changes. A role for ocean stratification is suggested by the long-term warming of Gulf of Maine waters; archival water temperatures at Boston, Portland, and Eastport show increases of </w:instrText>
      </w:r>
      <w:r w:rsidR="004A6E7D">
        <w:rPr>
          <w:rFonts w:ascii="Cambria Math" w:hAnsi="Cambria Math" w:cs="Cambria Math"/>
        </w:rPr>
        <w:instrText>∼</w:instrText>
      </w:r>
      <w:r w:rsidR="004A6E7D">
        <w:instrText>2</w:instrText>
      </w:r>
      <w:r w:rsidR="004A6E7D">
        <w:rPr>
          <w:rFonts w:cs="Times New Roman"/>
        </w:rPr>
        <w:instrText> °</w:instrText>
      </w:r>
      <w:r w:rsidR="004A6E7D">
        <w:instrText>C since the 1880s. In addition, a changing seasonal dependence in M2 amplitudes is reflected in a changing seasonal dependence in water temperatures. The observations suggest that models seeking to reproduce Gulf of Maine tides must consider both sea level rise and long-term changes in stratification.","author":[{"dropping-particle":"","family":"Ray","given":"R. D.","non-dropping-particle":"","parse-names":false,"suffix":""},{"dropping-particle":"","family":"Talke","given":"S. A.","non-dropping-particle":"","parse-names":false,"suffix":""}],"container-title":"Journal of Geophysical Research: Oceans","id":"ITEM-2","issue":"10","issued":{"date-parts":[["2019"]]},"page":"7046-7067","title":"Nineteenth-Century Tides in the Gulf of Maine and Implications for Secular Trends","type":"article-journal","volume":"124"},"uris":["http://www.mendeley.com/documents/?uuid=c9c5e45e-d9fd-4d03-a3fd-ed4d0b8e2404"]}],"mendeley":{"formattedCitation":"(Feng et al., 2015; R. D. Ray &amp; Talke, 2019)","manualFormatting":"Feng et al., 2015; Ray &amp; Talke, 2019)","plainTextFormattedCitation":"(Feng et al., 2015; R. D. Ray &amp; Talke, 2019)","previouslyFormattedCitation":"(Feng et al., 2015; R. D. Ray &amp; Talke, 2019)"},"properties":{"noteIndex":0},"schema":"https://github.com/citation-style-language/schema/raw/master/csl-citation.json"}</w:instrText>
      </w:r>
      <w:r w:rsidR="00DE5D33">
        <w:fldChar w:fldCharType="separate"/>
      </w:r>
      <w:r w:rsidR="00EB5D9B" w:rsidRPr="00EB5D9B">
        <w:rPr>
          <w:noProof/>
        </w:rPr>
        <w:t>Feng et al., 2015; Ray &amp; Talke, 2019)</w:t>
      </w:r>
      <w:r w:rsidR="00DE5D33">
        <w:fldChar w:fldCharType="end"/>
      </w:r>
      <w:r w:rsidR="00DE5D33">
        <w:t>.</w:t>
      </w:r>
    </w:p>
    <w:p w14:paraId="2AB50A37" w14:textId="77777777" w:rsidR="00DE5D33" w:rsidRDefault="00DE5D33" w:rsidP="00DE5D33"/>
    <w:p w14:paraId="7E55AD27" w14:textId="77777777" w:rsidR="00DE5D33" w:rsidRDefault="00DE5D33" w:rsidP="00DE5D33">
      <w:r>
        <w:rPr>
          <w:noProof/>
        </w:rPr>
        <w:drawing>
          <wp:inline distT="0" distB="0" distL="0" distR="0" wp14:anchorId="569F005A" wp14:editId="2CDD6752">
            <wp:extent cx="5252730" cy="4320040"/>
            <wp:effectExtent l="0" t="0" r="5080" b="4445"/>
            <wp:docPr id="4"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2730" cy="4320040"/>
                    </a:xfrm>
                    <a:prstGeom prst="rect">
                      <a:avLst/>
                    </a:prstGeom>
                  </pic:spPr>
                </pic:pic>
              </a:graphicData>
            </a:graphic>
          </wp:inline>
        </w:drawing>
      </w:r>
    </w:p>
    <w:p w14:paraId="37E0B4D1" w14:textId="0BE7B59C" w:rsidR="00DE5D33" w:rsidRDefault="00DE5D33" w:rsidP="00DE5D33">
      <w:r w:rsidRPr="3604B7FB">
        <w:t xml:space="preserve">Figure </w:t>
      </w:r>
      <w:r w:rsidR="00A864D2">
        <w:t>1</w:t>
      </w:r>
      <w:r w:rsidRPr="3604B7FB">
        <w:t xml:space="preserve">. </w:t>
      </w:r>
      <w:r>
        <w:t>Annual exceedance curves (colored lines)</w:t>
      </w:r>
      <w:r w:rsidRPr="3604B7FB">
        <w:t xml:space="preserve"> for five locations: </w:t>
      </w:r>
      <w:r>
        <w:t xml:space="preserve">1. </w:t>
      </w:r>
      <w:r w:rsidRPr="3604B7FB">
        <w:t xml:space="preserve">Fremantle (Australia), </w:t>
      </w:r>
      <w:r>
        <w:t xml:space="preserve">2. </w:t>
      </w:r>
      <w:r w:rsidRPr="3604B7FB">
        <w:t>San Francisco (U.S.),</w:t>
      </w:r>
      <w:r>
        <w:t xml:space="preserve"> 3. Cristobal (Panama),</w:t>
      </w:r>
      <w:r w:rsidRPr="3604B7FB">
        <w:t xml:space="preserve"> </w:t>
      </w:r>
      <w:r>
        <w:t xml:space="preserve">4. </w:t>
      </w:r>
      <w:r w:rsidRPr="3604B7FB">
        <w:t xml:space="preserve">Vigo (Spain), </w:t>
      </w:r>
      <w:r>
        <w:t>and 5. Nagoya</w:t>
      </w:r>
      <w:r w:rsidRPr="3604B7FB">
        <w:t xml:space="preserve"> (Japan). </w:t>
      </w:r>
      <w:r>
        <w:t>T</w:t>
      </w:r>
      <w:r w:rsidRPr="3604B7FB">
        <w:t xml:space="preserve">he </w:t>
      </w:r>
      <w:r>
        <w:t>annual exceedance</w:t>
      </w:r>
      <w:r w:rsidRPr="3604B7FB">
        <w:t xml:space="preserve"> </w:t>
      </w:r>
      <w:r>
        <w:t>curve for the full period</w:t>
      </w:r>
      <w:r w:rsidRPr="3604B7FB">
        <w:t xml:space="preserve"> is shown as </w:t>
      </w:r>
      <w:r>
        <w:t xml:space="preserve">a </w:t>
      </w:r>
      <w:r w:rsidRPr="3604B7FB">
        <w:t>dashed black bold line. The</w:t>
      </w:r>
      <w:r>
        <w:t xml:space="preserve"> annual</w:t>
      </w:r>
      <w:r w:rsidRPr="3604B7FB">
        <w:t xml:space="preserve"> 100-</w:t>
      </w:r>
      <w:r>
        <w:t xml:space="preserve">ESL are the values falling on </w:t>
      </w:r>
      <w:r w:rsidRPr="3604B7FB">
        <w:t>the red dashed line.</w:t>
      </w:r>
    </w:p>
    <w:p w14:paraId="4285954F" w14:textId="77777777" w:rsidR="00DE5D33" w:rsidRDefault="00DE5D33" w:rsidP="00DE5D33">
      <w:pPr>
        <w:keepNext/>
      </w:pPr>
      <w:r>
        <w:rPr>
          <w:noProof/>
        </w:rPr>
        <w:lastRenderedPageBreak/>
        <w:drawing>
          <wp:inline distT="0" distB="0" distL="0" distR="0" wp14:anchorId="44D17A79" wp14:editId="33544AF3">
            <wp:extent cx="5257810" cy="4312928"/>
            <wp:effectExtent l="0" t="0" r="0" b="0"/>
            <wp:docPr id="7" name="Picture 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7810" cy="4312928"/>
                    </a:xfrm>
                    <a:prstGeom prst="rect">
                      <a:avLst/>
                    </a:prstGeom>
                  </pic:spPr>
                </pic:pic>
              </a:graphicData>
            </a:graphic>
          </wp:inline>
        </w:drawing>
      </w:r>
    </w:p>
    <w:p w14:paraId="19BDDA4F" w14:textId="7D9DFF40" w:rsidR="00DE5D33" w:rsidRPr="00012394" w:rsidRDefault="006B2CAB" w:rsidP="00DE5D33">
      <w:r>
        <w:t>Figure 2</w:t>
      </w:r>
      <w:r w:rsidR="00DE5D33">
        <w:t xml:space="preserve">. Annual 100-ESL (black line) and the harmonic analysis using </w:t>
      </w:r>
      <w:r w:rsidR="00C02024">
        <w:t>4.4-yr and 18.6-yr</w:t>
      </w:r>
      <w:r w:rsidR="00DE5D33">
        <w:t xml:space="preserve"> periods (red bold lines) for five sites located in different tide regimes: 1. Fremantle (Australia, diurnal tides), 2. San Francisco (U.S., mixed mainly semidiurnal tides), 3. Cristobal (Panama, mixed mainly diurnal tides), 4. Vigo (Spain, semidiurnal tides), and 5. Nagoya (Japan, mixed mainly semidiurnal tides). </w:t>
      </w:r>
    </w:p>
    <w:p w14:paraId="236CBDAD" w14:textId="77777777" w:rsidR="00DE5D33" w:rsidRDefault="00DE5D33" w:rsidP="00DE5D33"/>
    <w:p w14:paraId="37A1A8A1" w14:textId="319EF248" w:rsidR="00B63252" w:rsidRDefault="00DE5D33" w:rsidP="00C02024">
      <w:r>
        <w:rPr>
          <w:rFonts w:eastAsiaTheme="minorEastAsia"/>
        </w:rPr>
        <w:t xml:space="preserve">The long-term tidal </w:t>
      </w:r>
      <w:r w:rsidRPr="23E2D115">
        <w:rPr>
          <w:rFonts w:eastAsiaTheme="minorEastAsia"/>
        </w:rPr>
        <w:t>modulations</w:t>
      </w:r>
      <w:r>
        <w:rPr>
          <w:rFonts w:eastAsiaTheme="minorEastAsia"/>
        </w:rPr>
        <w:t xml:space="preserve"> in 100-ESL significantly increase the flood hazard during their positive phases and peaks. Identifying the timing of </w:t>
      </w:r>
      <w:r w:rsidRPr="55CD709C">
        <w:rPr>
          <w:rFonts w:eastAsiaTheme="minorEastAsia"/>
        </w:rPr>
        <w:t>these</w:t>
      </w:r>
      <w:r>
        <w:rPr>
          <w:rFonts w:eastAsiaTheme="minorEastAsia"/>
        </w:rPr>
        <w:t xml:space="preserve"> peaks can help prepare for and mitigate coastal flood risk</w:t>
      </w:r>
      <w:r w:rsidR="00A864D2">
        <w:t>. Figure 3</w:t>
      </w:r>
      <w:r>
        <w:t xml:space="preserve">a shows the absolute value of the time difference (in years) between the year 2021 and the closest peak of the modulations. Peaks are defined as the highest </w:t>
      </w:r>
      <w:r w:rsidR="00A667A3">
        <w:t xml:space="preserve">value of the </w:t>
      </w:r>
      <w:r w:rsidR="006B2CAB">
        <w:t>long-term tidal</w:t>
      </w:r>
      <w:r w:rsidR="00A667A3">
        <w:t xml:space="preserve"> modulations</w:t>
      </w:r>
      <w:r>
        <w:t xml:space="preserve"> </w:t>
      </w:r>
      <w:r w:rsidR="00A667A3">
        <w:t xml:space="preserve">in </w:t>
      </w:r>
      <w:r w:rsidR="006B2CAB">
        <w:t>100-</w:t>
      </w:r>
      <w:r w:rsidR="00A667A3">
        <w:t xml:space="preserve">ESL within </w:t>
      </w:r>
      <w:r w:rsidR="00C02024">
        <w:t xml:space="preserve">the </w:t>
      </w:r>
      <w:r>
        <w:t>18.6-y</w:t>
      </w:r>
      <w:r w:rsidR="00C02024">
        <w:t>r</w:t>
      </w:r>
      <w:r w:rsidR="00763F4E">
        <w:t xml:space="preserve"> cycle</w:t>
      </w:r>
      <w:r>
        <w:t>. When the 18.6-y</w:t>
      </w:r>
      <w:r w:rsidR="00C02024">
        <w:t>r modulation in</w:t>
      </w:r>
      <w:r w:rsidR="006B2CAB">
        <w:t xml:space="preserve"> 100-</w:t>
      </w:r>
      <w:r w:rsidR="00C02024">
        <w:t>ESL</w:t>
      </w:r>
      <w:r>
        <w:t xml:space="preserve"> is statistically </w:t>
      </w:r>
      <w:r w:rsidR="00DE782C">
        <w:t>in</w:t>
      </w:r>
      <w:r>
        <w:t xml:space="preserve">significant, the </w:t>
      </w:r>
      <w:r w:rsidR="00A667A3">
        <w:t xml:space="preserve">highest value within </w:t>
      </w:r>
      <w:r w:rsidR="006B2CAB">
        <w:t>a</w:t>
      </w:r>
      <w:r w:rsidR="00C02024">
        <w:t xml:space="preserve"> </w:t>
      </w:r>
      <w:r w:rsidR="00A667A3">
        <w:t>4.4-y</w:t>
      </w:r>
      <w:r w:rsidR="00C02024">
        <w:t>r</w:t>
      </w:r>
      <w:r w:rsidR="00A667A3">
        <w:t xml:space="preserve"> period is considered</w:t>
      </w:r>
      <w:r>
        <w:t xml:space="preserve">. An example of </w:t>
      </w:r>
      <w:r w:rsidR="001836F2">
        <w:t xml:space="preserve">this </w:t>
      </w:r>
      <w:r w:rsidR="001E0126">
        <w:t>methodology</w:t>
      </w:r>
      <w:r>
        <w:t xml:space="preserve"> is shown in </w:t>
      </w:r>
      <w:r w:rsidR="001E0126">
        <w:t>Figure</w:t>
      </w:r>
      <w:r>
        <w:t xml:space="preserve"> </w:t>
      </w:r>
      <w:r w:rsidR="001E0126">
        <w:t>S</w:t>
      </w:r>
      <w:r w:rsidR="009216B7">
        <w:t>2</w:t>
      </w:r>
      <w:r>
        <w:t xml:space="preserve"> </w:t>
      </w:r>
      <w:r w:rsidR="001E0126">
        <w:t>and Figure</w:t>
      </w:r>
      <w:r>
        <w:t xml:space="preserve"> </w:t>
      </w:r>
      <w:r w:rsidR="001E0126">
        <w:t>S</w:t>
      </w:r>
      <w:r w:rsidR="009216B7">
        <w:t>3</w:t>
      </w:r>
      <w:r>
        <w:t xml:space="preserve"> </w:t>
      </w:r>
      <w:r w:rsidR="001E0126">
        <w:t>(</w:t>
      </w:r>
      <w:r>
        <w:t>Supplementary Material</w:t>
      </w:r>
      <w:r w:rsidR="001E0126">
        <w:t>)</w:t>
      </w:r>
      <w:r>
        <w:t>.</w:t>
      </w:r>
      <w:r w:rsidR="001836F2">
        <w:t xml:space="preserve"> </w:t>
      </w:r>
      <w:r>
        <w:t xml:space="preserve">Note that the </w:t>
      </w:r>
      <w:r w:rsidR="001836F2">
        <w:t xml:space="preserve">closest </w:t>
      </w:r>
      <w:r>
        <w:t>peak could occur before</w:t>
      </w:r>
      <w:r w:rsidR="00680733">
        <w:t xml:space="preserve"> (black-red colors in Figure 3a)</w:t>
      </w:r>
      <w:r>
        <w:t xml:space="preserve"> or after 2021</w:t>
      </w:r>
      <w:r w:rsidR="00680733">
        <w:t xml:space="preserve"> (green-yellow colors in Figure 3a)</w:t>
      </w:r>
      <w:r>
        <w:t>. Only sites where the modulations in 100-ESL are significant are shown</w:t>
      </w:r>
      <w:r w:rsidR="00A864D2">
        <w:t xml:space="preserve"> in Figure 3</w:t>
      </w:r>
      <w:r w:rsidR="00177FBE">
        <w:t>a</w:t>
      </w:r>
      <w:r>
        <w:t xml:space="preserve">. </w:t>
      </w:r>
      <w:r w:rsidRPr="55CD709C">
        <w:rPr>
          <w:rFonts w:eastAsiaTheme="minorEastAsia"/>
        </w:rPr>
        <w:t xml:space="preserve">In general, there is regional coherence in </w:t>
      </w:r>
      <w:r>
        <w:rPr>
          <w:rFonts w:eastAsiaTheme="minorEastAsia"/>
        </w:rPr>
        <w:t xml:space="preserve">the </w:t>
      </w:r>
      <w:r w:rsidRPr="55CD709C">
        <w:rPr>
          <w:rFonts w:eastAsiaTheme="minorEastAsia"/>
        </w:rPr>
        <w:t xml:space="preserve">timing of </w:t>
      </w:r>
      <w:r w:rsidR="00C02024">
        <w:rPr>
          <w:rFonts w:eastAsiaTheme="minorEastAsia"/>
        </w:rPr>
        <w:t xml:space="preserve">the </w:t>
      </w:r>
      <w:r w:rsidRPr="55CD709C">
        <w:rPr>
          <w:rFonts w:eastAsiaTheme="minorEastAsia"/>
        </w:rPr>
        <w:t>peak</w:t>
      </w:r>
      <w:r>
        <w:rPr>
          <w:rFonts w:eastAsiaTheme="minorEastAsia"/>
        </w:rPr>
        <w:t xml:space="preserve"> </w:t>
      </w:r>
      <w:r>
        <w:rPr>
          <w:rFonts w:eastAsiaTheme="minorEastAsia"/>
        </w:rPr>
        <w:lastRenderedPageBreak/>
        <w:t>of the modulations in 100</w:t>
      </w:r>
      <w:r w:rsidRPr="00531931">
        <w:rPr>
          <w:rFonts w:eastAsiaTheme="minorEastAsia"/>
        </w:rPr>
        <w:t>-E</w:t>
      </w:r>
      <w:r>
        <w:rPr>
          <w:rFonts w:eastAsiaTheme="minorEastAsia"/>
        </w:rPr>
        <w:t xml:space="preserve">SL. </w:t>
      </w:r>
      <w:r>
        <w:t>Locations that will peak after</w:t>
      </w:r>
      <w:r w:rsidR="00A667A3">
        <w:t xml:space="preserve"> 2021</w:t>
      </w:r>
      <w:r>
        <w:t xml:space="preserve"> are currently in a</w:t>
      </w:r>
      <w:r w:rsidR="002F2E68">
        <w:t>n ascending</w:t>
      </w:r>
      <w:r>
        <w:t xml:space="preserve"> phase of the modulation and therefore at a higher risk of flooding</w:t>
      </w:r>
      <w:r w:rsidRPr="00293163">
        <w:t xml:space="preserve">. </w:t>
      </w:r>
      <w:r w:rsidRPr="00673B07">
        <w:t xml:space="preserve">Locations </w:t>
      </w:r>
      <w:r w:rsidRPr="00293163">
        <w:t xml:space="preserve">that peaked before 2021 are in </w:t>
      </w:r>
      <w:r w:rsidR="002F2E68">
        <w:t xml:space="preserve">the descending </w:t>
      </w:r>
      <w:r w:rsidRPr="00293163">
        <w:t xml:space="preserve">phase of the </w:t>
      </w:r>
      <w:r w:rsidR="00A667A3">
        <w:t xml:space="preserve">long-term tidal </w:t>
      </w:r>
      <w:r w:rsidRPr="00293163">
        <w:t>modulation</w:t>
      </w:r>
      <w:r w:rsidR="006B2CAB">
        <w:t>s</w:t>
      </w:r>
      <w:r w:rsidRPr="00293163">
        <w:t xml:space="preserve"> in 100-ESL.</w:t>
      </w:r>
      <w:r>
        <w:t xml:space="preserve"> </w:t>
      </w:r>
      <w:r w:rsidR="00680733">
        <w:t>White and l</w:t>
      </w:r>
      <w:r w:rsidR="00A864D2">
        <w:t xml:space="preserve">ight </w:t>
      </w:r>
      <w:r w:rsidR="00680733">
        <w:t xml:space="preserve">colors </w:t>
      </w:r>
      <w:r w:rsidR="00A864D2">
        <w:t>in Figure 3</w:t>
      </w:r>
      <w:r w:rsidR="00F87184">
        <w:t xml:space="preserve">a show places where </w:t>
      </w:r>
      <w:r w:rsidR="00F87184">
        <w:rPr>
          <w:iCs/>
        </w:rPr>
        <w:t>t</w:t>
      </w:r>
      <w:r w:rsidR="00F87184" w:rsidRPr="00850AE8">
        <w:rPr>
          <w:iCs/>
        </w:rPr>
        <w:t xml:space="preserve">he modulations are </w:t>
      </w:r>
      <w:r w:rsidR="00680733">
        <w:rPr>
          <w:iCs/>
        </w:rPr>
        <w:t xml:space="preserve">peaking or </w:t>
      </w:r>
      <w:r w:rsidR="00F87184" w:rsidRPr="00850AE8">
        <w:rPr>
          <w:iCs/>
        </w:rPr>
        <w:t>c</w:t>
      </w:r>
      <w:r w:rsidR="00680733">
        <w:rPr>
          <w:iCs/>
        </w:rPr>
        <w:t>lose to the peak</w:t>
      </w:r>
      <w:r w:rsidR="00F87184" w:rsidRPr="00850AE8">
        <w:rPr>
          <w:iCs/>
        </w:rPr>
        <w:t>.</w:t>
      </w:r>
      <w:r w:rsidR="00F87184">
        <w:rPr>
          <w:iCs/>
        </w:rPr>
        <w:t xml:space="preserve"> </w:t>
      </w:r>
      <w:r w:rsidR="001274A0">
        <w:t>Figure 3</w:t>
      </w:r>
      <w:r>
        <w:t>b shows the year of the next expected peak of the</w:t>
      </w:r>
      <w:r w:rsidR="00C02024">
        <w:t xml:space="preserve"> 4.4-yr and</w:t>
      </w:r>
      <w:r w:rsidR="001C124A">
        <w:t xml:space="preserve"> 18.6-</w:t>
      </w:r>
      <w:r w:rsidR="007C0A56">
        <w:t>y</w:t>
      </w:r>
      <w:r w:rsidR="00C02024">
        <w:t>r</w:t>
      </w:r>
      <w:r w:rsidR="001C124A">
        <w:t xml:space="preserve">, or both cycles, depending </w:t>
      </w:r>
      <w:r w:rsidR="00C02024">
        <w:t xml:space="preserve">on </w:t>
      </w:r>
      <w:r w:rsidR="007C0A56">
        <w:t>which cycle is significant at each station</w:t>
      </w:r>
      <w:r>
        <w:t xml:space="preserve">. </w:t>
      </w:r>
      <w:r w:rsidR="00C02024">
        <w:t xml:space="preserve">Stations where only the 4.4-yr cycle is significant </w:t>
      </w:r>
      <w:r w:rsidR="00962280">
        <w:t xml:space="preserve">are </w:t>
      </w:r>
      <w:r w:rsidR="00C02024">
        <w:t>sh</w:t>
      </w:r>
      <w:r w:rsidR="001274A0">
        <w:t>ow</w:t>
      </w:r>
      <w:r w:rsidR="00962280">
        <w:t>n in</w:t>
      </w:r>
      <w:r w:rsidR="001274A0">
        <w:t xml:space="preserve"> light colors in both Figure 3a and Figure 3</w:t>
      </w:r>
      <w:r w:rsidR="00C02024">
        <w:t>b because the cycle is shorter. On the other ha</w:t>
      </w:r>
      <w:r w:rsidR="001274A0">
        <w:t xml:space="preserve">nd, </w:t>
      </w:r>
      <w:r w:rsidR="002F2E68">
        <w:t xml:space="preserve">a longer time scale is often observed at locations </w:t>
      </w:r>
      <w:r w:rsidR="001274A0">
        <w:t>where the 18.6-y</w:t>
      </w:r>
      <w:r w:rsidR="00C02024">
        <w:t xml:space="preserve">r cycle dominates. </w:t>
      </w:r>
      <w:r w:rsidR="002F2E68" w:rsidRPr="00AD6DD6">
        <w:t xml:space="preserve">The timing of when the </w:t>
      </w:r>
      <w:proofErr w:type="gramStart"/>
      <w:r w:rsidR="002F2E68" w:rsidRPr="00AD6DD6">
        <w:t>18.6 year</w:t>
      </w:r>
      <w:proofErr w:type="gramEnd"/>
      <w:r w:rsidR="002F2E68" w:rsidRPr="00AD6DD6">
        <w:t xml:space="preserve"> cycle peaks is not always perfectly phased with the semidiurnal or diurnal cycle, </w:t>
      </w:r>
      <w:r w:rsidR="00021EC4" w:rsidRPr="00AD6DD6">
        <w:t xml:space="preserve">because of the contribution of both bands to extreme tides. </w:t>
      </w:r>
      <w:r w:rsidR="00C02024" w:rsidRPr="00AD6DD6">
        <w:t>Finally</w:t>
      </w:r>
      <w:r w:rsidR="00C02024">
        <w:t xml:space="preserve">, places where both modulations are present take longer to peak, and the time span where the 100-ESL is </w:t>
      </w:r>
      <w:r w:rsidR="001274A0">
        <w:t>higher</w:t>
      </w:r>
      <w:r w:rsidR="00C02024">
        <w:t xml:space="preserve"> due to the modulations</w:t>
      </w:r>
      <w:r w:rsidR="001274A0">
        <w:t>,</w:t>
      </w:r>
      <w:r w:rsidR="00C02024">
        <w:t xml:space="preserve"> lasts longer. The San Francisco tide gauge shows a c</w:t>
      </w:r>
      <w:r w:rsidR="009216B7">
        <w:t>lear example of this (Figure S2</w:t>
      </w:r>
      <w:r w:rsidR="00C02024">
        <w:t xml:space="preserve">, Supplementary Material). </w:t>
      </w:r>
      <w:r w:rsidR="00C00AF1">
        <w:t>The relative importance of the 4.4-</w:t>
      </w:r>
      <w:r w:rsidR="007301B8">
        <w:t>y</w:t>
      </w:r>
      <w:r w:rsidR="00C02024">
        <w:t>r and 18.6-y</w:t>
      </w:r>
      <w:r w:rsidR="00C00AF1">
        <w:t xml:space="preserve">r </w:t>
      </w:r>
      <w:r w:rsidR="00C02024">
        <w:t>modulations in 100-ESL</w:t>
      </w:r>
      <w:r w:rsidR="001274A0">
        <w:t xml:space="preserve"> is shown in Figure 5</w:t>
      </w:r>
      <w:r w:rsidR="00C00AF1">
        <w:t xml:space="preserve">. </w:t>
      </w:r>
    </w:p>
    <w:p w14:paraId="2480DDD1" w14:textId="6E465A7E" w:rsidR="00DE5D33" w:rsidRPr="00B63252" w:rsidRDefault="00DE5D33" w:rsidP="00B63252">
      <w:r>
        <w:rPr>
          <w:rFonts w:eastAsiaTheme="minorEastAsia"/>
        </w:rPr>
        <w:fldChar w:fldCharType="begin" w:fldLock="1"/>
      </w:r>
      <w:r>
        <w:rPr>
          <w:rFonts w:eastAsiaTheme="minorEastAsia"/>
        </w:rPr>
        <w:instrText>ADDIN CSL_CITATION {"citationItems":[{"id":"ITEM-1","itemData":{"DOI":"10.1038/s41558-021-01077-8","ISSN":"17586798","abstract":"Coastal locations around the United States, particularly along the Atlantic coast, are experiencing recurrent flooding at high tide. Continued sea-level rise (SLR) will exacerbate the issue where present, and many more locations will begin to experience recurrent high-tide flooding (HTF) in the coming decades. Here we use established SLR scenarios and flooding thresholds to demonstrate how the combined effects of SLR and nodal cycle modulations of tidal amplitude lead to acute inflections in projections of future HTF. The mid-2030s, in particular, may see the onset of rapid increases in the frequency of HTF in multiple US coastal regions. We also show how annual cycles and sea-level anomalies lead to extreme seasons or months during which many days of HTF cluster together. Clustering can lead to critical frequencies of HTF occurring during monthly or seasonal periods one to two decades prior to being expected on an annual basis.","author":[{"dropping-particle":"","family":"Thompson","given":"Philip R.","non-dropping-particle":"","parse-names":false,"suffix":""},{"dropping-particle":"","family":"Widlansky","given":"Matthew J.","non-dropping-particle":"","parse-names":false,"suffix":""},{"dropping-particle":"","family":"Hamlington","given":"Benjamin D.","non-dropping-particle":"","parse-names":false,"suffix":""},{"dropping-particle":"","family":"Merrifield","given":"Mark A.","non-dropping-particle":"","parse-names":false,"suffix":""},{"dropping-particle":"","family":"Marra","given":"John J.","non-dropping-particle":"","parse-names":false,"suffix":""},{"dropping-particle":"","family":"Mitchum","given":"Gary T.","non-dropping-particle":"","parse-names":false,"suffix":""},{"dropping-particle":"","family":"Sweet","given":"William","non-dropping-particle":"","parse-names":false,"suffix":""}],"container-title":"Nature Climate Change","id":"ITEM-1","issue":"7","issued":{"date-parts":[["2021"]]},"page":"584-590","publisher":"Springer US","title":"Rapid increases and extreme months in projections of United States high-tide flooding","type":"article-journal","volume":"11"},"uris":["http://www.mendeley.com/documents/?uuid=63c176dc-ad37-4acd-8a2d-a2355682bc2e"]}],"mendeley":{"formattedCitation":"(Thompson et al., 2021)","manualFormatting":"Thompson et al. (2021)","plainTextFormattedCitation":"(Thompson et al., 2021)","previouslyFormattedCitation":"(Thompson et al., 2021)"},"properties":{"noteIndex":0},"schema":"https://github.com/citation-style-language/schema/raw/master/csl-citation.json"}</w:instrText>
      </w:r>
      <w:r>
        <w:rPr>
          <w:rFonts w:eastAsiaTheme="minorEastAsia"/>
        </w:rPr>
        <w:fldChar w:fldCharType="separate"/>
      </w:r>
      <w:r w:rsidRPr="00F15BEF">
        <w:rPr>
          <w:rFonts w:eastAsiaTheme="minorEastAsia"/>
          <w:noProof/>
        </w:rPr>
        <w:t>Thompson et al.</w:t>
      </w:r>
      <w:r>
        <w:rPr>
          <w:rFonts w:eastAsiaTheme="minorEastAsia"/>
          <w:noProof/>
        </w:rPr>
        <w:t xml:space="preserve"> (</w:t>
      </w:r>
      <w:r w:rsidRPr="00F15BEF">
        <w:rPr>
          <w:rFonts w:eastAsiaTheme="minorEastAsia"/>
          <w:noProof/>
        </w:rPr>
        <w:t>2021)</w:t>
      </w:r>
      <w:r>
        <w:rPr>
          <w:rFonts w:eastAsiaTheme="minorEastAsia"/>
        </w:rPr>
        <w:fldChar w:fldCharType="end"/>
      </w:r>
      <w:r>
        <w:rPr>
          <w:rFonts w:eastAsiaTheme="minorEastAsia"/>
        </w:rPr>
        <w:t xml:space="preserve"> studied</w:t>
      </w:r>
      <w:r w:rsidR="0043283A">
        <w:rPr>
          <w:rFonts w:eastAsiaTheme="minorEastAsia"/>
        </w:rPr>
        <w:t xml:space="preserve"> the influence of the </w:t>
      </w:r>
      <w:r w:rsidR="00BD6E78">
        <w:rPr>
          <w:rFonts w:eastAsiaTheme="minorEastAsia"/>
        </w:rPr>
        <w:t>long-term tidal</w:t>
      </w:r>
      <w:r w:rsidR="0043283A">
        <w:rPr>
          <w:rFonts w:eastAsiaTheme="minorEastAsia"/>
        </w:rPr>
        <w:t xml:space="preserve"> </w:t>
      </w:r>
      <w:r>
        <w:rPr>
          <w:rFonts w:eastAsiaTheme="minorEastAsia"/>
        </w:rPr>
        <w:t>cycle</w:t>
      </w:r>
      <w:r w:rsidR="00BD6E78">
        <w:rPr>
          <w:rFonts w:eastAsiaTheme="minorEastAsia"/>
        </w:rPr>
        <w:t>s</w:t>
      </w:r>
      <w:r>
        <w:rPr>
          <w:rFonts w:eastAsiaTheme="minorEastAsia"/>
        </w:rPr>
        <w:t xml:space="preserve"> in the</w:t>
      </w:r>
      <w:r w:rsidRPr="007B0483">
        <w:t xml:space="preserve"> </w:t>
      </w:r>
      <w:r>
        <w:rPr>
          <w:rFonts w:eastAsiaTheme="minorEastAsia"/>
        </w:rPr>
        <w:t>frequency</w:t>
      </w:r>
      <w:r w:rsidRPr="007B0483">
        <w:rPr>
          <w:rFonts w:eastAsiaTheme="minorEastAsia"/>
        </w:rPr>
        <w:t xml:space="preserve"> </w:t>
      </w:r>
      <w:r>
        <w:rPr>
          <w:rFonts w:eastAsiaTheme="minorEastAsia"/>
        </w:rPr>
        <w:t xml:space="preserve">of high-tide flooding along the U.S. coast, identifying </w:t>
      </w:r>
      <w:r>
        <w:t>a</w:t>
      </w:r>
      <w:r w:rsidRPr="007079BD">
        <w:t xml:space="preserve"> pronounced inflection before mid-century</w:t>
      </w:r>
      <w:r>
        <w:t xml:space="preserve">. Our results agree with theirs; the next peak of the </w:t>
      </w:r>
      <w:r w:rsidR="002F2E68">
        <w:t xml:space="preserve">next </w:t>
      </w:r>
      <w:r w:rsidR="0043283A">
        <w:t xml:space="preserve">long-term tidal modulations in 100-ESL </w:t>
      </w:r>
      <w:r w:rsidR="00C02024">
        <w:t>is</w:t>
      </w:r>
      <w:r>
        <w:t xml:space="preserve"> expected to occur before mid-centur</w:t>
      </w:r>
      <w:r w:rsidR="001274A0">
        <w:t>y along the U.S. coast (Figure 3</w:t>
      </w:r>
      <w:r>
        <w:t xml:space="preserve">b). However, some differences are found in our analysis. For example, </w:t>
      </w:r>
      <w:r>
        <w:rPr>
          <w:rFonts w:eastAsiaTheme="minorEastAsia"/>
        </w:rPr>
        <w:fldChar w:fldCharType="begin" w:fldLock="1"/>
      </w:r>
      <w:r>
        <w:rPr>
          <w:rFonts w:eastAsiaTheme="minorEastAsia"/>
        </w:rPr>
        <w:instrText>ADDIN CSL_CITATION {"citationItems":[{"id":"ITEM-1","itemData":{"DOI":"10.1038/s41558-021-01077-8","ISSN":"17586798","abstract":"Coastal locations around the United States, particularly along the Atlantic coast, are experiencing recurrent flooding at high tide. Continued sea-level rise (SLR) will exacerbate the issue where present, and many more locations will begin to experience recurrent high-tide flooding (HTF) in the coming decades. Here we use established SLR scenarios and flooding thresholds to demonstrate how the combined effects of SLR and nodal cycle modulations of tidal amplitude lead to acute inflections in projections of future HTF. The mid-2030s, in particular, may see the onset of rapid increases in the frequency of HTF in multiple US coastal regions. We also show how annual cycles and sea-level anomalies lead to extreme seasons or months during which many days of HTF cluster together. Clustering can lead to critical frequencies of HTF occurring during monthly or seasonal periods one to two decades prior to being expected on an annual basis.","author":[{"dropping-particle":"","family":"Thompson","given":"Philip R.","non-dropping-particle":"","parse-names":false,"suffix":""},{"dropping-particle":"","family":"Widlansky","given":"Matthew J.","non-dropping-particle":"","parse-names":false,"suffix":""},{"dropping-particle":"","family":"Hamlington","given":"Benjamin D.","non-dropping-particle":"","parse-names":false,"suffix":""},{"dropping-particle":"","family":"Merrifield","given":"Mark A.","non-dropping-particle":"","parse-names":false,"suffix":""},{"dropping-particle":"","family":"Marra","given":"John J.","non-dropping-particle":"","parse-names":false,"suffix":""},{"dropping-particle":"","family":"Mitchum","given":"Gary T.","non-dropping-particle":"","parse-names":false,"suffix":""},{"dropping-particle":"","family":"Sweet","given":"William","non-dropping-particle":"","parse-names":false,"suffix":""}],"container-title":"Nature Climate Change","id":"ITEM-1","issue":"7","issued":{"date-parts":[["2021"]]},"page":"584-590","publisher":"Springer US","title":"Rapid increases and extreme months in projections of United States high-tide flooding","type":"article-journal","volume":"11"},"uris":["http://www.mendeley.com/documents/?uuid=63c176dc-ad37-4acd-8a2d-a2355682bc2e"]}],"mendeley":{"formattedCitation":"(Thompson et al., 2021)","manualFormatting":"Thompson et al. (2021)","plainTextFormattedCitation":"(Thompson et al., 2021)","previouslyFormattedCitation":"(Thompson et al., 2021)"},"properties":{"noteIndex":0},"schema":"https://github.com/citation-style-language/schema/raw/master/csl-citation.json"}</w:instrText>
      </w:r>
      <w:r>
        <w:rPr>
          <w:rFonts w:eastAsiaTheme="minorEastAsia"/>
        </w:rPr>
        <w:fldChar w:fldCharType="separate"/>
      </w:r>
      <w:r w:rsidRPr="00F15BEF">
        <w:rPr>
          <w:rFonts w:eastAsiaTheme="minorEastAsia"/>
          <w:noProof/>
        </w:rPr>
        <w:t>Thompson et al.</w:t>
      </w:r>
      <w:r>
        <w:rPr>
          <w:rFonts w:eastAsiaTheme="minorEastAsia"/>
          <w:noProof/>
        </w:rPr>
        <w:t xml:space="preserve"> (</w:t>
      </w:r>
      <w:r w:rsidRPr="00F15BEF">
        <w:rPr>
          <w:rFonts w:eastAsiaTheme="minorEastAsia"/>
          <w:noProof/>
        </w:rPr>
        <w:t>2021)</w:t>
      </w:r>
      <w:r>
        <w:rPr>
          <w:rFonts w:eastAsiaTheme="minorEastAsia"/>
        </w:rPr>
        <w:fldChar w:fldCharType="end"/>
      </w:r>
      <w:r>
        <w:rPr>
          <w:rFonts w:eastAsiaTheme="minorEastAsia"/>
        </w:rPr>
        <w:t xml:space="preserve"> </w:t>
      </w:r>
      <w:r>
        <w:t xml:space="preserve">showed that the </w:t>
      </w:r>
      <w:r w:rsidR="00BD6E78">
        <w:t>long-term tidal</w:t>
      </w:r>
      <w:r>
        <w:t xml:space="preserve"> cycle</w:t>
      </w:r>
      <w:r w:rsidR="00BD6E78">
        <w:t>s</w:t>
      </w:r>
      <w:r>
        <w:t xml:space="preserve"> peak just before 2024 in St Petersburg (western Florida) </w:t>
      </w:r>
      <w:r>
        <w:rPr>
          <w:rFonts w:eastAsiaTheme="minorEastAsia"/>
        </w:rPr>
        <w:t xml:space="preserve">while our results indicate that the </w:t>
      </w:r>
      <w:r w:rsidR="0043283A">
        <w:rPr>
          <w:rFonts w:eastAsiaTheme="minorEastAsia"/>
        </w:rPr>
        <w:t xml:space="preserve">long-term tidal </w:t>
      </w:r>
      <w:r>
        <w:rPr>
          <w:rFonts w:eastAsiaTheme="minorEastAsia"/>
        </w:rPr>
        <w:t xml:space="preserve">modulations in 100-ESL </w:t>
      </w:r>
      <w:r w:rsidR="00022CBA">
        <w:rPr>
          <w:rFonts w:eastAsiaTheme="minorEastAsia"/>
        </w:rPr>
        <w:t xml:space="preserve">will peak in </w:t>
      </w:r>
      <w:r w:rsidR="009B1A96">
        <w:rPr>
          <w:rFonts w:eastAsiaTheme="minorEastAsia"/>
        </w:rPr>
        <w:t>2026</w:t>
      </w:r>
      <w:r>
        <w:rPr>
          <w:rFonts w:eastAsiaTheme="minorEastAsia"/>
        </w:rPr>
        <w:t xml:space="preserve">. </w:t>
      </w:r>
    </w:p>
    <w:p w14:paraId="7ECA70DD" w14:textId="77777777" w:rsidR="00DE5D33" w:rsidRDefault="00DE5D33" w:rsidP="00DE5D33">
      <w:pPr>
        <w:rPr>
          <w:rFonts w:eastAsiaTheme="minorEastAsia"/>
        </w:rPr>
      </w:pPr>
    </w:p>
    <w:p w14:paraId="3758DB9A" w14:textId="4D4A3FD1" w:rsidR="00DE5D33" w:rsidRPr="00625793" w:rsidRDefault="00680733" w:rsidP="00DE5D33">
      <w:pPr>
        <w:rPr>
          <w:rFonts w:eastAsiaTheme="minorEastAsia"/>
        </w:rPr>
      </w:pPr>
      <w:r>
        <w:rPr>
          <w:rFonts w:eastAsiaTheme="minorEastAsia"/>
          <w:noProof/>
        </w:rPr>
        <w:lastRenderedPageBreak/>
        <w:drawing>
          <wp:inline distT="0" distB="0" distL="0" distR="0" wp14:anchorId="3BDCF269" wp14:editId="70FE603A">
            <wp:extent cx="5400040" cy="6083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 - v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6083300"/>
                    </a:xfrm>
                    <a:prstGeom prst="rect">
                      <a:avLst/>
                    </a:prstGeom>
                  </pic:spPr>
                </pic:pic>
              </a:graphicData>
            </a:graphic>
          </wp:inline>
        </w:drawing>
      </w:r>
    </w:p>
    <w:p w14:paraId="66ED6C99" w14:textId="6B3659F6" w:rsidR="00DE5D33" w:rsidRDefault="001274A0" w:rsidP="00DE5D33">
      <w:pPr>
        <w:rPr>
          <w:rFonts w:eastAsiaTheme="minorEastAsia"/>
        </w:rPr>
      </w:pPr>
      <w:r>
        <w:t>Figure 3</w:t>
      </w:r>
      <w:r w:rsidR="00DE5D33">
        <w:t xml:space="preserve">. a) Time difference in years between the closest peak of the long-term tidal modulations in 100-ESL and the year 2021. </w:t>
      </w:r>
      <w:r w:rsidR="00680733">
        <w:t xml:space="preserve">Black-red colors </w:t>
      </w:r>
      <w:r w:rsidR="00DE5D33">
        <w:t xml:space="preserve">indicate sites where the modulation peaked before and in 2021 while </w:t>
      </w:r>
      <w:r w:rsidR="00680733">
        <w:t xml:space="preserve">green-yellow colors </w:t>
      </w:r>
      <w:r w:rsidR="00DE5D33">
        <w:t>show places where the modulation peaks after 2021. b) Timing (in years) of the next peak of the long-term tidal cycles. Tide gauges where the modulations in 100-ESL are statistically insignificant are not included in the figure</w:t>
      </w:r>
      <w:r w:rsidR="00DE5D33" w:rsidRPr="1E896CEA">
        <w:rPr>
          <w:rFonts w:eastAsiaTheme="minorEastAsia"/>
        </w:rPr>
        <w:t>.</w:t>
      </w:r>
    </w:p>
    <w:p w14:paraId="3D6C18A0" w14:textId="77777777" w:rsidR="00DE5D33" w:rsidRDefault="00DE5D33" w:rsidP="00DE5D33">
      <w:pPr>
        <w:rPr>
          <w:rFonts w:eastAsiaTheme="minorEastAsia"/>
        </w:rPr>
      </w:pPr>
    </w:p>
    <w:p w14:paraId="76F9934E" w14:textId="343A2598" w:rsidR="00DE5D33" w:rsidRDefault="00DE5D33" w:rsidP="00A81CF2">
      <w:pPr>
        <w:rPr>
          <w:rFonts w:eastAsiaTheme="minorEastAsia"/>
        </w:rPr>
      </w:pPr>
      <w:r w:rsidRPr="1E896CEA">
        <w:rPr>
          <w:rFonts w:eastAsiaTheme="minorEastAsia"/>
        </w:rPr>
        <w:t>The</w:t>
      </w:r>
      <w:r w:rsidR="00C02024">
        <w:rPr>
          <w:rFonts w:eastAsiaTheme="minorEastAsia"/>
        </w:rPr>
        <w:t xml:space="preserve"> total</w:t>
      </w:r>
      <w:r w:rsidRPr="1E896CEA">
        <w:rPr>
          <w:rFonts w:eastAsiaTheme="minorEastAsia"/>
        </w:rPr>
        <w:t xml:space="preserve"> amplitude</w:t>
      </w:r>
      <w:r>
        <w:rPr>
          <w:rFonts w:eastAsiaTheme="minorEastAsia"/>
        </w:rPr>
        <w:t>s</w:t>
      </w:r>
      <w:r w:rsidRPr="1E896CEA">
        <w:rPr>
          <w:rFonts w:eastAsiaTheme="minorEastAsia"/>
        </w:rPr>
        <w:t xml:space="preserve"> of the </w:t>
      </w:r>
      <w:r>
        <w:rPr>
          <w:rFonts w:eastAsiaTheme="minorEastAsia"/>
        </w:rPr>
        <w:t>long-term tidal</w:t>
      </w:r>
      <w:r w:rsidRPr="1E896CEA">
        <w:rPr>
          <w:rFonts w:eastAsiaTheme="minorEastAsia"/>
        </w:rPr>
        <w:t xml:space="preserve"> modulations in </w:t>
      </w:r>
      <w:r>
        <w:rPr>
          <w:rFonts w:eastAsiaTheme="minorEastAsia"/>
        </w:rPr>
        <w:t>100-ESL</w:t>
      </w:r>
      <w:r w:rsidRPr="1E896CEA">
        <w:rPr>
          <w:rFonts w:eastAsiaTheme="minorEastAsia"/>
        </w:rPr>
        <w:t xml:space="preserve"> are plotted for all stations in Figure </w:t>
      </w:r>
      <w:r w:rsidR="001274A0">
        <w:rPr>
          <w:rFonts w:eastAsiaTheme="minorEastAsia"/>
        </w:rPr>
        <w:t>4</w:t>
      </w:r>
      <w:r w:rsidRPr="1E896CEA">
        <w:rPr>
          <w:rFonts w:eastAsiaTheme="minorEastAsia"/>
        </w:rPr>
        <w:t xml:space="preserve">. </w:t>
      </w:r>
      <w:r>
        <w:rPr>
          <w:rFonts w:eastAsiaTheme="minorEastAsia"/>
        </w:rPr>
        <w:t xml:space="preserve">The maximum influence of the signal </w:t>
      </w:r>
      <w:proofErr w:type="gramStart"/>
      <w:r>
        <w:rPr>
          <w:rFonts w:eastAsiaTheme="minorEastAsia"/>
        </w:rPr>
        <w:t>is located in</w:t>
      </w:r>
      <w:proofErr w:type="gramEnd"/>
      <w:r>
        <w:rPr>
          <w:rFonts w:eastAsiaTheme="minorEastAsia"/>
        </w:rPr>
        <w:t xml:space="preserve"> </w:t>
      </w:r>
      <w:r w:rsidR="003E57D1" w:rsidRPr="00DE5D33">
        <w:t xml:space="preserve">western </w:t>
      </w:r>
      <w:r w:rsidR="003E57D1">
        <w:t>Europe, north</w:t>
      </w:r>
      <w:r w:rsidR="00C02024">
        <w:t>ern</w:t>
      </w:r>
      <w:r w:rsidR="003E57D1">
        <w:t xml:space="preserve"> Australia, and Singapore</w:t>
      </w:r>
      <w:r w:rsidR="003E57D1">
        <w:rPr>
          <w:rFonts w:eastAsiaTheme="minorEastAsia"/>
        </w:rPr>
        <w:t xml:space="preserve">, </w:t>
      </w:r>
      <w:r>
        <w:rPr>
          <w:rFonts w:eastAsiaTheme="minorEastAsia"/>
        </w:rPr>
        <w:t xml:space="preserve">where it can increase/decrease the 100-ESL </w:t>
      </w:r>
      <w:r>
        <w:rPr>
          <w:rFonts w:eastAsiaTheme="minorEastAsia"/>
        </w:rPr>
        <w:lastRenderedPageBreak/>
        <w:t xml:space="preserve">by </w:t>
      </w:r>
      <w:r w:rsidR="003E57D1">
        <w:rPr>
          <w:rFonts w:eastAsiaTheme="minorEastAsia"/>
        </w:rPr>
        <w:t xml:space="preserve">more than </w:t>
      </w:r>
      <w:r>
        <w:rPr>
          <w:rFonts w:eastAsiaTheme="minorEastAsia"/>
        </w:rPr>
        <w:t>2</w:t>
      </w:r>
      <w:r w:rsidR="003E57D1">
        <w:rPr>
          <w:rFonts w:eastAsiaTheme="minorEastAsia"/>
        </w:rPr>
        <w:t>0</w:t>
      </w:r>
      <w:r>
        <w:rPr>
          <w:rFonts w:eastAsiaTheme="minorEastAsia"/>
        </w:rPr>
        <w:t xml:space="preserve"> cm. The modulation</w:t>
      </w:r>
      <w:r w:rsidR="002138CF">
        <w:rPr>
          <w:rFonts w:eastAsiaTheme="minorEastAsia"/>
        </w:rPr>
        <w:t>s are</w:t>
      </w:r>
      <w:r>
        <w:rPr>
          <w:rFonts w:eastAsiaTheme="minorEastAsia"/>
        </w:rPr>
        <w:t xml:space="preserve"> also relevant in the eastern coast of China (~13cm), the Pacific coast of Panama (~18cm), southern Alaska (~14cm)</w:t>
      </w:r>
      <w:r w:rsidR="00C02024">
        <w:rPr>
          <w:rFonts w:eastAsiaTheme="minorEastAsia"/>
        </w:rPr>
        <w:t>,</w:t>
      </w:r>
      <w:r w:rsidR="00333CEF">
        <w:rPr>
          <w:rFonts w:eastAsiaTheme="minorEastAsia"/>
        </w:rPr>
        <w:t xml:space="preserve"> and at some locations in the Gulf of Mexico (</w:t>
      </w:r>
      <w:r w:rsidR="00EB355A">
        <w:rPr>
          <w:rFonts w:eastAsiaTheme="minorEastAsia"/>
        </w:rPr>
        <w:t>~18cm)</w:t>
      </w:r>
      <w:r>
        <w:rPr>
          <w:rFonts w:eastAsiaTheme="minorEastAsia"/>
        </w:rPr>
        <w:t xml:space="preserve">. </w:t>
      </w:r>
      <w:proofErr w:type="gramStart"/>
      <w:r w:rsidR="004C1476">
        <w:rPr>
          <w:rFonts w:eastAsiaTheme="minorEastAsia"/>
        </w:rPr>
        <w:t>In order to</w:t>
      </w:r>
      <w:proofErr w:type="gramEnd"/>
      <w:r w:rsidR="004C1476">
        <w:rPr>
          <w:rFonts w:eastAsiaTheme="minorEastAsia"/>
        </w:rPr>
        <w:t xml:space="preserve"> show the spatial variability of the modulations in the 100-ESL, t</w:t>
      </w:r>
      <w:r w:rsidR="004C1476">
        <w:t xml:space="preserve">he results are shown separately for six regions in figures S5 to S10 (Supplementary Material). </w:t>
      </w:r>
      <w:r w:rsidR="00A33584">
        <w:t>Overall, a</w:t>
      </w:r>
      <w:r>
        <w:rPr>
          <w:rFonts w:eastAsiaTheme="minorEastAsia"/>
        </w:rPr>
        <w:t xml:space="preserve">reas with higher influence of the </w:t>
      </w:r>
      <w:r w:rsidR="002138CF">
        <w:rPr>
          <w:rFonts w:eastAsiaTheme="minorEastAsia"/>
        </w:rPr>
        <w:t xml:space="preserve">long-term tidal modulations </w:t>
      </w:r>
      <w:r>
        <w:rPr>
          <w:rFonts w:eastAsiaTheme="minorEastAsia"/>
        </w:rPr>
        <w:t xml:space="preserve">in 100-ESL overlap with areas where the modulations are also important in the </w:t>
      </w:r>
      <w:r w:rsidR="002138CF">
        <w:rPr>
          <w:rFonts w:eastAsiaTheme="minorEastAsia"/>
        </w:rPr>
        <w:t xml:space="preserve">annual maxima </w:t>
      </w:r>
      <w:r w:rsidR="0035427B">
        <w:rPr>
          <w:rFonts w:eastAsiaTheme="minorEastAsia"/>
        </w:rPr>
        <w:t xml:space="preserve">of </w:t>
      </w:r>
      <w:r w:rsidR="002138CF">
        <w:rPr>
          <w:rFonts w:eastAsiaTheme="minorEastAsia"/>
        </w:rPr>
        <w:t>astronomical tide</w:t>
      </w:r>
      <w:r w:rsidR="0035427B">
        <w:rPr>
          <w:rFonts w:eastAsiaTheme="minorEastAsia"/>
        </w:rPr>
        <w:t>s</w:t>
      </w:r>
      <w:r w:rsidR="002138CF">
        <w:rPr>
          <w:rFonts w:eastAsiaTheme="minorEastAsia"/>
        </w:rPr>
        <w:t xml:space="preserve"> </w:t>
      </w:r>
      <w:r>
        <w:rPr>
          <w:rFonts w:eastAsiaTheme="minorEastAsia"/>
        </w:rPr>
        <w:t xml:space="preserve">(Figure </w:t>
      </w:r>
      <w:r w:rsidR="001274A0">
        <w:rPr>
          <w:rFonts w:eastAsiaTheme="minorEastAsia"/>
        </w:rPr>
        <w:t>S</w:t>
      </w:r>
      <w:r w:rsidR="009216B7">
        <w:rPr>
          <w:rFonts w:eastAsiaTheme="minorEastAsia"/>
        </w:rPr>
        <w:t>4</w:t>
      </w:r>
      <w:r w:rsidR="001274A0">
        <w:rPr>
          <w:rFonts w:eastAsiaTheme="minorEastAsia"/>
        </w:rPr>
        <w:t>, Supp</w:t>
      </w:r>
      <w:r w:rsidR="000B217B">
        <w:rPr>
          <w:rFonts w:eastAsiaTheme="minorEastAsia"/>
        </w:rPr>
        <w:t>lem</w:t>
      </w:r>
      <w:r w:rsidR="001274A0">
        <w:rPr>
          <w:rFonts w:eastAsiaTheme="minorEastAsia"/>
        </w:rPr>
        <w:t>entary Material</w:t>
      </w:r>
      <w:r>
        <w:rPr>
          <w:rFonts w:eastAsiaTheme="minorEastAsia"/>
        </w:rPr>
        <w:t>).</w:t>
      </w:r>
      <w:r w:rsidR="00A33584">
        <w:rPr>
          <w:rFonts w:eastAsiaTheme="minorEastAsia"/>
        </w:rPr>
        <w:t xml:space="preserve"> There are two exceptions, the tide gauges of Galveston and </w:t>
      </w:r>
      <w:r w:rsidR="00FC255C">
        <w:rPr>
          <w:rFonts w:eastAsiaTheme="minorEastAsia"/>
        </w:rPr>
        <w:t>Sa</w:t>
      </w:r>
      <w:r w:rsidR="00CF4926">
        <w:rPr>
          <w:rFonts w:eastAsiaTheme="minorEastAsia"/>
        </w:rPr>
        <w:t xml:space="preserve">bine Pass, where the </w:t>
      </w:r>
      <w:r w:rsidR="008C5DD4">
        <w:rPr>
          <w:rFonts w:eastAsiaTheme="minorEastAsia"/>
        </w:rPr>
        <w:t xml:space="preserve">amplitude of the </w:t>
      </w:r>
      <w:r w:rsidR="00CF4926">
        <w:rPr>
          <w:rFonts w:eastAsiaTheme="minorEastAsia"/>
        </w:rPr>
        <w:t xml:space="preserve">long-term tidal modulations </w:t>
      </w:r>
      <w:r w:rsidR="008C5DD4">
        <w:rPr>
          <w:rFonts w:eastAsiaTheme="minorEastAsia"/>
        </w:rPr>
        <w:t xml:space="preserve">are ~3cm in the annual maxima predicted tides (Figure </w:t>
      </w:r>
      <w:r w:rsidR="001274A0">
        <w:rPr>
          <w:rFonts w:eastAsiaTheme="minorEastAsia"/>
        </w:rPr>
        <w:t>S</w:t>
      </w:r>
      <w:r w:rsidR="008C5DD4">
        <w:rPr>
          <w:rFonts w:eastAsiaTheme="minorEastAsia"/>
        </w:rPr>
        <w:t xml:space="preserve">1) but increases up to ~11cm in the 100-ESL (Figure </w:t>
      </w:r>
      <w:r w:rsidR="001274A0">
        <w:rPr>
          <w:rFonts w:eastAsiaTheme="minorEastAsia"/>
        </w:rPr>
        <w:t>4</w:t>
      </w:r>
      <w:r w:rsidR="000004D3">
        <w:rPr>
          <w:rFonts w:eastAsiaTheme="minorEastAsia"/>
        </w:rPr>
        <w:t>).</w:t>
      </w:r>
      <w:r w:rsidRPr="1E896CEA">
        <w:rPr>
          <w:rFonts w:eastAsiaTheme="minorEastAsia"/>
        </w:rPr>
        <w:t xml:space="preserve"> </w:t>
      </w:r>
      <w:r w:rsidR="00475C55">
        <w:rPr>
          <w:rFonts w:eastAsiaTheme="minorEastAsia"/>
        </w:rPr>
        <w:t>T</w:t>
      </w:r>
      <w:r w:rsidRPr="1E896CEA">
        <w:rPr>
          <w:rFonts w:eastAsiaTheme="minorEastAsia"/>
        </w:rPr>
        <w:t xml:space="preserve">ide gauges </w:t>
      </w:r>
      <w:r w:rsidRPr="55CD709C">
        <w:rPr>
          <w:rFonts w:eastAsiaTheme="minorEastAsia"/>
        </w:rPr>
        <w:t xml:space="preserve">with statistically insignificant </w:t>
      </w:r>
      <w:r w:rsidR="00475C55">
        <w:rPr>
          <w:rFonts w:eastAsiaTheme="minorEastAsia"/>
        </w:rPr>
        <w:t xml:space="preserve">long-term tidal modulations in </w:t>
      </w:r>
      <w:r>
        <w:rPr>
          <w:rFonts w:eastAsiaTheme="minorEastAsia"/>
        </w:rPr>
        <w:t>100-ESL</w:t>
      </w:r>
      <w:r w:rsidRPr="1E896CEA">
        <w:rPr>
          <w:rFonts w:eastAsiaTheme="minorEastAsia"/>
        </w:rPr>
        <w:t xml:space="preserve"> are located mainly </w:t>
      </w:r>
      <w:r>
        <w:rPr>
          <w:rFonts w:eastAsiaTheme="minorEastAsia"/>
        </w:rPr>
        <w:t xml:space="preserve">in </w:t>
      </w:r>
      <w:r w:rsidRPr="1E896CEA">
        <w:rPr>
          <w:rFonts w:eastAsiaTheme="minorEastAsia"/>
        </w:rPr>
        <w:t>the Baltic Sea and the Gulf of Bothnia</w:t>
      </w:r>
      <w:r w:rsidRPr="23E2D115">
        <w:rPr>
          <w:rFonts w:eastAsiaTheme="minorEastAsia"/>
        </w:rPr>
        <w:t xml:space="preserve">, where tides are small </w:t>
      </w:r>
      <w:r>
        <w:rPr>
          <w:rFonts w:eastAsiaTheme="minorEastAsia"/>
        </w:rPr>
        <w:fldChar w:fldCharType="begin" w:fldLock="1"/>
      </w:r>
      <w:r w:rsidR="00475C55">
        <w:rPr>
          <w:rFonts w:eastAsiaTheme="minorEastAsia"/>
        </w:rPr>
        <w:instrText>ADDIN CSL_CITATION {"citationItems":[{"id":"ITEM-1","itemData":{"DOI":"10.3389/fmars.2016.00046","ISSN":"22967745","abstract":"Tides are the main type of sea level variability in the world oceans. However, oceanic tides penetrate weakly, or do not penetrate at all, into enclosed basins such as the Baltic, Black, and Caspian seas. Consequently, only directly forced tides are formed in these basins. Long observation time series (up to 123 years in the Baltic Sea and 38 years in the Black and Caspian seas) at numerous stations were used to precisely estimate tidal constituents. High-resolution spectra revealed fine structure of discrete peaks at tidal frequencies. The diurnal radiational constituent S1 (1 cpd), apparently associated with breeze winds, was found to play an important role in general tidal dynamics in these seas. Harmonic analysis of tides for individual yearly series with consecutive vector averaging over the entire observational period was applied to estimate mean amplitudes and phases of tidal constituents. Our findings indicate that the formation and predominance of diurnal or semidiurnal tides in these seas appears to depend on the frequency-selective properties of the basins. Thus, in the Baltic Sea with fundamental eigen period of about 27 h, diurnal tides dominate in the major eastern gulfs. In the Black Sea amplification of semidiurnal tides is observed in the northwestern part, and is likely associated with local resonance. The predominance of semidiurnal tides in the Caspian Sea has also probably a resonant nature. Maximum tidal heights estimated for a 100-year period are 23 cm in the Baltic Sea, 18 cm in the Black Sea and 21 cm in the southern Caspian Sea.","author":[{"dropping-particle":"","family":"Medvedev","given":"Igor P.","non-dropping-particle":"","parse-names":false,"suffix":""},{"dropping-particle":"","family":"Rabinovich","given":"Alexander B.","non-dropping-particle":"","parse-names":false,"suffix":""},{"dropping-particle":"","family":"Kulikov","given":"Evgueni A.","non-dropping-particle":"","parse-names":false,"suffix":""}],"container-title":"Frontiers in Marine Science","id":"ITEM-1","issue":"APR","issued":{"date-parts":[["2016"]]},"page":"1-7","title":"Tides in three enclosed basins: The baltic, black, and caspian seas","type":"article-journal","volume":"3"},"uris":["http://www.mendeley.com/documents/?uuid=3ce49ce6-ce1d-418d-9017-a66390f9f0b3"]},{"id":"ITEM-2","itemData":{"DOI":"10.1134/S0001437013050123","ISSN":"00014370","abstract":"Long-term hourly data from 35 tide gauge stations, including 15 stations in the Gulf of Finland, were used to examine tidal sea level oscillations of the Baltic Sea. High-resolution spectral analysis revealed the well-defined fine structure of tidal peaks with diurnal peaks at most stations being higher than semidiurnal. At some stations (e.g., Narva, Daugava, and Wladyslawowo), high frequency radiational tidal peaks with periods multiple of the solar day (3, 4, 5, 6, and 8 cpd) were detected; the respective oscillations are supposed to be caused by seabreeze winds. Harmonic analysis of tides for individual yearly sea level series followed by vector averaging over the entire observational period was used to estimate the amplitudes and phases of 16 tidal constituents. The maximum tidal oscillations of 17-19 cm were found to be observed in the Gulf of Finland and, first of all, in Neva Bay (in the head of the gulf). Diurnal or mixed diurnal tides are predominant in almost the entire Baltic Sea. The comparison of the observed tides with those theoretically computed showed that the existing numerical models of the main tidal harmonics generally quite accurately reproduce the structure of the tides in the Baltic Sea except for some regions of the Gulf of Bothnia. © 2013 Pleiades Publishing, Inc.","author":[{"dropping-particle":"","family":"Medvedev","given":"I. P.","non-dropping-particle":"","parse-names":false,"suffix":""},{"dropping-particle":"","family":"Rabinovich","given":"A. B.","non-dropping-particle":"","parse-names":false,"suffix":""},{"dropping-particle":"","family":"Kulikov","given":"E. A.","non-dropping-particle":"","parse-names":false,"suffix":""}],"container-title":"Oceanology","id":"ITEM-2","issue":"5","issued":{"date-parts":[["2013"]]},"page":"526-538","title":"Tidal oscillations in the Baltic Sea","type":"article-journal","volume":"53"},"uris":["http://www.mendeley.com/documents/?uuid=c894d616-9d68-4290-8f4b-7afd2c3ccc5d"]}],"mendeley":{"formattedCitation":"(I. P. Medvedev et al., 2013; Igor P. Medvedev et al., 2016)","manualFormatting":"(Medvedev et al., 2013; Medvedev et al., 2016)","plainTextFormattedCitation":"(I. P. Medvedev et al., 2013; Igor P. Medvedev et al., 2016)","previouslyFormattedCitation":"(I. P. Medvedev et al., 2013; Igor P. Medvedev et al., 2016)"},"properties":{"noteIndex":0},"schema":"https://github.com/citation-style-language/schema/raw/master/csl-citation.json"}</w:instrText>
      </w:r>
      <w:r>
        <w:rPr>
          <w:rFonts w:eastAsiaTheme="minorEastAsia"/>
        </w:rPr>
        <w:fldChar w:fldCharType="separate"/>
      </w:r>
      <w:r w:rsidR="00475C55" w:rsidRPr="00475C55">
        <w:rPr>
          <w:rFonts w:eastAsiaTheme="minorEastAsia"/>
          <w:noProof/>
        </w:rPr>
        <w:t>(</w:t>
      </w:r>
      <w:r w:rsidRPr="00475C55">
        <w:rPr>
          <w:rFonts w:eastAsiaTheme="minorEastAsia"/>
          <w:noProof/>
        </w:rPr>
        <w:t>Medvedev et al., 2013;</w:t>
      </w:r>
      <w:r w:rsidR="00475C55" w:rsidRPr="00475C55">
        <w:rPr>
          <w:rFonts w:eastAsiaTheme="minorEastAsia"/>
          <w:noProof/>
        </w:rPr>
        <w:t xml:space="preserve"> </w:t>
      </w:r>
      <w:r w:rsidRPr="00475C55">
        <w:rPr>
          <w:rFonts w:eastAsiaTheme="minorEastAsia"/>
          <w:noProof/>
        </w:rPr>
        <w:t>Medvedev et al., 2016)</w:t>
      </w:r>
      <w:r>
        <w:rPr>
          <w:rFonts w:eastAsiaTheme="minorEastAsia"/>
        </w:rPr>
        <w:fldChar w:fldCharType="end"/>
      </w:r>
      <w:r w:rsidRPr="00475C55">
        <w:rPr>
          <w:rFonts w:eastAsiaTheme="minorEastAsia"/>
        </w:rPr>
        <w:t xml:space="preserve">. </w:t>
      </w:r>
      <w:r>
        <w:rPr>
          <w:rFonts w:eastAsiaTheme="minorEastAsia"/>
        </w:rPr>
        <w:t xml:space="preserve">Results agree with the small </w:t>
      </w:r>
      <w:r w:rsidR="001F3BF1">
        <w:rPr>
          <w:rFonts w:eastAsiaTheme="minorEastAsia"/>
        </w:rPr>
        <w:t>4.4-y</w:t>
      </w:r>
      <w:r w:rsidR="00C02024">
        <w:rPr>
          <w:rFonts w:eastAsiaTheme="minorEastAsia"/>
        </w:rPr>
        <w:t>r</w:t>
      </w:r>
      <w:r w:rsidR="001F3BF1">
        <w:rPr>
          <w:rFonts w:eastAsiaTheme="minorEastAsia"/>
        </w:rPr>
        <w:t xml:space="preserve"> and 18.6-y</w:t>
      </w:r>
      <w:r w:rsidR="00C02024">
        <w:rPr>
          <w:rFonts w:eastAsiaTheme="minorEastAsia"/>
        </w:rPr>
        <w:t>r</w:t>
      </w:r>
      <w:r w:rsidR="001F3BF1">
        <w:rPr>
          <w:rFonts w:eastAsiaTheme="minorEastAsia"/>
        </w:rPr>
        <w:t xml:space="preserve"> </w:t>
      </w:r>
      <w:r>
        <w:rPr>
          <w:rFonts w:eastAsiaTheme="minorEastAsia"/>
        </w:rPr>
        <w:t xml:space="preserve">modulations in the </w:t>
      </w:r>
      <w:r w:rsidR="00475C55">
        <w:rPr>
          <w:rFonts w:eastAsiaTheme="minorEastAsia"/>
        </w:rPr>
        <w:t xml:space="preserve">annual predicted astronomical tides </w:t>
      </w:r>
      <w:r>
        <w:rPr>
          <w:rFonts w:eastAsiaTheme="minorEastAsia"/>
        </w:rPr>
        <w:t xml:space="preserve">in the Baltic Sea and the Gulf of Bothnia (Figure </w:t>
      </w:r>
      <w:r w:rsidR="001274A0">
        <w:rPr>
          <w:rFonts w:eastAsiaTheme="minorEastAsia"/>
        </w:rPr>
        <w:t>S</w:t>
      </w:r>
      <w:r w:rsidR="004C1476">
        <w:rPr>
          <w:rFonts w:eastAsiaTheme="minorEastAsia"/>
        </w:rPr>
        <w:t>4</w:t>
      </w:r>
      <w:r>
        <w:rPr>
          <w:rFonts w:eastAsiaTheme="minorEastAsia"/>
        </w:rPr>
        <w:t>).</w:t>
      </w:r>
    </w:p>
    <w:p w14:paraId="5231A34B" w14:textId="09181674" w:rsidR="00DE5D33" w:rsidRPr="00171943" w:rsidRDefault="00DE5D33" w:rsidP="00171943">
      <w:pPr>
        <w:rPr>
          <w:rFonts w:eastAsiaTheme="minorEastAsia"/>
        </w:rPr>
      </w:pPr>
      <w:r w:rsidRPr="1E896CEA">
        <w:rPr>
          <w:rFonts w:eastAsiaTheme="minorEastAsia"/>
        </w:rPr>
        <w:t xml:space="preserve">Although the results are not directly comparable due to differences in defining extreme water levels and in the methodology, the </w:t>
      </w:r>
      <w:r>
        <w:rPr>
          <w:rFonts w:eastAsiaTheme="minorEastAsia"/>
        </w:rPr>
        <w:t xml:space="preserve">spatial patterns </w:t>
      </w:r>
      <w:r w:rsidRPr="1E896CEA">
        <w:rPr>
          <w:rFonts w:eastAsiaTheme="minorEastAsia"/>
        </w:rPr>
        <w:t xml:space="preserve">of the </w:t>
      </w:r>
      <w:r w:rsidR="00475C55">
        <w:rPr>
          <w:rFonts w:eastAsiaTheme="minorEastAsia"/>
        </w:rPr>
        <w:t>lo</w:t>
      </w:r>
      <w:r w:rsidR="004B3E19">
        <w:rPr>
          <w:rFonts w:eastAsiaTheme="minorEastAsia"/>
        </w:rPr>
        <w:t>n</w:t>
      </w:r>
      <w:r w:rsidR="00475C55">
        <w:rPr>
          <w:rFonts w:eastAsiaTheme="minorEastAsia"/>
        </w:rPr>
        <w:t xml:space="preserve">g-term tidal </w:t>
      </w:r>
      <w:r w:rsidRPr="1E896CEA">
        <w:rPr>
          <w:rFonts w:eastAsiaTheme="minorEastAsia"/>
        </w:rPr>
        <w:t xml:space="preserve">modulations in </w:t>
      </w:r>
      <w:r>
        <w:rPr>
          <w:rFonts w:eastAsiaTheme="minorEastAsia"/>
        </w:rPr>
        <w:t>100-ESL</w:t>
      </w:r>
      <w:r w:rsidRPr="1E896CEA">
        <w:rPr>
          <w:rFonts w:eastAsiaTheme="minorEastAsia"/>
        </w:rPr>
        <w:t xml:space="preserve"> agree with those</w:t>
      </w:r>
      <w:r>
        <w:rPr>
          <w:rFonts w:eastAsiaTheme="minorEastAsia"/>
        </w:rPr>
        <w:t xml:space="preserve"> found in </w:t>
      </w:r>
      <w:r w:rsidRPr="1E896CEA">
        <w:rPr>
          <w:rFonts w:eastAsiaTheme="minorEastAsia"/>
        </w:rPr>
        <w:t xml:space="preserve">monthly </w:t>
      </w:r>
      <w:r w:rsidRPr="00DF28F1">
        <w:rPr>
          <w:rFonts w:eastAsiaTheme="minorEastAsia"/>
        </w:rPr>
        <w:t>mean</w:t>
      </w:r>
      <w:r>
        <w:rPr>
          <w:rFonts w:eastAsiaTheme="minorEastAsia"/>
        </w:rPr>
        <w:t xml:space="preserve"> high water levels by </w:t>
      </w:r>
      <w:r>
        <w:rPr>
          <w:rFonts w:eastAsiaTheme="minorEastAsia"/>
        </w:rPr>
        <w:fldChar w:fldCharType="begin" w:fldLock="1"/>
      </w:r>
      <w:r>
        <w:rPr>
          <w:rFonts w:eastAsiaTheme="minorEastAsia"/>
        </w:rPr>
        <w:instrText>ADDIN CSL_CITATION {"citationItems":[{"id":"ITEM-1","itemData":{"DOI":"10.1029/2018JC014695","ISSN":"21699291","abstract":"The lunar nodal cycle, produced by the varying declination of the Moon over a period of 18.61 years, drives changes in tidal amplitude globally. However, constraining the range of changes in tidal amplitude that can be expected over a nodal cycle from real observations is rarely considered for coastal hazard planning. In this study, we use hourly tide gauge observations with record lengths &gt;19 years from 574 stations distributed worldwide to examine the contribution of the nodal modulation to monthly high water levels. Our results show that the influence of the lunar nodal cycle on high water levels is largest at tide gauge stations located in the Gulf of Tonkin, English Channel, and Bristol Channel, amounting up to 30 cm in range, suggesting that in the coming decades the impact of the nodal cycle on high water levels in those regions could be greater than that of global mean sea level rise, which is up to 17 cm by 2030, according to the Intergovernmental Panel on Climate Change fifth assessment report projections. We also examine the phase of nodal modulation and show that the estimated phases exhibit two clusters: one cluster (111° ± 10°) corresponds with the locations having a diurnal form of tides, whereas the other cluster (−59° ± 11°) corresponds with the locations exhibiting a semidiurnal form of tides. Nodal modulation in the diurnal and semidiurnal locations will peak again in 2025 and 2034, respectively, resulting in enhanced potential for coastal hazard in the respective regions.","author":[{"dropping-particle":"","family":"Peng","given":"Dongju","non-dropping-particle":"","parse-names":false,"suffix":""},{"dropping-particle":"","family":"Hill","given":"Emma M.","non-dropping-particle":"","parse-names":false,"suffix":""},{"dropping-particle":"","family":"Meltzner","given":"Aron J.","non-dropping-particle":"","parse-names":false,"suffix":""},{"dropping-particle":"","family":"Switzer","given":"Adam D.","non-dropping-particle":"","parse-names":false,"suffix":""}],"container-title":"Journal of Geophysical Research: Oceans","id":"ITEM-1","issue":"1","issued":{"date-parts":[["2019"]]},"page":"736-749","title":"Tide Gauge Records Show That the 18.61-Year Nodal Tidal Cycle Can Change High Water Levels by up to 30 cm","type":"article-journal","volume":"124"},"uris":["http://www.mendeley.com/documents/?uuid=c769c08e-7e52-4ba5-9da6-c49a9242862e"]}],"mendeley":{"formattedCitation":"(Peng et al., 2019)","manualFormatting":"Peng et al. (2019)","plainTextFormattedCitation":"(Peng et al., 2019)","previouslyFormattedCitation":"(Peng et al., 2019)"},"properties":{"noteIndex":0},"schema":"https://github.com/citation-style-language/schema/raw/master/csl-citation.json"}</w:instrText>
      </w:r>
      <w:r>
        <w:rPr>
          <w:rFonts w:eastAsiaTheme="minorEastAsia"/>
        </w:rPr>
        <w:fldChar w:fldCharType="separate"/>
      </w:r>
      <w:r>
        <w:rPr>
          <w:rFonts w:eastAsiaTheme="minorEastAsia"/>
          <w:noProof/>
        </w:rPr>
        <w:t>Peng et al.</w:t>
      </w:r>
      <w:r w:rsidRPr="0051268C">
        <w:rPr>
          <w:rFonts w:eastAsiaTheme="minorEastAsia"/>
          <w:noProof/>
        </w:rPr>
        <w:t xml:space="preserve"> </w:t>
      </w:r>
      <w:r>
        <w:rPr>
          <w:rFonts w:eastAsiaTheme="minorEastAsia"/>
          <w:noProof/>
        </w:rPr>
        <w:t>(</w:t>
      </w:r>
      <w:r w:rsidRPr="0051268C">
        <w:rPr>
          <w:rFonts w:eastAsiaTheme="minorEastAsia"/>
          <w:noProof/>
        </w:rPr>
        <w:t>2019)</w:t>
      </w:r>
      <w:r>
        <w:rPr>
          <w:rFonts w:eastAsiaTheme="minorEastAsia"/>
        </w:rPr>
        <w:fldChar w:fldCharType="end"/>
      </w:r>
      <w:r>
        <w:rPr>
          <w:rFonts w:eastAsiaTheme="minorEastAsia"/>
        </w:rPr>
        <w:t>. These authors used water level records from tide gauges located along the global coasts</w:t>
      </w:r>
      <w:r w:rsidRPr="1E896CEA">
        <w:rPr>
          <w:rFonts w:eastAsiaTheme="minorEastAsia"/>
        </w:rPr>
        <w:t>.</w:t>
      </w:r>
      <w:r>
        <w:rPr>
          <w:rFonts w:eastAsiaTheme="minorEastAsia"/>
        </w:rPr>
        <w:t xml:space="preserve"> Similar to what we show here, </w:t>
      </w:r>
      <w:r>
        <w:rPr>
          <w:rFonts w:eastAsiaTheme="minorEastAsia"/>
        </w:rPr>
        <w:fldChar w:fldCharType="begin" w:fldLock="1"/>
      </w:r>
      <w:r>
        <w:rPr>
          <w:rFonts w:eastAsiaTheme="minorEastAsia"/>
        </w:rPr>
        <w:instrText>ADDIN CSL_CITATION {"citationItems":[{"id":"ITEM-1","itemData":{"DOI":"10.1029/2018JC014695","ISSN":"21699291","abstract":"The lunar nodal cycle, produced by the varying declination of the Moon over a period of 18.61 years, drives changes in tidal amplitude globally. However, constraining the range of changes in tidal amplitude that can be expected over a nodal cycle from real observations is rarely considered for coastal hazard planning. In this study, we use hourly tide gauge observations with record lengths &gt;19 years from 574 stations distributed worldwide to examine the contribution of the nodal modulation to monthly high water levels. Our results show that the influence of the lunar nodal cycle on high water levels is largest at tide gauge stations located in the Gulf of Tonkin, English Channel, and Bristol Channel, amounting up to 30 cm in range, suggesting that in the coming decades the impact of the nodal cycle on high water levels in those regions could be greater than that of global mean sea level rise, which is up to 17 cm by 2030, according to the Intergovernmental Panel on Climate Change fifth assessment report projections. We also examine the phase of nodal modulation and show that the estimated phases exhibit two clusters: one cluster (111° ± 10°) corresponds with the locations having a diurnal form of tides, whereas the other cluster (−59° ± 11°) corresponds with the locations exhibiting a semidiurnal form of tides. Nodal modulation in the diurnal and semidiurnal locations will peak again in 2025 and 2034, respectively, resulting in enhanced potential for coastal hazard in the respective regions.","author":[{"dropping-particle":"","family":"Peng","given":"Dongju","non-dropping-particle":"","parse-names":false,"suffix":""},{"dropping-particle":"","family":"Hill","given":"Emma M.","non-dropping-particle":"","parse-names":false,"suffix":""},{"dropping-particle":"","family":"Meltzner","given":"Aron J.","non-dropping-particle":"","parse-names":false,"suffix":""},{"dropping-particle":"","family":"Switzer","given":"Adam D.","non-dropping-particle":"","parse-names":false,"suffix":""}],"container-title":"Journal of Geophysical Research: Oceans","id":"ITEM-1","issue":"1","issued":{"date-parts":[["2019"]]},"page":"736-749","title":"Tide Gauge Records Show That the 18.61-Year Nodal Tidal Cycle Can Change High Water Levels by up to 30 cm","type":"article-journal","volume":"124"},"uris":["http://www.mendeley.com/documents/?uuid=c769c08e-7e52-4ba5-9da6-c49a9242862e"]}],"mendeley":{"formattedCitation":"(Peng et al., 2019)","manualFormatting":"Peng et al. (2019)","plainTextFormattedCitation":"(Peng et al., 2019)","previouslyFormattedCitation":"(Peng et al., 2019)"},"properties":{"noteIndex":0},"schema":"https://github.com/citation-style-language/schema/raw/master/csl-citation.json"}</w:instrText>
      </w:r>
      <w:r>
        <w:rPr>
          <w:rFonts w:eastAsiaTheme="minorEastAsia"/>
        </w:rPr>
        <w:fldChar w:fldCharType="separate"/>
      </w:r>
      <w:r>
        <w:rPr>
          <w:rFonts w:eastAsiaTheme="minorEastAsia"/>
          <w:noProof/>
        </w:rPr>
        <w:t>Peng et al.</w:t>
      </w:r>
      <w:r w:rsidRPr="0051268C">
        <w:rPr>
          <w:rFonts w:eastAsiaTheme="minorEastAsia"/>
          <w:noProof/>
        </w:rPr>
        <w:t xml:space="preserve"> </w:t>
      </w:r>
      <w:r>
        <w:rPr>
          <w:rFonts w:eastAsiaTheme="minorEastAsia"/>
          <w:noProof/>
        </w:rPr>
        <w:t>(</w:t>
      </w:r>
      <w:r w:rsidRPr="0051268C">
        <w:rPr>
          <w:rFonts w:eastAsiaTheme="minorEastAsia"/>
          <w:noProof/>
        </w:rPr>
        <w:t>2019)</w:t>
      </w:r>
      <w:r>
        <w:rPr>
          <w:rFonts w:eastAsiaTheme="minorEastAsia"/>
        </w:rPr>
        <w:fldChar w:fldCharType="end"/>
      </w:r>
      <w:r>
        <w:rPr>
          <w:rFonts w:eastAsiaTheme="minorEastAsia"/>
        </w:rPr>
        <w:t xml:space="preserve"> found</w:t>
      </w:r>
      <w:r w:rsidRPr="1E896CEA">
        <w:rPr>
          <w:rFonts w:eastAsiaTheme="minorEastAsia"/>
        </w:rPr>
        <w:t xml:space="preserve"> a strong effect of the </w:t>
      </w:r>
      <w:r w:rsidR="004B3E19">
        <w:rPr>
          <w:rFonts w:eastAsiaTheme="minorEastAsia"/>
        </w:rPr>
        <w:t>18.6-yr</w:t>
      </w:r>
      <w:r w:rsidRPr="1E896CEA">
        <w:rPr>
          <w:rFonts w:eastAsiaTheme="minorEastAsia"/>
        </w:rPr>
        <w:t xml:space="preserve"> cycle on the Bay of Fundy, Gulf of Alaska</w:t>
      </w:r>
      <w:r>
        <w:rPr>
          <w:rFonts w:eastAsiaTheme="minorEastAsia"/>
        </w:rPr>
        <w:t>, Panama</w:t>
      </w:r>
      <w:r w:rsidR="004B3E19">
        <w:rPr>
          <w:rFonts w:eastAsiaTheme="minorEastAsia"/>
        </w:rPr>
        <w:t>,</w:t>
      </w:r>
      <w:r w:rsidRPr="1E896CEA">
        <w:rPr>
          <w:rFonts w:eastAsiaTheme="minorEastAsia"/>
        </w:rPr>
        <w:t xml:space="preserve"> and southern Chile. They also found a strong </w:t>
      </w:r>
      <w:r>
        <w:rPr>
          <w:rFonts w:eastAsiaTheme="minorEastAsia"/>
        </w:rPr>
        <w:t>influence</w:t>
      </w:r>
      <w:r w:rsidRPr="1E896CEA">
        <w:rPr>
          <w:rFonts w:eastAsiaTheme="minorEastAsia"/>
        </w:rPr>
        <w:t xml:space="preserve"> of the </w:t>
      </w:r>
      <w:r w:rsidR="004B3E19">
        <w:rPr>
          <w:rFonts w:eastAsiaTheme="minorEastAsia"/>
        </w:rPr>
        <w:t>18.6-yr</w:t>
      </w:r>
      <w:r w:rsidRPr="1E896CEA">
        <w:rPr>
          <w:rFonts w:eastAsiaTheme="minorEastAsia"/>
        </w:rPr>
        <w:t xml:space="preserve"> signal in the Gulf of Tonkin</w:t>
      </w:r>
      <w:r w:rsidRPr="23E2D115">
        <w:rPr>
          <w:rFonts w:eastAsiaTheme="minorEastAsia"/>
        </w:rPr>
        <w:t>;</w:t>
      </w:r>
      <w:r w:rsidRPr="1E896CEA">
        <w:rPr>
          <w:rFonts w:eastAsiaTheme="minorEastAsia"/>
        </w:rPr>
        <w:t xml:space="preserve"> </w:t>
      </w:r>
      <w:r>
        <w:rPr>
          <w:rFonts w:eastAsiaTheme="minorEastAsia"/>
        </w:rPr>
        <w:t>however,</w:t>
      </w:r>
      <w:r w:rsidRPr="1E896CEA">
        <w:rPr>
          <w:rFonts w:eastAsiaTheme="minorEastAsia"/>
        </w:rPr>
        <w:t xml:space="preserve"> we don’t have tide gauges in th</w:t>
      </w:r>
      <w:r>
        <w:rPr>
          <w:rFonts w:eastAsiaTheme="minorEastAsia"/>
        </w:rPr>
        <w:t>at</w:t>
      </w:r>
      <w:r w:rsidRPr="1E896CEA">
        <w:rPr>
          <w:rFonts w:eastAsiaTheme="minorEastAsia"/>
        </w:rPr>
        <w:t xml:space="preserve"> area due to our data selection criteria. </w:t>
      </w:r>
      <w:r>
        <w:rPr>
          <w:rFonts w:eastAsiaTheme="minorEastAsia"/>
        </w:rPr>
        <w:t xml:space="preserve">In Europe, </w:t>
      </w:r>
      <w:r>
        <w:rPr>
          <w:rFonts w:eastAsiaTheme="minorEastAsia"/>
        </w:rPr>
        <w:fldChar w:fldCharType="begin" w:fldLock="1"/>
      </w:r>
      <w:r>
        <w:rPr>
          <w:rFonts w:eastAsiaTheme="minorEastAsia"/>
        </w:rPr>
        <w:instrText>ADDIN CSL_CITATION {"citationItems":[{"id":"ITEM-1","itemData":{"DOI":"10.1029/2018JC014695","ISSN":"21699291","abstract":"The lunar nodal cycle, produced by the varying declination of the Moon over a period of 18.61 years, drives changes in tidal amplitude globally. However, constraining the range of changes in tidal amplitude that can be expected over a nodal cycle from real observations is rarely considered for coastal hazard planning. In this study, we use hourly tide gauge observations with record lengths &gt;19 years from 574 stations distributed worldwide to examine the contribution of the nodal modulation to monthly high water levels. Our results show that the influence of the lunar nodal cycle on high water levels is largest at tide gauge stations located in the Gulf of Tonkin, English Channel, and Bristol Channel, amounting up to 30 cm in range, suggesting that in the coming decades the impact of the nodal cycle on high water levels in those regions could be greater than that of global mean sea level rise, which is up to 17 cm by 2030, according to the Intergovernmental Panel on Climate Change fifth assessment report projections. We also examine the phase of nodal modulation and show that the estimated phases exhibit two clusters: one cluster (111° ± 10°) corresponds with the locations having a diurnal form of tides, whereas the other cluster (−59° ± 11°) corresponds with the locations exhibiting a semidiurnal form of tides. Nodal modulation in the diurnal and semidiurnal locations will peak again in 2025 and 2034, respectively, resulting in enhanced potential for coastal hazard in the respective regions.","author":[{"dropping-particle":"","family":"Peng","given":"Dongju","non-dropping-particle":"","parse-names":false,"suffix":""},{"dropping-particle":"","family":"Hill","given":"Emma M.","non-dropping-particle":"","parse-names":false,"suffix":""},{"dropping-particle":"","family":"Meltzner","given":"Aron J.","non-dropping-particle":"","parse-names":false,"suffix":""},{"dropping-particle":"","family":"Switzer","given":"Adam D.","non-dropping-particle":"","parse-names":false,"suffix":""}],"container-title":"Journal of Geophysical Research: Oceans","id":"ITEM-1","issue":"1","issued":{"date-parts":[["2019"]]},"page":"736-749","title":"Tide Gauge Records Show That the 18.61-Year Nodal Tidal Cycle Can Change High Water Levels by up to 30 cm","type":"article-journal","volume":"124"},"uris":["http://www.mendeley.com/documents/?uuid=c769c08e-7e52-4ba5-9da6-c49a9242862e"]}],"mendeley":{"formattedCitation":"(Peng et al., 2019)","manualFormatting":"Peng et al. (2019)","plainTextFormattedCitation":"(Peng et al., 2019)","previouslyFormattedCitation":"(Peng et al., 2019)"},"properties":{"noteIndex":0},"schema":"https://github.com/citation-style-language/schema/raw/master/csl-citation.json"}</w:instrText>
      </w:r>
      <w:r>
        <w:rPr>
          <w:rFonts w:eastAsiaTheme="minorEastAsia"/>
        </w:rPr>
        <w:fldChar w:fldCharType="separate"/>
      </w:r>
      <w:r>
        <w:rPr>
          <w:rFonts w:eastAsiaTheme="minorEastAsia"/>
          <w:noProof/>
        </w:rPr>
        <w:t>Peng et al.</w:t>
      </w:r>
      <w:r w:rsidRPr="0051268C">
        <w:rPr>
          <w:rFonts w:eastAsiaTheme="minorEastAsia"/>
          <w:noProof/>
        </w:rPr>
        <w:t xml:space="preserve"> </w:t>
      </w:r>
      <w:r>
        <w:rPr>
          <w:rFonts w:eastAsiaTheme="minorEastAsia"/>
          <w:noProof/>
        </w:rPr>
        <w:t>(</w:t>
      </w:r>
      <w:r w:rsidRPr="0051268C">
        <w:rPr>
          <w:rFonts w:eastAsiaTheme="minorEastAsia"/>
          <w:noProof/>
        </w:rPr>
        <w:t>2019)</w:t>
      </w:r>
      <w:r>
        <w:rPr>
          <w:rFonts w:eastAsiaTheme="minorEastAsia"/>
        </w:rPr>
        <w:fldChar w:fldCharType="end"/>
      </w:r>
      <w:r w:rsidRPr="1E896CEA">
        <w:rPr>
          <w:rFonts w:eastAsiaTheme="minorEastAsia"/>
        </w:rPr>
        <w:t xml:space="preserve"> </w:t>
      </w:r>
      <w:r>
        <w:rPr>
          <w:rFonts w:eastAsiaTheme="minorEastAsia"/>
        </w:rPr>
        <w:t xml:space="preserve">showed that the amplitude of the </w:t>
      </w:r>
      <w:r w:rsidR="002B1F57">
        <w:rPr>
          <w:rFonts w:eastAsiaTheme="minorEastAsia"/>
        </w:rPr>
        <w:t xml:space="preserve">long-term tidal modulation </w:t>
      </w:r>
      <w:r w:rsidRPr="1E896CEA">
        <w:rPr>
          <w:rFonts w:eastAsiaTheme="minorEastAsia"/>
        </w:rPr>
        <w:t>in the monthly mean high water</w:t>
      </w:r>
      <w:r>
        <w:rPr>
          <w:rFonts w:eastAsiaTheme="minorEastAsia"/>
        </w:rPr>
        <w:t xml:space="preserve"> levels</w:t>
      </w:r>
      <w:r w:rsidRPr="1E896CEA">
        <w:rPr>
          <w:rFonts w:eastAsiaTheme="minorEastAsia"/>
        </w:rPr>
        <w:t xml:space="preserve"> </w:t>
      </w:r>
      <w:r>
        <w:rPr>
          <w:rFonts w:eastAsiaTheme="minorEastAsia"/>
        </w:rPr>
        <w:t xml:space="preserve">was </w:t>
      </w:r>
      <w:r w:rsidRPr="23E2D115">
        <w:rPr>
          <w:rFonts w:eastAsiaTheme="minorEastAsia"/>
        </w:rPr>
        <w:t>large</w:t>
      </w:r>
      <w:r>
        <w:rPr>
          <w:rFonts w:eastAsiaTheme="minorEastAsia"/>
        </w:rPr>
        <w:t xml:space="preserve"> (compared to the </w:t>
      </w:r>
      <w:r>
        <w:t xml:space="preserve">neighboring </w:t>
      </w:r>
      <w:r>
        <w:rPr>
          <w:rFonts w:eastAsiaTheme="minorEastAsia"/>
        </w:rPr>
        <w:t>sites) in the</w:t>
      </w:r>
      <w:r w:rsidRPr="1E896CEA">
        <w:rPr>
          <w:rFonts w:eastAsiaTheme="minorEastAsia"/>
        </w:rPr>
        <w:t xml:space="preserve"> Bristo</w:t>
      </w:r>
      <w:r>
        <w:rPr>
          <w:rFonts w:eastAsiaTheme="minorEastAsia"/>
        </w:rPr>
        <w:t>l area</w:t>
      </w:r>
      <w:r w:rsidRPr="1E896CEA">
        <w:rPr>
          <w:rFonts w:eastAsiaTheme="minorEastAsia"/>
        </w:rPr>
        <w:t xml:space="preserve"> and the English channel. </w:t>
      </w:r>
      <w:r w:rsidR="00962280">
        <w:rPr>
          <w:rFonts w:eastAsiaTheme="minorEastAsia"/>
        </w:rPr>
        <w:t>O</w:t>
      </w:r>
      <w:r w:rsidRPr="1E896CEA">
        <w:rPr>
          <w:rFonts w:eastAsiaTheme="minorEastAsia"/>
        </w:rPr>
        <w:t>ur results show that</w:t>
      </w:r>
      <w:r>
        <w:rPr>
          <w:rFonts w:eastAsiaTheme="minorEastAsia"/>
        </w:rPr>
        <w:t xml:space="preserve"> the amplitudes of the modulations in 100-ESL are also large in many other tide gauges located </w:t>
      </w:r>
      <w:r w:rsidRPr="1E896CEA">
        <w:rPr>
          <w:rFonts w:eastAsiaTheme="minorEastAsia"/>
        </w:rPr>
        <w:t xml:space="preserve">along the west coast of Europe. </w:t>
      </w:r>
      <w:r>
        <w:rPr>
          <w:rFonts w:eastAsiaTheme="minorEastAsia"/>
        </w:rPr>
        <w:t xml:space="preserve">In Australia, Peng et al. (2019) found a </w:t>
      </w:r>
      <w:r w:rsidRPr="23E2D115">
        <w:rPr>
          <w:rFonts w:eastAsiaTheme="minorEastAsia"/>
        </w:rPr>
        <w:t>large</w:t>
      </w:r>
      <w:r>
        <w:rPr>
          <w:rFonts w:eastAsiaTheme="minorEastAsia"/>
        </w:rPr>
        <w:t xml:space="preserve"> influence </w:t>
      </w:r>
      <w:r w:rsidR="00826BED">
        <w:rPr>
          <w:rFonts w:eastAsiaTheme="minorEastAsia"/>
        </w:rPr>
        <w:t>of the 18.6-y</w:t>
      </w:r>
      <w:r w:rsidR="004B3E19">
        <w:rPr>
          <w:rFonts w:eastAsiaTheme="minorEastAsia"/>
        </w:rPr>
        <w:t>r</w:t>
      </w:r>
      <w:r w:rsidR="00826BED">
        <w:rPr>
          <w:rFonts w:eastAsiaTheme="minorEastAsia"/>
        </w:rPr>
        <w:t xml:space="preserve"> signal </w:t>
      </w:r>
      <w:r>
        <w:rPr>
          <w:rFonts w:eastAsiaTheme="minorEastAsia"/>
        </w:rPr>
        <w:t xml:space="preserve">on the northwestern coast while we also find a high amplitude of the </w:t>
      </w:r>
      <w:r w:rsidR="00826BED">
        <w:rPr>
          <w:rFonts w:eastAsiaTheme="minorEastAsia"/>
        </w:rPr>
        <w:t>long-term tidal</w:t>
      </w:r>
      <w:r>
        <w:rPr>
          <w:rFonts w:eastAsiaTheme="minorEastAsia"/>
        </w:rPr>
        <w:t xml:space="preserve"> modulations along the northeastern coast.</w:t>
      </w:r>
    </w:p>
    <w:p w14:paraId="555266A9" w14:textId="77777777" w:rsidR="00DE5D33" w:rsidRDefault="00DE5D33" w:rsidP="00DE5D33">
      <w:r>
        <w:rPr>
          <w:noProof/>
        </w:rPr>
        <w:lastRenderedPageBreak/>
        <w:drawing>
          <wp:inline distT="0" distB="0" distL="0" distR="0" wp14:anchorId="656A38E1" wp14:editId="3714EE39">
            <wp:extent cx="5220218" cy="2699517"/>
            <wp:effectExtent l="0" t="0" r="0" b="571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0218" cy="2699517"/>
                    </a:xfrm>
                    <a:prstGeom prst="rect">
                      <a:avLst/>
                    </a:prstGeom>
                  </pic:spPr>
                </pic:pic>
              </a:graphicData>
            </a:graphic>
          </wp:inline>
        </w:drawing>
      </w:r>
    </w:p>
    <w:p w14:paraId="5539493F" w14:textId="329B6FC7" w:rsidR="00DE5D33" w:rsidRDefault="001274A0" w:rsidP="00DE5D33">
      <w:r>
        <w:t>Figure 4</w:t>
      </w:r>
      <w:r w:rsidR="00DE5D33">
        <w:t xml:space="preserve">. Amplitude (cm) of the </w:t>
      </w:r>
      <w:r w:rsidR="00DE5D33">
        <w:rPr>
          <w:rFonts w:eastAsiaTheme="minorEastAsia"/>
        </w:rPr>
        <w:t>long-term tidal</w:t>
      </w:r>
      <w:r w:rsidR="00DE5D33">
        <w:t xml:space="preserve"> modulations in 100-ESL. Tide gauges where the long-term tidal modulations in 100-ESL are statistically insignificant are not included in the figure</w:t>
      </w:r>
      <w:r w:rsidR="00DE5D33" w:rsidRPr="1E896CEA">
        <w:rPr>
          <w:rFonts w:eastAsiaTheme="minorEastAsia"/>
        </w:rPr>
        <w:t>.</w:t>
      </w:r>
    </w:p>
    <w:p w14:paraId="11BBC64A" w14:textId="77777777" w:rsidR="00DE5D33" w:rsidRDefault="00DE5D33" w:rsidP="00DE5D33"/>
    <w:p w14:paraId="76C1D3FB" w14:textId="456B60D6" w:rsidR="004B0B3E" w:rsidRDefault="00DE5D33" w:rsidP="00072479">
      <w:pPr>
        <w:rPr>
          <w:rFonts w:eastAsiaTheme="minorEastAsia"/>
        </w:rPr>
      </w:pPr>
      <w:r w:rsidRPr="1E896CEA">
        <w:rPr>
          <w:rFonts w:eastAsiaTheme="minorEastAsia"/>
        </w:rPr>
        <w:t xml:space="preserve">We also analyze the relative </w:t>
      </w:r>
      <w:r>
        <w:rPr>
          <w:rFonts w:eastAsiaTheme="minorEastAsia"/>
        </w:rPr>
        <w:t>importance</w:t>
      </w:r>
      <w:r w:rsidRPr="1E896CEA">
        <w:rPr>
          <w:rFonts w:eastAsiaTheme="minorEastAsia"/>
        </w:rPr>
        <w:t xml:space="preserve"> of the two cycles in </w:t>
      </w:r>
      <w:r>
        <w:rPr>
          <w:rFonts w:eastAsiaTheme="minorEastAsia"/>
        </w:rPr>
        <w:t>modulating</w:t>
      </w:r>
      <w:r w:rsidRPr="1E896CEA">
        <w:rPr>
          <w:rFonts w:eastAsiaTheme="minorEastAsia"/>
        </w:rPr>
        <w:t xml:space="preserve"> </w:t>
      </w:r>
      <w:r>
        <w:rPr>
          <w:rFonts w:eastAsiaTheme="minorEastAsia"/>
        </w:rPr>
        <w:t xml:space="preserve">100-ESL by calculating the relative contribution of the nodal cycle to the total amplitude of the </w:t>
      </w:r>
      <w:r w:rsidR="00867A6F">
        <w:rPr>
          <w:rFonts w:eastAsiaTheme="minorEastAsia"/>
        </w:rPr>
        <w:t>4.4-</w:t>
      </w:r>
      <w:r w:rsidR="004B3E19">
        <w:rPr>
          <w:rFonts w:eastAsiaTheme="minorEastAsia"/>
        </w:rPr>
        <w:t xml:space="preserve">yr </w:t>
      </w:r>
      <w:r w:rsidR="004C1476">
        <w:rPr>
          <w:rFonts w:eastAsiaTheme="minorEastAsia"/>
        </w:rPr>
        <w:t>versus</w:t>
      </w:r>
      <w:r w:rsidR="00867A6F">
        <w:rPr>
          <w:rFonts w:eastAsiaTheme="minorEastAsia"/>
        </w:rPr>
        <w:t xml:space="preserve"> 18.6</w:t>
      </w:r>
      <w:r w:rsidR="009B000E">
        <w:rPr>
          <w:rFonts w:eastAsiaTheme="minorEastAsia"/>
        </w:rPr>
        <w:t>-y</w:t>
      </w:r>
      <w:r w:rsidR="004B3E19">
        <w:rPr>
          <w:rFonts w:eastAsiaTheme="minorEastAsia"/>
        </w:rPr>
        <w:t xml:space="preserve">r signals </w:t>
      </w:r>
      <w:r w:rsidR="004B3E19" w:rsidRPr="004C1476">
        <w:rPr>
          <w:rFonts w:eastAsiaTheme="minorEastAsia"/>
        </w:rPr>
        <w:t>(</w:t>
      </w:r>
      <w:r w:rsidR="004C1476" w:rsidRPr="004C1476">
        <w:rPr>
          <w:rFonts w:eastAsiaTheme="minorEastAsia"/>
        </w:rPr>
        <w:t>Equation 13</w:t>
      </w:r>
      <w:r w:rsidRPr="00C162AD">
        <w:rPr>
          <w:rFonts w:eastAsiaTheme="minorEastAsia"/>
        </w:rPr>
        <w:t>, Section 3.</w:t>
      </w:r>
      <w:r w:rsidR="001274A0" w:rsidRPr="00C162AD">
        <w:rPr>
          <w:rFonts w:eastAsiaTheme="minorEastAsia"/>
        </w:rPr>
        <w:t>4</w:t>
      </w:r>
      <w:r w:rsidRPr="00C162AD">
        <w:rPr>
          <w:rFonts w:eastAsiaTheme="minorEastAsia"/>
        </w:rPr>
        <w:t xml:space="preserve">). </w:t>
      </w:r>
      <w:r w:rsidRPr="1E896CEA">
        <w:rPr>
          <w:rFonts w:eastAsiaTheme="minorEastAsia"/>
        </w:rPr>
        <w:t xml:space="preserve">Figure </w:t>
      </w:r>
      <w:r w:rsidR="001274A0">
        <w:rPr>
          <w:rFonts w:eastAsiaTheme="minorEastAsia"/>
        </w:rPr>
        <w:t>5</w:t>
      </w:r>
      <w:r>
        <w:rPr>
          <w:rFonts w:eastAsiaTheme="minorEastAsia"/>
        </w:rPr>
        <w:t xml:space="preserve"> </w:t>
      </w:r>
      <w:r w:rsidRPr="1E896CEA">
        <w:rPr>
          <w:rFonts w:eastAsiaTheme="minorEastAsia"/>
        </w:rPr>
        <w:t>show</w:t>
      </w:r>
      <w:r w:rsidR="00962280">
        <w:rPr>
          <w:rFonts w:eastAsiaTheme="minorEastAsia"/>
        </w:rPr>
        <w:t>s</w:t>
      </w:r>
      <w:r w:rsidRPr="1E896CEA">
        <w:rPr>
          <w:rFonts w:eastAsiaTheme="minorEastAsia"/>
        </w:rPr>
        <w:t xml:space="preserve"> spatial coherence </w:t>
      </w:r>
      <w:r>
        <w:rPr>
          <w:rFonts w:eastAsiaTheme="minorEastAsia"/>
        </w:rPr>
        <w:t>across</w:t>
      </w:r>
      <w:r w:rsidRPr="1E896CEA">
        <w:rPr>
          <w:rFonts w:eastAsiaTheme="minorEastAsia"/>
        </w:rPr>
        <w:t xml:space="preserve"> </w:t>
      </w:r>
      <w:r>
        <w:rPr>
          <w:rFonts w:eastAsiaTheme="minorEastAsia"/>
        </w:rPr>
        <w:t xml:space="preserve">sites and a general agreement with </w:t>
      </w:r>
      <w:r w:rsidRPr="1E896CEA">
        <w:rPr>
          <w:rFonts w:eastAsiaTheme="minorEastAsia"/>
        </w:rPr>
        <w:t>the diurnal and semidiurnal spatial pattern of tides</w:t>
      </w:r>
      <w:r>
        <w:rPr>
          <w:rFonts w:eastAsiaTheme="minorEastAsia"/>
        </w:rPr>
        <w:t xml:space="preserve"> </w:t>
      </w:r>
      <w:r w:rsidRPr="1E896CEA">
        <w:rPr>
          <w:rFonts w:eastAsiaTheme="minorEastAsia"/>
        </w:rPr>
        <w:t xml:space="preserve">(Figure </w:t>
      </w:r>
      <w:r w:rsidR="001274A0">
        <w:rPr>
          <w:rFonts w:eastAsiaTheme="minorEastAsia"/>
        </w:rPr>
        <w:t>S1</w:t>
      </w:r>
      <w:r w:rsidR="00273F67">
        <w:rPr>
          <w:rFonts w:eastAsiaTheme="minorEastAsia"/>
        </w:rPr>
        <w:t>,</w:t>
      </w:r>
      <w:r w:rsidRPr="1E896CEA">
        <w:rPr>
          <w:rFonts w:eastAsiaTheme="minorEastAsia"/>
        </w:rPr>
        <w:t xml:space="preserve"> </w:t>
      </w:r>
      <w:r w:rsidR="00273F67">
        <w:rPr>
          <w:rFonts w:eastAsiaTheme="minorEastAsia"/>
        </w:rPr>
        <w:t>Supplementary Material)</w:t>
      </w:r>
      <w:r>
        <w:rPr>
          <w:rFonts w:eastAsiaTheme="minorEastAsia"/>
        </w:rPr>
        <w:t>. Note that, a</w:t>
      </w:r>
      <w:r w:rsidRPr="1E896CEA">
        <w:rPr>
          <w:rFonts w:eastAsiaTheme="minorEastAsia"/>
        </w:rPr>
        <w:t xml:space="preserve">lthough </w:t>
      </w:r>
      <w:r>
        <w:rPr>
          <w:rFonts w:eastAsiaTheme="minorEastAsia"/>
        </w:rPr>
        <w:t xml:space="preserve">there is a general tendency </w:t>
      </w:r>
      <w:r w:rsidR="0035427B">
        <w:rPr>
          <w:rFonts w:eastAsiaTheme="minorEastAsia"/>
        </w:rPr>
        <w:t>for</w:t>
      </w:r>
      <w:r>
        <w:rPr>
          <w:rFonts w:eastAsiaTheme="minorEastAsia"/>
        </w:rPr>
        <w:t xml:space="preserve"> </w:t>
      </w:r>
      <w:r w:rsidR="0035427B">
        <w:rPr>
          <w:rFonts w:eastAsiaTheme="minorEastAsia"/>
        </w:rPr>
        <w:t xml:space="preserve">the </w:t>
      </w:r>
      <w:r w:rsidR="0059720D">
        <w:rPr>
          <w:rFonts w:eastAsiaTheme="minorEastAsia"/>
        </w:rPr>
        <w:t>4.4-yr</w:t>
      </w:r>
      <w:r w:rsidRPr="1E896CEA">
        <w:rPr>
          <w:rFonts w:eastAsiaTheme="minorEastAsia"/>
        </w:rPr>
        <w:t xml:space="preserve"> cycle</w:t>
      </w:r>
      <w:r w:rsidRPr="55CD709C">
        <w:rPr>
          <w:rFonts w:eastAsiaTheme="minorEastAsia"/>
        </w:rPr>
        <w:t xml:space="preserve"> </w:t>
      </w:r>
      <w:r w:rsidR="0035427B">
        <w:rPr>
          <w:rFonts w:eastAsiaTheme="minorEastAsia"/>
        </w:rPr>
        <w:t xml:space="preserve">to </w:t>
      </w:r>
      <w:r w:rsidRPr="1E896CEA">
        <w:rPr>
          <w:rFonts w:eastAsiaTheme="minorEastAsia"/>
        </w:rPr>
        <w:t>influenc</w:t>
      </w:r>
      <w:r>
        <w:rPr>
          <w:rFonts w:eastAsiaTheme="minorEastAsia"/>
        </w:rPr>
        <w:t>e</w:t>
      </w:r>
      <w:r w:rsidRPr="1E896CEA">
        <w:rPr>
          <w:rFonts w:eastAsiaTheme="minorEastAsia"/>
        </w:rPr>
        <w:t xml:space="preserve"> </w:t>
      </w:r>
      <w:r>
        <w:rPr>
          <w:rFonts w:eastAsiaTheme="minorEastAsia"/>
        </w:rPr>
        <w:t>sea levels</w:t>
      </w:r>
      <w:r w:rsidRPr="1E896CEA">
        <w:rPr>
          <w:rFonts w:eastAsiaTheme="minorEastAsia"/>
        </w:rPr>
        <w:t xml:space="preserve"> in semidiurnal tid</w:t>
      </w:r>
      <w:r>
        <w:rPr>
          <w:rFonts w:eastAsiaTheme="minorEastAsia"/>
        </w:rPr>
        <w:t>al</w:t>
      </w:r>
      <w:r w:rsidRPr="1E896CEA">
        <w:rPr>
          <w:rFonts w:eastAsiaTheme="minorEastAsia"/>
        </w:rPr>
        <w:t xml:space="preserve"> zones and </w:t>
      </w:r>
      <w:r>
        <w:rPr>
          <w:rFonts w:eastAsiaTheme="minorEastAsia"/>
        </w:rPr>
        <w:t xml:space="preserve">the </w:t>
      </w:r>
      <w:r w:rsidR="0059720D">
        <w:rPr>
          <w:rFonts w:eastAsiaTheme="minorEastAsia"/>
        </w:rPr>
        <w:t>18.6-yr</w:t>
      </w:r>
      <w:r w:rsidRPr="1E896CEA">
        <w:rPr>
          <w:rFonts w:eastAsiaTheme="minorEastAsia"/>
        </w:rPr>
        <w:t xml:space="preserve"> cycle </w:t>
      </w:r>
      <w:r w:rsidR="0035427B">
        <w:rPr>
          <w:rFonts w:eastAsiaTheme="minorEastAsia"/>
        </w:rPr>
        <w:t xml:space="preserve">to </w:t>
      </w:r>
      <w:r>
        <w:rPr>
          <w:rFonts w:eastAsiaTheme="minorEastAsia"/>
        </w:rPr>
        <w:t xml:space="preserve">influence sea levels </w:t>
      </w:r>
      <w:r w:rsidRPr="1E896CEA">
        <w:rPr>
          <w:rFonts w:eastAsiaTheme="minorEastAsia"/>
        </w:rPr>
        <w:t xml:space="preserve">in diurnal tides zones, both modulations may be present for either tidal </w:t>
      </w:r>
      <w:r>
        <w:rPr>
          <w:rFonts w:eastAsiaTheme="minorEastAsia"/>
        </w:rPr>
        <w:t>regim</w:t>
      </w:r>
      <w:r w:rsidR="0059720D">
        <w:rPr>
          <w:rFonts w:eastAsiaTheme="minorEastAsia"/>
        </w:rPr>
        <w:t>e</w:t>
      </w:r>
      <w:r w:rsidRPr="1E896CEA">
        <w:rPr>
          <w:rFonts w:eastAsiaTheme="minorEastAsia"/>
        </w:rPr>
        <w:t xml:space="preserve">. </w:t>
      </w:r>
      <w:r w:rsidR="00345214">
        <w:rPr>
          <w:rFonts w:eastAsiaTheme="minorEastAsia"/>
        </w:rPr>
        <w:t>The 100-ESL in Europe are predominantly modulated by the 4.4-y</w:t>
      </w:r>
      <w:r w:rsidR="004B3E19">
        <w:rPr>
          <w:rFonts w:eastAsiaTheme="minorEastAsia"/>
        </w:rPr>
        <w:t>r</w:t>
      </w:r>
      <w:r w:rsidR="00345214">
        <w:rPr>
          <w:rFonts w:eastAsiaTheme="minorEastAsia"/>
        </w:rPr>
        <w:t xml:space="preserve"> cycle</w:t>
      </w:r>
      <w:r w:rsidR="0035427B">
        <w:rPr>
          <w:rFonts w:eastAsiaTheme="minorEastAsia"/>
        </w:rPr>
        <w:t>;</w:t>
      </w:r>
      <w:r w:rsidR="00072479">
        <w:rPr>
          <w:rFonts w:eastAsiaTheme="minorEastAsia"/>
        </w:rPr>
        <w:t xml:space="preserve"> however,</w:t>
      </w:r>
      <w:r>
        <w:rPr>
          <w:rFonts w:eastAsiaTheme="minorEastAsia"/>
        </w:rPr>
        <w:t xml:space="preserve"> </w:t>
      </w:r>
      <w:r w:rsidRPr="1E896CEA">
        <w:rPr>
          <w:rFonts w:eastAsiaTheme="minorEastAsia"/>
        </w:rPr>
        <w:t xml:space="preserve">the </w:t>
      </w:r>
      <w:r w:rsidR="001049F8">
        <w:rPr>
          <w:rFonts w:eastAsiaTheme="minorEastAsia"/>
        </w:rPr>
        <w:t>18.6-y</w:t>
      </w:r>
      <w:r w:rsidR="004B3E19">
        <w:rPr>
          <w:rFonts w:eastAsiaTheme="minorEastAsia"/>
        </w:rPr>
        <w:t>r</w:t>
      </w:r>
      <w:r w:rsidRPr="1E896CEA">
        <w:rPr>
          <w:rFonts w:eastAsiaTheme="minorEastAsia"/>
        </w:rPr>
        <w:t xml:space="preserve"> modulation is </w:t>
      </w:r>
      <w:r>
        <w:rPr>
          <w:rFonts w:eastAsiaTheme="minorEastAsia"/>
        </w:rPr>
        <w:t>more prominent</w:t>
      </w:r>
      <w:r w:rsidRPr="1E896CEA">
        <w:rPr>
          <w:rFonts w:eastAsiaTheme="minorEastAsia"/>
        </w:rPr>
        <w:t xml:space="preserve"> in the North Sea</w:t>
      </w:r>
      <w:r>
        <w:rPr>
          <w:rFonts w:eastAsiaTheme="minorEastAsia"/>
        </w:rPr>
        <w:t>,</w:t>
      </w:r>
      <w:r w:rsidRPr="1E896CEA">
        <w:rPr>
          <w:rFonts w:eastAsiaTheme="minorEastAsia"/>
        </w:rPr>
        <w:t xml:space="preserve"> and along the west</w:t>
      </w:r>
      <w:r>
        <w:rPr>
          <w:rFonts w:eastAsiaTheme="minorEastAsia"/>
        </w:rPr>
        <w:t xml:space="preserve"> and north</w:t>
      </w:r>
      <w:r w:rsidRPr="1E896CEA">
        <w:rPr>
          <w:rFonts w:eastAsiaTheme="minorEastAsia"/>
        </w:rPr>
        <w:t xml:space="preserve"> coast</w:t>
      </w:r>
      <w:r>
        <w:rPr>
          <w:rFonts w:eastAsiaTheme="minorEastAsia"/>
        </w:rPr>
        <w:t>s</w:t>
      </w:r>
      <w:r w:rsidRPr="1E896CEA">
        <w:rPr>
          <w:rFonts w:eastAsiaTheme="minorEastAsia"/>
        </w:rPr>
        <w:t xml:space="preserve"> of Norway</w:t>
      </w:r>
      <w:r w:rsidR="0035427B">
        <w:rPr>
          <w:rFonts w:eastAsiaTheme="minorEastAsia"/>
        </w:rPr>
        <w:t xml:space="preserve"> (both semidiurnal regions)</w:t>
      </w:r>
      <w:r w:rsidRPr="1E896CEA">
        <w:rPr>
          <w:rFonts w:eastAsiaTheme="minorEastAsia"/>
        </w:rPr>
        <w:t xml:space="preserve">. </w:t>
      </w:r>
    </w:p>
    <w:p w14:paraId="37E020C3" w14:textId="3AE0D994" w:rsidR="00DE5D33" w:rsidRDefault="00DE5D33" w:rsidP="006E2816">
      <w:pPr>
        <w:rPr>
          <w:rFonts w:eastAsiaTheme="minorEastAsia"/>
        </w:rPr>
      </w:pPr>
      <w:r w:rsidRPr="1E896CEA">
        <w:rPr>
          <w:rFonts w:eastAsiaTheme="minorEastAsia"/>
        </w:rPr>
        <w:t xml:space="preserve">The coasts of Japan also show spatial coherence in the </w:t>
      </w:r>
      <w:r w:rsidR="00EB6853">
        <w:rPr>
          <w:rFonts w:eastAsiaTheme="minorEastAsia"/>
        </w:rPr>
        <w:t>long-term tidal</w:t>
      </w:r>
      <w:r w:rsidRPr="1E896CEA">
        <w:rPr>
          <w:rFonts w:eastAsiaTheme="minorEastAsia"/>
        </w:rPr>
        <w:t xml:space="preserve"> modulation</w:t>
      </w:r>
      <w:r>
        <w:rPr>
          <w:rFonts w:eastAsiaTheme="minorEastAsia"/>
        </w:rPr>
        <w:t>s</w:t>
      </w:r>
      <w:r w:rsidRPr="1E896CEA">
        <w:rPr>
          <w:rFonts w:eastAsiaTheme="minorEastAsia"/>
        </w:rPr>
        <w:t xml:space="preserve"> in </w:t>
      </w:r>
      <w:r>
        <w:rPr>
          <w:rFonts w:eastAsiaTheme="minorEastAsia"/>
        </w:rPr>
        <w:t>100-ESL, with two clusters; t</w:t>
      </w:r>
      <w:r w:rsidRPr="1E896CEA">
        <w:rPr>
          <w:rFonts w:eastAsiaTheme="minorEastAsia"/>
        </w:rPr>
        <w:t>he north</w:t>
      </w:r>
      <w:r>
        <w:rPr>
          <w:rFonts w:eastAsiaTheme="minorEastAsia"/>
        </w:rPr>
        <w:t>ern</w:t>
      </w:r>
      <w:r w:rsidRPr="1E896CEA">
        <w:rPr>
          <w:rFonts w:eastAsiaTheme="minorEastAsia"/>
        </w:rPr>
        <w:t xml:space="preserve"> coast is dominated by the </w:t>
      </w:r>
      <w:r w:rsidR="00C77BB7">
        <w:rPr>
          <w:rFonts w:eastAsiaTheme="minorEastAsia"/>
        </w:rPr>
        <w:t>18.6-y</w:t>
      </w:r>
      <w:r w:rsidR="008673E8">
        <w:rPr>
          <w:rFonts w:eastAsiaTheme="minorEastAsia"/>
        </w:rPr>
        <w:t>r</w:t>
      </w:r>
      <w:r w:rsidRPr="1E896CEA">
        <w:rPr>
          <w:rFonts w:eastAsiaTheme="minorEastAsia"/>
        </w:rPr>
        <w:t xml:space="preserve"> signal while the </w:t>
      </w:r>
      <w:r w:rsidR="00C77BB7">
        <w:rPr>
          <w:rFonts w:eastAsiaTheme="minorEastAsia"/>
        </w:rPr>
        <w:t>4.4-y</w:t>
      </w:r>
      <w:r w:rsidR="008673E8">
        <w:rPr>
          <w:rFonts w:eastAsiaTheme="minorEastAsia"/>
        </w:rPr>
        <w:t>r</w:t>
      </w:r>
      <w:r w:rsidRPr="1E896CEA">
        <w:rPr>
          <w:rFonts w:eastAsiaTheme="minorEastAsia"/>
        </w:rPr>
        <w:t xml:space="preserve"> signal is more relevant in the south. </w:t>
      </w:r>
      <w:r>
        <w:rPr>
          <w:rFonts w:eastAsiaTheme="minorEastAsia"/>
        </w:rPr>
        <w:t xml:space="preserve">The </w:t>
      </w:r>
      <w:r w:rsidR="00C77BB7">
        <w:rPr>
          <w:rFonts w:eastAsiaTheme="minorEastAsia"/>
        </w:rPr>
        <w:t>18.6-y</w:t>
      </w:r>
      <w:r w:rsidR="008673E8">
        <w:rPr>
          <w:rFonts w:eastAsiaTheme="minorEastAsia"/>
        </w:rPr>
        <w:t>r</w:t>
      </w:r>
      <w:r>
        <w:rPr>
          <w:rFonts w:eastAsiaTheme="minorEastAsia"/>
        </w:rPr>
        <w:t xml:space="preserve"> modulation is again more predominant along the coast of Taiwan and its surroundings </w:t>
      </w:r>
      <w:proofErr w:type="gramStart"/>
      <w:r>
        <w:rPr>
          <w:rFonts w:eastAsiaTheme="minorEastAsia"/>
        </w:rPr>
        <w:t>with the exception of</w:t>
      </w:r>
      <w:proofErr w:type="gramEnd"/>
      <w:r>
        <w:rPr>
          <w:rFonts w:eastAsiaTheme="minorEastAsia"/>
        </w:rPr>
        <w:t xml:space="preserve"> Xiamen in China. </w:t>
      </w:r>
      <w:r w:rsidR="00C83154">
        <w:rPr>
          <w:rFonts w:eastAsiaTheme="minorEastAsia"/>
        </w:rPr>
        <w:t>S</w:t>
      </w:r>
      <w:r>
        <w:rPr>
          <w:rFonts w:eastAsiaTheme="minorEastAsia"/>
        </w:rPr>
        <w:t xml:space="preserve">patial coherent </w:t>
      </w:r>
      <w:r w:rsidRPr="1E896CEA">
        <w:rPr>
          <w:rFonts w:eastAsiaTheme="minorEastAsia"/>
        </w:rPr>
        <w:t>clusters are found along the coasts of Australia</w:t>
      </w:r>
      <w:r w:rsidR="00C83154">
        <w:rPr>
          <w:rFonts w:eastAsiaTheme="minorEastAsia"/>
        </w:rPr>
        <w:t>;</w:t>
      </w:r>
      <w:r>
        <w:rPr>
          <w:rFonts w:eastAsiaTheme="minorEastAsia"/>
        </w:rPr>
        <w:t xml:space="preserve"> the southern coast is predominantly influenced by the </w:t>
      </w:r>
      <w:r w:rsidR="00C83154">
        <w:rPr>
          <w:rFonts w:eastAsiaTheme="minorEastAsia"/>
        </w:rPr>
        <w:t>18.6-y</w:t>
      </w:r>
      <w:r w:rsidR="008673E8">
        <w:rPr>
          <w:rFonts w:eastAsiaTheme="minorEastAsia"/>
        </w:rPr>
        <w:t>r</w:t>
      </w:r>
      <w:r>
        <w:rPr>
          <w:rFonts w:eastAsiaTheme="minorEastAsia"/>
        </w:rPr>
        <w:t xml:space="preserve"> cycle while the </w:t>
      </w:r>
      <w:r w:rsidR="00C83154">
        <w:rPr>
          <w:rFonts w:eastAsiaTheme="minorEastAsia"/>
        </w:rPr>
        <w:t>4.4-y</w:t>
      </w:r>
      <w:r w:rsidR="008673E8">
        <w:rPr>
          <w:rFonts w:eastAsiaTheme="minorEastAsia"/>
        </w:rPr>
        <w:t>r</w:t>
      </w:r>
      <w:r>
        <w:rPr>
          <w:rFonts w:eastAsiaTheme="minorEastAsia"/>
        </w:rPr>
        <w:t xml:space="preserve"> is more important in the north</w:t>
      </w:r>
      <w:r w:rsidR="00894BAC">
        <w:rPr>
          <w:rFonts w:eastAsiaTheme="minorEastAsia"/>
        </w:rPr>
        <w:t xml:space="preserve"> and east</w:t>
      </w:r>
      <w:r>
        <w:rPr>
          <w:rFonts w:eastAsiaTheme="minorEastAsia"/>
        </w:rPr>
        <w:t>.</w:t>
      </w:r>
      <w:r w:rsidRPr="1E896CEA">
        <w:rPr>
          <w:rFonts w:eastAsiaTheme="minorEastAsia"/>
        </w:rPr>
        <w:t xml:space="preserve"> </w:t>
      </w:r>
      <w:r>
        <w:rPr>
          <w:rFonts w:eastAsiaTheme="minorEastAsia"/>
        </w:rPr>
        <w:t xml:space="preserve">Overall, the </w:t>
      </w:r>
      <w:r w:rsidR="00894BAC">
        <w:rPr>
          <w:rFonts w:eastAsiaTheme="minorEastAsia"/>
        </w:rPr>
        <w:t>18.6-y</w:t>
      </w:r>
      <w:r w:rsidR="008673E8">
        <w:rPr>
          <w:rFonts w:eastAsiaTheme="minorEastAsia"/>
        </w:rPr>
        <w:t>r</w:t>
      </w:r>
      <w:r>
        <w:rPr>
          <w:rFonts w:eastAsiaTheme="minorEastAsia"/>
        </w:rPr>
        <w:t xml:space="preserve"> cycle is the predominant modulation in 100-ESL on</w:t>
      </w:r>
      <w:r w:rsidRPr="1E896CEA">
        <w:rPr>
          <w:rFonts w:eastAsiaTheme="minorEastAsia"/>
        </w:rPr>
        <w:t xml:space="preserve"> the </w:t>
      </w:r>
      <w:r w:rsidR="00731A0E">
        <w:rPr>
          <w:rFonts w:eastAsiaTheme="minorEastAsia"/>
        </w:rPr>
        <w:t>south</w:t>
      </w:r>
      <w:r>
        <w:rPr>
          <w:rFonts w:eastAsiaTheme="minorEastAsia"/>
        </w:rPr>
        <w:t>eastern</w:t>
      </w:r>
      <w:r w:rsidRPr="1E896CEA">
        <w:rPr>
          <w:rFonts w:eastAsiaTheme="minorEastAsia"/>
        </w:rPr>
        <w:t xml:space="preserve"> coast of </w:t>
      </w:r>
      <w:r>
        <w:rPr>
          <w:rFonts w:eastAsiaTheme="minorEastAsia"/>
        </w:rPr>
        <w:t xml:space="preserve">the </w:t>
      </w:r>
      <w:r w:rsidRPr="1E896CEA">
        <w:rPr>
          <w:rFonts w:eastAsiaTheme="minorEastAsia"/>
        </w:rPr>
        <w:t>U.S. and Canada</w:t>
      </w:r>
      <w:r>
        <w:rPr>
          <w:rFonts w:eastAsiaTheme="minorEastAsia"/>
        </w:rPr>
        <w:t xml:space="preserve"> </w:t>
      </w:r>
      <w:r w:rsidR="00731A0E">
        <w:rPr>
          <w:rFonts w:eastAsiaTheme="minorEastAsia"/>
        </w:rPr>
        <w:t>and</w:t>
      </w:r>
      <w:r>
        <w:rPr>
          <w:rFonts w:eastAsiaTheme="minorEastAsia"/>
        </w:rPr>
        <w:t xml:space="preserve"> the </w:t>
      </w:r>
      <w:r w:rsidR="008C5C9F">
        <w:rPr>
          <w:rFonts w:eastAsiaTheme="minorEastAsia"/>
        </w:rPr>
        <w:t>4.4-y</w:t>
      </w:r>
      <w:r w:rsidR="008673E8">
        <w:rPr>
          <w:rFonts w:eastAsiaTheme="minorEastAsia"/>
        </w:rPr>
        <w:t>r</w:t>
      </w:r>
      <w:r>
        <w:rPr>
          <w:rFonts w:eastAsiaTheme="minorEastAsia"/>
        </w:rPr>
        <w:t xml:space="preserve"> modulation becomes relevant </w:t>
      </w:r>
      <w:r w:rsidR="008673E8">
        <w:rPr>
          <w:rFonts w:eastAsiaTheme="minorEastAsia"/>
        </w:rPr>
        <w:t>o</w:t>
      </w:r>
      <w:r>
        <w:rPr>
          <w:rFonts w:eastAsiaTheme="minorEastAsia"/>
        </w:rPr>
        <w:t xml:space="preserve">n </w:t>
      </w:r>
      <w:r w:rsidR="00731A0E">
        <w:rPr>
          <w:rFonts w:eastAsiaTheme="minorEastAsia"/>
        </w:rPr>
        <w:t>the no</w:t>
      </w:r>
      <w:r w:rsidR="008673E8">
        <w:rPr>
          <w:rFonts w:eastAsiaTheme="minorEastAsia"/>
        </w:rPr>
        <w:t>r</w:t>
      </w:r>
      <w:r w:rsidR="00731A0E">
        <w:rPr>
          <w:rFonts w:eastAsiaTheme="minorEastAsia"/>
        </w:rPr>
        <w:t>th</w:t>
      </w:r>
      <w:r w:rsidR="000B6FD8">
        <w:rPr>
          <w:rFonts w:eastAsiaTheme="minorEastAsia"/>
        </w:rPr>
        <w:t xml:space="preserve">ern and </w:t>
      </w:r>
      <w:r w:rsidR="00731A0E">
        <w:rPr>
          <w:rFonts w:eastAsiaTheme="minorEastAsia"/>
        </w:rPr>
        <w:t>eastern coast</w:t>
      </w:r>
      <w:r w:rsidR="000B6FD8">
        <w:rPr>
          <w:rFonts w:eastAsiaTheme="minorEastAsia"/>
        </w:rPr>
        <w:t xml:space="preserve"> of Canada</w:t>
      </w:r>
      <w:r w:rsidR="00731A0E">
        <w:rPr>
          <w:rFonts w:eastAsiaTheme="minorEastAsia"/>
        </w:rPr>
        <w:t>.</w:t>
      </w:r>
      <w:r w:rsidR="006E2816">
        <w:rPr>
          <w:rFonts w:eastAsiaTheme="minorEastAsia"/>
        </w:rPr>
        <w:t xml:space="preserve"> </w:t>
      </w:r>
      <w:r w:rsidR="002B30EE">
        <w:rPr>
          <w:rFonts w:eastAsiaTheme="minorEastAsia"/>
        </w:rPr>
        <w:t xml:space="preserve">Finally, the 100-ESL in South </w:t>
      </w:r>
      <w:r w:rsidR="002B30EE">
        <w:rPr>
          <w:rFonts w:eastAsiaTheme="minorEastAsia"/>
        </w:rPr>
        <w:lastRenderedPageBreak/>
        <w:t>Africa are predominately dominated by the 4.4-y</w:t>
      </w:r>
      <w:r w:rsidR="008673E8">
        <w:rPr>
          <w:rFonts w:eastAsiaTheme="minorEastAsia"/>
        </w:rPr>
        <w:t>r</w:t>
      </w:r>
      <w:r w:rsidR="002B30EE">
        <w:rPr>
          <w:rFonts w:eastAsiaTheme="minorEastAsia"/>
        </w:rPr>
        <w:t xml:space="preserve"> cycle. </w:t>
      </w:r>
      <w:r w:rsidRPr="1E896CEA">
        <w:rPr>
          <w:rFonts w:eastAsiaTheme="minorEastAsia"/>
        </w:rPr>
        <w:t xml:space="preserve">The spatial coherence of the </w:t>
      </w:r>
      <w:r>
        <w:rPr>
          <w:rFonts w:eastAsiaTheme="minorEastAsia"/>
        </w:rPr>
        <w:t>long-term tidal signal</w:t>
      </w:r>
      <w:r w:rsidRPr="1E896CEA">
        <w:rPr>
          <w:rFonts w:eastAsiaTheme="minorEastAsia"/>
        </w:rPr>
        <w:t xml:space="preserve"> in </w:t>
      </w:r>
      <w:r>
        <w:rPr>
          <w:rFonts w:eastAsiaTheme="minorEastAsia"/>
        </w:rPr>
        <w:t>100-ESL</w:t>
      </w:r>
      <w:r w:rsidRPr="1E896CEA">
        <w:rPr>
          <w:rFonts w:eastAsiaTheme="minorEastAsia"/>
        </w:rPr>
        <w:t xml:space="preserve"> is more difficult to assess in South Africa, South America</w:t>
      </w:r>
      <w:r>
        <w:rPr>
          <w:rFonts w:eastAsiaTheme="minorEastAsia"/>
        </w:rPr>
        <w:t>,</w:t>
      </w:r>
      <w:r w:rsidRPr="1E896CEA">
        <w:rPr>
          <w:rFonts w:eastAsiaTheme="minorEastAsia"/>
        </w:rPr>
        <w:t xml:space="preserve"> and the Pacific islands due to the scattered locations where the </w:t>
      </w:r>
      <w:r w:rsidR="00FF0C52">
        <w:rPr>
          <w:rFonts w:eastAsiaTheme="minorEastAsia"/>
        </w:rPr>
        <w:t>long-term tidal</w:t>
      </w:r>
      <w:r w:rsidRPr="1E896CEA">
        <w:rPr>
          <w:rFonts w:eastAsiaTheme="minorEastAsia"/>
        </w:rPr>
        <w:t xml:space="preserve"> modulation</w:t>
      </w:r>
      <w:r>
        <w:rPr>
          <w:rFonts w:eastAsiaTheme="minorEastAsia"/>
        </w:rPr>
        <w:t>s</w:t>
      </w:r>
      <w:r w:rsidRPr="1E896CEA">
        <w:rPr>
          <w:rFonts w:eastAsiaTheme="minorEastAsia"/>
        </w:rPr>
        <w:t xml:space="preserve"> </w:t>
      </w:r>
      <w:r>
        <w:rPr>
          <w:rFonts w:eastAsiaTheme="minorEastAsia"/>
        </w:rPr>
        <w:t>are</w:t>
      </w:r>
      <w:r w:rsidRPr="1E896CEA">
        <w:rPr>
          <w:rFonts w:eastAsiaTheme="minorEastAsia"/>
        </w:rPr>
        <w:t xml:space="preserve"> statistically significant in </w:t>
      </w:r>
      <w:r>
        <w:rPr>
          <w:rFonts w:eastAsiaTheme="minorEastAsia"/>
        </w:rPr>
        <w:t>100-ESL</w:t>
      </w:r>
      <w:r w:rsidRPr="1E896CEA">
        <w:rPr>
          <w:rFonts w:eastAsiaTheme="minorEastAsia"/>
        </w:rPr>
        <w:t>.</w:t>
      </w:r>
      <w:r>
        <w:rPr>
          <w:rFonts w:eastAsiaTheme="minorEastAsia"/>
        </w:rPr>
        <w:t xml:space="preserve"> </w:t>
      </w:r>
    </w:p>
    <w:p w14:paraId="6B2557E0" w14:textId="77777777" w:rsidR="00DE5D33" w:rsidRDefault="00DE5D33" w:rsidP="00DE5D33">
      <w:pPr>
        <w:keepNext/>
      </w:pPr>
    </w:p>
    <w:p w14:paraId="12A92E27" w14:textId="77777777" w:rsidR="00DE5D33" w:rsidRDefault="00DE5D33" w:rsidP="00DE5D33">
      <w:pPr>
        <w:keepNext/>
      </w:pPr>
      <w:r>
        <w:rPr>
          <w:noProof/>
        </w:rPr>
        <w:drawing>
          <wp:inline distT="0" distB="0" distL="0" distR="0" wp14:anchorId="3903DC6C" wp14:editId="642BDB4C">
            <wp:extent cx="5759715" cy="324003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715" cy="3240030"/>
                    </a:xfrm>
                    <a:prstGeom prst="rect">
                      <a:avLst/>
                    </a:prstGeom>
                  </pic:spPr>
                </pic:pic>
              </a:graphicData>
            </a:graphic>
          </wp:inline>
        </w:drawing>
      </w:r>
    </w:p>
    <w:p w14:paraId="7F5C58B8" w14:textId="46FD2625" w:rsidR="00DE5D33" w:rsidRDefault="00B25A4E" w:rsidP="00DE5D33">
      <w:r>
        <w:t>Figure 5</w:t>
      </w:r>
      <w:r w:rsidR="00DE5D33">
        <w:t>. Relative importance (in %) of the 18.6-y</w:t>
      </w:r>
      <w:r w:rsidR="008673E8">
        <w:t>r</w:t>
      </w:r>
      <w:r w:rsidR="00DE5D33">
        <w:t xml:space="preserve"> signal to the total amplitude of the long-term tidal modulations in 100-ESL at sites where the overall amplitude is significant. Green-yellow colors indicate a </w:t>
      </w:r>
      <w:r w:rsidR="008673E8">
        <w:t>higher influence of the 18.6-y</w:t>
      </w:r>
      <w:r w:rsidR="00DE5D33">
        <w:t>r nodal signal while black-red colors indicate a higher influence of the 4.4-y</w:t>
      </w:r>
      <w:r w:rsidR="008673E8">
        <w:t>r</w:t>
      </w:r>
      <w:r w:rsidR="00DE5D33">
        <w:t xml:space="preserve"> signal in 100-ESL. White color represents an equal presence of both cycles (50%).</w:t>
      </w:r>
    </w:p>
    <w:p w14:paraId="14C480C9" w14:textId="77777777" w:rsidR="00DE5D33" w:rsidRDefault="00DE5D33" w:rsidP="00DE5D33"/>
    <w:p w14:paraId="518D4EE6" w14:textId="6B3112FB" w:rsidR="00DE5D33" w:rsidRPr="00E41D1F" w:rsidRDefault="00DE5D33" w:rsidP="00DE5D33">
      <w:pPr>
        <w:pStyle w:val="ListParagraph"/>
        <w:numPr>
          <w:ilvl w:val="1"/>
          <w:numId w:val="16"/>
        </w:numPr>
        <w:rPr>
          <w:b/>
          <w:bCs/>
        </w:rPr>
      </w:pPr>
      <w:r>
        <w:rPr>
          <w:b/>
          <w:bCs/>
        </w:rPr>
        <w:t xml:space="preserve">Influence of </w:t>
      </w:r>
      <w:r w:rsidR="00694805">
        <w:rPr>
          <w:b/>
          <w:bCs/>
        </w:rPr>
        <w:t>long-term tidal modulations in</w:t>
      </w:r>
      <w:r>
        <w:rPr>
          <w:b/>
          <w:bCs/>
        </w:rPr>
        <w:t xml:space="preserve"> 100-ESL in inundation </w:t>
      </w:r>
      <w:r w:rsidRPr="00E41D1F">
        <w:rPr>
          <w:b/>
          <w:bCs/>
        </w:rPr>
        <w:t>modeling</w:t>
      </w:r>
    </w:p>
    <w:p w14:paraId="5A9F41FB" w14:textId="0810227A" w:rsidR="009E605D" w:rsidRDefault="00DE5D33" w:rsidP="009E605D">
      <w:r>
        <w:t xml:space="preserve">Finally, we evaluate the impact of the long-term tidal modulations in 100-ESL on the estimated flood extent for four case study sites: Boston, Miami, South San Francisco Bay, and Santa Barbara. </w:t>
      </w:r>
      <w:r w:rsidR="009E605D">
        <w:t>As an example, the difference between the area flooded under a positive (</w:t>
      </w:r>
      <m:oMath>
        <m:sSub>
          <m:sSubPr>
            <m:ctrlPr>
              <w:rPr>
                <w:rFonts w:ascii="Cambria Math" w:hAnsi="Cambria Math"/>
                <w:i/>
              </w:rPr>
            </m:ctrlPr>
          </m:sSubPr>
          <m:e>
            <m:r>
              <w:rPr>
                <w:rFonts w:ascii="Cambria Math" w:hAnsi="Cambria Math"/>
              </w:rPr>
              <m:t>AF</m:t>
            </m:r>
          </m:e>
          <m:sub>
            <m:r>
              <w:rPr>
                <w:rFonts w:ascii="Cambria Math" w:hAnsi="Cambria Math"/>
              </w:rPr>
              <m:t>C</m:t>
            </m:r>
          </m:sub>
        </m:sSub>
      </m:oMath>
      <w:r w:rsidR="009E605D">
        <w:rPr>
          <w:rFonts w:eastAsiaTheme="minorEastAsia"/>
        </w:rPr>
        <w:t>) and a negative (</w:t>
      </w:r>
      <m:oMath>
        <m:sSub>
          <m:sSubPr>
            <m:ctrlPr>
              <w:rPr>
                <w:rFonts w:ascii="Cambria Math" w:hAnsi="Cambria Math"/>
                <w:i/>
              </w:rPr>
            </m:ctrlPr>
          </m:sSubPr>
          <m:e>
            <m:r>
              <w:rPr>
                <w:rFonts w:ascii="Cambria Math" w:hAnsi="Cambria Math"/>
              </w:rPr>
              <m:t>AF</m:t>
            </m:r>
          </m:e>
          <m:sub>
            <m:r>
              <w:rPr>
                <w:rFonts w:ascii="Cambria Math" w:hAnsi="Cambria Math"/>
              </w:rPr>
              <m:t>T</m:t>
            </m:r>
          </m:sub>
        </m:sSub>
      </m:oMath>
      <w:r w:rsidR="009E605D">
        <w:rPr>
          <w:rFonts w:eastAsiaTheme="minorEastAsia"/>
        </w:rPr>
        <w:t xml:space="preserve">) phase </w:t>
      </w:r>
      <w:r w:rsidR="009E605D">
        <w:t xml:space="preserve">is shown for San Francisco Bay </w:t>
      </w:r>
      <w:r w:rsidR="00671B3D">
        <w:t xml:space="preserve">in </w:t>
      </w:r>
      <w:r w:rsidR="009E605D">
        <w:t>Figure 6.</w:t>
      </w:r>
    </w:p>
    <w:p w14:paraId="3518AA04" w14:textId="4604DC7D" w:rsidR="00DE5D33" w:rsidRPr="0095589C" w:rsidRDefault="00EC6A70" w:rsidP="008673E8">
      <w:r>
        <w:t>W</w:t>
      </w:r>
      <w:r w:rsidR="00DE5D33">
        <w:t>e calculate how much area is flooded under a positive phase of the long-term modulation</w:t>
      </w:r>
      <w:r w:rsidR="00734E02">
        <w:t>s</w:t>
      </w:r>
      <w:r w:rsidR="00DE5D33">
        <w:t xml:space="preserve"> in comparison with the area flooded under a negative phase of </w:t>
      </w:r>
      <w:r w:rsidR="00734E02">
        <w:t>both</w:t>
      </w:r>
      <w:r w:rsidR="00DE5D33">
        <w:t xml:space="preserve"> signal</w:t>
      </w:r>
      <w:r w:rsidR="00734E02">
        <w:t>s</w:t>
      </w:r>
      <w:r w:rsidR="00DE5D33">
        <w:t xml:space="preserve"> in % (</w:t>
      </w:r>
      <m:oMath>
        <m:r>
          <w:rPr>
            <w:rFonts w:ascii="Cambria Math" w:hAnsi="Cambria Math"/>
          </w:rPr>
          <m:t>∆F</m:t>
        </m:r>
      </m:oMath>
      <w:r w:rsidR="00DE5D33">
        <w:rPr>
          <w:rFonts w:eastAsiaTheme="minorEastAsia"/>
        </w:rPr>
        <w:t>,</w:t>
      </w:r>
      <w:r w:rsidR="008673E8">
        <w:t xml:space="preserve"> </w:t>
      </w:r>
      <w:r w:rsidR="00C162AD" w:rsidRPr="00C162AD">
        <w:t>Equation 14</w:t>
      </w:r>
      <w:r w:rsidR="008673E8" w:rsidRPr="00C162AD">
        <w:t>,</w:t>
      </w:r>
      <w:r w:rsidR="00B25A4E" w:rsidRPr="00C162AD">
        <w:t xml:space="preserve"> Section</w:t>
      </w:r>
      <w:r w:rsidR="00B25A4E">
        <w:t xml:space="preserve"> 3.5</w:t>
      </w:r>
      <w:r w:rsidR="00DE5D33">
        <w:t xml:space="preserve">). </w:t>
      </w:r>
      <w:r w:rsidR="00734E02">
        <w:t>Note that the positive phase is defined as the peak of the combined 4.4-yr and 18.6-yr</w:t>
      </w:r>
      <w:r w:rsidR="00B25A4E">
        <w:t xml:space="preserve"> modulations in ESL (Section 3.4</w:t>
      </w:r>
      <w:r w:rsidR="00734E02">
        <w:t xml:space="preserve">), thus representing </w:t>
      </w:r>
      <w:r w:rsidR="00734E02">
        <w:lastRenderedPageBreak/>
        <w:t xml:space="preserve">the </w:t>
      </w:r>
      <w:proofErr w:type="gramStart"/>
      <w:r w:rsidR="00734E02">
        <w:t>worst</w:t>
      </w:r>
      <w:r w:rsidR="00671B3D">
        <w:t xml:space="preserve"> case</w:t>
      </w:r>
      <w:proofErr w:type="gramEnd"/>
      <w:r w:rsidR="00734E02">
        <w:t xml:space="preserve"> scenario regarding flood risk resulting from the long-term modulations.</w:t>
      </w:r>
      <w:r w:rsidR="008673E8">
        <w:t xml:space="preserve"> </w:t>
      </w:r>
      <w:r w:rsidR="00DE5D33">
        <w:t xml:space="preserve">Table 2 shows the area covered by the DEM used for each case study, the range of the long-term tidal modulations in 100-ESL found in the closest tide gauge to each site, and the </w:t>
      </w:r>
      <w:r w:rsidR="00DE5D33">
        <w:rPr>
          <w:rFonts w:eastAsiaTheme="minorEastAsia"/>
        </w:rPr>
        <w:t xml:space="preserve">resulting </w:t>
      </w:r>
      <m:oMath>
        <m:r>
          <w:rPr>
            <w:rFonts w:ascii="Cambria Math" w:hAnsi="Cambria Math"/>
          </w:rPr>
          <m:t>∆F</m:t>
        </m:r>
      </m:oMath>
      <w:r w:rsidR="009E605D">
        <w:t>.</w:t>
      </w:r>
    </w:p>
    <w:p w14:paraId="0E3F3AD7" w14:textId="49E81371" w:rsidR="00DE5D33" w:rsidRDefault="00DE5D33" w:rsidP="00DE5D33">
      <w:r>
        <w:t xml:space="preserve">Results show that changes in 100-ESL derived from long-term tidal variations lead to differences in potential flood extents of up to ~45% in Boston. This is almost four times the relative contribution of mean sea-level rise (0.82 m under an RCP8.5 scenario by 2100, relative to the period of 1986-2005, </w:t>
      </w:r>
      <w:r>
        <w:fldChar w:fldCharType="begin" w:fldLock="1"/>
      </w:r>
      <w:r>
        <w:instrText>ADDIN CSL_CITATION {"citationItems":[{"id":"ITEM-1","itemData":{"author":[{"dropping-particle":"","family":"IPCC","given":"","non-dropping-particle":"","parse-names":false,"suffix":""}],"id":"ITEM-1","issued":{"date-parts":[["2013"]]},"number-of-pages":"1535","publisher-place":"Cambridge University Press","title":"Climate Change 2013: The Physical Science Basis, Contribution ofWorking Group I to the Fifth Assessment Report of the Intergovernmental Panel on Climate Change","type":"report"},"uris":["http://www.mendeley.com/documents/?uuid=6609e079-58b0-4417-8e06-21a18b81914e"]}],"mendeley":{"formattedCitation":"(IPCC, 2013)","manualFormatting":"IPCC, 2013","plainTextFormattedCitation":"(IPCC, 2013)","previouslyFormattedCitation":"(IPCC, 2013)"},"properties":{"noteIndex":0},"schema":"https://github.com/citation-style-language/schema/raw/master/csl-citation.json"}</w:instrText>
      </w:r>
      <w:r>
        <w:fldChar w:fldCharType="separate"/>
      </w:r>
      <w:r w:rsidRPr="7167B51F">
        <w:rPr>
          <w:noProof/>
        </w:rPr>
        <w:t>IPCC, 2013</w:t>
      </w:r>
      <w:r>
        <w:fldChar w:fldCharType="end"/>
      </w:r>
      <w:r>
        <w:t xml:space="preserve">) to the area vulnerable to flooding under a category 3 storm on the coast of Massachusetts (12.2%, Figure 4 in </w:t>
      </w:r>
      <w:r>
        <w:fldChar w:fldCharType="begin" w:fldLock="1"/>
      </w:r>
      <w:r>
        <w:instrText>ADDIN CSL_CITATION {"citationItems":[{"id":"ITEM-1","itemData":{"DOI":"10.1016/j.crm.2014.02.004","ISSN":"22120963","abstract":"The consequences of future sea-level rise for coastal communities are a priority concern arising from anthropogenic climate change. Here, previously published methods are scaled up in order to undertake a first pass assessment of exposure to hurricane storm surge and sea-level rise for the U.S. Gulf of Mexico and Atlantic coasts. Sea-level rise scenarios ranging from +0.50 to +0.82. m by 2100 increased estimates of the area exposed to inundation by 4-13% and 7-20%, respectively, among different Saffir-Simpson hurricane intensity categories. Potential applications of these hazard layers for vulnerability assessment are demonstrated with two contrasting case studies: potential exposure of current energy infrastructure in the U.S. Southeast and exposure of current and future housing along both the Gulf and Atlantic Coasts. Estimates of the number of Southeast electricity generation facilities potentially exposed to hurricane storm surge ranged from 69 to 291 for category 1 and category 5 storms, respectively. Sea-level rise increased the number of exposed facilities by 6-60%, depending on the sea-level rise scenario and the intensity of the hurricane under consideration. Meanwhile, estimates of the number of housing units currently exposed to hurricane storm surge ranged from 4.1 to 9.4 million for category 1 and category 4 storms, respectively, while exposure for category 5 storms was estimated at 7.1 million due to the absence of landfalling category 5 hurricanes in the New England region. Housing exposure was projected to increase 83-230% by 2100 among different sea-level rise and housing scenarios, with the majority of this increase attributed to future housing development. These case studies highlight the utility of geospatial hazard information for national-scale coastal exposure or vulnerability assessment as well as the importance of future socioeconomic development in the assessment of coastal vulnerability. © 2014 The Authors.","author":[{"dropping-particle":"","family":"Maloney","given":"Megan C.","non-dropping-particle":"","parse-names":false,"suffix":""},{"dropping-particle":"","family":"Preston","given":"Benjamin L.","non-dropping-particle":"","parse-names":false,"suffix":""}],"container-title":"Climate Risk Management","id":"ITEM-1","issue":"July 2014","issued":{"date-parts":[["2014"]]},"page":"26-41","publisher":"Elsevier B.V.","title":"A geospatial dataset for U.S. hurricane storm surge and sea-level rise vulnerability: Development and case study applications","type":"article-journal","volume":"2"},"uris":["http://www.mendeley.com/documents/?uuid=9ba82224-4d4b-4c99-a7d2-a33676fd8245"]}],"mendeley":{"formattedCitation":"(Maloney &amp; Preston, 2014)","manualFormatting":"Maloney and Preston, 2014)","plainTextFormattedCitation":"(Maloney &amp; Preston, 2014)","previouslyFormattedCitation":"(Maloney &amp; Preston, 2014)"},"properties":{"noteIndex":0},"schema":"https://github.com/citation-style-language/schema/raw/master/csl-citation.json"}</w:instrText>
      </w:r>
      <w:r>
        <w:fldChar w:fldCharType="separate"/>
      </w:r>
      <w:r w:rsidRPr="7167B51F">
        <w:rPr>
          <w:noProof/>
        </w:rPr>
        <w:t>Maloney and Preston, 2014)</w:t>
      </w:r>
      <w:r>
        <w:fldChar w:fldCharType="end"/>
      </w:r>
      <w:r>
        <w:t xml:space="preserve">. Changes for the other locations are smaller; 12.9% in South San Francisco Bay, 6% in Santa Barbara, and 11% in Miami. Differences among sites arise from the variation in characteristics of each area, including the amplitude of the </w:t>
      </w:r>
      <w:r w:rsidR="008673E8">
        <w:t>4.4-yr</w:t>
      </w:r>
      <w:r>
        <w:t>/</w:t>
      </w:r>
      <w:r w:rsidR="008673E8">
        <w:t xml:space="preserve">18.6-yr </w:t>
      </w:r>
      <w:r w:rsidR="005078C4">
        <w:t>modulations</w:t>
      </w:r>
      <w:r>
        <w:t xml:space="preserve"> in 100-ESL and the steepness of the coastal topography. For example, tidal constituents are small </w:t>
      </w:r>
      <w:r w:rsidR="00B25A4E">
        <w:t>in Miami</w:t>
      </w:r>
      <w:r>
        <w:t xml:space="preserve"> and the </w:t>
      </w:r>
      <w:r w:rsidR="008673E8">
        <w:t>18.6-yr</w:t>
      </w:r>
      <w:r>
        <w:t xml:space="preserve"> cycle is not prominent </w:t>
      </w:r>
      <w:r>
        <w:fldChar w:fldCharType="begin" w:fldLock="1"/>
      </w:r>
      <w:r w:rsidR="00B25A4E">
        <w:instrText>ADDIN CSL_CITATION {"citationItems":[{"id":"ITEM-1","itemData":{"DOI":"10.1029/2010JC006645","ISSN":"21699291","abstract":"Periods of high astronomically generated tides contribute to the occurrence of extreme sea levels. Over interannual time scales, two precessions associated with the orbit of the Moon cause systematic variation of high tides. A global assessment of when these tidal modulations occur allows for the prediction of periods when the enhanced risk of coastal flooding is likely in different parts of the world. This paper uses modeled tides to assess the influence of the 18.61 year lunar nodal cycle and the 8.85 year cycle of lunar perigee (which affects high tidal levels as a quasi 4.4 year cycle) on high tidal levels on a global scale. Tidal constituents from the TPXO7.2 global tidal model are used, with satellite modulation corrections based on equilibrium tide expectations, to predict multidecadal hourly time series of tides on a one-quarter degree global grid. These time series are used to determine the amplitude and phase of tidal modulations using harmonic analysis fitted to 18.61, 9.305, 8.85, and 4.425 year sinusoidal signals. The spatial variations in the range and phase of the tidal modulations are related to the global distribution of the main tidal constituents and tidal characteristics (diurnal or semidiurnal and tidal range). Results indicate that the 18.61 year nodal cycle has the greatest influence in diurnal regions with tidal ranges of &gt;4 m and that the 4.4 year cycle is largest in semidiurnal regions where the tidal range is &gt;6 m. The phase of the interannual tidal modulations is shown to relate to the form of the tide. Copyright 2011 by the American Geophysical Union.","author":[{"dropping-particle":"","family":"Haigh","given":"Ivan D.","non-dropping-particle":"","parse-names":false,"suffix":""},{"dropping-particle":"","family":"Eliot","given":"Matt","non-dropping-particle":"","parse-names":false,"suffix":""},{"dropping-particle":"","family":"Pattiaratchi","given":"Charitha","non-dropping-particle":"","parse-names":false,"suffix":""}],"container-title":"Journal of Geophysical Research: Oceans","id":"ITEM-1","issue":"6","issued":{"date-parts":[["2011"]]},"page":"1-16","title":"Global influences of the 18.61 year nodal cycle and 8.85 year cycle of lunar perigee on high tidal levels","type":"article-journal","volume":"116"},"uris":["http://www.mendeley.com/documents/?uuid=c9fd7f95-5094-42d4-82c2-96d6bde7a12d"]}],"mendeley":{"formattedCitation":"(Ivan D. Haigh et al., 2011)","manualFormatting":"(M2 ~ 0.3m, Haigh et al., 2011)","plainTextFormattedCitation":"(Ivan D. Haigh et al., 2011)","previouslyFormattedCitation":"(Ivan D. Haigh et al., 2011)"},"properties":{"noteIndex":0},"schema":"https://github.com/citation-style-language/schema/raw/master/csl-citation.json"}</w:instrText>
      </w:r>
      <w:r>
        <w:fldChar w:fldCharType="separate"/>
      </w:r>
      <w:r w:rsidRPr="00D76C43">
        <w:rPr>
          <w:noProof/>
        </w:rPr>
        <w:t>(</w:t>
      </w:r>
      <w:r w:rsidR="00B25A4E" w:rsidRPr="002C3169">
        <w:rPr>
          <w:noProof/>
        </w:rPr>
        <w:t>M</w:t>
      </w:r>
      <w:r w:rsidR="00B25A4E" w:rsidRPr="002C3169">
        <w:rPr>
          <w:noProof/>
          <w:vertAlign w:val="subscript"/>
        </w:rPr>
        <w:t>2</w:t>
      </w:r>
      <w:r w:rsidR="00B25A4E" w:rsidRPr="002C3169">
        <w:rPr>
          <w:noProof/>
        </w:rPr>
        <w:t xml:space="preserve"> ~ 0.3m</w:t>
      </w:r>
      <w:r w:rsidR="00B25A4E">
        <w:rPr>
          <w:noProof/>
        </w:rPr>
        <w:t>,</w:t>
      </w:r>
      <w:r w:rsidR="00B25A4E" w:rsidRPr="00D76C43">
        <w:rPr>
          <w:noProof/>
        </w:rPr>
        <w:t xml:space="preserve"> </w:t>
      </w:r>
      <w:r w:rsidRPr="00D76C43">
        <w:rPr>
          <w:noProof/>
        </w:rPr>
        <w:t>Haigh et al., 2011)</w:t>
      </w:r>
      <w:r>
        <w:fldChar w:fldCharType="end"/>
      </w:r>
      <w:r>
        <w:t xml:space="preserve">. The difference between </w:t>
      </w:r>
      <w:r w:rsidR="005909F6">
        <w:t xml:space="preserve">Santa Barbara and San Francisco, both in </w:t>
      </w:r>
      <w:r>
        <w:t xml:space="preserve">California with similar mixed, semidiurnal forcing, demonstrates the influence of local variations. The greater potential inundation in South San Francisco Bay is likely attributable to generally steeper topography in Santa Barbara (see also </w:t>
      </w:r>
      <w:r>
        <w:fldChar w:fldCharType="begin" w:fldLock="1"/>
      </w:r>
      <w:r w:rsidR="00017CDE">
        <w:instrText>ADDIN CSL_CITATION {"citationItems":[{"id":"ITEM-1","itemData":{"DOI":"10.1038/s41598-019-40742-z","ISBN":"4159801940742","ISSN":"20452322","PMID":"30867474","abstract":"Coastal inundation due to sea level rise (SLR) is projected to displace hundreds of millions of people worldwide over the next century, creating significant economic, humanitarian, and national-security challenges. However, the majority of previous efforts to characterize potential coastal impacts of climate change have focused primarily on long-term SLR with a static tide level, and have not comprehensively accounted for dynamic physical drivers such as tidal non-linearity, storms, short-term climate variability, erosion response and consequent flooding responses. Here we present a dynamic modeling approach that estimates climate-driven changes in flood-hazard exposure by integrating the effects of SLR, tides, waves, storms, and coastal change (i.e. beach erosion and cliff retreat). We show that for California, USA, the world’s 5 th largest economy, over $150 billion of property equating to more than 6% of the state’s GDP and 600,000 people could be impacted by dynamic flooding by 2100; a three-fold increase in exposed population than if only SLR and a static coastline are considered. The potential for underestimating societal exposure to coastal flooding is greater for smaller SLR scenarios, up to a seven-fold increase in exposed population and economic interests when considering storm conditions in addition to SLR. These results highlight the importance of including climate-change driven dynamic coastal processes and impacts in both short-term hazard mitigation and long-term adaptation planning.","author":[{"dropping-particle":"","family":"Barnard","given":"Patrick L.","non-dropping-particle":"","parse-names":false,"suffix":""},{"dropping-particle":"","family":"Erikson","given":"Li H.","non-dropping-particle":"","parse-names":false,"suffix":""},{"dropping-particle":"","family":"Foxgrover","given":"Amy C.","non-dropping-particle":"","parse-names":false,"suffix":""},{"dropping-particle":"","family":"Hart","given":"Juliette A.Finzi","non-dropping-particle":"","parse-names":false,"suffix":""},{"dropping-particle":"","family":"Limber","given":"Patrick","non-dropping-particle":"","parse-names":false,"suffix":""},{"dropping-particle":"","family":"O’Neill","given":"Andrea C.","non-dropping-particle":"","parse-names":false,"suffix":""},{"dropping-particle":"","family":"Ormondt","given":"Maarten","non-dropping-particle":"van","parse-names":false,"suffix":""},{"dropping-particle":"","family":"Vitousek","given":"Sean","non-dropping-particle":"","parse-names":false,"suffix":""},{"dropping-particle":"","family":"Wood","given":"Nathan","non-dropping-particle":"","parse-names":false,"suffix":""},{"dropping-particle":"","family":"Hayden","given":"Maya K.","non-dropping-particle":"","parse-names":false,"suffix":""},{"dropping-particle":"","family":"Jones","given":"Jeanne M.","non-dropping-particle":"","parse-names":false,"suffix":""}],"container-title":"Scientific Reports","id":"ITEM-1","issue":"1","issued":{"date-parts":[["2019"]]},"page":"1-13","title":"Dynamic flood modeling essential to assess the coastal impacts of climate change","type":"article-journal","volume":"9"},"uris":["http://www.mendeley.com/documents/?uuid=35aa7ec7-81c8-499c-b3a3-809f9b6ae12c"]}],"mendeley":{"formattedCitation":"(Barnard et al., 2019)","manualFormatting":"Barnard et al. (2019))","plainTextFormattedCitation":"(Barnard et al., 2019)","previouslyFormattedCitation":"(Barnard et al., 2019)"},"properties":{"noteIndex":0},"schema":"https://github.com/citation-style-language/schema/raw/master/csl-citation.json"}</w:instrText>
      </w:r>
      <w:r>
        <w:fldChar w:fldCharType="separate"/>
      </w:r>
      <w:r w:rsidR="00B25A4E">
        <w:rPr>
          <w:noProof/>
        </w:rPr>
        <w:t>Barnard et al.</w:t>
      </w:r>
      <w:r w:rsidRPr="009D0CB5">
        <w:rPr>
          <w:noProof/>
        </w:rPr>
        <w:t xml:space="preserve"> </w:t>
      </w:r>
      <w:r w:rsidR="00B25A4E">
        <w:rPr>
          <w:noProof/>
        </w:rPr>
        <w:t>(</w:t>
      </w:r>
      <w:r w:rsidRPr="009D0CB5">
        <w:rPr>
          <w:noProof/>
        </w:rPr>
        <w:t>2019</w:t>
      </w:r>
      <w:r w:rsidR="00B25A4E">
        <w:rPr>
          <w:noProof/>
        </w:rPr>
        <w:t>)</w:t>
      </w:r>
      <w:r w:rsidRPr="009D0CB5">
        <w:rPr>
          <w:noProof/>
        </w:rPr>
        <w:t>)</w:t>
      </w:r>
      <w:r>
        <w:fldChar w:fldCharType="end"/>
      </w:r>
      <w:r>
        <w:t>. Note that the flood</w:t>
      </w:r>
      <w:r w:rsidR="00D67FD2">
        <w:t>ed</w:t>
      </w:r>
      <w:r>
        <w:t xml:space="preserve"> areas are zones below the 100-ESL elevation and hydraulically connected to the sea according to the DEM; however, the actual inundation area is also affected by flood pathways, drainage, pumps, and other civil infrastructure, which </w:t>
      </w:r>
      <w:r w:rsidR="00D67FD2">
        <w:t>is</w:t>
      </w:r>
      <w:r>
        <w:t xml:space="preserve"> not accounted for here. </w:t>
      </w:r>
    </w:p>
    <w:p w14:paraId="2AC10659" w14:textId="77777777" w:rsidR="00DE5D33" w:rsidRDefault="00DE5D33" w:rsidP="00DE5D33"/>
    <w:p w14:paraId="4A1D5FAB" w14:textId="3AFCD37A" w:rsidR="00DE5D33" w:rsidRPr="000D62BD" w:rsidRDefault="00DE5D33" w:rsidP="00DE5D33">
      <w:pPr>
        <w:ind w:firstLine="0"/>
      </w:pPr>
      <w:r w:rsidRPr="00D47E11">
        <w:t>Table 2.</w:t>
      </w:r>
      <w:r w:rsidRPr="00BD2778">
        <w:t xml:space="preserve"> </w:t>
      </w:r>
      <w:r>
        <w:t>The a</w:t>
      </w:r>
      <w:r w:rsidRPr="000D62BD">
        <w:t>rea flooded (km</w:t>
      </w:r>
      <w:r w:rsidRPr="007B5097">
        <w:rPr>
          <w:vertAlign w:val="superscript"/>
        </w:rPr>
        <w:t>2</w:t>
      </w:r>
      <w:r w:rsidRPr="000D62BD">
        <w:t xml:space="preserve">) by </w:t>
      </w:r>
      <w:r>
        <w:t>100-ESL</w:t>
      </w:r>
      <w:r w:rsidRPr="000D62BD">
        <w:t xml:space="preserve"> under a </w:t>
      </w:r>
      <w:proofErr w:type="gramStart"/>
      <w:r w:rsidRPr="000D62BD">
        <w:t xml:space="preserve">positive and negative </w:t>
      </w:r>
      <w:r w:rsidR="004D6ADA">
        <w:t>long-term tidal</w:t>
      </w:r>
      <w:r>
        <w:t xml:space="preserve"> cycle</w:t>
      </w:r>
      <w:r w:rsidR="004D6ADA">
        <w:t>s</w:t>
      </w:r>
      <w:proofErr w:type="gramEnd"/>
      <w:r w:rsidRPr="000D62BD">
        <w:t xml:space="preserve">. </w:t>
      </w:r>
      <w:r>
        <w:t xml:space="preserve">The first column depicts the area over which the flood mapping analysis is performed. </w:t>
      </w:r>
      <w:r w:rsidRPr="000D62BD">
        <w:t xml:space="preserve">The range </w:t>
      </w:r>
      <w:r>
        <w:t xml:space="preserve">(cm) of the </w:t>
      </w:r>
      <w:r w:rsidR="004D6ADA">
        <w:t>long-term tidal</w:t>
      </w:r>
      <w:r>
        <w:t xml:space="preserve"> modulations in</w:t>
      </w:r>
      <w:r w:rsidRPr="000D62BD">
        <w:t xml:space="preserve"> </w:t>
      </w:r>
      <w:r>
        <w:t xml:space="preserve">100-ESL </w:t>
      </w:r>
      <w:r w:rsidRPr="000D62BD">
        <w:t>is shown in</w:t>
      </w:r>
      <w:r>
        <w:t xml:space="preserve"> the second column</w:t>
      </w:r>
      <w:r w:rsidRPr="000D62BD">
        <w:t>. The ratio between the area flooded under a positive and negative phase is shown in the last column (∆F, in % of change</w:t>
      </w:r>
      <w:r w:rsidR="00361520">
        <w:t>, Equation 14</w:t>
      </w:r>
      <w:r w:rsidRPr="000D62BD">
        <w:t>)</w:t>
      </w:r>
      <w:r>
        <w:t>.</w:t>
      </w:r>
    </w:p>
    <w:tbl>
      <w:tblPr>
        <w:tblStyle w:val="PlainTable5"/>
        <w:tblW w:w="8820" w:type="dxa"/>
        <w:tblLayout w:type="fixed"/>
        <w:tblLook w:val="04A0" w:firstRow="1" w:lastRow="0" w:firstColumn="1" w:lastColumn="0" w:noHBand="0" w:noVBand="1"/>
      </w:tblPr>
      <w:tblGrid>
        <w:gridCol w:w="2268"/>
        <w:gridCol w:w="2127"/>
        <w:gridCol w:w="3402"/>
        <w:gridCol w:w="1023"/>
      </w:tblGrid>
      <w:tr w:rsidR="00DE5D33" w14:paraId="6199ADDE" w14:textId="77777777" w:rsidTr="005510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63EC0D11" w14:textId="77777777" w:rsidR="00DE5D33" w:rsidRDefault="00DE5D33" w:rsidP="0055104E">
            <w:pPr>
              <w:ind w:firstLine="0"/>
            </w:pPr>
          </w:p>
        </w:tc>
        <w:tc>
          <w:tcPr>
            <w:tcW w:w="2127" w:type="dxa"/>
          </w:tcPr>
          <w:p w14:paraId="71BE3F3B" w14:textId="77777777" w:rsidR="00DE5D33" w:rsidRPr="00D47E11" w:rsidRDefault="00DE5D33" w:rsidP="0055104E">
            <w:pPr>
              <w:ind w:firstLine="0"/>
              <w:jc w:val="left"/>
              <w:cnfStyle w:val="100000000000" w:firstRow="1" w:lastRow="0" w:firstColumn="0" w:lastColumn="0" w:oddVBand="0" w:evenVBand="0" w:oddHBand="0" w:evenHBand="0" w:firstRowFirstColumn="0" w:firstRowLastColumn="0" w:lastRowFirstColumn="0" w:lastRowLastColumn="0"/>
              <w:rPr>
                <w:b/>
                <w:bCs/>
              </w:rPr>
            </w:pPr>
            <w:r w:rsidRPr="00D47E11">
              <w:rPr>
                <w:b/>
                <w:bCs/>
              </w:rPr>
              <w:t>Study area (km</w:t>
            </w:r>
            <w:r w:rsidRPr="00D47E11">
              <w:rPr>
                <w:b/>
                <w:bCs/>
                <w:vertAlign w:val="superscript"/>
              </w:rPr>
              <w:t>2</w:t>
            </w:r>
            <w:r w:rsidRPr="00D47E11">
              <w:rPr>
                <w:b/>
                <w:bCs/>
              </w:rPr>
              <w:t>)</w:t>
            </w:r>
          </w:p>
        </w:tc>
        <w:tc>
          <w:tcPr>
            <w:tcW w:w="3402" w:type="dxa"/>
          </w:tcPr>
          <w:p w14:paraId="2A8CB684" w14:textId="5D468458" w:rsidR="00DE5D33" w:rsidRPr="00D47E11" w:rsidRDefault="00DE5D33" w:rsidP="008673E8">
            <w:pPr>
              <w:ind w:firstLine="0"/>
              <w:jc w:val="left"/>
              <w:cnfStyle w:val="100000000000" w:firstRow="1" w:lastRow="0" w:firstColumn="0" w:lastColumn="0" w:oddVBand="0" w:evenVBand="0" w:oddHBand="0" w:evenHBand="0" w:firstRowFirstColumn="0" w:firstRowLastColumn="0" w:lastRowFirstColumn="0" w:lastRowLastColumn="0"/>
              <w:rPr>
                <w:b/>
                <w:bCs/>
              </w:rPr>
            </w:pPr>
            <w:r w:rsidRPr="00D47E11">
              <w:rPr>
                <w:b/>
                <w:bCs/>
              </w:rPr>
              <w:t xml:space="preserve">Range of </w:t>
            </w:r>
            <w:r w:rsidR="008673E8">
              <w:rPr>
                <w:b/>
                <w:bCs/>
              </w:rPr>
              <w:t>4.4-yr</w:t>
            </w:r>
            <w:r>
              <w:rPr>
                <w:b/>
                <w:bCs/>
              </w:rPr>
              <w:t>/</w:t>
            </w:r>
            <w:r w:rsidR="008673E8">
              <w:rPr>
                <w:b/>
                <w:bCs/>
              </w:rPr>
              <w:t xml:space="preserve">18.6-yr </w:t>
            </w:r>
            <w:r w:rsidRPr="00D47E11">
              <w:rPr>
                <w:b/>
                <w:bCs/>
              </w:rPr>
              <w:t xml:space="preserve">modulations in </w:t>
            </w:r>
            <w:r>
              <w:rPr>
                <w:b/>
                <w:bCs/>
              </w:rPr>
              <w:t>100-ESL</w:t>
            </w:r>
            <w:r w:rsidRPr="00D47E11">
              <w:rPr>
                <w:b/>
                <w:bCs/>
              </w:rPr>
              <w:t xml:space="preserve"> (cm)</w:t>
            </w:r>
          </w:p>
        </w:tc>
        <w:tc>
          <w:tcPr>
            <w:tcW w:w="1023" w:type="dxa"/>
          </w:tcPr>
          <w:p w14:paraId="7342B7FF" w14:textId="77777777" w:rsidR="00DE5D33" w:rsidRPr="00D47E11" w:rsidRDefault="00DE5D33" w:rsidP="0055104E">
            <w:pPr>
              <w:ind w:firstLine="0"/>
              <w:jc w:val="left"/>
              <w:cnfStyle w:val="100000000000" w:firstRow="1" w:lastRow="0" w:firstColumn="0" w:lastColumn="0" w:oddVBand="0" w:evenVBand="0" w:oddHBand="0" w:evenHBand="0" w:firstRowFirstColumn="0" w:firstRowLastColumn="0" w:lastRowFirstColumn="0" w:lastRowLastColumn="0"/>
              <w:rPr>
                <w:b/>
                <w:bCs/>
              </w:rPr>
            </w:pPr>
            <w:r w:rsidRPr="00D47E11">
              <w:rPr>
                <w:rFonts w:cs="Times New Roman"/>
                <w:b/>
                <w:bCs/>
              </w:rPr>
              <w:t>∆</w:t>
            </w:r>
            <w:r w:rsidRPr="00D47E11">
              <w:rPr>
                <w:b/>
                <w:bCs/>
              </w:rPr>
              <w:t>F (%)</w:t>
            </w:r>
          </w:p>
        </w:tc>
      </w:tr>
      <w:tr w:rsidR="00DE5D33" w14:paraId="1E7A319E" w14:textId="77777777" w:rsidTr="00551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FAFFDC8" w14:textId="77777777" w:rsidR="00DE5D33" w:rsidRDefault="00DE5D33" w:rsidP="0055104E">
            <w:pPr>
              <w:ind w:firstLine="0"/>
            </w:pPr>
            <w:r>
              <w:t>Boston</w:t>
            </w:r>
          </w:p>
        </w:tc>
        <w:tc>
          <w:tcPr>
            <w:tcW w:w="2127" w:type="dxa"/>
          </w:tcPr>
          <w:p w14:paraId="7DA7BD37" w14:textId="77777777" w:rsidR="00DE5D33" w:rsidRDefault="00DE5D33" w:rsidP="0055104E">
            <w:pPr>
              <w:ind w:firstLine="0"/>
              <w:cnfStyle w:val="000000100000" w:firstRow="0" w:lastRow="0" w:firstColumn="0" w:lastColumn="0" w:oddVBand="0" w:evenVBand="0" w:oddHBand="1" w:evenHBand="0" w:firstRowFirstColumn="0" w:firstRowLastColumn="0" w:lastRowFirstColumn="0" w:lastRowLastColumn="0"/>
            </w:pPr>
            <w:r>
              <w:t xml:space="preserve">98.3 </w:t>
            </w:r>
          </w:p>
        </w:tc>
        <w:tc>
          <w:tcPr>
            <w:tcW w:w="3402" w:type="dxa"/>
          </w:tcPr>
          <w:p w14:paraId="2712E5D6" w14:textId="77777777" w:rsidR="00DE5D33" w:rsidRDefault="00DE5D33" w:rsidP="0055104E">
            <w:pPr>
              <w:ind w:firstLine="0"/>
              <w:cnfStyle w:val="000000100000" w:firstRow="0" w:lastRow="0" w:firstColumn="0" w:lastColumn="0" w:oddVBand="0" w:evenVBand="0" w:oddHBand="1" w:evenHBand="0" w:firstRowFirstColumn="0" w:firstRowLastColumn="0" w:lastRowFirstColumn="0" w:lastRowLastColumn="0"/>
            </w:pPr>
            <w:r>
              <w:t>10.5</w:t>
            </w:r>
          </w:p>
        </w:tc>
        <w:tc>
          <w:tcPr>
            <w:tcW w:w="1023" w:type="dxa"/>
          </w:tcPr>
          <w:p w14:paraId="1B080A27" w14:textId="77777777" w:rsidR="00DE5D33" w:rsidRDefault="00DE5D33" w:rsidP="0055104E">
            <w:pPr>
              <w:ind w:firstLine="0"/>
              <w:cnfStyle w:val="000000100000" w:firstRow="0" w:lastRow="0" w:firstColumn="0" w:lastColumn="0" w:oddVBand="0" w:evenVBand="0" w:oddHBand="1" w:evenHBand="0" w:firstRowFirstColumn="0" w:firstRowLastColumn="0" w:lastRowFirstColumn="0" w:lastRowLastColumn="0"/>
            </w:pPr>
            <w:r>
              <w:t>44.7</w:t>
            </w:r>
          </w:p>
        </w:tc>
      </w:tr>
      <w:tr w:rsidR="00DE5D33" w14:paraId="364F3CCD" w14:textId="77777777" w:rsidTr="0055104E">
        <w:tc>
          <w:tcPr>
            <w:cnfStyle w:val="001000000000" w:firstRow="0" w:lastRow="0" w:firstColumn="1" w:lastColumn="0" w:oddVBand="0" w:evenVBand="0" w:oddHBand="0" w:evenHBand="0" w:firstRowFirstColumn="0" w:firstRowLastColumn="0" w:lastRowFirstColumn="0" w:lastRowLastColumn="0"/>
            <w:tcW w:w="2268" w:type="dxa"/>
          </w:tcPr>
          <w:p w14:paraId="50CE3DC2" w14:textId="77777777" w:rsidR="00DE5D33" w:rsidRDefault="00DE5D33" w:rsidP="0055104E">
            <w:pPr>
              <w:ind w:firstLine="0"/>
            </w:pPr>
            <w:r>
              <w:t>South San Francisco Bay</w:t>
            </w:r>
          </w:p>
        </w:tc>
        <w:tc>
          <w:tcPr>
            <w:tcW w:w="2127" w:type="dxa"/>
          </w:tcPr>
          <w:p w14:paraId="132420A2" w14:textId="77777777" w:rsidR="00DE5D33" w:rsidRDefault="00DE5D33" w:rsidP="0055104E">
            <w:pPr>
              <w:ind w:firstLine="0"/>
              <w:cnfStyle w:val="000000000000" w:firstRow="0" w:lastRow="0" w:firstColumn="0" w:lastColumn="0" w:oddVBand="0" w:evenVBand="0" w:oddHBand="0" w:evenHBand="0" w:firstRowFirstColumn="0" w:firstRowLastColumn="0" w:lastRowFirstColumn="0" w:lastRowLastColumn="0"/>
            </w:pPr>
            <w:r>
              <w:t>2,435</w:t>
            </w:r>
          </w:p>
        </w:tc>
        <w:tc>
          <w:tcPr>
            <w:tcW w:w="3402" w:type="dxa"/>
          </w:tcPr>
          <w:p w14:paraId="6C04A291" w14:textId="77777777" w:rsidR="00DE5D33" w:rsidRDefault="00DE5D33" w:rsidP="0055104E">
            <w:pPr>
              <w:ind w:firstLine="0"/>
              <w:cnfStyle w:val="000000000000" w:firstRow="0" w:lastRow="0" w:firstColumn="0" w:lastColumn="0" w:oddVBand="0" w:evenVBand="0" w:oddHBand="0" w:evenHBand="0" w:firstRowFirstColumn="0" w:firstRowLastColumn="0" w:lastRowFirstColumn="0" w:lastRowLastColumn="0"/>
            </w:pPr>
            <w:r>
              <w:t>7.9</w:t>
            </w:r>
          </w:p>
        </w:tc>
        <w:tc>
          <w:tcPr>
            <w:tcW w:w="1023" w:type="dxa"/>
          </w:tcPr>
          <w:p w14:paraId="08DD8BF7" w14:textId="77777777" w:rsidR="00DE5D33" w:rsidRDefault="00DE5D33" w:rsidP="0055104E">
            <w:pPr>
              <w:ind w:firstLine="0"/>
              <w:cnfStyle w:val="000000000000" w:firstRow="0" w:lastRow="0" w:firstColumn="0" w:lastColumn="0" w:oddVBand="0" w:evenVBand="0" w:oddHBand="0" w:evenHBand="0" w:firstRowFirstColumn="0" w:firstRowLastColumn="0" w:lastRowFirstColumn="0" w:lastRowLastColumn="0"/>
            </w:pPr>
            <w:r>
              <w:t>12.9</w:t>
            </w:r>
          </w:p>
        </w:tc>
      </w:tr>
      <w:tr w:rsidR="00DE5D33" w14:paraId="00AD0FD8" w14:textId="77777777" w:rsidTr="00551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8DC558C" w14:textId="77777777" w:rsidR="00DE5D33" w:rsidRDefault="00DE5D33" w:rsidP="0055104E">
            <w:pPr>
              <w:ind w:firstLine="0"/>
            </w:pPr>
            <w:r>
              <w:lastRenderedPageBreak/>
              <w:t>Santa Barbara</w:t>
            </w:r>
          </w:p>
        </w:tc>
        <w:tc>
          <w:tcPr>
            <w:tcW w:w="2127" w:type="dxa"/>
          </w:tcPr>
          <w:p w14:paraId="57CAA3DD" w14:textId="77777777" w:rsidR="00DE5D33" w:rsidRDefault="00DE5D33" w:rsidP="0055104E">
            <w:pPr>
              <w:ind w:firstLine="0"/>
              <w:cnfStyle w:val="000000100000" w:firstRow="0" w:lastRow="0" w:firstColumn="0" w:lastColumn="0" w:oddVBand="0" w:evenVBand="0" w:oddHBand="1" w:evenHBand="0" w:firstRowFirstColumn="0" w:firstRowLastColumn="0" w:lastRowFirstColumn="0" w:lastRowLastColumn="0"/>
            </w:pPr>
            <w:r>
              <w:t xml:space="preserve">178.2 </w:t>
            </w:r>
          </w:p>
        </w:tc>
        <w:tc>
          <w:tcPr>
            <w:tcW w:w="3402" w:type="dxa"/>
          </w:tcPr>
          <w:p w14:paraId="13FD447B" w14:textId="77777777" w:rsidR="00DE5D33" w:rsidRDefault="00DE5D33" w:rsidP="0055104E">
            <w:pPr>
              <w:ind w:firstLine="0"/>
              <w:cnfStyle w:val="000000100000" w:firstRow="0" w:lastRow="0" w:firstColumn="0" w:lastColumn="0" w:oddVBand="0" w:evenVBand="0" w:oddHBand="1" w:evenHBand="0" w:firstRowFirstColumn="0" w:firstRowLastColumn="0" w:lastRowFirstColumn="0" w:lastRowLastColumn="0"/>
            </w:pPr>
            <w:r>
              <w:t>12.4</w:t>
            </w:r>
          </w:p>
        </w:tc>
        <w:tc>
          <w:tcPr>
            <w:tcW w:w="1023" w:type="dxa"/>
          </w:tcPr>
          <w:p w14:paraId="7638EB70" w14:textId="77777777" w:rsidR="00DE5D33" w:rsidRDefault="00DE5D33" w:rsidP="0055104E">
            <w:pPr>
              <w:ind w:firstLine="0"/>
              <w:cnfStyle w:val="000000100000" w:firstRow="0" w:lastRow="0" w:firstColumn="0" w:lastColumn="0" w:oddVBand="0" w:evenVBand="0" w:oddHBand="1" w:evenHBand="0" w:firstRowFirstColumn="0" w:firstRowLastColumn="0" w:lastRowFirstColumn="0" w:lastRowLastColumn="0"/>
            </w:pPr>
            <w:r>
              <w:t>6.4</w:t>
            </w:r>
          </w:p>
        </w:tc>
      </w:tr>
      <w:tr w:rsidR="00DE5D33" w14:paraId="0C2D9B1C" w14:textId="77777777" w:rsidTr="0055104E">
        <w:tc>
          <w:tcPr>
            <w:cnfStyle w:val="001000000000" w:firstRow="0" w:lastRow="0" w:firstColumn="1" w:lastColumn="0" w:oddVBand="0" w:evenVBand="0" w:oddHBand="0" w:evenHBand="0" w:firstRowFirstColumn="0" w:firstRowLastColumn="0" w:lastRowFirstColumn="0" w:lastRowLastColumn="0"/>
            <w:tcW w:w="2268" w:type="dxa"/>
          </w:tcPr>
          <w:p w14:paraId="0A45712B" w14:textId="77777777" w:rsidR="00DE5D33" w:rsidRDefault="00DE5D33" w:rsidP="0055104E">
            <w:pPr>
              <w:ind w:firstLine="0"/>
            </w:pPr>
            <w:r>
              <w:t>Miami</w:t>
            </w:r>
          </w:p>
        </w:tc>
        <w:tc>
          <w:tcPr>
            <w:tcW w:w="2127" w:type="dxa"/>
          </w:tcPr>
          <w:p w14:paraId="25132BBB" w14:textId="77777777" w:rsidR="00DE5D33" w:rsidRDefault="00DE5D33" w:rsidP="0055104E">
            <w:pPr>
              <w:ind w:firstLine="0"/>
              <w:cnfStyle w:val="000000000000" w:firstRow="0" w:lastRow="0" w:firstColumn="0" w:lastColumn="0" w:oddVBand="0" w:evenVBand="0" w:oddHBand="0" w:evenHBand="0" w:firstRowFirstColumn="0" w:firstRowLastColumn="0" w:lastRowFirstColumn="0" w:lastRowLastColumn="0"/>
            </w:pPr>
            <w:r>
              <w:t xml:space="preserve">330 </w:t>
            </w:r>
          </w:p>
        </w:tc>
        <w:tc>
          <w:tcPr>
            <w:tcW w:w="3402" w:type="dxa"/>
          </w:tcPr>
          <w:p w14:paraId="6B81713F" w14:textId="77777777" w:rsidR="00DE5D33" w:rsidRDefault="00DE5D33" w:rsidP="0055104E">
            <w:pPr>
              <w:ind w:firstLine="0"/>
              <w:cnfStyle w:val="000000000000" w:firstRow="0" w:lastRow="0" w:firstColumn="0" w:lastColumn="0" w:oddVBand="0" w:evenVBand="0" w:oddHBand="0" w:evenHBand="0" w:firstRowFirstColumn="0" w:firstRowLastColumn="0" w:lastRowFirstColumn="0" w:lastRowLastColumn="0"/>
            </w:pPr>
            <w:r>
              <w:t>3.1</w:t>
            </w:r>
          </w:p>
        </w:tc>
        <w:tc>
          <w:tcPr>
            <w:tcW w:w="1023" w:type="dxa"/>
          </w:tcPr>
          <w:p w14:paraId="5FE26AF1" w14:textId="77777777" w:rsidR="00DE5D33" w:rsidRDefault="00DE5D33" w:rsidP="0055104E">
            <w:pPr>
              <w:ind w:firstLine="0"/>
              <w:cnfStyle w:val="000000000000" w:firstRow="0" w:lastRow="0" w:firstColumn="0" w:lastColumn="0" w:oddVBand="0" w:evenVBand="0" w:oddHBand="0" w:evenHBand="0" w:firstRowFirstColumn="0" w:firstRowLastColumn="0" w:lastRowFirstColumn="0" w:lastRowLastColumn="0"/>
            </w:pPr>
            <w:r>
              <w:t>11.1</w:t>
            </w:r>
          </w:p>
        </w:tc>
      </w:tr>
    </w:tbl>
    <w:p w14:paraId="4CA448CE" w14:textId="77777777" w:rsidR="00DE5D33" w:rsidRDefault="00DE5D33" w:rsidP="00DE5D33"/>
    <w:p w14:paraId="5589D330" w14:textId="77777777" w:rsidR="00DE5D33" w:rsidRDefault="00DE5D33" w:rsidP="00DE5D33">
      <w:pPr>
        <w:keepNext/>
        <w:ind w:firstLine="0"/>
      </w:pPr>
    </w:p>
    <w:p w14:paraId="2377B5CD" w14:textId="77777777" w:rsidR="00DE5D33" w:rsidRDefault="00DE5D33" w:rsidP="00DE5D33">
      <w:pPr>
        <w:keepNext/>
      </w:pPr>
      <w:r>
        <w:rPr>
          <w:noProof/>
        </w:rPr>
        <w:drawing>
          <wp:inline distT="0" distB="0" distL="0" distR="0" wp14:anchorId="0188D811" wp14:editId="79D5B567">
            <wp:extent cx="4320040" cy="4320040"/>
            <wp:effectExtent l="0" t="0" r="4445" b="4445"/>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40" cy="4320040"/>
                    </a:xfrm>
                    <a:prstGeom prst="rect">
                      <a:avLst/>
                    </a:prstGeom>
                  </pic:spPr>
                </pic:pic>
              </a:graphicData>
            </a:graphic>
          </wp:inline>
        </w:drawing>
      </w:r>
    </w:p>
    <w:p w14:paraId="3254627B" w14:textId="6C7FCA1F" w:rsidR="00DE5D33" w:rsidRDefault="00B25A4E" w:rsidP="00361520">
      <w:pPr>
        <w:ind w:firstLine="0"/>
      </w:pPr>
      <w:r>
        <w:t>Figure 6</w:t>
      </w:r>
      <w:r w:rsidR="00DE5D33">
        <w:t xml:space="preserve">. </w:t>
      </w:r>
      <w:r w:rsidR="00361520">
        <w:t>Difference between the area flooded under a positive (</w:t>
      </w:r>
      <m:oMath>
        <m:sSub>
          <m:sSubPr>
            <m:ctrlPr>
              <w:rPr>
                <w:rFonts w:ascii="Cambria Math" w:hAnsi="Cambria Math"/>
                <w:i/>
              </w:rPr>
            </m:ctrlPr>
          </m:sSubPr>
          <m:e>
            <m:r>
              <w:rPr>
                <w:rFonts w:ascii="Cambria Math" w:hAnsi="Cambria Math"/>
              </w:rPr>
              <m:t>AF</m:t>
            </m:r>
          </m:e>
          <m:sub>
            <m:r>
              <w:rPr>
                <w:rFonts w:ascii="Cambria Math" w:hAnsi="Cambria Math"/>
              </w:rPr>
              <m:t>C</m:t>
            </m:r>
          </m:sub>
        </m:sSub>
      </m:oMath>
      <w:r w:rsidR="00361520">
        <w:rPr>
          <w:rFonts w:eastAsiaTheme="minorEastAsia"/>
        </w:rPr>
        <w:t>) and a negative (</w:t>
      </w:r>
      <m:oMath>
        <m:sSub>
          <m:sSubPr>
            <m:ctrlPr>
              <w:rPr>
                <w:rFonts w:ascii="Cambria Math" w:hAnsi="Cambria Math"/>
                <w:i/>
              </w:rPr>
            </m:ctrlPr>
          </m:sSubPr>
          <m:e>
            <m:r>
              <w:rPr>
                <w:rFonts w:ascii="Cambria Math" w:hAnsi="Cambria Math"/>
              </w:rPr>
              <m:t>AF</m:t>
            </m:r>
          </m:e>
          <m:sub>
            <m:r>
              <w:rPr>
                <w:rFonts w:ascii="Cambria Math" w:hAnsi="Cambria Math"/>
              </w:rPr>
              <m:t>T</m:t>
            </m:r>
          </m:sub>
        </m:sSub>
      </m:oMath>
      <w:r w:rsidR="00361520">
        <w:rPr>
          <w:rFonts w:eastAsiaTheme="minorEastAsia"/>
        </w:rPr>
        <w:t xml:space="preserve">) phase </w:t>
      </w:r>
      <w:r w:rsidR="00361520">
        <w:t xml:space="preserve">is shown for San Francisco Bay </w:t>
      </w:r>
      <w:r w:rsidR="00DE5D33">
        <w:t xml:space="preserve">South San Francisco Bay. Note that this is not the total flood area but the difference in the area flooded by a 100-ESL event occurring under a peak and a trough of the </w:t>
      </w:r>
      <w:r w:rsidR="002C582D">
        <w:t>long-term tidal</w:t>
      </w:r>
      <w:r w:rsidR="00DE5D33">
        <w:t xml:space="preserve"> </w:t>
      </w:r>
      <w:r w:rsidR="002C582D">
        <w:t>modulations</w:t>
      </w:r>
      <w:r w:rsidR="00DE5D33">
        <w:t>.</w:t>
      </w:r>
    </w:p>
    <w:p w14:paraId="6A52E884" w14:textId="77777777" w:rsidR="00DE5D33" w:rsidRDefault="00DE5D33" w:rsidP="00DE5D33"/>
    <w:p w14:paraId="09AEF602" w14:textId="77777777" w:rsidR="00DE5D33" w:rsidRDefault="00DE5D33" w:rsidP="00DE5D33">
      <w:pPr>
        <w:ind w:firstLine="0"/>
        <w:rPr>
          <w:b/>
          <w:bCs/>
        </w:rPr>
      </w:pPr>
      <w:r w:rsidRPr="02656F89">
        <w:rPr>
          <w:b/>
          <w:bCs/>
        </w:rPr>
        <w:t>4.</w:t>
      </w:r>
      <w:r>
        <w:t xml:space="preserve"> </w:t>
      </w:r>
      <w:r w:rsidRPr="02656F89">
        <w:rPr>
          <w:b/>
          <w:bCs/>
        </w:rPr>
        <w:t>Conclusions</w:t>
      </w:r>
    </w:p>
    <w:p w14:paraId="7F1E100C" w14:textId="37AF0B6A" w:rsidR="00C6404C" w:rsidRDefault="00DE5D33" w:rsidP="00DE5D33">
      <w:r>
        <w:t>In this paper, we have assessed the</w:t>
      </w:r>
      <w:r w:rsidR="00222989">
        <w:t xml:space="preserve"> modulations of the</w:t>
      </w:r>
      <w:r>
        <w:t xml:space="preserve"> </w:t>
      </w:r>
      <w:r w:rsidR="005B2FAF">
        <w:t>4.4-y</w:t>
      </w:r>
      <w:r w:rsidR="008673E8">
        <w:t>r</w:t>
      </w:r>
      <w:r w:rsidR="005B2FAF">
        <w:t xml:space="preserve"> and 18.6-y</w:t>
      </w:r>
      <w:r w:rsidR="008673E8">
        <w:t>r</w:t>
      </w:r>
      <w:r w:rsidR="005B2FAF">
        <w:t xml:space="preserve"> tidal </w:t>
      </w:r>
      <w:r w:rsidR="00B25A4E">
        <w:t>modulations</w:t>
      </w:r>
      <w:r w:rsidR="005B2FAF">
        <w:t xml:space="preserve"> (</w:t>
      </w:r>
      <w:r w:rsidR="002C582D">
        <w:t>long-term tidal</w:t>
      </w:r>
      <w:r>
        <w:t xml:space="preserve"> </w:t>
      </w:r>
      <w:r w:rsidR="00222989">
        <w:t>cycles)</w:t>
      </w:r>
      <w:r>
        <w:t xml:space="preserve"> in </w:t>
      </w:r>
      <w:r w:rsidR="005B2FAF">
        <w:t>the 100-y</w:t>
      </w:r>
      <w:r w:rsidR="008673E8">
        <w:t>r</w:t>
      </w:r>
      <w:r w:rsidR="005B2FAF">
        <w:t xml:space="preserve"> return period sea levels (100-ESL)</w:t>
      </w:r>
      <w:r w:rsidR="00B329B6">
        <w:t xml:space="preserve"> at 581</w:t>
      </w:r>
      <w:r>
        <w:t xml:space="preserve"> tide gauges located along the global coasts. We have used the </w:t>
      </w:r>
      <w:proofErr w:type="spellStart"/>
      <w:r>
        <w:t>qn</w:t>
      </w:r>
      <w:proofErr w:type="spellEnd"/>
      <w:r>
        <w:t xml:space="preserve">-SSJPM </w:t>
      </w:r>
      <w:r w:rsidR="00D67FD2">
        <w:t xml:space="preserve">method (Baranes et al., 2020) </w:t>
      </w:r>
      <w:r>
        <w:t xml:space="preserve">to estimate the annual sea level exceedance curves, retaining the long-term astronomical tide modulations and thus allowing us to assess the influence of long-term tides on </w:t>
      </w:r>
      <w:r w:rsidR="005B2FAF">
        <w:t>100-ESL</w:t>
      </w:r>
      <w:r>
        <w:t>.</w:t>
      </w:r>
    </w:p>
    <w:p w14:paraId="7D26759D" w14:textId="0ECA31C4" w:rsidR="00DE5D33" w:rsidRDefault="00DE5D33" w:rsidP="00DE5D33">
      <w:pPr>
        <w:rPr>
          <w:rFonts w:eastAsiaTheme="minorEastAsia"/>
        </w:rPr>
      </w:pPr>
      <w:r>
        <w:lastRenderedPageBreak/>
        <w:t xml:space="preserve"> Our results show that the </w:t>
      </w:r>
      <w:r w:rsidR="005B2FAF">
        <w:t>long-term tidal</w:t>
      </w:r>
      <w:r>
        <w:t xml:space="preserve"> modulations impact the flood hazard on interannual to decadal time scales at </w:t>
      </w:r>
      <w:r w:rsidR="00BD1A15">
        <w:rPr>
          <w:rFonts w:eastAsiaTheme="minorEastAsia"/>
        </w:rPr>
        <w:t xml:space="preserve">380 </w:t>
      </w:r>
      <w:r>
        <w:t>tide gauges</w:t>
      </w:r>
      <w:r w:rsidR="00D67FD2">
        <w:t>, at roughly 2/3 of evaluated sites</w:t>
      </w:r>
      <w:r>
        <w:t>.</w:t>
      </w:r>
      <w:r>
        <w:rPr>
          <w:rFonts w:eastAsiaTheme="minorEastAsia"/>
        </w:rPr>
        <w:t xml:space="preserve"> The amplitude of the </w:t>
      </w:r>
      <w:r w:rsidR="00502816">
        <w:rPr>
          <w:rFonts w:eastAsiaTheme="minorEastAsia"/>
        </w:rPr>
        <w:t>long-term tidal</w:t>
      </w:r>
      <w:r>
        <w:rPr>
          <w:rFonts w:eastAsiaTheme="minorEastAsia"/>
        </w:rPr>
        <w:t xml:space="preserve"> modulations in 100-ESL greatly varies across stations, reaching up to </w:t>
      </w:r>
      <w:r w:rsidR="00502816">
        <w:rPr>
          <w:rFonts w:eastAsiaTheme="minorEastAsia"/>
        </w:rPr>
        <w:t xml:space="preserve">more than </w:t>
      </w:r>
      <w:r>
        <w:rPr>
          <w:rFonts w:eastAsiaTheme="minorEastAsia"/>
        </w:rPr>
        <w:t>2</w:t>
      </w:r>
      <w:r w:rsidR="00502816">
        <w:rPr>
          <w:rFonts w:eastAsiaTheme="minorEastAsia"/>
        </w:rPr>
        <w:t>0</w:t>
      </w:r>
      <w:r>
        <w:rPr>
          <w:rFonts w:eastAsiaTheme="minorEastAsia"/>
        </w:rPr>
        <w:t xml:space="preserve"> cm in western </w:t>
      </w:r>
      <w:r w:rsidR="00502816">
        <w:rPr>
          <w:rFonts w:eastAsiaTheme="minorEastAsia"/>
        </w:rPr>
        <w:t>Europe, Singapore</w:t>
      </w:r>
      <w:r w:rsidR="008673E8">
        <w:rPr>
          <w:rFonts w:eastAsiaTheme="minorEastAsia"/>
        </w:rPr>
        <w:t>,</w:t>
      </w:r>
      <w:r w:rsidR="00502816">
        <w:rPr>
          <w:rFonts w:eastAsiaTheme="minorEastAsia"/>
        </w:rPr>
        <w:t xml:space="preserve"> and north Australia</w:t>
      </w:r>
      <w:r>
        <w:rPr>
          <w:rFonts w:eastAsiaTheme="minorEastAsia"/>
        </w:rPr>
        <w:t xml:space="preserve">. Other places with high amplitude of the </w:t>
      </w:r>
      <w:r w:rsidR="00502816">
        <w:rPr>
          <w:rFonts w:eastAsiaTheme="minorEastAsia"/>
        </w:rPr>
        <w:t>long-term tidal</w:t>
      </w:r>
      <w:r>
        <w:rPr>
          <w:rFonts w:eastAsiaTheme="minorEastAsia"/>
        </w:rPr>
        <w:t xml:space="preserve"> modulations in 100-ESL are found in the eastern coast of China, southern Alaska, and the Pacific coast of Panama. </w:t>
      </w:r>
      <w:r w:rsidRPr="009321B1">
        <w:rPr>
          <w:rFonts w:eastAsiaTheme="minorEastAsia"/>
        </w:rPr>
        <w:t>Further research is needed to assess</w:t>
      </w:r>
      <w:r>
        <w:rPr>
          <w:rFonts w:eastAsiaTheme="minorEastAsia"/>
        </w:rPr>
        <w:t xml:space="preserve"> the changes in</w:t>
      </w:r>
      <w:r w:rsidRPr="009321B1">
        <w:rPr>
          <w:rFonts w:eastAsiaTheme="minorEastAsia"/>
        </w:rPr>
        <w:t xml:space="preserve"> the </w:t>
      </w:r>
      <w:r>
        <w:rPr>
          <w:rFonts w:eastAsiaTheme="minorEastAsia"/>
        </w:rPr>
        <w:t xml:space="preserve">amplitude of the </w:t>
      </w:r>
      <w:r w:rsidR="002B3972">
        <w:rPr>
          <w:rFonts w:eastAsiaTheme="minorEastAsia"/>
        </w:rPr>
        <w:t>long-term tidal</w:t>
      </w:r>
      <w:r w:rsidRPr="009321B1">
        <w:rPr>
          <w:rFonts w:eastAsiaTheme="minorEastAsia"/>
        </w:rPr>
        <w:t xml:space="preserve"> </w:t>
      </w:r>
      <w:r>
        <w:rPr>
          <w:rFonts w:eastAsiaTheme="minorEastAsia"/>
        </w:rPr>
        <w:t>modulations</w:t>
      </w:r>
      <w:r w:rsidRPr="009321B1">
        <w:rPr>
          <w:rFonts w:eastAsiaTheme="minorEastAsia"/>
        </w:rPr>
        <w:t xml:space="preserve"> </w:t>
      </w:r>
      <w:r>
        <w:rPr>
          <w:rFonts w:eastAsiaTheme="minorEastAsia"/>
        </w:rPr>
        <w:t xml:space="preserve">in extreme sea levels at </w:t>
      </w:r>
      <w:r w:rsidRPr="009321B1">
        <w:rPr>
          <w:rFonts w:eastAsiaTheme="minorEastAsia"/>
        </w:rPr>
        <w:t>lower return periods</w:t>
      </w:r>
      <w:r>
        <w:rPr>
          <w:rFonts w:eastAsiaTheme="minorEastAsia"/>
        </w:rPr>
        <w:t>,</w:t>
      </w:r>
      <w:r w:rsidRPr="009321B1">
        <w:rPr>
          <w:rFonts w:eastAsiaTheme="minorEastAsia"/>
        </w:rPr>
        <w:t xml:space="preserve"> </w:t>
      </w:r>
      <w:r>
        <w:rPr>
          <w:rFonts w:eastAsiaTheme="minorEastAsia"/>
        </w:rPr>
        <w:t>as opposed to the 100-year return levels we focused on in the present study</w:t>
      </w:r>
      <w:r w:rsidRPr="009321B1">
        <w:rPr>
          <w:rFonts w:eastAsiaTheme="minorEastAsia"/>
        </w:rPr>
        <w:t>.</w:t>
      </w:r>
      <w:r w:rsidRPr="00932515">
        <w:rPr>
          <w:rFonts w:eastAsiaTheme="minorEastAsia"/>
        </w:rPr>
        <w:t xml:space="preserve"> </w:t>
      </w:r>
    </w:p>
    <w:p w14:paraId="541213D6" w14:textId="283B80F6" w:rsidR="00DE5D33" w:rsidRPr="00C92451" w:rsidRDefault="00DE5D33" w:rsidP="00C92451">
      <w:pPr>
        <w:rPr>
          <w:b/>
          <w:bCs/>
        </w:rPr>
      </w:pPr>
      <w:r>
        <w:rPr>
          <w:rFonts w:eastAsiaTheme="minorEastAsia"/>
        </w:rPr>
        <w:t xml:space="preserve">Identifying the years </w:t>
      </w:r>
      <w:r w:rsidR="00B073B0">
        <w:rPr>
          <w:rFonts w:eastAsiaTheme="minorEastAsia"/>
        </w:rPr>
        <w:t xml:space="preserve">of </w:t>
      </w:r>
      <w:r>
        <w:rPr>
          <w:rFonts w:eastAsiaTheme="minorEastAsia"/>
        </w:rPr>
        <w:t xml:space="preserve">higher risk of flooding due to the </w:t>
      </w:r>
      <w:r w:rsidR="002B3972">
        <w:rPr>
          <w:rFonts w:eastAsiaTheme="minorEastAsia"/>
        </w:rPr>
        <w:t>long-term tidal</w:t>
      </w:r>
      <w:r>
        <w:rPr>
          <w:rFonts w:eastAsiaTheme="minorEastAsia"/>
        </w:rPr>
        <w:t xml:space="preserve"> modulations in extreme water levels can help coastal risk management. We have detected the year of the next expected peak of the </w:t>
      </w:r>
      <w:r w:rsidR="002B3972">
        <w:rPr>
          <w:rFonts w:eastAsiaTheme="minorEastAsia"/>
        </w:rPr>
        <w:t xml:space="preserve">modulations </w:t>
      </w:r>
      <w:r>
        <w:rPr>
          <w:rFonts w:eastAsiaTheme="minorEastAsia"/>
        </w:rPr>
        <w:t>across the stations. Some examples of p</w:t>
      </w:r>
      <w:r>
        <w:t xml:space="preserve">laces where the </w:t>
      </w:r>
      <w:r w:rsidR="009D1348">
        <w:t>long-term tidal</w:t>
      </w:r>
      <w:r>
        <w:t xml:space="preserve"> modulations are currently peaking, or are expected to peak relatively soon, </w:t>
      </w:r>
      <w:proofErr w:type="gramStart"/>
      <w:r>
        <w:t>are located in</w:t>
      </w:r>
      <w:proofErr w:type="gramEnd"/>
      <w:r w:rsidR="004D21F4">
        <w:t xml:space="preserve"> </w:t>
      </w:r>
      <w:r w:rsidR="00284DAF">
        <w:t>S</w:t>
      </w:r>
      <w:r w:rsidR="004D21F4">
        <w:t>outh Africa</w:t>
      </w:r>
      <w:r w:rsidR="004C0F11">
        <w:t>,</w:t>
      </w:r>
      <w:r>
        <w:t xml:space="preserve"> northern Japan, Australia, Hawaii, and the </w:t>
      </w:r>
      <w:r w:rsidR="005E64DC">
        <w:t>western coast of Canada and the U</w:t>
      </w:r>
      <w:r w:rsidR="00B25A4E">
        <w:t>.</w:t>
      </w:r>
      <w:r w:rsidR="005E64DC">
        <w:t>S</w:t>
      </w:r>
      <w:r>
        <w:t xml:space="preserve">. In this </w:t>
      </w:r>
      <w:r w:rsidR="00B073B0">
        <w:t>context</w:t>
      </w:r>
      <w:r>
        <w:t xml:space="preserve">, we have identified a regional coherence in the timing of the peak of the </w:t>
      </w:r>
      <w:r w:rsidR="005E64DC">
        <w:t xml:space="preserve">long-term tidal </w:t>
      </w:r>
      <w:r>
        <w:t xml:space="preserve">modulations in 100-ESL. We have assessed the relative contribution of the </w:t>
      </w:r>
      <w:r w:rsidR="005E64DC">
        <w:t>4.4-y</w:t>
      </w:r>
      <w:r w:rsidR="00284DAF">
        <w:t>r</w:t>
      </w:r>
      <w:r>
        <w:t xml:space="preserve"> versus </w:t>
      </w:r>
      <w:r w:rsidR="005E64DC">
        <w:t>18.</w:t>
      </w:r>
      <w:r w:rsidR="003C046B">
        <w:t>6-y</w:t>
      </w:r>
      <w:r w:rsidR="00284DAF">
        <w:t>r</w:t>
      </w:r>
      <w:r>
        <w:t xml:space="preserve"> cycles to the total amplitude of the modulation in 100-ESL. Overall, results show spatial similarities and </w:t>
      </w:r>
      <w:r w:rsidRPr="1E896CEA">
        <w:rPr>
          <w:rFonts w:eastAsiaTheme="minorEastAsia"/>
        </w:rPr>
        <w:t xml:space="preserve">a general agreement with the </w:t>
      </w:r>
      <w:r>
        <w:rPr>
          <w:rFonts w:eastAsiaTheme="minorEastAsia"/>
        </w:rPr>
        <w:t xml:space="preserve">prevailing </w:t>
      </w:r>
      <w:r w:rsidRPr="1E896CEA">
        <w:rPr>
          <w:rFonts w:eastAsiaTheme="minorEastAsia"/>
        </w:rPr>
        <w:t xml:space="preserve">tidal </w:t>
      </w:r>
      <w:r>
        <w:rPr>
          <w:rFonts w:eastAsiaTheme="minorEastAsia"/>
        </w:rPr>
        <w:t>regime</w:t>
      </w:r>
      <w:r>
        <w:t xml:space="preserve">. </w:t>
      </w:r>
      <w:r w:rsidR="00621ACC">
        <w:t xml:space="preserve">Our results </w:t>
      </w:r>
      <w:r>
        <w:t>h</w:t>
      </w:r>
      <w:r>
        <w:rPr>
          <w:rFonts w:eastAsiaTheme="minorEastAsia"/>
        </w:rPr>
        <w:t xml:space="preserve">ighlight the importance of accounting for both cycles when assessing the timing of the </w:t>
      </w:r>
      <w:r w:rsidR="00621ACC">
        <w:rPr>
          <w:rFonts w:eastAsiaTheme="minorEastAsia"/>
        </w:rPr>
        <w:t>long-term tidal</w:t>
      </w:r>
      <w:r>
        <w:rPr>
          <w:rFonts w:eastAsiaTheme="minorEastAsia"/>
        </w:rPr>
        <w:t xml:space="preserve"> peak modulations.</w:t>
      </w:r>
    </w:p>
    <w:p w14:paraId="548FE5FD" w14:textId="6A7DC90D" w:rsidR="00DE5D33" w:rsidRDefault="00DE5D33" w:rsidP="00DE5D33">
      <w:r>
        <w:t xml:space="preserve">The </w:t>
      </w:r>
      <w:proofErr w:type="gramStart"/>
      <w:r>
        <w:t>tidally-induced</w:t>
      </w:r>
      <w:proofErr w:type="gramEnd"/>
      <w:r>
        <w:t xml:space="preserve"> changes in 100-ESL also affect estimates of the flood surface area.</w:t>
      </w:r>
      <w:r w:rsidRPr="1E896CEA">
        <w:rPr>
          <w:rFonts w:eastAsiaTheme="minorEastAsia"/>
        </w:rPr>
        <w:t xml:space="preserve"> We </w:t>
      </w:r>
      <w:r w:rsidR="00B073B0">
        <w:rPr>
          <w:rFonts w:eastAsiaTheme="minorEastAsia"/>
        </w:rPr>
        <w:t>find</w:t>
      </w:r>
      <w:r w:rsidRPr="1E896CEA">
        <w:rPr>
          <w:rFonts w:eastAsiaTheme="minorEastAsia"/>
        </w:rPr>
        <w:t xml:space="preserve"> that </w:t>
      </w:r>
      <w:r w:rsidR="00621ACC">
        <w:rPr>
          <w:rFonts w:eastAsiaTheme="minorEastAsia"/>
        </w:rPr>
        <w:t xml:space="preserve">long-term tidal </w:t>
      </w:r>
      <w:r>
        <w:rPr>
          <w:rFonts w:eastAsiaTheme="minorEastAsia"/>
        </w:rPr>
        <w:t>modulations in 100-ESL</w:t>
      </w:r>
      <w:r w:rsidRPr="1E896CEA">
        <w:rPr>
          <w:rFonts w:eastAsiaTheme="minorEastAsia"/>
        </w:rPr>
        <w:t xml:space="preserve"> can lead to changes </w:t>
      </w:r>
      <w:proofErr w:type="gramStart"/>
      <w:r w:rsidRPr="1E896CEA">
        <w:rPr>
          <w:rFonts w:eastAsiaTheme="minorEastAsia"/>
        </w:rPr>
        <w:t xml:space="preserve">in </w:t>
      </w:r>
      <w:r w:rsidRPr="55CD709C">
        <w:rPr>
          <w:rFonts w:eastAsiaTheme="minorEastAsia"/>
        </w:rPr>
        <w:t>the area of</w:t>
      </w:r>
      <w:proofErr w:type="gramEnd"/>
      <w:r w:rsidRPr="55CD709C">
        <w:rPr>
          <w:rFonts w:eastAsiaTheme="minorEastAsia"/>
        </w:rPr>
        <w:t xml:space="preserve"> the </w:t>
      </w:r>
      <w:r>
        <w:rPr>
          <w:rFonts w:eastAsiaTheme="minorEastAsia"/>
        </w:rPr>
        <w:t xml:space="preserve">100-year </w:t>
      </w:r>
      <w:r w:rsidRPr="1E896CEA">
        <w:rPr>
          <w:rFonts w:eastAsiaTheme="minorEastAsia"/>
        </w:rPr>
        <w:t xml:space="preserve">flood </w:t>
      </w:r>
      <w:r w:rsidRPr="55CD709C">
        <w:rPr>
          <w:rFonts w:eastAsiaTheme="minorEastAsia"/>
        </w:rPr>
        <w:t>of</w:t>
      </w:r>
      <w:r w:rsidRPr="1E896CEA">
        <w:rPr>
          <w:rFonts w:eastAsiaTheme="minorEastAsia"/>
        </w:rPr>
        <w:t xml:space="preserve"> up to </w:t>
      </w:r>
      <w:r>
        <w:rPr>
          <w:rFonts w:eastAsiaTheme="minorEastAsia"/>
        </w:rPr>
        <w:t>~</w:t>
      </w:r>
      <w:r w:rsidRPr="1E896CEA">
        <w:rPr>
          <w:rFonts w:eastAsiaTheme="minorEastAsia"/>
        </w:rPr>
        <w:t>4</w:t>
      </w:r>
      <w:r>
        <w:rPr>
          <w:rFonts w:eastAsiaTheme="minorEastAsia"/>
        </w:rPr>
        <w:t>5</w:t>
      </w:r>
      <w:r w:rsidRPr="1E896CEA">
        <w:rPr>
          <w:rFonts w:eastAsiaTheme="minorEastAsia"/>
        </w:rPr>
        <w:t>%</w:t>
      </w:r>
      <w:r>
        <w:rPr>
          <w:rFonts w:eastAsiaTheme="minorEastAsia"/>
        </w:rPr>
        <w:t>, for example in Boston, U.S.</w:t>
      </w:r>
      <w:r w:rsidRPr="1E896CEA">
        <w:rPr>
          <w:rFonts w:eastAsiaTheme="minorEastAsia"/>
        </w:rPr>
        <w:t xml:space="preserve"> The changes in flood </w:t>
      </w:r>
      <w:r w:rsidRPr="55CD709C">
        <w:rPr>
          <w:rFonts w:eastAsiaTheme="minorEastAsia"/>
        </w:rPr>
        <w:t xml:space="preserve">area </w:t>
      </w:r>
      <w:r w:rsidRPr="1E896CEA">
        <w:rPr>
          <w:rFonts w:eastAsiaTheme="minorEastAsia"/>
        </w:rPr>
        <w:t xml:space="preserve">caused by long-term </w:t>
      </w:r>
      <w:r w:rsidR="00A82091">
        <w:rPr>
          <w:rFonts w:eastAsiaTheme="minorEastAsia"/>
        </w:rPr>
        <w:t>fluctuations</w:t>
      </w:r>
      <w:r w:rsidR="00D67FD2" w:rsidRPr="1E896CEA">
        <w:rPr>
          <w:rFonts w:eastAsiaTheme="minorEastAsia"/>
        </w:rPr>
        <w:t xml:space="preserve"> </w:t>
      </w:r>
      <w:r w:rsidRPr="1E896CEA">
        <w:rPr>
          <w:rFonts w:eastAsiaTheme="minorEastAsia"/>
        </w:rPr>
        <w:t>in tid</w:t>
      </w:r>
      <w:r w:rsidR="00D67FD2">
        <w:rPr>
          <w:rFonts w:eastAsiaTheme="minorEastAsia"/>
        </w:rPr>
        <w:t>al amplitudes</w:t>
      </w:r>
      <w:r w:rsidRPr="1E896CEA">
        <w:rPr>
          <w:rFonts w:eastAsiaTheme="minorEastAsia"/>
        </w:rPr>
        <w:t xml:space="preserve"> var</w:t>
      </w:r>
      <w:r>
        <w:rPr>
          <w:rFonts w:eastAsiaTheme="minorEastAsia"/>
        </w:rPr>
        <w:t>y</w:t>
      </w:r>
      <w:r w:rsidRPr="1E896CEA">
        <w:rPr>
          <w:rFonts w:eastAsiaTheme="minorEastAsia"/>
        </w:rPr>
        <w:t xml:space="preserve"> with the </w:t>
      </w:r>
      <w:r>
        <w:t xml:space="preserve">steepness of coastal topography and the amplitude of the </w:t>
      </w:r>
      <w:r w:rsidR="00B25A4E">
        <w:t>long-term tidal</w:t>
      </w:r>
      <w:r w:rsidR="008D3D3E">
        <w:t xml:space="preserve"> </w:t>
      </w:r>
      <w:r>
        <w:t xml:space="preserve">modulations in 100-ESL. </w:t>
      </w:r>
    </w:p>
    <w:p w14:paraId="2F76EE4F" w14:textId="75EC1259" w:rsidR="00DE5D33" w:rsidRDefault="00DE5D33" w:rsidP="00DE5D33">
      <w:r>
        <w:t xml:space="preserve">In the present study, we have shown that the </w:t>
      </w:r>
      <w:r w:rsidR="008D3D3E">
        <w:t>long-term tidal</w:t>
      </w:r>
      <w:r>
        <w:t xml:space="preserve"> modulations influence low-frequency events (100-year return level) along the global coasts, leading to important variations in flood hazard and potentially flooded surface area. Although further research is required to assess the influence of the </w:t>
      </w:r>
      <w:proofErr w:type="gramStart"/>
      <w:r>
        <w:t>tidally-induced</w:t>
      </w:r>
      <w:proofErr w:type="gramEnd"/>
      <w:r>
        <w:t xml:space="preserve"> changes in flood hazard maps in specific study areas, our results highlight the importance of integrating these tidally-induced and predictable changes in 100-ESL into coastal vulnerability assessments and adaptation plans.</w:t>
      </w:r>
    </w:p>
    <w:p w14:paraId="00A1068C" w14:textId="77777777" w:rsidR="00DE5D33" w:rsidRDefault="00DE5D33" w:rsidP="00DE5D33"/>
    <w:p w14:paraId="3C84E507" w14:textId="77777777" w:rsidR="00DE5D33" w:rsidRDefault="00DE5D33" w:rsidP="00DE5D33">
      <w:pPr>
        <w:rPr>
          <w:b/>
          <w:bCs/>
        </w:rPr>
      </w:pPr>
      <w:r w:rsidRPr="000B3A49">
        <w:rPr>
          <w:b/>
          <w:bCs/>
        </w:rPr>
        <w:lastRenderedPageBreak/>
        <w:t>Acknowledgments</w:t>
      </w:r>
    </w:p>
    <w:p w14:paraId="515311EA" w14:textId="18325C49" w:rsidR="00DE5D33" w:rsidRDefault="00284DAF" w:rsidP="00DE5D33">
      <w:r>
        <w:t>We thank GESLA‐3</w:t>
      </w:r>
      <w:r w:rsidR="00DE5D33">
        <w:t xml:space="preserve"> (http://www.gesla.org/) for providing tide gauge datasets</w:t>
      </w:r>
      <w:r w:rsidR="004048E0">
        <w:t xml:space="preserve">. The code used to calculate the </w:t>
      </w:r>
      <w:r w:rsidR="00C04F97">
        <w:t>extreme sea</w:t>
      </w:r>
      <w:r>
        <w:t>-</w:t>
      </w:r>
      <w:r w:rsidR="00C04F97">
        <w:t xml:space="preserve">level </w:t>
      </w:r>
      <w:r w:rsidR="004048E0">
        <w:t>annual exceedances is a modified version of th</w:t>
      </w:r>
      <w:r w:rsidR="00725DD9">
        <w:t xml:space="preserve">at used in Baranes </w:t>
      </w:r>
      <w:r w:rsidR="000C7718">
        <w:t xml:space="preserve">et al. </w:t>
      </w:r>
      <w:r w:rsidR="005909F6">
        <w:t>(</w:t>
      </w:r>
      <w:r w:rsidR="000C7718">
        <w:t>2020</w:t>
      </w:r>
      <w:r w:rsidR="005909F6">
        <w:t>)</w:t>
      </w:r>
      <w:r w:rsidR="000C7718">
        <w:t xml:space="preserve">, which is </w:t>
      </w:r>
      <w:hyperlink r:id="rId17" w:history="1">
        <w:r w:rsidR="00995074" w:rsidRPr="00995074">
          <w:t>publicly</w:t>
        </w:r>
      </w:hyperlink>
      <w:r w:rsidR="00995074">
        <w:t xml:space="preserve"> </w:t>
      </w:r>
      <w:r w:rsidR="00DE5D33">
        <w:t>available (</w:t>
      </w:r>
      <w:hyperlink r:id="rId18">
        <w:r w:rsidR="00DE5D33" w:rsidRPr="51888674">
          <w:rPr>
            <w:rStyle w:val="Hyperlink"/>
          </w:rPr>
          <w:t>https://zenodo.org/record/3898657</w:t>
        </w:r>
      </w:hyperlink>
      <w:r w:rsidR="00DE5D33">
        <w:t>). This work was funded by NSF PREEVENTS award numbers 1854896</w:t>
      </w:r>
      <w:r w:rsidR="00A71C7F">
        <w:t xml:space="preserve"> (TW</w:t>
      </w:r>
      <w:r w:rsidR="00683302">
        <w:t xml:space="preserve"> and ARE</w:t>
      </w:r>
      <w:r w:rsidR="00A71C7F">
        <w:t>)</w:t>
      </w:r>
      <w:r w:rsidR="00DE5D33">
        <w:t>, 94267271</w:t>
      </w:r>
      <w:r w:rsidR="00421565">
        <w:t xml:space="preserve"> (J</w:t>
      </w:r>
      <w:r w:rsidR="00683302">
        <w:t>F</w:t>
      </w:r>
      <w:r w:rsidR="00421565">
        <w:t>B)</w:t>
      </w:r>
      <w:r w:rsidR="00DE5D33">
        <w:t>,</w:t>
      </w:r>
      <w:r w:rsidR="00A82091">
        <w:t xml:space="preserve"> </w:t>
      </w:r>
      <w:r w:rsidR="00A82091" w:rsidRPr="00241887">
        <w:t>1855037</w:t>
      </w:r>
      <w:r w:rsidR="00A82091">
        <w:t xml:space="preserve"> (PMO)</w:t>
      </w:r>
      <w:r w:rsidR="00A82091">
        <w:rPr>
          <w:rStyle w:val="CommentReference"/>
        </w:rPr>
        <w:t xml:space="preserve"> </w:t>
      </w:r>
      <w:r w:rsidR="00DE5D33">
        <w:t>and</w:t>
      </w:r>
      <w:r w:rsidR="00DE5D33" w:rsidRPr="59E8DED3">
        <w:rPr>
          <w:rFonts w:eastAsia="Times New Roman" w:cs="Times New Roman"/>
          <w:color w:val="000000" w:themeColor="text1"/>
          <w:lang w:val="en-GB"/>
        </w:rPr>
        <w:t xml:space="preserve"> 2013280</w:t>
      </w:r>
      <w:r w:rsidR="00421565">
        <w:rPr>
          <w:rFonts w:eastAsia="Times New Roman" w:cs="Times New Roman"/>
          <w:color w:val="000000" w:themeColor="text1"/>
          <w:lang w:val="en-GB"/>
        </w:rPr>
        <w:t xml:space="preserve"> (SAT)</w:t>
      </w:r>
      <w:r w:rsidR="00DE5D33">
        <w:rPr>
          <w:lang w:val="en-GB"/>
        </w:rPr>
        <w:t>.</w:t>
      </w:r>
      <w:r w:rsidR="00DE5D33">
        <w:t xml:space="preserve"> </w:t>
      </w:r>
      <w:r w:rsidR="00DE5D33" w:rsidRPr="59E8DED3">
        <w:rPr>
          <w:rFonts w:eastAsia="Times New Roman" w:cs="Times New Roman"/>
          <w:color w:val="000000" w:themeColor="text1"/>
          <w:lang w:val="en-GB"/>
        </w:rPr>
        <w:t>SAT was also funded by the National Science Foundation Award number 1455350.</w:t>
      </w:r>
    </w:p>
    <w:p w14:paraId="7AE3112D" w14:textId="77777777" w:rsidR="00DE5D33" w:rsidRDefault="00DE5D33" w:rsidP="00DE5D33"/>
    <w:p w14:paraId="7416DD03" w14:textId="77777777" w:rsidR="00DE5D33" w:rsidRPr="009815ED" w:rsidRDefault="00DE5D33" w:rsidP="00DE5D33">
      <w:pPr>
        <w:ind w:firstLine="0"/>
        <w:rPr>
          <w:b/>
        </w:rPr>
      </w:pPr>
      <w:r w:rsidRPr="009815ED">
        <w:rPr>
          <w:b/>
        </w:rPr>
        <w:t>References</w:t>
      </w:r>
    </w:p>
    <w:p w14:paraId="5008B6B9" w14:textId="554D5341" w:rsidR="004A6E7D" w:rsidRPr="004A6E7D" w:rsidRDefault="00DE5D33" w:rsidP="004A6E7D">
      <w:pPr>
        <w:widowControl w:val="0"/>
        <w:autoSpaceDE w:val="0"/>
        <w:autoSpaceDN w:val="0"/>
        <w:adjustRightInd w:val="0"/>
        <w:ind w:left="480" w:hanging="480"/>
        <w:rPr>
          <w:rFonts w:cs="Times New Roman"/>
          <w:noProof/>
          <w:szCs w:val="24"/>
        </w:rPr>
      </w:pPr>
      <w:r>
        <w:fldChar w:fldCharType="begin" w:fldLock="1"/>
      </w:r>
      <w:r>
        <w:instrText xml:space="preserve">ADDIN Mendeley Bibliography CSL_BIBLIOGRAPHY </w:instrText>
      </w:r>
      <w:r>
        <w:fldChar w:fldCharType="separate"/>
      </w:r>
      <w:r w:rsidR="004A6E7D" w:rsidRPr="004A6E7D">
        <w:rPr>
          <w:rFonts w:cs="Times New Roman"/>
          <w:noProof/>
          <w:szCs w:val="24"/>
        </w:rPr>
        <w:t xml:space="preserve">Andersen, O. B., Egbert, G. D., Erofeeva, S. Y., &amp; Ray, R. D. (2006). Mapping nonlinear shallow-water tides: A look at the past and future. </w:t>
      </w:r>
      <w:r w:rsidR="004A6E7D" w:rsidRPr="004A6E7D">
        <w:rPr>
          <w:rFonts w:cs="Times New Roman"/>
          <w:i/>
          <w:iCs/>
          <w:noProof/>
          <w:szCs w:val="24"/>
        </w:rPr>
        <w:t>Ocean Dynamics</w:t>
      </w:r>
      <w:r w:rsidR="004A6E7D" w:rsidRPr="004A6E7D">
        <w:rPr>
          <w:rFonts w:cs="Times New Roman"/>
          <w:noProof/>
          <w:szCs w:val="24"/>
        </w:rPr>
        <w:t xml:space="preserve">, </w:t>
      </w:r>
      <w:r w:rsidR="004A6E7D" w:rsidRPr="004A6E7D">
        <w:rPr>
          <w:rFonts w:cs="Times New Roman"/>
          <w:i/>
          <w:iCs/>
          <w:noProof/>
          <w:szCs w:val="24"/>
        </w:rPr>
        <w:t>56</w:t>
      </w:r>
      <w:r w:rsidR="004A6E7D" w:rsidRPr="004A6E7D">
        <w:rPr>
          <w:rFonts w:cs="Times New Roman"/>
          <w:noProof/>
          <w:szCs w:val="24"/>
        </w:rPr>
        <w:t>(5–6), 416–429. https://doi.org/10.1007/s10236-006-0060-7</w:t>
      </w:r>
    </w:p>
    <w:p w14:paraId="7956BB88"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Arns, A., Wahl, T., Haigh, I. D., Jensen, J., &amp; Pattiaratchi, C. (2013). Estimating extreme water level probabilities: A comparison of the direct methods and recommendations for best practise. </w:t>
      </w:r>
      <w:r w:rsidRPr="004A6E7D">
        <w:rPr>
          <w:rFonts w:cs="Times New Roman"/>
          <w:i/>
          <w:iCs/>
          <w:noProof/>
          <w:szCs w:val="24"/>
        </w:rPr>
        <w:t>Coastal Engineering</w:t>
      </w:r>
      <w:r w:rsidRPr="004A6E7D">
        <w:rPr>
          <w:rFonts w:cs="Times New Roman"/>
          <w:noProof/>
          <w:szCs w:val="24"/>
        </w:rPr>
        <w:t xml:space="preserve">, </w:t>
      </w:r>
      <w:r w:rsidRPr="004A6E7D">
        <w:rPr>
          <w:rFonts w:cs="Times New Roman"/>
          <w:i/>
          <w:iCs/>
          <w:noProof/>
          <w:szCs w:val="24"/>
        </w:rPr>
        <w:t>81</w:t>
      </w:r>
      <w:r w:rsidRPr="004A6E7D">
        <w:rPr>
          <w:rFonts w:cs="Times New Roman"/>
          <w:noProof/>
          <w:szCs w:val="24"/>
        </w:rPr>
        <w:t>, 51–66. https://doi.org/10.1016/j.coastaleng.2013.07.003</w:t>
      </w:r>
    </w:p>
    <w:p w14:paraId="0F6558EE"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Baranes, H. E., Woodruff, J. D., Talke, S. A., Kopp, R. E., Ray, R. D., &amp; DeConto, R. M. (2020). Tidally Driven Interannual Variation in Extreme Sea Level Frequencies in the Gulf of Maine. </w:t>
      </w:r>
      <w:r w:rsidRPr="004A6E7D">
        <w:rPr>
          <w:rFonts w:cs="Times New Roman"/>
          <w:i/>
          <w:iCs/>
          <w:noProof/>
          <w:szCs w:val="24"/>
        </w:rPr>
        <w:t>Journal of Geophysical Research: Oceans</w:t>
      </w:r>
      <w:r w:rsidRPr="004A6E7D">
        <w:rPr>
          <w:rFonts w:cs="Times New Roman"/>
          <w:noProof/>
          <w:szCs w:val="24"/>
        </w:rPr>
        <w:t xml:space="preserve">, </w:t>
      </w:r>
      <w:r w:rsidRPr="004A6E7D">
        <w:rPr>
          <w:rFonts w:cs="Times New Roman"/>
          <w:i/>
          <w:iCs/>
          <w:noProof/>
          <w:szCs w:val="24"/>
        </w:rPr>
        <w:t>125</w:t>
      </w:r>
      <w:r w:rsidRPr="004A6E7D">
        <w:rPr>
          <w:rFonts w:cs="Times New Roman"/>
          <w:noProof/>
          <w:szCs w:val="24"/>
        </w:rPr>
        <w:t>(10). https://doi.org/10.1029/2020JC016291</w:t>
      </w:r>
    </w:p>
    <w:p w14:paraId="3E115424"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Barnard, P. L., Erikson, L. H., Foxgrover, A. C., Hart, J. A. F., Limber, P., O’Neill, A. C., et al. (2019). Dynamic flood modeling essential to assess the coastal impacts of climate change. </w:t>
      </w:r>
      <w:r w:rsidRPr="004A6E7D">
        <w:rPr>
          <w:rFonts w:cs="Times New Roman"/>
          <w:i/>
          <w:iCs/>
          <w:noProof/>
          <w:szCs w:val="24"/>
        </w:rPr>
        <w:t>Scientific Reports</w:t>
      </w:r>
      <w:r w:rsidRPr="004A6E7D">
        <w:rPr>
          <w:rFonts w:cs="Times New Roman"/>
          <w:noProof/>
          <w:szCs w:val="24"/>
        </w:rPr>
        <w:t xml:space="preserve">, </w:t>
      </w:r>
      <w:r w:rsidRPr="004A6E7D">
        <w:rPr>
          <w:rFonts w:cs="Times New Roman"/>
          <w:i/>
          <w:iCs/>
          <w:noProof/>
          <w:szCs w:val="24"/>
        </w:rPr>
        <w:t>9</w:t>
      </w:r>
      <w:r w:rsidRPr="004A6E7D">
        <w:rPr>
          <w:rFonts w:cs="Times New Roman"/>
          <w:noProof/>
          <w:szCs w:val="24"/>
        </w:rPr>
        <w:t>(1), 1–13. https://doi.org/10.1038/s41598-019-40742-z</w:t>
      </w:r>
    </w:p>
    <w:p w14:paraId="39D5ACF7"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Batstone, C., Lawless, M., Tawn, J., Horsburgh, K., Blackman, D., McMillan, A., et al. (2013). A UK best-practice approach for extreme sea-level analysis along complex topographic coastlines. </w:t>
      </w:r>
      <w:r w:rsidRPr="004A6E7D">
        <w:rPr>
          <w:rFonts w:cs="Times New Roman"/>
          <w:i/>
          <w:iCs/>
          <w:noProof/>
          <w:szCs w:val="24"/>
        </w:rPr>
        <w:t>Ocean Engineering</w:t>
      </w:r>
      <w:r w:rsidRPr="004A6E7D">
        <w:rPr>
          <w:rFonts w:cs="Times New Roman"/>
          <w:noProof/>
          <w:szCs w:val="24"/>
        </w:rPr>
        <w:t xml:space="preserve">, </w:t>
      </w:r>
      <w:r w:rsidRPr="004A6E7D">
        <w:rPr>
          <w:rFonts w:cs="Times New Roman"/>
          <w:i/>
          <w:iCs/>
          <w:noProof/>
          <w:szCs w:val="24"/>
        </w:rPr>
        <w:t>71</w:t>
      </w:r>
      <w:r w:rsidRPr="004A6E7D">
        <w:rPr>
          <w:rFonts w:cs="Times New Roman"/>
          <w:noProof/>
          <w:szCs w:val="24"/>
        </w:rPr>
        <w:t>, 28–39. https://doi.org/10.1016/j.oceaneng.2013.02.003</w:t>
      </w:r>
    </w:p>
    <w:p w14:paraId="555948EF"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BODC, B. O. D. D. (n.d.). UK Tide Gauge Network. Retrieved from https://www.bodc.ac.uk/data/hosted_data_systems/sea_level/uk_tide_gauge_network/</w:t>
      </w:r>
    </w:p>
    <w:p w14:paraId="5D4FE46B"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Caldwell, P., &amp; Merrifield, M. (2015). Joint Archive for Sea Level (JASL). Data Report: October 2015. JIMAR Contribution No. 15-392. Data Report No. 24.</w:t>
      </w:r>
    </w:p>
    <w:p w14:paraId="5CFAD6C7"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lastRenderedPageBreak/>
        <w:t>Codiga, D. L. (2011). Unified Tidal Analysis and Prediction Using the UTide Matlab Functions, (September), 59. https://doi.org/10.13140/RG.2.1.3761.2008</w:t>
      </w:r>
    </w:p>
    <w:p w14:paraId="1E0E7E71"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Eliot, M. (2010). Influence of interannual tidal modulation on coastal flooding along the Western Australian coast. </w:t>
      </w:r>
      <w:r w:rsidRPr="004A6E7D">
        <w:rPr>
          <w:rFonts w:cs="Times New Roman"/>
          <w:i/>
          <w:iCs/>
          <w:noProof/>
          <w:szCs w:val="24"/>
        </w:rPr>
        <w:t>Journal of Geophysical Research: Oceans</w:t>
      </w:r>
      <w:r w:rsidRPr="004A6E7D">
        <w:rPr>
          <w:rFonts w:cs="Times New Roman"/>
          <w:noProof/>
          <w:szCs w:val="24"/>
        </w:rPr>
        <w:t xml:space="preserve">, </w:t>
      </w:r>
      <w:r w:rsidRPr="004A6E7D">
        <w:rPr>
          <w:rFonts w:cs="Times New Roman"/>
          <w:i/>
          <w:iCs/>
          <w:noProof/>
          <w:szCs w:val="24"/>
        </w:rPr>
        <w:t>115</w:t>
      </w:r>
      <w:r w:rsidRPr="004A6E7D">
        <w:rPr>
          <w:rFonts w:cs="Times New Roman"/>
          <w:noProof/>
          <w:szCs w:val="24"/>
        </w:rPr>
        <w:t>(11), 1–11. https://doi.org/10.1029/2010JC006306</w:t>
      </w:r>
    </w:p>
    <w:p w14:paraId="2D1568FA"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Feng, X., Tsimplis, M. N., &amp; Woodworth, P. L. (2015). Nodal variations and long-term changes in the main tides on the coasts of China. </w:t>
      </w:r>
      <w:r w:rsidRPr="004A6E7D">
        <w:rPr>
          <w:rFonts w:cs="Times New Roman"/>
          <w:i/>
          <w:iCs/>
          <w:noProof/>
          <w:szCs w:val="24"/>
        </w:rPr>
        <w:t>Journal of Geophysical Research: Oceans</w:t>
      </w:r>
      <w:r w:rsidRPr="004A6E7D">
        <w:rPr>
          <w:rFonts w:cs="Times New Roman"/>
          <w:noProof/>
          <w:szCs w:val="24"/>
        </w:rPr>
        <w:t xml:space="preserve">, </w:t>
      </w:r>
      <w:r w:rsidRPr="004A6E7D">
        <w:rPr>
          <w:rFonts w:cs="Times New Roman"/>
          <w:i/>
          <w:iCs/>
          <w:noProof/>
          <w:szCs w:val="24"/>
        </w:rPr>
        <w:t>120</w:t>
      </w:r>
      <w:r w:rsidRPr="004A6E7D">
        <w:rPr>
          <w:rFonts w:cs="Times New Roman"/>
          <w:noProof/>
          <w:szCs w:val="24"/>
        </w:rPr>
        <w:t>(2), 1215–1232. https://doi.org/10.1002/2014JC010312</w:t>
      </w:r>
    </w:p>
    <w:p w14:paraId="296913F1"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Ferro, A. T. C., &amp; Segers, J. (2003). Inference for Clusters of Extreme Values. </w:t>
      </w:r>
      <w:r w:rsidRPr="004A6E7D">
        <w:rPr>
          <w:rFonts w:cs="Times New Roman"/>
          <w:i/>
          <w:iCs/>
          <w:noProof/>
          <w:szCs w:val="24"/>
        </w:rPr>
        <w:t>Royal Statistical Society</w:t>
      </w:r>
      <w:r w:rsidRPr="004A6E7D">
        <w:rPr>
          <w:rFonts w:cs="Times New Roman"/>
          <w:noProof/>
          <w:szCs w:val="24"/>
        </w:rPr>
        <w:t xml:space="preserve">, </w:t>
      </w:r>
      <w:r w:rsidRPr="004A6E7D">
        <w:rPr>
          <w:rFonts w:cs="Times New Roman"/>
          <w:i/>
          <w:iCs/>
          <w:noProof/>
          <w:szCs w:val="24"/>
        </w:rPr>
        <w:t>65</w:t>
      </w:r>
      <w:r w:rsidRPr="004A6E7D">
        <w:rPr>
          <w:rFonts w:cs="Times New Roman"/>
          <w:noProof/>
          <w:szCs w:val="24"/>
        </w:rPr>
        <w:t>(2), 545–556.</w:t>
      </w:r>
    </w:p>
    <w:p w14:paraId="3F2EC537"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Gall, M., Borden, K. A., Emrich, C. T., &amp; Cutter, S. L. (2011). The unsustainable trend of natural hazard losses in the United States. </w:t>
      </w:r>
      <w:r w:rsidRPr="004A6E7D">
        <w:rPr>
          <w:rFonts w:cs="Times New Roman"/>
          <w:i/>
          <w:iCs/>
          <w:noProof/>
          <w:szCs w:val="24"/>
        </w:rPr>
        <w:t>Sustainability</w:t>
      </w:r>
      <w:r w:rsidRPr="004A6E7D">
        <w:rPr>
          <w:rFonts w:cs="Times New Roman"/>
          <w:noProof/>
          <w:szCs w:val="24"/>
        </w:rPr>
        <w:t xml:space="preserve">, </w:t>
      </w:r>
      <w:r w:rsidRPr="004A6E7D">
        <w:rPr>
          <w:rFonts w:cs="Times New Roman"/>
          <w:i/>
          <w:iCs/>
          <w:noProof/>
          <w:szCs w:val="24"/>
        </w:rPr>
        <w:t>3</w:t>
      </w:r>
      <w:r w:rsidRPr="004A6E7D">
        <w:rPr>
          <w:rFonts w:cs="Times New Roman"/>
          <w:noProof/>
          <w:szCs w:val="24"/>
        </w:rPr>
        <w:t>(11), 2157–2181. https://doi.org/10.3390/su3112157</w:t>
      </w:r>
    </w:p>
    <w:p w14:paraId="00509F75"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Gesch, D., Palaseanu-Lovejoy, M., Danielson, J., Fletcher, C., Kottermair, M., Barbee, M., &amp; Jalandoni, A. (2020). Inundation exposure assessment for majuro atoll, republic of the Marshall islands using a high-accuracy digital elevation model. </w:t>
      </w:r>
      <w:r w:rsidRPr="004A6E7D">
        <w:rPr>
          <w:rFonts w:cs="Times New Roman"/>
          <w:i/>
          <w:iCs/>
          <w:noProof/>
          <w:szCs w:val="24"/>
        </w:rPr>
        <w:t>Remote Sensing</w:t>
      </w:r>
      <w:r w:rsidRPr="004A6E7D">
        <w:rPr>
          <w:rFonts w:cs="Times New Roman"/>
          <w:noProof/>
          <w:szCs w:val="24"/>
        </w:rPr>
        <w:t xml:space="preserve">, </w:t>
      </w:r>
      <w:r w:rsidRPr="004A6E7D">
        <w:rPr>
          <w:rFonts w:cs="Times New Roman"/>
          <w:i/>
          <w:iCs/>
          <w:noProof/>
          <w:szCs w:val="24"/>
        </w:rPr>
        <w:t>12</w:t>
      </w:r>
      <w:r w:rsidRPr="004A6E7D">
        <w:rPr>
          <w:rFonts w:cs="Times New Roman"/>
          <w:noProof/>
          <w:szCs w:val="24"/>
        </w:rPr>
        <w:t>(1). https://doi.org/10.3390/rs12010154</w:t>
      </w:r>
    </w:p>
    <w:p w14:paraId="30020221"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Haigh, I D, Marcos, M., Talke, S. A., Woodworth, P. L., Hunter, J. R., Hague, B. S., et al. (2021). GESLA Version 3 : A major update to the global, (released), 1–34.</w:t>
      </w:r>
    </w:p>
    <w:p w14:paraId="58186F6D"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Haigh, Ivan D., Eliot, M., &amp; Pattiaratchi, C. (2011). Global influences of the 18.61 year nodal cycle and 8.85 year cycle of lunar perigee on high tidal levels. </w:t>
      </w:r>
      <w:r w:rsidRPr="004A6E7D">
        <w:rPr>
          <w:rFonts w:cs="Times New Roman"/>
          <w:i/>
          <w:iCs/>
          <w:noProof/>
          <w:szCs w:val="24"/>
        </w:rPr>
        <w:t>Journal of Geophysical Research: Oceans</w:t>
      </w:r>
      <w:r w:rsidRPr="004A6E7D">
        <w:rPr>
          <w:rFonts w:cs="Times New Roman"/>
          <w:noProof/>
          <w:szCs w:val="24"/>
        </w:rPr>
        <w:t xml:space="preserve">, </w:t>
      </w:r>
      <w:r w:rsidRPr="004A6E7D">
        <w:rPr>
          <w:rFonts w:cs="Times New Roman"/>
          <w:i/>
          <w:iCs/>
          <w:noProof/>
          <w:szCs w:val="24"/>
        </w:rPr>
        <w:t>116</w:t>
      </w:r>
      <w:r w:rsidRPr="004A6E7D">
        <w:rPr>
          <w:rFonts w:cs="Times New Roman"/>
          <w:noProof/>
          <w:szCs w:val="24"/>
        </w:rPr>
        <w:t>(6), 1–16. https://doi.org/10.1029/2010JC006645</w:t>
      </w:r>
    </w:p>
    <w:p w14:paraId="3C777CBE"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IPCC. (2013). </w:t>
      </w:r>
      <w:r w:rsidRPr="004A6E7D">
        <w:rPr>
          <w:rFonts w:cs="Times New Roman"/>
          <w:i/>
          <w:iCs/>
          <w:noProof/>
          <w:szCs w:val="24"/>
        </w:rPr>
        <w:t>Climate Change 2013: The Physical Science Basis, Contribution ofWorking Group I to the Fifth Assessment Report of the Intergovernmental Panel on Climate Change</w:t>
      </w:r>
      <w:r w:rsidRPr="004A6E7D">
        <w:rPr>
          <w:rFonts w:cs="Times New Roman"/>
          <w:noProof/>
          <w:szCs w:val="24"/>
        </w:rPr>
        <w:t>. Cambridge University Press. Retrieved from http://www.climatechange2013.org/report/full-report/</w:t>
      </w:r>
    </w:p>
    <w:p w14:paraId="4EF95E30"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JMA, J. M. A. (n.d.). Japan Meteorological Agency. Retrieved from http://www.jma.go.jp/jma/indexe.html</w:t>
      </w:r>
    </w:p>
    <w:p w14:paraId="4F9F371F"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Kron, W. (2013). Coasts: The high-risk areas of the world. </w:t>
      </w:r>
      <w:r w:rsidRPr="004A6E7D">
        <w:rPr>
          <w:rFonts w:cs="Times New Roman"/>
          <w:i/>
          <w:iCs/>
          <w:noProof/>
          <w:szCs w:val="24"/>
        </w:rPr>
        <w:t>Natural Hazards</w:t>
      </w:r>
      <w:r w:rsidRPr="004A6E7D">
        <w:rPr>
          <w:rFonts w:cs="Times New Roman"/>
          <w:noProof/>
          <w:szCs w:val="24"/>
        </w:rPr>
        <w:t xml:space="preserve">, </w:t>
      </w:r>
      <w:r w:rsidRPr="004A6E7D">
        <w:rPr>
          <w:rFonts w:cs="Times New Roman"/>
          <w:i/>
          <w:iCs/>
          <w:noProof/>
          <w:szCs w:val="24"/>
        </w:rPr>
        <w:t>66</w:t>
      </w:r>
      <w:r w:rsidRPr="004A6E7D">
        <w:rPr>
          <w:rFonts w:cs="Times New Roman"/>
          <w:noProof/>
          <w:szCs w:val="24"/>
        </w:rPr>
        <w:t>(3), 1363–1382. https://doi.org/10.1007/s11069-012-0215-4</w:t>
      </w:r>
    </w:p>
    <w:p w14:paraId="2A127861"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Li, S., Wahl, T., Talke, S. A., Jay, D. A., Orton, P. M., Liang, X., et al. (2021). Evolving tides aggravate nuisance flooding along the U.S. coastline. </w:t>
      </w:r>
      <w:r w:rsidRPr="004A6E7D">
        <w:rPr>
          <w:rFonts w:cs="Times New Roman"/>
          <w:i/>
          <w:iCs/>
          <w:noProof/>
          <w:szCs w:val="24"/>
        </w:rPr>
        <w:t>Science Advances</w:t>
      </w:r>
      <w:r w:rsidRPr="004A6E7D">
        <w:rPr>
          <w:rFonts w:cs="Times New Roman"/>
          <w:noProof/>
          <w:szCs w:val="24"/>
        </w:rPr>
        <w:t xml:space="preserve">, </w:t>
      </w:r>
      <w:r w:rsidRPr="004A6E7D">
        <w:rPr>
          <w:rFonts w:cs="Times New Roman"/>
          <w:i/>
          <w:iCs/>
          <w:noProof/>
          <w:szCs w:val="24"/>
        </w:rPr>
        <w:t>7</w:t>
      </w:r>
      <w:r w:rsidRPr="004A6E7D">
        <w:rPr>
          <w:rFonts w:cs="Times New Roman"/>
          <w:noProof/>
          <w:szCs w:val="24"/>
        </w:rPr>
        <w:t>(10), 1–10. https://doi.org/10.1126/sciadv.abe2412</w:t>
      </w:r>
    </w:p>
    <w:p w14:paraId="21A0EC18"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lastRenderedPageBreak/>
        <w:t xml:space="preserve">Maloney, M. C., &amp; Preston, B. L. (2014). A geospatial dataset for U.S. hurricane storm surge and sea-level rise vulnerability: Development and case study applications. </w:t>
      </w:r>
      <w:r w:rsidRPr="004A6E7D">
        <w:rPr>
          <w:rFonts w:cs="Times New Roman"/>
          <w:i/>
          <w:iCs/>
          <w:noProof/>
          <w:szCs w:val="24"/>
        </w:rPr>
        <w:t>Climate Risk Management</w:t>
      </w:r>
      <w:r w:rsidRPr="004A6E7D">
        <w:rPr>
          <w:rFonts w:cs="Times New Roman"/>
          <w:noProof/>
          <w:szCs w:val="24"/>
        </w:rPr>
        <w:t xml:space="preserve">, </w:t>
      </w:r>
      <w:r w:rsidRPr="004A6E7D">
        <w:rPr>
          <w:rFonts w:cs="Times New Roman"/>
          <w:i/>
          <w:iCs/>
          <w:noProof/>
          <w:szCs w:val="24"/>
        </w:rPr>
        <w:t>2</w:t>
      </w:r>
      <w:r w:rsidRPr="004A6E7D">
        <w:rPr>
          <w:rFonts w:cs="Times New Roman"/>
          <w:noProof/>
          <w:szCs w:val="24"/>
        </w:rPr>
        <w:t>(July 2014), 26–41. https://doi.org/10.1016/j.crm.2014.02.004</w:t>
      </w:r>
    </w:p>
    <w:p w14:paraId="358E19CE"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Medvedev, I. P., Rabinovich, A. B., &amp; Kulikov, E. A. (2013). Tidal oscillations in the Baltic Sea. </w:t>
      </w:r>
      <w:r w:rsidRPr="004A6E7D">
        <w:rPr>
          <w:rFonts w:cs="Times New Roman"/>
          <w:i/>
          <w:iCs/>
          <w:noProof/>
          <w:szCs w:val="24"/>
        </w:rPr>
        <w:t>Oceanology</w:t>
      </w:r>
      <w:r w:rsidRPr="004A6E7D">
        <w:rPr>
          <w:rFonts w:cs="Times New Roman"/>
          <w:noProof/>
          <w:szCs w:val="24"/>
        </w:rPr>
        <w:t xml:space="preserve">, </w:t>
      </w:r>
      <w:r w:rsidRPr="004A6E7D">
        <w:rPr>
          <w:rFonts w:cs="Times New Roman"/>
          <w:i/>
          <w:iCs/>
          <w:noProof/>
          <w:szCs w:val="24"/>
        </w:rPr>
        <w:t>53</w:t>
      </w:r>
      <w:r w:rsidRPr="004A6E7D">
        <w:rPr>
          <w:rFonts w:cs="Times New Roman"/>
          <w:noProof/>
          <w:szCs w:val="24"/>
        </w:rPr>
        <w:t>(5), 526–538. https://doi.org/10.1134/S0001437013050123</w:t>
      </w:r>
    </w:p>
    <w:p w14:paraId="2780B972"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Medvedev, Igor P., Rabinovich, A. B., &amp; Kulikov, E. A. (2016). Tides in three enclosed basins: The baltic, black, and caspian seas. </w:t>
      </w:r>
      <w:r w:rsidRPr="004A6E7D">
        <w:rPr>
          <w:rFonts w:cs="Times New Roman"/>
          <w:i/>
          <w:iCs/>
          <w:noProof/>
          <w:szCs w:val="24"/>
        </w:rPr>
        <w:t>Frontiers in Marine Science</w:t>
      </w:r>
      <w:r w:rsidRPr="004A6E7D">
        <w:rPr>
          <w:rFonts w:cs="Times New Roman"/>
          <w:noProof/>
          <w:szCs w:val="24"/>
        </w:rPr>
        <w:t xml:space="preserve">, </w:t>
      </w:r>
      <w:r w:rsidRPr="004A6E7D">
        <w:rPr>
          <w:rFonts w:cs="Times New Roman"/>
          <w:i/>
          <w:iCs/>
          <w:noProof/>
          <w:szCs w:val="24"/>
        </w:rPr>
        <w:t>3</w:t>
      </w:r>
      <w:r w:rsidRPr="004A6E7D">
        <w:rPr>
          <w:rFonts w:cs="Times New Roman"/>
          <w:noProof/>
          <w:szCs w:val="24"/>
        </w:rPr>
        <w:t>(APR), 1–7. https://doi.org/10.3389/fmars.2016.00046</w:t>
      </w:r>
    </w:p>
    <w:p w14:paraId="10571A71"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Menéndez, M., &amp; Woodworth, P. L. (2010). Changes in extreme high water levels based on a quasi-global tide-gauge data set. </w:t>
      </w:r>
      <w:r w:rsidRPr="004A6E7D">
        <w:rPr>
          <w:rFonts w:cs="Times New Roman"/>
          <w:i/>
          <w:iCs/>
          <w:noProof/>
          <w:szCs w:val="24"/>
        </w:rPr>
        <w:t>Journal of Geophysical Research: Oceans</w:t>
      </w:r>
      <w:r w:rsidRPr="004A6E7D">
        <w:rPr>
          <w:rFonts w:cs="Times New Roman"/>
          <w:noProof/>
          <w:szCs w:val="24"/>
        </w:rPr>
        <w:t xml:space="preserve">, </w:t>
      </w:r>
      <w:r w:rsidRPr="004A6E7D">
        <w:rPr>
          <w:rFonts w:cs="Times New Roman"/>
          <w:i/>
          <w:iCs/>
          <w:noProof/>
          <w:szCs w:val="24"/>
        </w:rPr>
        <w:t>115</w:t>
      </w:r>
      <w:r w:rsidRPr="004A6E7D">
        <w:rPr>
          <w:rFonts w:cs="Times New Roman"/>
          <w:noProof/>
          <w:szCs w:val="24"/>
        </w:rPr>
        <w:t>(10), 1–15. https://doi.org/10.1029/2009JC005997</w:t>
      </w:r>
    </w:p>
    <w:p w14:paraId="789E1439"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NOAA. (n.d.). NOAA Tides &amp; Currents. Retrieved September 22, 2021, from https://tidesandcurrents.noaa.gov/</w:t>
      </w:r>
    </w:p>
    <w:p w14:paraId="637AD13B"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NOAA. (2021). Lidar Datasets at NOAA Digital Coast. Retrieved August 24, 2021, from https://coast.noaa.gov/htdata/lidar1_z/</w:t>
      </w:r>
    </w:p>
    <w:p w14:paraId="79B9AE74" w14:textId="77777777" w:rsidR="004A6E7D" w:rsidRPr="004A6E7D" w:rsidRDefault="004A6E7D" w:rsidP="004A6E7D">
      <w:pPr>
        <w:widowControl w:val="0"/>
        <w:autoSpaceDE w:val="0"/>
        <w:autoSpaceDN w:val="0"/>
        <w:adjustRightInd w:val="0"/>
        <w:ind w:left="480" w:hanging="480"/>
        <w:rPr>
          <w:rFonts w:cs="Times New Roman"/>
          <w:noProof/>
          <w:szCs w:val="24"/>
        </w:rPr>
      </w:pPr>
      <w:r w:rsidRPr="002E47EA">
        <w:rPr>
          <w:rFonts w:cs="Times New Roman"/>
          <w:noProof/>
          <w:szCs w:val="24"/>
          <w:lang w:val="es-ES"/>
        </w:rPr>
        <w:t xml:space="preserve">NTCA, N. T. C. A. (n.d.). </w:t>
      </w:r>
      <w:r w:rsidRPr="004A6E7D">
        <w:rPr>
          <w:rFonts w:cs="Times New Roman"/>
          <w:noProof/>
          <w:szCs w:val="24"/>
        </w:rPr>
        <w:t>National Operations Centre (NOC) Tidal Unit. Retrieved from http://www.bom.gov.au/oceanography/projects/ntc/ntc.shtml</w:t>
      </w:r>
    </w:p>
    <w:p w14:paraId="6366992A"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Parker, B. B. (2007). Chapter 6. Nonharmonic Analysis of Water Level and Current Data. In </w:t>
      </w:r>
      <w:r w:rsidRPr="004A6E7D">
        <w:rPr>
          <w:rFonts w:cs="Times New Roman"/>
          <w:i/>
          <w:iCs/>
          <w:noProof/>
          <w:szCs w:val="24"/>
        </w:rPr>
        <w:t>Tidal Analysis and Prediction</w:t>
      </w:r>
      <w:r w:rsidRPr="004A6E7D">
        <w:rPr>
          <w:rFonts w:cs="Times New Roman"/>
          <w:noProof/>
          <w:szCs w:val="24"/>
        </w:rPr>
        <w:t>. Silver Spring, Maryland: NOAA Special Publication NOS CO-OPS 3.</w:t>
      </w:r>
    </w:p>
    <w:p w14:paraId="720ED85D"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Peng, D., Hill, E. M., Meltzner, A. J., &amp; Switzer, A. D. (2019). Tide Gauge Records Show That the 18.61-Year Nodal Tidal Cycle Can Change High Water Levels by up to 30 cm. </w:t>
      </w:r>
      <w:r w:rsidRPr="004A6E7D">
        <w:rPr>
          <w:rFonts w:cs="Times New Roman"/>
          <w:i/>
          <w:iCs/>
          <w:noProof/>
          <w:szCs w:val="24"/>
        </w:rPr>
        <w:t>Journal of Geophysical Research: Oceans</w:t>
      </w:r>
      <w:r w:rsidRPr="004A6E7D">
        <w:rPr>
          <w:rFonts w:cs="Times New Roman"/>
          <w:noProof/>
          <w:szCs w:val="24"/>
        </w:rPr>
        <w:t xml:space="preserve">, </w:t>
      </w:r>
      <w:r w:rsidRPr="004A6E7D">
        <w:rPr>
          <w:rFonts w:cs="Times New Roman"/>
          <w:i/>
          <w:iCs/>
          <w:noProof/>
          <w:szCs w:val="24"/>
        </w:rPr>
        <w:t>124</w:t>
      </w:r>
      <w:r w:rsidRPr="004A6E7D">
        <w:rPr>
          <w:rFonts w:cs="Times New Roman"/>
          <w:noProof/>
          <w:szCs w:val="24"/>
        </w:rPr>
        <w:t>(1), 736–749. https://doi.org/10.1029/2018JC014695</w:t>
      </w:r>
    </w:p>
    <w:p w14:paraId="3E8F6E82"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Preston, B. L. (2013). Local path dependence of U.S. socioeconomic exposure to climate extremes and the vulnerability commitment. </w:t>
      </w:r>
      <w:r w:rsidRPr="004A6E7D">
        <w:rPr>
          <w:rFonts w:cs="Times New Roman"/>
          <w:i/>
          <w:iCs/>
          <w:noProof/>
          <w:szCs w:val="24"/>
        </w:rPr>
        <w:t>Global Environmental Change</w:t>
      </w:r>
      <w:r w:rsidRPr="004A6E7D">
        <w:rPr>
          <w:rFonts w:cs="Times New Roman"/>
          <w:noProof/>
          <w:szCs w:val="24"/>
        </w:rPr>
        <w:t xml:space="preserve">, </w:t>
      </w:r>
      <w:r w:rsidRPr="004A6E7D">
        <w:rPr>
          <w:rFonts w:cs="Times New Roman"/>
          <w:i/>
          <w:iCs/>
          <w:noProof/>
          <w:szCs w:val="24"/>
        </w:rPr>
        <w:t>23</w:t>
      </w:r>
      <w:r w:rsidRPr="004A6E7D">
        <w:rPr>
          <w:rFonts w:cs="Times New Roman"/>
          <w:noProof/>
          <w:szCs w:val="24"/>
        </w:rPr>
        <w:t>(4), 719–732. https://doi.org/10.1016/j.gloenvcha.2013.02.009</w:t>
      </w:r>
    </w:p>
    <w:p w14:paraId="1F8F3B7C"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Pugh, D., &amp; Woodworth, P. (2014a). Storm surges, meteotsunamis and other meteorological effects on sea level (Chapter 7). In </w:t>
      </w:r>
      <w:r w:rsidRPr="004A6E7D">
        <w:rPr>
          <w:rFonts w:cs="Times New Roman"/>
          <w:i/>
          <w:iCs/>
          <w:noProof/>
          <w:szCs w:val="24"/>
        </w:rPr>
        <w:t>Sea-level science: understanding tides, surges, tsunamis and mean sea-level changes</w:t>
      </w:r>
      <w:r w:rsidRPr="004A6E7D">
        <w:rPr>
          <w:rFonts w:cs="Times New Roman"/>
          <w:noProof/>
          <w:szCs w:val="24"/>
        </w:rPr>
        <w:t>. Cambridge University Press.</w:t>
      </w:r>
    </w:p>
    <w:p w14:paraId="54E9B7BF"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Pugh, D., &amp; Woodworth, P. (2014b). Tidal forces (Chapter 3). In </w:t>
      </w:r>
      <w:r w:rsidRPr="004A6E7D">
        <w:rPr>
          <w:rFonts w:cs="Times New Roman"/>
          <w:i/>
          <w:iCs/>
          <w:noProof/>
          <w:szCs w:val="24"/>
        </w:rPr>
        <w:t>Sea-level science: understanding tides, surges, tsunamis and mean sea-level changes</w:t>
      </w:r>
      <w:r w:rsidRPr="004A6E7D">
        <w:rPr>
          <w:rFonts w:cs="Times New Roman"/>
          <w:noProof/>
          <w:szCs w:val="24"/>
        </w:rPr>
        <w:t xml:space="preserve">. Cambridge </w:t>
      </w:r>
      <w:r w:rsidRPr="004A6E7D">
        <w:rPr>
          <w:rFonts w:cs="Times New Roman"/>
          <w:noProof/>
          <w:szCs w:val="24"/>
        </w:rPr>
        <w:lastRenderedPageBreak/>
        <w:t>University Press.</w:t>
      </w:r>
    </w:p>
    <w:p w14:paraId="253B00F7"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Pugh, D. T. (1987). Tides, surges and mean sea level.</w:t>
      </w:r>
    </w:p>
    <w:p w14:paraId="63A0D0C1"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Rao, A. D., Upadhaya, P., Ali, H., Pandey, S., &amp; Warrier, V. (2020). Coastal inundation due to tropical cyclones along the east coast of India: an influence of climate change impact. </w:t>
      </w:r>
      <w:r w:rsidRPr="004A6E7D">
        <w:rPr>
          <w:rFonts w:cs="Times New Roman"/>
          <w:i/>
          <w:iCs/>
          <w:noProof/>
          <w:szCs w:val="24"/>
        </w:rPr>
        <w:t>Natural Hazards</w:t>
      </w:r>
      <w:r w:rsidRPr="004A6E7D">
        <w:rPr>
          <w:rFonts w:cs="Times New Roman"/>
          <w:noProof/>
          <w:szCs w:val="24"/>
        </w:rPr>
        <w:t xml:space="preserve">, </w:t>
      </w:r>
      <w:r w:rsidRPr="004A6E7D">
        <w:rPr>
          <w:rFonts w:cs="Times New Roman"/>
          <w:i/>
          <w:iCs/>
          <w:noProof/>
          <w:szCs w:val="24"/>
        </w:rPr>
        <w:t>101</w:t>
      </w:r>
      <w:r w:rsidRPr="004A6E7D">
        <w:rPr>
          <w:rFonts w:cs="Times New Roman"/>
          <w:noProof/>
          <w:szCs w:val="24"/>
        </w:rPr>
        <w:t>(1), 39–57. https://doi.org/10.1007/s11069-020-03861-9</w:t>
      </w:r>
    </w:p>
    <w:p w14:paraId="2B7571D4"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Ray, R., &amp; Foster, G. (2016). Future nuisance flooding at Boston caused by astronomical tides alone. </w:t>
      </w:r>
      <w:r w:rsidRPr="004A6E7D">
        <w:rPr>
          <w:rFonts w:cs="Times New Roman"/>
          <w:i/>
          <w:iCs/>
          <w:noProof/>
          <w:szCs w:val="24"/>
        </w:rPr>
        <w:t>Earth’s Future</w:t>
      </w:r>
      <w:r w:rsidRPr="004A6E7D">
        <w:rPr>
          <w:rFonts w:cs="Times New Roman"/>
          <w:noProof/>
          <w:szCs w:val="24"/>
        </w:rPr>
        <w:t xml:space="preserve">, </w:t>
      </w:r>
      <w:r w:rsidRPr="004A6E7D">
        <w:rPr>
          <w:rFonts w:cs="Times New Roman"/>
          <w:i/>
          <w:iCs/>
          <w:noProof/>
          <w:szCs w:val="24"/>
        </w:rPr>
        <w:t>4</w:t>
      </w:r>
      <w:r w:rsidRPr="004A6E7D">
        <w:rPr>
          <w:rFonts w:cs="Times New Roman"/>
          <w:noProof/>
          <w:szCs w:val="24"/>
        </w:rPr>
        <w:t>(12), 578–587. https://doi.org/10.1002/2016EF000423</w:t>
      </w:r>
    </w:p>
    <w:p w14:paraId="539C9334"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Ray, R. D., &amp; Merrifield, M. A. (2019). The Semiannual and 4.4-Year Modulations of Extreme High Tides. </w:t>
      </w:r>
      <w:r w:rsidRPr="004A6E7D">
        <w:rPr>
          <w:rFonts w:cs="Times New Roman"/>
          <w:i/>
          <w:iCs/>
          <w:noProof/>
          <w:szCs w:val="24"/>
        </w:rPr>
        <w:t>Journal of Geophysical Research: Oceans</w:t>
      </w:r>
      <w:r w:rsidRPr="004A6E7D">
        <w:rPr>
          <w:rFonts w:cs="Times New Roman"/>
          <w:noProof/>
          <w:szCs w:val="24"/>
        </w:rPr>
        <w:t xml:space="preserve">, </w:t>
      </w:r>
      <w:r w:rsidRPr="004A6E7D">
        <w:rPr>
          <w:rFonts w:cs="Times New Roman"/>
          <w:i/>
          <w:iCs/>
          <w:noProof/>
          <w:szCs w:val="24"/>
        </w:rPr>
        <w:t>124</w:t>
      </w:r>
      <w:r w:rsidRPr="004A6E7D">
        <w:rPr>
          <w:rFonts w:cs="Times New Roman"/>
          <w:noProof/>
          <w:szCs w:val="24"/>
        </w:rPr>
        <w:t>(8), 5907–5922. https://doi.org/10.1029/2019JC015061</w:t>
      </w:r>
    </w:p>
    <w:p w14:paraId="38C80CC8"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Ray, R. D., &amp; Talke, S. A. (2019). Nineteenth-Century Tides in the Gulf of Maine and Implications for Secular Trends. </w:t>
      </w:r>
      <w:r w:rsidRPr="004A6E7D">
        <w:rPr>
          <w:rFonts w:cs="Times New Roman"/>
          <w:i/>
          <w:iCs/>
          <w:noProof/>
          <w:szCs w:val="24"/>
        </w:rPr>
        <w:t>Journal of Geophysical Research: Oceans</w:t>
      </w:r>
      <w:r w:rsidRPr="004A6E7D">
        <w:rPr>
          <w:rFonts w:cs="Times New Roman"/>
          <w:noProof/>
          <w:szCs w:val="24"/>
        </w:rPr>
        <w:t xml:space="preserve">, </w:t>
      </w:r>
      <w:r w:rsidRPr="004A6E7D">
        <w:rPr>
          <w:rFonts w:cs="Times New Roman"/>
          <w:i/>
          <w:iCs/>
          <w:noProof/>
          <w:szCs w:val="24"/>
        </w:rPr>
        <w:t>124</w:t>
      </w:r>
      <w:r w:rsidRPr="004A6E7D">
        <w:rPr>
          <w:rFonts w:cs="Times New Roman"/>
          <w:noProof/>
          <w:szCs w:val="24"/>
        </w:rPr>
        <w:t>(10), 7046–7067. https://doi.org/10.1029/2019JC015277</w:t>
      </w:r>
    </w:p>
    <w:p w14:paraId="6D9F14CB"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Ray, Richard D. (2007). Decadal climate variability: Is there a tidal connection? </w:t>
      </w:r>
      <w:r w:rsidRPr="004A6E7D">
        <w:rPr>
          <w:rFonts w:cs="Times New Roman"/>
          <w:i/>
          <w:iCs/>
          <w:noProof/>
          <w:szCs w:val="24"/>
        </w:rPr>
        <w:t>Journal of Climate</w:t>
      </w:r>
      <w:r w:rsidRPr="004A6E7D">
        <w:rPr>
          <w:rFonts w:cs="Times New Roman"/>
          <w:noProof/>
          <w:szCs w:val="24"/>
        </w:rPr>
        <w:t xml:space="preserve">, </w:t>
      </w:r>
      <w:r w:rsidRPr="004A6E7D">
        <w:rPr>
          <w:rFonts w:cs="Times New Roman"/>
          <w:i/>
          <w:iCs/>
          <w:noProof/>
          <w:szCs w:val="24"/>
        </w:rPr>
        <w:t>20</w:t>
      </w:r>
      <w:r w:rsidRPr="004A6E7D">
        <w:rPr>
          <w:rFonts w:cs="Times New Roman"/>
          <w:noProof/>
          <w:szCs w:val="24"/>
        </w:rPr>
        <w:t>(14), 3542–3560. https://doi.org/10.1175/JCLI4193.1</w:t>
      </w:r>
    </w:p>
    <w:p w14:paraId="0AED9C2C"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Santamaria-Aguilar, S., &amp; Vafeidis, A. T. (2018). Are Extreme Skew Surges Independent of High Water Levels in a Mixed Semidiurnal Tidal Regime? </w:t>
      </w:r>
      <w:r w:rsidRPr="004A6E7D">
        <w:rPr>
          <w:rFonts w:cs="Times New Roman"/>
          <w:i/>
          <w:iCs/>
          <w:noProof/>
          <w:szCs w:val="24"/>
        </w:rPr>
        <w:t>Journal of Geophysical Research: Oceans</w:t>
      </w:r>
      <w:r w:rsidRPr="004A6E7D">
        <w:rPr>
          <w:rFonts w:cs="Times New Roman"/>
          <w:noProof/>
          <w:szCs w:val="24"/>
        </w:rPr>
        <w:t xml:space="preserve">, </w:t>
      </w:r>
      <w:r w:rsidRPr="004A6E7D">
        <w:rPr>
          <w:rFonts w:cs="Times New Roman"/>
          <w:i/>
          <w:iCs/>
          <w:noProof/>
          <w:szCs w:val="24"/>
        </w:rPr>
        <w:t>123</w:t>
      </w:r>
      <w:r w:rsidRPr="004A6E7D">
        <w:rPr>
          <w:rFonts w:cs="Times New Roman"/>
          <w:noProof/>
          <w:szCs w:val="24"/>
        </w:rPr>
        <w:t>(12), 8877–8886. https://doi.org/10.1029/2018JC014282</w:t>
      </w:r>
    </w:p>
    <w:p w14:paraId="588CF12A"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Sobey, R. J. (2005). Extreme low and high water levels. </w:t>
      </w:r>
      <w:r w:rsidRPr="004A6E7D">
        <w:rPr>
          <w:rFonts w:cs="Times New Roman"/>
          <w:i/>
          <w:iCs/>
          <w:noProof/>
          <w:szCs w:val="24"/>
        </w:rPr>
        <w:t>Coastal Engineering</w:t>
      </w:r>
      <w:r w:rsidRPr="004A6E7D">
        <w:rPr>
          <w:rFonts w:cs="Times New Roman"/>
          <w:noProof/>
          <w:szCs w:val="24"/>
        </w:rPr>
        <w:t xml:space="preserve">, </w:t>
      </w:r>
      <w:r w:rsidRPr="004A6E7D">
        <w:rPr>
          <w:rFonts w:cs="Times New Roman"/>
          <w:i/>
          <w:iCs/>
          <w:noProof/>
          <w:szCs w:val="24"/>
        </w:rPr>
        <w:t>52</w:t>
      </w:r>
      <w:r w:rsidRPr="004A6E7D">
        <w:rPr>
          <w:rFonts w:cs="Times New Roman"/>
          <w:noProof/>
          <w:szCs w:val="24"/>
        </w:rPr>
        <w:t>(1), 63–77. https://doi.org/10.1016/j.coastaleng.2004.09.003</w:t>
      </w:r>
    </w:p>
    <w:p w14:paraId="320CC667"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Talke, S. A., Kemp, A. C., &amp; Woodruff, J. (2018). Relative Sea Level, Tides, and Extreme Water Levels in Boston Harbor From 1825 to 2018. </w:t>
      </w:r>
      <w:r w:rsidRPr="004A6E7D">
        <w:rPr>
          <w:rFonts w:cs="Times New Roman"/>
          <w:i/>
          <w:iCs/>
          <w:noProof/>
          <w:szCs w:val="24"/>
        </w:rPr>
        <w:t>Journal of Geophysical Research: Oceans</w:t>
      </w:r>
      <w:r w:rsidRPr="004A6E7D">
        <w:rPr>
          <w:rFonts w:cs="Times New Roman"/>
          <w:noProof/>
          <w:szCs w:val="24"/>
        </w:rPr>
        <w:t xml:space="preserve">, </w:t>
      </w:r>
      <w:r w:rsidRPr="004A6E7D">
        <w:rPr>
          <w:rFonts w:cs="Times New Roman"/>
          <w:i/>
          <w:iCs/>
          <w:noProof/>
          <w:szCs w:val="24"/>
        </w:rPr>
        <w:t>123</w:t>
      </w:r>
      <w:r w:rsidRPr="004A6E7D">
        <w:rPr>
          <w:rFonts w:cs="Times New Roman"/>
          <w:noProof/>
          <w:szCs w:val="24"/>
        </w:rPr>
        <w:t>(6), 3895–3914. https://doi.org/10.1029/2017JC013645</w:t>
      </w:r>
    </w:p>
    <w:p w14:paraId="2F2437B5"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Thompson, P. R., Widlansky, M. J., Hamlington, B. D., Merrifield, M. A., Marra, J. J., Mitchum, G. T., &amp; Sweet, W. (2021). Rapid increases and extreme months in projections of United States high-tide flooding. </w:t>
      </w:r>
      <w:r w:rsidRPr="004A6E7D">
        <w:rPr>
          <w:rFonts w:cs="Times New Roman"/>
          <w:i/>
          <w:iCs/>
          <w:noProof/>
          <w:szCs w:val="24"/>
        </w:rPr>
        <w:t>Nature Climate Change</w:t>
      </w:r>
      <w:r w:rsidRPr="004A6E7D">
        <w:rPr>
          <w:rFonts w:cs="Times New Roman"/>
          <w:noProof/>
          <w:szCs w:val="24"/>
        </w:rPr>
        <w:t xml:space="preserve">, </w:t>
      </w:r>
      <w:r w:rsidRPr="004A6E7D">
        <w:rPr>
          <w:rFonts w:cs="Times New Roman"/>
          <w:i/>
          <w:iCs/>
          <w:noProof/>
          <w:szCs w:val="24"/>
        </w:rPr>
        <w:t>11</w:t>
      </w:r>
      <w:r w:rsidRPr="004A6E7D">
        <w:rPr>
          <w:rFonts w:cs="Times New Roman"/>
          <w:noProof/>
          <w:szCs w:val="24"/>
        </w:rPr>
        <w:t>(7), 584–590. https://doi.org/10.1038/s41558-021-01077-8</w:t>
      </w:r>
    </w:p>
    <w:p w14:paraId="1B79EFE0"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Titus, J. G., Hudgens, D. E., Trescott, D. L., Craghan, M., Nuckols, W. H., Hershner, C. H., et al. (2009). State and local governments plan for development of most land vulnerable to rising sea level along the US Atlantic coast. </w:t>
      </w:r>
      <w:r w:rsidRPr="004A6E7D">
        <w:rPr>
          <w:rFonts w:cs="Times New Roman"/>
          <w:i/>
          <w:iCs/>
          <w:noProof/>
          <w:szCs w:val="24"/>
        </w:rPr>
        <w:t>Environmental Research Letters</w:t>
      </w:r>
      <w:r w:rsidRPr="004A6E7D">
        <w:rPr>
          <w:rFonts w:cs="Times New Roman"/>
          <w:noProof/>
          <w:szCs w:val="24"/>
        </w:rPr>
        <w:t xml:space="preserve">, </w:t>
      </w:r>
      <w:r w:rsidRPr="004A6E7D">
        <w:rPr>
          <w:rFonts w:cs="Times New Roman"/>
          <w:i/>
          <w:iCs/>
          <w:noProof/>
          <w:szCs w:val="24"/>
        </w:rPr>
        <w:t>4</w:t>
      </w:r>
      <w:r w:rsidRPr="004A6E7D">
        <w:rPr>
          <w:rFonts w:cs="Times New Roman"/>
          <w:noProof/>
          <w:szCs w:val="24"/>
        </w:rPr>
        <w:t>(4). https://doi.org/10.1088/1748-9326/4/4/044008</w:t>
      </w:r>
    </w:p>
    <w:p w14:paraId="2FF4250A"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Ward, P. J., Marfai, M. A., Yulianto, F., Hizbaron, D. R., &amp; Aerts, J. C. J. H. (2011). </w:t>
      </w:r>
      <w:r w:rsidRPr="004A6E7D">
        <w:rPr>
          <w:rFonts w:cs="Times New Roman"/>
          <w:noProof/>
          <w:szCs w:val="24"/>
        </w:rPr>
        <w:lastRenderedPageBreak/>
        <w:t xml:space="preserve">Coastal inundation and damage exposure estimation: A case study for Jakarta. </w:t>
      </w:r>
      <w:r w:rsidRPr="004A6E7D">
        <w:rPr>
          <w:rFonts w:cs="Times New Roman"/>
          <w:i/>
          <w:iCs/>
          <w:noProof/>
          <w:szCs w:val="24"/>
        </w:rPr>
        <w:t>Natural Hazards</w:t>
      </w:r>
      <w:r w:rsidRPr="004A6E7D">
        <w:rPr>
          <w:rFonts w:cs="Times New Roman"/>
          <w:noProof/>
          <w:szCs w:val="24"/>
        </w:rPr>
        <w:t xml:space="preserve">, </w:t>
      </w:r>
      <w:r w:rsidRPr="004A6E7D">
        <w:rPr>
          <w:rFonts w:cs="Times New Roman"/>
          <w:i/>
          <w:iCs/>
          <w:noProof/>
          <w:szCs w:val="24"/>
        </w:rPr>
        <w:t>56</w:t>
      </w:r>
      <w:r w:rsidRPr="004A6E7D">
        <w:rPr>
          <w:rFonts w:cs="Times New Roman"/>
          <w:noProof/>
          <w:szCs w:val="24"/>
        </w:rPr>
        <w:t>(3), 899–916. https://doi.org/10.1007/s11069-010-9599-1</w:t>
      </w:r>
    </w:p>
    <w:p w14:paraId="443DC11B"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Williams, J., Horsburgh, K. J., Williams, J. A., &amp; Proctor, R. N. F. (2016). Tide and skew surge independence: New insights for flood risk. </w:t>
      </w:r>
      <w:r w:rsidRPr="004A6E7D">
        <w:rPr>
          <w:rFonts w:cs="Times New Roman"/>
          <w:i/>
          <w:iCs/>
          <w:noProof/>
          <w:szCs w:val="24"/>
        </w:rPr>
        <w:t>Geophysical Research Letters</w:t>
      </w:r>
      <w:r w:rsidRPr="004A6E7D">
        <w:rPr>
          <w:rFonts w:cs="Times New Roman"/>
          <w:noProof/>
          <w:szCs w:val="24"/>
        </w:rPr>
        <w:t xml:space="preserve">, </w:t>
      </w:r>
      <w:r w:rsidRPr="004A6E7D">
        <w:rPr>
          <w:rFonts w:cs="Times New Roman"/>
          <w:i/>
          <w:iCs/>
          <w:noProof/>
          <w:szCs w:val="24"/>
        </w:rPr>
        <w:t>43</w:t>
      </w:r>
      <w:r w:rsidRPr="004A6E7D">
        <w:rPr>
          <w:rFonts w:cs="Times New Roman"/>
          <w:noProof/>
          <w:szCs w:val="24"/>
        </w:rPr>
        <w:t>(12), 6410–6417. https://doi.org/10.1002/2016GL069522</w:t>
      </w:r>
    </w:p>
    <w:p w14:paraId="102605CC" w14:textId="77777777" w:rsidR="004A6E7D" w:rsidRPr="004A6E7D" w:rsidRDefault="004A6E7D" w:rsidP="004A6E7D">
      <w:pPr>
        <w:widowControl w:val="0"/>
        <w:autoSpaceDE w:val="0"/>
        <w:autoSpaceDN w:val="0"/>
        <w:adjustRightInd w:val="0"/>
        <w:ind w:left="480" w:hanging="480"/>
        <w:rPr>
          <w:rFonts w:cs="Times New Roman"/>
          <w:noProof/>
          <w:szCs w:val="24"/>
        </w:rPr>
      </w:pPr>
      <w:r w:rsidRPr="004A6E7D">
        <w:rPr>
          <w:rFonts w:cs="Times New Roman"/>
          <w:noProof/>
          <w:szCs w:val="24"/>
        </w:rPr>
        <w:t xml:space="preserve">Woodworth, P. L., Hunter, J. R., Marcos, M., Caldwell, P., Menéndez, M., &amp; Haigh, I. (2016). Towards a global higher‐frequency sea level dataset. </w:t>
      </w:r>
      <w:r w:rsidRPr="004A6E7D">
        <w:rPr>
          <w:rFonts w:cs="Times New Roman"/>
          <w:i/>
          <w:iCs/>
          <w:noProof/>
          <w:szCs w:val="24"/>
        </w:rPr>
        <w:t>Geoscience Data Journal</w:t>
      </w:r>
      <w:r w:rsidRPr="004A6E7D">
        <w:rPr>
          <w:rFonts w:cs="Times New Roman"/>
          <w:noProof/>
          <w:szCs w:val="24"/>
        </w:rPr>
        <w:t xml:space="preserve">, </w:t>
      </w:r>
      <w:r w:rsidRPr="004A6E7D">
        <w:rPr>
          <w:rFonts w:cs="Times New Roman"/>
          <w:i/>
          <w:iCs/>
          <w:noProof/>
          <w:szCs w:val="24"/>
        </w:rPr>
        <w:t>3</w:t>
      </w:r>
      <w:r w:rsidRPr="004A6E7D">
        <w:rPr>
          <w:rFonts w:cs="Times New Roman"/>
          <w:noProof/>
          <w:szCs w:val="24"/>
        </w:rPr>
        <w:t>(2), 50–59.</w:t>
      </w:r>
    </w:p>
    <w:p w14:paraId="1DED4D23" w14:textId="33B4EBB7" w:rsidR="00820D4F" w:rsidRPr="004A6E7D" w:rsidRDefault="00DE5D33" w:rsidP="00820D4F">
      <w:pPr>
        <w:widowControl w:val="0"/>
        <w:autoSpaceDE w:val="0"/>
        <w:autoSpaceDN w:val="0"/>
        <w:adjustRightInd w:val="0"/>
        <w:ind w:left="480" w:hanging="480"/>
        <w:rPr>
          <w:rFonts w:cs="Times New Roman"/>
          <w:noProof/>
        </w:rPr>
      </w:pPr>
      <w:r>
        <w:fldChar w:fldCharType="end"/>
      </w:r>
      <w:r w:rsidR="00820D4F" w:rsidRPr="00820D4F">
        <w:rPr>
          <w:rFonts w:cs="Times New Roman"/>
          <w:noProof/>
          <w:szCs w:val="24"/>
        </w:rPr>
        <w:t xml:space="preserve"> </w:t>
      </w:r>
      <w:r w:rsidR="00820D4F" w:rsidRPr="004A6E7D">
        <w:rPr>
          <w:rFonts w:cs="Times New Roman"/>
          <w:noProof/>
          <w:szCs w:val="24"/>
        </w:rPr>
        <w:t xml:space="preserve">Zetler, B. D., &amp; Flick, R. E. (1985). Predicted extreme high tides for mixed-tide regimes. </w:t>
      </w:r>
      <w:r w:rsidR="00820D4F" w:rsidRPr="004A6E7D">
        <w:rPr>
          <w:rFonts w:cs="Times New Roman"/>
          <w:i/>
          <w:iCs/>
          <w:noProof/>
          <w:szCs w:val="24"/>
        </w:rPr>
        <w:t>Journal of Physical Oceanography</w:t>
      </w:r>
      <w:r w:rsidR="00820D4F" w:rsidRPr="004A6E7D">
        <w:rPr>
          <w:rFonts w:cs="Times New Roman"/>
          <w:noProof/>
          <w:szCs w:val="24"/>
        </w:rPr>
        <w:t xml:space="preserve">, </w:t>
      </w:r>
      <w:r w:rsidR="00820D4F" w:rsidRPr="004A6E7D">
        <w:rPr>
          <w:rFonts w:cs="Times New Roman"/>
          <w:i/>
          <w:iCs/>
          <w:noProof/>
          <w:szCs w:val="24"/>
        </w:rPr>
        <w:t>15</w:t>
      </w:r>
      <w:r w:rsidR="00820D4F" w:rsidRPr="004A6E7D">
        <w:rPr>
          <w:rFonts w:cs="Times New Roman"/>
          <w:noProof/>
          <w:szCs w:val="24"/>
        </w:rPr>
        <w:t>(3), 357–359.</w:t>
      </w:r>
    </w:p>
    <w:p w14:paraId="086F0D3D" w14:textId="17282F53" w:rsidR="00EC1120" w:rsidRDefault="00EC1120" w:rsidP="00DE5D33"/>
    <w:sectPr w:rsidR="00EC1120" w:rsidSect="000A21F4">
      <w:headerReference w:type="default" r:id="rId19"/>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993D8" w14:textId="77777777" w:rsidR="00DA15A3" w:rsidRDefault="00DA15A3" w:rsidP="00DE5D33">
      <w:pPr>
        <w:spacing w:line="240" w:lineRule="auto"/>
      </w:pPr>
      <w:r>
        <w:separator/>
      </w:r>
    </w:p>
  </w:endnote>
  <w:endnote w:type="continuationSeparator" w:id="0">
    <w:p w14:paraId="1CC61140" w14:textId="77777777" w:rsidR="00DA15A3" w:rsidRDefault="00DA15A3" w:rsidP="00DE5D33">
      <w:pPr>
        <w:spacing w:line="240" w:lineRule="auto"/>
      </w:pPr>
      <w:r>
        <w:continuationSeparator/>
      </w:r>
    </w:p>
  </w:endnote>
  <w:endnote w:type="continuationNotice" w:id="1">
    <w:p w14:paraId="43F7591A" w14:textId="77777777" w:rsidR="00DA15A3" w:rsidRDefault="00DA15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197636"/>
      <w:docPartObj>
        <w:docPartGallery w:val="Page Numbers (Bottom of Page)"/>
        <w:docPartUnique/>
      </w:docPartObj>
    </w:sdtPr>
    <w:sdtEndPr>
      <w:rPr>
        <w:noProof/>
      </w:rPr>
    </w:sdtEndPr>
    <w:sdtContent>
      <w:p w14:paraId="1D159C6F" w14:textId="2FB19CC7" w:rsidR="004A6E7D" w:rsidRDefault="004A6E7D">
        <w:pPr>
          <w:pStyle w:val="Footer"/>
          <w:jc w:val="center"/>
        </w:pPr>
        <w:r>
          <w:fldChar w:fldCharType="begin"/>
        </w:r>
        <w:r>
          <w:instrText xml:space="preserve"> PAGE   \* MERGEFORMAT </w:instrText>
        </w:r>
        <w:r>
          <w:fldChar w:fldCharType="separate"/>
        </w:r>
        <w:r w:rsidR="002E47EA">
          <w:rPr>
            <w:noProof/>
          </w:rPr>
          <w:t>1</w:t>
        </w:r>
        <w:r>
          <w:rPr>
            <w:noProof/>
          </w:rPr>
          <w:fldChar w:fldCharType="end"/>
        </w:r>
      </w:p>
    </w:sdtContent>
  </w:sdt>
  <w:p w14:paraId="167CC9D7" w14:textId="77777777" w:rsidR="004A6E7D" w:rsidRDefault="004A6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4A294" w14:textId="77777777" w:rsidR="00DA15A3" w:rsidRDefault="00DA15A3" w:rsidP="00DE5D33">
      <w:pPr>
        <w:spacing w:line="240" w:lineRule="auto"/>
      </w:pPr>
      <w:r>
        <w:separator/>
      </w:r>
    </w:p>
  </w:footnote>
  <w:footnote w:type="continuationSeparator" w:id="0">
    <w:p w14:paraId="4382657D" w14:textId="77777777" w:rsidR="00DA15A3" w:rsidRDefault="00DA15A3" w:rsidP="00DE5D33">
      <w:pPr>
        <w:spacing w:line="240" w:lineRule="auto"/>
      </w:pPr>
      <w:r>
        <w:continuationSeparator/>
      </w:r>
    </w:p>
  </w:footnote>
  <w:footnote w:type="continuationNotice" w:id="1">
    <w:p w14:paraId="4721311A" w14:textId="77777777" w:rsidR="00DA15A3" w:rsidRDefault="00DA15A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4E0D" w14:textId="5B6C34A6" w:rsidR="004A6E7D" w:rsidRPr="004B2646" w:rsidRDefault="004A6E7D" w:rsidP="004B2646">
    <w:pPr>
      <w:pStyle w:val="Header"/>
      <w:jc w:val="center"/>
      <w:rPr>
        <w:i/>
        <w:iCs/>
      </w:rPr>
    </w:pPr>
    <w:r w:rsidRPr="004B2646">
      <w:rPr>
        <w:i/>
        <w:iCs/>
      </w:rPr>
      <w:t>Journal of Geophysical Research - Oceans</w:t>
    </w:r>
  </w:p>
  <w:p w14:paraId="2BA6D826" w14:textId="55641251" w:rsidR="004A6E7D" w:rsidRDefault="004A6E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598"/>
    <w:multiLevelType w:val="multilevel"/>
    <w:tmpl w:val="314813B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2702899"/>
    <w:multiLevelType w:val="hybridMultilevel"/>
    <w:tmpl w:val="7E46A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E3981"/>
    <w:multiLevelType w:val="hybridMultilevel"/>
    <w:tmpl w:val="DA12A84E"/>
    <w:lvl w:ilvl="0" w:tplc="F4C4BF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DF6148"/>
    <w:multiLevelType w:val="hybridMultilevel"/>
    <w:tmpl w:val="AA40E9D4"/>
    <w:lvl w:ilvl="0" w:tplc="D138D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0222B4"/>
    <w:multiLevelType w:val="hybridMultilevel"/>
    <w:tmpl w:val="4BAC8BA4"/>
    <w:lvl w:ilvl="0" w:tplc="8F843B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732BD"/>
    <w:multiLevelType w:val="multilevel"/>
    <w:tmpl w:val="74485C0A"/>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445619"/>
    <w:multiLevelType w:val="multilevel"/>
    <w:tmpl w:val="9F503A0E"/>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7113D1"/>
    <w:multiLevelType w:val="multilevel"/>
    <w:tmpl w:val="E2C2CFB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8AE2C51"/>
    <w:multiLevelType w:val="hybridMultilevel"/>
    <w:tmpl w:val="F248609C"/>
    <w:lvl w:ilvl="0" w:tplc="977621C2">
      <w:start w:val="1"/>
      <w:numFmt w:val="decimal"/>
      <w:lvlText w:val="%1."/>
      <w:lvlJc w:val="left"/>
      <w:pPr>
        <w:ind w:left="1210" w:hanging="36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9CA2EC2"/>
    <w:multiLevelType w:val="hybridMultilevel"/>
    <w:tmpl w:val="4E50CAB8"/>
    <w:lvl w:ilvl="0" w:tplc="122432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9CA7FA4"/>
    <w:multiLevelType w:val="multilevel"/>
    <w:tmpl w:val="384C2FA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4C937488"/>
    <w:multiLevelType w:val="hybridMultilevel"/>
    <w:tmpl w:val="69EE3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306835"/>
    <w:multiLevelType w:val="hybridMultilevel"/>
    <w:tmpl w:val="BCD4ABE6"/>
    <w:lvl w:ilvl="0" w:tplc="0AE2EF9C">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ACF0050"/>
    <w:multiLevelType w:val="multilevel"/>
    <w:tmpl w:val="36BE7F54"/>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DC776EA"/>
    <w:multiLevelType w:val="hybridMultilevel"/>
    <w:tmpl w:val="D53A9402"/>
    <w:lvl w:ilvl="0" w:tplc="A400FFB8">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FB02EC1"/>
    <w:multiLevelType w:val="multilevel"/>
    <w:tmpl w:val="9BC8B9F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04F7211"/>
    <w:multiLevelType w:val="hybridMultilevel"/>
    <w:tmpl w:val="55868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665A32"/>
    <w:multiLevelType w:val="hybridMultilevel"/>
    <w:tmpl w:val="F3906F18"/>
    <w:lvl w:ilvl="0" w:tplc="7B364E94">
      <w:start w:val="1"/>
      <w:numFmt w:val="decimal"/>
      <w:lvlText w:val="%1."/>
      <w:lvlJc w:val="left"/>
      <w:pPr>
        <w:ind w:left="720" w:hanging="360"/>
      </w:pPr>
    </w:lvl>
    <w:lvl w:ilvl="1" w:tplc="01708D90">
      <w:start w:val="1"/>
      <w:numFmt w:val="lowerLetter"/>
      <w:lvlText w:val="%2."/>
      <w:lvlJc w:val="left"/>
      <w:pPr>
        <w:ind w:left="1440" w:hanging="360"/>
      </w:pPr>
    </w:lvl>
    <w:lvl w:ilvl="2" w:tplc="6ED0B7FE">
      <w:start w:val="1"/>
      <w:numFmt w:val="lowerRoman"/>
      <w:lvlText w:val="%3."/>
      <w:lvlJc w:val="right"/>
      <w:pPr>
        <w:ind w:left="2160" w:hanging="180"/>
      </w:pPr>
    </w:lvl>
    <w:lvl w:ilvl="3" w:tplc="F99A4B1A">
      <w:start w:val="1"/>
      <w:numFmt w:val="decimal"/>
      <w:lvlText w:val="%4."/>
      <w:lvlJc w:val="left"/>
      <w:pPr>
        <w:ind w:left="2880" w:hanging="360"/>
      </w:pPr>
    </w:lvl>
    <w:lvl w:ilvl="4" w:tplc="AED84162">
      <w:start w:val="1"/>
      <w:numFmt w:val="lowerLetter"/>
      <w:lvlText w:val="%5."/>
      <w:lvlJc w:val="left"/>
      <w:pPr>
        <w:ind w:left="3600" w:hanging="360"/>
      </w:pPr>
    </w:lvl>
    <w:lvl w:ilvl="5" w:tplc="B8728A78">
      <w:start w:val="1"/>
      <w:numFmt w:val="lowerRoman"/>
      <w:lvlText w:val="%6."/>
      <w:lvlJc w:val="right"/>
      <w:pPr>
        <w:ind w:left="4320" w:hanging="180"/>
      </w:pPr>
    </w:lvl>
    <w:lvl w:ilvl="6" w:tplc="ADD670EA">
      <w:start w:val="1"/>
      <w:numFmt w:val="decimal"/>
      <w:lvlText w:val="%7."/>
      <w:lvlJc w:val="left"/>
      <w:pPr>
        <w:ind w:left="5040" w:hanging="360"/>
      </w:pPr>
    </w:lvl>
    <w:lvl w:ilvl="7" w:tplc="45F2B07A">
      <w:start w:val="1"/>
      <w:numFmt w:val="lowerLetter"/>
      <w:lvlText w:val="%8."/>
      <w:lvlJc w:val="left"/>
      <w:pPr>
        <w:ind w:left="5760" w:hanging="360"/>
      </w:pPr>
    </w:lvl>
    <w:lvl w:ilvl="8" w:tplc="CE6A5C60">
      <w:start w:val="1"/>
      <w:numFmt w:val="lowerRoman"/>
      <w:lvlText w:val="%9."/>
      <w:lvlJc w:val="right"/>
      <w:pPr>
        <w:ind w:left="6480" w:hanging="180"/>
      </w:pPr>
    </w:lvl>
  </w:abstractNum>
  <w:abstractNum w:abstractNumId="19" w15:restartNumberingAfterBreak="0">
    <w:nsid w:val="6AD54220"/>
    <w:multiLevelType w:val="hybridMultilevel"/>
    <w:tmpl w:val="1EE0CF48"/>
    <w:lvl w:ilvl="0" w:tplc="EAF68B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1F22ACF"/>
    <w:multiLevelType w:val="multilevel"/>
    <w:tmpl w:val="160C0778"/>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7B180F28"/>
    <w:multiLevelType w:val="hybridMultilevel"/>
    <w:tmpl w:val="6D724580"/>
    <w:lvl w:ilvl="0" w:tplc="6B5E64B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713494"/>
    <w:multiLevelType w:val="multilevel"/>
    <w:tmpl w:val="D396CF90"/>
    <w:lvl w:ilvl="0">
      <w:start w:val="1"/>
      <w:numFmt w:val="decimal"/>
      <w:lvlText w:val="%1."/>
      <w:lvlJc w:val="left"/>
      <w:pPr>
        <w:ind w:left="108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7DD77478"/>
    <w:multiLevelType w:val="multilevel"/>
    <w:tmpl w:val="F9FA7B3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16cid:durableId="1669552455">
    <w:abstractNumId w:val="18"/>
  </w:num>
  <w:num w:numId="2" w16cid:durableId="358704530">
    <w:abstractNumId w:val="7"/>
  </w:num>
  <w:num w:numId="3" w16cid:durableId="179202581">
    <w:abstractNumId w:val="6"/>
  </w:num>
  <w:num w:numId="4" w16cid:durableId="55665039">
    <w:abstractNumId w:val="10"/>
  </w:num>
  <w:num w:numId="5" w16cid:durableId="1021050929">
    <w:abstractNumId w:val="13"/>
  </w:num>
  <w:num w:numId="6" w16cid:durableId="501120634">
    <w:abstractNumId w:val="22"/>
  </w:num>
  <w:num w:numId="7" w16cid:durableId="1390835970">
    <w:abstractNumId w:val="23"/>
  </w:num>
  <w:num w:numId="8" w16cid:durableId="558399119">
    <w:abstractNumId w:val="3"/>
  </w:num>
  <w:num w:numId="9" w16cid:durableId="1061904243">
    <w:abstractNumId w:val="9"/>
  </w:num>
  <w:num w:numId="10" w16cid:durableId="161508711">
    <w:abstractNumId w:val="2"/>
  </w:num>
  <w:num w:numId="11" w16cid:durableId="107287311">
    <w:abstractNumId w:val="15"/>
  </w:num>
  <w:num w:numId="12" w16cid:durableId="1346784123">
    <w:abstractNumId w:val="21"/>
  </w:num>
  <w:num w:numId="13" w16cid:durableId="1824546847">
    <w:abstractNumId w:val="8"/>
  </w:num>
  <w:num w:numId="14" w16cid:durableId="875851290">
    <w:abstractNumId w:val="0"/>
  </w:num>
  <w:num w:numId="15" w16cid:durableId="189687812">
    <w:abstractNumId w:val="11"/>
  </w:num>
  <w:num w:numId="16" w16cid:durableId="1998799502">
    <w:abstractNumId w:val="16"/>
  </w:num>
  <w:num w:numId="17" w16cid:durableId="1261137137">
    <w:abstractNumId w:val="19"/>
  </w:num>
  <w:num w:numId="18" w16cid:durableId="1652127947">
    <w:abstractNumId w:val="1"/>
  </w:num>
  <w:num w:numId="19" w16cid:durableId="366295117">
    <w:abstractNumId w:val="12"/>
  </w:num>
  <w:num w:numId="20" w16cid:durableId="472068407">
    <w:abstractNumId w:val="17"/>
  </w:num>
  <w:num w:numId="21" w16cid:durableId="2074228870">
    <w:abstractNumId w:val="5"/>
  </w:num>
  <w:num w:numId="22" w16cid:durableId="639923403">
    <w:abstractNumId w:val="20"/>
  </w:num>
  <w:num w:numId="23" w16cid:durableId="115492908">
    <w:abstractNumId w:val="14"/>
  </w:num>
  <w:num w:numId="24" w16cid:durableId="2778815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1NLGwNDe0MLU0szRW0lEKTi0uzszPAykwNK0FAPA2EcAtAAAA"/>
  </w:docVars>
  <w:rsids>
    <w:rsidRoot w:val="00DE5D33"/>
    <w:rsid w:val="000004D3"/>
    <w:rsid w:val="00012960"/>
    <w:rsid w:val="00017CDE"/>
    <w:rsid w:val="00020EF3"/>
    <w:rsid w:val="00021EC4"/>
    <w:rsid w:val="00022CBA"/>
    <w:rsid w:val="00034FB9"/>
    <w:rsid w:val="00036E12"/>
    <w:rsid w:val="00072479"/>
    <w:rsid w:val="000A21F4"/>
    <w:rsid w:val="000B217B"/>
    <w:rsid w:val="000B6742"/>
    <w:rsid w:val="000B6FD8"/>
    <w:rsid w:val="000C1E8B"/>
    <w:rsid w:val="000C7718"/>
    <w:rsid w:val="000F6CED"/>
    <w:rsid w:val="001049F8"/>
    <w:rsid w:val="001128D6"/>
    <w:rsid w:val="0012047D"/>
    <w:rsid w:val="001274A0"/>
    <w:rsid w:val="0015568A"/>
    <w:rsid w:val="00157186"/>
    <w:rsid w:val="0016713E"/>
    <w:rsid w:val="00171943"/>
    <w:rsid w:val="00177FBE"/>
    <w:rsid w:val="001836F2"/>
    <w:rsid w:val="00186F24"/>
    <w:rsid w:val="001B0A84"/>
    <w:rsid w:val="001B4287"/>
    <w:rsid w:val="001C09B6"/>
    <w:rsid w:val="001C124A"/>
    <w:rsid w:val="001C7785"/>
    <w:rsid w:val="001E0126"/>
    <w:rsid w:val="001E74A3"/>
    <w:rsid w:val="001F3BF1"/>
    <w:rsid w:val="002122DF"/>
    <w:rsid w:val="002138CF"/>
    <w:rsid w:val="00222989"/>
    <w:rsid w:val="00224D90"/>
    <w:rsid w:val="00225B12"/>
    <w:rsid w:val="0022639F"/>
    <w:rsid w:val="00234A43"/>
    <w:rsid w:val="002468BB"/>
    <w:rsid w:val="00265EE4"/>
    <w:rsid w:val="00273F67"/>
    <w:rsid w:val="00280D71"/>
    <w:rsid w:val="00284DAF"/>
    <w:rsid w:val="00287829"/>
    <w:rsid w:val="002B1F57"/>
    <w:rsid w:val="002B30EE"/>
    <w:rsid w:val="002B3972"/>
    <w:rsid w:val="002C0E12"/>
    <w:rsid w:val="002C17B6"/>
    <w:rsid w:val="002C582D"/>
    <w:rsid w:val="002E47EA"/>
    <w:rsid w:val="002E56FB"/>
    <w:rsid w:val="002F2E68"/>
    <w:rsid w:val="00302F53"/>
    <w:rsid w:val="00312B8C"/>
    <w:rsid w:val="00325CA8"/>
    <w:rsid w:val="00333CEF"/>
    <w:rsid w:val="00334AC4"/>
    <w:rsid w:val="003352CF"/>
    <w:rsid w:val="00345214"/>
    <w:rsid w:val="0035427B"/>
    <w:rsid w:val="00361520"/>
    <w:rsid w:val="003760E1"/>
    <w:rsid w:val="003A10DF"/>
    <w:rsid w:val="003A79CF"/>
    <w:rsid w:val="003C046B"/>
    <w:rsid w:val="003C3366"/>
    <w:rsid w:val="003D7714"/>
    <w:rsid w:val="003E08C0"/>
    <w:rsid w:val="003E57D1"/>
    <w:rsid w:val="003F28BE"/>
    <w:rsid w:val="003F4FF7"/>
    <w:rsid w:val="004048E0"/>
    <w:rsid w:val="004142D5"/>
    <w:rsid w:val="00420DFA"/>
    <w:rsid w:val="00421565"/>
    <w:rsid w:val="00422F73"/>
    <w:rsid w:val="0042575E"/>
    <w:rsid w:val="00430DE8"/>
    <w:rsid w:val="0043283A"/>
    <w:rsid w:val="00442340"/>
    <w:rsid w:val="004433D8"/>
    <w:rsid w:val="00473910"/>
    <w:rsid w:val="00475C55"/>
    <w:rsid w:val="00482D8E"/>
    <w:rsid w:val="0049566C"/>
    <w:rsid w:val="004A3283"/>
    <w:rsid w:val="004A6E7D"/>
    <w:rsid w:val="004B0B3E"/>
    <w:rsid w:val="004B2646"/>
    <w:rsid w:val="004B3E19"/>
    <w:rsid w:val="004C0F11"/>
    <w:rsid w:val="004C1476"/>
    <w:rsid w:val="004C1EDB"/>
    <w:rsid w:val="004D21F4"/>
    <w:rsid w:val="004D6ADA"/>
    <w:rsid w:val="004E29A8"/>
    <w:rsid w:val="004E6FC0"/>
    <w:rsid w:val="00502816"/>
    <w:rsid w:val="0050388E"/>
    <w:rsid w:val="00506A8B"/>
    <w:rsid w:val="005078C4"/>
    <w:rsid w:val="00513EB2"/>
    <w:rsid w:val="00550983"/>
    <w:rsid w:val="0055104E"/>
    <w:rsid w:val="00560982"/>
    <w:rsid w:val="00565B44"/>
    <w:rsid w:val="00574035"/>
    <w:rsid w:val="005878E4"/>
    <w:rsid w:val="005909F6"/>
    <w:rsid w:val="0059720D"/>
    <w:rsid w:val="005B2FAF"/>
    <w:rsid w:val="005B3C88"/>
    <w:rsid w:val="005C11D9"/>
    <w:rsid w:val="005C45F6"/>
    <w:rsid w:val="005D5962"/>
    <w:rsid w:val="005E3E82"/>
    <w:rsid w:val="005E64DC"/>
    <w:rsid w:val="00606B57"/>
    <w:rsid w:val="00615B65"/>
    <w:rsid w:val="00621ACC"/>
    <w:rsid w:val="00631BE8"/>
    <w:rsid w:val="006354F3"/>
    <w:rsid w:val="006512EA"/>
    <w:rsid w:val="00653F45"/>
    <w:rsid w:val="00660881"/>
    <w:rsid w:val="00660CB6"/>
    <w:rsid w:val="00661AE5"/>
    <w:rsid w:val="00671B3D"/>
    <w:rsid w:val="00676BE7"/>
    <w:rsid w:val="00680733"/>
    <w:rsid w:val="00683302"/>
    <w:rsid w:val="006939B4"/>
    <w:rsid w:val="00694805"/>
    <w:rsid w:val="006A2B4A"/>
    <w:rsid w:val="006A3C5F"/>
    <w:rsid w:val="006A4404"/>
    <w:rsid w:val="006A7F82"/>
    <w:rsid w:val="006B2CAB"/>
    <w:rsid w:val="006D5F74"/>
    <w:rsid w:val="006E2816"/>
    <w:rsid w:val="006E2B14"/>
    <w:rsid w:val="006F43C0"/>
    <w:rsid w:val="006F5F4C"/>
    <w:rsid w:val="0070613C"/>
    <w:rsid w:val="00713E3F"/>
    <w:rsid w:val="00720518"/>
    <w:rsid w:val="00725DD9"/>
    <w:rsid w:val="007301B8"/>
    <w:rsid w:val="00731A0E"/>
    <w:rsid w:val="00734E02"/>
    <w:rsid w:val="00737A76"/>
    <w:rsid w:val="0075373B"/>
    <w:rsid w:val="00763F4E"/>
    <w:rsid w:val="00765854"/>
    <w:rsid w:val="00767B6E"/>
    <w:rsid w:val="00791FAE"/>
    <w:rsid w:val="007A1D60"/>
    <w:rsid w:val="007C0A56"/>
    <w:rsid w:val="007D160C"/>
    <w:rsid w:val="007E1B36"/>
    <w:rsid w:val="007F0277"/>
    <w:rsid w:val="007F4569"/>
    <w:rsid w:val="008055A6"/>
    <w:rsid w:val="00810292"/>
    <w:rsid w:val="00820D4F"/>
    <w:rsid w:val="00825B88"/>
    <w:rsid w:val="00826BED"/>
    <w:rsid w:val="00841672"/>
    <w:rsid w:val="00850AE8"/>
    <w:rsid w:val="008522B2"/>
    <w:rsid w:val="00854682"/>
    <w:rsid w:val="00865A6E"/>
    <w:rsid w:val="008673E8"/>
    <w:rsid w:val="00867A6F"/>
    <w:rsid w:val="00894BAC"/>
    <w:rsid w:val="008A4091"/>
    <w:rsid w:val="008B364B"/>
    <w:rsid w:val="008C5C9F"/>
    <w:rsid w:val="008C5DD4"/>
    <w:rsid w:val="008D3D3E"/>
    <w:rsid w:val="008E1FCB"/>
    <w:rsid w:val="008F6B8B"/>
    <w:rsid w:val="009216B7"/>
    <w:rsid w:val="00953AE2"/>
    <w:rsid w:val="00962280"/>
    <w:rsid w:val="00972B97"/>
    <w:rsid w:val="00995074"/>
    <w:rsid w:val="009A360B"/>
    <w:rsid w:val="009B000E"/>
    <w:rsid w:val="009B1A96"/>
    <w:rsid w:val="009C073E"/>
    <w:rsid w:val="009D1348"/>
    <w:rsid w:val="009E0FBE"/>
    <w:rsid w:val="009E605D"/>
    <w:rsid w:val="00A112A7"/>
    <w:rsid w:val="00A33584"/>
    <w:rsid w:val="00A539B6"/>
    <w:rsid w:val="00A57B5E"/>
    <w:rsid w:val="00A667A3"/>
    <w:rsid w:val="00A71C7F"/>
    <w:rsid w:val="00A752ED"/>
    <w:rsid w:val="00A81CF2"/>
    <w:rsid w:val="00A82091"/>
    <w:rsid w:val="00A83F28"/>
    <w:rsid w:val="00A864D2"/>
    <w:rsid w:val="00AA1564"/>
    <w:rsid w:val="00AB1070"/>
    <w:rsid w:val="00AD1D2C"/>
    <w:rsid w:val="00AD47D3"/>
    <w:rsid w:val="00AD6DD6"/>
    <w:rsid w:val="00AE062B"/>
    <w:rsid w:val="00AE6E08"/>
    <w:rsid w:val="00B04DA1"/>
    <w:rsid w:val="00B073B0"/>
    <w:rsid w:val="00B11D34"/>
    <w:rsid w:val="00B21941"/>
    <w:rsid w:val="00B25A4E"/>
    <w:rsid w:val="00B319CD"/>
    <w:rsid w:val="00B329B6"/>
    <w:rsid w:val="00B63252"/>
    <w:rsid w:val="00B635E4"/>
    <w:rsid w:val="00B82483"/>
    <w:rsid w:val="00BB6128"/>
    <w:rsid w:val="00BC4477"/>
    <w:rsid w:val="00BD1A15"/>
    <w:rsid w:val="00BD4E89"/>
    <w:rsid w:val="00BD6E78"/>
    <w:rsid w:val="00BE02C1"/>
    <w:rsid w:val="00BE313B"/>
    <w:rsid w:val="00BF5127"/>
    <w:rsid w:val="00BF5D31"/>
    <w:rsid w:val="00C00AF1"/>
    <w:rsid w:val="00C02024"/>
    <w:rsid w:val="00C02344"/>
    <w:rsid w:val="00C04C6B"/>
    <w:rsid w:val="00C04F97"/>
    <w:rsid w:val="00C162AD"/>
    <w:rsid w:val="00C62E05"/>
    <w:rsid w:val="00C6404C"/>
    <w:rsid w:val="00C76979"/>
    <w:rsid w:val="00C779E8"/>
    <w:rsid w:val="00C77BB7"/>
    <w:rsid w:val="00C83154"/>
    <w:rsid w:val="00C91252"/>
    <w:rsid w:val="00C92451"/>
    <w:rsid w:val="00C9386D"/>
    <w:rsid w:val="00C95F2A"/>
    <w:rsid w:val="00CF4926"/>
    <w:rsid w:val="00D500FC"/>
    <w:rsid w:val="00D67FD2"/>
    <w:rsid w:val="00D75805"/>
    <w:rsid w:val="00D975B4"/>
    <w:rsid w:val="00DA15A3"/>
    <w:rsid w:val="00DA3585"/>
    <w:rsid w:val="00DC30BF"/>
    <w:rsid w:val="00DD0F79"/>
    <w:rsid w:val="00DE5D33"/>
    <w:rsid w:val="00DE782C"/>
    <w:rsid w:val="00E069D4"/>
    <w:rsid w:val="00E22820"/>
    <w:rsid w:val="00E27542"/>
    <w:rsid w:val="00E32C33"/>
    <w:rsid w:val="00E40A69"/>
    <w:rsid w:val="00E4404B"/>
    <w:rsid w:val="00E5261A"/>
    <w:rsid w:val="00E7354B"/>
    <w:rsid w:val="00E751DA"/>
    <w:rsid w:val="00E92EE8"/>
    <w:rsid w:val="00EA3920"/>
    <w:rsid w:val="00EB355A"/>
    <w:rsid w:val="00EB5D9B"/>
    <w:rsid w:val="00EB6853"/>
    <w:rsid w:val="00EC1120"/>
    <w:rsid w:val="00EC6A70"/>
    <w:rsid w:val="00F10737"/>
    <w:rsid w:val="00F310F4"/>
    <w:rsid w:val="00F357FA"/>
    <w:rsid w:val="00F364F1"/>
    <w:rsid w:val="00F50E0D"/>
    <w:rsid w:val="00F61252"/>
    <w:rsid w:val="00F87184"/>
    <w:rsid w:val="00FA44CC"/>
    <w:rsid w:val="00FC255C"/>
    <w:rsid w:val="00FF0C52"/>
    <w:rsid w:val="00FF58A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2C585"/>
  <w15:chartTrackingRefBased/>
  <w15:docId w15:val="{AB73695C-1926-436D-9CE8-9E1047600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D33"/>
    <w:pPr>
      <w:spacing w:after="0" w:line="360" w:lineRule="auto"/>
      <w:ind w:firstLine="720"/>
      <w:jc w:val="both"/>
    </w:pPr>
    <w:rPr>
      <w:rFonts w:ascii="Times New Roman" w:hAnsi="Times New Roman"/>
      <w:sz w:val="24"/>
      <w:lang w:val="en-US"/>
    </w:rPr>
  </w:style>
  <w:style w:type="paragraph" w:styleId="Heading1">
    <w:name w:val="heading 1"/>
    <w:basedOn w:val="Normal"/>
    <w:next w:val="Normal"/>
    <w:link w:val="Heading1Char"/>
    <w:uiPriority w:val="9"/>
    <w:qFormat/>
    <w:rsid w:val="00DE5D33"/>
    <w:pPr>
      <w:keepNext/>
      <w:keepLines/>
      <w:spacing w:before="240" w:line="259" w:lineRule="auto"/>
      <w:ind w:firstLine="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5D33"/>
    <w:rPr>
      <w:rFonts w:asciiTheme="majorHAnsi" w:eastAsiaTheme="majorEastAsia" w:hAnsiTheme="majorHAnsi" w:cstheme="majorBidi"/>
      <w:color w:val="2E74B5" w:themeColor="accent1" w:themeShade="BF"/>
      <w:sz w:val="32"/>
      <w:szCs w:val="32"/>
      <w:lang w:val="en-US"/>
    </w:rPr>
  </w:style>
  <w:style w:type="character" w:styleId="CommentReference">
    <w:name w:val="annotation reference"/>
    <w:basedOn w:val="DefaultParagraphFont"/>
    <w:uiPriority w:val="99"/>
    <w:semiHidden/>
    <w:unhideWhenUsed/>
    <w:rsid w:val="00DE5D33"/>
    <w:rPr>
      <w:sz w:val="16"/>
      <w:szCs w:val="16"/>
    </w:rPr>
  </w:style>
  <w:style w:type="paragraph" w:styleId="CommentText">
    <w:name w:val="annotation text"/>
    <w:basedOn w:val="Normal"/>
    <w:link w:val="CommentTextChar"/>
    <w:uiPriority w:val="99"/>
    <w:unhideWhenUsed/>
    <w:rsid w:val="00DE5D33"/>
    <w:pPr>
      <w:spacing w:line="240" w:lineRule="auto"/>
    </w:pPr>
    <w:rPr>
      <w:sz w:val="20"/>
      <w:szCs w:val="20"/>
    </w:rPr>
  </w:style>
  <w:style w:type="character" w:customStyle="1" w:styleId="CommentTextChar">
    <w:name w:val="Comment Text Char"/>
    <w:basedOn w:val="DefaultParagraphFont"/>
    <w:link w:val="CommentText"/>
    <w:uiPriority w:val="99"/>
    <w:rsid w:val="00DE5D33"/>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DE5D33"/>
    <w:rPr>
      <w:b/>
      <w:bCs/>
    </w:rPr>
  </w:style>
  <w:style w:type="character" w:customStyle="1" w:styleId="CommentSubjectChar">
    <w:name w:val="Comment Subject Char"/>
    <w:basedOn w:val="CommentTextChar"/>
    <w:link w:val="CommentSubject"/>
    <w:uiPriority w:val="99"/>
    <w:semiHidden/>
    <w:rsid w:val="00DE5D33"/>
    <w:rPr>
      <w:rFonts w:ascii="Times New Roman" w:hAnsi="Times New Roman"/>
      <w:b/>
      <w:bCs/>
      <w:sz w:val="20"/>
      <w:szCs w:val="20"/>
      <w:lang w:val="en-US"/>
    </w:rPr>
  </w:style>
  <w:style w:type="paragraph" w:styleId="BalloonText">
    <w:name w:val="Balloon Text"/>
    <w:basedOn w:val="Normal"/>
    <w:link w:val="BalloonTextChar"/>
    <w:uiPriority w:val="99"/>
    <w:semiHidden/>
    <w:unhideWhenUsed/>
    <w:rsid w:val="00DE5D3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D33"/>
    <w:rPr>
      <w:rFonts w:ascii="Segoe UI" w:hAnsi="Segoe UI" w:cs="Segoe UI"/>
      <w:sz w:val="18"/>
      <w:szCs w:val="18"/>
      <w:lang w:val="en-US"/>
    </w:rPr>
  </w:style>
  <w:style w:type="table" w:styleId="TableGrid">
    <w:name w:val="Table Grid"/>
    <w:basedOn w:val="TableNormal"/>
    <w:uiPriority w:val="39"/>
    <w:rsid w:val="00DE5D3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5D33"/>
    <w:pPr>
      <w:ind w:left="720"/>
      <w:contextualSpacing/>
    </w:pPr>
  </w:style>
  <w:style w:type="character" w:styleId="PlaceholderText">
    <w:name w:val="Placeholder Text"/>
    <w:basedOn w:val="DefaultParagraphFont"/>
    <w:uiPriority w:val="99"/>
    <w:semiHidden/>
    <w:rsid w:val="00DE5D33"/>
    <w:rPr>
      <w:color w:val="808080"/>
    </w:rPr>
  </w:style>
  <w:style w:type="paragraph" w:styleId="Header">
    <w:name w:val="header"/>
    <w:basedOn w:val="Normal"/>
    <w:link w:val="HeaderChar"/>
    <w:uiPriority w:val="99"/>
    <w:unhideWhenUsed/>
    <w:rsid w:val="00DE5D33"/>
    <w:pPr>
      <w:tabs>
        <w:tab w:val="center" w:pos="4680"/>
        <w:tab w:val="right" w:pos="9360"/>
      </w:tabs>
      <w:spacing w:line="240" w:lineRule="auto"/>
    </w:pPr>
  </w:style>
  <w:style w:type="character" w:customStyle="1" w:styleId="HeaderChar">
    <w:name w:val="Header Char"/>
    <w:basedOn w:val="DefaultParagraphFont"/>
    <w:link w:val="Header"/>
    <w:uiPriority w:val="99"/>
    <w:rsid w:val="00DE5D33"/>
    <w:rPr>
      <w:rFonts w:ascii="Times New Roman" w:hAnsi="Times New Roman"/>
      <w:sz w:val="24"/>
      <w:lang w:val="en-US"/>
    </w:rPr>
  </w:style>
  <w:style w:type="paragraph" w:styleId="Footer">
    <w:name w:val="footer"/>
    <w:basedOn w:val="Normal"/>
    <w:link w:val="FooterChar"/>
    <w:uiPriority w:val="99"/>
    <w:unhideWhenUsed/>
    <w:rsid w:val="00DE5D33"/>
    <w:pPr>
      <w:tabs>
        <w:tab w:val="center" w:pos="4680"/>
        <w:tab w:val="right" w:pos="9360"/>
      </w:tabs>
      <w:spacing w:line="240" w:lineRule="auto"/>
    </w:pPr>
  </w:style>
  <w:style w:type="character" w:customStyle="1" w:styleId="FooterChar">
    <w:name w:val="Footer Char"/>
    <w:basedOn w:val="DefaultParagraphFont"/>
    <w:link w:val="Footer"/>
    <w:uiPriority w:val="99"/>
    <w:rsid w:val="00DE5D33"/>
    <w:rPr>
      <w:rFonts w:ascii="Times New Roman" w:hAnsi="Times New Roman"/>
      <w:sz w:val="24"/>
      <w:lang w:val="en-US"/>
    </w:rPr>
  </w:style>
  <w:style w:type="paragraph" w:styleId="Caption">
    <w:name w:val="caption"/>
    <w:basedOn w:val="Normal"/>
    <w:next w:val="Normal"/>
    <w:uiPriority w:val="35"/>
    <w:unhideWhenUsed/>
    <w:qFormat/>
    <w:rsid w:val="00DE5D33"/>
    <w:pPr>
      <w:spacing w:after="200" w:line="240" w:lineRule="auto"/>
    </w:pPr>
    <w:rPr>
      <w:i/>
      <w:iCs/>
      <w:color w:val="44546A" w:themeColor="text2"/>
      <w:sz w:val="18"/>
      <w:szCs w:val="18"/>
    </w:rPr>
  </w:style>
  <w:style w:type="table" w:styleId="PlainTable3">
    <w:name w:val="Plain Table 3"/>
    <w:basedOn w:val="TableNormal"/>
    <w:uiPriority w:val="43"/>
    <w:rsid w:val="00DE5D33"/>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DE5D33"/>
    <w:pPr>
      <w:spacing w:before="100" w:beforeAutospacing="1" w:after="100" w:afterAutospacing="1" w:line="240" w:lineRule="auto"/>
      <w:ind w:firstLine="0"/>
      <w:jc w:val="left"/>
    </w:pPr>
    <w:rPr>
      <w:rFonts w:eastAsia="Times New Roman" w:cs="Times New Roman"/>
      <w:szCs w:val="24"/>
    </w:rPr>
  </w:style>
  <w:style w:type="character" w:customStyle="1" w:styleId="spelle">
    <w:name w:val="spelle"/>
    <w:basedOn w:val="DefaultParagraphFont"/>
    <w:rsid w:val="00DE5D33"/>
  </w:style>
  <w:style w:type="table" w:styleId="PlainTable5">
    <w:name w:val="Plain Table 5"/>
    <w:basedOn w:val="TableNormal"/>
    <w:uiPriority w:val="45"/>
    <w:rsid w:val="00DE5D33"/>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DE5D33"/>
    <w:rPr>
      <w:color w:val="0563C1" w:themeColor="hyperlink"/>
      <w:u w:val="single"/>
    </w:rPr>
  </w:style>
  <w:style w:type="character" w:styleId="Emphasis">
    <w:name w:val="Emphasis"/>
    <w:basedOn w:val="DefaultParagraphFont"/>
    <w:uiPriority w:val="20"/>
    <w:qFormat/>
    <w:rsid w:val="00DE5D33"/>
    <w:rPr>
      <w:i/>
      <w:iCs/>
    </w:rPr>
  </w:style>
  <w:style w:type="paragraph" w:styleId="Revision">
    <w:name w:val="Revision"/>
    <w:hidden/>
    <w:uiPriority w:val="99"/>
    <w:semiHidden/>
    <w:rsid w:val="00DE5D33"/>
    <w:pPr>
      <w:spacing w:after="0" w:line="240" w:lineRule="auto"/>
    </w:pPr>
    <w:rPr>
      <w:rFonts w:ascii="Times New Roman" w:hAnsi="Times New Roman"/>
      <w:sz w:val="24"/>
      <w:lang w:val="en-US"/>
    </w:rPr>
  </w:style>
  <w:style w:type="character" w:customStyle="1" w:styleId="personname">
    <w:name w:val="person_name"/>
    <w:basedOn w:val="DefaultParagraphFont"/>
    <w:rsid w:val="00DE5D33"/>
  </w:style>
  <w:style w:type="character" w:customStyle="1" w:styleId="apple-converted-space">
    <w:name w:val="apple-converted-space"/>
    <w:basedOn w:val="DefaultParagraphFont"/>
    <w:rsid w:val="00DE5D33"/>
  </w:style>
  <w:style w:type="character" w:customStyle="1" w:styleId="person">
    <w:name w:val="person"/>
    <w:basedOn w:val="DefaultParagraphFont"/>
    <w:rsid w:val="00DE5D33"/>
  </w:style>
  <w:style w:type="character" w:customStyle="1" w:styleId="AlexChar">
    <w:name w:val="Alex Char"/>
    <w:basedOn w:val="DefaultParagraphFont"/>
    <w:link w:val="Alex"/>
    <w:locked/>
    <w:rsid w:val="00DE5D33"/>
    <w:rPr>
      <w:rFonts w:ascii="Times New Roman" w:eastAsiaTheme="minorEastAsia" w:hAnsi="Times New Roman" w:cs="Times New Roman"/>
      <w:sz w:val="24"/>
    </w:rPr>
  </w:style>
  <w:style w:type="paragraph" w:customStyle="1" w:styleId="Alex">
    <w:name w:val="Alex"/>
    <w:basedOn w:val="Normal"/>
    <w:link w:val="AlexChar"/>
    <w:qFormat/>
    <w:rsid w:val="00DE5D33"/>
    <w:rPr>
      <w:rFonts w:eastAsiaTheme="minorEastAsia" w:cs="Times New Roman"/>
      <w:lang w:val="es-ES"/>
    </w:rPr>
  </w:style>
  <w:style w:type="paragraph" w:styleId="FootnoteText">
    <w:name w:val="footnote text"/>
    <w:basedOn w:val="Normal"/>
    <w:link w:val="FootnoteTextChar"/>
    <w:uiPriority w:val="99"/>
    <w:semiHidden/>
    <w:unhideWhenUsed/>
    <w:rsid w:val="00DE5D33"/>
    <w:pPr>
      <w:spacing w:line="240" w:lineRule="auto"/>
    </w:pPr>
    <w:rPr>
      <w:sz w:val="20"/>
      <w:szCs w:val="20"/>
    </w:rPr>
  </w:style>
  <w:style w:type="character" w:customStyle="1" w:styleId="FootnoteTextChar">
    <w:name w:val="Footnote Text Char"/>
    <w:basedOn w:val="DefaultParagraphFont"/>
    <w:link w:val="FootnoteText"/>
    <w:uiPriority w:val="99"/>
    <w:semiHidden/>
    <w:rsid w:val="00DE5D33"/>
    <w:rPr>
      <w:rFonts w:ascii="Times New Roman" w:hAnsi="Times New Roman"/>
      <w:sz w:val="20"/>
      <w:szCs w:val="20"/>
      <w:lang w:val="en-US"/>
    </w:rPr>
  </w:style>
  <w:style w:type="character" w:styleId="FootnoteReference">
    <w:name w:val="footnote reference"/>
    <w:basedOn w:val="DefaultParagraphFont"/>
    <w:uiPriority w:val="99"/>
    <w:semiHidden/>
    <w:unhideWhenUsed/>
    <w:rsid w:val="00DE5D33"/>
    <w:rPr>
      <w:vertAlign w:val="superscript"/>
    </w:rPr>
  </w:style>
  <w:style w:type="character" w:styleId="EndnoteReference">
    <w:name w:val="endnote reference"/>
    <w:basedOn w:val="DefaultParagraphFont"/>
    <w:uiPriority w:val="99"/>
    <w:semiHidden/>
    <w:unhideWhenUsed/>
    <w:rsid w:val="00DE5D33"/>
    <w:rPr>
      <w:vertAlign w:val="superscript"/>
    </w:rPr>
  </w:style>
  <w:style w:type="paragraph" w:customStyle="1" w:styleId="Affiliation">
    <w:name w:val="Affiliation"/>
    <w:basedOn w:val="Normal"/>
    <w:qFormat/>
    <w:rsid w:val="00DE5D33"/>
    <w:pPr>
      <w:spacing w:before="120" w:line="240" w:lineRule="auto"/>
      <w:ind w:firstLine="0"/>
      <w:jc w:val="left"/>
    </w:pPr>
    <w:rPr>
      <w:rFonts w:eastAsia="Times New Roman" w:cs="Times New Roman"/>
      <w:szCs w:val="24"/>
    </w:rPr>
  </w:style>
  <w:style w:type="character" w:customStyle="1" w:styleId="UnresolvedMention1">
    <w:name w:val="Unresolved Mention1"/>
    <w:basedOn w:val="DefaultParagraphFont"/>
    <w:uiPriority w:val="99"/>
    <w:semiHidden/>
    <w:unhideWhenUsed/>
    <w:rsid w:val="00DE5D33"/>
    <w:rPr>
      <w:color w:val="605E5C"/>
      <w:shd w:val="clear" w:color="auto" w:fill="E1DFDD"/>
    </w:rPr>
  </w:style>
  <w:style w:type="paragraph" w:customStyle="1" w:styleId="Heading-Main">
    <w:name w:val="Heading-Main"/>
    <w:basedOn w:val="Normal"/>
    <w:rsid w:val="00DE5D33"/>
    <w:pPr>
      <w:keepNext/>
      <w:spacing w:before="240" w:after="120" w:line="240" w:lineRule="auto"/>
      <w:ind w:firstLine="0"/>
      <w:jc w:val="left"/>
      <w:outlineLvl w:val="0"/>
    </w:pPr>
    <w:rPr>
      <w:rFonts w:eastAsia="Times New Roman" w:cs="Times New Roman"/>
      <w:b/>
      <w:bCs/>
      <w:kern w:val="28"/>
      <w:szCs w:val="24"/>
    </w:rPr>
  </w:style>
  <w:style w:type="paragraph" w:customStyle="1" w:styleId="KeyPoints">
    <w:name w:val="Key Points"/>
    <w:basedOn w:val="Normal"/>
    <w:rsid w:val="00DE5D33"/>
    <w:pPr>
      <w:spacing w:before="120" w:line="240" w:lineRule="auto"/>
      <w:ind w:firstLine="0"/>
      <w:jc w:val="left"/>
    </w:pPr>
    <w:rPr>
      <w:rFonts w:eastAsia="Times New Roman" w:cs="Times New Roman"/>
      <w:szCs w:val="24"/>
    </w:rPr>
  </w:style>
  <w:style w:type="character" w:styleId="LineNumber">
    <w:name w:val="line number"/>
    <w:basedOn w:val="DefaultParagraphFont"/>
    <w:uiPriority w:val="99"/>
    <w:semiHidden/>
    <w:unhideWhenUsed/>
    <w:rsid w:val="00120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96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zenodo.org/record/3898657"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inguee.com/english-spanish/translation/publicly.htm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62961EF98EC84DBC7956AA6CBA311A" ma:contentTypeVersion="14" ma:contentTypeDescription="Create a new document." ma:contentTypeScope="" ma:versionID="4c3888b82a84928c1ff5cc751012ac94">
  <xsd:schema xmlns:xsd="http://www.w3.org/2001/XMLSchema" xmlns:xs="http://www.w3.org/2001/XMLSchema" xmlns:p="http://schemas.microsoft.com/office/2006/metadata/properties" xmlns:ns3="37d2ce8a-615c-4212-af05-e5b5a598daf7" xmlns:ns4="262882a5-c043-4f20-b9a4-567573d388ac" targetNamespace="http://schemas.microsoft.com/office/2006/metadata/properties" ma:root="true" ma:fieldsID="a94aa4d2f059fb0708e091671b47e763" ns3:_="" ns4:_="">
    <xsd:import namespace="37d2ce8a-615c-4212-af05-e5b5a598daf7"/>
    <xsd:import namespace="262882a5-c043-4f20-b9a4-567573d388a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2ce8a-615c-4212-af05-e5b5a598da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2882a5-c043-4f20-b9a4-567573d388a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GostName.XSL" StyleName="GOST - Orden de nombre" Version="2003"/>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0AFB10-05A3-4AD2-8B00-72F0EEB6B1AB}">
  <ds:schemaRefs>
    <ds:schemaRef ds:uri="http://schemas.microsoft.com/sharepoint/v3/contenttype/forms"/>
  </ds:schemaRefs>
</ds:datastoreItem>
</file>

<file path=customXml/itemProps2.xml><?xml version="1.0" encoding="utf-8"?>
<ds:datastoreItem xmlns:ds="http://schemas.openxmlformats.org/officeDocument/2006/customXml" ds:itemID="{1CEC9873-90CB-4EBF-800E-CE1819462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2ce8a-615c-4212-af05-e5b5a598daf7"/>
    <ds:schemaRef ds:uri="262882a5-c043-4f20-b9a4-567573d388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AD5A60-A86B-4CEF-98A2-A9F4B1B4B0FE}">
  <ds:schemaRefs>
    <ds:schemaRef ds:uri="http://schemas.openxmlformats.org/officeDocument/2006/bibliography"/>
  </ds:schemaRefs>
</ds:datastoreItem>
</file>

<file path=customXml/itemProps4.xml><?xml version="1.0" encoding="utf-8"?>
<ds:datastoreItem xmlns:ds="http://schemas.openxmlformats.org/officeDocument/2006/customXml" ds:itemID="{9F0AE517-4E21-4A83-84E6-61E43E9E873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28786</Words>
  <Characters>164083</Characters>
  <Application>Microsoft Office Word</Application>
  <DocSecurity>0</DocSecurity>
  <Lines>1367</Lines>
  <Paragraphs>384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192485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Rodriguez Enriquez</dc:creator>
  <cp:keywords/>
  <dc:description/>
  <cp:lastModifiedBy>Alejandra Rodriguez Enriquez</cp:lastModifiedBy>
  <cp:revision>4</cp:revision>
  <dcterms:created xsi:type="dcterms:W3CDTF">2022-05-04T13:05:00Z</dcterms:created>
  <dcterms:modified xsi:type="dcterms:W3CDTF">2022-05-04T13:21:00Z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0x0101009762961EF98EC84DBC7956AA6CBA311A</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http://www.zotero.org/styles/climatic-change</vt:lpwstr>
  </property>
  <property fmtid="{D5CDD505-2E9C-101B-9397-08002B2CF9AE}" pid="10" name="Mendeley Recent Style Name 3_1">
    <vt:lpwstr>Climatic Change</vt:lpwstr>
  </property>
  <property fmtid="{D5CDD505-2E9C-101B-9397-08002B2CF9AE}" pid="11" name="Mendeley Recent Style Id 4_1">
    <vt:lpwstr>http://www.zotero.org/styles/frontiers-in-marine-science</vt:lpwstr>
  </property>
  <property fmtid="{D5CDD505-2E9C-101B-9397-08002B2CF9AE}" pid="12" name="Mendeley Recent Style Name 4_1">
    <vt:lpwstr>Frontiers in Marine Science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http://www.zotero.org/styles/journal-of-geophysical-research-oceans</vt:lpwstr>
  </property>
  <property fmtid="{D5CDD505-2E9C-101B-9397-08002B2CF9AE}" pid="16" name="Mendeley Recent Style Name 6_1">
    <vt:lpwstr>Journal of Geophysical Research: Oceans</vt:lpwstr>
  </property>
  <property fmtid="{D5CDD505-2E9C-101B-9397-08002B2CF9AE}" pid="17" name="Mendeley Recent Style Id 7_1">
    <vt:lpwstr>http://www.zotero.org/styles/natural-hazards-and-earth-system-sciences</vt:lpwstr>
  </property>
  <property fmtid="{D5CDD505-2E9C-101B-9397-08002B2CF9AE}" pid="18" name="Mendeley Recent Style Name 7_1">
    <vt:lpwstr>Natural Hazards and Earth System Sciences</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794cc898-5b15-3e3d-9571-e4909960ae10</vt:lpwstr>
  </property>
  <property fmtid="{D5CDD505-2E9C-101B-9397-08002B2CF9AE}" pid="25" name="Mendeley Citation Style_1">
    <vt:lpwstr>http://www.zotero.org/styles/journal-of-geophysical-research-oceans</vt:lpwstr>
  </property>
</Properties>
</file>