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088B" w14:textId="6FF3CC3B" w:rsidR="00641EE1" w:rsidRPr="00EB62FD" w:rsidRDefault="00641EE1" w:rsidP="00641EE1">
      <w:pPr>
        <w:rPr>
          <w:rFonts w:cstheme="minorHAnsi"/>
          <w:b/>
          <w:bCs/>
          <w:sz w:val="28"/>
          <w:szCs w:val="28"/>
        </w:rPr>
      </w:pPr>
      <w:r w:rsidRPr="00EB62FD">
        <w:rPr>
          <w:rFonts w:cstheme="minorHAnsi"/>
          <w:b/>
          <w:bCs/>
          <w:sz w:val="28"/>
          <w:szCs w:val="28"/>
        </w:rPr>
        <w:t>Were</w:t>
      </w:r>
      <w:r>
        <w:rPr>
          <w:rFonts w:cstheme="minorHAnsi"/>
          <w:b/>
          <w:bCs/>
          <w:sz w:val="28"/>
          <w:szCs w:val="28"/>
        </w:rPr>
        <w:t xml:space="preserve"> ‘Review Dates’ an</w:t>
      </w:r>
      <w:r w:rsidRPr="00EB62FD">
        <w:rPr>
          <w:rFonts w:cstheme="minorHAnsi"/>
          <w:b/>
          <w:bCs/>
          <w:sz w:val="28"/>
          <w:szCs w:val="28"/>
        </w:rPr>
        <w:t xml:space="preserve"> Effective </w:t>
      </w:r>
      <w:r>
        <w:rPr>
          <w:rFonts w:cstheme="minorHAnsi"/>
          <w:b/>
          <w:bCs/>
          <w:sz w:val="28"/>
          <w:szCs w:val="28"/>
        </w:rPr>
        <w:t xml:space="preserve">Part of the </w:t>
      </w:r>
      <w:r w:rsidRPr="00EB62FD">
        <w:rPr>
          <w:rFonts w:cstheme="minorHAnsi"/>
          <w:b/>
          <w:bCs/>
          <w:sz w:val="28"/>
          <w:szCs w:val="28"/>
        </w:rPr>
        <w:t>Response to the COVID-19 Pandemic</w:t>
      </w:r>
      <w:r>
        <w:rPr>
          <w:rFonts w:cstheme="minorHAnsi"/>
          <w:b/>
          <w:bCs/>
          <w:sz w:val="28"/>
          <w:szCs w:val="28"/>
        </w:rPr>
        <w:t xml:space="preserve"> in Housing Possession Cases in England and Wales</w:t>
      </w:r>
      <w:r w:rsidRPr="00EB62FD">
        <w:rPr>
          <w:rFonts w:cstheme="minorHAnsi"/>
          <w:b/>
          <w:bCs/>
          <w:sz w:val="28"/>
          <w:szCs w:val="28"/>
        </w:rPr>
        <w:t>? Views from the Frontline</w:t>
      </w:r>
      <w:r>
        <w:rPr>
          <w:rFonts w:cstheme="minorHAnsi"/>
          <w:b/>
          <w:bCs/>
          <w:sz w:val="28"/>
          <w:szCs w:val="28"/>
        </w:rPr>
        <w:t>: Part 2</w:t>
      </w:r>
    </w:p>
    <w:p w14:paraId="34CD8C4E" w14:textId="11B2C51F" w:rsidR="00641EE1" w:rsidRDefault="00641EE1" w:rsidP="00641EE1">
      <w:pPr>
        <w:rPr>
          <w:rFonts w:cstheme="minorHAnsi"/>
          <w:b/>
          <w:bCs/>
          <w:sz w:val="24"/>
          <w:szCs w:val="24"/>
        </w:rPr>
      </w:pPr>
      <w:r w:rsidRPr="00EB62FD">
        <w:rPr>
          <w:rFonts w:cstheme="minorHAnsi"/>
          <w:sz w:val="24"/>
          <w:szCs w:val="24"/>
        </w:rPr>
        <w:t>Professor Lisa Whitehouse</w:t>
      </w:r>
      <w:r>
        <w:rPr>
          <w:rFonts w:cstheme="minorHAnsi"/>
          <w:sz w:val="24"/>
          <w:szCs w:val="24"/>
        </w:rPr>
        <w:t>*</w:t>
      </w:r>
    </w:p>
    <w:p w14:paraId="127625EB" w14:textId="77777777" w:rsidR="00641EE1" w:rsidRPr="00641EE1" w:rsidRDefault="00641EE1" w:rsidP="00641EE1">
      <w:pPr>
        <w:rPr>
          <w:rFonts w:cstheme="minorHAnsi"/>
          <w:b/>
          <w:bCs/>
          <w:sz w:val="24"/>
          <w:szCs w:val="24"/>
        </w:rPr>
      </w:pPr>
      <w:r w:rsidRPr="00641EE1">
        <w:rPr>
          <w:rFonts w:cstheme="minorHAnsi"/>
          <w:b/>
          <w:bCs/>
          <w:sz w:val="24"/>
          <w:szCs w:val="24"/>
        </w:rPr>
        <w:t>Introduction</w:t>
      </w:r>
    </w:p>
    <w:p w14:paraId="6A5F36AE" w14:textId="2A336D09" w:rsidR="00641EE1" w:rsidRPr="00641EE1" w:rsidRDefault="00641EE1" w:rsidP="00641EE1">
      <w:pPr>
        <w:rPr>
          <w:rFonts w:cstheme="minorHAnsi"/>
          <w:sz w:val="24"/>
          <w:szCs w:val="24"/>
        </w:rPr>
      </w:pPr>
      <w:r w:rsidRPr="00641EE1">
        <w:rPr>
          <w:rFonts w:cstheme="minorHAnsi"/>
          <w:sz w:val="24"/>
          <w:szCs w:val="24"/>
        </w:rPr>
        <w:t xml:space="preserve">This article is the second </w:t>
      </w:r>
      <w:r w:rsidR="00D1611C">
        <w:rPr>
          <w:rFonts w:cstheme="minorHAnsi"/>
          <w:sz w:val="24"/>
          <w:szCs w:val="24"/>
        </w:rPr>
        <w:t>part of an article</w:t>
      </w:r>
      <w:r w:rsidR="00D1611C">
        <w:rPr>
          <w:rStyle w:val="FootnoteReference"/>
          <w:rFonts w:cstheme="minorHAnsi"/>
          <w:sz w:val="24"/>
          <w:szCs w:val="24"/>
        </w:rPr>
        <w:footnoteReference w:id="1"/>
      </w:r>
      <w:r w:rsidR="00D1611C">
        <w:rPr>
          <w:rFonts w:cstheme="minorHAnsi"/>
          <w:sz w:val="24"/>
          <w:szCs w:val="24"/>
        </w:rPr>
        <w:t xml:space="preserve"> </w:t>
      </w:r>
      <w:r w:rsidRPr="00641EE1">
        <w:rPr>
          <w:rFonts w:cstheme="minorHAnsi"/>
          <w:sz w:val="24"/>
          <w:szCs w:val="24"/>
        </w:rPr>
        <w:t xml:space="preserve">that offers an assessment of one aspect of the court system’s response to the COVID-19 pandemic in housing possession cases in England and Wales, namely, the Review or ‘R date’. </w:t>
      </w:r>
      <w:r w:rsidR="00D1611C">
        <w:rPr>
          <w:rFonts w:cstheme="minorHAnsi"/>
          <w:sz w:val="24"/>
          <w:szCs w:val="24"/>
        </w:rPr>
        <w:t>Drawing on data supplied by those at the forefront of the arrears and possessions process,</w:t>
      </w:r>
      <w:r w:rsidR="00D1611C">
        <w:rPr>
          <w:rStyle w:val="FootnoteReference"/>
          <w:rFonts w:cstheme="minorHAnsi"/>
          <w:sz w:val="24"/>
          <w:szCs w:val="24"/>
        </w:rPr>
        <w:footnoteReference w:id="2"/>
      </w:r>
      <w:r w:rsidR="00D1611C">
        <w:rPr>
          <w:rFonts w:cstheme="minorHAnsi"/>
          <w:sz w:val="24"/>
          <w:szCs w:val="24"/>
        </w:rPr>
        <w:t xml:space="preserve"> both parts offer </w:t>
      </w:r>
      <w:r w:rsidR="00D1611C" w:rsidRPr="000E72DC">
        <w:rPr>
          <w:rFonts w:cstheme="minorHAnsi"/>
          <w:sz w:val="24"/>
          <w:szCs w:val="24"/>
        </w:rPr>
        <w:t xml:space="preserve">a snapshot of an extraordinary period of turmoil and change. Measures that would previously have been considered </w:t>
      </w:r>
      <w:r w:rsidR="00D1611C">
        <w:rPr>
          <w:rFonts w:cstheme="minorHAnsi"/>
          <w:sz w:val="24"/>
          <w:szCs w:val="24"/>
        </w:rPr>
        <w:t>unthinkable</w:t>
      </w:r>
      <w:r w:rsidR="00D1611C" w:rsidRPr="000E72DC">
        <w:rPr>
          <w:rFonts w:cstheme="minorHAnsi"/>
          <w:sz w:val="24"/>
          <w:szCs w:val="24"/>
        </w:rPr>
        <w:t xml:space="preserve"> were introduced with uncharacteristic speed in response to the COVID-19 pandemic. Measures such as the imposition of a stay on all possession hearings, </w:t>
      </w:r>
      <w:r w:rsidR="00D1611C">
        <w:rPr>
          <w:rFonts w:cstheme="minorHAnsi"/>
          <w:sz w:val="24"/>
          <w:szCs w:val="24"/>
        </w:rPr>
        <w:t xml:space="preserve">a ban on </w:t>
      </w:r>
      <w:r w:rsidR="00D1611C" w:rsidRPr="007E548B">
        <w:rPr>
          <w:rFonts w:cstheme="minorHAnsi"/>
          <w:sz w:val="24"/>
          <w:szCs w:val="24"/>
        </w:rPr>
        <w:t>bailiff enforced evictions (other than in the most serious cases),</w:t>
      </w:r>
      <w:r w:rsidR="00D1611C" w:rsidRPr="000F6675">
        <w:rPr>
          <w:rFonts w:cstheme="minorHAnsi"/>
          <w:sz w:val="24"/>
          <w:szCs w:val="24"/>
          <w:vertAlign w:val="superscript"/>
        </w:rPr>
        <w:footnoteReference w:id="3"/>
      </w:r>
      <w:r w:rsidR="00D1611C" w:rsidRPr="000E72DC">
        <w:rPr>
          <w:rFonts w:cstheme="minorHAnsi"/>
          <w:sz w:val="24"/>
          <w:szCs w:val="24"/>
        </w:rPr>
        <w:t xml:space="preserve"> extended notic</w:t>
      </w:r>
      <w:r w:rsidR="003D609A">
        <w:rPr>
          <w:rFonts w:cstheme="minorHAnsi"/>
          <w:sz w:val="24"/>
          <w:szCs w:val="24"/>
        </w:rPr>
        <w:t xml:space="preserve">e </w:t>
      </w:r>
      <w:r w:rsidR="00D1611C" w:rsidRPr="000E72DC">
        <w:rPr>
          <w:rFonts w:cstheme="minorHAnsi"/>
          <w:sz w:val="24"/>
          <w:szCs w:val="24"/>
        </w:rPr>
        <w:lastRenderedPageBreak/>
        <w:t>periods for tenants</w:t>
      </w:r>
      <w:r w:rsidR="00D1611C">
        <w:rPr>
          <w:rFonts w:cstheme="minorHAnsi"/>
          <w:sz w:val="24"/>
          <w:szCs w:val="24"/>
        </w:rPr>
        <w:t>,</w:t>
      </w:r>
      <w:r w:rsidR="00D1611C">
        <w:rPr>
          <w:rStyle w:val="FootnoteReference"/>
          <w:rFonts w:cstheme="minorHAnsi"/>
          <w:sz w:val="24"/>
          <w:szCs w:val="24"/>
        </w:rPr>
        <w:footnoteReference w:id="4"/>
      </w:r>
      <w:r w:rsidR="00D1611C" w:rsidRPr="000E72DC">
        <w:rPr>
          <w:rFonts w:cstheme="minorHAnsi"/>
          <w:sz w:val="24"/>
          <w:szCs w:val="24"/>
        </w:rPr>
        <w:t xml:space="preserve"> and </w:t>
      </w:r>
      <w:r w:rsidR="00D1611C" w:rsidRPr="008C2E68">
        <w:rPr>
          <w:rFonts w:cstheme="minorHAnsi"/>
          <w:sz w:val="24"/>
          <w:szCs w:val="24"/>
        </w:rPr>
        <w:t xml:space="preserve">moratorium on the </w:t>
      </w:r>
      <w:r w:rsidR="00D1611C" w:rsidRPr="008C2E68">
        <w:rPr>
          <w:rFonts w:cstheme="minorHAnsi"/>
          <w:i/>
          <w:iCs/>
          <w:sz w:val="24"/>
          <w:szCs w:val="24"/>
        </w:rPr>
        <w:t>enforcement</w:t>
      </w:r>
      <w:r w:rsidR="00D1611C" w:rsidRPr="008C2E68">
        <w:rPr>
          <w:rFonts w:cstheme="minorHAnsi"/>
          <w:sz w:val="24"/>
          <w:szCs w:val="24"/>
        </w:rPr>
        <w:t xml:space="preserve"> of </w:t>
      </w:r>
      <w:r w:rsidR="00D1611C">
        <w:rPr>
          <w:rFonts w:cstheme="minorHAnsi"/>
          <w:sz w:val="24"/>
          <w:szCs w:val="24"/>
        </w:rPr>
        <w:t xml:space="preserve">mortgage </w:t>
      </w:r>
      <w:r w:rsidR="00D1611C" w:rsidRPr="008C2E68">
        <w:rPr>
          <w:rFonts w:cstheme="minorHAnsi"/>
          <w:sz w:val="24"/>
          <w:szCs w:val="24"/>
        </w:rPr>
        <w:t>possession proceedings,</w:t>
      </w:r>
      <w:r w:rsidR="00D1611C" w:rsidRPr="008C2E68">
        <w:rPr>
          <w:rFonts w:cstheme="minorHAnsi"/>
          <w:sz w:val="24"/>
          <w:szCs w:val="24"/>
          <w:vertAlign w:val="superscript"/>
        </w:rPr>
        <w:footnoteReference w:id="5"/>
      </w:r>
      <w:r w:rsidR="00D1611C" w:rsidRPr="008C2E68">
        <w:rPr>
          <w:rFonts w:cstheme="minorHAnsi"/>
          <w:sz w:val="24"/>
          <w:szCs w:val="24"/>
        </w:rPr>
        <w:t xml:space="preserve"> although mortgagees were still permitted to seek a possession order.</w:t>
      </w:r>
      <w:r w:rsidR="00D1611C" w:rsidRPr="008C2E68">
        <w:rPr>
          <w:rFonts w:cstheme="minorHAnsi"/>
          <w:sz w:val="24"/>
          <w:szCs w:val="24"/>
          <w:vertAlign w:val="superscript"/>
        </w:rPr>
        <w:footnoteReference w:id="6"/>
      </w:r>
    </w:p>
    <w:p w14:paraId="5D5B9137" w14:textId="52FBD24B" w:rsidR="00641EE1" w:rsidRPr="003D609A" w:rsidRDefault="003D609A" w:rsidP="00641EE1">
      <w:pPr>
        <w:rPr>
          <w:rFonts w:cstheme="minorHAnsi"/>
          <w:sz w:val="24"/>
          <w:szCs w:val="24"/>
        </w:rPr>
      </w:pPr>
      <w:r>
        <w:rPr>
          <w:rFonts w:cstheme="minorHAnsi"/>
          <w:sz w:val="24"/>
          <w:szCs w:val="24"/>
        </w:rPr>
        <w:t xml:space="preserve">This first article set out the methodology of the project, the </w:t>
      </w:r>
      <w:proofErr w:type="gramStart"/>
      <w:r>
        <w:rPr>
          <w:rFonts w:cstheme="minorHAnsi"/>
          <w:sz w:val="24"/>
          <w:szCs w:val="24"/>
        </w:rPr>
        <w:t>arrangements</w:t>
      </w:r>
      <w:proofErr w:type="gramEnd"/>
      <w:r>
        <w:rPr>
          <w:rFonts w:cstheme="minorHAnsi"/>
          <w:sz w:val="24"/>
          <w:szCs w:val="24"/>
        </w:rPr>
        <w:t xml:space="preserve"> for possession claims </w:t>
      </w:r>
      <w:r w:rsidRPr="007A5ADE">
        <w:rPr>
          <w:rFonts w:cstheme="minorHAnsi"/>
          <w:sz w:val="24"/>
          <w:szCs w:val="24"/>
        </w:rPr>
        <w:t xml:space="preserve">under </w:t>
      </w:r>
      <w:r>
        <w:rPr>
          <w:rFonts w:cstheme="minorHAnsi"/>
          <w:sz w:val="24"/>
          <w:szCs w:val="24"/>
        </w:rPr>
        <w:t xml:space="preserve">the </w:t>
      </w:r>
      <w:r w:rsidRPr="007A5ADE">
        <w:rPr>
          <w:rFonts w:cstheme="minorHAnsi"/>
          <w:sz w:val="24"/>
          <w:szCs w:val="24"/>
        </w:rPr>
        <w:t>new rules known as the ‘Overall Arrangements’ (OA)</w:t>
      </w:r>
      <w:r>
        <w:rPr>
          <w:rFonts w:cstheme="minorHAnsi"/>
          <w:sz w:val="24"/>
          <w:szCs w:val="24"/>
        </w:rPr>
        <w:t xml:space="preserve"> and evaluated the effectiveness of the R date procedure. </w:t>
      </w:r>
      <w:r w:rsidR="00FD3955">
        <w:rPr>
          <w:rFonts w:cstheme="minorHAnsi"/>
          <w:sz w:val="24"/>
          <w:szCs w:val="24"/>
        </w:rPr>
        <w:t>T</w:t>
      </w:r>
      <w:r>
        <w:rPr>
          <w:rFonts w:cstheme="minorHAnsi"/>
          <w:sz w:val="24"/>
          <w:szCs w:val="24"/>
        </w:rPr>
        <w:t>h</w:t>
      </w:r>
      <w:r w:rsidR="00FD3955">
        <w:rPr>
          <w:rFonts w:cstheme="minorHAnsi"/>
          <w:sz w:val="24"/>
          <w:szCs w:val="24"/>
        </w:rPr>
        <w:t>is</w:t>
      </w:r>
      <w:r>
        <w:rPr>
          <w:rFonts w:cstheme="minorHAnsi"/>
          <w:sz w:val="24"/>
          <w:szCs w:val="24"/>
        </w:rPr>
        <w:t xml:space="preserve"> second part </w:t>
      </w:r>
      <w:r w:rsidRPr="003D609A">
        <w:rPr>
          <w:rFonts w:cstheme="minorHAnsi"/>
          <w:sz w:val="24"/>
          <w:szCs w:val="24"/>
        </w:rPr>
        <w:t>exam</w:t>
      </w:r>
      <w:r>
        <w:rPr>
          <w:rFonts w:cstheme="minorHAnsi"/>
          <w:sz w:val="24"/>
          <w:szCs w:val="24"/>
        </w:rPr>
        <w:t>s</w:t>
      </w:r>
      <w:r w:rsidRPr="003D609A">
        <w:rPr>
          <w:rFonts w:cstheme="minorHAnsi"/>
          <w:sz w:val="24"/>
          <w:szCs w:val="24"/>
        </w:rPr>
        <w:t xml:space="preserve"> </w:t>
      </w:r>
      <w:r w:rsidR="00F71208">
        <w:rPr>
          <w:rFonts w:cstheme="minorHAnsi"/>
          <w:sz w:val="24"/>
          <w:szCs w:val="24"/>
        </w:rPr>
        <w:t>the extent to which</w:t>
      </w:r>
      <w:r w:rsidR="00F71208" w:rsidRPr="003D609A">
        <w:rPr>
          <w:rFonts w:cstheme="minorHAnsi"/>
          <w:sz w:val="24"/>
          <w:szCs w:val="24"/>
        </w:rPr>
        <w:t xml:space="preserve"> </w:t>
      </w:r>
      <w:r w:rsidRPr="003D609A">
        <w:rPr>
          <w:rFonts w:cstheme="minorHAnsi"/>
          <w:sz w:val="24"/>
          <w:szCs w:val="24"/>
        </w:rPr>
        <w:t xml:space="preserve">the R date </w:t>
      </w:r>
      <w:r w:rsidR="00F71208">
        <w:rPr>
          <w:rFonts w:cstheme="minorHAnsi"/>
          <w:sz w:val="24"/>
          <w:szCs w:val="24"/>
        </w:rPr>
        <w:t>achieved the objectives set out for it</w:t>
      </w:r>
      <w:r w:rsidRPr="003D609A">
        <w:rPr>
          <w:rFonts w:cstheme="minorHAnsi"/>
          <w:sz w:val="24"/>
          <w:szCs w:val="24"/>
        </w:rPr>
        <w:t xml:space="preserve"> and provide</w:t>
      </w:r>
      <w:r>
        <w:rPr>
          <w:rFonts w:cstheme="minorHAnsi"/>
          <w:sz w:val="24"/>
          <w:szCs w:val="24"/>
        </w:rPr>
        <w:t>s</w:t>
      </w:r>
      <w:r w:rsidRPr="003D609A">
        <w:rPr>
          <w:rFonts w:cstheme="minorHAnsi"/>
          <w:sz w:val="24"/>
          <w:szCs w:val="24"/>
        </w:rPr>
        <w:t xml:space="preserve"> recommendations and priorities for research.</w:t>
      </w:r>
    </w:p>
    <w:p w14:paraId="3B55064B" w14:textId="77777777" w:rsidR="00F71208" w:rsidRPr="00BE2DC7" w:rsidRDefault="00F71208" w:rsidP="00F71208">
      <w:pPr>
        <w:rPr>
          <w:rFonts w:cstheme="minorHAnsi"/>
          <w:i/>
          <w:iCs/>
          <w:sz w:val="24"/>
          <w:szCs w:val="24"/>
        </w:rPr>
      </w:pPr>
      <w:r w:rsidRPr="00BE2DC7">
        <w:rPr>
          <w:rFonts w:cstheme="minorHAnsi"/>
          <w:i/>
          <w:iCs/>
          <w:sz w:val="24"/>
          <w:szCs w:val="24"/>
        </w:rPr>
        <w:t>Did the R dates Reduce Volume in the System?</w:t>
      </w:r>
    </w:p>
    <w:p w14:paraId="6BFAB48E" w14:textId="77777777" w:rsidR="00F71208" w:rsidRPr="002809BB" w:rsidRDefault="00F71208" w:rsidP="00F71208">
      <w:pPr>
        <w:rPr>
          <w:rFonts w:cstheme="minorHAnsi"/>
          <w:sz w:val="24"/>
          <w:szCs w:val="24"/>
        </w:rPr>
      </w:pPr>
      <w:r w:rsidRPr="002809BB">
        <w:rPr>
          <w:rFonts w:cstheme="minorHAnsi"/>
          <w:sz w:val="24"/>
          <w:szCs w:val="24"/>
        </w:rPr>
        <w:t>Despite the potential for the R date process to rectify some of the failings of the pre-COVID process (in terms of ensuring earlier advice and avoiding a high proportion of adjournments</w:t>
      </w:r>
      <w:r>
        <w:rPr>
          <w:rFonts w:cstheme="minorHAnsi"/>
          <w:sz w:val="24"/>
          <w:szCs w:val="24"/>
        </w:rPr>
        <w:t xml:space="preserve"> for cases that were not ‘hearing ready’</w:t>
      </w:r>
      <w:r w:rsidRPr="002809BB">
        <w:rPr>
          <w:rFonts w:cstheme="minorHAnsi"/>
          <w:sz w:val="24"/>
          <w:szCs w:val="24"/>
        </w:rPr>
        <w:t>)</w:t>
      </w:r>
      <w:r>
        <w:rPr>
          <w:rStyle w:val="FootnoteReference"/>
          <w:rFonts w:cstheme="minorHAnsi"/>
          <w:sz w:val="24"/>
          <w:szCs w:val="24"/>
        </w:rPr>
        <w:footnoteReference w:id="7"/>
      </w:r>
      <w:r w:rsidRPr="002809BB">
        <w:rPr>
          <w:rFonts w:cstheme="minorHAnsi"/>
          <w:sz w:val="24"/>
          <w:szCs w:val="24"/>
        </w:rPr>
        <w:t xml:space="preserve"> and to address the backlog of cases that faces the civil justice system, it appears to have proven largely ineffective. </w:t>
      </w:r>
    </w:p>
    <w:p w14:paraId="722B48CE" w14:textId="6C7B61D8" w:rsidR="00641EE1" w:rsidRPr="002809BB" w:rsidRDefault="00641EE1" w:rsidP="00641EE1">
      <w:pPr>
        <w:rPr>
          <w:rFonts w:cstheme="minorHAnsi"/>
          <w:sz w:val="24"/>
          <w:szCs w:val="24"/>
        </w:rPr>
      </w:pPr>
      <w:proofErr w:type="gramStart"/>
      <w:r w:rsidRPr="002809BB">
        <w:rPr>
          <w:rFonts w:cstheme="minorHAnsi"/>
          <w:sz w:val="24"/>
          <w:szCs w:val="24"/>
        </w:rPr>
        <w:t>It would seem that rather</w:t>
      </w:r>
      <w:proofErr w:type="gramEnd"/>
      <w:r w:rsidRPr="002809BB">
        <w:rPr>
          <w:rFonts w:cstheme="minorHAnsi"/>
          <w:sz w:val="24"/>
          <w:szCs w:val="24"/>
        </w:rPr>
        <w:t xml:space="preserve"> than reducing volume in the system by enabling earlier advice and increasing settlement, the R date merely delayed cases progressing to a court hearing. While initial teething problems and administrative hurdles may have impacted on the success of the process in its early stages, it is the lack of occupier engagement that fundamentally undermined its ability to succeed. </w:t>
      </w:r>
    </w:p>
    <w:p w14:paraId="01950D09" w14:textId="77777777" w:rsidR="00641EE1" w:rsidRPr="002809BB" w:rsidRDefault="00641EE1" w:rsidP="00641EE1">
      <w:pPr>
        <w:ind w:left="720"/>
        <w:rPr>
          <w:rFonts w:cstheme="minorHAnsi"/>
          <w:i/>
          <w:iCs/>
          <w:sz w:val="24"/>
          <w:szCs w:val="24"/>
        </w:rPr>
      </w:pPr>
      <w:r w:rsidRPr="002809BB">
        <w:rPr>
          <w:rFonts w:cstheme="minorHAnsi"/>
          <w:i/>
          <w:iCs/>
          <w:sz w:val="24"/>
          <w:szCs w:val="24"/>
        </w:rPr>
        <w:t>“The R process is a valuable, but wasted, important opportunity for people who do not qualify for assistance elsewhere (through or legal aid or ineligible on residential grounds) to get advice, negotiate etc especially those facing mandatory grounds.” Duty Adviser.</w:t>
      </w:r>
    </w:p>
    <w:p w14:paraId="4E21D208" w14:textId="77777777" w:rsidR="00641EE1" w:rsidRPr="002809BB" w:rsidRDefault="00641EE1" w:rsidP="00641EE1">
      <w:pPr>
        <w:ind w:left="720"/>
        <w:rPr>
          <w:rFonts w:cstheme="minorHAnsi"/>
          <w:i/>
          <w:iCs/>
          <w:sz w:val="24"/>
          <w:szCs w:val="24"/>
        </w:rPr>
      </w:pPr>
      <w:r w:rsidRPr="002809BB">
        <w:rPr>
          <w:rFonts w:cstheme="minorHAnsi"/>
          <w:i/>
          <w:iCs/>
          <w:sz w:val="24"/>
          <w:szCs w:val="24"/>
        </w:rPr>
        <w:lastRenderedPageBreak/>
        <w:t>“Review dates work - where the defendants engage.” Duty Adviser #10.</w:t>
      </w:r>
    </w:p>
    <w:p w14:paraId="02836CDB" w14:textId="77777777" w:rsidR="00641EE1" w:rsidRPr="002809BB" w:rsidRDefault="00641EE1" w:rsidP="00641EE1">
      <w:pPr>
        <w:ind w:left="720"/>
        <w:rPr>
          <w:rFonts w:cstheme="minorHAnsi"/>
          <w:i/>
          <w:iCs/>
          <w:sz w:val="24"/>
          <w:szCs w:val="24"/>
        </w:rPr>
      </w:pPr>
      <w:r w:rsidRPr="002809BB">
        <w:rPr>
          <w:rFonts w:cstheme="minorHAnsi"/>
          <w:i/>
          <w:iCs/>
          <w:sz w:val="24"/>
          <w:szCs w:val="24"/>
        </w:rPr>
        <w:t>“</w:t>
      </w:r>
      <w:r>
        <w:rPr>
          <w:rFonts w:cstheme="minorHAnsi"/>
          <w:i/>
          <w:iCs/>
          <w:sz w:val="24"/>
          <w:szCs w:val="24"/>
        </w:rPr>
        <w:t>T</w:t>
      </w:r>
      <w:r w:rsidRPr="002809BB">
        <w:rPr>
          <w:rFonts w:cstheme="minorHAnsi"/>
          <w:i/>
          <w:iCs/>
          <w:sz w:val="24"/>
          <w:szCs w:val="24"/>
        </w:rPr>
        <w:t xml:space="preserve">he review was a good </w:t>
      </w:r>
      <w:proofErr w:type="gramStart"/>
      <w:r w:rsidRPr="002809BB">
        <w:rPr>
          <w:rFonts w:cstheme="minorHAnsi"/>
          <w:i/>
          <w:iCs/>
          <w:sz w:val="24"/>
          <w:szCs w:val="24"/>
        </w:rPr>
        <w:t>idea</w:t>
      </w:r>
      <w:proofErr w:type="gramEnd"/>
      <w:r w:rsidRPr="002809BB">
        <w:rPr>
          <w:rFonts w:cstheme="minorHAnsi"/>
          <w:i/>
          <w:iCs/>
          <w:sz w:val="24"/>
          <w:szCs w:val="24"/>
        </w:rPr>
        <w:t xml:space="preserve"> but it didn’t work in practice.” Duty Adviser #29.</w:t>
      </w:r>
    </w:p>
    <w:p w14:paraId="4E5B7DCD" w14:textId="7FC977E3" w:rsidR="00641EE1" w:rsidRPr="009933E4" w:rsidRDefault="00641EE1" w:rsidP="00641EE1">
      <w:pPr>
        <w:rPr>
          <w:rFonts w:cstheme="minorHAnsi"/>
          <w:sz w:val="24"/>
          <w:szCs w:val="24"/>
        </w:rPr>
      </w:pPr>
      <w:r w:rsidRPr="009933E4">
        <w:rPr>
          <w:rFonts w:cstheme="minorHAnsi"/>
          <w:sz w:val="24"/>
          <w:szCs w:val="24"/>
        </w:rPr>
        <w:t xml:space="preserve">This is of concern given the predicted rise in the number of cases. </w:t>
      </w:r>
      <w:r>
        <w:rPr>
          <w:rFonts w:cstheme="minorHAnsi"/>
          <w:sz w:val="24"/>
          <w:szCs w:val="24"/>
        </w:rPr>
        <w:t xml:space="preserve">Respondents </w:t>
      </w:r>
      <w:r w:rsidRPr="009933E4">
        <w:rPr>
          <w:rFonts w:cstheme="minorHAnsi"/>
          <w:bCs/>
          <w:sz w:val="24"/>
          <w:szCs w:val="24"/>
        </w:rPr>
        <w:t xml:space="preserve">to our surveys </w:t>
      </w:r>
      <w:r>
        <w:rPr>
          <w:rFonts w:cstheme="minorHAnsi"/>
          <w:bCs/>
          <w:sz w:val="24"/>
          <w:szCs w:val="24"/>
        </w:rPr>
        <w:t>for example</w:t>
      </w:r>
      <w:r w:rsidRPr="009933E4">
        <w:rPr>
          <w:rFonts w:cstheme="minorHAnsi"/>
          <w:bCs/>
          <w:sz w:val="24"/>
          <w:szCs w:val="24"/>
        </w:rPr>
        <w:t xml:space="preserve"> were consistent in their prediction that a sharp rise in possession claims is likely:</w:t>
      </w:r>
    </w:p>
    <w:p w14:paraId="26F5F16A" w14:textId="77777777" w:rsidR="00641EE1" w:rsidRPr="009933E4" w:rsidRDefault="00641EE1" w:rsidP="00641EE1">
      <w:pPr>
        <w:ind w:left="720"/>
        <w:rPr>
          <w:rFonts w:cstheme="minorHAnsi"/>
          <w:i/>
          <w:iCs/>
          <w:sz w:val="24"/>
          <w:szCs w:val="24"/>
        </w:rPr>
      </w:pPr>
      <w:r w:rsidRPr="009933E4">
        <w:rPr>
          <w:rFonts w:cstheme="minorHAnsi"/>
          <w:i/>
          <w:iCs/>
          <w:sz w:val="24"/>
          <w:szCs w:val="24"/>
        </w:rPr>
        <w:t>“It will take a long time for the court system to clear the backlog of work due to the pandemic.” Debt Adviser #9.</w:t>
      </w:r>
    </w:p>
    <w:p w14:paraId="443B32CB" w14:textId="77777777" w:rsidR="00641EE1" w:rsidRPr="009933E4" w:rsidRDefault="00641EE1" w:rsidP="00641EE1">
      <w:pPr>
        <w:ind w:left="720"/>
        <w:rPr>
          <w:rFonts w:cstheme="minorHAnsi"/>
          <w:i/>
          <w:iCs/>
          <w:sz w:val="24"/>
          <w:szCs w:val="24"/>
        </w:rPr>
      </w:pPr>
      <w:r w:rsidRPr="009933E4">
        <w:rPr>
          <w:rFonts w:cstheme="minorHAnsi"/>
          <w:i/>
          <w:iCs/>
          <w:sz w:val="24"/>
          <w:szCs w:val="24"/>
        </w:rPr>
        <w:t>“Pauses in evictions were great but now they are allowed again we are facing a tsunami there should be a proper plan in place to address it rather than delaying it.” Debt Adviser #20.</w:t>
      </w:r>
    </w:p>
    <w:p w14:paraId="2E1873EF" w14:textId="77777777" w:rsidR="00641EE1" w:rsidRPr="009933E4" w:rsidRDefault="00641EE1" w:rsidP="00641EE1">
      <w:pPr>
        <w:ind w:left="720"/>
        <w:rPr>
          <w:rFonts w:cstheme="minorHAnsi"/>
          <w:i/>
          <w:iCs/>
          <w:sz w:val="24"/>
          <w:szCs w:val="24"/>
        </w:rPr>
      </w:pPr>
      <w:r w:rsidRPr="009933E4">
        <w:rPr>
          <w:rFonts w:cstheme="minorHAnsi"/>
          <w:i/>
          <w:iCs/>
          <w:sz w:val="24"/>
          <w:szCs w:val="24"/>
        </w:rPr>
        <w:t xml:space="preserve">“The eviction ban has seen us deal with fewer housing debt </w:t>
      </w:r>
      <w:proofErr w:type="gramStart"/>
      <w:r w:rsidRPr="009933E4">
        <w:rPr>
          <w:rFonts w:cstheme="minorHAnsi"/>
          <w:i/>
          <w:iCs/>
          <w:sz w:val="24"/>
          <w:szCs w:val="24"/>
        </w:rPr>
        <w:t>cases</w:t>
      </w:r>
      <w:proofErr w:type="gramEnd"/>
      <w:r w:rsidRPr="009933E4">
        <w:rPr>
          <w:rFonts w:cstheme="minorHAnsi"/>
          <w:i/>
          <w:iCs/>
          <w:sz w:val="24"/>
          <w:szCs w:val="24"/>
        </w:rPr>
        <w:t xml:space="preserve"> but I expect this will sky rocket soon.” Debt Adviser #25.</w:t>
      </w:r>
    </w:p>
    <w:p w14:paraId="7B2457A9" w14:textId="77777777" w:rsidR="00641EE1" w:rsidRDefault="00641EE1" w:rsidP="00641EE1">
      <w:pPr>
        <w:rPr>
          <w:rFonts w:cstheme="minorHAnsi"/>
          <w:bCs/>
          <w:sz w:val="24"/>
          <w:szCs w:val="24"/>
        </w:rPr>
      </w:pPr>
      <w:bookmarkStart w:id="0" w:name="_Toc90458456"/>
      <w:r w:rsidRPr="009933E4">
        <w:rPr>
          <w:rFonts w:cstheme="minorHAnsi"/>
          <w:bCs/>
          <w:sz w:val="24"/>
          <w:szCs w:val="24"/>
        </w:rPr>
        <w:t>Whitehead and Holman, however, argue that the extended notice periods for tenants and inability of the court system to deal with the backlog of cases mean that, rather than a spike in possession claims, ‘there will be a long slow-burn which will leave more and more tenants - and sometimes their landlords - running up debt and feeling highly insecure.’</w:t>
      </w:r>
      <w:r w:rsidRPr="009933E4">
        <w:rPr>
          <w:rFonts w:cstheme="minorHAnsi"/>
          <w:bCs/>
          <w:sz w:val="24"/>
          <w:szCs w:val="24"/>
          <w:vertAlign w:val="superscript"/>
        </w:rPr>
        <w:footnoteReference w:id="8"/>
      </w:r>
      <w:r w:rsidRPr="009933E4">
        <w:rPr>
          <w:rFonts w:cstheme="minorHAnsi"/>
          <w:bCs/>
          <w:sz w:val="24"/>
          <w:szCs w:val="24"/>
        </w:rPr>
        <w:t xml:space="preserve"> </w:t>
      </w:r>
      <w:r w:rsidRPr="006C4DBF">
        <w:rPr>
          <w:rFonts w:cstheme="minorHAnsi"/>
          <w:bCs/>
          <w:sz w:val="24"/>
          <w:szCs w:val="24"/>
        </w:rPr>
        <w:t>Whether the apparent backlog of cases waiting in the wings</w:t>
      </w:r>
      <w:r w:rsidRPr="006C4DBF">
        <w:rPr>
          <w:rFonts w:cstheme="minorHAnsi"/>
          <w:bCs/>
          <w:sz w:val="24"/>
          <w:szCs w:val="24"/>
          <w:vertAlign w:val="superscript"/>
        </w:rPr>
        <w:footnoteReference w:id="9"/>
      </w:r>
      <w:r w:rsidRPr="006C4DBF">
        <w:rPr>
          <w:rFonts w:cstheme="minorHAnsi"/>
          <w:bCs/>
          <w:sz w:val="24"/>
          <w:szCs w:val="24"/>
        </w:rPr>
        <w:t xml:space="preserve"> arrives as a </w:t>
      </w:r>
      <w:r>
        <w:rPr>
          <w:rFonts w:cstheme="minorHAnsi"/>
          <w:bCs/>
          <w:sz w:val="24"/>
          <w:szCs w:val="24"/>
        </w:rPr>
        <w:t>‘</w:t>
      </w:r>
      <w:r w:rsidRPr="006C4DBF">
        <w:rPr>
          <w:rFonts w:cstheme="minorHAnsi"/>
          <w:bCs/>
          <w:sz w:val="24"/>
          <w:szCs w:val="24"/>
        </w:rPr>
        <w:t>slow burn</w:t>
      </w:r>
      <w:r>
        <w:rPr>
          <w:rFonts w:cstheme="minorHAnsi"/>
          <w:bCs/>
          <w:sz w:val="24"/>
          <w:szCs w:val="24"/>
        </w:rPr>
        <w:t>’</w:t>
      </w:r>
      <w:r w:rsidRPr="006C4DBF">
        <w:rPr>
          <w:rFonts w:cstheme="minorHAnsi"/>
          <w:bCs/>
          <w:sz w:val="24"/>
          <w:szCs w:val="24"/>
        </w:rPr>
        <w:t xml:space="preserve"> or a </w:t>
      </w:r>
      <w:r>
        <w:rPr>
          <w:rFonts w:cstheme="minorHAnsi"/>
          <w:bCs/>
          <w:sz w:val="24"/>
          <w:szCs w:val="24"/>
        </w:rPr>
        <w:t>‘</w:t>
      </w:r>
      <w:r w:rsidRPr="006C4DBF">
        <w:rPr>
          <w:rFonts w:cstheme="minorHAnsi"/>
          <w:bCs/>
          <w:sz w:val="24"/>
          <w:szCs w:val="24"/>
        </w:rPr>
        <w:t>tsunami</w:t>
      </w:r>
      <w:r>
        <w:rPr>
          <w:rFonts w:cstheme="minorHAnsi"/>
          <w:bCs/>
          <w:sz w:val="24"/>
          <w:szCs w:val="24"/>
        </w:rPr>
        <w:t>’</w:t>
      </w:r>
      <w:r w:rsidRPr="006C4DBF">
        <w:rPr>
          <w:rFonts w:cstheme="minorHAnsi"/>
          <w:bCs/>
          <w:sz w:val="24"/>
          <w:szCs w:val="24"/>
        </w:rPr>
        <w:t>, it seems evident that the civil justice system will have to implement measures designed to handle the influx so as to ‘enable the courts to deal with cases justly and at proportionate cost’.</w:t>
      </w:r>
      <w:r w:rsidRPr="006C4DBF">
        <w:rPr>
          <w:rFonts w:cstheme="minorHAnsi"/>
          <w:bCs/>
          <w:sz w:val="24"/>
          <w:szCs w:val="24"/>
          <w:vertAlign w:val="superscript"/>
        </w:rPr>
        <w:footnoteReference w:id="10"/>
      </w:r>
    </w:p>
    <w:p w14:paraId="3C43E54E" w14:textId="77777777" w:rsidR="00641EE1" w:rsidRPr="00BE2DC7" w:rsidRDefault="00641EE1" w:rsidP="00641EE1">
      <w:pPr>
        <w:rPr>
          <w:rFonts w:cstheme="minorHAnsi"/>
          <w:i/>
          <w:iCs/>
          <w:sz w:val="24"/>
          <w:szCs w:val="24"/>
        </w:rPr>
      </w:pPr>
      <w:r w:rsidRPr="00BE2DC7">
        <w:rPr>
          <w:rFonts w:cstheme="minorHAnsi"/>
          <w:i/>
          <w:iCs/>
          <w:sz w:val="24"/>
          <w:szCs w:val="24"/>
        </w:rPr>
        <w:t>Did the R date Prove Effective in Taking Account of the Effect of the Pandemic on All Parties?</w:t>
      </w:r>
      <w:bookmarkEnd w:id="0"/>
    </w:p>
    <w:p w14:paraId="13C0C55E" w14:textId="77777777" w:rsidR="00641EE1" w:rsidRPr="009933E4" w:rsidRDefault="00641EE1" w:rsidP="00641EE1">
      <w:pPr>
        <w:rPr>
          <w:rFonts w:cstheme="minorHAnsi"/>
          <w:sz w:val="24"/>
          <w:szCs w:val="24"/>
        </w:rPr>
      </w:pPr>
      <w:r w:rsidRPr="009933E4">
        <w:rPr>
          <w:rFonts w:cstheme="minorHAnsi"/>
          <w:sz w:val="24"/>
          <w:szCs w:val="24"/>
        </w:rPr>
        <w:t xml:space="preserve">It would seem, according to the responses received in our surveys, that the requirement for ‘enhanced information’ </w:t>
      </w:r>
      <w:r>
        <w:rPr>
          <w:rFonts w:cstheme="minorHAnsi"/>
          <w:sz w:val="24"/>
          <w:szCs w:val="24"/>
        </w:rPr>
        <w:t xml:space="preserve">before the R date </w:t>
      </w:r>
      <w:r w:rsidRPr="009933E4">
        <w:rPr>
          <w:rFonts w:cstheme="minorHAnsi"/>
          <w:sz w:val="24"/>
          <w:szCs w:val="24"/>
        </w:rPr>
        <w:t xml:space="preserve">was an improvement. However, the extent to which it enabled the court to </w:t>
      </w:r>
      <w:proofErr w:type="gramStart"/>
      <w:r w:rsidRPr="009933E4">
        <w:rPr>
          <w:rFonts w:cstheme="minorHAnsi"/>
          <w:sz w:val="24"/>
          <w:szCs w:val="24"/>
        </w:rPr>
        <w:t>take into account</w:t>
      </w:r>
      <w:proofErr w:type="gramEnd"/>
      <w:r w:rsidRPr="009933E4">
        <w:rPr>
          <w:rFonts w:cstheme="minorHAnsi"/>
          <w:sz w:val="24"/>
          <w:szCs w:val="24"/>
        </w:rPr>
        <w:t xml:space="preserve"> the effect of the pandemic on all parties appears to have been more limited. Half of the duty advisers, for example, thought that the judge now receives more information compared to pre-COVID cases. </w:t>
      </w:r>
      <w:proofErr w:type="gramStart"/>
      <w:r w:rsidRPr="009933E4">
        <w:rPr>
          <w:rFonts w:cstheme="minorHAnsi"/>
          <w:sz w:val="24"/>
          <w:szCs w:val="24"/>
        </w:rPr>
        <w:t>In particular, there</w:t>
      </w:r>
      <w:proofErr w:type="gramEnd"/>
      <w:r w:rsidRPr="009933E4">
        <w:rPr>
          <w:rFonts w:cstheme="minorHAnsi"/>
          <w:sz w:val="24"/>
          <w:szCs w:val="24"/>
        </w:rPr>
        <w:t xml:space="preserve"> was praise for the electronic bundle of 'enhanced information', </w:t>
      </w:r>
    </w:p>
    <w:p w14:paraId="65606D6E" w14:textId="77777777" w:rsidR="00641EE1" w:rsidRPr="009933E4" w:rsidRDefault="00641EE1" w:rsidP="00641EE1">
      <w:pPr>
        <w:ind w:left="720"/>
        <w:rPr>
          <w:rFonts w:cstheme="minorHAnsi"/>
          <w:i/>
          <w:iCs/>
          <w:sz w:val="24"/>
          <w:szCs w:val="24"/>
        </w:rPr>
      </w:pPr>
      <w:r w:rsidRPr="009933E4">
        <w:rPr>
          <w:rFonts w:cstheme="minorHAnsi"/>
          <w:i/>
          <w:iCs/>
          <w:sz w:val="24"/>
          <w:szCs w:val="24"/>
        </w:rPr>
        <w:t>“The provision of the court bundle is a massive improvement on the pre-covid situation and very helpful to duty advisors.” Duty Adviser #3</w:t>
      </w:r>
    </w:p>
    <w:p w14:paraId="3F52FD56" w14:textId="77777777" w:rsidR="00641EE1" w:rsidRPr="009933E4" w:rsidRDefault="00641EE1" w:rsidP="00641EE1">
      <w:pPr>
        <w:ind w:left="720"/>
        <w:rPr>
          <w:rFonts w:cstheme="minorHAnsi"/>
          <w:i/>
          <w:iCs/>
          <w:sz w:val="24"/>
          <w:szCs w:val="24"/>
        </w:rPr>
      </w:pPr>
      <w:r w:rsidRPr="009933E4">
        <w:rPr>
          <w:rFonts w:cstheme="minorHAnsi"/>
          <w:i/>
          <w:iCs/>
          <w:sz w:val="24"/>
          <w:szCs w:val="24"/>
        </w:rPr>
        <w:t>“The S date bundle is an incredibly helpful addition as often on duty we have no papers at all!” Duty Adviser #16</w:t>
      </w:r>
    </w:p>
    <w:p w14:paraId="6DCDA70E" w14:textId="77777777" w:rsidR="00641EE1" w:rsidRPr="009933E4" w:rsidRDefault="00641EE1" w:rsidP="00641EE1">
      <w:pPr>
        <w:ind w:left="720"/>
        <w:rPr>
          <w:rFonts w:cstheme="minorHAnsi"/>
          <w:i/>
          <w:iCs/>
          <w:sz w:val="24"/>
          <w:szCs w:val="24"/>
        </w:rPr>
      </w:pPr>
      <w:r w:rsidRPr="009933E4">
        <w:rPr>
          <w:rFonts w:cstheme="minorHAnsi"/>
          <w:i/>
          <w:iCs/>
          <w:sz w:val="24"/>
          <w:szCs w:val="24"/>
        </w:rPr>
        <w:lastRenderedPageBreak/>
        <w:t>“What helps is that all the relevant information is in one place and can usually be easily emailed to the duty adviser. This greatly assists with giving Defendants advice.” Duty Adviser #21</w:t>
      </w:r>
    </w:p>
    <w:p w14:paraId="058EA3A0" w14:textId="77777777" w:rsidR="00641EE1" w:rsidRPr="009933E4" w:rsidRDefault="00641EE1" w:rsidP="00641EE1">
      <w:pPr>
        <w:rPr>
          <w:rFonts w:cstheme="minorHAnsi"/>
          <w:sz w:val="24"/>
          <w:szCs w:val="24"/>
        </w:rPr>
      </w:pPr>
      <w:r w:rsidRPr="009933E4">
        <w:rPr>
          <w:rFonts w:cstheme="minorHAnsi"/>
          <w:sz w:val="24"/>
          <w:szCs w:val="24"/>
        </w:rPr>
        <w:t>However, concerns were also expressed that claimants are not required to ask defendants about the impact of the pandemic on them and that judges do not consider in detail the enhanced information presented to them:</w:t>
      </w:r>
    </w:p>
    <w:p w14:paraId="4C27D504" w14:textId="77777777" w:rsidR="00641EE1" w:rsidRPr="009933E4" w:rsidRDefault="00641EE1" w:rsidP="00641EE1">
      <w:pPr>
        <w:ind w:left="720"/>
        <w:rPr>
          <w:rFonts w:cstheme="minorHAnsi"/>
          <w:i/>
          <w:iCs/>
          <w:sz w:val="24"/>
          <w:szCs w:val="24"/>
        </w:rPr>
      </w:pPr>
      <w:r w:rsidRPr="009933E4">
        <w:rPr>
          <w:rFonts w:cstheme="minorHAnsi"/>
          <w:i/>
          <w:iCs/>
          <w:sz w:val="24"/>
          <w:szCs w:val="24"/>
        </w:rPr>
        <w:t xml:space="preserve">“I am more likely to get more information and do a better job in court because it is more likely that the court can send me a copy of the papers! The judges do not seem to pay much regard to the </w:t>
      </w:r>
      <w:r>
        <w:rPr>
          <w:rFonts w:cstheme="minorHAnsi"/>
          <w:i/>
          <w:iCs/>
          <w:sz w:val="24"/>
          <w:szCs w:val="24"/>
        </w:rPr>
        <w:t>COVID</w:t>
      </w:r>
      <w:r w:rsidRPr="009933E4">
        <w:rPr>
          <w:rFonts w:cstheme="minorHAnsi"/>
          <w:i/>
          <w:iCs/>
          <w:sz w:val="24"/>
          <w:szCs w:val="24"/>
        </w:rPr>
        <w:t xml:space="preserve"> papers.” Duty Adviser #10</w:t>
      </w:r>
    </w:p>
    <w:p w14:paraId="2F23D485" w14:textId="77777777" w:rsidR="00641EE1" w:rsidRPr="009933E4" w:rsidRDefault="00641EE1" w:rsidP="00641EE1">
      <w:pPr>
        <w:ind w:left="720"/>
        <w:rPr>
          <w:rFonts w:cstheme="minorHAnsi"/>
          <w:sz w:val="24"/>
          <w:szCs w:val="24"/>
        </w:rPr>
      </w:pPr>
      <w:r w:rsidRPr="009933E4">
        <w:rPr>
          <w:rFonts w:cstheme="minorHAnsi"/>
          <w:i/>
          <w:iCs/>
          <w:sz w:val="24"/>
          <w:szCs w:val="24"/>
        </w:rPr>
        <w:t>“Whatever information is received the judge will stick with what is relevant.” Duty Adviser #20</w:t>
      </w:r>
    </w:p>
    <w:p w14:paraId="0C9CB289" w14:textId="77777777" w:rsidR="00641EE1" w:rsidRPr="009933E4" w:rsidRDefault="00641EE1" w:rsidP="00641EE1">
      <w:pPr>
        <w:ind w:left="720"/>
        <w:rPr>
          <w:rFonts w:cstheme="minorHAnsi"/>
          <w:i/>
          <w:iCs/>
          <w:sz w:val="24"/>
          <w:szCs w:val="24"/>
        </w:rPr>
      </w:pPr>
      <w:r w:rsidRPr="009933E4">
        <w:rPr>
          <w:rFonts w:cstheme="minorHAnsi"/>
          <w:i/>
          <w:iCs/>
          <w:sz w:val="24"/>
          <w:szCs w:val="24"/>
        </w:rPr>
        <w:t>“There have been no sanctions so far where Claimants don't provide the information that they are required to.” Duty Adviser #25</w:t>
      </w:r>
    </w:p>
    <w:p w14:paraId="7279D86E" w14:textId="77777777" w:rsidR="00641EE1" w:rsidRPr="009933E4" w:rsidRDefault="00641EE1" w:rsidP="00641EE1">
      <w:pPr>
        <w:rPr>
          <w:rFonts w:cstheme="minorHAnsi"/>
          <w:sz w:val="24"/>
          <w:szCs w:val="24"/>
        </w:rPr>
      </w:pPr>
      <w:r w:rsidRPr="009933E4">
        <w:rPr>
          <w:rFonts w:cstheme="minorHAnsi"/>
          <w:sz w:val="24"/>
          <w:szCs w:val="24"/>
        </w:rPr>
        <w:t>While there was again praise for the electronic bundle of 'enhanced information', most legal practitioner respondents criticised the PD55C notices (these require claimants to set out what knowledge they have as to the effect of the Coronavirus pandemic on the defendant and their dependants),</w:t>
      </w:r>
      <w:r w:rsidRPr="009933E4">
        <w:rPr>
          <w:rFonts w:cstheme="minorHAnsi"/>
          <w:sz w:val="24"/>
          <w:szCs w:val="24"/>
          <w:vertAlign w:val="superscript"/>
        </w:rPr>
        <w:footnoteReference w:id="11"/>
      </w:r>
    </w:p>
    <w:p w14:paraId="4770E9AC" w14:textId="77777777" w:rsidR="00641EE1" w:rsidRPr="009933E4" w:rsidRDefault="00641EE1" w:rsidP="00641EE1">
      <w:pPr>
        <w:ind w:left="720"/>
        <w:rPr>
          <w:rFonts w:cstheme="minorHAnsi"/>
          <w:i/>
          <w:iCs/>
          <w:sz w:val="24"/>
          <w:szCs w:val="24"/>
        </w:rPr>
      </w:pPr>
      <w:r w:rsidRPr="009933E4">
        <w:rPr>
          <w:rFonts w:cstheme="minorHAnsi"/>
          <w:i/>
          <w:iCs/>
          <w:sz w:val="24"/>
          <w:szCs w:val="24"/>
        </w:rPr>
        <w:t>“Judges appear to be better prepared.” Legal Practitioner #23</w:t>
      </w:r>
    </w:p>
    <w:p w14:paraId="51C1531C" w14:textId="77777777" w:rsidR="00641EE1" w:rsidRPr="009933E4" w:rsidRDefault="00641EE1" w:rsidP="00641EE1">
      <w:pPr>
        <w:ind w:left="720"/>
        <w:rPr>
          <w:rFonts w:cstheme="minorHAnsi"/>
          <w:i/>
          <w:iCs/>
          <w:sz w:val="24"/>
          <w:szCs w:val="24"/>
        </w:rPr>
      </w:pPr>
      <w:r w:rsidRPr="009933E4">
        <w:rPr>
          <w:rFonts w:cstheme="minorHAnsi"/>
          <w:i/>
          <w:iCs/>
          <w:sz w:val="24"/>
          <w:szCs w:val="24"/>
        </w:rPr>
        <w:t>"Unnecessary procedural steps (PD55C notices) are a pointless overcomplication." Legal Practitioner #12.</w:t>
      </w:r>
    </w:p>
    <w:p w14:paraId="009E3B08" w14:textId="77777777" w:rsidR="00641EE1" w:rsidRPr="009933E4" w:rsidRDefault="00641EE1" w:rsidP="00641EE1">
      <w:pPr>
        <w:ind w:left="720"/>
        <w:rPr>
          <w:rFonts w:cstheme="minorHAnsi"/>
          <w:i/>
          <w:iCs/>
          <w:sz w:val="24"/>
          <w:szCs w:val="24"/>
        </w:rPr>
      </w:pPr>
      <w:r w:rsidRPr="009933E4">
        <w:rPr>
          <w:rFonts w:cstheme="minorHAnsi"/>
          <w:i/>
          <w:iCs/>
          <w:sz w:val="24"/>
          <w:szCs w:val="24"/>
        </w:rPr>
        <w:t xml:space="preserve">“PD55C notices seem to encourage Claimants to provide details that they otherwise may not. However, in </w:t>
      </w:r>
      <w:proofErr w:type="gramStart"/>
      <w:r w:rsidRPr="009933E4">
        <w:rPr>
          <w:rFonts w:cstheme="minorHAnsi"/>
          <w:i/>
          <w:iCs/>
          <w:sz w:val="24"/>
          <w:szCs w:val="24"/>
        </w:rPr>
        <w:t>the majority of</w:t>
      </w:r>
      <w:proofErr w:type="gramEnd"/>
      <w:r w:rsidRPr="009933E4">
        <w:rPr>
          <w:rFonts w:cstheme="minorHAnsi"/>
          <w:i/>
          <w:iCs/>
          <w:sz w:val="24"/>
          <w:szCs w:val="24"/>
        </w:rPr>
        <w:t xml:space="preserve"> cases, the Claimant appears to take no step to acquire information and simply state that they have no knowledge.” Legal Practitioner #8.</w:t>
      </w:r>
    </w:p>
    <w:p w14:paraId="514B5DEC" w14:textId="77777777" w:rsidR="00641EE1" w:rsidRPr="009933E4" w:rsidRDefault="00641EE1" w:rsidP="00641EE1">
      <w:pPr>
        <w:rPr>
          <w:rFonts w:cstheme="minorHAnsi"/>
          <w:sz w:val="24"/>
          <w:szCs w:val="24"/>
        </w:rPr>
      </w:pPr>
      <w:r w:rsidRPr="009933E4">
        <w:rPr>
          <w:rFonts w:cstheme="minorHAnsi"/>
          <w:sz w:val="24"/>
          <w:szCs w:val="24"/>
        </w:rPr>
        <w:t>It is perhaps interesting to note that it is the PD55C notices that constitute the only aspect of the OA that have been retained after 1 November 2021.</w:t>
      </w:r>
      <w:r w:rsidRPr="009933E4">
        <w:rPr>
          <w:rFonts w:cstheme="minorHAnsi"/>
          <w:sz w:val="24"/>
          <w:szCs w:val="24"/>
          <w:vertAlign w:val="superscript"/>
        </w:rPr>
        <w:footnoteReference w:id="12"/>
      </w:r>
    </w:p>
    <w:p w14:paraId="535F1388" w14:textId="77777777" w:rsidR="00641EE1" w:rsidRPr="009933E4" w:rsidRDefault="00641EE1" w:rsidP="00641EE1">
      <w:pPr>
        <w:rPr>
          <w:rFonts w:cstheme="minorHAnsi"/>
          <w:sz w:val="24"/>
          <w:szCs w:val="24"/>
        </w:rPr>
      </w:pPr>
      <w:r w:rsidRPr="009933E4">
        <w:rPr>
          <w:rFonts w:cstheme="minorHAnsi"/>
          <w:sz w:val="24"/>
          <w:szCs w:val="24"/>
        </w:rPr>
        <w:t>Overall, it seems that the</w:t>
      </w:r>
      <w:r>
        <w:rPr>
          <w:rFonts w:cstheme="minorHAnsi"/>
          <w:sz w:val="24"/>
          <w:szCs w:val="24"/>
        </w:rPr>
        <w:t xml:space="preserve"> R date process was improved </w:t>
      </w:r>
      <w:proofErr w:type="gramStart"/>
      <w:r>
        <w:rPr>
          <w:rFonts w:cstheme="minorHAnsi"/>
          <w:sz w:val="24"/>
          <w:szCs w:val="24"/>
        </w:rPr>
        <w:t>as a result of</w:t>
      </w:r>
      <w:proofErr w:type="gramEnd"/>
      <w:r>
        <w:rPr>
          <w:rFonts w:cstheme="minorHAnsi"/>
          <w:sz w:val="24"/>
          <w:szCs w:val="24"/>
        </w:rPr>
        <w:t xml:space="preserve"> the</w:t>
      </w:r>
      <w:r w:rsidRPr="009933E4">
        <w:rPr>
          <w:rFonts w:cstheme="minorHAnsi"/>
          <w:sz w:val="24"/>
          <w:szCs w:val="24"/>
        </w:rPr>
        <w:t xml:space="preserve"> electronic bundle of enhanced information </w:t>
      </w:r>
      <w:r>
        <w:rPr>
          <w:rFonts w:cstheme="minorHAnsi"/>
          <w:sz w:val="24"/>
          <w:szCs w:val="24"/>
        </w:rPr>
        <w:t>as it</w:t>
      </w:r>
      <w:r w:rsidRPr="009933E4">
        <w:rPr>
          <w:rFonts w:cstheme="minorHAnsi"/>
          <w:sz w:val="24"/>
          <w:szCs w:val="24"/>
        </w:rPr>
        <w:t xml:space="preserve"> ensur</w:t>
      </w:r>
      <w:r>
        <w:rPr>
          <w:rFonts w:cstheme="minorHAnsi"/>
          <w:sz w:val="24"/>
          <w:szCs w:val="24"/>
        </w:rPr>
        <w:t>ed</w:t>
      </w:r>
      <w:r w:rsidRPr="009933E4">
        <w:rPr>
          <w:rFonts w:cstheme="minorHAnsi"/>
          <w:sz w:val="24"/>
          <w:szCs w:val="24"/>
        </w:rPr>
        <w:t xml:space="preserve"> that more informed advice could be provided to occupiers by duty advisers. There is some question over the extent to which judges did or were able to take this information into account. </w:t>
      </w:r>
      <w:r>
        <w:rPr>
          <w:rFonts w:cstheme="minorHAnsi"/>
          <w:sz w:val="24"/>
          <w:szCs w:val="24"/>
        </w:rPr>
        <w:t xml:space="preserve">More research is needed on this </w:t>
      </w:r>
      <w:proofErr w:type="gramStart"/>
      <w:r>
        <w:rPr>
          <w:rFonts w:cstheme="minorHAnsi"/>
          <w:sz w:val="24"/>
          <w:szCs w:val="24"/>
        </w:rPr>
        <w:t>but,</w:t>
      </w:r>
      <w:proofErr w:type="gramEnd"/>
      <w:r>
        <w:rPr>
          <w:rFonts w:cstheme="minorHAnsi"/>
          <w:sz w:val="24"/>
          <w:szCs w:val="24"/>
        </w:rPr>
        <w:t xml:space="preserve"> a</w:t>
      </w:r>
      <w:r w:rsidRPr="009933E4">
        <w:rPr>
          <w:rFonts w:cstheme="minorHAnsi"/>
          <w:sz w:val="24"/>
          <w:szCs w:val="24"/>
        </w:rPr>
        <w:t>s was noted earlier, while the OA changed some of the procedure for handling possession claims, it did not change the substantive law. In cases involving mandatory claims for possession,</w:t>
      </w:r>
      <w:r>
        <w:rPr>
          <w:rStyle w:val="FootnoteReference"/>
          <w:rFonts w:cstheme="minorHAnsi"/>
          <w:sz w:val="24"/>
          <w:szCs w:val="24"/>
        </w:rPr>
        <w:footnoteReference w:id="13"/>
      </w:r>
      <w:r w:rsidRPr="009933E4">
        <w:rPr>
          <w:rFonts w:cstheme="minorHAnsi"/>
          <w:sz w:val="24"/>
          <w:szCs w:val="24"/>
        </w:rPr>
        <w:t xml:space="preserve"> </w:t>
      </w:r>
      <w:r w:rsidRPr="009933E4">
        <w:rPr>
          <w:rFonts w:cstheme="minorHAnsi"/>
          <w:sz w:val="24"/>
          <w:szCs w:val="24"/>
        </w:rPr>
        <w:lastRenderedPageBreak/>
        <w:t>therefore</w:t>
      </w:r>
      <w:r>
        <w:rPr>
          <w:rFonts w:cstheme="minorHAnsi"/>
          <w:sz w:val="24"/>
          <w:szCs w:val="24"/>
        </w:rPr>
        <w:t>,</w:t>
      </w:r>
      <w:r w:rsidRPr="009933E4">
        <w:rPr>
          <w:rFonts w:cstheme="minorHAnsi"/>
          <w:sz w:val="24"/>
          <w:szCs w:val="24"/>
        </w:rPr>
        <w:t xml:space="preserve"> the impact of the pandemic on the parties could have no influence over the judge’s decision. </w:t>
      </w:r>
    </w:p>
    <w:p w14:paraId="017D23D3" w14:textId="77777777" w:rsidR="00641EE1" w:rsidRPr="00BE2DC7" w:rsidRDefault="00641EE1" w:rsidP="00641EE1">
      <w:pPr>
        <w:rPr>
          <w:rFonts w:cstheme="minorHAnsi"/>
          <w:i/>
          <w:iCs/>
          <w:sz w:val="24"/>
          <w:szCs w:val="24"/>
        </w:rPr>
      </w:pPr>
      <w:bookmarkStart w:id="1" w:name="_Toc90458457"/>
      <w:r w:rsidRPr="00BE2DC7">
        <w:rPr>
          <w:rFonts w:cstheme="minorHAnsi"/>
          <w:i/>
          <w:iCs/>
          <w:sz w:val="24"/>
          <w:szCs w:val="24"/>
        </w:rPr>
        <w:t>Did the R date Maintain Confidence in the Fairness of Outcomes?</w:t>
      </w:r>
      <w:bookmarkEnd w:id="1"/>
    </w:p>
    <w:p w14:paraId="38D3F9D8" w14:textId="77777777" w:rsidR="00641EE1" w:rsidRPr="009933E4" w:rsidRDefault="00641EE1" w:rsidP="00641EE1">
      <w:pPr>
        <w:rPr>
          <w:rFonts w:cstheme="minorHAnsi"/>
          <w:sz w:val="24"/>
          <w:szCs w:val="24"/>
        </w:rPr>
      </w:pPr>
      <w:r w:rsidRPr="009933E4">
        <w:rPr>
          <w:rFonts w:cstheme="minorHAnsi"/>
          <w:sz w:val="24"/>
          <w:szCs w:val="24"/>
        </w:rPr>
        <w:t>One question that arises here is how we define and assess ‘fairness’ in this context? We might for example look to Article 6 of the Human Rights Act 1998 which states that a fair and public hearing is one that:</w:t>
      </w:r>
    </w:p>
    <w:p w14:paraId="3724A30B" w14:textId="77777777" w:rsidR="00641EE1" w:rsidRPr="009933E4" w:rsidRDefault="00641EE1" w:rsidP="00641EE1">
      <w:pPr>
        <w:numPr>
          <w:ilvl w:val="0"/>
          <w:numId w:val="1"/>
        </w:numPr>
        <w:rPr>
          <w:rFonts w:cstheme="minorHAnsi"/>
          <w:sz w:val="24"/>
          <w:szCs w:val="24"/>
        </w:rPr>
      </w:pPr>
      <w:r w:rsidRPr="009933E4">
        <w:rPr>
          <w:rFonts w:cstheme="minorHAnsi"/>
          <w:sz w:val="24"/>
          <w:szCs w:val="24"/>
        </w:rPr>
        <w:t>is held within a reasonable time</w:t>
      </w:r>
    </w:p>
    <w:p w14:paraId="138FBE8E" w14:textId="77777777" w:rsidR="00641EE1" w:rsidRPr="009933E4" w:rsidRDefault="00641EE1" w:rsidP="00641EE1">
      <w:pPr>
        <w:numPr>
          <w:ilvl w:val="0"/>
          <w:numId w:val="1"/>
        </w:numPr>
        <w:rPr>
          <w:rFonts w:cstheme="minorHAnsi"/>
          <w:sz w:val="24"/>
          <w:szCs w:val="24"/>
        </w:rPr>
      </w:pPr>
      <w:r w:rsidRPr="009933E4">
        <w:rPr>
          <w:rFonts w:cstheme="minorHAnsi"/>
          <w:sz w:val="24"/>
          <w:szCs w:val="24"/>
        </w:rPr>
        <w:t>is heard by an independent and impartial decision-maker</w:t>
      </w:r>
    </w:p>
    <w:p w14:paraId="0C8E1419" w14:textId="77777777" w:rsidR="00641EE1" w:rsidRPr="009933E4" w:rsidRDefault="00641EE1" w:rsidP="00641EE1">
      <w:pPr>
        <w:numPr>
          <w:ilvl w:val="0"/>
          <w:numId w:val="1"/>
        </w:numPr>
        <w:rPr>
          <w:rFonts w:cstheme="minorHAnsi"/>
          <w:sz w:val="24"/>
          <w:szCs w:val="24"/>
        </w:rPr>
      </w:pPr>
      <w:r w:rsidRPr="009933E4">
        <w:rPr>
          <w:rFonts w:cstheme="minorHAnsi"/>
          <w:sz w:val="24"/>
          <w:szCs w:val="24"/>
        </w:rPr>
        <w:t>gives you all the relevant information</w:t>
      </w:r>
    </w:p>
    <w:p w14:paraId="41A5B3A3" w14:textId="77777777" w:rsidR="00641EE1" w:rsidRPr="009933E4" w:rsidRDefault="00641EE1" w:rsidP="00641EE1">
      <w:pPr>
        <w:numPr>
          <w:ilvl w:val="0"/>
          <w:numId w:val="1"/>
        </w:numPr>
        <w:rPr>
          <w:rFonts w:cstheme="minorHAnsi"/>
          <w:sz w:val="24"/>
          <w:szCs w:val="24"/>
        </w:rPr>
      </w:pPr>
      <w:r w:rsidRPr="009933E4">
        <w:rPr>
          <w:rFonts w:cstheme="minorHAnsi"/>
          <w:sz w:val="24"/>
          <w:szCs w:val="24"/>
        </w:rPr>
        <w:t>is open to the public (although the press and public can be excluded for highly sensitive cases)</w:t>
      </w:r>
    </w:p>
    <w:p w14:paraId="0CE942AB" w14:textId="77777777" w:rsidR="00641EE1" w:rsidRPr="009933E4" w:rsidRDefault="00641EE1" w:rsidP="00641EE1">
      <w:pPr>
        <w:numPr>
          <w:ilvl w:val="0"/>
          <w:numId w:val="1"/>
        </w:numPr>
        <w:rPr>
          <w:rFonts w:cstheme="minorHAnsi"/>
          <w:sz w:val="24"/>
          <w:szCs w:val="24"/>
        </w:rPr>
      </w:pPr>
      <w:r w:rsidRPr="009933E4">
        <w:rPr>
          <w:rFonts w:cstheme="minorHAnsi"/>
          <w:sz w:val="24"/>
          <w:szCs w:val="24"/>
        </w:rPr>
        <w:t>allows you representation and an interpreter where appropriate, and</w:t>
      </w:r>
    </w:p>
    <w:p w14:paraId="6BAF546A" w14:textId="77777777" w:rsidR="00641EE1" w:rsidRPr="009933E4" w:rsidRDefault="00641EE1" w:rsidP="00641EE1">
      <w:pPr>
        <w:numPr>
          <w:ilvl w:val="0"/>
          <w:numId w:val="1"/>
        </w:numPr>
        <w:rPr>
          <w:rFonts w:cstheme="minorHAnsi"/>
          <w:sz w:val="24"/>
          <w:szCs w:val="24"/>
        </w:rPr>
      </w:pPr>
      <w:r w:rsidRPr="009933E4">
        <w:rPr>
          <w:rFonts w:cstheme="minorHAnsi"/>
          <w:sz w:val="24"/>
          <w:szCs w:val="24"/>
        </w:rPr>
        <w:t>is followed by a public decision.</w:t>
      </w:r>
    </w:p>
    <w:p w14:paraId="40464C7C" w14:textId="77777777" w:rsidR="00641EE1" w:rsidRPr="009933E4" w:rsidRDefault="00641EE1" w:rsidP="00641EE1">
      <w:pPr>
        <w:rPr>
          <w:rFonts w:cstheme="minorHAnsi"/>
          <w:sz w:val="24"/>
          <w:szCs w:val="24"/>
        </w:rPr>
      </w:pPr>
      <w:r w:rsidRPr="009933E4">
        <w:rPr>
          <w:rFonts w:cstheme="minorHAnsi"/>
          <w:sz w:val="24"/>
          <w:szCs w:val="24"/>
        </w:rPr>
        <w:t xml:space="preserve">Here, however, the language is slightly more specific as it refers to ‘confidence’ in the fairness of outcomes. One measure therefore is to assess perceptions of fairness held by those involved in these cases. As regards the </w:t>
      </w:r>
      <w:r>
        <w:rPr>
          <w:rFonts w:cstheme="minorHAnsi"/>
          <w:sz w:val="24"/>
          <w:szCs w:val="24"/>
        </w:rPr>
        <w:t>R date process</w:t>
      </w:r>
      <w:r w:rsidRPr="009933E4">
        <w:rPr>
          <w:rFonts w:cstheme="minorHAnsi"/>
          <w:sz w:val="24"/>
          <w:szCs w:val="24"/>
        </w:rPr>
        <w:t xml:space="preserve">, there was a clear distinction between the views of landlords and the other respondents (duty advisers and legal practitioners) with </w:t>
      </w:r>
      <w:proofErr w:type="gramStart"/>
      <w:r>
        <w:rPr>
          <w:rFonts w:cstheme="minorHAnsi"/>
          <w:sz w:val="24"/>
          <w:szCs w:val="24"/>
        </w:rPr>
        <w:t>a majority of</w:t>
      </w:r>
      <w:proofErr w:type="gramEnd"/>
      <w:r w:rsidRPr="009933E4">
        <w:rPr>
          <w:rFonts w:cstheme="minorHAnsi"/>
          <w:sz w:val="24"/>
          <w:szCs w:val="24"/>
        </w:rPr>
        <w:t xml:space="preserve"> </w:t>
      </w:r>
      <w:r>
        <w:rPr>
          <w:rFonts w:cstheme="minorHAnsi"/>
          <w:sz w:val="24"/>
          <w:szCs w:val="24"/>
        </w:rPr>
        <w:t xml:space="preserve">private </w:t>
      </w:r>
      <w:r w:rsidRPr="009933E4">
        <w:rPr>
          <w:rFonts w:cstheme="minorHAnsi"/>
          <w:sz w:val="24"/>
          <w:szCs w:val="24"/>
        </w:rPr>
        <w:t xml:space="preserve">landlords indicating that they did not consider </w:t>
      </w:r>
      <w:r>
        <w:rPr>
          <w:rFonts w:cstheme="minorHAnsi"/>
          <w:sz w:val="24"/>
          <w:szCs w:val="24"/>
        </w:rPr>
        <w:t xml:space="preserve">R dates </w:t>
      </w:r>
      <w:r w:rsidRPr="009933E4">
        <w:rPr>
          <w:rFonts w:cstheme="minorHAnsi"/>
          <w:sz w:val="24"/>
          <w:szCs w:val="24"/>
        </w:rPr>
        <w:t>to have created fair outcomes:</w:t>
      </w:r>
    </w:p>
    <w:p w14:paraId="63F11320" w14:textId="77777777" w:rsidR="00641EE1" w:rsidRPr="009933E4" w:rsidRDefault="00641EE1" w:rsidP="00641EE1">
      <w:pPr>
        <w:ind w:left="720"/>
        <w:rPr>
          <w:rFonts w:cstheme="minorHAnsi"/>
          <w:i/>
          <w:iCs/>
          <w:sz w:val="24"/>
          <w:szCs w:val="24"/>
        </w:rPr>
      </w:pPr>
      <w:r w:rsidRPr="009933E4">
        <w:rPr>
          <w:rFonts w:cstheme="minorHAnsi"/>
          <w:i/>
          <w:iCs/>
          <w:sz w:val="24"/>
          <w:szCs w:val="24"/>
        </w:rPr>
        <w:t>"They have been completely one-sided (for tenants) and treated all landlords as millionaires." Private Landlord #20.</w:t>
      </w:r>
    </w:p>
    <w:p w14:paraId="3277A9E9" w14:textId="77777777" w:rsidR="00641EE1" w:rsidRDefault="00641EE1" w:rsidP="00641EE1">
      <w:pPr>
        <w:ind w:left="720"/>
        <w:rPr>
          <w:rFonts w:cstheme="minorHAnsi"/>
          <w:i/>
          <w:iCs/>
          <w:sz w:val="24"/>
          <w:szCs w:val="24"/>
        </w:rPr>
      </w:pPr>
      <w:r w:rsidRPr="0000111F">
        <w:rPr>
          <w:rFonts w:cstheme="minorHAnsi"/>
          <w:i/>
          <w:iCs/>
          <w:sz w:val="24"/>
          <w:szCs w:val="24"/>
        </w:rPr>
        <w:t xml:space="preserve">"It just wasted more time and extended the time for tenants to stay and not pay anything." Private Landlord #39. </w:t>
      </w:r>
    </w:p>
    <w:p w14:paraId="33BE3014" w14:textId="77777777" w:rsidR="00641EE1" w:rsidRPr="009933E4" w:rsidRDefault="00641EE1" w:rsidP="00641EE1">
      <w:pPr>
        <w:ind w:left="720"/>
        <w:rPr>
          <w:rFonts w:cstheme="minorHAnsi"/>
          <w:i/>
          <w:iCs/>
          <w:sz w:val="24"/>
          <w:szCs w:val="24"/>
        </w:rPr>
      </w:pPr>
      <w:r w:rsidRPr="009933E4">
        <w:rPr>
          <w:rFonts w:cstheme="minorHAnsi"/>
          <w:i/>
          <w:iCs/>
          <w:sz w:val="24"/>
          <w:szCs w:val="24"/>
        </w:rPr>
        <w:t>“Lost confidence in the British justice system.” Private Landlord #41</w:t>
      </w:r>
    </w:p>
    <w:p w14:paraId="22474057" w14:textId="77777777" w:rsidR="00641EE1" w:rsidRPr="009933E4" w:rsidRDefault="00641EE1" w:rsidP="00641EE1">
      <w:pPr>
        <w:ind w:left="720"/>
        <w:rPr>
          <w:rFonts w:cstheme="minorHAnsi"/>
          <w:i/>
          <w:iCs/>
          <w:sz w:val="24"/>
          <w:szCs w:val="24"/>
        </w:rPr>
      </w:pPr>
      <w:r w:rsidRPr="009933E4">
        <w:rPr>
          <w:rFonts w:cstheme="minorHAnsi"/>
          <w:i/>
          <w:iCs/>
          <w:sz w:val="24"/>
          <w:szCs w:val="24"/>
        </w:rPr>
        <w:t>“Effective in response to the risk averse approach however it has led to an escalation of rent arrears and claimants who are evermore resentful.” Duty Adviser #20.</w:t>
      </w:r>
    </w:p>
    <w:p w14:paraId="227C119D" w14:textId="77777777" w:rsidR="00641EE1" w:rsidRPr="009933E4" w:rsidRDefault="00641EE1" w:rsidP="00641EE1">
      <w:pPr>
        <w:rPr>
          <w:rFonts w:cstheme="minorHAnsi"/>
          <w:b/>
          <w:bCs/>
          <w:sz w:val="24"/>
          <w:szCs w:val="24"/>
        </w:rPr>
      </w:pPr>
      <w:r>
        <w:rPr>
          <w:rFonts w:cstheme="minorHAnsi"/>
          <w:b/>
          <w:bCs/>
          <w:sz w:val="24"/>
          <w:szCs w:val="24"/>
        </w:rPr>
        <w:t>Recommendations and Priorities for Research</w:t>
      </w:r>
    </w:p>
    <w:p w14:paraId="0CBC7CDE" w14:textId="77777777" w:rsidR="00641EE1" w:rsidRPr="009933E4" w:rsidRDefault="00641EE1" w:rsidP="00641EE1">
      <w:pPr>
        <w:rPr>
          <w:rFonts w:cstheme="minorHAnsi"/>
          <w:sz w:val="24"/>
          <w:szCs w:val="24"/>
        </w:rPr>
      </w:pPr>
      <w:r w:rsidRPr="009933E4">
        <w:rPr>
          <w:rFonts w:cstheme="minorHAnsi"/>
          <w:sz w:val="24"/>
          <w:szCs w:val="24"/>
        </w:rPr>
        <w:t xml:space="preserve">While we await further research into the effectiveness of the OA, it seems clear from an analysis of existing research and the unique data collected for this project, that while the aims of the temporary measures </w:t>
      </w:r>
      <w:r>
        <w:rPr>
          <w:rFonts w:cstheme="minorHAnsi"/>
          <w:sz w:val="24"/>
          <w:szCs w:val="24"/>
        </w:rPr>
        <w:t xml:space="preserve">such as the R dates </w:t>
      </w:r>
      <w:r w:rsidRPr="009933E4">
        <w:rPr>
          <w:rFonts w:cstheme="minorHAnsi"/>
          <w:sz w:val="24"/>
          <w:szCs w:val="24"/>
        </w:rPr>
        <w:t>were laudable, they proved largely ineffective in practice. The opportunity for occupiers to obtain legal advice at an earlier point in the process</w:t>
      </w:r>
      <w:r>
        <w:rPr>
          <w:rFonts w:cstheme="minorHAnsi"/>
          <w:sz w:val="24"/>
          <w:szCs w:val="24"/>
        </w:rPr>
        <w:t xml:space="preserve"> and</w:t>
      </w:r>
      <w:r w:rsidRPr="009933E4">
        <w:rPr>
          <w:rFonts w:cstheme="minorHAnsi"/>
          <w:sz w:val="24"/>
          <w:szCs w:val="24"/>
        </w:rPr>
        <w:t xml:space="preserve"> enhanced opportunities for pre-action negotiation appear to have been welcomed by many involved in the housing possession process. The potential for the </w:t>
      </w:r>
      <w:r>
        <w:rPr>
          <w:rFonts w:cstheme="minorHAnsi"/>
          <w:sz w:val="24"/>
          <w:szCs w:val="24"/>
        </w:rPr>
        <w:t>R date</w:t>
      </w:r>
      <w:r w:rsidRPr="009933E4">
        <w:rPr>
          <w:rFonts w:cstheme="minorHAnsi"/>
          <w:sz w:val="24"/>
          <w:szCs w:val="24"/>
        </w:rPr>
        <w:t xml:space="preserve"> to avoid ‘unnecessary’ court hearings and most importantly, to assist households in avoiding the loss of their home seemed real. In practice, however, the data suggest that this </w:t>
      </w:r>
      <w:r w:rsidRPr="009933E4">
        <w:rPr>
          <w:rFonts w:cstheme="minorHAnsi"/>
          <w:sz w:val="24"/>
          <w:szCs w:val="24"/>
        </w:rPr>
        <w:lastRenderedPageBreak/>
        <w:t>potential was thwarted by a pre-existing and fundamental flaw in the process which is, that large numbers of occupiers, for whatever reason, do not engage in the process.</w:t>
      </w:r>
    </w:p>
    <w:p w14:paraId="360F1968" w14:textId="77777777" w:rsidR="00641EE1" w:rsidRPr="00954288" w:rsidRDefault="00641EE1" w:rsidP="00641EE1">
      <w:pPr>
        <w:rPr>
          <w:rFonts w:cstheme="minorHAnsi"/>
          <w:sz w:val="24"/>
          <w:szCs w:val="24"/>
        </w:rPr>
      </w:pPr>
      <w:r w:rsidRPr="00954288">
        <w:rPr>
          <w:rFonts w:cstheme="minorHAnsi"/>
          <w:sz w:val="24"/>
          <w:szCs w:val="24"/>
        </w:rPr>
        <w:t xml:space="preserve">While the R date process may not have proven as effective as some might have hoped, its potential to serve as an opportunity for earlier advice and negotiation, and thereby to reduce the number of substantive court hearings and possessions, should not be overlooked. As the </w:t>
      </w:r>
      <w:proofErr w:type="spellStart"/>
      <w:r w:rsidRPr="00954288">
        <w:rPr>
          <w:rFonts w:cstheme="minorHAnsi"/>
          <w:sz w:val="24"/>
          <w:szCs w:val="24"/>
        </w:rPr>
        <w:t>MoJ</w:t>
      </w:r>
      <w:proofErr w:type="spellEnd"/>
      <w:r w:rsidRPr="00954288">
        <w:rPr>
          <w:rFonts w:cstheme="minorHAnsi"/>
          <w:sz w:val="24"/>
          <w:szCs w:val="24"/>
        </w:rPr>
        <w:t xml:space="preserve"> note, ‘access to early legal advice can drive earlier and more effective resolution of legal problems, potentially before they reach court.’</w:t>
      </w:r>
      <w:r w:rsidRPr="00954288">
        <w:rPr>
          <w:rFonts w:cstheme="minorHAnsi"/>
          <w:sz w:val="24"/>
          <w:szCs w:val="24"/>
          <w:vertAlign w:val="superscript"/>
        </w:rPr>
        <w:footnoteReference w:id="14"/>
      </w:r>
      <w:r w:rsidRPr="00954288">
        <w:rPr>
          <w:rFonts w:cstheme="minorHAnsi"/>
          <w:sz w:val="24"/>
          <w:szCs w:val="24"/>
        </w:rPr>
        <w:t xml:space="preserve"> The key to its success, however, is encouraging a greater number of occupiers to engage with it.</w:t>
      </w:r>
    </w:p>
    <w:p w14:paraId="7C4E6C91" w14:textId="77777777" w:rsidR="00641EE1" w:rsidRPr="00954288" w:rsidRDefault="00641EE1" w:rsidP="00641EE1">
      <w:pPr>
        <w:rPr>
          <w:rFonts w:cstheme="minorHAnsi"/>
          <w:sz w:val="24"/>
          <w:szCs w:val="24"/>
        </w:rPr>
      </w:pPr>
      <w:r w:rsidRPr="00954288">
        <w:rPr>
          <w:rFonts w:cstheme="minorHAnsi"/>
          <w:sz w:val="24"/>
          <w:szCs w:val="24"/>
        </w:rPr>
        <w:t xml:space="preserve">It is encouraging to learn that the </w:t>
      </w:r>
      <w:proofErr w:type="spellStart"/>
      <w:r w:rsidRPr="00954288">
        <w:rPr>
          <w:rFonts w:cstheme="minorHAnsi"/>
          <w:sz w:val="24"/>
          <w:szCs w:val="24"/>
        </w:rPr>
        <w:t>MoJ</w:t>
      </w:r>
      <w:proofErr w:type="spellEnd"/>
      <w:r w:rsidRPr="00954288">
        <w:rPr>
          <w:rFonts w:cstheme="minorHAnsi"/>
          <w:sz w:val="24"/>
          <w:szCs w:val="24"/>
        </w:rPr>
        <w:t xml:space="preserve"> is consulting on the introduction of a scheme that will embed pre-court hearing advice in the housing possession process.</w:t>
      </w:r>
      <w:r w:rsidRPr="00954288">
        <w:rPr>
          <w:rFonts w:cstheme="minorHAnsi"/>
          <w:sz w:val="24"/>
          <w:szCs w:val="24"/>
          <w:vertAlign w:val="superscript"/>
        </w:rPr>
        <w:footnoteReference w:id="15"/>
      </w:r>
      <w:r w:rsidRPr="00954288">
        <w:rPr>
          <w:rFonts w:cstheme="minorHAnsi"/>
          <w:sz w:val="24"/>
          <w:szCs w:val="24"/>
        </w:rPr>
        <w:t xml:space="preserve"> While retaining the existing features of the HPCDS, the proposed Housing Loss Prevention Advice Service (HLPAS) will allow duty advisers to provide early legal advice to those facing possession proceedings. Eligibility will be based on the receipt of a notice of a possession hearing with the advice provided before that hearing takes place.</w:t>
      </w:r>
      <w:r w:rsidRPr="00954288">
        <w:rPr>
          <w:rFonts w:cstheme="minorHAnsi"/>
          <w:sz w:val="24"/>
          <w:szCs w:val="24"/>
          <w:vertAlign w:val="superscript"/>
        </w:rPr>
        <w:footnoteReference w:id="16"/>
      </w:r>
      <w:r w:rsidRPr="00954288">
        <w:rPr>
          <w:rFonts w:cstheme="minorHAnsi"/>
          <w:sz w:val="24"/>
          <w:szCs w:val="24"/>
        </w:rPr>
        <w:t xml:space="preserve"> In an innovative move, however, the new scheme will extend the scope of legal aid so that advisers can provide advice on issues such as ‘housing, debt, and welfare benefits matters.’</w:t>
      </w:r>
      <w:r w:rsidRPr="00954288">
        <w:rPr>
          <w:rFonts w:cstheme="minorHAnsi"/>
          <w:sz w:val="24"/>
          <w:szCs w:val="24"/>
          <w:vertAlign w:val="superscript"/>
        </w:rPr>
        <w:footnoteReference w:id="17"/>
      </w:r>
      <w:r w:rsidRPr="00954288">
        <w:rPr>
          <w:rFonts w:cstheme="minorHAnsi"/>
          <w:sz w:val="24"/>
          <w:szCs w:val="24"/>
        </w:rPr>
        <w:t xml:space="preserve"> Many will welcome the </w:t>
      </w:r>
      <w:proofErr w:type="spellStart"/>
      <w:r w:rsidRPr="00954288">
        <w:rPr>
          <w:rFonts w:cstheme="minorHAnsi"/>
          <w:sz w:val="24"/>
          <w:szCs w:val="24"/>
        </w:rPr>
        <w:t>MoJ’s</w:t>
      </w:r>
      <w:proofErr w:type="spellEnd"/>
      <w:r w:rsidRPr="00954288">
        <w:rPr>
          <w:rFonts w:cstheme="minorHAnsi"/>
          <w:sz w:val="24"/>
          <w:szCs w:val="24"/>
        </w:rPr>
        <w:t xml:space="preserve"> recognition of the ‘clustering’ of issues which many occupiers face,</w:t>
      </w:r>
      <w:r w:rsidRPr="00954288">
        <w:rPr>
          <w:rFonts w:cstheme="minorHAnsi"/>
          <w:sz w:val="24"/>
          <w:szCs w:val="24"/>
          <w:vertAlign w:val="superscript"/>
        </w:rPr>
        <w:footnoteReference w:id="18"/>
      </w:r>
      <w:r w:rsidRPr="00954288">
        <w:rPr>
          <w:rFonts w:cstheme="minorHAnsi"/>
          <w:sz w:val="24"/>
          <w:szCs w:val="24"/>
        </w:rPr>
        <w:t xml:space="preserve"> but the question arises as to whether duty advisers are best placed to offer such advice. It might be assumed for example that debt advisers, who are already facing significant cuts and a reduction in jobs,</w:t>
      </w:r>
      <w:r w:rsidRPr="00954288">
        <w:rPr>
          <w:rFonts w:cstheme="minorHAnsi"/>
          <w:sz w:val="24"/>
          <w:szCs w:val="24"/>
          <w:vertAlign w:val="superscript"/>
        </w:rPr>
        <w:footnoteReference w:id="19"/>
      </w:r>
      <w:r w:rsidRPr="00954288">
        <w:rPr>
          <w:rFonts w:cstheme="minorHAnsi"/>
          <w:sz w:val="24"/>
          <w:szCs w:val="24"/>
        </w:rPr>
        <w:t xml:space="preserve"> might not welcome the allocation of their role to duty advisers.</w:t>
      </w:r>
    </w:p>
    <w:p w14:paraId="67A7E2F2" w14:textId="6F092F08" w:rsidR="00641EE1" w:rsidRPr="00954288" w:rsidRDefault="00641EE1" w:rsidP="00641EE1">
      <w:pPr>
        <w:rPr>
          <w:rFonts w:cstheme="minorHAnsi"/>
          <w:sz w:val="24"/>
          <w:szCs w:val="24"/>
        </w:rPr>
      </w:pPr>
      <w:r w:rsidRPr="00954288">
        <w:rPr>
          <w:rFonts w:cstheme="minorHAnsi"/>
          <w:sz w:val="24"/>
          <w:szCs w:val="24"/>
        </w:rPr>
        <w:t>While the outcome of the consultation process is awaited (it close</w:t>
      </w:r>
      <w:r w:rsidR="00330871">
        <w:rPr>
          <w:rFonts w:cstheme="minorHAnsi"/>
          <w:sz w:val="24"/>
          <w:szCs w:val="24"/>
        </w:rPr>
        <w:t>d</w:t>
      </w:r>
      <w:r w:rsidRPr="00954288">
        <w:rPr>
          <w:rFonts w:cstheme="minorHAnsi"/>
          <w:sz w:val="24"/>
          <w:szCs w:val="24"/>
        </w:rPr>
        <w:t xml:space="preserve"> on 20 January 2022), there has been a cautious welcome from the President of the Law Society who is mindful that, ‘this well-intentioned move may well be hampered by the desperate shortage of legal aid-funded solicitors with the relevant expertise in large swathes of the country which has created housing legal aid deserts, affecting millions of people.’</w:t>
      </w:r>
      <w:r w:rsidRPr="00954288">
        <w:rPr>
          <w:rFonts w:cstheme="minorHAnsi"/>
          <w:sz w:val="24"/>
          <w:szCs w:val="24"/>
          <w:vertAlign w:val="superscript"/>
        </w:rPr>
        <w:footnoteReference w:id="20"/>
      </w:r>
      <w:r w:rsidRPr="00954288">
        <w:rPr>
          <w:rFonts w:cstheme="minorHAnsi"/>
          <w:sz w:val="24"/>
          <w:szCs w:val="24"/>
        </w:rPr>
        <w:t xml:space="preserve"> Lam, a housing solicitor and team leader at South West London Law Centres, has questioned the funding model proposed suggesting that it is ‘unrealistic’ to expect providers to resolve complex issues for </w:t>
      </w:r>
      <w:r w:rsidRPr="00954288">
        <w:rPr>
          <w:rFonts w:cstheme="minorHAnsi"/>
          <w:sz w:val="24"/>
          <w:szCs w:val="24"/>
        </w:rPr>
        <w:lastRenderedPageBreak/>
        <w:t>a fixed fee of £157.</w:t>
      </w:r>
      <w:r w:rsidRPr="00954288">
        <w:rPr>
          <w:rFonts w:cstheme="minorHAnsi"/>
          <w:sz w:val="24"/>
          <w:szCs w:val="24"/>
          <w:vertAlign w:val="superscript"/>
        </w:rPr>
        <w:footnoteReference w:id="21"/>
      </w:r>
      <w:r w:rsidRPr="00954288">
        <w:rPr>
          <w:rFonts w:cstheme="minorHAnsi"/>
          <w:sz w:val="24"/>
          <w:szCs w:val="24"/>
        </w:rPr>
        <w:t xml:space="preserve"> Whatever form the HLPAS takes, it is imperative that it is adequately resourced and funded.</w:t>
      </w:r>
    </w:p>
    <w:p w14:paraId="2EBA49E3" w14:textId="77777777" w:rsidR="00641EE1" w:rsidRDefault="00641EE1" w:rsidP="00641EE1">
      <w:pPr>
        <w:rPr>
          <w:rFonts w:cstheme="minorHAnsi"/>
          <w:sz w:val="24"/>
          <w:szCs w:val="24"/>
        </w:rPr>
      </w:pPr>
      <w:r w:rsidRPr="00954288">
        <w:rPr>
          <w:rFonts w:cstheme="minorHAnsi"/>
          <w:sz w:val="24"/>
          <w:szCs w:val="24"/>
        </w:rPr>
        <w:t xml:space="preserve">The key to the success of these recommendations, however, is encouraging a greater number of occupiers to engage with it. Without evidence regarding why occupiers did not take advantage of the </w:t>
      </w:r>
      <w:r>
        <w:rPr>
          <w:rFonts w:cstheme="minorHAnsi"/>
          <w:sz w:val="24"/>
          <w:szCs w:val="24"/>
        </w:rPr>
        <w:t xml:space="preserve">R date </w:t>
      </w:r>
      <w:r w:rsidRPr="00954288">
        <w:rPr>
          <w:rFonts w:cstheme="minorHAnsi"/>
          <w:sz w:val="24"/>
          <w:szCs w:val="24"/>
        </w:rPr>
        <w:t>it would be inappropriate to speculate on how we improve the take-up rate. Further research is therefore needed.</w:t>
      </w:r>
    </w:p>
    <w:p w14:paraId="3BB1597D" w14:textId="77777777" w:rsidR="00641EE1" w:rsidRPr="004458A1" w:rsidRDefault="00641EE1" w:rsidP="00641EE1">
      <w:pPr>
        <w:rPr>
          <w:rFonts w:cstheme="minorHAnsi"/>
          <w:b/>
          <w:bCs/>
          <w:sz w:val="24"/>
          <w:szCs w:val="24"/>
        </w:rPr>
      </w:pPr>
      <w:r w:rsidRPr="004458A1">
        <w:rPr>
          <w:rFonts w:cstheme="minorHAnsi"/>
          <w:b/>
          <w:bCs/>
          <w:sz w:val="24"/>
          <w:szCs w:val="24"/>
        </w:rPr>
        <w:t>Conclusions</w:t>
      </w:r>
    </w:p>
    <w:p w14:paraId="1DC2E9F4" w14:textId="77777777" w:rsidR="00641EE1" w:rsidRPr="009933E4" w:rsidRDefault="00641EE1" w:rsidP="00641EE1">
      <w:pPr>
        <w:ind w:left="720"/>
        <w:jc w:val="center"/>
        <w:rPr>
          <w:rFonts w:cstheme="minorHAnsi"/>
          <w:sz w:val="24"/>
          <w:szCs w:val="24"/>
        </w:rPr>
      </w:pPr>
      <w:r w:rsidRPr="009933E4">
        <w:rPr>
          <w:rFonts w:cstheme="minorHAnsi"/>
          <w:sz w:val="24"/>
          <w:szCs w:val="24"/>
        </w:rPr>
        <w:t>‘The best that could be said about the government’s plans was that they deferred the crisis; they did nothing to address its causes.’</w:t>
      </w:r>
      <w:r w:rsidRPr="009933E4">
        <w:rPr>
          <w:rFonts w:cstheme="minorHAnsi"/>
          <w:sz w:val="24"/>
          <w:szCs w:val="24"/>
          <w:vertAlign w:val="superscript"/>
        </w:rPr>
        <w:footnoteReference w:id="22"/>
      </w:r>
    </w:p>
    <w:p w14:paraId="5995EB70" w14:textId="77777777" w:rsidR="00641EE1" w:rsidRPr="00EB62FD" w:rsidRDefault="00641EE1" w:rsidP="00641EE1">
      <w:pPr>
        <w:rPr>
          <w:rFonts w:cstheme="minorHAnsi"/>
          <w:sz w:val="24"/>
          <w:szCs w:val="24"/>
        </w:rPr>
      </w:pPr>
      <w:r w:rsidRPr="009933E4">
        <w:rPr>
          <w:rFonts w:cstheme="minorHAnsi"/>
          <w:sz w:val="24"/>
          <w:szCs w:val="24"/>
        </w:rPr>
        <w:t>Whether the apparent backlog of cases waiting in the wings</w:t>
      </w:r>
      <w:r w:rsidRPr="009933E4">
        <w:rPr>
          <w:rFonts w:cstheme="minorHAnsi"/>
          <w:sz w:val="24"/>
          <w:szCs w:val="24"/>
          <w:vertAlign w:val="superscript"/>
        </w:rPr>
        <w:footnoteReference w:id="23"/>
      </w:r>
      <w:r w:rsidRPr="009933E4">
        <w:rPr>
          <w:rFonts w:cstheme="minorHAnsi"/>
          <w:sz w:val="24"/>
          <w:szCs w:val="24"/>
        </w:rPr>
        <w:t xml:space="preserve"> arrives as a </w:t>
      </w:r>
      <w:r>
        <w:rPr>
          <w:rFonts w:cstheme="minorHAnsi"/>
          <w:sz w:val="24"/>
          <w:szCs w:val="24"/>
        </w:rPr>
        <w:t>‘</w:t>
      </w:r>
      <w:r w:rsidRPr="009933E4">
        <w:rPr>
          <w:rFonts w:cstheme="minorHAnsi"/>
          <w:sz w:val="24"/>
          <w:szCs w:val="24"/>
        </w:rPr>
        <w:t>slow burn</w:t>
      </w:r>
      <w:r>
        <w:rPr>
          <w:rFonts w:cstheme="minorHAnsi"/>
          <w:sz w:val="24"/>
          <w:szCs w:val="24"/>
        </w:rPr>
        <w:t>’</w:t>
      </w:r>
      <w:r w:rsidRPr="009933E4">
        <w:rPr>
          <w:rFonts w:cstheme="minorHAnsi"/>
          <w:sz w:val="24"/>
          <w:szCs w:val="24"/>
        </w:rPr>
        <w:t xml:space="preserve"> or a </w:t>
      </w:r>
      <w:r>
        <w:rPr>
          <w:rFonts w:cstheme="minorHAnsi"/>
          <w:sz w:val="24"/>
          <w:szCs w:val="24"/>
        </w:rPr>
        <w:t>‘</w:t>
      </w:r>
      <w:r w:rsidRPr="009933E4">
        <w:rPr>
          <w:rFonts w:cstheme="minorHAnsi"/>
          <w:sz w:val="24"/>
          <w:szCs w:val="24"/>
        </w:rPr>
        <w:t>tsunami</w:t>
      </w:r>
      <w:r>
        <w:rPr>
          <w:rFonts w:cstheme="minorHAnsi"/>
          <w:sz w:val="24"/>
          <w:szCs w:val="24"/>
        </w:rPr>
        <w:t>’</w:t>
      </w:r>
      <w:r w:rsidRPr="009933E4">
        <w:rPr>
          <w:rFonts w:cstheme="minorHAnsi"/>
          <w:sz w:val="24"/>
          <w:szCs w:val="24"/>
        </w:rPr>
        <w:t xml:space="preserve">, it seems evident that </w:t>
      </w:r>
      <w:r>
        <w:rPr>
          <w:rFonts w:cstheme="minorHAnsi"/>
          <w:sz w:val="24"/>
          <w:szCs w:val="24"/>
        </w:rPr>
        <w:t xml:space="preserve">it </w:t>
      </w:r>
      <w:r w:rsidRPr="007E548B">
        <w:rPr>
          <w:rFonts w:cstheme="minorHAnsi"/>
          <w:sz w:val="24"/>
          <w:szCs w:val="24"/>
        </w:rPr>
        <w:t xml:space="preserve">will require a response different to that implemented during March 2020 - November 2021. While the underlying aims of that </w:t>
      </w:r>
      <w:r>
        <w:rPr>
          <w:rFonts w:cstheme="minorHAnsi"/>
          <w:sz w:val="24"/>
          <w:szCs w:val="24"/>
        </w:rPr>
        <w:t>R date</w:t>
      </w:r>
      <w:r w:rsidRPr="007E548B">
        <w:rPr>
          <w:rFonts w:cstheme="minorHAnsi"/>
          <w:sz w:val="24"/>
          <w:szCs w:val="24"/>
        </w:rPr>
        <w:t xml:space="preserve"> were laudable, they ultimately proved largely ineffectual</w:t>
      </w:r>
      <w:r>
        <w:rPr>
          <w:rFonts w:cstheme="minorHAnsi"/>
          <w:sz w:val="24"/>
          <w:szCs w:val="24"/>
        </w:rPr>
        <w:t>.</w:t>
      </w:r>
      <w:r w:rsidRPr="00912B53">
        <w:rPr>
          <w:rFonts w:cstheme="minorHAnsi"/>
          <w:sz w:val="24"/>
          <w:szCs w:val="24"/>
        </w:rPr>
        <w:t xml:space="preserve"> </w:t>
      </w:r>
      <w:r w:rsidRPr="007E548B">
        <w:rPr>
          <w:rFonts w:cstheme="minorHAnsi"/>
          <w:sz w:val="24"/>
          <w:szCs w:val="24"/>
        </w:rPr>
        <w:t>Elements of it however are worthy of further investigation and revised implementation.</w:t>
      </w:r>
      <w:r>
        <w:rPr>
          <w:rStyle w:val="FootnoteReference"/>
          <w:rFonts w:cstheme="minorHAnsi"/>
          <w:sz w:val="24"/>
          <w:szCs w:val="24"/>
        </w:rPr>
        <w:footnoteReference w:id="24"/>
      </w:r>
      <w:r w:rsidRPr="007E548B">
        <w:rPr>
          <w:rFonts w:cstheme="minorHAnsi"/>
          <w:sz w:val="24"/>
          <w:szCs w:val="24"/>
        </w:rPr>
        <w:t xml:space="preserve"> These relate </w:t>
      </w:r>
      <w:proofErr w:type="gramStart"/>
      <w:r w:rsidRPr="007E548B">
        <w:rPr>
          <w:rFonts w:cstheme="minorHAnsi"/>
          <w:sz w:val="24"/>
          <w:szCs w:val="24"/>
        </w:rPr>
        <w:t>in particular to</w:t>
      </w:r>
      <w:proofErr w:type="gramEnd"/>
      <w:r w:rsidRPr="007E548B">
        <w:rPr>
          <w:rFonts w:cstheme="minorHAnsi"/>
          <w:sz w:val="24"/>
          <w:szCs w:val="24"/>
        </w:rPr>
        <w:t xml:space="preserve"> the objective of providing early and meaningful advice to both occupiers and landlords in the hope of arriving at pre-court settlement.</w:t>
      </w:r>
      <w:r>
        <w:rPr>
          <w:rFonts w:cstheme="minorHAnsi"/>
          <w:sz w:val="24"/>
          <w:szCs w:val="24"/>
        </w:rPr>
        <w:t xml:space="preserve"> Whatever the future brings,</w:t>
      </w:r>
      <w:r w:rsidRPr="009933E4">
        <w:rPr>
          <w:rFonts w:cstheme="minorHAnsi"/>
          <w:sz w:val="24"/>
          <w:szCs w:val="24"/>
        </w:rPr>
        <w:t xml:space="preserve"> the civil justice system will have to implement measures designed to handle the influx </w:t>
      </w:r>
      <w:r>
        <w:rPr>
          <w:rFonts w:cstheme="minorHAnsi"/>
          <w:sz w:val="24"/>
          <w:szCs w:val="24"/>
        </w:rPr>
        <w:t xml:space="preserve">of pre-existing and new case </w:t>
      </w:r>
      <w:r w:rsidRPr="009933E4">
        <w:rPr>
          <w:rFonts w:cstheme="minorHAnsi"/>
          <w:sz w:val="24"/>
          <w:szCs w:val="24"/>
        </w:rPr>
        <w:t>to ‘enable the courts to deal with cases justly and at proportionate cost’.</w:t>
      </w:r>
      <w:r w:rsidRPr="009933E4">
        <w:rPr>
          <w:rFonts w:cstheme="minorHAnsi"/>
          <w:sz w:val="24"/>
          <w:szCs w:val="24"/>
          <w:vertAlign w:val="superscript"/>
        </w:rPr>
        <w:footnoteReference w:id="25"/>
      </w:r>
      <w:r w:rsidRPr="009933E4">
        <w:rPr>
          <w:rFonts w:cstheme="minorHAnsi"/>
          <w:sz w:val="24"/>
          <w:szCs w:val="24"/>
        </w:rPr>
        <w:t xml:space="preserve"> </w:t>
      </w:r>
      <w:r>
        <w:rPr>
          <w:rFonts w:cstheme="minorHAnsi"/>
          <w:sz w:val="24"/>
          <w:szCs w:val="24"/>
        </w:rPr>
        <w:t>We will have to wait and see what role the HLPAS might play in that effort.</w:t>
      </w:r>
    </w:p>
    <w:p w14:paraId="61266226" w14:textId="77777777" w:rsidR="005F6717" w:rsidRDefault="004D4224"/>
    <w:sectPr w:rsidR="005F671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61B0" w14:textId="77777777" w:rsidR="004D4224" w:rsidRDefault="004D4224" w:rsidP="00641EE1">
      <w:pPr>
        <w:spacing w:after="0" w:line="240" w:lineRule="auto"/>
      </w:pPr>
      <w:r>
        <w:separator/>
      </w:r>
    </w:p>
  </w:endnote>
  <w:endnote w:type="continuationSeparator" w:id="0">
    <w:p w14:paraId="28A25438" w14:textId="77777777" w:rsidR="004D4224" w:rsidRDefault="004D4224" w:rsidP="0064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434187"/>
      <w:docPartObj>
        <w:docPartGallery w:val="Page Numbers (Bottom of Page)"/>
        <w:docPartUnique/>
      </w:docPartObj>
    </w:sdtPr>
    <w:sdtEndPr>
      <w:rPr>
        <w:noProof/>
      </w:rPr>
    </w:sdtEndPr>
    <w:sdtContent>
      <w:p w14:paraId="3CC9616E" w14:textId="77777777" w:rsidR="00B133C3" w:rsidRDefault="005726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B9B7F" w14:textId="77777777" w:rsidR="00B133C3" w:rsidRDefault="004D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A0DD" w14:textId="77777777" w:rsidR="004D4224" w:rsidRDefault="004D4224" w:rsidP="00641EE1">
      <w:pPr>
        <w:spacing w:after="0" w:line="240" w:lineRule="auto"/>
      </w:pPr>
      <w:r>
        <w:separator/>
      </w:r>
    </w:p>
  </w:footnote>
  <w:footnote w:type="continuationSeparator" w:id="0">
    <w:p w14:paraId="7FDA0CC2" w14:textId="77777777" w:rsidR="004D4224" w:rsidRDefault="004D4224" w:rsidP="00641EE1">
      <w:pPr>
        <w:spacing w:after="0" w:line="240" w:lineRule="auto"/>
      </w:pPr>
      <w:r>
        <w:continuationSeparator/>
      </w:r>
    </w:p>
  </w:footnote>
  <w:footnote w:id="1">
    <w:p w14:paraId="06A46FB0" w14:textId="77777777" w:rsidR="00D1611C" w:rsidRDefault="00D1611C" w:rsidP="00D1611C">
      <w:pPr>
        <w:pStyle w:val="FootnoteText"/>
        <w:rPr>
          <w:rFonts w:cstheme="minorHAnsi"/>
        </w:rPr>
      </w:pPr>
      <w:r>
        <w:rPr>
          <w:rFonts w:cstheme="minorHAnsi"/>
        </w:rPr>
        <w:t xml:space="preserve">* </w:t>
      </w:r>
      <w:r w:rsidRPr="00641EE1">
        <w:rPr>
          <w:rFonts w:cstheme="minorHAnsi"/>
        </w:rPr>
        <w:t>The Law School, University of Southampton, L.A.Whitehouse@soton.ac.uk</w:t>
      </w:r>
    </w:p>
    <w:p w14:paraId="10B83A62" w14:textId="77777777" w:rsidR="00D1611C" w:rsidRDefault="00D1611C">
      <w:pPr>
        <w:pStyle w:val="FootnoteText"/>
      </w:pPr>
    </w:p>
    <w:p w14:paraId="589E5821" w14:textId="44119B58" w:rsidR="00D1611C" w:rsidRDefault="00D1611C">
      <w:pPr>
        <w:pStyle w:val="FootnoteText"/>
      </w:pPr>
      <w:r>
        <w:rPr>
          <w:rStyle w:val="FootnoteReference"/>
        </w:rPr>
        <w:footnoteRef/>
      </w:r>
      <w:r>
        <w:t xml:space="preserve"> Lisa Whitehouse, ‘</w:t>
      </w:r>
      <w:r w:rsidRPr="00D1611C">
        <w:t>Were ‘Review Dates’ an Effective Part of the Response to the COVID-19 Pandemic in Housing Possession Cases in England and Wales? Views from the Frontline: Part 1</w:t>
      </w:r>
      <w:r>
        <w:t>’ [2022] JHL, p.???</w:t>
      </w:r>
    </w:p>
  </w:footnote>
  <w:footnote w:id="2">
    <w:p w14:paraId="368A3B7F" w14:textId="200932A5" w:rsidR="00D1611C" w:rsidRDefault="00D1611C" w:rsidP="00D1611C">
      <w:pPr>
        <w:pStyle w:val="FootnoteText"/>
        <w:rPr>
          <w:rFonts w:cstheme="minorHAnsi"/>
        </w:rPr>
      </w:pPr>
    </w:p>
    <w:p w14:paraId="70193E64" w14:textId="77777777" w:rsidR="00D1611C" w:rsidRPr="00282B3F" w:rsidRDefault="00D1611C" w:rsidP="00D1611C">
      <w:pPr>
        <w:pStyle w:val="FootnoteText"/>
        <w:rPr>
          <w:rFonts w:cstheme="minorHAnsi"/>
        </w:rPr>
      </w:pPr>
      <w:r w:rsidRPr="00282B3F">
        <w:rPr>
          <w:rStyle w:val="FootnoteReference"/>
          <w:rFonts w:cstheme="minorHAnsi"/>
        </w:rPr>
        <w:footnoteRef/>
      </w:r>
      <w:r w:rsidRPr="00282B3F">
        <w:rPr>
          <w:rFonts w:cstheme="minorHAnsi"/>
        </w:rPr>
        <w:t xml:space="preserve"> The project was generously funded by the Economic and Social Research Council and </w:t>
      </w:r>
      <w:r w:rsidRPr="00EB62FD">
        <w:rPr>
          <w:rFonts w:cstheme="minorHAnsi"/>
        </w:rPr>
        <w:t>ran from 26 April 2021 to 13 December 2021.</w:t>
      </w:r>
    </w:p>
  </w:footnote>
  <w:footnote w:id="3">
    <w:p w14:paraId="137B7891" w14:textId="77777777" w:rsidR="00D1611C" w:rsidRPr="00282B3F" w:rsidRDefault="00D1611C" w:rsidP="00D1611C">
      <w:pPr>
        <w:pStyle w:val="FootnoteText"/>
        <w:rPr>
          <w:rFonts w:cstheme="minorHAnsi"/>
        </w:rPr>
      </w:pPr>
      <w:r w:rsidRPr="00282B3F">
        <w:rPr>
          <w:rStyle w:val="FootnoteReference"/>
          <w:rFonts w:cstheme="minorHAnsi"/>
        </w:rPr>
        <w:footnoteRef/>
      </w:r>
      <w:r w:rsidRPr="00282B3F">
        <w:rPr>
          <w:rFonts w:cstheme="minorHAnsi"/>
        </w:rPr>
        <w:t xml:space="preserve"> Public Health (Coronavirus) (Protection from Eviction) (England) (No. 2) Regulations 2021 SI 2021/164 and Public Health (Protection from Eviction) (No. 2) (Wales) (Coronavirus) Regulations 2021 SI 2021 No. 325 (W. 84). The ban lasted until 31 May 2021 in England, see Reg 2(1) of Public Health (Coronavirus) (Protection from Eviction and Taking Control of Goods) (England) Regulations 2020 SI 2020/1290 and Reg 2 of Public Health (Coronavirus) (Protection from Eviction) (England) Regulations 2021 SI 2021/15, from 22 February 2021 Public Health (Coronavirus) (Protection from Eviction) (England) (No. 2) Regulations 2021 as amended by Public Health (Coronavirus) (Protection from Eviction) (England) (No. 2) (Amendment) Regulations 2021 SI 2021/362. In Wales, it lasted until and 30 June 2021, see Reg. 3(2) of Public Health (Protection from Eviction) (No. 2) (Wales) (Coronavirus) Regulations 2021 SI 2021 No. 325 (W. 84).</w:t>
      </w:r>
    </w:p>
  </w:footnote>
  <w:footnote w:id="4">
    <w:p w14:paraId="02CD1E6F" w14:textId="77777777" w:rsidR="00D1611C" w:rsidRPr="00282B3F" w:rsidRDefault="00D1611C" w:rsidP="00D1611C">
      <w:pPr>
        <w:pStyle w:val="FootnoteText"/>
        <w:rPr>
          <w:rFonts w:cstheme="minorHAnsi"/>
        </w:rPr>
      </w:pPr>
      <w:r w:rsidRPr="00282B3F">
        <w:rPr>
          <w:rStyle w:val="FootnoteReference"/>
          <w:rFonts w:cstheme="minorHAnsi"/>
        </w:rPr>
        <w:footnoteRef/>
      </w:r>
      <w:r w:rsidRPr="00282B3F">
        <w:rPr>
          <w:rFonts w:cstheme="minorHAnsi"/>
        </w:rPr>
        <w:t xml:space="preserve"> In England the original two-month notice period was extended to six months for notices served between 29 August 2020 and 31 May 2021, see </w:t>
      </w:r>
      <w:proofErr w:type="spellStart"/>
      <w:r w:rsidRPr="00282B3F">
        <w:rPr>
          <w:rFonts w:cstheme="minorHAnsi"/>
        </w:rPr>
        <w:t>Sch</w:t>
      </w:r>
      <w:proofErr w:type="spellEnd"/>
      <w:r w:rsidRPr="00282B3F">
        <w:rPr>
          <w:rFonts w:cstheme="minorHAnsi"/>
        </w:rPr>
        <w:t xml:space="preserve"> 29, para. 7 of the Coronavirus Act 2020, as amended by Reg. 2(2) of Coronavirus Act 2020 (Residential Tenancies: Protection from Eviction) (Amendment) (England) Regulations 2021, SI 2021 No. 284 Regulation 2. It was reduced to four months between 1 June 2021 and 30 September 2021, see The Coronavirus Act 2020 (Residential Tenancies: Protection from Eviction) (Amendment) (England) (No. 2) Regulations 2021, SI 2021 No. 564 Regulation 2. Returning to the </w:t>
      </w:r>
      <w:proofErr w:type="gramStart"/>
      <w:r w:rsidRPr="00282B3F">
        <w:rPr>
          <w:rFonts w:cstheme="minorHAnsi"/>
        </w:rPr>
        <w:t>pre Coronavirus</w:t>
      </w:r>
      <w:proofErr w:type="gramEnd"/>
      <w:r w:rsidRPr="00282B3F">
        <w:rPr>
          <w:rFonts w:cstheme="minorHAnsi"/>
        </w:rPr>
        <w:t xml:space="preserve"> Act 2020 notice period from 1 October 2021, see Coronavirus Act 2020 (Residential Tenancies and Notices) (Amendment and Suspension) (England) Regulations 2021, SI 2021/994. In Wales, the notice period has been extended to six months for notices served between 24 July 2020 and 31 December 2021, </w:t>
      </w:r>
      <w:proofErr w:type="spellStart"/>
      <w:r w:rsidRPr="00282B3F">
        <w:rPr>
          <w:rFonts w:cstheme="minorHAnsi"/>
        </w:rPr>
        <w:t>Sch</w:t>
      </w:r>
      <w:proofErr w:type="spellEnd"/>
      <w:r w:rsidRPr="00282B3F">
        <w:rPr>
          <w:rFonts w:cstheme="minorHAnsi"/>
        </w:rPr>
        <w:t xml:space="preserve"> 29, para. 7 of the Coronavirus Act 2020, as amended originally by Reg. 2 of Coronavirus Act 2020 (Residential Tenancies: Extension of Period of Protection from Eviction) (Wales) Regulations 2021 </w:t>
      </w:r>
      <w:proofErr w:type="gramStart"/>
      <w:r w:rsidRPr="00282B3F">
        <w:rPr>
          <w:rFonts w:cstheme="minorHAnsi"/>
        </w:rPr>
        <w:t>so as to</w:t>
      </w:r>
      <w:proofErr w:type="gramEnd"/>
      <w:r w:rsidRPr="00282B3F">
        <w:rPr>
          <w:rFonts w:cstheme="minorHAnsi"/>
        </w:rPr>
        <w:t xml:space="preserve"> extend the date to 30 June 2021. The date was then extended to 30 September 2021 by the Coronavirus Act 2020 (Residential Tenancies: Extension of Period of Protection from Eviction) (No. 2) (Wales) Regulations 2021 and extended again to 31 December 2021 by the Coronavirus Act 2020 (Residential Tenancies: Extension of Period of Protection from Eviction) (No. 3) (Wales) Regulations 2021.</w:t>
      </w:r>
    </w:p>
  </w:footnote>
  <w:footnote w:id="5">
    <w:p w14:paraId="12152DF1" w14:textId="77777777" w:rsidR="00D1611C" w:rsidRPr="00282B3F" w:rsidRDefault="00D1611C" w:rsidP="00D1611C">
      <w:pPr>
        <w:pStyle w:val="FootnoteText"/>
        <w:rPr>
          <w:rFonts w:cstheme="minorHAnsi"/>
        </w:rPr>
      </w:pPr>
      <w:r w:rsidRPr="00282B3F">
        <w:rPr>
          <w:rStyle w:val="FootnoteReference"/>
          <w:rFonts w:cstheme="minorHAnsi"/>
        </w:rPr>
        <w:footnoteRef/>
      </w:r>
      <w:r w:rsidRPr="00282B3F">
        <w:rPr>
          <w:rFonts w:cstheme="minorHAnsi"/>
        </w:rPr>
        <w:t xml:space="preserve"> Financial Conduct Authority, ‘Mortgages and Coronavirus: Tailored Support Guidance’, Finalised Guidance, March 2021, para. 7.2, available at </w:t>
      </w:r>
      <w:hyperlink r:id="rId1" w:history="1">
        <w:r w:rsidRPr="00282B3F">
          <w:rPr>
            <w:rStyle w:val="Hyperlink"/>
            <w:rFonts w:cstheme="minorHAnsi"/>
          </w:rPr>
          <w:t>https://www.fca.org.uk/publication/finalised-guidance/mortgages-and-coronavirus-tailored-support-guidance.pdf</w:t>
        </w:r>
      </w:hyperlink>
      <w:r w:rsidRPr="00282B3F">
        <w:rPr>
          <w:rStyle w:val="Hyperlink"/>
          <w:rFonts w:cstheme="minorHAnsi"/>
        </w:rPr>
        <w:t xml:space="preserve"> </w:t>
      </w:r>
    </w:p>
  </w:footnote>
  <w:footnote w:id="6">
    <w:p w14:paraId="51903112" w14:textId="77777777" w:rsidR="00D1611C" w:rsidRPr="00282B3F" w:rsidRDefault="00D1611C" w:rsidP="00D1611C">
      <w:pPr>
        <w:pStyle w:val="FootnoteText"/>
        <w:rPr>
          <w:rFonts w:cstheme="minorHAnsi"/>
        </w:rPr>
      </w:pPr>
      <w:r w:rsidRPr="00282B3F">
        <w:rPr>
          <w:rStyle w:val="FootnoteReference"/>
          <w:rFonts w:cstheme="minorHAnsi"/>
        </w:rPr>
        <w:footnoteRef/>
      </w:r>
      <w:r w:rsidRPr="00282B3F">
        <w:rPr>
          <w:rFonts w:cstheme="minorHAnsi"/>
        </w:rPr>
        <w:t xml:space="preserve"> Ibid.</w:t>
      </w:r>
    </w:p>
  </w:footnote>
  <w:footnote w:id="7">
    <w:p w14:paraId="0BED8E1F" w14:textId="77777777" w:rsidR="00F71208" w:rsidRPr="00282B3F" w:rsidRDefault="00F71208" w:rsidP="00F71208">
      <w:pPr>
        <w:pStyle w:val="FootnoteText"/>
        <w:rPr>
          <w:rFonts w:cstheme="minorHAnsi"/>
        </w:rPr>
      </w:pPr>
      <w:r w:rsidRPr="00282B3F">
        <w:rPr>
          <w:rStyle w:val="FootnoteReference"/>
          <w:rFonts w:cstheme="minorHAnsi"/>
        </w:rPr>
        <w:footnoteRef/>
      </w:r>
      <w:r w:rsidRPr="00282B3F">
        <w:rPr>
          <w:rFonts w:cstheme="minorHAnsi"/>
        </w:rPr>
        <w:t xml:space="preserve"> </w:t>
      </w:r>
      <w:r w:rsidRPr="00703FB5">
        <w:rPr>
          <w:rFonts w:cstheme="minorHAnsi"/>
        </w:rPr>
        <w:t xml:space="preserve">See </w:t>
      </w:r>
      <w:r w:rsidRPr="00D1611C">
        <w:rPr>
          <w:rFonts w:cstheme="minorHAnsi"/>
        </w:rPr>
        <w:t xml:space="preserve">C. Hunter, S. Blandy, D. Cowan, J Nixon, E. Hitchings, C. </w:t>
      </w:r>
      <w:proofErr w:type="spellStart"/>
      <w:proofErr w:type="gramStart"/>
      <w:r w:rsidRPr="00D1611C">
        <w:rPr>
          <w:rFonts w:cstheme="minorHAnsi"/>
        </w:rPr>
        <w:t>Pantazis</w:t>
      </w:r>
      <w:proofErr w:type="spellEnd"/>
      <w:proofErr w:type="gramEnd"/>
      <w:r w:rsidRPr="00D1611C">
        <w:rPr>
          <w:rFonts w:cstheme="minorHAnsi"/>
        </w:rPr>
        <w:t xml:space="preserve"> and S. Parr, ‘The Exercise of Judicial Discretion in Rent Arrears Cases’ (London: Department for Constitutional Affairs, Research Series 6/05, October 2005)</w:t>
      </w:r>
      <w:r>
        <w:rPr>
          <w:rFonts w:cstheme="minorHAnsi"/>
        </w:rPr>
        <w:t xml:space="preserve"> and </w:t>
      </w:r>
      <w:r w:rsidRPr="00703FB5">
        <w:rPr>
          <w:rFonts w:cstheme="minorHAnsi"/>
          <w:bCs/>
        </w:rPr>
        <w:t xml:space="preserve">Whitehouse, L., Bright, S. and Dhami, M.K., ‘Improving Procedural Fairness in Housing Possession Cases’, </w:t>
      </w:r>
      <w:r w:rsidRPr="00703FB5">
        <w:rPr>
          <w:rFonts w:cstheme="minorHAnsi"/>
          <w:bCs/>
          <w:i/>
          <w:iCs/>
        </w:rPr>
        <w:t>Civil Justice Quarterly</w:t>
      </w:r>
      <w:r w:rsidRPr="00703FB5">
        <w:rPr>
          <w:rFonts w:cstheme="minorHAnsi"/>
          <w:bCs/>
        </w:rPr>
        <w:t xml:space="preserve">, (2019) 38:3 </w:t>
      </w:r>
      <w:r w:rsidRPr="00703FB5">
        <w:rPr>
          <w:rFonts w:cstheme="minorHAnsi"/>
          <w:bCs/>
          <w:i/>
          <w:iCs/>
        </w:rPr>
        <w:t>Civil Justice Quarterly</w:t>
      </w:r>
      <w:r w:rsidRPr="00703FB5">
        <w:rPr>
          <w:rFonts w:cstheme="minorHAnsi"/>
          <w:bCs/>
        </w:rPr>
        <w:t xml:space="preserve"> 351-375</w:t>
      </w:r>
      <w:r>
        <w:rPr>
          <w:rFonts w:cstheme="minorHAnsi"/>
          <w:bCs/>
        </w:rPr>
        <w:t>.</w:t>
      </w:r>
    </w:p>
  </w:footnote>
  <w:footnote w:id="8">
    <w:p w14:paraId="378C8E0A"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Whitehead, C. and Holman, N., ‘Where Now for the Private Rented Sector?’, London School of Economics, November 2020,</w:t>
      </w:r>
    </w:p>
  </w:footnote>
  <w:footnote w:id="9">
    <w:p w14:paraId="2631EF79" w14:textId="265E95F4"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t>
      </w:r>
      <w:r w:rsidR="00D1611C" w:rsidRPr="00D1611C">
        <w:rPr>
          <w:rFonts w:cstheme="minorHAnsi"/>
        </w:rPr>
        <w:t xml:space="preserve">Byrom, N., </w:t>
      </w:r>
      <w:proofErr w:type="spellStart"/>
      <w:r w:rsidR="00D1611C" w:rsidRPr="00D1611C">
        <w:rPr>
          <w:rFonts w:cstheme="minorHAnsi"/>
        </w:rPr>
        <w:t>Beardon</w:t>
      </w:r>
      <w:proofErr w:type="spellEnd"/>
      <w:r w:rsidR="00D1611C" w:rsidRPr="00D1611C">
        <w:rPr>
          <w:rFonts w:cstheme="minorHAnsi"/>
        </w:rPr>
        <w:t>, S. and Kendrick, A., The impact of COVID-19 measures on the civil justice system (Civil Justice Council and Legal Education Foundation, May 2020), available at https://www.judiciary.uk/wp-content/uploads/2020/06/FINAL-REPORT-CJC-4-June-2020.v2-accessible.pdf</w:t>
      </w:r>
      <w:r w:rsidRPr="00282B3F">
        <w:rPr>
          <w:rFonts w:cstheme="minorHAnsi"/>
        </w:rPr>
        <w:t>, para. 4.6.</w:t>
      </w:r>
    </w:p>
  </w:footnote>
  <w:footnote w:id="10">
    <w:p w14:paraId="64BCC6A1"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CPR, Part 1 —Overriding Objective, 1.1(1).</w:t>
      </w:r>
    </w:p>
  </w:footnote>
  <w:footnote w:id="11">
    <w:p w14:paraId="391CE7E1"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PD55C Coronavirus: Temporary Provision in Relation to Possession Proceedings, paras 6.1 and 6.2, available at </w:t>
      </w:r>
      <w:hyperlink r:id="rId2" w:history="1">
        <w:r w:rsidRPr="00282B3F">
          <w:rPr>
            <w:rStyle w:val="Hyperlink"/>
            <w:rFonts w:cstheme="minorHAnsi"/>
          </w:rPr>
          <w:t>https://www.justice.gov.uk/courts/procedure-rules/civil/rules/practice-direction-55c-coronavirus-temporary-provision-in-relation-to-possession-proceedings</w:t>
        </w:r>
      </w:hyperlink>
      <w:r w:rsidRPr="00282B3F">
        <w:rPr>
          <w:rFonts w:cstheme="minorHAnsi"/>
        </w:rPr>
        <w:t xml:space="preserve"> </w:t>
      </w:r>
    </w:p>
  </w:footnote>
  <w:footnote w:id="12">
    <w:p w14:paraId="24F870F7" w14:textId="465B333F" w:rsidR="00641EE1" w:rsidRPr="00282B3F" w:rsidRDefault="00641EE1" w:rsidP="00641EE1">
      <w:pPr>
        <w:pStyle w:val="FootnoteText"/>
        <w:rPr>
          <w:rFonts w:cstheme="minorHAnsi"/>
          <w:b/>
          <w:bCs/>
        </w:rPr>
      </w:pPr>
      <w:r w:rsidRPr="00282B3F">
        <w:rPr>
          <w:rStyle w:val="FootnoteReference"/>
          <w:rFonts w:cstheme="minorHAnsi"/>
        </w:rPr>
        <w:footnoteRef/>
      </w:r>
      <w:r w:rsidRPr="00282B3F">
        <w:rPr>
          <w:rFonts w:cstheme="minorHAnsi"/>
        </w:rPr>
        <w:t xml:space="preserve"> For claims issued on or after 1 December 2021 and up to 30 June 2022, PD 55C paras 6.1 and 6.2 will continue to apply. See </w:t>
      </w:r>
      <w:r w:rsidR="00D1611C" w:rsidRPr="00D1611C">
        <w:rPr>
          <w:rFonts w:cstheme="minorHAnsi"/>
        </w:rPr>
        <w:t xml:space="preserve">Peaker, G., ‘Possession News’, Nearly Legal: Housing Law News and Comment, 12 November 2021, available at https://nearlylegal.co.uk/2021/11/possession-news/ </w:t>
      </w:r>
      <w:r w:rsidRPr="00282B3F">
        <w:rPr>
          <w:rFonts w:cstheme="minorHAnsi"/>
          <w:b/>
          <w:bCs/>
        </w:rPr>
        <w:t xml:space="preserve"> </w:t>
      </w:r>
    </w:p>
  </w:footnote>
  <w:footnote w:id="13">
    <w:p w14:paraId="6A127F7B"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t>
      </w:r>
      <w:r>
        <w:rPr>
          <w:rFonts w:cstheme="minorHAnsi"/>
        </w:rPr>
        <w:t xml:space="preserve">For example, claims bought under </w:t>
      </w:r>
      <w:r w:rsidRPr="00641FE2">
        <w:rPr>
          <w:rFonts w:cstheme="minorHAnsi"/>
        </w:rPr>
        <w:t>s.21</w:t>
      </w:r>
      <w:r>
        <w:rPr>
          <w:rFonts w:cstheme="minorHAnsi"/>
        </w:rPr>
        <w:t xml:space="preserve"> of the Housing Act 1988 or </w:t>
      </w:r>
      <w:r w:rsidRPr="00FC5150">
        <w:rPr>
          <w:rFonts w:cstheme="minorHAnsi"/>
          <w:lang w:val="en"/>
        </w:rPr>
        <w:t>Ground 8, Schedule 2 of the Housing Act 1988</w:t>
      </w:r>
      <w:r>
        <w:rPr>
          <w:rFonts w:cstheme="minorHAnsi"/>
          <w:lang w:val="en"/>
        </w:rPr>
        <w:t>.</w:t>
      </w:r>
    </w:p>
  </w:footnote>
  <w:footnote w:id="14">
    <w:p w14:paraId="62B18406"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t>
      </w:r>
      <w:r w:rsidRPr="00703FB5">
        <w:rPr>
          <w:rFonts w:cstheme="minorHAnsi"/>
        </w:rPr>
        <w:t xml:space="preserve">Ministry of Justice, </w:t>
      </w:r>
      <w:r w:rsidRPr="00703FB5">
        <w:rPr>
          <w:rFonts w:cstheme="minorHAnsi"/>
          <w:i/>
          <w:iCs/>
        </w:rPr>
        <w:t>Housing Legal Aid: the way forward A consultation on the future of the Housing Possession Court Duty Scheme</w:t>
      </w:r>
      <w:r w:rsidRPr="00703FB5">
        <w:rPr>
          <w:rFonts w:cstheme="minorHAnsi"/>
        </w:rPr>
        <w:t>, November 2021, para. 3</w:t>
      </w:r>
      <w:r>
        <w:rPr>
          <w:rFonts w:cstheme="minorHAnsi"/>
        </w:rPr>
        <w:t>5</w:t>
      </w:r>
      <w:r w:rsidRPr="00703FB5">
        <w:rPr>
          <w:rFonts w:cstheme="minorHAnsi"/>
        </w:rPr>
        <w:t xml:space="preserve">, available at </w:t>
      </w:r>
      <w:hyperlink r:id="rId3" w:history="1">
        <w:r w:rsidRPr="00703FB5">
          <w:rPr>
            <w:rStyle w:val="Hyperlink"/>
            <w:rFonts w:cstheme="minorHAnsi"/>
          </w:rPr>
          <w:t>https://assets.publishing.service.gov.uk/government/uploads/system/uploads/attachment_data/file/1035295/hpcds-way-forward-consultation.pdf</w:t>
        </w:r>
      </w:hyperlink>
      <w:r w:rsidRPr="00282B3F">
        <w:rPr>
          <w:rFonts w:cstheme="minorHAnsi"/>
        </w:rPr>
        <w:t>.</w:t>
      </w:r>
    </w:p>
  </w:footnote>
  <w:footnote w:id="15">
    <w:p w14:paraId="4F22BB10"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The consultation runs from 25 November 2021 to 20 January 2022.</w:t>
      </w:r>
    </w:p>
  </w:footnote>
  <w:footnote w:id="16">
    <w:p w14:paraId="026F2956" w14:textId="78C94995"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Ministry of Justice </w:t>
      </w:r>
      <w:r>
        <w:rPr>
          <w:rFonts w:cstheme="minorHAnsi"/>
        </w:rPr>
        <w:t>(</w:t>
      </w:r>
      <w:r w:rsidRPr="00282B3F">
        <w:rPr>
          <w:rFonts w:cstheme="minorHAnsi"/>
        </w:rPr>
        <w:t>n</w:t>
      </w:r>
      <w:r>
        <w:rPr>
          <w:rFonts w:cstheme="minorHAnsi"/>
        </w:rPr>
        <w:t>.</w:t>
      </w:r>
      <w:r w:rsidRPr="00282B3F">
        <w:rPr>
          <w:rFonts w:cstheme="minorHAnsi"/>
        </w:rPr>
        <w:t xml:space="preserve"> </w:t>
      </w:r>
      <w:r w:rsidR="003D609A">
        <w:rPr>
          <w:rFonts w:cstheme="minorHAnsi"/>
        </w:rPr>
        <w:t>14</w:t>
      </w:r>
      <w:r>
        <w:rPr>
          <w:rFonts w:cstheme="minorHAnsi"/>
        </w:rPr>
        <w:t>)</w:t>
      </w:r>
      <w:r w:rsidRPr="00282B3F">
        <w:rPr>
          <w:rFonts w:cstheme="minorHAnsi"/>
        </w:rPr>
        <w:t>, para. 30.</w:t>
      </w:r>
    </w:p>
  </w:footnote>
  <w:footnote w:id="17">
    <w:p w14:paraId="7D917785"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t>
      </w:r>
      <w:r>
        <w:rPr>
          <w:rFonts w:cstheme="minorHAnsi"/>
        </w:rPr>
        <w:t>Ibid</w:t>
      </w:r>
      <w:r w:rsidRPr="00282B3F">
        <w:rPr>
          <w:rFonts w:cstheme="minorHAnsi"/>
        </w:rPr>
        <w:t>, para. 31.</w:t>
      </w:r>
    </w:p>
  </w:footnote>
  <w:footnote w:id="18">
    <w:p w14:paraId="50A31AC2"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t>
      </w:r>
      <w:proofErr w:type="spellStart"/>
      <w:r w:rsidRPr="00282B3F">
        <w:rPr>
          <w:rFonts w:cstheme="minorHAnsi"/>
        </w:rPr>
        <w:t>Genn</w:t>
      </w:r>
      <w:proofErr w:type="spellEnd"/>
      <w:r w:rsidRPr="00282B3F">
        <w:rPr>
          <w:rFonts w:cstheme="minorHAnsi"/>
        </w:rPr>
        <w:t xml:space="preserve">, H., </w:t>
      </w:r>
      <w:r w:rsidRPr="00A337F6">
        <w:rPr>
          <w:rFonts w:cstheme="minorHAnsi"/>
          <w:i/>
          <w:iCs/>
        </w:rPr>
        <w:t>Pathways to Justice</w:t>
      </w:r>
      <w:r w:rsidRPr="00282B3F">
        <w:rPr>
          <w:rFonts w:cstheme="minorHAnsi"/>
        </w:rPr>
        <w:t xml:space="preserve"> (1991) p 34</w:t>
      </w:r>
      <w:r>
        <w:rPr>
          <w:rFonts w:cstheme="minorHAnsi"/>
        </w:rPr>
        <w:t xml:space="preserve">, </w:t>
      </w:r>
      <w:r w:rsidRPr="00282B3F">
        <w:rPr>
          <w:rFonts w:cstheme="minorHAnsi"/>
        </w:rPr>
        <w:t xml:space="preserve">Pleasence, </w:t>
      </w:r>
      <w:r>
        <w:rPr>
          <w:rFonts w:cstheme="minorHAnsi"/>
        </w:rPr>
        <w:t xml:space="preserve">P., </w:t>
      </w:r>
      <w:r w:rsidRPr="009100C7">
        <w:rPr>
          <w:rFonts w:cstheme="minorHAnsi"/>
          <w:i/>
          <w:iCs/>
        </w:rPr>
        <w:t>Causes of Action: Civil law and social justice</w:t>
      </w:r>
      <w:r w:rsidRPr="00282B3F">
        <w:rPr>
          <w:rFonts w:cstheme="minorHAnsi"/>
        </w:rPr>
        <w:t xml:space="preserve"> (2nd ed 2006) p 155, </w:t>
      </w:r>
      <w:r w:rsidRPr="00703FB5">
        <w:rPr>
          <w:rFonts w:cstheme="minorHAnsi"/>
        </w:rPr>
        <w:t xml:space="preserve">Law Commission, </w:t>
      </w:r>
      <w:r w:rsidRPr="00703FB5">
        <w:rPr>
          <w:rFonts w:cstheme="minorHAnsi"/>
          <w:i/>
          <w:iCs/>
        </w:rPr>
        <w:t>Housing: Proportionate Dispute Resolution</w:t>
      </w:r>
      <w:r w:rsidRPr="00703FB5">
        <w:rPr>
          <w:rFonts w:cstheme="minorHAnsi"/>
        </w:rPr>
        <w:t xml:space="preserve">, Law Com No 309, May 2008, </w:t>
      </w:r>
      <w:r w:rsidRPr="00282B3F">
        <w:rPr>
          <w:rFonts w:cstheme="minorHAnsi"/>
        </w:rPr>
        <w:t xml:space="preserve">Moorhead, R., Robinson, M. and Matrix Research and Consultancy, ‘A trouble shared: Legal problems clusters in solicitors’ and advice agencies,’ (Department for Constitutional Affairs Research Series 8/06, November 2006), </w:t>
      </w:r>
      <w:hyperlink r:id="rId4" w:history="1">
        <w:r w:rsidRPr="00282B3F">
          <w:rPr>
            <w:rStyle w:val="Hyperlink"/>
            <w:rFonts w:cstheme="minorHAnsi"/>
          </w:rPr>
          <w:t>http://www.dca.gov.uk/research/2006/08_2006.pdf</w:t>
        </w:r>
      </w:hyperlink>
      <w:r w:rsidRPr="00282B3F">
        <w:rPr>
          <w:rFonts w:cstheme="minorHAnsi"/>
        </w:rPr>
        <w:t xml:space="preserve"> .</w:t>
      </w:r>
    </w:p>
  </w:footnote>
  <w:footnote w:id="19">
    <w:p w14:paraId="1C46758C"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Coats, E., ‘</w:t>
      </w:r>
      <w:proofErr w:type="spellStart"/>
      <w:r w:rsidRPr="00282B3F">
        <w:rPr>
          <w:rFonts w:cstheme="minorHAnsi"/>
        </w:rPr>
        <w:t>AdviceUK</w:t>
      </w:r>
      <w:proofErr w:type="spellEnd"/>
      <w:r w:rsidRPr="00282B3F">
        <w:rPr>
          <w:rFonts w:cstheme="minorHAnsi"/>
        </w:rPr>
        <w:t xml:space="preserve"> calls on </w:t>
      </w:r>
      <w:proofErr w:type="spellStart"/>
      <w:r w:rsidRPr="00282B3F">
        <w:rPr>
          <w:rFonts w:cstheme="minorHAnsi"/>
        </w:rPr>
        <w:t>MaPs</w:t>
      </w:r>
      <w:proofErr w:type="spellEnd"/>
      <w:r w:rsidRPr="00282B3F">
        <w:rPr>
          <w:rFonts w:cstheme="minorHAnsi"/>
        </w:rPr>
        <w:t xml:space="preserve"> to Press Pause’, </w:t>
      </w:r>
      <w:proofErr w:type="spellStart"/>
      <w:r w:rsidRPr="00282B3F">
        <w:rPr>
          <w:rFonts w:cstheme="minorHAnsi"/>
        </w:rPr>
        <w:t>AdviceUK</w:t>
      </w:r>
      <w:proofErr w:type="spellEnd"/>
      <w:r w:rsidRPr="00282B3F">
        <w:rPr>
          <w:rFonts w:cstheme="minorHAnsi"/>
        </w:rPr>
        <w:t xml:space="preserve">, 9 December 2021, available at </w:t>
      </w:r>
      <w:hyperlink r:id="rId5" w:history="1">
        <w:r w:rsidRPr="00282B3F">
          <w:rPr>
            <w:rStyle w:val="Hyperlink"/>
            <w:rFonts w:cstheme="minorHAnsi"/>
          </w:rPr>
          <w:t>https://www.adviceuk.org.uk/2021/12/09/presspause-news/</w:t>
        </w:r>
      </w:hyperlink>
      <w:r w:rsidRPr="00282B3F">
        <w:rPr>
          <w:rFonts w:cstheme="minorHAnsi"/>
        </w:rPr>
        <w:t xml:space="preserve"> </w:t>
      </w:r>
    </w:p>
  </w:footnote>
  <w:footnote w:id="20">
    <w:p w14:paraId="56183301"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t>
      </w:r>
      <w:proofErr w:type="spellStart"/>
      <w:r w:rsidRPr="00282B3F">
        <w:rPr>
          <w:rFonts w:cstheme="minorHAnsi"/>
        </w:rPr>
        <w:t>Fouzder</w:t>
      </w:r>
      <w:proofErr w:type="spellEnd"/>
      <w:r w:rsidRPr="00282B3F">
        <w:rPr>
          <w:rFonts w:cstheme="minorHAnsi"/>
        </w:rPr>
        <w:t>, M., ‘</w:t>
      </w:r>
      <w:proofErr w:type="spellStart"/>
      <w:r w:rsidRPr="00282B3F">
        <w:rPr>
          <w:rFonts w:cstheme="minorHAnsi"/>
        </w:rPr>
        <w:t>MoJ</w:t>
      </w:r>
      <w:proofErr w:type="spellEnd"/>
      <w:r w:rsidRPr="00282B3F">
        <w:rPr>
          <w:rFonts w:cstheme="minorHAnsi"/>
        </w:rPr>
        <w:t xml:space="preserve"> remodels housing emergency scheme to address concerns’, </w:t>
      </w:r>
      <w:r w:rsidRPr="00282B3F">
        <w:rPr>
          <w:rFonts w:cstheme="minorHAnsi"/>
          <w:i/>
          <w:iCs/>
        </w:rPr>
        <w:t>The Law Society Gazette</w:t>
      </w:r>
      <w:r w:rsidRPr="00282B3F">
        <w:rPr>
          <w:rFonts w:cstheme="minorHAnsi"/>
        </w:rPr>
        <w:t>, 26 November 2021, available at</w:t>
      </w:r>
    </w:p>
    <w:p w14:paraId="7969A193" w14:textId="77777777" w:rsidR="00641EE1" w:rsidRPr="00282B3F" w:rsidRDefault="004D4224" w:rsidP="00641EE1">
      <w:pPr>
        <w:pStyle w:val="FootnoteText"/>
        <w:rPr>
          <w:rFonts w:cstheme="minorHAnsi"/>
        </w:rPr>
      </w:pPr>
      <w:hyperlink r:id="rId6" w:history="1">
        <w:r w:rsidR="00641EE1" w:rsidRPr="00282B3F">
          <w:rPr>
            <w:rStyle w:val="Hyperlink"/>
            <w:rFonts w:cstheme="minorHAnsi"/>
          </w:rPr>
          <w:t>https://www.lawgazette.co.uk/news/moj-remodels-housing-emergency-scheme-to-address-concerns/5110724.article</w:t>
        </w:r>
      </w:hyperlink>
      <w:r w:rsidR="00641EE1" w:rsidRPr="00282B3F">
        <w:rPr>
          <w:rFonts w:cstheme="minorHAnsi"/>
        </w:rPr>
        <w:t xml:space="preserve"> </w:t>
      </w:r>
    </w:p>
  </w:footnote>
  <w:footnote w:id="21">
    <w:p w14:paraId="64687A0A"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t>
      </w:r>
      <w:proofErr w:type="spellStart"/>
      <w:r w:rsidRPr="00282B3F">
        <w:rPr>
          <w:rFonts w:cstheme="minorHAnsi"/>
        </w:rPr>
        <w:t>Fouzder</w:t>
      </w:r>
      <w:proofErr w:type="spellEnd"/>
      <w:r w:rsidRPr="00282B3F">
        <w:rPr>
          <w:rFonts w:cstheme="minorHAnsi"/>
        </w:rPr>
        <w:t xml:space="preserve">, M., ‘Fee concerns over remodelled emergency housing scheme’, </w:t>
      </w:r>
      <w:r w:rsidRPr="00282B3F">
        <w:rPr>
          <w:rFonts w:cstheme="minorHAnsi"/>
          <w:i/>
          <w:iCs/>
        </w:rPr>
        <w:t>The Law Society Gazette</w:t>
      </w:r>
      <w:r w:rsidRPr="00282B3F">
        <w:rPr>
          <w:rFonts w:cstheme="minorHAnsi"/>
        </w:rPr>
        <w:t xml:space="preserve">, 6 December 2021, available at </w:t>
      </w:r>
      <w:hyperlink r:id="rId7" w:history="1">
        <w:r w:rsidRPr="00282B3F">
          <w:rPr>
            <w:rStyle w:val="Hyperlink"/>
            <w:rFonts w:cstheme="minorHAnsi"/>
          </w:rPr>
          <w:t>https://www.lawgazette.co.uk/practice/fee-concerns-over-remodelled-emergency-housing-scheme/5110820.article</w:t>
        </w:r>
      </w:hyperlink>
      <w:r w:rsidRPr="00282B3F">
        <w:rPr>
          <w:rFonts w:cstheme="minorHAnsi"/>
        </w:rPr>
        <w:t xml:space="preserve"> </w:t>
      </w:r>
    </w:p>
  </w:footnote>
  <w:footnote w:id="22">
    <w:p w14:paraId="171EB25E" w14:textId="166E36DF"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w:t>
      </w:r>
      <w:r w:rsidR="00D1611C" w:rsidRPr="00D1611C">
        <w:rPr>
          <w:rFonts w:cstheme="minorHAnsi"/>
        </w:rPr>
        <w:t xml:space="preserve">Renton, D., </w:t>
      </w:r>
      <w:r w:rsidR="00D1611C" w:rsidRPr="00D1611C">
        <w:rPr>
          <w:rFonts w:cstheme="minorHAnsi"/>
          <w:i/>
          <w:iCs/>
        </w:rPr>
        <w:t>Jobs and Homes: Stories of the Law in Lockdown</w:t>
      </w:r>
      <w:r w:rsidR="00D1611C" w:rsidRPr="00D1611C">
        <w:rPr>
          <w:rFonts w:cstheme="minorHAnsi"/>
        </w:rPr>
        <w:t xml:space="preserve"> (Legal Action Group: London, 2021)</w:t>
      </w:r>
      <w:r>
        <w:rPr>
          <w:rFonts w:cstheme="minorHAnsi"/>
        </w:rPr>
        <w:t xml:space="preserve">, </w:t>
      </w:r>
      <w:r w:rsidRPr="00282B3F">
        <w:rPr>
          <w:rFonts w:cstheme="minorHAnsi"/>
        </w:rPr>
        <w:t>p. 155.</w:t>
      </w:r>
    </w:p>
  </w:footnote>
  <w:footnote w:id="23">
    <w:p w14:paraId="0FAD86BC" w14:textId="1395D8D9"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Byrom et al (n</w:t>
      </w:r>
      <w:r>
        <w:rPr>
          <w:rFonts w:cstheme="minorHAnsi"/>
        </w:rPr>
        <w:t xml:space="preserve">. </w:t>
      </w:r>
      <w:r w:rsidR="00D1611C">
        <w:rPr>
          <w:rFonts w:cstheme="minorHAnsi"/>
        </w:rPr>
        <w:t>4</w:t>
      </w:r>
      <w:r w:rsidRPr="00282B3F">
        <w:rPr>
          <w:rFonts w:cstheme="minorHAnsi"/>
        </w:rPr>
        <w:t>), para. 4.6.</w:t>
      </w:r>
    </w:p>
  </w:footnote>
  <w:footnote w:id="24">
    <w:p w14:paraId="0F1691D2"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For recommendations on how the process might be improved, see Whitehouse, L., </w:t>
      </w:r>
      <w:r w:rsidRPr="00282B3F">
        <w:rPr>
          <w:rFonts w:cstheme="minorHAnsi"/>
          <w:i/>
          <w:iCs/>
        </w:rPr>
        <w:t>Assessing the Court System’s Response to the COVID-19 Pandemic in Housing Possession Cases in England and Wales: Final Report</w:t>
      </w:r>
      <w:r w:rsidRPr="00282B3F">
        <w:rPr>
          <w:rFonts w:cstheme="minorHAnsi"/>
        </w:rPr>
        <w:t xml:space="preserve">, available at </w:t>
      </w:r>
      <w:hyperlink r:id="rId8" w:history="1">
        <w:r w:rsidRPr="007562D9">
          <w:rPr>
            <w:rStyle w:val="Hyperlink"/>
            <w:rFonts w:cstheme="minorHAnsi"/>
          </w:rPr>
          <w:t>https://drive.google.com/file/d/1F_9rg2HWdSJiOwT0DYOJ_D5stGLGYdba/view?usp=sharing</w:t>
        </w:r>
      </w:hyperlink>
      <w:r>
        <w:rPr>
          <w:rFonts w:cstheme="minorHAnsi"/>
        </w:rPr>
        <w:t xml:space="preserve"> </w:t>
      </w:r>
    </w:p>
  </w:footnote>
  <w:footnote w:id="25">
    <w:p w14:paraId="6FE4EF9E" w14:textId="77777777" w:rsidR="00641EE1" w:rsidRPr="00282B3F" w:rsidRDefault="00641EE1" w:rsidP="00641EE1">
      <w:pPr>
        <w:pStyle w:val="FootnoteText"/>
        <w:rPr>
          <w:rFonts w:cstheme="minorHAnsi"/>
        </w:rPr>
      </w:pPr>
      <w:r w:rsidRPr="00282B3F">
        <w:rPr>
          <w:rStyle w:val="FootnoteReference"/>
          <w:rFonts w:cstheme="minorHAnsi"/>
        </w:rPr>
        <w:footnoteRef/>
      </w:r>
      <w:r w:rsidRPr="00282B3F">
        <w:rPr>
          <w:rFonts w:cstheme="minorHAnsi"/>
        </w:rPr>
        <w:t xml:space="preserve"> CPR, Part 1 —Overriding Objective, 1.1(1).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D594C"/>
    <w:multiLevelType w:val="multilevel"/>
    <w:tmpl w:val="22D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19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E1"/>
    <w:rsid w:val="00044F86"/>
    <w:rsid w:val="00290D20"/>
    <w:rsid w:val="00330871"/>
    <w:rsid w:val="003D609A"/>
    <w:rsid w:val="004A536B"/>
    <w:rsid w:val="004D4224"/>
    <w:rsid w:val="0057268E"/>
    <w:rsid w:val="00641EE1"/>
    <w:rsid w:val="00745E51"/>
    <w:rsid w:val="008C1AFF"/>
    <w:rsid w:val="00D070B1"/>
    <w:rsid w:val="00D1611C"/>
    <w:rsid w:val="00D3592D"/>
    <w:rsid w:val="00F46699"/>
    <w:rsid w:val="00F71208"/>
    <w:rsid w:val="00FD3955"/>
    <w:rsid w:val="00FF3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BD71"/>
  <w15:chartTrackingRefBased/>
  <w15:docId w15:val="{09C64BEE-5DFE-6D45-BA97-0C79A3C0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E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EE1"/>
    <w:rPr>
      <w:color w:val="0563C1" w:themeColor="hyperlink"/>
      <w:u w:val="single"/>
    </w:rPr>
  </w:style>
  <w:style w:type="paragraph" w:styleId="FootnoteText">
    <w:name w:val="footnote text"/>
    <w:basedOn w:val="Normal"/>
    <w:link w:val="FootnoteTextChar"/>
    <w:uiPriority w:val="99"/>
    <w:unhideWhenUsed/>
    <w:rsid w:val="00641EE1"/>
    <w:pPr>
      <w:spacing w:after="0" w:line="240" w:lineRule="auto"/>
    </w:pPr>
    <w:rPr>
      <w:sz w:val="20"/>
      <w:szCs w:val="20"/>
    </w:rPr>
  </w:style>
  <w:style w:type="character" w:customStyle="1" w:styleId="FootnoteTextChar">
    <w:name w:val="Footnote Text Char"/>
    <w:basedOn w:val="DefaultParagraphFont"/>
    <w:link w:val="FootnoteText"/>
    <w:uiPriority w:val="99"/>
    <w:rsid w:val="00641EE1"/>
    <w:rPr>
      <w:sz w:val="20"/>
      <w:szCs w:val="20"/>
    </w:rPr>
  </w:style>
  <w:style w:type="character" w:styleId="FootnoteReference">
    <w:name w:val="footnote reference"/>
    <w:basedOn w:val="DefaultParagraphFont"/>
    <w:uiPriority w:val="99"/>
    <w:unhideWhenUsed/>
    <w:rsid w:val="00641EE1"/>
    <w:rPr>
      <w:vertAlign w:val="superscript"/>
    </w:rPr>
  </w:style>
  <w:style w:type="paragraph" w:styleId="Footer">
    <w:name w:val="footer"/>
    <w:basedOn w:val="Normal"/>
    <w:link w:val="FooterChar"/>
    <w:uiPriority w:val="99"/>
    <w:unhideWhenUsed/>
    <w:rsid w:val="0064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EE1"/>
    <w:rPr>
      <w:sz w:val="22"/>
      <w:szCs w:val="22"/>
    </w:rPr>
  </w:style>
  <w:style w:type="paragraph" w:styleId="Revision">
    <w:name w:val="Revision"/>
    <w:hidden/>
    <w:uiPriority w:val="99"/>
    <w:semiHidden/>
    <w:rsid w:val="003308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rive.google.com/file/d/1F_9rg2HWdSJiOwT0DYOJ_D5stGLGYdba/view?usp=sharing" TargetMode="External"/><Relationship Id="rId3" Type="http://schemas.openxmlformats.org/officeDocument/2006/relationships/hyperlink" Target="https://assets.publishing.service.gov.uk/government/uploads/system/uploads/attachment_data/file/1035295/hpcds-way-forward-consultation.pdf" TargetMode="External"/><Relationship Id="rId7" Type="http://schemas.openxmlformats.org/officeDocument/2006/relationships/hyperlink" Target="https://www.lawgazette.co.uk/practice/fee-concerns-over-remodelled-emergency-housing-scheme/5110820.article" TargetMode="External"/><Relationship Id="rId2" Type="http://schemas.openxmlformats.org/officeDocument/2006/relationships/hyperlink" Target="https://www.justice.gov.uk/courts/procedure-rules/civil/rules/practice-direction-55c-coronavirus-temporary-provision-in-relation-to-possession-proceedings" TargetMode="External"/><Relationship Id="rId1" Type="http://schemas.openxmlformats.org/officeDocument/2006/relationships/hyperlink" Target="https://www.fca.org.uk/publication/finalised-guidance/mortgages-and-coronavirus-tailored-support-guidance.pdf" TargetMode="External"/><Relationship Id="rId6" Type="http://schemas.openxmlformats.org/officeDocument/2006/relationships/hyperlink" Target="https://www.lawgazette.co.uk/news/moj-remodels-housing-emergency-scheme-to-address-concerns/5110724.article" TargetMode="External"/><Relationship Id="rId5" Type="http://schemas.openxmlformats.org/officeDocument/2006/relationships/hyperlink" Target="https://www.adviceuk.org.uk/2021/12/09/presspause-news/" TargetMode="External"/><Relationship Id="rId4" Type="http://schemas.openxmlformats.org/officeDocument/2006/relationships/hyperlink" Target="http://www.dca.gov.uk/research/2006/08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DA3E4-0B94-5F44-9497-970C47B6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Hunter</dc:creator>
  <cp:keywords/>
  <dc:description/>
  <cp:lastModifiedBy>Lisa A Whitehouse</cp:lastModifiedBy>
  <cp:revision>2</cp:revision>
  <dcterms:created xsi:type="dcterms:W3CDTF">2022-05-10T10:18:00Z</dcterms:created>
  <dcterms:modified xsi:type="dcterms:W3CDTF">2022-05-10T10:18:00Z</dcterms:modified>
</cp:coreProperties>
</file>