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5DA8B" w14:textId="77777777" w:rsidR="00833B0B" w:rsidRDefault="00833B0B"/>
    <w:p w14:paraId="6A96B8B8" w14:textId="77777777" w:rsidR="00833B0B" w:rsidRDefault="00833B0B"/>
    <w:p w14:paraId="3A54197C" w14:textId="77777777" w:rsidR="00833B0B" w:rsidRDefault="00833B0B"/>
    <w:p w14:paraId="273CC63A" w14:textId="77777777" w:rsidR="00833B0B" w:rsidRDefault="00833B0B"/>
    <w:p w14:paraId="0A675FB3" w14:textId="77777777" w:rsidR="00833B0B" w:rsidRDefault="00833B0B"/>
    <w:p w14:paraId="36360E4F" w14:textId="77777777" w:rsidR="00833B0B" w:rsidRDefault="00833B0B"/>
    <w:p w14:paraId="065700F3" w14:textId="77777777" w:rsidR="00833B0B" w:rsidRDefault="00833B0B"/>
    <w:p w14:paraId="7AF78E48" w14:textId="77777777" w:rsidR="00833B0B" w:rsidRDefault="00833B0B"/>
    <w:p w14:paraId="3E316CAF" w14:textId="77777777" w:rsidR="00833B0B" w:rsidRDefault="00833B0B"/>
    <w:p w14:paraId="7070D710" w14:textId="77777777" w:rsidR="00833B0B" w:rsidRDefault="00833B0B"/>
    <w:p w14:paraId="39C9C071" w14:textId="77777777" w:rsidR="00833B0B" w:rsidRDefault="00833B0B"/>
    <w:p w14:paraId="714316BB" w14:textId="77777777" w:rsidR="00833B0B" w:rsidRDefault="00833B0B"/>
    <w:p w14:paraId="6F8DDB76" w14:textId="77777777" w:rsidR="00833B0B" w:rsidRDefault="00833B0B"/>
    <w:p w14:paraId="36CF466D" w14:textId="77777777" w:rsidR="00833B0B" w:rsidRDefault="00833B0B"/>
    <w:p w14:paraId="38181C1A" w14:textId="77777777" w:rsidR="00833B0B" w:rsidRDefault="00833B0B" w:rsidP="002B5A36">
      <w:pPr>
        <w:spacing w:line="480" w:lineRule="auto"/>
      </w:pPr>
    </w:p>
    <w:p w14:paraId="24ABC907" w14:textId="77777777" w:rsidR="00833B0B" w:rsidRDefault="00833B0B" w:rsidP="002B5A36">
      <w:pPr>
        <w:spacing w:line="480" w:lineRule="auto"/>
      </w:pPr>
    </w:p>
    <w:p w14:paraId="5BD09177" w14:textId="0F85DBCD" w:rsidR="00997BE8" w:rsidRDefault="00833B0B" w:rsidP="002B5A36">
      <w:pPr>
        <w:spacing w:line="480" w:lineRule="auto"/>
        <w:jc w:val="center"/>
      </w:pPr>
      <w:r w:rsidRPr="00833B0B">
        <w:t>Three-</w:t>
      </w:r>
      <w:r>
        <w:t>s</w:t>
      </w:r>
      <w:r w:rsidRPr="00833B0B">
        <w:t xml:space="preserve">ite </w:t>
      </w:r>
      <w:r w:rsidR="00AE072B">
        <w:t>screening</w:t>
      </w:r>
      <w:r w:rsidRPr="00833B0B">
        <w:t xml:space="preserve"> for </w:t>
      </w:r>
      <w:r>
        <w:t>s</w:t>
      </w:r>
      <w:r w:rsidRPr="00833B0B">
        <w:t xml:space="preserve">exually </w:t>
      </w:r>
      <w:r>
        <w:t>t</w:t>
      </w:r>
      <w:r w:rsidRPr="00833B0B">
        <w:t xml:space="preserve">ransmitted </w:t>
      </w:r>
      <w:r>
        <w:t>i</w:t>
      </w:r>
      <w:r w:rsidRPr="00833B0B">
        <w:t xml:space="preserve">nfections in </w:t>
      </w:r>
      <w:r>
        <w:t>m</w:t>
      </w:r>
      <w:r w:rsidRPr="00833B0B">
        <w:t xml:space="preserve">en </w:t>
      </w:r>
      <w:r>
        <w:t>w</w:t>
      </w:r>
      <w:r w:rsidRPr="00833B0B">
        <w:t xml:space="preserve">ho </w:t>
      </w:r>
      <w:r>
        <w:t>h</w:t>
      </w:r>
      <w:r w:rsidRPr="00833B0B">
        <w:t xml:space="preserve">ave </w:t>
      </w:r>
      <w:r>
        <w:t>s</w:t>
      </w:r>
      <w:r w:rsidRPr="00833B0B">
        <w:t xml:space="preserve">ex with </w:t>
      </w:r>
      <w:r>
        <w:t>m</w:t>
      </w:r>
      <w:r w:rsidRPr="00833B0B">
        <w:t>en</w:t>
      </w:r>
      <w:r w:rsidR="000357EB">
        <w:t xml:space="preserve"> using </w:t>
      </w:r>
      <w:r>
        <w:t>online self-testing in an English sexual health service</w:t>
      </w:r>
    </w:p>
    <w:p w14:paraId="374B4EC8" w14:textId="5F1A1B02" w:rsidR="00833B0B" w:rsidRDefault="00833B0B"/>
    <w:p w14:paraId="078AF917" w14:textId="6D4BC7DD" w:rsidR="00833B0B" w:rsidRDefault="00833B0B"/>
    <w:p w14:paraId="0F3F5D94" w14:textId="77777777" w:rsidR="00833B0B" w:rsidRDefault="00833B0B"/>
    <w:p w14:paraId="2457D996" w14:textId="1E5B7175" w:rsidR="00833B0B" w:rsidRDefault="00833B0B">
      <w:r>
        <w:t xml:space="preserve">Gideon </w:t>
      </w:r>
      <w:proofErr w:type="spellStart"/>
      <w:r>
        <w:t>Charin</w:t>
      </w:r>
      <w:proofErr w:type="spellEnd"/>
      <w:r>
        <w:t>, University of Southampton, Southampton, United Kingdom</w:t>
      </w:r>
    </w:p>
    <w:p w14:paraId="64FC9D13" w14:textId="4A22BC7E" w:rsidR="00833B0B" w:rsidRDefault="00833B0B"/>
    <w:p w14:paraId="31A5F867" w14:textId="351C61C8" w:rsidR="00833B0B" w:rsidRDefault="00833B0B">
      <w:r>
        <w:t>Ynez Symonds, Solent NHS Sexual Health Services, Southampton, United Kingdom</w:t>
      </w:r>
    </w:p>
    <w:p w14:paraId="5D6ADF02" w14:textId="67FA419E" w:rsidR="00833B0B" w:rsidRDefault="00833B0B"/>
    <w:p w14:paraId="4FB05C68" w14:textId="1CE00C0D" w:rsidR="00833B0B" w:rsidRDefault="00833B0B" w:rsidP="00833B0B">
      <w:r>
        <w:t xml:space="preserve">Clare </w:t>
      </w:r>
      <w:proofErr w:type="spellStart"/>
      <w:r>
        <w:t>Scholfield</w:t>
      </w:r>
      <w:proofErr w:type="spellEnd"/>
      <w:r>
        <w:t>, Solent NHS Sexual Health Services, Southampton, United Kingdom</w:t>
      </w:r>
    </w:p>
    <w:p w14:paraId="06B427D6" w14:textId="1537C15E" w:rsidR="00833B0B" w:rsidRDefault="00833B0B"/>
    <w:p w14:paraId="170202A6" w14:textId="6D12DE4F" w:rsidR="00833B0B" w:rsidRDefault="00833B0B">
      <w:r>
        <w:t xml:space="preserve">Cynthia </w:t>
      </w:r>
      <w:r w:rsidR="00D558DE">
        <w:t xml:space="preserve">A. </w:t>
      </w:r>
      <w:r>
        <w:t>Graham, University of Southampton, Southampton, United Kingdom</w:t>
      </w:r>
    </w:p>
    <w:p w14:paraId="3B71BFB3" w14:textId="15D412DE" w:rsidR="00833B0B" w:rsidRDefault="00833B0B"/>
    <w:p w14:paraId="6F90ABCF" w14:textId="76C8915C" w:rsidR="00833B0B" w:rsidRDefault="00833B0B" w:rsidP="00833B0B">
      <w:r>
        <w:t>Heather L. Armstrong, University of Southampton, Solent NHS Sexual Health Services, Southampton, United Kingdom</w:t>
      </w:r>
    </w:p>
    <w:p w14:paraId="6B8ACECB" w14:textId="472C28C6" w:rsidR="00833B0B" w:rsidRDefault="00833B0B"/>
    <w:p w14:paraId="0425047B" w14:textId="0CF5A6A6" w:rsidR="00833B0B" w:rsidRDefault="00833B0B"/>
    <w:p w14:paraId="4706E467" w14:textId="6E7522CD" w:rsidR="00833B0B" w:rsidRDefault="00833B0B"/>
    <w:p w14:paraId="1EC4F515" w14:textId="77777777" w:rsidR="00833B0B" w:rsidRDefault="00833B0B"/>
    <w:p w14:paraId="26F6831C" w14:textId="627E89AB" w:rsidR="00833B0B" w:rsidRDefault="00833B0B">
      <w:r>
        <w:t>Corresponding Author:</w:t>
      </w:r>
    </w:p>
    <w:p w14:paraId="2B743EE3" w14:textId="2ECEF40C" w:rsidR="00833B0B" w:rsidRDefault="00833B0B">
      <w:r>
        <w:t>Heather L. Armstrong</w:t>
      </w:r>
    </w:p>
    <w:p w14:paraId="547530A6" w14:textId="7A45B84F" w:rsidR="00833B0B" w:rsidRDefault="00833B0B">
      <w:r>
        <w:t>School of Psychology</w:t>
      </w:r>
    </w:p>
    <w:p w14:paraId="5FBCAAAB" w14:textId="360270D2" w:rsidR="00833B0B" w:rsidRDefault="00833B0B">
      <w:r>
        <w:t>University of Southampton</w:t>
      </w:r>
    </w:p>
    <w:p w14:paraId="16AEFADD" w14:textId="25F395B4" w:rsidR="00833B0B" w:rsidRDefault="00833B0B">
      <w:r>
        <w:t>Southampton, UK</w:t>
      </w:r>
    </w:p>
    <w:p w14:paraId="0CC2EB77" w14:textId="21EBB879" w:rsidR="00833B0B" w:rsidRDefault="00833B0B">
      <w:r>
        <w:t>SO17 1BJ</w:t>
      </w:r>
    </w:p>
    <w:p w14:paraId="6B10BA05" w14:textId="7BBD3744" w:rsidR="00833B0B" w:rsidRDefault="00833B0B"/>
    <w:p w14:paraId="24FE29CF" w14:textId="0EC5AB05" w:rsidR="00833B0B" w:rsidRDefault="00833B0B">
      <w:pPr>
        <w:rPr>
          <w:rStyle w:val="Hyperlink"/>
        </w:rPr>
      </w:pPr>
      <w:r>
        <w:t xml:space="preserve">Email: </w:t>
      </w:r>
      <w:hyperlink r:id="rId7" w:history="1">
        <w:r w:rsidRPr="003563F0">
          <w:rPr>
            <w:rStyle w:val="Hyperlink"/>
          </w:rPr>
          <w:t>h.armstrong@soton.ac.uk</w:t>
        </w:r>
      </w:hyperlink>
    </w:p>
    <w:p w14:paraId="503EA70C" w14:textId="0E9B5519" w:rsidR="007026D1" w:rsidRDefault="007026D1">
      <w:pPr>
        <w:rPr>
          <w:rStyle w:val="Hyperlink"/>
        </w:rPr>
      </w:pPr>
    </w:p>
    <w:p w14:paraId="26C78CE5" w14:textId="39807631" w:rsidR="00833B0B" w:rsidRDefault="007026D1" w:rsidP="007026D1">
      <w:pPr>
        <w:spacing w:line="480" w:lineRule="auto"/>
      </w:pPr>
      <w:r w:rsidRPr="007026D1">
        <w:t>Word Count:</w:t>
      </w:r>
      <w:r w:rsidRPr="00FB16E3">
        <w:rPr>
          <w:b/>
          <w:bCs/>
        </w:rPr>
        <w:t xml:space="preserve"> </w:t>
      </w:r>
      <w:r w:rsidRPr="00FB16E3">
        <w:t>2</w:t>
      </w:r>
      <w:r>
        <w:t>904</w:t>
      </w:r>
    </w:p>
    <w:p w14:paraId="32E54F51" w14:textId="6A5C4948" w:rsidR="00310AE2" w:rsidRPr="00AA2118" w:rsidRDefault="00310AE2" w:rsidP="00AA2118">
      <w:pPr>
        <w:spacing w:line="480" w:lineRule="auto"/>
        <w:jc w:val="center"/>
        <w:rPr>
          <w:b/>
          <w:bCs/>
        </w:rPr>
      </w:pPr>
      <w:r w:rsidRPr="00AA2118">
        <w:rPr>
          <w:b/>
          <w:bCs/>
        </w:rPr>
        <w:lastRenderedPageBreak/>
        <w:t>Abstract</w:t>
      </w:r>
    </w:p>
    <w:p w14:paraId="7C8E068D" w14:textId="11D97CEC" w:rsidR="00870061" w:rsidRDefault="00870061" w:rsidP="00073BB6">
      <w:pPr>
        <w:spacing w:line="480" w:lineRule="auto"/>
      </w:pPr>
      <w:r w:rsidRPr="00AA2118">
        <w:rPr>
          <w:b/>
          <w:bCs/>
        </w:rPr>
        <w:t>Objectives:</w:t>
      </w:r>
      <w:r>
        <w:t xml:space="preserve"> </w:t>
      </w:r>
      <w:r w:rsidR="00AB2739">
        <w:t xml:space="preserve">Among </w:t>
      </w:r>
      <w:r w:rsidR="00310AE2" w:rsidRPr="00310AE2">
        <w:t>men who have sex with men (MSM)</w:t>
      </w:r>
      <w:r w:rsidR="007E52A2">
        <w:t xml:space="preserve"> </w:t>
      </w:r>
      <w:r w:rsidR="006751A1" w:rsidRPr="00310AE2">
        <w:t>in the U</w:t>
      </w:r>
      <w:r w:rsidR="006751A1">
        <w:t xml:space="preserve">nited </w:t>
      </w:r>
      <w:r w:rsidR="006751A1" w:rsidRPr="00310AE2">
        <w:t>K</w:t>
      </w:r>
      <w:r w:rsidR="006751A1">
        <w:t>ingdom (UK)</w:t>
      </w:r>
      <w:r w:rsidR="00AA2118">
        <w:t>,</w:t>
      </w:r>
      <w:r w:rsidR="006751A1">
        <w:t xml:space="preserve"> </w:t>
      </w:r>
      <w:r w:rsidR="00AB2739">
        <w:t>c</w:t>
      </w:r>
      <w:r w:rsidR="00AB2739" w:rsidRPr="00310AE2">
        <w:t>hlamydia (CT) and gonorrhoea (</w:t>
      </w:r>
      <w:r w:rsidR="00AB2739">
        <w:t>NG) infections commonly occur asymptomatically at extragenital sites.</w:t>
      </w:r>
      <w:r w:rsidR="005D5E4A">
        <w:t xml:space="preserve"> Therefore, </w:t>
      </w:r>
      <w:r w:rsidR="00310AE2" w:rsidRPr="00310AE2">
        <w:t>MSM</w:t>
      </w:r>
      <w:r w:rsidR="00310AE2">
        <w:t xml:space="preserve"> seeking sexual health services</w:t>
      </w:r>
      <w:r w:rsidR="00310AE2" w:rsidRPr="00310AE2">
        <w:t xml:space="preserve"> are offered three-site (oropharyngeal, rectal</w:t>
      </w:r>
      <w:r w:rsidR="00310AE2">
        <w:t>,</w:t>
      </w:r>
      <w:r w:rsidR="00310AE2" w:rsidRPr="00310AE2">
        <w:t xml:space="preserve"> and </w:t>
      </w:r>
      <w:r w:rsidR="00BD336D">
        <w:t>urogenital</w:t>
      </w:r>
      <w:r w:rsidR="00310AE2" w:rsidRPr="00310AE2">
        <w:t>)</w:t>
      </w:r>
      <w:r w:rsidR="006751A1">
        <w:t xml:space="preserve"> STI</w:t>
      </w:r>
      <w:r w:rsidR="00310AE2" w:rsidRPr="00310AE2">
        <w:t xml:space="preserve"> </w:t>
      </w:r>
      <w:r w:rsidR="00310AE2">
        <w:t>screening</w:t>
      </w:r>
      <w:r w:rsidR="00310AE2" w:rsidRPr="00310AE2">
        <w:t>.</w:t>
      </w:r>
      <w:r w:rsidR="00310AE2">
        <w:t xml:space="preserve"> To increase access to s</w:t>
      </w:r>
      <w:r w:rsidR="009153D2">
        <w:t>creening</w:t>
      </w:r>
      <w:r w:rsidR="00310AE2">
        <w:t xml:space="preserve">, some </w:t>
      </w:r>
      <w:r w:rsidR="00AA2118">
        <w:t xml:space="preserve">UK </w:t>
      </w:r>
      <w:r w:rsidR="00310AE2">
        <w:t>sexual health services enable asymptomatic service users to order</w:t>
      </w:r>
      <w:r w:rsidR="003B6561">
        <w:t xml:space="preserve"> free</w:t>
      </w:r>
      <w:r w:rsidR="00310AE2">
        <w:t xml:space="preserve"> STI screening kits</w:t>
      </w:r>
      <w:r w:rsidR="009153D2">
        <w:t xml:space="preserve"> online for self-sampling at home.</w:t>
      </w:r>
      <w:r w:rsidR="00AA2118">
        <w:t xml:space="preserve"> </w:t>
      </w:r>
      <w:r w:rsidR="00393D52">
        <w:t>W</w:t>
      </w:r>
      <w:r w:rsidR="00AA2118">
        <w:t>e sought to assess prevalence of overall and extragenital CT/</w:t>
      </w:r>
      <w:r w:rsidR="00393D52">
        <w:t>NG</w:t>
      </w:r>
      <w:r w:rsidR="00AA2118">
        <w:t xml:space="preserve"> infection </w:t>
      </w:r>
      <w:r w:rsidR="001F7DC3">
        <w:t>amongst</w:t>
      </w:r>
      <w:r w:rsidR="00AA2118">
        <w:t xml:space="preserve"> asymptomatic MSM</w:t>
      </w:r>
      <w:r w:rsidR="009A7FFC">
        <w:t xml:space="preserve"> </w:t>
      </w:r>
      <w:r w:rsidR="00101B47">
        <w:t>who used</w:t>
      </w:r>
      <w:r w:rsidR="009A7FFC">
        <w:t xml:space="preserve"> online self-testing </w:t>
      </w:r>
      <w:r w:rsidR="00AA2118">
        <w:t>in Hampshire, UK.</w:t>
      </w:r>
    </w:p>
    <w:p w14:paraId="6535E453" w14:textId="6043DEBE" w:rsidR="00310AE2" w:rsidRDefault="00870061" w:rsidP="00073BB6">
      <w:pPr>
        <w:spacing w:line="480" w:lineRule="auto"/>
      </w:pPr>
      <w:r w:rsidRPr="00AA2118">
        <w:rPr>
          <w:b/>
          <w:bCs/>
        </w:rPr>
        <w:t>Methods:</w:t>
      </w:r>
      <w:r>
        <w:t xml:space="preserve"> </w:t>
      </w:r>
      <w:r w:rsidR="00FE36D8">
        <w:t xml:space="preserve">We </w:t>
      </w:r>
      <w:r w:rsidR="00310AE2" w:rsidRPr="00310AE2">
        <w:t>assess</w:t>
      </w:r>
      <w:r w:rsidR="00FE36D8">
        <w:t>ed</w:t>
      </w:r>
      <w:r w:rsidR="00310AE2" w:rsidRPr="00310AE2">
        <w:t xml:space="preserve"> </w:t>
      </w:r>
      <w:r w:rsidR="009153D2">
        <w:t>prevalence of CT</w:t>
      </w:r>
      <w:r w:rsidR="00FE36D8">
        <w:t>/</w:t>
      </w:r>
      <w:r w:rsidR="00393D52">
        <w:t>NG</w:t>
      </w:r>
      <w:r w:rsidR="009153D2">
        <w:t xml:space="preserve"> infections </w:t>
      </w:r>
      <w:r w:rsidR="006F2902">
        <w:t xml:space="preserve">from non-pooled samples </w:t>
      </w:r>
      <w:r w:rsidR="001F7DC3">
        <w:t>amongst</w:t>
      </w:r>
      <w:r w:rsidR="009153D2">
        <w:t xml:space="preserve"> asymptomatic </w:t>
      </w:r>
      <w:r w:rsidR="00575095">
        <w:t xml:space="preserve">cisgender </w:t>
      </w:r>
      <w:r w:rsidR="00AA2118">
        <w:t xml:space="preserve">MSM </w:t>
      </w:r>
      <w:r w:rsidR="00FE36D8">
        <w:t>using an administrative database with</w:t>
      </w:r>
      <w:r w:rsidR="00667C38">
        <w:t xml:space="preserve"> results from</w:t>
      </w:r>
      <w:r w:rsidR="00FE36D8">
        <w:t xml:space="preserve"> </w:t>
      </w:r>
      <w:r w:rsidR="00310AE2" w:rsidRPr="00310AE2">
        <w:t>5,601</w:t>
      </w:r>
      <w:r w:rsidR="009A7FFC">
        <w:t xml:space="preserve"> STI screening</w:t>
      </w:r>
      <w:r w:rsidR="009153D2">
        <w:t xml:space="preserve"> </w:t>
      </w:r>
      <w:r w:rsidR="00310AE2" w:rsidRPr="00310AE2">
        <w:t>kit</w:t>
      </w:r>
      <w:r w:rsidR="00667C38">
        <w:t>s</w:t>
      </w:r>
      <w:r w:rsidR="009153D2">
        <w:t xml:space="preserve"> returned </w:t>
      </w:r>
      <w:r w:rsidR="009153D2" w:rsidRPr="00310AE2">
        <w:t>between 20/12/2016</w:t>
      </w:r>
      <w:r w:rsidR="003B6561">
        <w:t>-</w:t>
      </w:r>
      <w:r w:rsidR="009153D2" w:rsidRPr="00310AE2">
        <w:t>31/01/</w:t>
      </w:r>
      <w:r w:rsidR="006018CA">
        <w:t>20</w:t>
      </w:r>
      <w:r w:rsidR="009153D2" w:rsidRPr="00310AE2">
        <w:t>20</w:t>
      </w:r>
      <w:r w:rsidR="00310AE2" w:rsidRPr="00310AE2">
        <w:t xml:space="preserve">. </w:t>
      </w:r>
      <w:r w:rsidR="009153D2">
        <w:t xml:space="preserve">We compared </w:t>
      </w:r>
      <w:r w:rsidR="00393D52">
        <w:t>number of diagnoses</w:t>
      </w:r>
      <w:r w:rsidR="00310AE2" w:rsidRPr="00310AE2">
        <w:t xml:space="preserve"> of </w:t>
      </w:r>
      <w:r w:rsidR="009153D2">
        <w:t xml:space="preserve">extragenital infection with </w:t>
      </w:r>
      <w:r w:rsidR="00310AE2" w:rsidRPr="00310AE2">
        <w:t>ur</w:t>
      </w:r>
      <w:r w:rsidR="00101B47">
        <w:t>o</w:t>
      </w:r>
      <w:r w:rsidR="009153D2">
        <w:t>genital</w:t>
      </w:r>
      <w:r w:rsidR="00310AE2" w:rsidRPr="00310AE2">
        <w:t xml:space="preserve"> results of the same individuals</w:t>
      </w:r>
      <w:r w:rsidR="00FE36D8">
        <w:t xml:space="preserve"> to determine prevalence of infection that would have been missed</w:t>
      </w:r>
      <w:r w:rsidR="003B6561">
        <w:t xml:space="preserve"> with urine testing alone</w:t>
      </w:r>
      <w:r w:rsidR="00310AE2" w:rsidRPr="00310AE2">
        <w:t xml:space="preserve">. </w:t>
      </w:r>
    </w:p>
    <w:p w14:paraId="5F8530B9" w14:textId="6111178D" w:rsidR="00310AE2" w:rsidRDefault="00870061" w:rsidP="00870061">
      <w:pPr>
        <w:spacing w:line="480" w:lineRule="auto"/>
      </w:pPr>
      <w:r w:rsidRPr="00AA2118">
        <w:rPr>
          <w:b/>
          <w:bCs/>
        </w:rPr>
        <w:t>Results:</w:t>
      </w:r>
      <w:r>
        <w:t xml:space="preserve"> </w:t>
      </w:r>
      <w:r w:rsidR="001F7DC3">
        <w:t>Amongst</w:t>
      </w:r>
      <w:r w:rsidR="007E52A2">
        <w:t xml:space="preserve"> </w:t>
      </w:r>
      <w:r w:rsidR="00310AE2" w:rsidRPr="00310AE2">
        <w:t xml:space="preserve">5051 valid </w:t>
      </w:r>
      <w:r w:rsidR="00FE36D8">
        <w:t xml:space="preserve">CT </w:t>
      </w:r>
      <w:r w:rsidR="00EB1E7C">
        <w:t xml:space="preserve">and 5040 valid </w:t>
      </w:r>
      <w:r w:rsidR="00393D52">
        <w:t>NG</w:t>
      </w:r>
      <w:r w:rsidR="00EB1E7C">
        <w:t xml:space="preserve"> </w:t>
      </w:r>
      <w:r w:rsidR="00393D52">
        <w:t xml:space="preserve">asymptomatic </w:t>
      </w:r>
      <w:r w:rsidR="00EB1E7C">
        <w:t>test</w:t>
      </w:r>
      <w:r w:rsidR="007E52A2">
        <w:t xml:space="preserve"> results,</w:t>
      </w:r>
      <w:r w:rsidR="00FE36D8">
        <w:t xml:space="preserve"> overall prevalence was </w:t>
      </w:r>
      <w:r w:rsidR="006018CA">
        <w:t>5.9</w:t>
      </w:r>
      <w:r w:rsidR="00FE36D8">
        <w:t>% (298/5051)</w:t>
      </w:r>
      <w:r w:rsidR="00EB1E7C">
        <w:t xml:space="preserve"> and </w:t>
      </w:r>
      <w:r w:rsidR="006018CA">
        <w:t>4.5</w:t>
      </w:r>
      <w:r w:rsidR="00EB1E7C">
        <w:t>% (228/5040), respectively</w:t>
      </w:r>
      <w:r w:rsidR="00310AE2" w:rsidRPr="00310AE2">
        <w:t>.</w:t>
      </w:r>
      <w:r w:rsidR="00FE36D8">
        <w:t xml:space="preserve"> </w:t>
      </w:r>
      <w:r w:rsidR="001F7DC3">
        <w:t>Amongst</w:t>
      </w:r>
      <w:r w:rsidR="00EB1E7C">
        <w:t xml:space="preserve"> MSM with </w:t>
      </w:r>
      <w:r w:rsidR="00393D52">
        <w:t xml:space="preserve">asymptomatic </w:t>
      </w:r>
      <w:r w:rsidR="00EB1E7C">
        <w:t xml:space="preserve">CT, 71.8% (214/298) had extragenital infection </w:t>
      </w:r>
      <w:r w:rsidR="00EB1E7C" w:rsidRPr="007E52A2">
        <w:t>only</w:t>
      </w:r>
      <w:r w:rsidR="007E52A2">
        <w:t>,</w:t>
      </w:r>
      <w:r w:rsidR="007E52A2" w:rsidRPr="007E52A2">
        <w:t xml:space="preserve"> </w:t>
      </w:r>
      <w:r w:rsidR="007E52A2" w:rsidRPr="007E52A2">
        <w:rPr>
          <w:i/>
          <w:iCs/>
        </w:rPr>
        <w:sym w:font="Symbol" w:char="F043"/>
      </w:r>
      <w:r w:rsidR="007E52A2" w:rsidRPr="007E52A2">
        <w:rPr>
          <w:vertAlign w:val="superscript"/>
        </w:rPr>
        <w:t xml:space="preserve">2 </w:t>
      </w:r>
      <w:r w:rsidR="007E52A2" w:rsidRPr="007E52A2">
        <w:t xml:space="preserve">(1, </w:t>
      </w:r>
      <w:r w:rsidR="007E52A2" w:rsidRPr="007E52A2">
        <w:rPr>
          <w:i/>
          <w:iCs/>
        </w:rPr>
        <w:t>N</w:t>
      </w:r>
      <w:r w:rsidR="007E52A2" w:rsidRPr="007E52A2">
        <w:t xml:space="preserve">=298) =56.71, </w:t>
      </w:r>
      <w:r w:rsidR="007E52A2" w:rsidRPr="007E52A2">
        <w:rPr>
          <w:i/>
          <w:iCs/>
        </w:rPr>
        <w:t>p</w:t>
      </w:r>
      <w:r w:rsidR="007E52A2" w:rsidRPr="007E52A2">
        <w:t>&lt;0.001</w:t>
      </w:r>
      <w:r w:rsidR="00EB1E7C" w:rsidRPr="007E52A2">
        <w:t xml:space="preserve">. </w:t>
      </w:r>
      <w:r w:rsidR="001F7DC3">
        <w:t>Amongst</w:t>
      </w:r>
      <w:r w:rsidR="00EB1E7C">
        <w:t xml:space="preserve"> those with </w:t>
      </w:r>
      <w:r w:rsidR="00393D52">
        <w:t>asymptomatic NG</w:t>
      </w:r>
      <w:r w:rsidR="00EB1E7C">
        <w:t>, 89.9% (205/228) had extragenital infection only</w:t>
      </w:r>
      <w:r w:rsidR="007E52A2">
        <w:t xml:space="preserve">, </w:t>
      </w:r>
      <w:r w:rsidR="007E52A2" w:rsidRPr="007E52A2">
        <w:rPr>
          <w:i/>
          <w:iCs/>
        </w:rPr>
        <w:sym w:font="Symbol" w:char="F043"/>
      </w:r>
      <w:r w:rsidR="007E52A2" w:rsidRPr="007E52A2">
        <w:rPr>
          <w:vertAlign w:val="superscript"/>
        </w:rPr>
        <w:t xml:space="preserve">2 </w:t>
      </w:r>
      <w:r w:rsidR="007E52A2" w:rsidRPr="007E52A2">
        <w:t xml:space="preserve">(1, </w:t>
      </w:r>
      <w:r w:rsidR="007E52A2" w:rsidRPr="007E52A2">
        <w:rPr>
          <w:i/>
          <w:iCs/>
        </w:rPr>
        <w:t>N</w:t>
      </w:r>
      <w:r w:rsidR="007E52A2" w:rsidRPr="007E52A2">
        <w:t xml:space="preserve">=228) =145.281, </w:t>
      </w:r>
      <w:r w:rsidR="007E52A2" w:rsidRPr="007E52A2">
        <w:rPr>
          <w:i/>
          <w:iCs/>
        </w:rPr>
        <w:t>p</w:t>
      </w:r>
      <w:r w:rsidR="007E52A2" w:rsidRPr="007E52A2">
        <w:t>&lt;0.001.</w:t>
      </w:r>
      <w:r w:rsidR="00EB1E7C">
        <w:t xml:space="preserve"> </w:t>
      </w:r>
    </w:p>
    <w:p w14:paraId="738C96AB" w14:textId="65B2B8E7" w:rsidR="007E52A2" w:rsidRDefault="00870061" w:rsidP="00870061">
      <w:pPr>
        <w:spacing w:line="480" w:lineRule="auto"/>
      </w:pPr>
      <w:r w:rsidRPr="00AA2118">
        <w:rPr>
          <w:b/>
          <w:bCs/>
        </w:rPr>
        <w:t>Conclusions:</w:t>
      </w:r>
      <w:r>
        <w:t xml:space="preserve"> </w:t>
      </w:r>
      <w:r w:rsidR="00EB1E7C">
        <w:t xml:space="preserve">Overall, </w:t>
      </w:r>
      <w:r w:rsidR="006018CA">
        <w:t>most CT/</w:t>
      </w:r>
      <w:r w:rsidR="00393D52">
        <w:t>NG</w:t>
      </w:r>
      <w:r w:rsidR="006018CA">
        <w:t xml:space="preserve"> infections </w:t>
      </w:r>
      <w:r w:rsidR="001F7DC3">
        <w:t>amongst</w:t>
      </w:r>
      <w:r w:rsidR="006018CA">
        <w:t xml:space="preserve"> </w:t>
      </w:r>
      <w:r w:rsidR="00EB1E7C">
        <w:t xml:space="preserve">asymptomatic MSM </w:t>
      </w:r>
      <w:r w:rsidR="001F7DC3">
        <w:t>who used online</w:t>
      </w:r>
      <w:r w:rsidR="00EB1E7C">
        <w:t xml:space="preserve"> self-testing were extragenital. Given </w:t>
      </w:r>
      <w:r w:rsidR="0051299D">
        <w:t xml:space="preserve">this and the </w:t>
      </w:r>
      <w:r w:rsidR="00667C38">
        <w:t xml:space="preserve">likelihood of </w:t>
      </w:r>
      <w:r w:rsidR="007E52A2">
        <w:t xml:space="preserve">onward transmission from asymptomatic infection, </w:t>
      </w:r>
      <w:r w:rsidR="00393D52">
        <w:t xml:space="preserve">it is recommended that </w:t>
      </w:r>
      <w:r w:rsidR="007E52A2">
        <w:t xml:space="preserve">three-site testing </w:t>
      </w:r>
      <w:r w:rsidR="00667C38">
        <w:t>remain</w:t>
      </w:r>
      <w:r w:rsidR="007E52A2">
        <w:t xml:space="preserve"> standard for </w:t>
      </w:r>
      <w:proofErr w:type="gramStart"/>
      <w:r w:rsidR="007E52A2">
        <w:t>MSM</w:t>
      </w:r>
      <w:proofErr w:type="gramEnd"/>
      <w:r w:rsidR="007E52A2">
        <w:t xml:space="preserve"> and</w:t>
      </w:r>
      <w:r w:rsidR="00667C38">
        <w:t xml:space="preserve"> free screening</w:t>
      </w:r>
      <w:r w:rsidR="007E52A2">
        <w:t xml:space="preserve"> </w:t>
      </w:r>
      <w:r w:rsidR="00667C38">
        <w:t xml:space="preserve">services </w:t>
      </w:r>
      <w:r w:rsidR="007E52A2">
        <w:t>be expand</w:t>
      </w:r>
      <w:r w:rsidR="00667C38">
        <w:t>ed</w:t>
      </w:r>
      <w:r w:rsidR="007E52A2">
        <w:t xml:space="preserve"> in </w:t>
      </w:r>
      <w:r w:rsidR="006018CA">
        <w:t xml:space="preserve">easily </w:t>
      </w:r>
      <w:r w:rsidR="007E52A2">
        <w:t xml:space="preserve">accessible </w:t>
      </w:r>
      <w:r w:rsidR="003B6561">
        <w:t>ways.</w:t>
      </w:r>
    </w:p>
    <w:p w14:paraId="6988A794" w14:textId="48BA673D" w:rsidR="00824320" w:rsidRDefault="00667C38" w:rsidP="006018CA">
      <w:pPr>
        <w:spacing w:line="480" w:lineRule="auto"/>
      </w:pPr>
      <w:r>
        <w:rPr>
          <w:b/>
          <w:bCs/>
        </w:rPr>
        <w:t xml:space="preserve">Key Words: </w:t>
      </w:r>
      <w:r>
        <w:t>Gonorrhoea; Chlamydia; STI; Screening; Online; MSM; Extragenital; Asymptomatic; Gay and Bisexual Men</w:t>
      </w:r>
    </w:p>
    <w:p w14:paraId="46FC5977" w14:textId="77777777" w:rsidR="001D1C20" w:rsidRDefault="001D1C20" w:rsidP="006018CA">
      <w:pPr>
        <w:spacing w:line="480" w:lineRule="auto"/>
        <w:rPr>
          <w:b/>
          <w:bCs/>
        </w:rPr>
      </w:pPr>
      <w:r>
        <w:rPr>
          <w:b/>
          <w:bCs/>
        </w:rPr>
        <w:lastRenderedPageBreak/>
        <w:t xml:space="preserve">Key Messages: </w:t>
      </w:r>
    </w:p>
    <w:p w14:paraId="73C0FB50" w14:textId="1FA338F2" w:rsidR="001D1C20" w:rsidRDefault="001D1C20" w:rsidP="006018CA">
      <w:pPr>
        <w:spacing w:line="480" w:lineRule="auto"/>
      </w:pPr>
      <w:r>
        <w:t xml:space="preserve">1. </w:t>
      </w:r>
      <w:proofErr w:type="gramStart"/>
      <w:r>
        <w:t>The vast majority of</w:t>
      </w:r>
      <w:proofErr w:type="gramEnd"/>
      <w:r>
        <w:t xml:space="preserve"> asymptomatic Chlamydia (CT) and Gonorrhoea (</w:t>
      </w:r>
      <w:r w:rsidR="00393D52">
        <w:t>NG</w:t>
      </w:r>
      <w:r>
        <w:t xml:space="preserve">) infections among men who have sex with men (MSM) in Hampshire, UK </w:t>
      </w:r>
      <w:r w:rsidR="00182B17">
        <w:t>occur</w:t>
      </w:r>
      <w:r>
        <w:t xml:space="preserve"> extragenital</w:t>
      </w:r>
      <w:r w:rsidR="00182B17">
        <w:t>ly</w:t>
      </w:r>
      <w:r>
        <w:t xml:space="preserve"> without concurrent infection of the urethra. </w:t>
      </w:r>
    </w:p>
    <w:p w14:paraId="53142A59" w14:textId="4CF97607" w:rsidR="001D1C20" w:rsidRPr="001D1C20" w:rsidRDefault="009E083F" w:rsidP="006018CA">
      <w:pPr>
        <w:spacing w:line="480" w:lineRule="auto"/>
      </w:pPr>
      <w:r>
        <w:t>2</w:t>
      </w:r>
      <w:r w:rsidR="001D1C20">
        <w:t xml:space="preserve">. Three-site testing should remain the standard for </w:t>
      </w:r>
      <w:proofErr w:type="gramStart"/>
      <w:r w:rsidR="001D1C20">
        <w:t>MSM</w:t>
      </w:r>
      <w:proofErr w:type="gramEnd"/>
      <w:r w:rsidR="001D1C20">
        <w:t xml:space="preserve"> and free screening services should be expanded in easily accessible ways.</w:t>
      </w:r>
    </w:p>
    <w:p w14:paraId="409234DF" w14:textId="77777777" w:rsidR="00AA2118" w:rsidRDefault="00AA2118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br w:type="page"/>
      </w:r>
    </w:p>
    <w:p w14:paraId="77743CB2" w14:textId="52D49035" w:rsidR="007C135E" w:rsidRDefault="000D1948" w:rsidP="00353F95">
      <w:pPr>
        <w:spacing w:line="480" w:lineRule="auto"/>
        <w:ind w:firstLine="72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lastRenderedPageBreak/>
        <w:t xml:space="preserve">Men who have sex with men (MSM) </w:t>
      </w:r>
      <w:r w:rsidR="00182B17">
        <w:rPr>
          <w:color w:val="000000" w:themeColor="text1"/>
          <w:shd w:val="clear" w:color="auto" w:fill="FFFFFF"/>
        </w:rPr>
        <w:t xml:space="preserve">are more likely to be diagnosed with </w:t>
      </w:r>
      <w:r>
        <w:rPr>
          <w:color w:val="000000" w:themeColor="text1"/>
          <w:shd w:val="clear" w:color="auto" w:fill="FFFFFF"/>
        </w:rPr>
        <w:t xml:space="preserve">chlamydia (CT) and gonorrhoea (NG) than </w:t>
      </w:r>
      <w:r w:rsidR="00182B17">
        <w:rPr>
          <w:color w:val="000000" w:themeColor="text1"/>
          <w:shd w:val="clear" w:color="auto" w:fill="FFFFFF"/>
        </w:rPr>
        <w:t xml:space="preserve">the </w:t>
      </w:r>
      <w:r w:rsidR="00983E0A">
        <w:rPr>
          <w:color w:val="000000" w:themeColor="text1"/>
          <w:shd w:val="clear" w:color="auto" w:fill="FFFFFF"/>
        </w:rPr>
        <w:t>general population</w:t>
      </w:r>
      <w:r>
        <w:rPr>
          <w:color w:val="000000" w:themeColor="text1"/>
          <w:shd w:val="clear" w:color="auto" w:fill="FFFFFF"/>
        </w:rPr>
        <w:t>.</w:t>
      </w:r>
      <w:r w:rsidRPr="001B4901">
        <w:rPr>
          <w:color w:val="000000" w:themeColor="text1"/>
          <w:shd w:val="clear" w:color="auto" w:fill="FFFFFF"/>
        </w:rPr>
        <w:fldChar w:fldCharType="begin"/>
      </w:r>
      <w:r w:rsidRPr="001B4901">
        <w:rPr>
          <w:color w:val="000000" w:themeColor="text1"/>
          <w:shd w:val="clear" w:color="auto" w:fill="FFFFFF"/>
        </w:rPr>
        <w:instrText xml:space="preserve"> ADDIN EN.CITE &lt;EndNote&gt;&lt;Cite&gt;&lt;Author&gt;Mitchell H&lt;/Author&gt;&lt;Year&gt;2020&lt;/Year&gt;&lt;IDText&gt;Sexually transmitted infections and screening for chlamydia in England, 2019&lt;/IDText&gt;&lt;DisplayText&gt;&lt;style face="superscript"&gt;1&lt;/style&gt;&lt;/DisplayText&gt;&lt;record&gt;&lt;urls&gt;&lt;related-urls&gt;&lt;url&gt;https://www.gov.uk/government/statistics/sexually-transmitted-infections-stis-annual-data-tables&lt;/url&gt;&lt;/related-urls&gt;&lt;/urls&gt;&lt;titles&gt;&lt;title&gt;Sexually transmitted infections and screening for chlamydia in England, 2019&lt;/title&gt;&lt;/titles&gt;&lt;contributors&gt;&lt;authors&gt;&lt;author&gt;Mitchell H,&lt;/author&gt;&lt;author&gt;Allen H&lt;/author&gt;&lt;author&gt;Sonubi T&lt;/author&gt;&lt;author&gt;Kuyumdzhieva G&lt;/author&gt;&lt;author&gt;Harb A&lt;/author&gt;&lt;author&gt;Shah A&lt;/author&gt;&lt;author&gt;Glancy M&lt;/author&gt;&lt;author&gt;Checchi M&lt;/author&gt;&lt;author&gt;Milbourn H&lt;/author&gt;&lt;author&gt;Folkard K&lt;/author&gt;&lt;author&gt;Mohammed H&lt;/author&gt;&lt;author&gt;contributors&lt;/author&gt;&lt;/authors&gt;&lt;/contributors&gt;&lt;added-date format="utc"&gt;1608040799&lt;/added-date&gt;&lt;pub-location&gt;London&lt;/pub-location&gt;&lt;ref-type name="Web Page"&gt;12&lt;/ref-type&gt;&lt;dates&gt;&lt;year&gt;2020&lt;/year&gt;&lt;/dates&gt;&lt;rec-number&gt;20&lt;/rec-number&gt;&lt;publisher&gt;Public Health England&lt;/publisher&gt;&lt;last-updated-date format="utc"&gt;1608048213&lt;/last-updated-date&gt;&lt;/record&gt;&lt;/Cite&gt;&lt;/EndNote&gt;</w:instrText>
      </w:r>
      <w:r w:rsidRPr="001B4901">
        <w:rPr>
          <w:color w:val="000000" w:themeColor="text1"/>
          <w:shd w:val="clear" w:color="auto" w:fill="FFFFFF"/>
        </w:rPr>
        <w:fldChar w:fldCharType="separate"/>
      </w:r>
      <w:r w:rsidRPr="001B4901">
        <w:rPr>
          <w:noProof/>
          <w:color w:val="000000" w:themeColor="text1"/>
          <w:shd w:val="clear" w:color="auto" w:fill="FFFFFF"/>
          <w:vertAlign w:val="superscript"/>
        </w:rPr>
        <w:t>1</w:t>
      </w:r>
      <w:r w:rsidRPr="001B4901">
        <w:rPr>
          <w:color w:val="000000" w:themeColor="text1"/>
          <w:shd w:val="clear" w:color="auto" w:fill="FFFFFF"/>
        </w:rPr>
        <w:fldChar w:fldCharType="end"/>
      </w:r>
      <w:r>
        <w:rPr>
          <w:color w:val="000000" w:themeColor="text1"/>
          <w:shd w:val="clear" w:color="auto" w:fill="FFFFFF"/>
        </w:rPr>
        <w:t xml:space="preserve"> </w:t>
      </w:r>
      <w:r w:rsidR="00161CE2">
        <w:rPr>
          <w:color w:val="000000" w:themeColor="text1"/>
          <w:shd w:val="clear" w:color="auto" w:fill="FFFFFF"/>
        </w:rPr>
        <w:t>The majority of CT</w:t>
      </w:r>
      <w:r w:rsidR="00353F95">
        <w:rPr>
          <w:color w:val="000000" w:themeColor="text1"/>
          <w:shd w:val="clear" w:color="auto" w:fill="FFFFFF"/>
        </w:rPr>
        <w:t>/</w:t>
      </w:r>
      <w:r w:rsidR="00161CE2">
        <w:rPr>
          <w:color w:val="000000" w:themeColor="text1"/>
          <w:shd w:val="clear" w:color="auto" w:fill="FFFFFF"/>
        </w:rPr>
        <w:t xml:space="preserve">NG </w:t>
      </w:r>
      <w:r w:rsidR="00E87017">
        <w:rPr>
          <w:color w:val="000000" w:themeColor="text1"/>
          <w:shd w:val="clear" w:color="auto" w:fill="FFFFFF"/>
        </w:rPr>
        <w:t>infections</w:t>
      </w:r>
      <w:r w:rsidR="006574EF">
        <w:rPr>
          <w:color w:val="000000" w:themeColor="text1"/>
          <w:shd w:val="clear" w:color="auto" w:fill="FFFFFF"/>
        </w:rPr>
        <w:t xml:space="preserve"> </w:t>
      </w:r>
      <w:r w:rsidR="003A1877">
        <w:rPr>
          <w:color w:val="000000" w:themeColor="text1"/>
          <w:shd w:val="clear" w:color="auto" w:fill="FFFFFF"/>
        </w:rPr>
        <w:t xml:space="preserve">among MSM </w:t>
      </w:r>
      <w:r w:rsidR="006574EF">
        <w:rPr>
          <w:color w:val="000000" w:themeColor="text1"/>
          <w:shd w:val="clear" w:color="auto" w:fill="FFFFFF"/>
        </w:rPr>
        <w:t>are asymptomatic</w:t>
      </w:r>
      <w:r w:rsidR="00161CE2">
        <w:rPr>
          <w:color w:val="000000" w:themeColor="text1"/>
          <w:shd w:val="clear" w:color="auto" w:fill="FFFFFF"/>
        </w:rPr>
        <w:t xml:space="preserve"> and symptoms vary by anatomical site: u</w:t>
      </w:r>
      <w:r w:rsidR="006018CA" w:rsidRPr="009760C8">
        <w:rPr>
          <w:color w:val="000000" w:themeColor="text1"/>
          <w:shd w:val="clear" w:color="auto" w:fill="FFFFFF"/>
        </w:rPr>
        <w:t>rethra</w:t>
      </w:r>
      <w:r w:rsidR="006B7C03">
        <w:rPr>
          <w:color w:val="000000" w:themeColor="text1"/>
          <w:shd w:val="clear" w:color="auto" w:fill="FFFFFF"/>
        </w:rPr>
        <w:t>l</w:t>
      </w:r>
      <w:r w:rsidR="006018CA" w:rsidRPr="009760C8">
        <w:rPr>
          <w:color w:val="000000" w:themeColor="text1"/>
          <w:shd w:val="clear" w:color="auto" w:fill="FFFFFF"/>
        </w:rPr>
        <w:t xml:space="preserve"> </w:t>
      </w:r>
      <w:r w:rsidR="006B7C03">
        <w:rPr>
          <w:color w:val="000000" w:themeColor="text1"/>
          <w:shd w:val="clear" w:color="auto" w:fill="FFFFFF"/>
        </w:rPr>
        <w:t>infection is</w:t>
      </w:r>
      <w:r w:rsidR="006018CA" w:rsidRPr="009760C8">
        <w:rPr>
          <w:color w:val="000000" w:themeColor="text1"/>
          <w:shd w:val="clear" w:color="auto" w:fill="FFFFFF"/>
        </w:rPr>
        <w:t xml:space="preserve"> predominantly symptomatic</w:t>
      </w:r>
      <w:r w:rsidR="006B7C03">
        <w:rPr>
          <w:color w:val="000000" w:themeColor="text1"/>
          <w:shd w:val="clear" w:color="auto" w:fill="FFFFFF"/>
        </w:rPr>
        <w:t xml:space="preserve">, whereas </w:t>
      </w:r>
      <w:r w:rsidR="00353F95">
        <w:rPr>
          <w:color w:val="000000" w:themeColor="text1"/>
          <w:shd w:val="clear" w:color="auto" w:fill="FFFFFF"/>
        </w:rPr>
        <w:t>most</w:t>
      </w:r>
      <w:r w:rsidR="00161CE2">
        <w:rPr>
          <w:color w:val="000000" w:themeColor="text1"/>
          <w:shd w:val="clear" w:color="auto" w:fill="FFFFFF"/>
        </w:rPr>
        <w:t xml:space="preserve"> </w:t>
      </w:r>
      <w:r w:rsidR="006018CA" w:rsidRPr="009760C8">
        <w:rPr>
          <w:color w:val="000000" w:themeColor="text1"/>
          <w:shd w:val="clear" w:color="auto" w:fill="FFFFFF"/>
        </w:rPr>
        <w:t xml:space="preserve">rectal and oropharyngeal </w:t>
      </w:r>
      <w:r w:rsidR="009760C8" w:rsidRPr="009760C8">
        <w:rPr>
          <w:color w:val="000000" w:themeColor="text1"/>
          <w:shd w:val="clear" w:color="auto" w:fill="FFFFFF"/>
        </w:rPr>
        <w:t xml:space="preserve">infections </w:t>
      </w:r>
      <w:r w:rsidR="000C502C">
        <w:rPr>
          <w:color w:val="000000" w:themeColor="text1"/>
          <w:shd w:val="clear" w:color="auto" w:fill="FFFFFF"/>
        </w:rPr>
        <w:t>are asymptomatic</w:t>
      </w:r>
      <w:r w:rsidR="009760C8" w:rsidRPr="009760C8">
        <w:rPr>
          <w:color w:val="000000" w:themeColor="text1"/>
          <w:shd w:val="clear" w:color="auto" w:fill="FFFFFF"/>
        </w:rPr>
        <w:t>.</w:t>
      </w:r>
      <w:r w:rsidR="00793BBC">
        <w:rPr>
          <w:color w:val="000000" w:themeColor="text1"/>
          <w:shd w:val="clear" w:color="auto" w:fill="FFFFFF"/>
          <w:vertAlign w:val="superscript"/>
        </w:rPr>
        <w:t>2,3</w:t>
      </w:r>
      <w:r w:rsidR="00C846FA">
        <w:rPr>
          <w:color w:val="000000" w:themeColor="text1"/>
          <w:shd w:val="clear" w:color="auto" w:fill="FFFFFF"/>
        </w:rPr>
        <w:t xml:space="preserve"> </w:t>
      </w:r>
      <w:r w:rsidR="00161CE2">
        <w:rPr>
          <w:color w:val="000000" w:themeColor="text1"/>
          <w:shd w:val="clear" w:color="auto" w:fill="FFFFFF"/>
        </w:rPr>
        <w:t xml:space="preserve">Consequently, </w:t>
      </w:r>
      <w:r w:rsidR="00D23896">
        <w:rPr>
          <w:color w:val="000000" w:themeColor="text1"/>
          <w:shd w:val="clear" w:color="auto" w:fill="FFFFFF"/>
        </w:rPr>
        <w:t>MSM</w:t>
      </w:r>
      <w:r w:rsidR="003A1877">
        <w:rPr>
          <w:color w:val="000000" w:themeColor="text1"/>
          <w:shd w:val="clear" w:color="auto" w:fill="FFFFFF"/>
        </w:rPr>
        <w:t xml:space="preserve"> who engage in oral and anal sex</w:t>
      </w:r>
      <w:r w:rsidR="00D23896">
        <w:rPr>
          <w:color w:val="000000" w:themeColor="text1"/>
          <w:shd w:val="clear" w:color="auto" w:fill="FFFFFF"/>
        </w:rPr>
        <w:t xml:space="preserve"> may be more likely than men</w:t>
      </w:r>
      <w:r w:rsidR="006574EF">
        <w:rPr>
          <w:color w:val="000000" w:themeColor="text1"/>
          <w:shd w:val="clear" w:color="auto" w:fill="FFFFFF"/>
        </w:rPr>
        <w:t xml:space="preserve"> who </w:t>
      </w:r>
      <w:r w:rsidR="00FE2772">
        <w:rPr>
          <w:color w:val="000000" w:themeColor="text1"/>
          <w:shd w:val="clear" w:color="auto" w:fill="FFFFFF"/>
        </w:rPr>
        <w:t>do not engage in these behaviours, or who have vaginal sex only,</w:t>
      </w:r>
      <w:r w:rsidR="00D23896">
        <w:rPr>
          <w:color w:val="000000" w:themeColor="text1"/>
          <w:shd w:val="clear" w:color="auto" w:fill="FFFFFF"/>
        </w:rPr>
        <w:t xml:space="preserve"> to </w:t>
      </w:r>
      <w:r w:rsidR="00CD7F62">
        <w:rPr>
          <w:color w:val="000000" w:themeColor="text1"/>
          <w:shd w:val="clear" w:color="auto" w:fill="FFFFFF"/>
        </w:rPr>
        <w:t xml:space="preserve">acquire an </w:t>
      </w:r>
      <w:r w:rsidR="00D23896">
        <w:rPr>
          <w:color w:val="000000" w:themeColor="text1"/>
          <w:shd w:val="clear" w:color="auto" w:fill="FFFFFF"/>
        </w:rPr>
        <w:t xml:space="preserve">asymptomatic infection. </w:t>
      </w:r>
    </w:p>
    <w:p w14:paraId="21E75E84" w14:textId="67BEC522" w:rsidR="00211A10" w:rsidRPr="00073BB6" w:rsidRDefault="00211A10" w:rsidP="00073BB6">
      <w:pPr>
        <w:spacing w:line="480" w:lineRule="auto"/>
        <w:ind w:firstLine="720"/>
        <w:rPr>
          <w:color w:val="000000" w:themeColor="text1"/>
          <w:shd w:val="clear" w:color="auto" w:fill="FFFFFF"/>
        </w:rPr>
      </w:pPr>
      <w:r w:rsidRPr="00073BB6">
        <w:rPr>
          <w:color w:val="000000" w:themeColor="text1"/>
          <w:shd w:val="clear" w:color="auto" w:fill="FFFFFF"/>
        </w:rPr>
        <w:t>The frequently asymptomatic nature of CT</w:t>
      </w:r>
      <w:r w:rsidR="00353F95">
        <w:rPr>
          <w:color w:val="000000" w:themeColor="text1"/>
          <w:shd w:val="clear" w:color="auto" w:fill="FFFFFF"/>
        </w:rPr>
        <w:t>/</w:t>
      </w:r>
      <w:r w:rsidR="00393D52">
        <w:rPr>
          <w:color w:val="000000" w:themeColor="text1"/>
          <w:shd w:val="clear" w:color="auto" w:fill="FFFFFF"/>
        </w:rPr>
        <w:t>NG</w:t>
      </w:r>
      <w:r w:rsidRPr="00073BB6">
        <w:rPr>
          <w:color w:val="000000" w:themeColor="text1"/>
          <w:shd w:val="clear" w:color="auto" w:fill="FFFFFF"/>
        </w:rPr>
        <w:t xml:space="preserve"> means that infections are </w:t>
      </w:r>
      <w:r w:rsidR="006574EF">
        <w:rPr>
          <w:color w:val="000000" w:themeColor="text1"/>
          <w:shd w:val="clear" w:color="auto" w:fill="FFFFFF"/>
        </w:rPr>
        <w:t>often</w:t>
      </w:r>
      <w:r w:rsidRPr="00073BB6">
        <w:rPr>
          <w:color w:val="000000" w:themeColor="text1"/>
          <w:shd w:val="clear" w:color="auto" w:fill="FFFFFF"/>
        </w:rPr>
        <w:t xml:space="preserve"> </w:t>
      </w:r>
      <w:r w:rsidR="006574EF">
        <w:rPr>
          <w:color w:val="000000" w:themeColor="text1"/>
          <w:shd w:val="clear" w:color="auto" w:fill="FFFFFF"/>
        </w:rPr>
        <w:t>undiagnosed</w:t>
      </w:r>
      <w:r w:rsidRPr="00073BB6">
        <w:rPr>
          <w:color w:val="000000" w:themeColor="text1"/>
          <w:shd w:val="clear" w:color="auto" w:fill="FFFFFF"/>
        </w:rPr>
        <w:t xml:space="preserve"> unless the </w:t>
      </w:r>
      <w:r w:rsidR="00C846FA" w:rsidRPr="00073BB6">
        <w:rPr>
          <w:color w:val="000000" w:themeColor="text1"/>
          <w:shd w:val="clear" w:color="auto" w:fill="FFFFFF"/>
        </w:rPr>
        <w:t xml:space="preserve">specific </w:t>
      </w:r>
      <w:r w:rsidRPr="00073BB6">
        <w:rPr>
          <w:color w:val="000000" w:themeColor="text1"/>
          <w:shd w:val="clear" w:color="auto" w:fill="FFFFFF"/>
        </w:rPr>
        <w:t xml:space="preserve">sites of infection are </w:t>
      </w:r>
      <w:r w:rsidR="00107C2B">
        <w:rPr>
          <w:color w:val="000000" w:themeColor="text1"/>
          <w:shd w:val="clear" w:color="auto" w:fill="FFFFFF"/>
        </w:rPr>
        <w:t>screened</w:t>
      </w:r>
      <w:r w:rsidRPr="00073BB6">
        <w:rPr>
          <w:color w:val="000000" w:themeColor="text1"/>
          <w:shd w:val="clear" w:color="auto" w:fill="FFFFFF"/>
        </w:rPr>
        <w:t>.</w:t>
      </w:r>
      <w:r w:rsidR="00793BBC">
        <w:rPr>
          <w:color w:val="000000" w:themeColor="text1"/>
          <w:shd w:val="clear" w:color="auto" w:fill="FFFFFF"/>
          <w:vertAlign w:val="superscript"/>
        </w:rPr>
        <w:t>2,3</w:t>
      </w:r>
      <w:r w:rsidRPr="00073BB6">
        <w:rPr>
          <w:color w:val="000000" w:themeColor="text1"/>
          <w:shd w:val="clear" w:color="auto" w:fill="FFFFFF"/>
        </w:rPr>
        <w:t xml:space="preserve"> This </w:t>
      </w:r>
      <w:r w:rsidR="00B7667F">
        <w:rPr>
          <w:color w:val="000000" w:themeColor="text1"/>
          <w:shd w:val="clear" w:color="auto" w:fill="FFFFFF"/>
        </w:rPr>
        <w:t>can be</w:t>
      </w:r>
      <w:r w:rsidR="00C846FA" w:rsidRPr="00073BB6">
        <w:rPr>
          <w:color w:val="000000" w:themeColor="text1"/>
          <w:shd w:val="clear" w:color="auto" w:fill="FFFFFF"/>
        </w:rPr>
        <w:t xml:space="preserve"> problematic as CT</w:t>
      </w:r>
      <w:r w:rsidR="006574EF">
        <w:rPr>
          <w:color w:val="000000" w:themeColor="text1"/>
          <w:shd w:val="clear" w:color="auto" w:fill="FFFFFF"/>
        </w:rPr>
        <w:t>/</w:t>
      </w:r>
      <w:r w:rsidR="00393D52">
        <w:rPr>
          <w:color w:val="000000" w:themeColor="text1"/>
          <w:shd w:val="clear" w:color="auto" w:fill="FFFFFF"/>
        </w:rPr>
        <w:t>NG</w:t>
      </w:r>
      <w:r w:rsidR="00C846FA" w:rsidRPr="00073BB6">
        <w:rPr>
          <w:color w:val="000000" w:themeColor="text1"/>
          <w:shd w:val="clear" w:color="auto" w:fill="FFFFFF"/>
        </w:rPr>
        <w:t xml:space="preserve"> infection may</w:t>
      </w:r>
      <w:r w:rsidR="00353F95">
        <w:rPr>
          <w:color w:val="000000" w:themeColor="text1"/>
          <w:shd w:val="clear" w:color="auto" w:fill="FFFFFF"/>
        </w:rPr>
        <w:t xml:space="preserve"> lead to </w:t>
      </w:r>
      <w:r w:rsidR="00B7667F">
        <w:rPr>
          <w:color w:val="000000" w:themeColor="text1"/>
          <w:shd w:val="clear" w:color="auto" w:fill="FFFFFF"/>
        </w:rPr>
        <w:t xml:space="preserve">onward transmission and </w:t>
      </w:r>
      <w:r w:rsidR="00353F95">
        <w:rPr>
          <w:color w:val="000000" w:themeColor="text1"/>
          <w:shd w:val="clear" w:color="auto" w:fill="FFFFFF"/>
        </w:rPr>
        <w:t>long-term health complications</w:t>
      </w:r>
      <w:r w:rsidR="00B7667F">
        <w:rPr>
          <w:color w:val="000000" w:themeColor="text1"/>
          <w:shd w:val="clear" w:color="auto" w:fill="FFFFFF"/>
        </w:rPr>
        <w:t xml:space="preserve"> such as </w:t>
      </w:r>
      <w:r w:rsidR="004B176C">
        <w:rPr>
          <w:color w:val="000000" w:themeColor="text1"/>
          <w:shd w:val="clear" w:color="auto" w:fill="FFFFFF"/>
        </w:rPr>
        <w:t>infertility</w:t>
      </w:r>
      <w:r w:rsidR="00353F95">
        <w:rPr>
          <w:color w:val="000000" w:themeColor="text1"/>
          <w:shd w:val="clear" w:color="auto" w:fill="FFFFFF"/>
        </w:rPr>
        <w:t>.</w:t>
      </w:r>
      <w:r w:rsidR="00793BBC">
        <w:rPr>
          <w:color w:val="000000" w:themeColor="text1"/>
          <w:shd w:val="clear" w:color="auto" w:fill="FFFFFF"/>
          <w:vertAlign w:val="superscript"/>
        </w:rPr>
        <w:t>2,4</w:t>
      </w:r>
      <w:r w:rsidR="0034474D" w:rsidRPr="002F1376">
        <w:rPr>
          <w:color w:val="4472C4" w:themeColor="accent1"/>
          <w:shd w:val="clear" w:color="auto" w:fill="FFFFFF"/>
        </w:rPr>
        <w:t xml:space="preserve"> </w:t>
      </w:r>
      <w:r w:rsidR="00983E0A">
        <w:rPr>
          <w:color w:val="000000" w:themeColor="text1"/>
          <w:shd w:val="clear" w:color="auto" w:fill="FFFFFF"/>
        </w:rPr>
        <w:t>The</w:t>
      </w:r>
      <w:r w:rsidR="00DB4B8C">
        <w:rPr>
          <w:color w:val="000000" w:themeColor="text1"/>
          <w:shd w:val="clear" w:color="auto" w:fill="FFFFFF"/>
        </w:rPr>
        <w:t xml:space="preserve"> American STD Surveillance Network </w:t>
      </w:r>
      <w:r w:rsidR="00983E0A">
        <w:rPr>
          <w:color w:val="000000" w:themeColor="text1"/>
          <w:shd w:val="clear" w:color="auto" w:fill="FFFFFF"/>
        </w:rPr>
        <w:t>reported</w:t>
      </w:r>
      <w:r w:rsidR="00DB4B8C">
        <w:rPr>
          <w:color w:val="000000" w:themeColor="text1"/>
          <w:shd w:val="clear" w:color="auto" w:fill="FFFFFF"/>
        </w:rPr>
        <w:t xml:space="preserve"> that amongst 21,994 MSM attending 44,104 clinic visits, 71.8% of rectal and 73.8% of oral NG infections would have been missed with urogenital testing alone, as would 88.3% and 92.2% of rectal and pharyngeal CT infections, respectively.</w:t>
      </w:r>
      <w:r w:rsidR="00793BBC">
        <w:rPr>
          <w:color w:val="000000" w:themeColor="text1"/>
          <w:shd w:val="clear" w:color="auto" w:fill="FFFFFF"/>
          <w:vertAlign w:val="superscript"/>
        </w:rPr>
        <w:t>3</w:t>
      </w:r>
    </w:p>
    <w:p w14:paraId="338BD188" w14:textId="374BCFED" w:rsidR="00485E32" w:rsidRDefault="000C502C" w:rsidP="00824558">
      <w:pPr>
        <w:spacing w:line="480" w:lineRule="auto"/>
        <w:ind w:firstLine="720"/>
        <w:rPr>
          <w:color w:val="000000" w:themeColor="text1"/>
          <w:shd w:val="clear" w:color="auto" w:fill="FFFFFF"/>
          <w:vertAlign w:val="superscript"/>
        </w:rPr>
      </w:pPr>
      <w:r>
        <w:rPr>
          <w:color w:val="000000" w:themeColor="text1"/>
          <w:shd w:val="clear" w:color="auto" w:fill="FFFFFF"/>
        </w:rPr>
        <w:t>S</w:t>
      </w:r>
      <w:r w:rsidR="002F0023">
        <w:rPr>
          <w:color w:val="000000" w:themeColor="text1"/>
          <w:shd w:val="clear" w:color="auto" w:fill="FFFFFF"/>
        </w:rPr>
        <w:t xml:space="preserve">everal behavioural factors may contribute to </w:t>
      </w:r>
      <w:r w:rsidR="00F90CA2">
        <w:rPr>
          <w:color w:val="000000" w:themeColor="text1"/>
          <w:shd w:val="clear" w:color="auto" w:fill="FFFFFF"/>
        </w:rPr>
        <w:t>higher population diagnosis rates among MSM</w:t>
      </w:r>
      <w:r w:rsidR="002F0023">
        <w:rPr>
          <w:color w:val="000000" w:themeColor="text1"/>
          <w:shd w:val="clear" w:color="auto" w:fill="FFFFFF"/>
        </w:rPr>
        <w:t xml:space="preserve">. </w:t>
      </w:r>
      <w:r w:rsidR="002F1376">
        <w:rPr>
          <w:color w:val="000000" w:themeColor="text1"/>
          <w:shd w:val="clear" w:color="auto" w:fill="FFFFFF"/>
        </w:rPr>
        <w:t>First</w:t>
      </w:r>
      <w:r w:rsidR="002F0023">
        <w:rPr>
          <w:color w:val="000000" w:themeColor="text1"/>
          <w:shd w:val="clear" w:color="auto" w:fill="FFFFFF"/>
        </w:rPr>
        <w:t xml:space="preserve">, </w:t>
      </w:r>
      <w:r w:rsidR="008111EC">
        <w:rPr>
          <w:color w:val="000000" w:themeColor="text1"/>
          <w:shd w:val="clear" w:color="auto" w:fill="FFFFFF"/>
        </w:rPr>
        <w:t xml:space="preserve">MSM report </w:t>
      </w:r>
      <w:r w:rsidR="001306C1">
        <w:rPr>
          <w:color w:val="000000" w:themeColor="text1"/>
          <w:shd w:val="clear" w:color="auto" w:fill="FFFFFF"/>
        </w:rPr>
        <w:t>more</w:t>
      </w:r>
      <w:r w:rsidR="008111EC">
        <w:rPr>
          <w:color w:val="000000" w:themeColor="text1"/>
          <w:shd w:val="clear" w:color="auto" w:fill="FFFFFF"/>
        </w:rPr>
        <w:t xml:space="preserve"> sexual partners</w:t>
      </w:r>
      <w:r w:rsidR="00815991">
        <w:rPr>
          <w:color w:val="000000" w:themeColor="text1"/>
          <w:shd w:val="clear" w:color="auto" w:fill="FFFFFF"/>
        </w:rPr>
        <w:t xml:space="preserve">, </w:t>
      </w:r>
      <w:r w:rsidR="00485E32" w:rsidRPr="008111EC">
        <w:rPr>
          <w:color w:val="000000" w:themeColor="text1"/>
          <w:shd w:val="clear" w:color="auto" w:fill="FFFFFF"/>
        </w:rPr>
        <w:t xml:space="preserve">more new partners </w:t>
      </w:r>
      <w:r w:rsidR="001306C1">
        <w:rPr>
          <w:color w:val="000000" w:themeColor="text1"/>
          <w:shd w:val="clear" w:color="auto" w:fill="FFFFFF"/>
        </w:rPr>
        <w:t>annually</w:t>
      </w:r>
      <w:r w:rsidR="00815991">
        <w:rPr>
          <w:color w:val="000000" w:themeColor="text1"/>
          <w:shd w:val="clear" w:color="auto" w:fill="FFFFFF"/>
        </w:rPr>
        <w:t>,</w:t>
      </w:r>
      <w:r w:rsidR="008111EC" w:rsidRPr="008111EC">
        <w:rPr>
          <w:color w:val="000000" w:themeColor="text1"/>
          <w:shd w:val="clear" w:color="auto" w:fill="FFFFFF"/>
        </w:rPr>
        <w:t xml:space="preserve"> </w:t>
      </w:r>
      <w:r w:rsidR="00485E32" w:rsidRPr="008111EC">
        <w:rPr>
          <w:color w:val="000000" w:themeColor="text1"/>
          <w:shd w:val="clear" w:color="auto" w:fill="FFFFFF"/>
        </w:rPr>
        <w:t xml:space="preserve">and </w:t>
      </w:r>
      <w:r w:rsidR="002F0023">
        <w:rPr>
          <w:color w:val="000000" w:themeColor="text1"/>
          <w:shd w:val="clear" w:color="auto" w:fill="FFFFFF"/>
        </w:rPr>
        <w:t>more</w:t>
      </w:r>
      <w:r w:rsidR="00485E32" w:rsidRPr="008111EC">
        <w:rPr>
          <w:color w:val="000000" w:themeColor="text1"/>
          <w:shd w:val="clear" w:color="auto" w:fill="FFFFFF"/>
        </w:rPr>
        <w:t xml:space="preserve"> concurrent partnerships</w:t>
      </w:r>
      <w:r w:rsidR="008111EC" w:rsidRPr="008111EC">
        <w:rPr>
          <w:color w:val="000000" w:themeColor="text1"/>
          <w:shd w:val="clear" w:color="auto" w:fill="FFFFFF"/>
        </w:rPr>
        <w:t xml:space="preserve">, resulting in </w:t>
      </w:r>
      <w:r w:rsidR="00485E32" w:rsidRPr="008111EC">
        <w:rPr>
          <w:color w:val="000000" w:themeColor="text1"/>
          <w:shd w:val="clear" w:color="auto" w:fill="FFFFFF"/>
        </w:rPr>
        <w:t>larger</w:t>
      </w:r>
      <w:r w:rsidR="008111EC" w:rsidRPr="008111EC">
        <w:rPr>
          <w:color w:val="000000" w:themeColor="text1"/>
          <w:shd w:val="clear" w:color="auto" w:fill="FFFFFF"/>
        </w:rPr>
        <w:t>,</w:t>
      </w:r>
      <w:r w:rsidR="00485E32" w:rsidRPr="008111EC">
        <w:rPr>
          <w:color w:val="000000" w:themeColor="text1"/>
          <w:shd w:val="clear" w:color="auto" w:fill="FFFFFF"/>
        </w:rPr>
        <w:t xml:space="preserve"> interconnected sexual networks</w:t>
      </w:r>
      <w:r w:rsidR="008111EC" w:rsidRPr="008111EC">
        <w:rPr>
          <w:color w:val="000000" w:themeColor="text1"/>
          <w:shd w:val="clear" w:color="auto" w:fill="FFFFFF"/>
        </w:rPr>
        <w:t>.</w:t>
      </w:r>
      <w:r w:rsidR="002900BA">
        <w:rPr>
          <w:color w:val="000000" w:themeColor="text1"/>
          <w:shd w:val="clear" w:color="auto" w:fill="FFFFFF"/>
          <w:vertAlign w:val="superscript"/>
        </w:rPr>
        <w:t>5</w:t>
      </w:r>
      <w:r w:rsidR="008111EC" w:rsidRPr="008111EC">
        <w:rPr>
          <w:color w:val="000000" w:themeColor="text1"/>
          <w:shd w:val="clear" w:color="auto" w:fill="FFFFFF"/>
        </w:rPr>
        <w:t xml:space="preserve"> </w:t>
      </w:r>
      <w:r w:rsidR="002F0023">
        <w:rPr>
          <w:color w:val="000000" w:themeColor="text1"/>
          <w:shd w:val="clear" w:color="auto" w:fill="FFFFFF"/>
        </w:rPr>
        <w:t xml:space="preserve">Second, </w:t>
      </w:r>
      <w:r>
        <w:rPr>
          <w:color w:val="000000" w:themeColor="text1"/>
          <w:shd w:val="clear" w:color="auto" w:fill="FFFFFF"/>
        </w:rPr>
        <w:t xml:space="preserve">they </w:t>
      </w:r>
      <w:r w:rsidR="002F0023">
        <w:rPr>
          <w:color w:val="000000" w:themeColor="text1"/>
          <w:shd w:val="clear" w:color="auto" w:fill="FFFFFF"/>
        </w:rPr>
        <w:t xml:space="preserve">are more likely </w:t>
      </w:r>
      <w:r w:rsidR="00F90CA2">
        <w:rPr>
          <w:color w:val="000000" w:themeColor="text1"/>
          <w:shd w:val="clear" w:color="auto" w:fill="FFFFFF"/>
        </w:rPr>
        <w:t xml:space="preserve">to </w:t>
      </w:r>
      <w:r w:rsidR="002F0023">
        <w:rPr>
          <w:color w:val="000000" w:themeColor="text1"/>
          <w:shd w:val="clear" w:color="auto" w:fill="FFFFFF"/>
        </w:rPr>
        <w:t>engag</w:t>
      </w:r>
      <w:r w:rsidR="001306C1">
        <w:rPr>
          <w:color w:val="000000" w:themeColor="text1"/>
          <w:shd w:val="clear" w:color="auto" w:fill="FFFFFF"/>
        </w:rPr>
        <w:t>e</w:t>
      </w:r>
      <w:r w:rsidR="002F0023">
        <w:rPr>
          <w:color w:val="000000" w:themeColor="text1"/>
          <w:shd w:val="clear" w:color="auto" w:fill="FFFFFF"/>
        </w:rPr>
        <w:t xml:space="preserve"> in behaviours associated with increased </w:t>
      </w:r>
      <w:r w:rsidR="001306C1">
        <w:rPr>
          <w:color w:val="000000" w:themeColor="text1"/>
          <w:shd w:val="clear" w:color="auto" w:fill="FFFFFF"/>
        </w:rPr>
        <w:t xml:space="preserve">STI </w:t>
      </w:r>
      <w:r w:rsidR="002F0023">
        <w:rPr>
          <w:color w:val="000000" w:themeColor="text1"/>
          <w:shd w:val="clear" w:color="auto" w:fill="FFFFFF"/>
        </w:rPr>
        <w:t>risk such as receptive and insertive anal sex, anal sex versatility, group sex, and chemsex.</w:t>
      </w:r>
      <w:r w:rsidR="001D2439">
        <w:rPr>
          <w:color w:val="000000" w:themeColor="text1"/>
          <w:shd w:val="clear" w:color="auto" w:fill="FFFFFF"/>
          <w:vertAlign w:val="superscript"/>
        </w:rPr>
        <w:t>5</w:t>
      </w:r>
      <w:r w:rsidR="002900BA">
        <w:rPr>
          <w:color w:val="000000" w:themeColor="text1"/>
          <w:shd w:val="clear" w:color="auto" w:fill="FFFFFF"/>
          <w:vertAlign w:val="superscript"/>
        </w:rPr>
        <w:t>,</w:t>
      </w:r>
      <w:r w:rsidR="00793BBC">
        <w:rPr>
          <w:color w:val="000000" w:themeColor="text1"/>
          <w:shd w:val="clear" w:color="auto" w:fill="FFFFFF"/>
          <w:vertAlign w:val="superscript"/>
        </w:rPr>
        <w:t>6</w:t>
      </w:r>
      <w:r w:rsidR="002F0023">
        <w:rPr>
          <w:color w:val="000000" w:themeColor="text1"/>
          <w:shd w:val="clear" w:color="auto" w:fill="FFFFFF"/>
        </w:rPr>
        <w:t xml:space="preserve"> Third,</w:t>
      </w:r>
      <w:r w:rsidR="002F0023" w:rsidRPr="008111EC">
        <w:rPr>
          <w:color w:val="000000" w:themeColor="text1"/>
          <w:shd w:val="clear" w:color="auto" w:fill="FFFFFF"/>
        </w:rPr>
        <w:t xml:space="preserve"> condom use </w:t>
      </w:r>
      <w:r w:rsidR="001F7DC3">
        <w:rPr>
          <w:color w:val="000000" w:themeColor="text1"/>
          <w:shd w:val="clear" w:color="auto" w:fill="FFFFFF"/>
        </w:rPr>
        <w:t>amongst</w:t>
      </w:r>
      <w:r w:rsidR="001F7DC3" w:rsidRPr="008111EC">
        <w:rPr>
          <w:color w:val="000000" w:themeColor="text1"/>
          <w:shd w:val="clear" w:color="auto" w:fill="FFFFFF"/>
        </w:rPr>
        <w:t xml:space="preserve"> </w:t>
      </w:r>
      <w:r w:rsidR="002F0023" w:rsidRPr="008111EC">
        <w:rPr>
          <w:color w:val="000000" w:themeColor="text1"/>
          <w:shd w:val="clear" w:color="auto" w:fill="FFFFFF"/>
        </w:rPr>
        <w:t>MSM has decreas</w:t>
      </w:r>
      <w:r w:rsidR="002F0023">
        <w:rPr>
          <w:color w:val="000000" w:themeColor="text1"/>
          <w:shd w:val="clear" w:color="auto" w:fill="FFFFFF"/>
        </w:rPr>
        <w:t>ed</w:t>
      </w:r>
      <w:r w:rsidR="002F0023" w:rsidRPr="008111EC">
        <w:rPr>
          <w:color w:val="000000" w:themeColor="text1"/>
          <w:shd w:val="clear" w:color="auto" w:fill="FFFFFF"/>
        </w:rPr>
        <w:t xml:space="preserve">, likely due to </w:t>
      </w:r>
      <w:r w:rsidR="001306C1">
        <w:rPr>
          <w:color w:val="000000" w:themeColor="text1"/>
          <w:shd w:val="clear" w:color="auto" w:fill="FFFFFF"/>
        </w:rPr>
        <w:t>greater</w:t>
      </w:r>
      <w:r w:rsidR="001306C1" w:rsidRPr="008111EC">
        <w:rPr>
          <w:color w:val="000000" w:themeColor="text1"/>
          <w:shd w:val="clear" w:color="auto" w:fill="FFFFFF"/>
        </w:rPr>
        <w:t xml:space="preserve"> </w:t>
      </w:r>
      <w:r w:rsidR="002F0023" w:rsidRPr="008111EC">
        <w:rPr>
          <w:color w:val="000000" w:themeColor="text1"/>
          <w:shd w:val="clear" w:color="auto" w:fill="FFFFFF"/>
        </w:rPr>
        <w:t>use of HIV prevention measures such as Treatment as Prevention, U=U, and pre-exposure prophylaxis (PrEP).</w:t>
      </w:r>
      <w:r w:rsidR="00793BBC">
        <w:rPr>
          <w:color w:val="000000" w:themeColor="text1"/>
          <w:shd w:val="clear" w:color="auto" w:fill="FFFFFF"/>
          <w:vertAlign w:val="superscript"/>
        </w:rPr>
        <w:t>7</w:t>
      </w:r>
      <w:r w:rsidR="002F0023">
        <w:rPr>
          <w:color w:val="000000" w:themeColor="text1"/>
          <w:shd w:val="clear" w:color="auto" w:fill="FFFFFF"/>
        </w:rPr>
        <w:t xml:space="preserve"> </w:t>
      </w:r>
      <w:r w:rsidR="00B27535">
        <w:rPr>
          <w:color w:val="000000" w:themeColor="text1"/>
          <w:shd w:val="clear" w:color="auto" w:fill="FFFFFF"/>
        </w:rPr>
        <w:t>Fourth, MSM, particularly those living with HIV and those with multiple partners, are encouraged to test frequently for STIs and screening is required for access to PrEP.</w:t>
      </w:r>
      <w:r w:rsidR="00793BBC" w:rsidRPr="00793BBC">
        <w:rPr>
          <w:color w:val="000000" w:themeColor="text1"/>
          <w:shd w:val="clear" w:color="auto" w:fill="FFFFFF"/>
          <w:vertAlign w:val="superscript"/>
        </w:rPr>
        <w:t>8</w:t>
      </w:r>
      <w:r w:rsidR="00B27535">
        <w:rPr>
          <w:color w:val="000000" w:themeColor="text1"/>
          <w:shd w:val="clear" w:color="auto" w:fill="FFFFFF"/>
        </w:rPr>
        <w:t xml:space="preserve"> </w:t>
      </w:r>
      <w:r w:rsidR="002F0023" w:rsidRPr="002F0023">
        <w:rPr>
          <w:color w:val="000000" w:themeColor="text1"/>
          <w:shd w:val="clear" w:color="auto" w:fill="FFFFFF"/>
        </w:rPr>
        <w:t xml:space="preserve">Finally, </w:t>
      </w:r>
      <w:r w:rsidR="00485E32" w:rsidRPr="002F0023">
        <w:rPr>
          <w:color w:val="000000" w:themeColor="text1"/>
          <w:shd w:val="clear" w:color="auto" w:fill="FFFFFF"/>
        </w:rPr>
        <w:t>increased rates of STIs</w:t>
      </w:r>
      <w:r w:rsidR="00511F09">
        <w:rPr>
          <w:color w:val="000000" w:themeColor="text1"/>
          <w:shd w:val="clear" w:color="auto" w:fill="FFFFFF"/>
        </w:rPr>
        <w:t>, including</w:t>
      </w:r>
      <w:r w:rsidR="00485E32" w:rsidRPr="002F0023">
        <w:rPr>
          <w:color w:val="000000" w:themeColor="text1"/>
          <w:shd w:val="clear" w:color="auto" w:fill="FFFFFF"/>
        </w:rPr>
        <w:t xml:space="preserve"> HIV</w:t>
      </w:r>
      <w:r w:rsidR="00511F09">
        <w:rPr>
          <w:color w:val="000000" w:themeColor="text1"/>
          <w:shd w:val="clear" w:color="auto" w:fill="FFFFFF"/>
        </w:rPr>
        <w:t>,</w:t>
      </w:r>
      <w:r w:rsidR="00485E32" w:rsidRPr="002F0023">
        <w:rPr>
          <w:color w:val="000000" w:themeColor="text1"/>
          <w:shd w:val="clear" w:color="auto" w:fill="FFFFFF"/>
        </w:rPr>
        <w:t xml:space="preserve"> </w:t>
      </w:r>
      <w:r w:rsidR="001306C1">
        <w:rPr>
          <w:color w:val="000000" w:themeColor="text1"/>
          <w:shd w:val="clear" w:color="auto" w:fill="FFFFFF"/>
        </w:rPr>
        <w:t>amongst</w:t>
      </w:r>
      <w:r w:rsidR="00485E32" w:rsidRPr="002F0023">
        <w:rPr>
          <w:color w:val="000000" w:themeColor="text1"/>
          <w:shd w:val="clear" w:color="auto" w:fill="FFFFFF"/>
        </w:rPr>
        <w:t xml:space="preserve"> MSM </w:t>
      </w:r>
      <w:r w:rsidR="001306C1">
        <w:rPr>
          <w:color w:val="000000" w:themeColor="text1"/>
          <w:shd w:val="clear" w:color="auto" w:fill="FFFFFF"/>
        </w:rPr>
        <w:t xml:space="preserve">are </w:t>
      </w:r>
      <w:r w:rsidR="0070537E">
        <w:rPr>
          <w:color w:val="000000" w:themeColor="text1"/>
          <w:shd w:val="clear" w:color="auto" w:fill="FFFFFF"/>
        </w:rPr>
        <w:t xml:space="preserve">syndemic and influenced by the </w:t>
      </w:r>
      <w:r w:rsidR="00485E32" w:rsidRPr="002F0023">
        <w:rPr>
          <w:color w:val="000000" w:themeColor="text1"/>
          <w:shd w:val="clear" w:color="auto" w:fill="FFFFFF"/>
        </w:rPr>
        <w:t>interaction</w:t>
      </w:r>
      <w:r w:rsidR="0070537E">
        <w:rPr>
          <w:color w:val="000000" w:themeColor="text1"/>
          <w:shd w:val="clear" w:color="auto" w:fill="FFFFFF"/>
        </w:rPr>
        <w:t>s</w:t>
      </w:r>
      <w:r w:rsidR="00485E32" w:rsidRPr="002F0023">
        <w:rPr>
          <w:color w:val="000000" w:themeColor="text1"/>
          <w:shd w:val="clear" w:color="auto" w:fill="FFFFFF"/>
        </w:rPr>
        <w:t xml:space="preserve"> of many </w:t>
      </w:r>
      <w:r w:rsidR="00485E32" w:rsidRPr="002F0023">
        <w:rPr>
          <w:color w:val="000000" w:themeColor="text1"/>
          <w:shd w:val="clear" w:color="auto" w:fill="FFFFFF"/>
        </w:rPr>
        <w:lastRenderedPageBreak/>
        <w:t>factors, including high</w:t>
      </w:r>
      <w:r w:rsidR="00107C2B">
        <w:rPr>
          <w:color w:val="000000" w:themeColor="text1"/>
          <w:shd w:val="clear" w:color="auto" w:fill="FFFFFF"/>
        </w:rPr>
        <w:t>er</w:t>
      </w:r>
      <w:r w:rsidR="00485E32" w:rsidRPr="002F0023">
        <w:rPr>
          <w:color w:val="000000" w:themeColor="text1"/>
          <w:shd w:val="clear" w:color="auto" w:fill="FFFFFF"/>
        </w:rPr>
        <w:t xml:space="preserve"> rates of mental health </w:t>
      </w:r>
      <w:r w:rsidR="00AE7832">
        <w:rPr>
          <w:color w:val="000000" w:themeColor="text1"/>
          <w:shd w:val="clear" w:color="auto" w:fill="FFFFFF"/>
        </w:rPr>
        <w:t xml:space="preserve">and </w:t>
      </w:r>
      <w:r w:rsidR="0021541F">
        <w:rPr>
          <w:color w:val="000000" w:themeColor="text1"/>
          <w:shd w:val="clear" w:color="auto" w:fill="FFFFFF"/>
        </w:rPr>
        <w:t>substance misuse</w:t>
      </w:r>
      <w:r w:rsidR="00AE7832">
        <w:rPr>
          <w:color w:val="000000" w:themeColor="text1"/>
          <w:shd w:val="clear" w:color="auto" w:fill="FFFFFF"/>
        </w:rPr>
        <w:t xml:space="preserve"> problems </w:t>
      </w:r>
      <w:r w:rsidR="003E0FEA">
        <w:rPr>
          <w:color w:val="000000" w:themeColor="text1"/>
          <w:shd w:val="clear" w:color="auto" w:fill="FFFFFF"/>
        </w:rPr>
        <w:t xml:space="preserve">and poor </w:t>
      </w:r>
      <w:r w:rsidR="00485E32" w:rsidRPr="002F0023">
        <w:rPr>
          <w:color w:val="000000" w:themeColor="text1"/>
          <w:shd w:val="clear" w:color="auto" w:fill="FFFFFF"/>
        </w:rPr>
        <w:t>access to health services</w:t>
      </w:r>
      <w:r w:rsidR="002F0023" w:rsidRPr="002F0023">
        <w:rPr>
          <w:color w:val="000000" w:themeColor="text1"/>
          <w:shd w:val="clear" w:color="auto" w:fill="FFFFFF"/>
        </w:rPr>
        <w:t>.</w:t>
      </w:r>
      <w:r w:rsidR="00793BBC">
        <w:rPr>
          <w:color w:val="000000" w:themeColor="text1"/>
          <w:shd w:val="clear" w:color="auto" w:fill="FFFFFF"/>
          <w:vertAlign w:val="superscript"/>
        </w:rPr>
        <w:t>9</w:t>
      </w:r>
    </w:p>
    <w:p w14:paraId="4CD37BAF" w14:textId="131EEDC2" w:rsidR="003E0FEA" w:rsidRDefault="00C67866">
      <w:pPr>
        <w:spacing w:line="480" w:lineRule="auto"/>
        <w:ind w:firstLine="72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Among MSM, </w:t>
      </w:r>
      <w:r w:rsidR="00E5066E" w:rsidRPr="00E5066E">
        <w:rPr>
          <w:color w:val="000000" w:themeColor="text1"/>
          <w:shd w:val="clear" w:color="auto" w:fill="FFFFFF"/>
        </w:rPr>
        <w:t>regular</w:t>
      </w:r>
      <w:r>
        <w:rPr>
          <w:color w:val="000000" w:themeColor="text1"/>
          <w:shd w:val="clear" w:color="auto" w:fill="FFFFFF"/>
        </w:rPr>
        <w:t xml:space="preserve"> urine, oropharyngeal, and rectal</w:t>
      </w:r>
      <w:r w:rsidR="00E5066E" w:rsidRPr="00E5066E">
        <w:rPr>
          <w:color w:val="000000" w:themeColor="text1"/>
          <w:shd w:val="clear" w:color="auto" w:fill="FFFFFF"/>
        </w:rPr>
        <w:t xml:space="preserve"> </w:t>
      </w:r>
      <w:r w:rsidR="002F0023" w:rsidRPr="00E5066E">
        <w:rPr>
          <w:color w:val="000000" w:themeColor="text1"/>
          <w:shd w:val="clear" w:color="auto" w:fill="FFFFFF"/>
        </w:rPr>
        <w:t>STI screening</w:t>
      </w:r>
      <w:r w:rsidR="001306C1">
        <w:rPr>
          <w:color w:val="000000" w:themeColor="text1"/>
          <w:shd w:val="clear" w:color="auto" w:fill="FFFFFF"/>
        </w:rPr>
        <w:t xml:space="preserve"> is recommend</w:t>
      </w:r>
      <w:r w:rsidR="0030492B">
        <w:rPr>
          <w:color w:val="000000" w:themeColor="text1"/>
          <w:shd w:val="clear" w:color="auto" w:fill="FFFFFF"/>
        </w:rPr>
        <w:t>ed</w:t>
      </w:r>
      <w:r w:rsidR="00E5066E" w:rsidRPr="00E5066E">
        <w:rPr>
          <w:color w:val="000000" w:themeColor="text1"/>
          <w:shd w:val="clear" w:color="auto" w:fill="FFFFFF"/>
        </w:rPr>
        <w:t xml:space="preserve"> </w:t>
      </w:r>
      <w:r w:rsidR="00485E32" w:rsidRPr="00E5066E">
        <w:rPr>
          <w:color w:val="000000" w:themeColor="text1"/>
          <w:shd w:val="clear" w:color="auto" w:fill="FFFFFF"/>
        </w:rPr>
        <w:t xml:space="preserve">every three months </w:t>
      </w:r>
      <w:r w:rsidR="00DF5A72">
        <w:rPr>
          <w:color w:val="000000" w:themeColor="text1"/>
          <w:shd w:val="clear" w:color="auto" w:fill="FFFFFF"/>
        </w:rPr>
        <w:t xml:space="preserve">for </w:t>
      </w:r>
      <w:r w:rsidR="00485E32" w:rsidRPr="00E5066E">
        <w:rPr>
          <w:color w:val="000000" w:themeColor="text1"/>
          <w:shd w:val="clear" w:color="auto" w:fill="FFFFFF"/>
        </w:rPr>
        <w:t>individuals engaging in condomless sex with new or casual partners</w:t>
      </w:r>
      <w:r w:rsidR="0070537E">
        <w:rPr>
          <w:color w:val="000000" w:themeColor="text1"/>
          <w:shd w:val="clear" w:color="auto" w:fill="FFFFFF"/>
        </w:rPr>
        <w:t>.</w:t>
      </w:r>
      <w:r w:rsidR="0070537E">
        <w:rPr>
          <w:color w:val="000000" w:themeColor="text1"/>
          <w:shd w:val="clear" w:color="auto" w:fill="FFFFFF"/>
          <w:vertAlign w:val="superscript"/>
        </w:rPr>
        <w:t>1,</w:t>
      </w:r>
      <w:r w:rsidR="00793BBC">
        <w:rPr>
          <w:color w:val="000000" w:themeColor="text1"/>
          <w:shd w:val="clear" w:color="auto" w:fill="FFFFFF"/>
          <w:vertAlign w:val="superscript"/>
        </w:rPr>
        <w:t>8</w:t>
      </w:r>
      <w:r w:rsidR="00824558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T</w:t>
      </w:r>
      <w:r w:rsidR="00485E32" w:rsidRPr="00E5066E">
        <w:rPr>
          <w:color w:val="000000" w:themeColor="text1"/>
          <w:shd w:val="clear" w:color="auto" w:fill="FFFFFF"/>
        </w:rPr>
        <w:t xml:space="preserve">o improve access and engagement, several </w:t>
      </w:r>
      <w:r w:rsidR="00E5066E" w:rsidRPr="00E5066E">
        <w:rPr>
          <w:color w:val="000000" w:themeColor="text1"/>
          <w:shd w:val="clear" w:color="auto" w:fill="FFFFFF"/>
        </w:rPr>
        <w:t xml:space="preserve">NHS services </w:t>
      </w:r>
      <w:r w:rsidR="00485E32" w:rsidRPr="00E5066E">
        <w:rPr>
          <w:color w:val="000000" w:themeColor="text1"/>
          <w:shd w:val="clear" w:color="auto" w:fill="FFFFFF"/>
        </w:rPr>
        <w:t>now offer free online STI testing</w:t>
      </w:r>
      <w:r w:rsidR="00552D62">
        <w:rPr>
          <w:color w:val="000000" w:themeColor="text1"/>
          <w:shd w:val="clear" w:color="auto" w:fill="FFFFFF"/>
        </w:rPr>
        <w:t>.</w:t>
      </w:r>
      <w:r w:rsidR="00485E32" w:rsidRPr="00E5066E">
        <w:rPr>
          <w:color w:val="000000" w:themeColor="text1"/>
          <w:shd w:val="clear" w:color="auto" w:fill="FFFFFF"/>
        </w:rPr>
        <w:t xml:space="preserve"> </w:t>
      </w:r>
      <w:r w:rsidR="00552D62">
        <w:rPr>
          <w:color w:val="000000" w:themeColor="text1"/>
          <w:shd w:val="clear" w:color="auto" w:fill="FFFFFF"/>
        </w:rPr>
        <w:t>In</w:t>
      </w:r>
      <w:r w:rsidR="00485E32" w:rsidRPr="00E5066E">
        <w:rPr>
          <w:color w:val="000000" w:themeColor="text1"/>
          <w:shd w:val="clear" w:color="auto" w:fill="FFFFFF"/>
        </w:rPr>
        <w:t xml:space="preserve"> Hampshire, STI test</w:t>
      </w:r>
      <w:r w:rsidR="00211A10">
        <w:rPr>
          <w:color w:val="000000" w:themeColor="text1"/>
          <w:shd w:val="clear" w:color="auto" w:fill="FFFFFF"/>
        </w:rPr>
        <w:t xml:space="preserve"> kits </w:t>
      </w:r>
      <w:r w:rsidR="00DF5A72">
        <w:rPr>
          <w:color w:val="000000" w:themeColor="text1"/>
          <w:shd w:val="clear" w:color="auto" w:fill="FFFFFF"/>
        </w:rPr>
        <w:t>can be</w:t>
      </w:r>
      <w:r w:rsidR="00485E32" w:rsidRPr="00E5066E">
        <w:rPr>
          <w:color w:val="000000" w:themeColor="text1"/>
          <w:shd w:val="clear" w:color="auto" w:fill="FFFFFF"/>
        </w:rPr>
        <w:t xml:space="preserve"> order</w:t>
      </w:r>
      <w:r w:rsidR="00DF5A72">
        <w:rPr>
          <w:color w:val="000000" w:themeColor="text1"/>
          <w:shd w:val="clear" w:color="auto" w:fill="FFFFFF"/>
        </w:rPr>
        <w:t>ed</w:t>
      </w:r>
      <w:r w:rsidR="00485E32" w:rsidRPr="00E5066E">
        <w:rPr>
          <w:color w:val="000000" w:themeColor="text1"/>
          <w:shd w:val="clear" w:color="auto" w:fill="FFFFFF"/>
        </w:rPr>
        <w:t xml:space="preserve"> online </w:t>
      </w:r>
      <w:r w:rsidR="00485E32" w:rsidRPr="00211A10">
        <w:rPr>
          <w:color w:val="000000" w:themeColor="text1"/>
          <w:shd w:val="clear" w:color="auto" w:fill="FFFFFF"/>
        </w:rPr>
        <w:t>through NHS Solent Sexual Health Service</w:t>
      </w:r>
      <w:r w:rsidR="00036B0D">
        <w:rPr>
          <w:color w:val="000000" w:themeColor="text1"/>
          <w:shd w:val="clear" w:color="auto" w:fill="FFFFFF"/>
        </w:rPr>
        <w:t xml:space="preserve"> </w:t>
      </w:r>
      <w:r w:rsidR="00036B0D">
        <w:rPr>
          <w:color w:val="000000" w:themeColor="text1"/>
        </w:rPr>
        <w:t>(</w:t>
      </w:r>
      <w:hyperlink r:id="rId8" w:history="1">
        <w:r w:rsidR="00036B0D" w:rsidRPr="003563F0">
          <w:rPr>
            <w:rStyle w:val="Hyperlink"/>
          </w:rPr>
          <w:t>https://letstalkaboutit.nhs.uk</w:t>
        </w:r>
      </w:hyperlink>
      <w:r w:rsidR="00036B0D">
        <w:rPr>
          <w:color w:val="000000" w:themeColor="text1"/>
        </w:rPr>
        <w:t>)</w:t>
      </w:r>
      <w:r w:rsidR="00485E32" w:rsidRPr="00211A10">
        <w:rPr>
          <w:color w:val="000000" w:themeColor="text1"/>
          <w:shd w:val="clear" w:color="auto" w:fill="FFFFFF"/>
        </w:rPr>
        <w:t xml:space="preserve">. </w:t>
      </w:r>
      <w:r w:rsidR="00F90CA2">
        <w:rPr>
          <w:color w:val="000000" w:themeColor="text1"/>
          <w:shd w:val="clear" w:color="auto" w:fill="FFFFFF"/>
        </w:rPr>
        <w:t xml:space="preserve">Testing kits for </w:t>
      </w:r>
      <w:r w:rsidR="00B350E2">
        <w:rPr>
          <w:color w:val="000000" w:themeColor="text1"/>
          <w:shd w:val="clear" w:color="auto" w:fill="FFFFFF"/>
        </w:rPr>
        <w:t>M</w:t>
      </w:r>
      <w:r w:rsidR="0034474D">
        <w:rPr>
          <w:color w:val="000000" w:themeColor="text1"/>
          <w:shd w:val="clear" w:color="auto" w:fill="FFFFFF"/>
        </w:rPr>
        <w:t>SM</w:t>
      </w:r>
      <w:r w:rsidR="00B350E2">
        <w:rPr>
          <w:color w:val="000000" w:themeColor="text1"/>
          <w:shd w:val="clear" w:color="auto" w:fill="FFFFFF"/>
        </w:rPr>
        <w:t xml:space="preserve"> contain collection material for urine </w:t>
      </w:r>
      <w:r w:rsidR="00DF5A72">
        <w:rPr>
          <w:color w:val="000000" w:themeColor="text1"/>
          <w:shd w:val="clear" w:color="auto" w:fill="FFFFFF"/>
        </w:rPr>
        <w:t>and</w:t>
      </w:r>
      <w:r w:rsidR="00B350E2">
        <w:rPr>
          <w:color w:val="000000" w:themeColor="text1"/>
          <w:shd w:val="clear" w:color="auto" w:fill="FFFFFF"/>
        </w:rPr>
        <w:t xml:space="preserve"> pharyngeal and anorectal swabs. </w:t>
      </w:r>
    </w:p>
    <w:p w14:paraId="6EB25E4F" w14:textId="390541C6" w:rsidR="00824320" w:rsidRPr="00C70850" w:rsidRDefault="00AE7832" w:rsidP="003E0FEA">
      <w:pPr>
        <w:spacing w:line="480" w:lineRule="auto"/>
        <w:ind w:firstLine="72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Given the associated burden of sampling on individuals and extra costs</w:t>
      </w:r>
      <w:r w:rsidR="00DF5A72">
        <w:rPr>
          <w:color w:val="000000" w:themeColor="text1"/>
          <w:shd w:val="clear" w:color="auto" w:fill="FFFFFF"/>
        </w:rPr>
        <w:t xml:space="preserve"> to services</w:t>
      </w:r>
      <w:r>
        <w:rPr>
          <w:color w:val="000000" w:themeColor="text1"/>
          <w:shd w:val="clear" w:color="auto" w:fill="FFFFFF"/>
        </w:rPr>
        <w:t xml:space="preserve">, it is important to assess the value of extra-genital sampling. </w:t>
      </w:r>
      <w:r w:rsidR="003E0FEA">
        <w:rPr>
          <w:color w:val="000000" w:themeColor="text1"/>
          <w:shd w:val="clear" w:color="auto" w:fill="FFFFFF"/>
        </w:rPr>
        <w:t>W</w:t>
      </w:r>
      <w:r w:rsidR="00B350E2">
        <w:rPr>
          <w:color w:val="000000" w:themeColor="text1"/>
          <w:shd w:val="clear" w:color="auto" w:fill="FFFFFF"/>
        </w:rPr>
        <w:t>e investigate</w:t>
      </w:r>
      <w:r w:rsidR="00937747">
        <w:rPr>
          <w:color w:val="000000" w:themeColor="text1"/>
          <w:shd w:val="clear" w:color="auto" w:fill="FFFFFF"/>
        </w:rPr>
        <w:t>d</w:t>
      </w:r>
      <w:r w:rsidR="00B350E2">
        <w:rPr>
          <w:color w:val="000000" w:themeColor="text1"/>
          <w:shd w:val="clear" w:color="auto" w:fill="FFFFFF"/>
        </w:rPr>
        <w:t xml:space="preserve"> the </w:t>
      </w:r>
      <w:r w:rsidR="00C67866">
        <w:rPr>
          <w:color w:val="000000" w:themeColor="text1"/>
          <w:shd w:val="clear" w:color="auto" w:fill="FFFFFF"/>
        </w:rPr>
        <w:t xml:space="preserve">prevalence </w:t>
      </w:r>
      <w:r w:rsidR="00B350E2">
        <w:rPr>
          <w:color w:val="000000" w:themeColor="text1"/>
          <w:shd w:val="clear" w:color="auto" w:fill="FFFFFF"/>
        </w:rPr>
        <w:t xml:space="preserve">of </w:t>
      </w:r>
      <w:r w:rsidR="0078022D">
        <w:rPr>
          <w:color w:val="000000" w:themeColor="text1"/>
          <w:shd w:val="clear" w:color="auto" w:fill="FFFFFF"/>
        </w:rPr>
        <w:t xml:space="preserve">urogenital, pharyngeal, and rectal </w:t>
      </w:r>
      <w:r w:rsidR="00B350E2">
        <w:rPr>
          <w:color w:val="000000" w:themeColor="text1"/>
          <w:shd w:val="clear" w:color="auto" w:fill="FFFFFF"/>
        </w:rPr>
        <w:t xml:space="preserve">CT and </w:t>
      </w:r>
      <w:r w:rsidR="00393D52">
        <w:rPr>
          <w:color w:val="000000" w:themeColor="text1"/>
          <w:shd w:val="clear" w:color="auto" w:fill="FFFFFF"/>
        </w:rPr>
        <w:t>NG</w:t>
      </w:r>
      <w:r w:rsidR="00B350E2">
        <w:rPr>
          <w:color w:val="000000" w:themeColor="text1"/>
          <w:shd w:val="clear" w:color="auto" w:fill="FFFFFF"/>
        </w:rPr>
        <w:t xml:space="preserve"> </w:t>
      </w:r>
      <w:r w:rsidR="00937747">
        <w:rPr>
          <w:color w:val="000000" w:themeColor="text1"/>
          <w:shd w:val="clear" w:color="auto" w:fill="FFFFFF"/>
        </w:rPr>
        <w:t xml:space="preserve">in </w:t>
      </w:r>
      <w:r w:rsidR="00B350E2">
        <w:rPr>
          <w:color w:val="000000" w:themeColor="text1"/>
          <w:shd w:val="clear" w:color="auto" w:fill="FFFFFF"/>
        </w:rPr>
        <w:t xml:space="preserve">all STI </w:t>
      </w:r>
      <w:r w:rsidR="00ED1C59">
        <w:rPr>
          <w:color w:val="000000" w:themeColor="text1"/>
          <w:shd w:val="clear" w:color="auto" w:fill="FFFFFF"/>
        </w:rPr>
        <w:t>self-screening</w:t>
      </w:r>
      <w:r w:rsidR="00B350E2">
        <w:rPr>
          <w:color w:val="000000" w:themeColor="text1"/>
          <w:shd w:val="clear" w:color="auto" w:fill="FFFFFF"/>
        </w:rPr>
        <w:t xml:space="preserve"> </w:t>
      </w:r>
      <w:r w:rsidR="00B350E2" w:rsidRPr="0078022D">
        <w:rPr>
          <w:color w:val="000000" w:themeColor="text1"/>
          <w:shd w:val="clear" w:color="auto" w:fill="FFFFFF"/>
        </w:rPr>
        <w:t xml:space="preserve">kits returned to </w:t>
      </w:r>
      <w:r w:rsidR="003E0FEA">
        <w:rPr>
          <w:color w:val="000000" w:themeColor="text1"/>
          <w:shd w:val="clear" w:color="auto" w:fill="FFFFFF"/>
        </w:rPr>
        <w:t>Solent Sexual Health</w:t>
      </w:r>
      <w:r w:rsidR="00552D62">
        <w:rPr>
          <w:color w:val="000000" w:themeColor="text1"/>
          <w:shd w:val="clear" w:color="auto" w:fill="FFFFFF"/>
        </w:rPr>
        <w:t xml:space="preserve"> </w:t>
      </w:r>
      <w:r w:rsidR="003E0FEA">
        <w:rPr>
          <w:color w:val="000000" w:themeColor="text1"/>
          <w:shd w:val="clear" w:color="auto" w:fill="FFFFFF"/>
        </w:rPr>
        <w:t>S</w:t>
      </w:r>
      <w:r w:rsidR="00552D62">
        <w:rPr>
          <w:color w:val="000000" w:themeColor="text1"/>
          <w:shd w:val="clear" w:color="auto" w:fill="FFFFFF"/>
        </w:rPr>
        <w:t>ervice</w:t>
      </w:r>
      <w:r w:rsidR="00B350E2" w:rsidRPr="0078022D">
        <w:rPr>
          <w:color w:val="000000" w:themeColor="text1"/>
          <w:shd w:val="clear" w:color="auto" w:fill="FFFFFF"/>
        </w:rPr>
        <w:t xml:space="preserve"> by asymptomatic</w:t>
      </w:r>
      <w:r w:rsidR="00793BBC">
        <w:rPr>
          <w:color w:val="000000" w:themeColor="text1"/>
          <w:shd w:val="clear" w:color="auto" w:fill="FFFFFF"/>
        </w:rPr>
        <w:t>,</w:t>
      </w:r>
      <w:r w:rsidR="00B350E2" w:rsidRPr="0078022D">
        <w:rPr>
          <w:color w:val="000000" w:themeColor="text1"/>
          <w:shd w:val="clear" w:color="auto" w:fill="FFFFFF"/>
        </w:rPr>
        <w:t xml:space="preserve"> </w:t>
      </w:r>
      <w:r w:rsidR="0034474D">
        <w:rPr>
          <w:color w:val="000000" w:themeColor="text1"/>
          <w:shd w:val="clear" w:color="auto" w:fill="FFFFFF"/>
        </w:rPr>
        <w:t xml:space="preserve">cisgender </w:t>
      </w:r>
      <w:r w:rsidR="00B350E2" w:rsidRPr="0078022D">
        <w:rPr>
          <w:color w:val="000000" w:themeColor="text1"/>
          <w:shd w:val="clear" w:color="auto" w:fill="FFFFFF"/>
        </w:rPr>
        <w:t>MSM over three</w:t>
      </w:r>
      <w:r w:rsidR="00793BBC">
        <w:rPr>
          <w:color w:val="000000" w:themeColor="text1"/>
          <w:shd w:val="clear" w:color="auto" w:fill="FFFFFF"/>
        </w:rPr>
        <w:t xml:space="preserve"> </w:t>
      </w:r>
      <w:r w:rsidR="00B350E2" w:rsidRPr="0078022D">
        <w:rPr>
          <w:color w:val="000000" w:themeColor="text1"/>
          <w:shd w:val="clear" w:color="auto" w:fill="FFFFFF"/>
        </w:rPr>
        <w:t>year</w:t>
      </w:r>
      <w:r w:rsidR="00793BBC">
        <w:rPr>
          <w:color w:val="000000" w:themeColor="text1"/>
          <w:shd w:val="clear" w:color="auto" w:fill="FFFFFF"/>
        </w:rPr>
        <w:t>s</w:t>
      </w:r>
      <w:r w:rsidR="00B350E2" w:rsidRPr="0078022D">
        <w:rPr>
          <w:color w:val="000000" w:themeColor="text1"/>
          <w:shd w:val="clear" w:color="auto" w:fill="FFFFFF"/>
        </w:rPr>
        <w:t xml:space="preserve"> (</w:t>
      </w:r>
      <w:r w:rsidR="00B350E2" w:rsidRPr="0078022D">
        <w:rPr>
          <w:color w:val="000000" w:themeColor="text1"/>
        </w:rPr>
        <w:t>20</w:t>
      </w:r>
      <w:r w:rsidR="00B350E2" w:rsidRPr="001218B1">
        <w:rPr>
          <w:color w:val="000000" w:themeColor="text1"/>
        </w:rPr>
        <w:t>/12/2016</w:t>
      </w:r>
      <w:r w:rsidR="00B350E2">
        <w:rPr>
          <w:color w:val="000000" w:themeColor="text1"/>
        </w:rPr>
        <w:t>-</w:t>
      </w:r>
      <w:r w:rsidR="00B350E2" w:rsidRPr="001218B1">
        <w:rPr>
          <w:color w:val="000000" w:themeColor="text1"/>
        </w:rPr>
        <w:t>31/01/20</w:t>
      </w:r>
      <w:r w:rsidR="00B350E2">
        <w:rPr>
          <w:color w:val="000000" w:themeColor="text1"/>
        </w:rPr>
        <w:t>20)</w:t>
      </w:r>
      <w:r w:rsidR="00B350E2" w:rsidRPr="001218B1">
        <w:rPr>
          <w:color w:val="000000" w:themeColor="text1"/>
        </w:rPr>
        <w:t>.</w:t>
      </w:r>
      <w:r w:rsidR="0078022D">
        <w:rPr>
          <w:color w:val="000000" w:themeColor="text1"/>
        </w:rPr>
        <w:t xml:space="preserve"> </w:t>
      </w:r>
      <w:r w:rsidR="003E0FEA">
        <w:rPr>
          <w:color w:val="000000" w:themeColor="text1"/>
        </w:rPr>
        <w:t>W</w:t>
      </w:r>
      <w:r w:rsidR="0078022D">
        <w:rPr>
          <w:color w:val="000000" w:themeColor="text1"/>
        </w:rPr>
        <w:t xml:space="preserve">e </w:t>
      </w:r>
      <w:r w:rsidR="003E0FEA">
        <w:rPr>
          <w:color w:val="000000" w:themeColor="text1"/>
        </w:rPr>
        <w:t xml:space="preserve">also </w:t>
      </w:r>
      <w:r w:rsidR="0078022D">
        <w:rPr>
          <w:color w:val="000000" w:themeColor="text1"/>
        </w:rPr>
        <w:t>examine</w:t>
      </w:r>
      <w:r w:rsidR="00937747">
        <w:rPr>
          <w:color w:val="000000" w:themeColor="text1"/>
        </w:rPr>
        <w:t>d</w:t>
      </w:r>
      <w:r w:rsidR="0078022D">
        <w:rPr>
          <w:color w:val="000000" w:themeColor="text1"/>
        </w:rPr>
        <w:t xml:space="preserve"> extragenital positivity </w:t>
      </w:r>
      <w:r w:rsidR="001F7DC3">
        <w:rPr>
          <w:color w:val="000000" w:themeColor="text1"/>
        </w:rPr>
        <w:t>amongst</w:t>
      </w:r>
      <w:r w:rsidR="0078022D">
        <w:rPr>
          <w:color w:val="000000" w:themeColor="text1"/>
        </w:rPr>
        <w:t xml:space="preserve"> individuals with negative urine screens to determine what proportion of infection would have been </w:t>
      </w:r>
      <w:r w:rsidR="0099594D">
        <w:rPr>
          <w:color w:val="000000" w:themeColor="text1"/>
        </w:rPr>
        <w:t>missed</w:t>
      </w:r>
      <w:r w:rsidR="0078022D">
        <w:rPr>
          <w:color w:val="000000" w:themeColor="text1"/>
        </w:rPr>
        <w:t xml:space="preserve"> without three-site testing.  </w:t>
      </w:r>
    </w:p>
    <w:p w14:paraId="23AD4AD4" w14:textId="0565D2F2" w:rsidR="00824320" w:rsidRDefault="00824320">
      <w:pPr>
        <w:rPr>
          <w:b/>
          <w:bCs/>
          <w:color w:val="000000" w:themeColor="text1"/>
        </w:rPr>
      </w:pPr>
      <w:r w:rsidRPr="00824320">
        <w:rPr>
          <w:b/>
          <w:bCs/>
          <w:color w:val="000000" w:themeColor="text1"/>
        </w:rPr>
        <w:t>M</w:t>
      </w:r>
      <w:r w:rsidR="007026D1">
        <w:rPr>
          <w:b/>
          <w:bCs/>
          <w:color w:val="000000" w:themeColor="text1"/>
        </w:rPr>
        <w:t>ETHOD</w:t>
      </w:r>
    </w:p>
    <w:p w14:paraId="3D1EA191" w14:textId="77777777" w:rsidR="00824320" w:rsidRDefault="00824320">
      <w:pPr>
        <w:rPr>
          <w:b/>
          <w:bCs/>
          <w:color w:val="000000" w:themeColor="text1"/>
        </w:rPr>
      </w:pPr>
    </w:p>
    <w:p w14:paraId="74BDE1EC" w14:textId="658FC334" w:rsidR="00824320" w:rsidRPr="001C02AD" w:rsidRDefault="00FC30E1" w:rsidP="003E0FEA">
      <w:pPr>
        <w:spacing w:line="480" w:lineRule="auto"/>
        <w:ind w:firstLine="720"/>
        <w:rPr>
          <w:color w:val="000000" w:themeColor="text1"/>
        </w:rPr>
      </w:pPr>
      <w:r>
        <w:rPr>
          <w:color w:val="000000" w:themeColor="text1"/>
        </w:rPr>
        <w:t xml:space="preserve">Data </w:t>
      </w:r>
      <w:r w:rsidR="0030492B">
        <w:rPr>
          <w:color w:val="000000" w:themeColor="text1"/>
        </w:rPr>
        <w:t>we</w:t>
      </w:r>
      <w:r w:rsidR="00594D90">
        <w:rPr>
          <w:color w:val="000000" w:themeColor="text1"/>
        </w:rPr>
        <w:t>re</w:t>
      </w:r>
      <w:r>
        <w:rPr>
          <w:color w:val="000000" w:themeColor="text1"/>
        </w:rPr>
        <w:t xml:space="preserve"> from an NHS database of self-test STI kit results</w:t>
      </w:r>
      <w:r w:rsidR="00AE7832">
        <w:rPr>
          <w:color w:val="000000" w:themeColor="text1"/>
        </w:rPr>
        <w:t xml:space="preserve"> ordered</w:t>
      </w:r>
      <w:r>
        <w:rPr>
          <w:color w:val="000000" w:themeColor="text1"/>
        </w:rPr>
        <w:t xml:space="preserve"> using the </w:t>
      </w:r>
      <w:r w:rsidR="00AE7832">
        <w:rPr>
          <w:color w:val="000000" w:themeColor="text1"/>
        </w:rPr>
        <w:t xml:space="preserve">above </w:t>
      </w:r>
      <w:r>
        <w:rPr>
          <w:color w:val="000000" w:themeColor="text1"/>
        </w:rPr>
        <w:t>website</w:t>
      </w:r>
      <w:r w:rsidR="00036B0D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2E6B6D">
        <w:rPr>
          <w:color w:val="000000" w:themeColor="text1"/>
        </w:rPr>
        <w:t>During the ordering process, a</w:t>
      </w:r>
      <w:r>
        <w:rPr>
          <w:color w:val="000000" w:themeColor="text1"/>
        </w:rPr>
        <w:t xml:space="preserve">nyone who </w:t>
      </w:r>
      <w:r w:rsidR="00036B0D">
        <w:rPr>
          <w:color w:val="000000" w:themeColor="text1"/>
        </w:rPr>
        <w:t>reported</w:t>
      </w:r>
      <w:r>
        <w:rPr>
          <w:color w:val="000000" w:themeColor="text1"/>
        </w:rPr>
        <w:t xml:space="preserve"> current</w:t>
      </w:r>
      <w:r w:rsidR="00DB4B8C">
        <w:rPr>
          <w:color w:val="000000" w:themeColor="text1"/>
        </w:rPr>
        <w:t xml:space="preserve"> STI</w:t>
      </w:r>
      <w:r>
        <w:rPr>
          <w:color w:val="000000" w:themeColor="text1"/>
        </w:rPr>
        <w:t xml:space="preserve"> symptoms</w:t>
      </w:r>
      <w:r w:rsidR="00A35777">
        <w:rPr>
          <w:color w:val="000000" w:themeColor="text1"/>
        </w:rPr>
        <w:t>,</w:t>
      </w:r>
      <w:r w:rsidR="00610641">
        <w:rPr>
          <w:color w:val="000000" w:themeColor="text1"/>
        </w:rPr>
        <w:t xml:space="preserve"> </w:t>
      </w:r>
      <w:r w:rsidR="00A35777">
        <w:rPr>
          <w:color w:val="000000" w:themeColor="text1"/>
        </w:rPr>
        <w:t>being a known contact of someone diagnosed with an STI in the past three months,</w:t>
      </w:r>
      <w:r w:rsidR="00610641">
        <w:rPr>
          <w:color w:val="000000" w:themeColor="text1"/>
        </w:rPr>
        <w:t xml:space="preserve"> recent sex with someone from a country with high HIV prevalence, injection drug use (self or partner), </w:t>
      </w:r>
      <w:r w:rsidR="009D20D1">
        <w:rPr>
          <w:color w:val="000000" w:themeColor="text1"/>
        </w:rPr>
        <w:t xml:space="preserve">transgender identity, </w:t>
      </w:r>
      <w:r w:rsidR="00DF5A72">
        <w:rPr>
          <w:color w:val="000000" w:themeColor="text1"/>
        </w:rPr>
        <w:t>or</w:t>
      </w:r>
      <w:r w:rsidR="00610641">
        <w:rPr>
          <w:color w:val="000000" w:themeColor="text1"/>
        </w:rPr>
        <w:t xml:space="preserve"> transactional sex</w:t>
      </w:r>
      <w:r w:rsidR="00A35777">
        <w:rPr>
          <w:color w:val="000000" w:themeColor="text1"/>
        </w:rPr>
        <w:t xml:space="preserve"> </w:t>
      </w:r>
      <w:r w:rsidR="00036B0D">
        <w:rPr>
          <w:color w:val="000000" w:themeColor="text1"/>
        </w:rPr>
        <w:t xml:space="preserve">was </w:t>
      </w:r>
      <w:r>
        <w:rPr>
          <w:color w:val="000000" w:themeColor="text1"/>
        </w:rPr>
        <w:t>unable to order</w:t>
      </w:r>
      <w:r w:rsidR="00594D90">
        <w:rPr>
          <w:color w:val="000000" w:themeColor="text1"/>
        </w:rPr>
        <w:t xml:space="preserve"> online</w:t>
      </w:r>
      <w:r>
        <w:rPr>
          <w:color w:val="000000" w:themeColor="text1"/>
        </w:rPr>
        <w:t xml:space="preserve"> and </w:t>
      </w:r>
      <w:r w:rsidR="00036B0D">
        <w:rPr>
          <w:color w:val="000000" w:themeColor="text1"/>
        </w:rPr>
        <w:t xml:space="preserve">was </w:t>
      </w:r>
      <w:r>
        <w:rPr>
          <w:color w:val="000000" w:themeColor="text1"/>
        </w:rPr>
        <w:t>referred to in-</w:t>
      </w:r>
      <w:r w:rsidR="00036B0D">
        <w:rPr>
          <w:color w:val="000000" w:themeColor="text1"/>
        </w:rPr>
        <w:t xml:space="preserve">clinic </w:t>
      </w:r>
      <w:r>
        <w:rPr>
          <w:color w:val="000000" w:themeColor="text1"/>
        </w:rPr>
        <w:t xml:space="preserve">testing. </w:t>
      </w:r>
      <w:r w:rsidR="001D715A">
        <w:rPr>
          <w:color w:val="000000" w:themeColor="text1"/>
        </w:rPr>
        <w:t>Self-test kits for cisgender men who report</w:t>
      </w:r>
      <w:r w:rsidR="00036B0D">
        <w:rPr>
          <w:color w:val="000000" w:themeColor="text1"/>
        </w:rPr>
        <w:t>ed</w:t>
      </w:r>
      <w:r w:rsidR="001D715A">
        <w:rPr>
          <w:color w:val="000000" w:themeColor="text1"/>
        </w:rPr>
        <w:t xml:space="preserve"> having at least one male sexual partner include</w:t>
      </w:r>
      <w:r w:rsidR="00036B0D">
        <w:rPr>
          <w:color w:val="000000" w:themeColor="text1"/>
        </w:rPr>
        <w:t>d</w:t>
      </w:r>
      <w:r w:rsidR="001D715A">
        <w:rPr>
          <w:color w:val="000000" w:themeColor="text1"/>
        </w:rPr>
        <w:t xml:space="preserve"> collection material</w:t>
      </w:r>
      <w:r w:rsidR="000D2A72">
        <w:rPr>
          <w:color w:val="000000" w:themeColor="text1"/>
        </w:rPr>
        <w:t xml:space="preserve"> and instructions</w:t>
      </w:r>
      <w:r w:rsidR="001D715A">
        <w:rPr>
          <w:color w:val="000000" w:themeColor="text1"/>
        </w:rPr>
        <w:t xml:space="preserve"> for </w:t>
      </w:r>
      <w:r w:rsidR="00AD2730">
        <w:rPr>
          <w:color w:val="000000" w:themeColor="text1"/>
        </w:rPr>
        <w:t>urine and throat and rectal swabs (</w:t>
      </w:r>
      <w:r w:rsidR="00F47D58">
        <w:rPr>
          <w:color w:val="000000" w:themeColor="text1"/>
        </w:rPr>
        <w:t xml:space="preserve">for </w:t>
      </w:r>
      <w:r w:rsidR="00AD2730">
        <w:rPr>
          <w:color w:val="000000" w:themeColor="text1"/>
        </w:rPr>
        <w:t>CT</w:t>
      </w:r>
      <w:r w:rsidR="00793BBC">
        <w:rPr>
          <w:color w:val="000000" w:themeColor="text1"/>
        </w:rPr>
        <w:t>/</w:t>
      </w:r>
      <w:r w:rsidR="00393D52">
        <w:rPr>
          <w:color w:val="000000" w:themeColor="text1"/>
        </w:rPr>
        <w:t>NG</w:t>
      </w:r>
      <w:r w:rsidR="00AD2730">
        <w:rPr>
          <w:color w:val="000000" w:themeColor="text1"/>
        </w:rPr>
        <w:t>)</w:t>
      </w:r>
      <w:r w:rsidR="00AE7832">
        <w:rPr>
          <w:color w:val="000000" w:themeColor="text1"/>
        </w:rPr>
        <w:t>,</w:t>
      </w:r>
      <w:r w:rsidR="00AD2730">
        <w:rPr>
          <w:color w:val="000000" w:themeColor="text1"/>
        </w:rPr>
        <w:t xml:space="preserve"> </w:t>
      </w:r>
      <w:r w:rsidR="001D715A">
        <w:rPr>
          <w:color w:val="000000" w:themeColor="text1"/>
        </w:rPr>
        <w:t>finger-prick blood samples</w:t>
      </w:r>
      <w:r w:rsidR="00036B0D">
        <w:rPr>
          <w:color w:val="000000" w:themeColor="text1"/>
        </w:rPr>
        <w:t>, and a Freepost envelope</w:t>
      </w:r>
      <w:r w:rsidR="00AD2730">
        <w:rPr>
          <w:color w:val="000000" w:themeColor="text1"/>
        </w:rPr>
        <w:t xml:space="preserve">. </w:t>
      </w:r>
      <w:r w:rsidR="00F8164E">
        <w:rPr>
          <w:color w:val="000000" w:themeColor="text1"/>
        </w:rPr>
        <w:t>Return</w:t>
      </w:r>
      <w:r w:rsidR="00DF5A72">
        <w:rPr>
          <w:color w:val="000000" w:themeColor="text1"/>
        </w:rPr>
        <w:t>ed</w:t>
      </w:r>
      <w:r w:rsidR="00F8164E">
        <w:rPr>
          <w:color w:val="000000" w:themeColor="text1"/>
        </w:rPr>
        <w:t xml:space="preserve"> kits </w:t>
      </w:r>
      <w:r w:rsidR="00036B0D">
        <w:rPr>
          <w:color w:val="000000" w:themeColor="text1"/>
        </w:rPr>
        <w:t>we</w:t>
      </w:r>
      <w:r w:rsidR="00F8164E">
        <w:rPr>
          <w:color w:val="000000" w:themeColor="text1"/>
        </w:rPr>
        <w:t xml:space="preserve">re tested for CT/NG infection with the Aptima Combo 2 Assay Nucleic Acid Amplification Test (NAAT). </w:t>
      </w:r>
      <w:r w:rsidR="00036B0D">
        <w:rPr>
          <w:color w:val="000000" w:themeColor="text1"/>
        </w:rPr>
        <w:lastRenderedPageBreak/>
        <w:t xml:space="preserve">Results were sent </w:t>
      </w:r>
      <w:r w:rsidR="00036B0D" w:rsidRPr="001C02AD">
        <w:rPr>
          <w:color w:val="000000" w:themeColor="text1"/>
        </w:rPr>
        <w:t>approximately seven days later</w:t>
      </w:r>
      <w:r w:rsidR="00036B0D">
        <w:rPr>
          <w:color w:val="000000" w:themeColor="text1"/>
        </w:rPr>
        <w:t xml:space="preserve"> via text message</w:t>
      </w:r>
      <w:r w:rsidR="00036B0D" w:rsidRPr="001C02AD">
        <w:rPr>
          <w:color w:val="000000" w:themeColor="text1"/>
        </w:rPr>
        <w:t>.</w:t>
      </w:r>
      <w:r w:rsidR="00036B0D">
        <w:rPr>
          <w:color w:val="000000" w:themeColor="text1"/>
        </w:rPr>
        <w:t xml:space="preserve"> </w:t>
      </w:r>
      <w:r w:rsidR="00610641">
        <w:rPr>
          <w:color w:val="000000" w:themeColor="text1"/>
        </w:rPr>
        <w:t xml:space="preserve">Study </w:t>
      </w:r>
      <w:r w:rsidR="001C02AD">
        <w:rPr>
          <w:color w:val="000000" w:themeColor="text1"/>
        </w:rPr>
        <w:t xml:space="preserve">procedures were approved by Solent NHS Trust Clinical Governance and the </w:t>
      </w:r>
      <w:r w:rsidR="003E0FEA">
        <w:rPr>
          <w:color w:val="000000" w:themeColor="text1"/>
        </w:rPr>
        <w:t xml:space="preserve">University of Southampton </w:t>
      </w:r>
      <w:r w:rsidR="001C02AD">
        <w:rPr>
          <w:color w:val="000000" w:themeColor="text1"/>
        </w:rPr>
        <w:t xml:space="preserve">research ethics </w:t>
      </w:r>
      <w:r w:rsidR="0030492B">
        <w:rPr>
          <w:color w:val="000000" w:themeColor="text1"/>
        </w:rPr>
        <w:t>committee</w:t>
      </w:r>
      <w:r w:rsidR="001C02AD">
        <w:rPr>
          <w:color w:val="000000" w:themeColor="text1"/>
        </w:rPr>
        <w:t xml:space="preserve">. </w:t>
      </w:r>
    </w:p>
    <w:p w14:paraId="6F956AF8" w14:textId="3BD46916" w:rsidR="001C02AD" w:rsidRPr="007026D1" w:rsidRDefault="001218B1" w:rsidP="001218B1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59053804"/>
      <w:bookmarkStart w:id="1" w:name="_Toc59053932"/>
      <w:bookmarkStart w:id="2" w:name="_Toc60589989"/>
      <w:bookmarkStart w:id="3" w:name="_Toc60590013"/>
      <w:r w:rsidRPr="007026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Data Analysis</w:t>
      </w:r>
    </w:p>
    <w:p w14:paraId="69480E80" w14:textId="1305BF7E" w:rsidR="007C50FA" w:rsidRPr="00722827" w:rsidRDefault="003E0FEA" w:rsidP="00E25E9F">
      <w:pPr>
        <w:spacing w:line="480" w:lineRule="auto"/>
        <w:ind w:firstLine="720"/>
      </w:pPr>
      <w:r>
        <w:t>D</w:t>
      </w:r>
      <w:r w:rsidR="001218B1">
        <w:t xml:space="preserve">ata analysis was conducted on an anonymized dataset containing results from 5601 test kits </w:t>
      </w:r>
      <w:r w:rsidR="005A590C">
        <w:t>from asymptomatic, cisgender men who reported male sexual partners</w:t>
      </w:r>
      <w:r w:rsidR="001218B1" w:rsidRPr="001218B1">
        <w:rPr>
          <w:color w:val="000000" w:themeColor="text1"/>
        </w:rPr>
        <w:t xml:space="preserve">. </w:t>
      </w:r>
      <w:r w:rsidR="005A590C">
        <w:t>Urine, throat, and rectal CT and NG t</w:t>
      </w:r>
      <w:r w:rsidR="001218B1">
        <w:t>est results were coded to identify positive, negative, and failed, invalid</w:t>
      </w:r>
      <w:r w:rsidR="00DB4B8C">
        <w:t>,</w:t>
      </w:r>
      <w:r w:rsidR="001218B1">
        <w:t xml:space="preserve"> or inconclusive results. Descriptive statistics were performed</w:t>
      </w:r>
      <w:r w:rsidR="005A590C">
        <w:t xml:space="preserve"> using SPSS</w:t>
      </w:r>
      <w:r w:rsidR="001218B1">
        <w:t xml:space="preserve"> to determine </w:t>
      </w:r>
      <w:r w:rsidR="0020077A">
        <w:t>prevalence of</w:t>
      </w:r>
      <w:r w:rsidR="00722827">
        <w:t xml:space="preserve"> CT and </w:t>
      </w:r>
      <w:r w:rsidR="00393D52">
        <w:t>NG</w:t>
      </w:r>
      <w:r w:rsidR="00722827">
        <w:t xml:space="preserve"> </w:t>
      </w:r>
      <w:r w:rsidR="001218B1">
        <w:t xml:space="preserve">at each testing site. </w:t>
      </w:r>
      <w:r w:rsidR="001F7DC3">
        <w:t>Amongst</w:t>
      </w:r>
      <w:r w:rsidR="00722827">
        <w:t xml:space="preserve"> those</w:t>
      </w:r>
      <w:r w:rsidR="005A590C">
        <w:t xml:space="preserve"> with a positive </w:t>
      </w:r>
      <w:r w:rsidR="00BD1A03">
        <w:t>diagnosis who had</w:t>
      </w:r>
      <w:r w:rsidR="00722827">
        <w:t xml:space="preserve"> valid tests at all three sites, comparisons were made using Chi-squared analysis between extragenital positivity only vs. urine positivity (with or without extragenital positivity). </w:t>
      </w:r>
      <w:bookmarkEnd w:id="0"/>
      <w:bookmarkEnd w:id="1"/>
      <w:bookmarkEnd w:id="2"/>
      <w:bookmarkEnd w:id="3"/>
    </w:p>
    <w:p w14:paraId="0A2B23DA" w14:textId="616E2FC1" w:rsidR="007C50FA" w:rsidRPr="007C50FA" w:rsidRDefault="007C50FA" w:rsidP="00824320">
      <w:pPr>
        <w:spacing w:line="480" w:lineRule="auto"/>
        <w:rPr>
          <w:rFonts w:eastAsiaTheme="majorEastAsia"/>
          <w:b/>
          <w:bCs/>
          <w:color w:val="000000" w:themeColor="text1"/>
        </w:rPr>
      </w:pPr>
      <w:r w:rsidRPr="007C50FA">
        <w:rPr>
          <w:b/>
          <w:bCs/>
          <w:color w:val="000000" w:themeColor="text1"/>
        </w:rPr>
        <w:t>R</w:t>
      </w:r>
      <w:r w:rsidR="007026D1">
        <w:rPr>
          <w:b/>
          <w:bCs/>
          <w:color w:val="000000" w:themeColor="text1"/>
        </w:rPr>
        <w:t>ESULTS</w:t>
      </w:r>
    </w:p>
    <w:p w14:paraId="65351C77" w14:textId="2CC51E2E" w:rsidR="007C50FA" w:rsidRDefault="000746F4" w:rsidP="00DF0F8A">
      <w:pPr>
        <w:spacing w:line="480" w:lineRule="auto"/>
        <w:ind w:firstLine="720"/>
        <w:rPr>
          <w:color w:val="000000" w:themeColor="text1"/>
        </w:rPr>
      </w:pPr>
      <w:r>
        <w:rPr>
          <w:color w:val="000000" w:themeColor="text1"/>
        </w:rPr>
        <w:t>Of</w:t>
      </w:r>
      <w:r w:rsidR="00C02CF7">
        <w:rPr>
          <w:color w:val="000000" w:themeColor="text1"/>
        </w:rPr>
        <w:t xml:space="preserve"> </w:t>
      </w:r>
      <w:r w:rsidR="005A590C">
        <w:rPr>
          <w:color w:val="000000" w:themeColor="text1"/>
        </w:rPr>
        <w:t xml:space="preserve">5061 </w:t>
      </w:r>
      <w:r w:rsidR="00C02CF7">
        <w:rPr>
          <w:color w:val="000000" w:themeColor="text1"/>
        </w:rPr>
        <w:t>returned kits</w:t>
      </w:r>
      <w:r w:rsidR="00B52504">
        <w:rPr>
          <w:color w:val="000000" w:themeColor="text1"/>
        </w:rPr>
        <w:t>,</w:t>
      </w:r>
      <w:r w:rsidR="00C85ED1">
        <w:rPr>
          <w:color w:val="000000" w:themeColor="text1"/>
        </w:rPr>
        <w:t xml:space="preserve"> 5051 </w:t>
      </w:r>
      <w:r w:rsidR="00B52504">
        <w:rPr>
          <w:color w:val="000000" w:themeColor="text1"/>
        </w:rPr>
        <w:t xml:space="preserve">had </w:t>
      </w:r>
      <w:r w:rsidR="00C02CF7">
        <w:rPr>
          <w:color w:val="000000" w:themeColor="text1"/>
        </w:rPr>
        <w:t xml:space="preserve">valid </w:t>
      </w:r>
      <w:r w:rsidR="00C85ED1">
        <w:rPr>
          <w:color w:val="000000" w:themeColor="text1"/>
        </w:rPr>
        <w:t xml:space="preserve">samples at all sites for CT and 5040 </w:t>
      </w:r>
      <w:r w:rsidR="00B52504">
        <w:rPr>
          <w:color w:val="000000" w:themeColor="text1"/>
        </w:rPr>
        <w:t xml:space="preserve">had </w:t>
      </w:r>
      <w:r w:rsidR="00C85ED1">
        <w:rPr>
          <w:color w:val="000000" w:themeColor="text1"/>
        </w:rPr>
        <w:t xml:space="preserve">valid samples at all sites for </w:t>
      </w:r>
      <w:r w:rsidR="00393D52">
        <w:rPr>
          <w:color w:val="000000" w:themeColor="text1"/>
        </w:rPr>
        <w:t>NG</w:t>
      </w:r>
      <w:r w:rsidR="00C1791E">
        <w:rPr>
          <w:color w:val="000000" w:themeColor="text1"/>
        </w:rPr>
        <w:t xml:space="preserve"> </w:t>
      </w:r>
      <w:r w:rsidR="00D8797A">
        <w:rPr>
          <w:color w:val="000000" w:themeColor="text1"/>
        </w:rPr>
        <w:t xml:space="preserve">(most invalid samples were because the sample for a specific site </w:t>
      </w:r>
      <w:r w:rsidR="00DF0F8A">
        <w:rPr>
          <w:color w:val="000000" w:themeColor="text1"/>
        </w:rPr>
        <w:t>was</w:t>
      </w:r>
      <w:r w:rsidR="00D8797A">
        <w:rPr>
          <w:color w:val="000000" w:themeColor="text1"/>
        </w:rPr>
        <w:t xml:space="preserve"> not returned). Sample age range was</w:t>
      </w:r>
      <w:r w:rsidR="005A590C" w:rsidRPr="00A602D3">
        <w:rPr>
          <w:color w:val="000000" w:themeColor="text1"/>
        </w:rPr>
        <w:t xml:space="preserve"> 15</w:t>
      </w:r>
      <w:r w:rsidR="00D8797A">
        <w:rPr>
          <w:color w:val="000000" w:themeColor="text1"/>
        </w:rPr>
        <w:t>-</w:t>
      </w:r>
      <w:r w:rsidR="005A590C" w:rsidRPr="00A602D3">
        <w:rPr>
          <w:color w:val="000000" w:themeColor="text1"/>
        </w:rPr>
        <w:t>91 years old (Mean=30.</w:t>
      </w:r>
      <w:r w:rsidR="005A590C">
        <w:rPr>
          <w:color w:val="000000" w:themeColor="text1"/>
        </w:rPr>
        <w:t>7</w:t>
      </w:r>
      <w:r w:rsidR="005A590C" w:rsidRPr="00A602D3">
        <w:rPr>
          <w:color w:val="000000" w:themeColor="text1"/>
        </w:rPr>
        <w:t>, Median=27</w:t>
      </w:r>
      <w:r w:rsidR="005A590C">
        <w:rPr>
          <w:color w:val="000000" w:themeColor="text1"/>
        </w:rPr>
        <w:t>.0</w:t>
      </w:r>
      <w:r w:rsidR="005A590C" w:rsidRPr="00A602D3">
        <w:rPr>
          <w:color w:val="000000" w:themeColor="text1"/>
        </w:rPr>
        <w:t>, SD=11.0).</w:t>
      </w:r>
    </w:p>
    <w:p w14:paraId="26E86B2A" w14:textId="664C965D" w:rsidR="00CF6691" w:rsidRDefault="00CF6691" w:rsidP="005C7CEC">
      <w:pPr>
        <w:spacing w:line="480" w:lineRule="auto"/>
        <w:ind w:firstLine="7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20077A">
        <w:rPr>
          <w:color w:val="000000" w:themeColor="text1"/>
        </w:rPr>
        <w:t>prevalence</w:t>
      </w:r>
      <w:r w:rsidR="00C85ED1">
        <w:rPr>
          <w:color w:val="000000" w:themeColor="text1"/>
        </w:rPr>
        <w:t xml:space="preserve"> of </w:t>
      </w:r>
      <w:r w:rsidR="00C1791E">
        <w:rPr>
          <w:color w:val="000000" w:themeColor="text1"/>
        </w:rPr>
        <w:t xml:space="preserve">asymptomatic </w:t>
      </w:r>
      <w:r>
        <w:rPr>
          <w:color w:val="000000" w:themeColor="text1"/>
        </w:rPr>
        <w:t>CT across all s</w:t>
      </w:r>
      <w:r w:rsidR="005A590C">
        <w:rPr>
          <w:color w:val="000000" w:themeColor="text1"/>
        </w:rPr>
        <w:t>ites</w:t>
      </w:r>
      <w:r>
        <w:rPr>
          <w:color w:val="000000" w:themeColor="text1"/>
        </w:rPr>
        <w:t xml:space="preserve"> was 5.9% (298/5051). </w:t>
      </w:r>
      <w:r w:rsidR="00C1791E">
        <w:rPr>
          <w:color w:val="000000" w:themeColor="text1"/>
        </w:rPr>
        <w:t>T</w:t>
      </w:r>
      <w:r>
        <w:rPr>
          <w:color w:val="000000" w:themeColor="text1"/>
        </w:rPr>
        <w:t>he most common infection site was the rectum (215/5051, 4.26%), followed by</w:t>
      </w:r>
      <w:r w:rsidR="00511F09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ur</w:t>
      </w:r>
      <w:r w:rsidR="00511F09">
        <w:rPr>
          <w:color w:val="000000" w:themeColor="text1"/>
        </w:rPr>
        <w:t>ethra (</w:t>
      </w:r>
      <w:r>
        <w:rPr>
          <w:color w:val="000000" w:themeColor="text1"/>
        </w:rPr>
        <w:t>84/5051, 1.66%), and throat (44/5051, 0.87%)</w:t>
      </w:r>
      <w:r w:rsidR="0030492B">
        <w:rPr>
          <w:color w:val="000000" w:themeColor="text1"/>
        </w:rPr>
        <w:t xml:space="preserve"> (</w:t>
      </w:r>
      <w:r w:rsidR="005B50C0">
        <w:rPr>
          <w:color w:val="000000" w:themeColor="text1"/>
        </w:rPr>
        <w:t>See Table 1</w:t>
      </w:r>
      <w:r w:rsidR="0030492B">
        <w:rPr>
          <w:color w:val="000000" w:themeColor="text1"/>
        </w:rPr>
        <w:t>)</w:t>
      </w:r>
      <w:r w:rsidR="005B50C0">
        <w:rPr>
          <w:color w:val="000000" w:themeColor="text1"/>
        </w:rPr>
        <w:t>.</w:t>
      </w:r>
      <w:r>
        <w:rPr>
          <w:color w:val="000000" w:themeColor="text1"/>
        </w:rPr>
        <w:t xml:space="preserve"> 256 </w:t>
      </w:r>
      <w:r w:rsidR="00C1791E">
        <w:rPr>
          <w:color w:val="000000" w:themeColor="text1"/>
        </w:rPr>
        <w:t xml:space="preserve">individuals </w:t>
      </w:r>
      <w:r>
        <w:rPr>
          <w:color w:val="000000" w:themeColor="text1"/>
        </w:rPr>
        <w:t>demonstrated single site infection</w:t>
      </w:r>
      <w:r w:rsidR="00180F07">
        <w:rPr>
          <w:color w:val="000000" w:themeColor="text1"/>
        </w:rPr>
        <w:t xml:space="preserve"> (174 rectum, 59 </w:t>
      </w:r>
      <w:proofErr w:type="gramStart"/>
      <w:r w:rsidR="00180F07">
        <w:rPr>
          <w:color w:val="000000" w:themeColor="text1"/>
        </w:rPr>
        <w:t>urine</w:t>
      </w:r>
      <w:proofErr w:type="gramEnd"/>
      <w:r w:rsidR="00180F07">
        <w:rPr>
          <w:color w:val="000000" w:themeColor="text1"/>
        </w:rPr>
        <w:t xml:space="preserve">, 23 throat), 39 two-site co-infection (21 rectum/urine, 17 throat/rectum, 1 throat/urine), and 3 three-site co-infection (rectum/throat/urine). </w:t>
      </w:r>
      <w:r w:rsidR="00C1791E">
        <w:rPr>
          <w:color w:val="000000" w:themeColor="text1"/>
        </w:rPr>
        <w:t>Most</w:t>
      </w:r>
      <w:r>
        <w:rPr>
          <w:color w:val="000000" w:themeColor="text1"/>
        </w:rPr>
        <w:t xml:space="preserve"> </w:t>
      </w:r>
      <w:r w:rsidR="00C1791E">
        <w:rPr>
          <w:color w:val="000000" w:themeColor="text1"/>
        </w:rPr>
        <w:t xml:space="preserve">asymptomatic </w:t>
      </w:r>
      <w:r w:rsidR="005C7CEC">
        <w:rPr>
          <w:color w:val="000000" w:themeColor="text1"/>
        </w:rPr>
        <w:t xml:space="preserve">CT </w:t>
      </w:r>
      <w:r>
        <w:rPr>
          <w:color w:val="000000" w:themeColor="text1"/>
        </w:rPr>
        <w:t xml:space="preserve">infections </w:t>
      </w:r>
      <w:r w:rsidR="00C1791E">
        <w:rPr>
          <w:color w:val="000000" w:themeColor="text1"/>
        </w:rPr>
        <w:t xml:space="preserve">were </w:t>
      </w:r>
      <w:r>
        <w:rPr>
          <w:color w:val="000000" w:themeColor="text1"/>
        </w:rPr>
        <w:t>extragenital only</w:t>
      </w:r>
      <w:r w:rsidR="005C7CEC">
        <w:rPr>
          <w:color w:val="000000" w:themeColor="text1"/>
        </w:rPr>
        <w:t xml:space="preserve"> (214/298, 71.8%)</w:t>
      </w:r>
      <w:r w:rsidR="00C1791E">
        <w:rPr>
          <w:color w:val="000000" w:themeColor="text1"/>
        </w:rPr>
        <w:t xml:space="preserve"> and they </w:t>
      </w:r>
      <w:r w:rsidRPr="00ED17E9">
        <w:rPr>
          <w:color w:val="000000" w:themeColor="text1"/>
        </w:rPr>
        <w:t xml:space="preserve">were significantly more likely </w:t>
      </w:r>
      <w:r w:rsidR="00F76F9B">
        <w:rPr>
          <w:color w:val="000000" w:themeColor="text1"/>
        </w:rPr>
        <w:t xml:space="preserve">to be </w:t>
      </w:r>
      <w:r w:rsidRPr="00ED17E9">
        <w:rPr>
          <w:color w:val="000000" w:themeColor="text1"/>
        </w:rPr>
        <w:t>extragenita</w:t>
      </w:r>
      <w:r w:rsidR="00C1791E">
        <w:rPr>
          <w:color w:val="000000" w:themeColor="text1"/>
        </w:rPr>
        <w:t>l only as compared</w:t>
      </w:r>
      <w:r w:rsidR="00180F07">
        <w:rPr>
          <w:color w:val="000000" w:themeColor="text1"/>
        </w:rPr>
        <w:t xml:space="preserve"> to </w:t>
      </w:r>
      <w:r w:rsidR="00F76F9B">
        <w:rPr>
          <w:color w:val="000000" w:themeColor="text1"/>
        </w:rPr>
        <w:t xml:space="preserve">in </w:t>
      </w:r>
      <w:r w:rsidR="005C7CEC">
        <w:rPr>
          <w:color w:val="000000" w:themeColor="text1"/>
        </w:rPr>
        <w:t>the urogenital tract</w:t>
      </w:r>
      <w:r w:rsidR="00180F07">
        <w:rPr>
          <w:color w:val="000000" w:themeColor="text1"/>
        </w:rPr>
        <w:t xml:space="preserve"> (with or without co-infection)</w:t>
      </w:r>
      <w:r w:rsidRPr="00ED17E9">
        <w:rPr>
          <w:color w:val="000000" w:themeColor="text1"/>
        </w:rPr>
        <w:t xml:space="preserve">, </w:t>
      </w:r>
      <w:r w:rsidRPr="00ED17E9">
        <w:rPr>
          <w:i/>
          <w:iCs/>
          <w:color w:val="000000" w:themeColor="text1"/>
        </w:rPr>
        <w:sym w:font="Symbol" w:char="F043"/>
      </w:r>
      <w:r w:rsidRPr="00ED17E9">
        <w:rPr>
          <w:color w:val="000000" w:themeColor="text1"/>
          <w:vertAlign w:val="superscript"/>
        </w:rPr>
        <w:t xml:space="preserve">2 </w:t>
      </w:r>
      <w:r w:rsidRPr="00ED17E9">
        <w:rPr>
          <w:color w:val="000000" w:themeColor="text1"/>
        </w:rPr>
        <w:t xml:space="preserve">(1, </w:t>
      </w:r>
      <w:r w:rsidRPr="00ED17E9">
        <w:rPr>
          <w:i/>
          <w:iCs/>
          <w:color w:val="000000" w:themeColor="text1"/>
        </w:rPr>
        <w:t>N</w:t>
      </w:r>
      <w:r w:rsidRPr="00ED17E9">
        <w:rPr>
          <w:color w:val="000000" w:themeColor="text1"/>
        </w:rPr>
        <w:t xml:space="preserve">= 298) =56.71, </w:t>
      </w:r>
      <w:r w:rsidRPr="00ED17E9">
        <w:rPr>
          <w:i/>
          <w:iCs/>
          <w:color w:val="000000" w:themeColor="text1"/>
        </w:rPr>
        <w:t>p</w:t>
      </w:r>
      <w:r w:rsidRPr="00ED17E9">
        <w:rPr>
          <w:color w:val="000000" w:themeColor="text1"/>
        </w:rPr>
        <w:t xml:space="preserve">&lt;0.001. </w:t>
      </w:r>
    </w:p>
    <w:p w14:paraId="5A80DE78" w14:textId="3F786BEF" w:rsidR="00EF0226" w:rsidRPr="009B1B5A" w:rsidRDefault="005C7CEC" w:rsidP="00EF0226">
      <w:pPr>
        <w:spacing w:line="480" w:lineRule="auto"/>
        <w:ind w:firstLine="720"/>
        <w:rPr>
          <w:color w:val="7030A0"/>
        </w:rPr>
      </w:pPr>
      <w:r>
        <w:rPr>
          <w:color w:val="000000" w:themeColor="text1"/>
        </w:rPr>
        <w:lastRenderedPageBreak/>
        <w:t xml:space="preserve">The </w:t>
      </w:r>
      <w:r w:rsidR="0020077A">
        <w:rPr>
          <w:color w:val="000000" w:themeColor="text1"/>
        </w:rPr>
        <w:t>prevalence</w:t>
      </w:r>
      <w:r>
        <w:rPr>
          <w:color w:val="000000" w:themeColor="text1"/>
        </w:rPr>
        <w:t xml:space="preserve"> of </w:t>
      </w:r>
      <w:r w:rsidR="00C1791E">
        <w:rPr>
          <w:color w:val="000000" w:themeColor="text1"/>
        </w:rPr>
        <w:t xml:space="preserve">asymptomatic </w:t>
      </w:r>
      <w:r w:rsidR="00393D52">
        <w:rPr>
          <w:color w:val="000000" w:themeColor="text1"/>
        </w:rPr>
        <w:t>NG</w:t>
      </w:r>
      <w:r>
        <w:rPr>
          <w:color w:val="000000" w:themeColor="text1"/>
        </w:rPr>
        <w:t xml:space="preserve"> across all s</w:t>
      </w:r>
      <w:r w:rsidR="005A590C">
        <w:rPr>
          <w:color w:val="000000" w:themeColor="text1"/>
        </w:rPr>
        <w:t>ites</w:t>
      </w:r>
      <w:r>
        <w:rPr>
          <w:color w:val="000000" w:themeColor="text1"/>
        </w:rPr>
        <w:t xml:space="preserve"> was 4.5% (228/5040). </w:t>
      </w:r>
      <w:r w:rsidR="00C1791E">
        <w:rPr>
          <w:color w:val="000000" w:themeColor="text1"/>
        </w:rPr>
        <w:t>T</w:t>
      </w:r>
      <w:r w:rsidRPr="00F455B5">
        <w:rPr>
          <w:color w:val="000000" w:themeColor="text1"/>
        </w:rPr>
        <w:t xml:space="preserve">he most common infection site was the </w:t>
      </w:r>
      <w:r w:rsidR="00F455B5" w:rsidRPr="00F455B5">
        <w:rPr>
          <w:color w:val="000000" w:themeColor="text1"/>
        </w:rPr>
        <w:t>throat</w:t>
      </w:r>
      <w:r w:rsidRPr="00F455B5">
        <w:rPr>
          <w:color w:val="000000" w:themeColor="text1"/>
        </w:rPr>
        <w:t xml:space="preserve"> (</w:t>
      </w:r>
      <w:r w:rsidR="00F455B5" w:rsidRPr="00F455B5">
        <w:rPr>
          <w:color w:val="000000" w:themeColor="text1"/>
        </w:rPr>
        <w:t>143</w:t>
      </w:r>
      <w:r w:rsidRPr="00F455B5">
        <w:rPr>
          <w:color w:val="000000" w:themeColor="text1"/>
        </w:rPr>
        <w:t>/50</w:t>
      </w:r>
      <w:r w:rsidR="00F455B5" w:rsidRPr="00F455B5">
        <w:rPr>
          <w:color w:val="000000" w:themeColor="text1"/>
        </w:rPr>
        <w:t>40</w:t>
      </w:r>
      <w:r w:rsidRPr="00F455B5">
        <w:rPr>
          <w:color w:val="000000" w:themeColor="text1"/>
        </w:rPr>
        <w:t xml:space="preserve">, </w:t>
      </w:r>
      <w:r w:rsidR="00F455B5" w:rsidRPr="00F455B5">
        <w:rPr>
          <w:color w:val="000000" w:themeColor="text1"/>
        </w:rPr>
        <w:t>2</w:t>
      </w:r>
      <w:r w:rsidRPr="00F455B5">
        <w:rPr>
          <w:color w:val="000000" w:themeColor="text1"/>
        </w:rPr>
        <w:t>.</w:t>
      </w:r>
      <w:r w:rsidR="00F455B5" w:rsidRPr="00F455B5">
        <w:rPr>
          <w:color w:val="000000" w:themeColor="text1"/>
        </w:rPr>
        <w:t>83</w:t>
      </w:r>
      <w:r w:rsidRPr="00F455B5">
        <w:rPr>
          <w:color w:val="000000" w:themeColor="text1"/>
        </w:rPr>
        <w:t xml:space="preserve">%), followed by </w:t>
      </w:r>
      <w:r w:rsidR="00F455B5" w:rsidRPr="00F455B5">
        <w:rPr>
          <w:color w:val="000000" w:themeColor="text1"/>
        </w:rPr>
        <w:t>the rectum</w:t>
      </w:r>
      <w:r w:rsidRPr="00F455B5">
        <w:rPr>
          <w:color w:val="000000" w:themeColor="text1"/>
        </w:rPr>
        <w:t xml:space="preserve"> (</w:t>
      </w:r>
      <w:r w:rsidR="00F455B5" w:rsidRPr="00F455B5">
        <w:rPr>
          <w:color w:val="000000" w:themeColor="text1"/>
        </w:rPr>
        <w:t>113</w:t>
      </w:r>
      <w:r w:rsidRPr="00F455B5">
        <w:rPr>
          <w:color w:val="000000" w:themeColor="text1"/>
        </w:rPr>
        <w:t>/50</w:t>
      </w:r>
      <w:r w:rsidR="00F455B5" w:rsidRPr="00F455B5">
        <w:rPr>
          <w:color w:val="000000" w:themeColor="text1"/>
        </w:rPr>
        <w:t>40</w:t>
      </w:r>
      <w:r w:rsidRPr="00F455B5">
        <w:rPr>
          <w:color w:val="000000" w:themeColor="text1"/>
        </w:rPr>
        <w:t xml:space="preserve">, </w:t>
      </w:r>
      <w:r w:rsidR="00F455B5" w:rsidRPr="00F455B5">
        <w:rPr>
          <w:color w:val="000000" w:themeColor="text1"/>
        </w:rPr>
        <w:t>2</w:t>
      </w:r>
      <w:r w:rsidRPr="00F455B5">
        <w:rPr>
          <w:color w:val="000000" w:themeColor="text1"/>
        </w:rPr>
        <w:t>.</w:t>
      </w:r>
      <w:r w:rsidR="00F455B5" w:rsidRPr="00F455B5">
        <w:rPr>
          <w:color w:val="000000" w:themeColor="text1"/>
        </w:rPr>
        <w:t>24</w:t>
      </w:r>
      <w:r w:rsidRPr="00F455B5">
        <w:rPr>
          <w:color w:val="000000" w:themeColor="text1"/>
        </w:rPr>
        <w:t xml:space="preserve">%), and </w:t>
      </w:r>
      <w:r w:rsidR="00AE7832">
        <w:rPr>
          <w:color w:val="000000" w:themeColor="text1"/>
        </w:rPr>
        <w:t>urethra</w:t>
      </w:r>
      <w:r w:rsidR="00AE7832" w:rsidRPr="00F455B5">
        <w:rPr>
          <w:color w:val="000000" w:themeColor="text1"/>
        </w:rPr>
        <w:t xml:space="preserve"> </w:t>
      </w:r>
      <w:r w:rsidRPr="00F455B5">
        <w:rPr>
          <w:color w:val="000000" w:themeColor="text1"/>
        </w:rPr>
        <w:t>(</w:t>
      </w:r>
      <w:r w:rsidR="00F455B5" w:rsidRPr="00F455B5">
        <w:rPr>
          <w:color w:val="000000" w:themeColor="text1"/>
        </w:rPr>
        <w:t>23</w:t>
      </w:r>
      <w:r w:rsidRPr="00F455B5">
        <w:rPr>
          <w:color w:val="000000" w:themeColor="text1"/>
        </w:rPr>
        <w:t>/50</w:t>
      </w:r>
      <w:r w:rsidR="00F455B5" w:rsidRPr="00F455B5">
        <w:rPr>
          <w:color w:val="000000" w:themeColor="text1"/>
        </w:rPr>
        <w:t>40</w:t>
      </w:r>
      <w:r w:rsidRPr="00F455B5">
        <w:rPr>
          <w:color w:val="000000" w:themeColor="text1"/>
        </w:rPr>
        <w:t>, 0.</w:t>
      </w:r>
      <w:r w:rsidR="00F455B5" w:rsidRPr="00F455B5">
        <w:rPr>
          <w:color w:val="000000" w:themeColor="text1"/>
        </w:rPr>
        <w:t>46</w:t>
      </w:r>
      <w:r w:rsidRPr="00F455B5">
        <w:rPr>
          <w:color w:val="000000" w:themeColor="text1"/>
        </w:rPr>
        <w:t>%)</w:t>
      </w:r>
      <w:r w:rsidR="0030492B">
        <w:rPr>
          <w:color w:val="000000" w:themeColor="text1"/>
        </w:rPr>
        <w:t xml:space="preserve"> (</w:t>
      </w:r>
      <w:r w:rsidR="005B50C0">
        <w:rPr>
          <w:color w:val="000000" w:themeColor="text1"/>
        </w:rPr>
        <w:t>See Table 1</w:t>
      </w:r>
      <w:r w:rsidR="0030492B">
        <w:rPr>
          <w:color w:val="000000" w:themeColor="text1"/>
        </w:rPr>
        <w:t>)</w:t>
      </w:r>
      <w:r w:rsidR="005B50C0">
        <w:rPr>
          <w:color w:val="000000" w:themeColor="text1"/>
        </w:rPr>
        <w:t xml:space="preserve">. </w:t>
      </w:r>
      <w:r w:rsidR="00247F65" w:rsidRPr="00247F65">
        <w:rPr>
          <w:color w:val="000000" w:themeColor="text1"/>
        </w:rPr>
        <w:t>183</w:t>
      </w:r>
      <w:r w:rsidRPr="00247F65">
        <w:rPr>
          <w:color w:val="000000" w:themeColor="text1"/>
        </w:rPr>
        <w:t xml:space="preserve"> </w:t>
      </w:r>
      <w:r w:rsidR="00C1791E">
        <w:rPr>
          <w:color w:val="000000" w:themeColor="text1"/>
        </w:rPr>
        <w:t>individuals</w:t>
      </w:r>
      <w:r w:rsidR="00F76F9B">
        <w:rPr>
          <w:color w:val="000000" w:themeColor="text1"/>
        </w:rPr>
        <w:t xml:space="preserve"> </w:t>
      </w:r>
      <w:r w:rsidRPr="00247F65">
        <w:rPr>
          <w:color w:val="000000" w:themeColor="text1"/>
        </w:rPr>
        <w:t>demonstrated single site infection (1</w:t>
      </w:r>
      <w:r w:rsidR="00247F65" w:rsidRPr="00247F65">
        <w:rPr>
          <w:color w:val="000000" w:themeColor="text1"/>
        </w:rPr>
        <w:t>00</w:t>
      </w:r>
      <w:r w:rsidRPr="00247F65">
        <w:rPr>
          <w:color w:val="000000" w:themeColor="text1"/>
        </w:rPr>
        <w:t xml:space="preserve"> </w:t>
      </w:r>
      <w:r w:rsidR="00247F65" w:rsidRPr="00247F65">
        <w:rPr>
          <w:color w:val="000000" w:themeColor="text1"/>
        </w:rPr>
        <w:t>throat</w:t>
      </w:r>
      <w:r w:rsidRPr="00247F65">
        <w:rPr>
          <w:color w:val="000000" w:themeColor="text1"/>
        </w:rPr>
        <w:t xml:space="preserve">, </w:t>
      </w:r>
      <w:r w:rsidR="00247F65" w:rsidRPr="00247F65">
        <w:rPr>
          <w:color w:val="000000" w:themeColor="text1"/>
        </w:rPr>
        <w:t xml:space="preserve">74 </w:t>
      </w:r>
      <w:proofErr w:type="gramStart"/>
      <w:r w:rsidR="00247F65" w:rsidRPr="00247F65">
        <w:rPr>
          <w:color w:val="000000" w:themeColor="text1"/>
        </w:rPr>
        <w:t>rectum</w:t>
      </w:r>
      <w:proofErr w:type="gramEnd"/>
      <w:r w:rsidR="00247F65" w:rsidRPr="00247F65">
        <w:rPr>
          <w:color w:val="000000" w:themeColor="text1"/>
        </w:rPr>
        <w:t xml:space="preserve">, </w:t>
      </w:r>
      <w:r w:rsidRPr="00247F65">
        <w:rPr>
          <w:color w:val="000000" w:themeColor="text1"/>
        </w:rPr>
        <w:t>9 urine), 39 two-site co-infection (</w:t>
      </w:r>
      <w:r w:rsidR="00247F65" w:rsidRPr="00247F65">
        <w:rPr>
          <w:color w:val="000000" w:themeColor="text1"/>
        </w:rPr>
        <w:t>3</w:t>
      </w:r>
      <w:r w:rsidRPr="00247F65">
        <w:rPr>
          <w:color w:val="000000" w:themeColor="text1"/>
        </w:rPr>
        <w:t xml:space="preserve">1 </w:t>
      </w:r>
      <w:r w:rsidR="00247F65" w:rsidRPr="00247F65">
        <w:rPr>
          <w:color w:val="000000" w:themeColor="text1"/>
        </w:rPr>
        <w:t>throat/</w:t>
      </w:r>
      <w:r w:rsidRPr="00247F65">
        <w:rPr>
          <w:color w:val="000000" w:themeColor="text1"/>
        </w:rPr>
        <w:t xml:space="preserve">rectum, </w:t>
      </w:r>
      <w:r w:rsidR="00247F65" w:rsidRPr="00247F65">
        <w:rPr>
          <w:color w:val="000000" w:themeColor="text1"/>
        </w:rPr>
        <w:t>6</w:t>
      </w:r>
      <w:r w:rsidRPr="00247F65">
        <w:rPr>
          <w:color w:val="000000" w:themeColor="text1"/>
        </w:rPr>
        <w:t xml:space="preserve"> throat/</w:t>
      </w:r>
      <w:r w:rsidR="00247F65" w:rsidRPr="00247F65">
        <w:rPr>
          <w:color w:val="000000" w:themeColor="text1"/>
        </w:rPr>
        <w:t>urine</w:t>
      </w:r>
      <w:r w:rsidRPr="00247F65">
        <w:rPr>
          <w:color w:val="000000" w:themeColor="text1"/>
        </w:rPr>
        <w:t xml:space="preserve">, </w:t>
      </w:r>
      <w:r w:rsidR="00247F65" w:rsidRPr="00247F65">
        <w:rPr>
          <w:color w:val="000000" w:themeColor="text1"/>
        </w:rPr>
        <w:t>2</w:t>
      </w:r>
      <w:r w:rsidRPr="00247F65">
        <w:rPr>
          <w:color w:val="000000" w:themeColor="text1"/>
        </w:rPr>
        <w:t xml:space="preserve"> </w:t>
      </w:r>
      <w:r w:rsidR="00247F65" w:rsidRPr="00247F65">
        <w:rPr>
          <w:color w:val="000000" w:themeColor="text1"/>
        </w:rPr>
        <w:t>rectum</w:t>
      </w:r>
      <w:r w:rsidRPr="00247F65">
        <w:rPr>
          <w:color w:val="000000" w:themeColor="text1"/>
        </w:rPr>
        <w:t xml:space="preserve">/urine), and </w:t>
      </w:r>
      <w:r w:rsidR="00247F65" w:rsidRPr="00247F65">
        <w:rPr>
          <w:color w:val="000000" w:themeColor="text1"/>
        </w:rPr>
        <w:t>6</w:t>
      </w:r>
      <w:r w:rsidRPr="00247F65">
        <w:rPr>
          <w:color w:val="000000" w:themeColor="text1"/>
        </w:rPr>
        <w:t xml:space="preserve"> three-site co-infection (rectum/throat/urine). </w:t>
      </w:r>
      <w:r w:rsidR="00F76F9B">
        <w:rPr>
          <w:color w:val="000000" w:themeColor="text1"/>
        </w:rPr>
        <w:t xml:space="preserve">Most asymptomatic </w:t>
      </w:r>
      <w:r w:rsidR="00393D52">
        <w:rPr>
          <w:color w:val="000000" w:themeColor="text1"/>
        </w:rPr>
        <w:t>NG</w:t>
      </w:r>
      <w:r w:rsidRPr="00247F65">
        <w:rPr>
          <w:color w:val="000000" w:themeColor="text1"/>
        </w:rPr>
        <w:t xml:space="preserve"> infections were </w:t>
      </w:r>
      <w:r w:rsidRPr="00EF0226">
        <w:rPr>
          <w:color w:val="000000" w:themeColor="text1"/>
        </w:rPr>
        <w:t>extragenital only (</w:t>
      </w:r>
      <w:r w:rsidR="00247F65" w:rsidRPr="00EF0226">
        <w:rPr>
          <w:color w:val="000000" w:themeColor="text1"/>
        </w:rPr>
        <w:t>205/228, 89.9%</w:t>
      </w:r>
      <w:r w:rsidRPr="00EF0226">
        <w:rPr>
          <w:color w:val="000000" w:themeColor="text1"/>
        </w:rPr>
        <w:t>)</w:t>
      </w:r>
      <w:r w:rsidR="00F76F9B">
        <w:rPr>
          <w:color w:val="000000" w:themeColor="text1"/>
        </w:rPr>
        <w:t xml:space="preserve"> and they were</w:t>
      </w:r>
      <w:r w:rsidRPr="00EF0226">
        <w:rPr>
          <w:color w:val="000000" w:themeColor="text1"/>
        </w:rPr>
        <w:t xml:space="preserve"> significantly more likely to be extragenital</w:t>
      </w:r>
      <w:r w:rsidR="00F76F9B">
        <w:rPr>
          <w:color w:val="000000" w:themeColor="text1"/>
        </w:rPr>
        <w:t xml:space="preserve"> only as compared to</w:t>
      </w:r>
      <w:r w:rsidRPr="00EF0226">
        <w:rPr>
          <w:color w:val="000000" w:themeColor="text1"/>
        </w:rPr>
        <w:t xml:space="preserve"> in the urogenital tract (with or without co-infection), </w:t>
      </w:r>
      <w:r w:rsidR="00EF0226" w:rsidRPr="00EF0226">
        <w:rPr>
          <w:i/>
          <w:iCs/>
          <w:color w:val="000000" w:themeColor="text1"/>
        </w:rPr>
        <w:sym w:font="Symbol" w:char="F043"/>
      </w:r>
      <w:r w:rsidR="00EF0226" w:rsidRPr="00EF0226">
        <w:rPr>
          <w:color w:val="000000" w:themeColor="text1"/>
          <w:vertAlign w:val="superscript"/>
        </w:rPr>
        <w:t xml:space="preserve">2 </w:t>
      </w:r>
      <w:r w:rsidR="00EF0226" w:rsidRPr="00EF0226">
        <w:rPr>
          <w:color w:val="000000" w:themeColor="text1"/>
        </w:rPr>
        <w:t xml:space="preserve">(1, </w:t>
      </w:r>
      <w:r w:rsidR="00EF0226" w:rsidRPr="00EF0226">
        <w:rPr>
          <w:i/>
          <w:iCs/>
          <w:color w:val="000000" w:themeColor="text1"/>
        </w:rPr>
        <w:t>N</w:t>
      </w:r>
      <w:r w:rsidR="00EF0226" w:rsidRPr="00EF0226">
        <w:rPr>
          <w:color w:val="000000" w:themeColor="text1"/>
        </w:rPr>
        <w:t xml:space="preserve">= 228) =145.281, </w:t>
      </w:r>
      <w:r w:rsidR="00EF0226" w:rsidRPr="00EF0226">
        <w:rPr>
          <w:i/>
          <w:iCs/>
          <w:color w:val="000000" w:themeColor="text1"/>
        </w:rPr>
        <w:t>p</w:t>
      </w:r>
      <w:r w:rsidR="00EF0226" w:rsidRPr="00EF0226">
        <w:rPr>
          <w:color w:val="000000" w:themeColor="text1"/>
        </w:rPr>
        <w:t>&lt;0.001.</w:t>
      </w:r>
    </w:p>
    <w:p w14:paraId="5EDE43E7" w14:textId="1776C2DC" w:rsidR="00487426" w:rsidRDefault="00487426">
      <w:pPr>
        <w:rPr>
          <w:b/>
          <w:bCs/>
        </w:rPr>
      </w:pPr>
      <w:r>
        <w:rPr>
          <w:b/>
          <w:bCs/>
        </w:rPr>
        <w:t>D</w:t>
      </w:r>
      <w:r w:rsidR="007026D1">
        <w:rPr>
          <w:b/>
          <w:bCs/>
        </w:rPr>
        <w:t>ISCUSSION</w:t>
      </w:r>
    </w:p>
    <w:p w14:paraId="2F34DC74" w14:textId="19FA16D3" w:rsidR="00487426" w:rsidRDefault="00487426">
      <w:pPr>
        <w:rPr>
          <w:b/>
          <w:bCs/>
        </w:rPr>
      </w:pPr>
    </w:p>
    <w:p w14:paraId="47F01D0D" w14:textId="450F3248" w:rsidR="00487426" w:rsidRDefault="001F7DC3" w:rsidP="003B2F26">
      <w:pPr>
        <w:spacing w:line="480" w:lineRule="auto"/>
        <w:ind w:firstLine="720"/>
        <w:rPr>
          <w:color w:val="000000" w:themeColor="text1"/>
        </w:rPr>
      </w:pPr>
      <w:r>
        <w:rPr>
          <w:color w:val="000000" w:themeColor="text1"/>
        </w:rPr>
        <w:t>Amongst</w:t>
      </w:r>
      <w:r w:rsidR="00F1153A">
        <w:rPr>
          <w:color w:val="000000" w:themeColor="text1"/>
        </w:rPr>
        <w:t xml:space="preserve"> </w:t>
      </w:r>
      <w:r w:rsidR="00FA7D58">
        <w:rPr>
          <w:color w:val="000000" w:themeColor="text1"/>
        </w:rPr>
        <w:t>asymptomatic</w:t>
      </w:r>
      <w:r w:rsidR="00BD1A03">
        <w:rPr>
          <w:color w:val="000000" w:themeColor="text1"/>
        </w:rPr>
        <w:t>,</w:t>
      </w:r>
      <w:r w:rsidR="00FA7D58">
        <w:rPr>
          <w:color w:val="000000" w:themeColor="text1"/>
        </w:rPr>
        <w:t xml:space="preserve"> </w:t>
      </w:r>
      <w:r w:rsidR="00F1153A">
        <w:rPr>
          <w:color w:val="000000" w:themeColor="text1"/>
        </w:rPr>
        <w:t>cisgender men reporting male sexual partners</w:t>
      </w:r>
      <w:r w:rsidR="00FA7D58">
        <w:rPr>
          <w:color w:val="000000" w:themeColor="text1"/>
        </w:rPr>
        <w:t>,</w:t>
      </w:r>
      <w:r w:rsidR="00F1153A">
        <w:rPr>
          <w:color w:val="000000" w:themeColor="text1"/>
        </w:rPr>
        <w:t xml:space="preserve"> prevalence of CT and </w:t>
      </w:r>
      <w:r w:rsidR="00393D52">
        <w:rPr>
          <w:color w:val="000000" w:themeColor="text1"/>
        </w:rPr>
        <w:t>NG</w:t>
      </w:r>
      <w:r w:rsidR="00F1153A">
        <w:rPr>
          <w:color w:val="000000" w:themeColor="text1"/>
        </w:rPr>
        <w:t xml:space="preserve"> infection was 5.9% and 4.5%, respectively. </w:t>
      </w:r>
      <w:r w:rsidR="003B2F26">
        <w:rPr>
          <w:color w:val="000000" w:themeColor="text1"/>
        </w:rPr>
        <w:t xml:space="preserve">Prevalence varied by anatomical site: asymptomatic CT was most prevalent in the rectum (4.3%), whereas asymptomatic </w:t>
      </w:r>
      <w:r w:rsidR="00393D52">
        <w:rPr>
          <w:color w:val="000000" w:themeColor="text1"/>
        </w:rPr>
        <w:t>NG</w:t>
      </w:r>
      <w:r w:rsidR="003B2F26">
        <w:rPr>
          <w:color w:val="000000" w:themeColor="text1"/>
        </w:rPr>
        <w:t xml:space="preserve"> was mo</w:t>
      </w:r>
      <w:r w:rsidR="00BA341E">
        <w:rPr>
          <w:color w:val="000000" w:themeColor="text1"/>
        </w:rPr>
        <w:t>st</w:t>
      </w:r>
      <w:r w:rsidR="003B2F26">
        <w:rPr>
          <w:color w:val="000000" w:themeColor="text1"/>
        </w:rPr>
        <w:t xml:space="preserve"> prevalent in the throat (2.8%). </w:t>
      </w:r>
      <w:r w:rsidR="001C700D">
        <w:rPr>
          <w:color w:val="000000" w:themeColor="text1"/>
        </w:rPr>
        <w:t>The</w:t>
      </w:r>
      <w:r w:rsidR="00487426" w:rsidRPr="00F1153A">
        <w:rPr>
          <w:color w:val="000000" w:themeColor="text1"/>
        </w:rPr>
        <w:t xml:space="preserve"> vast majority of asymptomatic CT and </w:t>
      </w:r>
      <w:r w:rsidR="00393D52">
        <w:rPr>
          <w:color w:val="000000" w:themeColor="text1"/>
        </w:rPr>
        <w:t>NG</w:t>
      </w:r>
      <w:r w:rsidR="00487426" w:rsidRPr="00F1153A">
        <w:rPr>
          <w:color w:val="000000" w:themeColor="text1"/>
        </w:rPr>
        <w:t xml:space="preserve"> infections </w:t>
      </w:r>
      <w:r w:rsidR="003B2F26">
        <w:rPr>
          <w:color w:val="000000" w:themeColor="text1"/>
        </w:rPr>
        <w:t xml:space="preserve">were found </w:t>
      </w:r>
      <w:r w:rsidR="00487426" w:rsidRPr="00F1153A">
        <w:rPr>
          <w:color w:val="000000" w:themeColor="text1"/>
        </w:rPr>
        <w:t>extragenitally, without infection of the urethra</w:t>
      </w:r>
      <w:r w:rsidR="00F1153A">
        <w:rPr>
          <w:color w:val="000000" w:themeColor="text1"/>
        </w:rPr>
        <w:t xml:space="preserve"> (7</w:t>
      </w:r>
      <w:r w:rsidR="009C2C68">
        <w:rPr>
          <w:color w:val="000000" w:themeColor="text1"/>
        </w:rPr>
        <w:t>1.8</w:t>
      </w:r>
      <w:r w:rsidR="00F1153A">
        <w:rPr>
          <w:color w:val="000000" w:themeColor="text1"/>
        </w:rPr>
        <w:t xml:space="preserve">% for CT, </w:t>
      </w:r>
      <w:r w:rsidR="009C2C68">
        <w:rPr>
          <w:color w:val="000000" w:themeColor="text1"/>
        </w:rPr>
        <w:t>89.9</w:t>
      </w:r>
      <w:r w:rsidR="00F1153A">
        <w:rPr>
          <w:color w:val="000000" w:themeColor="text1"/>
        </w:rPr>
        <w:t xml:space="preserve">% for </w:t>
      </w:r>
      <w:r w:rsidR="00393D52">
        <w:rPr>
          <w:color w:val="000000" w:themeColor="text1"/>
        </w:rPr>
        <w:t>NG</w:t>
      </w:r>
      <w:r w:rsidR="00F1153A">
        <w:rPr>
          <w:color w:val="000000" w:themeColor="text1"/>
        </w:rPr>
        <w:t>)</w:t>
      </w:r>
      <w:r w:rsidR="001C700D">
        <w:rPr>
          <w:color w:val="000000" w:themeColor="text1"/>
        </w:rPr>
        <w:t>; thus,</w:t>
      </w:r>
      <w:r w:rsidR="001C700D" w:rsidRPr="001C700D">
        <w:rPr>
          <w:color w:val="000000" w:themeColor="text1"/>
        </w:rPr>
        <w:t xml:space="preserve"> </w:t>
      </w:r>
      <w:r w:rsidR="001C700D">
        <w:rPr>
          <w:color w:val="000000" w:themeColor="text1"/>
        </w:rPr>
        <w:t>without extragenital screening</w:t>
      </w:r>
      <w:r w:rsidR="003B2F26">
        <w:rPr>
          <w:color w:val="000000" w:themeColor="text1"/>
        </w:rPr>
        <w:t xml:space="preserve">, these infections would have been undiagnosed and consequently untreated. </w:t>
      </w:r>
    </w:p>
    <w:p w14:paraId="086ED035" w14:textId="57408133" w:rsidR="00C1795A" w:rsidRDefault="00EB2791" w:rsidP="00487426">
      <w:pPr>
        <w:spacing w:line="480" w:lineRule="auto"/>
        <w:rPr>
          <w:color w:val="000000" w:themeColor="text1"/>
        </w:rPr>
      </w:pPr>
      <w:r>
        <w:rPr>
          <w:color w:val="4472C4" w:themeColor="accent1"/>
        </w:rPr>
        <w:tab/>
      </w:r>
      <w:r w:rsidR="003F35F8">
        <w:rPr>
          <w:color w:val="000000" w:themeColor="text1"/>
        </w:rPr>
        <w:t xml:space="preserve">Our results provide further support for </w:t>
      </w:r>
      <w:r w:rsidR="001C700D">
        <w:rPr>
          <w:color w:val="000000" w:themeColor="text1"/>
        </w:rPr>
        <w:t>screening</w:t>
      </w:r>
      <w:r w:rsidR="003F35F8">
        <w:rPr>
          <w:color w:val="000000" w:themeColor="text1"/>
        </w:rPr>
        <w:t xml:space="preserve"> asymptomatic MSM at extragenital sites.</w:t>
      </w:r>
      <w:r w:rsidR="00BA341E">
        <w:rPr>
          <w:color w:val="000000" w:themeColor="text1"/>
          <w:vertAlign w:val="superscript"/>
        </w:rPr>
        <w:t>3</w:t>
      </w:r>
      <w:r w:rsidR="003F35F8">
        <w:rPr>
          <w:color w:val="000000" w:themeColor="text1"/>
          <w:vertAlign w:val="superscript"/>
        </w:rPr>
        <w:t xml:space="preserve"> </w:t>
      </w:r>
      <w:r w:rsidR="003F35F8">
        <w:rPr>
          <w:color w:val="000000" w:themeColor="text1"/>
        </w:rPr>
        <w:t>However, three-site screening carries additional burden for the individual</w:t>
      </w:r>
      <w:r w:rsidR="00BA341E">
        <w:rPr>
          <w:color w:val="000000" w:themeColor="text1"/>
        </w:rPr>
        <w:t xml:space="preserve"> and</w:t>
      </w:r>
      <w:r w:rsidR="003F35F8">
        <w:rPr>
          <w:color w:val="000000" w:themeColor="text1"/>
        </w:rPr>
        <w:t xml:space="preserve"> increased financial</w:t>
      </w:r>
      <w:r w:rsidR="001C700D">
        <w:rPr>
          <w:color w:val="000000" w:themeColor="text1"/>
        </w:rPr>
        <w:t xml:space="preserve"> </w:t>
      </w:r>
      <w:r w:rsidR="003F35F8">
        <w:rPr>
          <w:color w:val="000000" w:themeColor="text1"/>
        </w:rPr>
        <w:t>costs for the service</w:t>
      </w:r>
      <w:r w:rsidR="00C1795A">
        <w:rPr>
          <w:color w:val="000000" w:themeColor="text1"/>
        </w:rPr>
        <w:t xml:space="preserve">. One </w:t>
      </w:r>
      <w:r w:rsidR="00BA341E">
        <w:rPr>
          <w:color w:val="000000" w:themeColor="text1"/>
        </w:rPr>
        <w:t xml:space="preserve">cost-effective </w:t>
      </w:r>
      <w:r w:rsidR="00C1795A">
        <w:rPr>
          <w:color w:val="000000" w:themeColor="text1"/>
        </w:rPr>
        <w:t>s</w:t>
      </w:r>
      <w:r w:rsidR="00AE02EC">
        <w:rPr>
          <w:color w:val="000000" w:themeColor="text1"/>
        </w:rPr>
        <w:t>o</w:t>
      </w:r>
      <w:r w:rsidR="00C1795A">
        <w:rPr>
          <w:color w:val="000000" w:themeColor="text1"/>
        </w:rPr>
        <w:t>lu</w:t>
      </w:r>
      <w:r w:rsidR="00AE02EC">
        <w:rPr>
          <w:color w:val="000000" w:themeColor="text1"/>
        </w:rPr>
        <w:t>t</w:t>
      </w:r>
      <w:r w:rsidR="00C1795A">
        <w:rPr>
          <w:color w:val="000000" w:themeColor="text1"/>
        </w:rPr>
        <w:t>ion may be to pool sample</w:t>
      </w:r>
      <w:r w:rsidR="00AE02EC">
        <w:rPr>
          <w:color w:val="000000" w:themeColor="text1"/>
        </w:rPr>
        <w:t>s</w:t>
      </w:r>
      <w:r w:rsidR="00C1795A">
        <w:rPr>
          <w:color w:val="000000" w:themeColor="text1"/>
        </w:rPr>
        <w:t xml:space="preserve"> from tested sites, although reduced sensitivity, particularly for pharyngeal infections, has been observed.</w:t>
      </w:r>
      <w:r w:rsidR="00BA341E">
        <w:rPr>
          <w:color w:val="000000" w:themeColor="text1"/>
          <w:vertAlign w:val="superscript"/>
        </w:rPr>
        <w:t>4</w:t>
      </w:r>
      <w:r w:rsidR="00C1795A">
        <w:rPr>
          <w:color w:val="000000" w:themeColor="text1"/>
        </w:rPr>
        <w:t xml:space="preserve"> Alternatively, given </w:t>
      </w:r>
      <w:r w:rsidR="00AE02EC">
        <w:rPr>
          <w:color w:val="000000" w:themeColor="text1"/>
        </w:rPr>
        <w:t xml:space="preserve">very low prevalence of asymptomatic, single-site urogenital infection (CT:23/5051, 0.45%; </w:t>
      </w:r>
      <w:r w:rsidR="00393D52">
        <w:rPr>
          <w:color w:val="000000" w:themeColor="text1"/>
        </w:rPr>
        <w:t>NG</w:t>
      </w:r>
      <w:r w:rsidR="00AE02EC">
        <w:rPr>
          <w:color w:val="000000" w:themeColor="text1"/>
        </w:rPr>
        <w:t xml:space="preserve">:9/5040, 0.18%), urogenital screening may be </w:t>
      </w:r>
      <w:r w:rsidR="000468FE">
        <w:rPr>
          <w:color w:val="000000" w:themeColor="text1"/>
        </w:rPr>
        <w:t xml:space="preserve">less </w:t>
      </w:r>
      <w:r w:rsidR="00027B57">
        <w:rPr>
          <w:color w:val="000000" w:themeColor="text1"/>
        </w:rPr>
        <w:t xml:space="preserve">important </w:t>
      </w:r>
      <w:r w:rsidR="000468FE">
        <w:rPr>
          <w:color w:val="000000" w:themeColor="text1"/>
        </w:rPr>
        <w:t xml:space="preserve">than extragenital screening </w:t>
      </w:r>
      <w:r w:rsidR="00AE02EC">
        <w:rPr>
          <w:color w:val="000000" w:themeColor="text1"/>
        </w:rPr>
        <w:t xml:space="preserve">for asymptomatic MSM. </w:t>
      </w:r>
      <w:r w:rsidR="003E1DAF">
        <w:rPr>
          <w:color w:val="000000" w:themeColor="text1"/>
        </w:rPr>
        <w:t>Our findings highlight the need for further research</w:t>
      </w:r>
      <w:r w:rsidR="00AE02EC">
        <w:rPr>
          <w:color w:val="000000" w:themeColor="text1"/>
        </w:rPr>
        <w:t xml:space="preserve"> </w:t>
      </w:r>
      <w:r w:rsidR="000468FE">
        <w:rPr>
          <w:color w:val="000000" w:themeColor="text1"/>
        </w:rPr>
        <w:t xml:space="preserve">on </w:t>
      </w:r>
      <w:r w:rsidR="00AE02EC">
        <w:rPr>
          <w:color w:val="000000" w:themeColor="text1"/>
        </w:rPr>
        <w:t>urethral screening for CT</w:t>
      </w:r>
      <w:r w:rsidR="00C42DCF">
        <w:rPr>
          <w:color w:val="000000" w:themeColor="text1"/>
        </w:rPr>
        <w:t>/</w:t>
      </w:r>
      <w:r w:rsidR="00393D52">
        <w:rPr>
          <w:color w:val="000000" w:themeColor="text1"/>
        </w:rPr>
        <w:t>NG</w:t>
      </w:r>
      <w:r w:rsidR="00AE02EC">
        <w:rPr>
          <w:color w:val="000000" w:themeColor="text1"/>
        </w:rPr>
        <w:t xml:space="preserve"> </w:t>
      </w:r>
      <w:r w:rsidR="001F7DC3">
        <w:rPr>
          <w:color w:val="000000" w:themeColor="text1"/>
        </w:rPr>
        <w:t>amongst</w:t>
      </w:r>
      <w:r w:rsidR="00AE02EC">
        <w:rPr>
          <w:color w:val="000000" w:themeColor="text1"/>
        </w:rPr>
        <w:t xml:space="preserve"> asymptomatic MSM</w:t>
      </w:r>
      <w:r w:rsidR="000468FE">
        <w:rPr>
          <w:color w:val="000000" w:themeColor="text1"/>
        </w:rPr>
        <w:t>,</w:t>
      </w:r>
      <w:r w:rsidR="00AE02EC">
        <w:rPr>
          <w:color w:val="000000" w:themeColor="text1"/>
        </w:rPr>
        <w:t xml:space="preserve"> </w:t>
      </w:r>
      <w:r w:rsidR="000468FE">
        <w:rPr>
          <w:color w:val="000000" w:themeColor="text1"/>
        </w:rPr>
        <w:t>including</w:t>
      </w:r>
      <w:r w:rsidR="00714A49">
        <w:rPr>
          <w:color w:val="000000" w:themeColor="text1"/>
        </w:rPr>
        <w:t xml:space="preserve"> </w:t>
      </w:r>
      <w:r w:rsidR="0016774F">
        <w:rPr>
          <w:color w:val="000000" w:themeColor="text1"/>
        </w:rPr>
        <w:t>health economic</w:t>
      </w:r>
      <w:r w:rsidR="00714A49">
        <w:rPr>
          <w:color w:val="000000" w:themeColor="text1"/>
        </w:rPr>
        <w:t xml:space="preserve"> modelling which compares three-site screening with extragenital </w:t>
      </w:r>
      <w:r w:rsidR="00714A49">
        <w:rPr>
          <w:color w:val="000000" w:themeColor="text1"/>
        </w:rPr>
        <w:lastRenderedPageBreak/>
        <w:t>screening only, while adjusting for costs associated with future burden of disease</w:t>
      </w:r>
      <w:r w:rsidR="00CC5813">
        <w:rPr>
          <w:color w:val="000000" w:themeColor="text1"/>
        </w:rPr>
        <w:t xml:space="preserve"> and differences in prevalence of asymptomatic urethral N</w:t>
      </w:r>
      <w:r w:rsidR="00AA4FB6">
        <w:rPr>
          <w:color w:val="000000" w:themeColor="text1"/>
        </w:rPr>
        <w:t>G</w:t>
      </w:r>
      <w:r w:rsidR="00CC5813">
        <w:rPr>
          <w:color w:val="000000" w:themeColor="text1"/>
        </w:rPr>
        <w:t xml:space="preserve"> and CT infection</w:t>
      </w:r>
      <w:r w:rsidR="00714A49">
        <w:rPr>
          <w:color w:val="000000" w:themeColor="text1"/>
        </w:rPr>
        <w:t xml:space="preserve">. </w:t>
      </w:r>
    </w:p>
    <w:p w14:paraId="19D9195C" w14:textId="438AE906" w:rsidR="00146BEB" w:rsidRPr="00EF5A37" w:rsidRDefault="00714A49" w:rsidP="00487426">
      <w:pPr>
        <w:spacing w:line="480" w:lineRule="auto"/>
        <w:rPr>
          <w:color w:val="000000" w:themeColor="text1"/>
          <w:vertAlign w:val="superscript"/>
        </w:rPr>
      </w:pPr>
      <w:r>
        <w:rPr>
          <w:color w:val="000000" w:themeColor="text1"/>
        </w:rPr>
        <w:tab/>
        <w:t xml:space="preserve">A further challenge of three-site testing is the </w:t>
      </w:r>
      <w:r w:rsidR="00C1795A">
        <w:rPr>
          <w:color w:val="000000" w:themeColor="text1"/>
        </w:rPr>
        <w:t>ongoing threat of antimicrobial resistan</w:t>
      </w:r>
      <w:r w:rsidR="00BA341E">
        <w:rPr>
          <w:color w:val="000000" w:themeColor="text1"/>
        </w:rPr>
        <w:t>ce</w:t>
      </w:r>
      <w:r w:rsidR="00C1795A">
        <w:rPr>
          <w:color w:val="000000" w:themeColor="text1"/>
        </w:rPr>
        <w:t xml:space="preserve"> </w:t>
      </w:r>
      <w:r w:rsidR="00BA341E">
        <w:rPr>
          <w:color w:val="000000" w:themeColor="text1"/>
        </w:rPr>
        <w:t>which may be perpetuated through</w:t>
      </w:r>
      <w:r w:rsidR="00D86D0D">
        <w:rPr>
          <w:color w:val="000000" w:themeColor="text1"/>
        </w:rPr>
        <w:t xml:space="preserve"> e</w:t>
      </w:r>
      <w:r w:rsidR="00C1795A">
        <w:rPr>
          <w:color w:val="000000" w:themeColor="text1"/>
        </w:rPr>
        <w:t xml:space="preserve">nhanced screening </w:t>
      </w:r>
      <w:r w:rsidR="00D86D0D">
        <w:rPr>
          <w:color w:val="000000" w:themeColor="text1"/>
        </w:rPr>
        <w:t>and associated</w:t>
      </w:r>
      <w:r w:rsidR="00C1795A">
        <w:rPr>
          <w:color w:val="000000" w:themeColor="text1"/>
        </w:rPr>
        <w:t xml:space="preserve"> greater use of antibiotics</w:t>
      </w:r>
      <w:r w:rsidR="00FB16E3">
        <w:rPr>
          <w:color w:val="000000" w:themeColor="text1"/>
        </w:rPr>
        <w:t>.</w:t>
      </w:r>
      <w:r w:rsidR="00BA341E">
        <w:rPr>
          <w:color w:val="000000" w:themeColor="text1"/>
          <w:vertAlign w:val="superscript"/>
        </w:rPr>
        <w:t>2</w:t>
      </w:r>
      <w:r w:rsidR="00C1795A">
        <w:rPr>
          <w:color w:val="000000" w:themeColor="text1"/>
        </w:rPr>
        <w:t xml:space="preserve"> </w:t>
      </w:r>
      <w:r w:rsidR="005E550C">
        <w:rPr>
          <w:color w:val="000000" w:themeColor="text1"/>
        </w:rPr>
        <w:t>We argue</w:t>
      </w:r>
      <w:r w:rsidR="000468FE">
        <w:rPr>
          <w:color w:val="000000" w:themeColor="text1"/>
        </w:rPr>
        <w:t xml:space="preserve"> </w:t>
      </w:r>
      <w:r w:rsidR="005E550C">
        <w:rPr>
          <w:color w:val="000000" w:themeColor="text1"/>
        </w:rPr>
        <w:t xml:space="preserve">that </w:t>
      </w:r>
      <w:r w:rsidR="00D86D0D">
        <w:rPr>
          <w:color w:val="000000" w:themeColor="text1"/>
        </w:rPr>
        <w:t>reduced</w:t>
      </w:r>
      <w:r w:rsidR="005E550C">
        <w:rPr>
          <w:color w:val="000000" w:themeColor="text1"/>
        </w:rPr>
        <w:t xml:space="preserve"> screening is not reasonable, given known risks of </w:t>
      </w:r>
      <w:r w:rsidR="009C5247">
        <w:rPr>
          <w:color w:val="000000" w:themeColor="text1"/>
        </w:rPr>
        <w:t xml:space="preserve">onward transmission and </w:t>
      </w:r>
      <w:r w:rsidR="005E550C">
        <w:rPr>
          <w:color w:val="000000" w:themeColor="text1"/>
        </w:rPr>
        <w:t xml:space="preserve">persistent </w:t>
      </w:r>
      <w:r w:rsidR="00393D52">
        <w:rPr>
          <w:color w:val="000000" w:themeColor="text1"/>
        </w:rPr>
        <w:t>NG</w:t>
      </w:r>
      <w:r w:rsidR="00BA341E">
        <w:rPr>
          <w:color w:val="000000" w:themeColor="text1"/>
        </w:rPr>
        <w:t>/</w:t>
      </w:r>
      <w:r w:rsidR="005E550C">
        <w:rPr>
          <w:color w:val="000000" w:themeColor="text1"/>
        </w:rPr>
        <w:t>CT infection</w:t>
      </w:r>
      <w:r w:rsidR="00BA341E">
        <w:rPr>
          <w:color w:val="000000" w:themeColor="text1"/>
        </w:rPr>
        <w:t>,</w:t>
      </w:r>
      <w:r w:rsidR="00BA341E">
        <w:rPr>
          <w:color w:val="000000" w:themeColor="text1"/>
          <w:vertAlign w:val="superscript"/>
        </w:rPr>
        <w:t>2-4</w:t>
      </w:r>
      <w:r w:rsidR="005E550C">
        <w:rPr>
          <w:color w:val="000000" w:themeColor="text1"/>
          <w:vertAlign w:val="superscript"/>
        </w:rPr>
        <w:t xml:space="preserve"> </w:t>
      </w:r>
      <w:r w:rsidR="00C14434">
        <w:rPr>
          <w:color w:val="000000" w:themeColor="text1"/>
        </w:rPr>
        <w:t>but</w:t>
      </w:r>
      <w:r w:rsidR="009C5247">
        <w:rPr>
          <w:color w:val="000000" w:themeColor="text1"/>
        </w:rPr>
        <w:t xml:space="preserve"> that repeat testing of infected sites to establish persistence of infection should be considered prior to antibiotic administration. CT and </w:t>
      </w:r>
      <w:r w:rsidR="00393D52">
        <w:rPr>
          <w:color w:val="000000" w:themeColor="text1"/>
        </w:rPr>
        <w:t>NG</w:t>
      </w:r>
      <w:r w:rsidR="009C5247">
        <w:rPr>
          <w:color w:val="000000" w:themeColor="text1"/>
        </w:rPr>
        <w:t xml:space="preserve"> can demonstrate spontaneous clearance</w:t>
      </w:r>
      <w:r w:rsidR="006A5C1A">
        <w:rPr>
          <w:color w:val="000000" w:themeColor="text1"/>
        </w:rPr>
        <w:t xml:space="preserve">. </w:t>
      </w:r>
      <w:r w:rsidR="001F7DC3">
        <w:rPr>
          <w:color w:val="000000" w:themeColor="text1"/>
        </w:rPr>
        <w:t>Amongst</w:t>
      </w:r>
      <w:r w:rsidR="006A5C1A">
        <w:rPr>
          <w:color w:val="000000" w:themeColor="text1"/>
        </w:rPr>
        <w:t xml:space="preserve"> MSM, with a test/retest time between 3</w:t>
      </w:r>
      <w:r w:rsidR="00FB16E3">
        <w:rPr>
          <w:color w:val="000000" w:themeColor="text1"/>
        </w:rPr>
        <w:t>-</w:t>
      </w:r>
      <w:r w:rsidR="006A5C1A">
        <w:rPr>
          <w:color w:val="000000" w:themeColor="text1"/>
        </w:rPr>
        <w:t xml:space="preserve">35 days, CT </w:t>
      </w:r>
      <w:r w:rsidR="00BA341E">
        <w:rPr>
          <w:color w:val="000000" w:themeColor="text1"/>
        </w:rPr>
        <w:t xml:space="preserve">clearance </w:t>
      </w:r>
      <w:r w:rsidR="006A5C1A">
        <w:rPr>
          <w:color w:val="000000" w:themeColor="text1"/>
        </w:rPr>
        <w:t>has been reported</w:t>
      </w:r>
      <w:r w:rsidR="000468FE">
        <w:rPr>
          <w:color w:val="000000" w:themeColor="text1"/>
        </w:rPr>
        <w:t xml:space="preserve"> </w:t>
      </w:r>
      <w:r w:rsidR="00027B57">
        <w:rPr>
          <w:color w:val="000000" w:themeColor="text1"/>
        </w:rPr>
        <w:t xml:space="preserve">for </w:t>
      </w:r>
      <w:r w:rsidR="006A5C1A">
        <w:rPr>
          <w:color w:val="000000" w:themeColor="text1"/>
        </w:rPr>
        <w:t xml:space="preserve">4.0% </w:t>
      </w:r>
      <w:r w:rsidR="00027B57">
        <w:rPr>
          <w:color w:val="000000" w:themeColor="text1"/>
        </w:rPr>
        <w:t xml:space="preserve">of </w:t>
      </w:r>
      <w:r w:rsidR="006A5C1A">
        <w:rPr>
          <w:color w:val="000000" w:themeColor="text1"/>
        </w:rPr>
        <w:t xml:space="preserve">anorectal infections and 80.0% </w:t>
      </w:r>
      <w:r w:rsidR="00BA341E">
        <w:rPr>
          <w:color w:val="000000" w:themeColor="text1"/>
        </w:rPr>
        <w:t xml:space="preserve">of </w:t>
      </w:r>
      <w:r w:rsidR="006A5C1A">
        <w:rPr>
          <w:color w:val="000000" w:themeColor="text1"/>
        </w:rPr>
        <w:t xml:space="preserve">oropharyngeal infections </w:t>
      </w:r>
      <w:r w:rsidR="000468FE">
        <w:rPr>
          <w:color w:val="000000" w:themeColor="text1"/>
        </w:rPr>
        <w:t xml:space="preserve">and </w:t>
      </w:r>
      <w:r w:rsidR="00393D52">
        <w:rPr>
          <w:color w:val="000000" w:themeColor="text1"/>
        </w:rPr>
        <w:t>NG</w:t>
      </w:r>
      <w:r w:rsidR="006A5C1A">
        <w:rPr>
          <w:color w:val="000000" w:themeColor="text1"/>
        </w:rPr>
        <w:t xml:space="preserve"> </w:t>
      </w:r>
      <w:r w:rsidR="00BA341E">
        <w:rPr>
          <w:color w:val="000000" w:themeColor="text1"/>
        </w:rPr>
        <w:t xml:space="preserve">clearance </w:t>
      </w:r>
      <w:r w:rsidR="006A5C1A">
        <w:rPr>
          <w:color w:val="000000" w:themeColor="text1"/>
        </w:rPr>
        <w:t>for 66.7% of urogenital infections, 22.2% of anorectal infections, and 30.8% of oropharyngeal infections.</w:t>
      </w:r>
      <w:r w:rsidR="00EF5A37">
        <w:rPr>
          <w:color w:val="000000" w:themeColor="text1"/>
          <w:vertAlign w:val="superscript"/>
        </w:rPr>
        <w:t>10</w:t>
      </w:r>
      <w:r w:rsidR="006A5C1A">
        <w:rPr>
          <w:color w:val="000000" w:themeColor="text1"/>
        </w:rPr>
        <w:t xml:space="preserve"> Given this, and until additional effective antibiotics are developed, it may be necessary to implement re-testing of infected but asymptomatic sites prior</w:t>
      </w:r>
      <w:r w:rsidR="00FB16E3">
        <w:rPr>
          <w:color w:val="000000" w:themeColor="text1"/>
        </w:rPr>
        <w:t xml:space="preserve"> to treatment. </w:t>
      </w:r>
      <w:r w:rsidR="00FF2932">
        <w:rPr>
          <w:color w:val="000000" w:themeColor="text1"/>
        </w:rPr>
        <w:t>S</w:t>
      </w:r>
      <w:r w:rsidR="00FB16E3">
        <w:rPr>
          <w:color w:val="000000" w:themeColor="text1"/>
        </w:rPr>
        <w:t xml:space="preserve">hould this approach be adopted, appropriate counselling of patients will be necessary to reduce the risk of onward transmission. </w:t>
      </w:r>
    </w:p>
    <w:p w14:paraId="191C8C6C" w14:textId="4DC9EA88" w:rsidR="00FC6DBF" w:rsidRDefault="008A4352" w:rsidP="00375670">
      <w:pPr>
        <w:spacing w:line="480" w:lineRule="auto"/>
        <w:ind w:firstLine="720"/>
        <w:rPr>
          <w:color w:val="000000" w:themeColor="text1"/>
        </w:rPr>
      </w:pPr>
      <w:r>
        <w:rPr>
          <w:color w:val="000000" w:themeColor="text1"/>
        </w:rPr>
        <w:t xml:space="preserve">Limitations of this study should be noted. Firstly, data were only from asymptomatic </w:t>
      </w:r>
      <w:r w:rsidR="00027B57">
        <w:rPr>
          <w:color w:val="000000" w:themeColor="text1"/>
        </w:rPr>
        <w:t xml:space="preserve">MSM </w:t>
      </w:r>
      <w:r>
        <w:rPr>
          <w:color w:val="000000" w:themeColor="text1"/>
        </w:rPr>
        <w:t xml:space="preserve">who ordered self-screening kits online. </w:t>
      </w:r>
      <w:r w:rsidR="00D86D0D">
        <w:rPr>
          <w:color w:val="000000" w:themeColor="text1"/>
        </w:rPr>
        <w:t>Thus, t</w:t>
      </w:r>
      <w:r>
        <w:rPr>
          <w:color w:val="000000" w:themeColor="text1"/>
        </w:rPr>
        <w:t xml:space="preserve">hese results are not </w:t>
      </w:r>
      <w:proofErr w:type="spellStart"/>
      <w:r>
        <w:rPr>
          <w:color w:val="000000" w:themeColor="text1"/>
        </w:rPr>
        <w:t>generalisable</w:t>
      </w:r>
      <w:proofErr w:type="spellEnd"/>
      <w:r>
        <w:rPr>
          <w:color w:val="000000" w:themeColor="text1"/>
        </w:rPr>
        <w:t xml:space="preserve"> to MSM who present with </w:t>
      </w:r>
      <w:r w:rsidR="00393D52">
        <w:rPr>
          <w:color w:val="000000" w:themeColor="text1"/>
        </w:rPr>
        <w:t>NG</w:t>
      </w:r>
      <w:r w:rsidR="00EF5A37">
        <w:rPr>
          <w:color w:val="000000" w:themeColor="text1"/>
        </w:rPr>
        <w:t>/</w:t>
      </w:r>
      <w:r>
        <w:rPr>
          <w:color w:val="000000" w:themeColor="text1"/>
        </w:rPr>
        <w:t>CT symptoms or those who would not choose self-</w:t>
      </w:r>
      <w:r w:rsidR="003E1DAF">
        <w:rPr>
          <w:color w:val="000000" w:themeColor="text1"/>
        </w:rPr>
        <w:t>testing</w:t>
      </w:r>
      <w:r>
        <w:rPr>
          <w:color w:val="000000" w:themeColor="text1"/>
        </w:rPr>
        <w:t xml:space="preserve">. Second, when ordering online, individuals self-report any symptoms. </w:t>
      </w:r>
      <w:r w:rsidR="00C14434">
        <w:rPr>
          <w:color w:val="000000" w:themeColor="text1"/>
        </w:rPr>
        <w:t>S</w:t>
      </w:r>
      <w:r w:rsidR="00FC6DBF">
        <w:rPr>
          <w:color w:val="000000" w:themeColor="text1"/>
        </w:rPr>
        <w:t xml:space="preserve">ome symptomatic individuals may have falsely indicated </w:t>
      </w:r>
      <w:r w:rsidR="00F76F9B">
        <w:rPr>
          <w:color w:val="000000" w:themeColor="text1"/>
        </w:rPr>
        <w:t>no</w:t>
      </w:r>
      <w:r w:rsidR="00FC6DBF">
        <w:rPr>
          <w:color w:val="000000" w:themeColor="text1"/>
        </w:rPr>
        <w:t xml:space="preserve"> symptoms to </w:t>
      </w:r>
      <w:r w:rsidR="00D86D0D">
        <w:rPr>
          <w:color w:val="000000" w:themeColor="text1"/>
        </w:rPr>
        <w:t xml:space="preserve">obtain </w:t>
      </w:r>
      <w:r w:rsidR="00FC6DBF">
        <w:rPr>
          <w:color w:val="000000" w:themeColor="text1"/>
        </w:rPr>
        <w:t xml:space="preserve">a screening kit online and avoid </w:t>
      </w:r>
      <w:r w:rsidR="00FF2932">
        <w:rPr>
          <w:color w:val="000000" w:themeColor="text1"/>
        </w:rPr>
        <w:t>a</w:t>
      </w:r>
      <w:r w:rsidR="00FC6DBF">
        <w:rPr>
          <w:color w:val="000000" w:themeColor="text1"/>
        </w:rPr>
        <w:t xml:space="preserve"> visit to their </w:t>
      </w:r>
      <w:r w:rsidR="00FF2932">
        <w:rPr>
          <w:color w:val="000000" w:themeColor="text1"/>
        </w:rPr>
        <w:t>GP/</w:t>
      </w:r>
      <w:r w:rsidR="00FC6DBF">
        <w:rPr>
          <w:color w:val="000000" w:themeColor="text1"/>
        </w:rPr>
        <w:t>sexual health clinic. However, given the very low prevalence of urogenital CT</w:t>
      </w:r>
      <w:r w:rsidR="00EF5A37">
        <w:rPr>
          <w:color w:val="000000" w:themeColor="text1"/>
        </w:rPr>
        <w:t>/</w:t>
      </w:r>
      <w:r w:rsidR="00393D52">
        <w:rPr>
          <w:color w:val="000000" w:themeColor="text1"/>
        </w:rPr>
        <w:t>NG</w:t>
      </w:r>
      <w:r w:rsidR="00FC6DBF">
        <w:rPr>
          <w:color w:val="000000" w:themeColor="text1"/>
        </w:rPr>
        <w:t xml:space="preserve"> in this sample (which are frequently symptomatic if present), we </w:t>
      </w:r>
      <w:r w:rsidR="000468FE">
        <w:rPr>
          <w:color w:val="000000" w:themeColor="text1"/>
        </w:rPr>
        <w:t xml:space="preserve">think it is unlikely </w:t>
      </w:r>
      <w:r w:rsidR="00FC6DBF">
        <w:rPr>
          <w:color w:val="000000" w:themeColor="text1"/>
        </w:rPr>
        <w:t xml:space="preserve">this greatly affected </w:t>
      </w:r>
      <w:r w:rsidR="00C14434">
        <w:rPr>
          <w:color w:val="000000" w:themeColor="text1"/>
        </w:rPr>
        <w:t>our findings</w:t>
      </w:r>
      <w:r w:rsidR="00FC6DBF">
        <w:rPr>
          <w:color w:val="000000" w:themeColor="text1"/>
        </w:rPr>
        <w:t xml:space="preserve">. </w:t>
      </w:r>
      <w:r w:rsidR="00375670">
        <w:rPr>
          <w:color w:val="000000" w:themeColor="text1"/>
        </w:rPr>
        <w:t xml:space="preserve">Lastly, </w:t>
      </w:r>
      <w:r w:rsidR="00C14434">
        <w:rPr>
          <w:color w:val="000000" w:themeColor="text1"/>
        </w:rPr>
        <w:t>because the</w:t>
      </w:r>
      <w:r w:rsidR="00375670">
        <w:rPr>
          <w:color w:val="000000" w:themeColor="text1"/>
        </w:rPr>
        <w:t xml:space="preserve"> online STI screening program</w:t>
      </w:r>
      <w:r w:rsidR="00C14434">
        <w:rPr>
          <w:color w:val="000000" w:themeColor="text1"/>
        </w:rPr>
        <w:t xml:space="preserve"> was anonymous</w:t>
      </w:r>
      <w:r w:rsidR="00375670">
        <w:rPr>
          <w:color w:val="000000" w:themeColor="text1"/>
        </w:rPr>
        <w:t xml:space="preserve">, it was not possible to identify participants who may have ordered </w:t>
      </w:r>
      <w:r w:rsidR="00F8164E">
        <w:rPr>
          <w:color w:val="000000" w:themeColor="text1"/>
        </w:rPr>
        <w:t>multiple</w:t>
      </w:r>
      <w:r w:rsidR="00375670">
        <w:rPr>
          <w:color w:val="000000" w:themeColor="text1"/>
        </w:rPr>
        <w:t xml:space="preserve"> kit</w:t>
      </w:r>
      <w:r w:rsidR="00F8164E">
        <w:rPr>
          <w:color w:val="000000" w:themeColor="text1"/>
        </w:rPr>
        <w:t>s</w:t>
      </w:r>
      <w:r w:rsidR="00375670">
        <w:rPr>
          <w:color w:val="000000" w:themeColor="text1"/>
        </w:rPr>
        <w:t xml:space="preserve"> over the three-year period. </w:t>
      </w:r>
      <w:r w:rsidR="00F8164E">
        <w:rPr>
          <w:color w:val="000000" w:themeColor="text1"/>
        </w:rPr>
        <w:t xml:space="preserve">However, </w:t>
      </w:r>
      <w:r w:rsidR="00375670">
        <w:rPr>
          <w:color w:val="000000" w:themeColor="text1"/>
        </w:rPr>
        <w:t>all positive cases would have be</w:t>
      </w:r>
      <w:r w:rsidR="00146BEB">
        <w:rPr>
          <w:color w:val="000000" w:themeColor="text1"/>
        </w:rPr>
        <w:t>en</w:t>
      </w:r>
      <w:r w:rsidR="00375670">
        <w:rPr>
          <w:color w:val="000000" w:themeColor="text1"/>
        </w:rPr>
        <w:t xml:space="preserve"> </w:t>
      </w:r>
      <w:r w:rsidR="00D86D0D">
        <w:rPr>
          <w:color w:val="000000" w:themeColor="text1"/>
        </w:rPr>
        <w:t xml:space="preserve">prescribed </w:t>
      </w:r>
      <w:r w:rsidR="00375670">
        <w:rPr>
          <w:color w:val="000000" w:themeColor="text1"/>
        </w:rPr>
        <w:lastRenderedPageBreak/>
        <w:t>antibiotic</w:t>
      </w:r>
      <w:r w:rsidR="00D86D0D">
        <w:rPr>
          <w:color w:val="000000" w:themeColor="text1"/>
        </w:rPr>
        <w:t>s</w:t>
      </w:r>
      <w:r w:rsidR="00375670">
        <w:rPr>
          <w:color w:val="000000" w:themeColor="text1"/>
        </w:rPr>
        <w:t>, and as such</w:t>
      </w:r>
      <w:r w:rsidR="00F8164E">
        <w:rPr>
          <w:color w:val="000000" w:themeColor="text1"/>
        </w:rPr>
        <w:t>,</w:t>
      </w:r>
      <w:r w:rsidR="00375670">
        <w:rPr>
          <w:color w:val="000000" w:themeColor="text1"/>
        </w:rPr>
        <w:t xml:space="preserve"> subsequent diagnoses most likely indicate new repeat infection</w:t>
      </w:r>
      <w:r w:rsidR="00D86D0D">
        <w:rPr>
          <w:color w:val="000000" w:themeColor="text1"/>
        </w:rPr>
        <w:t>s</w:t>
      </w:r>
      <w:r w:rsidR="00375670">
        <w:rPr>
          <w:color w:val="000000" w:themeColor="text1"/>
        </w:rPr>
        <w:t xml:space="preserve"> rather than continuous long-term infection. </w:t>
      </w:r>
    </w:p>
    <w:p w14:paraId="17A908E7" w14:textId="7283716A" w:rsidR="00487426" w:rsidRPr="00487426" w:rsidRDefault="00487426" w:rsidP="00487426">
      <w:pPr>
        <w:spacing w:line="480" w:lineRule="auto"/>
        <w:rPr>
          <w:b/>
          <w:bCs/>
        </w:rPr>
      </w:pPr>
      <w:r w:rsidRPr="00487426">
        <w:rPr>
          <w:b/>
          <w:bCs/>
        </w:rPr>
        <w:t>Conclusion</w:t>
      </w:r>
    </w:p>
    <w:p w14:paraId="47182591" w14:textId="7AE9792B" w:rsidR="00E25E9F" w:rsidRDefault="00BB0378" w:rsidP="00181C56">
      <w:pPr>
        <w:spacing w:line="480" w:lineRule="auto"/>
        <w:ind w:firstLine="720"/>
        <w:rPr>
          <w:color w:val="000000" w:themeColor="text1"/>
        </w:rPr>
      </w:pPr>
      <w:r w:rsidRPr="0060550E">
        <w:rPr>
          <w:color w:val="000000" w:themeColor="text1"/>
        </w:rPr>
        <w:t>Using a large clinical administrative database,</w:t>
      </w:r>
      <w:r w:rsidR="0060550E" w:rsidRPr="0060550E">
        <w:rPr>
          <w:color w:val="000000" w:themeColor="text1"/>
        </w:rPr>
        <w:t xml:space="preserve"> </w:t>
      </w:r>
      <w:r w:rsidR="00FF2932">
        <w:rPr>
          <w:color w:val="000000" w:themeColor="text1"/>
        </w:rPr>
        <w:t>we</w:t>
      </w:r>
      <w:r w:rsidR="0060550E" w:rsidRPr="0060550E">
        <w:rPr>
          <w:color w:val="000000" w:themeColor="text1"/>
        </w:rPr>
        <w:t xml:space="preserve"> found </w:t>
      </w:r>
      <w:r w:rsidRPr="0060550E">
        <w:rPr>
          <w:color w:val="000000" w:themeColor="text1"/>
        </w:rPr>
        <w:t xml:space="preserve">high </w:t>
      </w:r>
      <w:r w:rsidR="00EE4427">
        <w:rPr>
          <w:color w:val="000000" w:themeColor="text1"/>
        </w:rPr>
        <w:t>prevalence</w:t>
      </w:r>
      <w:r w:rsidRPr="0060550E">
        <w:rPr>
          <w:color w:val="000000" w:themeColor="text1"/>
        </w:rPr>
        <w:t xml:space="preserve"> of CT and </w:t>
      </w:r>
      <w:r w:rsidR="00393D52">
        <w:rPr>
          <w:color w:val="000000" w:themeColor="text1"/>
        </w:rPr>
        <w:t>NG</w:t>
      </w:r>
      <w:r w:rsidRPr="0060550E">
        <w:rPr>
          <w:color w:val="000000" w:themeColor="text1"/>
        </w:rPr>
        <w:t xml:space="preserve"> </w:t>
      </w:r>
      <w:r w:rsidR="0060550E" w:rsidRPr="0060550E">
        <w:rPr>
          <w:color w:val="000000" w:themeColor="text1"/>
        </w:rPr>
        <w:t xml:space="preserve">infection </w:t>
      </w:r>
      <w:r w:rsidRPr="0060550E">
        <w:rPr>
          <w:color w:val="000000" w:themeColor="text1"/>
        </w:rPr>
        <w:t xml:space="preserve">at extragenital sites without concurrent urethral infection in asymptomatic </w:t>
      </w:r>
      <w:r w:rsidR="00231208">
        <w:rPr>
          <w:color w:val="000000" w:themeColor="text1"/>
        </w:rPr>
        <w:t xml:space="preserve">cisgender </w:t>
      </w:r>
      <w:r w:rsidRPr="0060550E">
        <w:rPr>
          <w:color w:val="000000" w:themeColor="text1"/>
        </w:rPr>
        <w:t>MSM</w:t>
      </w:r>
      <w:r w:rsidR="0060550E" w:rsidRPr="0060550E">
        <w:rPr>
          <w:color w:val="000000" w:themeColor="text1"/>
        </w:rPr>
        <w:t>. Th</w:t>
      </w:r>
      <w:r w:rsidR="00156FF8">
        <w:rPr>
          <w:color w:val="000000" w:themeColor="text1"/>
        </w:rPr>
        <w:t xml:space="preserve">is </w:t>
      </w:r>
      <w:r w:rsidR="0060550E" w:rsidRPr="0060550E">
        <w:rPr>
          <w:color w:val="000000" w:themeColor="text1"/>
        </w:rPr>
        <w:t>provide</w:t>
      </w:r>
      <w:r w:rsidR="00156FF8">
        <w:rPr>
          <w:color w:val="000000" w:themeColor="text1"/>
        </w:rPr>
        <w:t>s</w:t>
      </w:r>
      <w:r w:rsidR="0060550E" w:rsidRPr="0060550E">
        <w:rPr>
          <w:color w:val="000000" w:themeColor="text1"/>
        </w:rPr>
        <w:t xml:space="preserve"> further </w:t>
      </w:r>
      <w:r w:rsidR="00156FF8">
        <w:rPr>
          <w:color w:val="000000" w:themeColor="text1"/>
        </w:rPr>
        <w:t xml:space="preserve">UK-specific </w:t>
      </w:r>
      <w:r w:rsidR="0060550E" w:rsidRPr="0060550E">
        <w:rPr>
          <w:color w:val="000000" w:themeColor="text1"/>
        </w:rPr>
        <w:t xml:space="preserve">support for </w:t>
      </w:r>
      <w:r w:rsidRPr="0060550E">
        <w:rPr>
          <w:color w:val="000000" w:themeColor="text1"/>
        </w:rPr>
        <w:t>three</w:t>
      </w:r>
      <w:r w:rsidR="0060550E" w:rsidRPr="0060550E">
        <w:rPr>
          <w:color w:val="000000" w:themeColor="text1"/>
        </w:rPr>
        <w:t>-</w:t>
      </w:r>
      <w:r w:rsidRPr="0060550E">
        <w:rPr>
          <w:color w:val="000000" w:themeColor="text1"/>
        </w:rPr>
        <w:t xml:space="preserve">site </w:t>
      </w:r>
      <w:r w:rsidR="0060550E" w:rsidRPr="0060550E">
        <w:rPr>
          <w:color w:val="000000" w:themeColor="text1"/>
        </w:rPr>
        <w:t xml:space="preserve">screening </w:t>
      </w:r>
      <w:r w:rsidRPr="0060550E">
        <w:rPr>
          <w:color w:val="000000" w:themeColor="text1"/>
        </w:rPr>
        <w:t xml:space="preserve">in this population. </w:t>
      </w:r>
      <w:r w:rsidR="00156FF8">
        <w:rPr>
          <w:color w:val="000000" w:themeColor="text1"/>
        </w:rPr>
        <w:t>S</w:t>
      </w:r>
      <w:r w:rsidR="0060550E" w:rsidRPr="0060550E">
        <w:rPr>
          <w:color w:val="000000" w:themeColor="text1"/>
        </w:rPr>
        <w:t xml:space="preserve">exual health services should </w:t>
      </w:r>
      <w:r w:rsidR="00156FF8">
        <w:rPr>
          <w:color w:val="000000" w:themeColor="text1"/>
        </w:rPr>
        <w:t xml:space="preserve">implement or </w:t>
      </w:r>
      <w:r w:rsidR="0060550E" w:rsidRPr="0060550E">
        <w:rPr>
          <w:color w:val="000000" w:themeColor="text1"/>
        </w:rPr>
        <w:t xml:space="preserve">continue to offer </w:t>
      </w:r>
      <w:r w:rsidR="00156FF8">
        <w:rPr>
          <w:color w:val="000000" w:themeColor="text1"/>
        </w:rPr>
        <w:t xml:space="preserve">free </w:t>
      </w:r>
      <w:r w:rsidR="0060550E" w:rsidRPr="0060550E">
        <w:rPr>
          <w:color w:val="000000" w:themeColor="text1"/>
        </w:rPr>
        <w:t xml:space="preserve">three-site screening to </w:t>
      </w:r>
      <w:r w:rsidR="00156FF8">
        <w:rPr>
          <w:color w:val="000000" w:themeColor="text1"/>
        </w:rPr>
        <w:t xml:space="preserve">asymptomatic </w:t>
      </w:r>
      <w:r w:rsidR="0060550E" w:rsidRPr="0060550E">
        <w:rPr>
          <w:color w:val="000000" w:themeColor="text1"/>
        </w:rPr>
        <w:t xml:space="preserve">MSM </w:t>
      </w:r>
      <w:r w:rsidR="00156FF8">
        <w:rPr>
          <w:color w:val="000000" w:themeColor="text1"/>
        </w:rPr>
        <w:t>to</w:t>
      </w:r>
      <w:r w:rsidR="0060550E">
        <w:rPr>
          <w:color w:val="000000" w:themeColor="text1"/>
        </w:rPr>
        <w:t xml:space="preserve"> prevent onward spread and future </w:t>
      </w:r>
      <w:r w:rsidR="00F46195">
        <w:rPr>
          <w:color w:val="000000" w:themeColor="text1"/>
        </w:rPr>
        <w:t xml:space="preserve">burden of disease. </w:t>
      </w:r>
    </w:p>
    <w:p w14:paraId="5C24F1BE" w14:textId="77777777" w:rsidR="007026D1" w:rsidRDefault="007026D1" w:rsidP="00181C56">
      <w:pPr>
        <w:spacing w:line="480" w:lineRule="auto"/>
        <w:ind w:firstLine="720"/>
        <w:rPr>
          <w:color w:val="000000" w:themeColor="text1"/>
        </w:rPr>
      </w:pPr>
    </w:p>
    <w:p w14:paraId="15AE4E19" w14:textId="2D79C61F" w:rsidR="007026D1" w:rsidRDefault="007026D1" w:rsidP="007026D1">
      <w:pPr>
        <w:spacing w:line="480" w:lineRule="auto"/>
        <w:rPr>
          <w:color w:val="000000" w:themeColor="text1"/>
        </w:rPr>
      </w:pPr>
      <w:r w:rsidRPr="007026D1">
        <w:rPr>
          <w:b/>
          <w:bCs/>
          <w:color w:val="000000" w:themeColor="text1"/>
        </w:rPr>
        <w:t>Competing Interests:</w:t>
      </w:r>
      <w:r>
        <w:rPr>
          <w:color w:val="000000" w:themeColor="text1"/>
        </w:rPr>
        <w:t xml:space="preserve"> Heather Armstrong is on the Editorial Board of BMJ STI. </w:t>
      </w:r>
    </w:p>
    <w:p w14:paraId="1127BE50" w14:textId="0E66F2EC" w:rsidR="007026D1" w:rsidRPr="0073708E" w:rsidRDefault="007026D1" w:rsidP="007026D1">
      <w:pPr>
        <w:pStyle w:val="EndNoteBibliography"/>
        <w:spacing w:after="0" w:line="48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F876A4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Funding: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There were no funding sources for this study. </w:t>
      </w:r>
    </w:p>
    <w:p w14:paraId="4BFF7F03" w14:textId="77777777" w:rsidR="007026D1" w:rsidRDefault="007026D1" w:rsidP="007026D1">
      <w:pPr>
        <w:spacing w:line="480" w:lineRule="auto"/>
        <w:rPr>
          <w:color w:val="000000" w:themeColor="text1"/>
        </w:rPr>
      </w:pPr>
    </w:p>
    <w:p w14:paraId="2044BD8C" w14:textId="08287370" w:rsidR="00E17F6F" w:rsidRDefault="00E17F6F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64ABA65" w14:textId="77777777" w:rsidR="00E17F6F" w:rsidRPr="0073708E" w:rsidRDefault="00E17F6F" w:rsidP="00E17F6F">
      <w:pPr>
        <w:pStyle w:val="EndNoteBibliography"/>
        <w:spacing w:after="0" w:line="480" w:lineRule="auto"/>
        <w:ind w:left="567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t>References</w:t>
      </w:r>
    </w:p>
    <w:p w14:paraId="5BDD9C51" w14:textId="46C7541D" w:rsidR="00E17F6F" w:rsidRPr="0073708E" w:rsidRDefault="00E17F6F" w:rsidP="00E17F6F">
      <w:pPr>
        <w:pStyle w:val="EndNoteBibliography"/>
        <w:numPr>
          <w:ilvl w:val="0"/>
          <w:numId w:val="8"/>
        </w:numPr>
        <w:spacing w:after="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</w:pPr>
      <w:r w:rsidRPr="0073708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Mitchell H, Allen H, </w:t>
      </w:r>
      <w:proofErr w:type="spellStart"/>
      <w:r w:rsidRPr="0073708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Sonubi</w:t>
      </w:r>
      <w:proofErr w:type="spellEnd"/>
      <w:r w:rsidRPr="0073708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T</w:t>
      </w:r>
      <w:r w:rsidR="0072089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, </w:t>
      </w:r>
      <w:r w:rsidRPr="0073708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et al. Sexually transmitted </w:t>
      </w:r>
      <w:proofErr w:type="gramStart"/>
      <w:r w:rsidRPr="0073708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infections</w:t>
      </w:r>
      <w:proofErr w:type="gramEnd"/>
      <w:r w:rsidRPr="0073708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and screening for Chlamydia in England. London: Public Health England. 2019.</w:t>
      </w:r>
    </w:p>
    <w:p w14:paraId="71CCE990" w14:textId="00AC3A11" w:rsidR="00E17F6F" w:rsidRPr="0073708E" w:rsidRDefault="00E17F6F" w:rsidP="00E17F6F">
      <w:pPr>
        <w:pStyle w:val="EndNoteBibliography"/>
        <w:numPr>
          <w:ilvl w:val="0"/>
          <w:numId w:val="8"/>
        </w:numPr>
        <w:spacing w:after="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</w:pP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Lutz AR. Screening for </w:t>
      </w:r>
      <w:r w:rsidR="00226C6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symptomatic </w:t>
      </w:r>
      <w:r w:rsidR="00226C6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e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xtragenital Gonorrhea and Chlamydia in </w:t>
      </w:r>
      <w:r w:rsidR="00226C6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m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en </w:t>
      </w:r>
      <w:r w:rsidR="00226C6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w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ho </w:t>
      </w:r>
      <w:r w:rsidR="00226C6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h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ave </w:t>
      </w:r>
      <w:r w:rsidR="00226C6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ex with </w:t>
      </w:r>
      <w:r w:rsidR="00226C6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m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en: </w:t>
      </w:r>
      <w:r w:rsidR="00226C6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ignificance, </w:t>
      </w:r>
      <w:r w:rsidR="00226C6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r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ecommendations, and </w:t>
      </w:r>
      <w:r w:rsidR="00226C6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o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ptions for </w:t>
      </w:r>
      <w:r w:rsidR="00226C6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o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vercoming </w:t>
      </w:r>
      <w:r w:rsidR="00226C6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b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arriers to </w:t>
      </w:r>
      <w:r w:rsidR="00226C6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esting. </w:t>
      </w:r>
      <w:r w:rsidRPr="0073708E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>LGBT Health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2015;2(1):27-34.</w:t>
      </w:r>
    </w:p>
    <w:p w14:paraId="0BD96FD2" w14:textId="6B6940D9" w:rsidR="00E17F6F" w:rsidRPr="0073708E" w:rsidRDefault="00E17F6F" w:rsidP="00E17F6F">
      <w:pPr>
        <w:pStyle w:val="EndNoteBibliography"/>
        <w:numPr>
          <w:ilvl w:val="0"/>
          <w:numId w:val="8"/>
        </w:numPr>
        <w:spacing w:after="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</w:pP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Patton ME, Kidd S, Llata E, et al. Extragenital Gonorrhea and Chlamydia </w:t>
      </w:r>
      <w:r w:rsidR="00226C6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esting and </w:t>
      </w:r>
      <w:r w:rsidR="00226C6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i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nfection </w:t>
      </w:r>
      <w:r w:rsidR="00226C6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</w:t>
      </w:r>
      <w:r w:rsidR="001F7DC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mong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226C6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m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en </w:t>
      </w:r>
      <w:r w:rsidR="00226C6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w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ho </w:t>
      </w:r>
      <w:r w:rsidR="00226C6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h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ave </w:t>
      </w:r>
      <w:r w:rsidR="00226C6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ex </w:t>
      </w:r>
      <w:r w:rsidR="00226C6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w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ith </w:t>
      </w:r>
      <w:r w:rsidR="00226C6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m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en—STD Surveillance Network, United States, 2010–2012. </w:t>
      </w:r>
      <w:r w:rsidRPr="0073708E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>Clin Infect Dis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2014;58(11):1564-70.</w:t>
      </w:r>
    </w:p>
    <w:p w14:paraId="26DC14A8" w14:textId="6C0CCB63" w:rsidR="00E17F6F" w:rsidRPr="0073708E" w:rsidRDefault="00E17F6F" w:rsidP="00E17F6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Durukan</w:t>
      </w:r>
      <w:proofErr w:type="spellEnd"/>
      <w:r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D, Read TR, Bradshaw CS, </w:t>
      </w:r>
      <w:r w:rsidR="00226C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et al</w:t>
      </w:r>
      <w:r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Pooling pharyngeal, anorectal, and urogenital samples for screening asymptomatic men who have sex with men for Chlamydia trachomatis and Neisseria gonorrhoeae. </w:t>
      </w:r>
      <w:r w:rsidRPr="00226C6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J </w:t>
      </w:r>
      <w:r w:rsidR="00226C6B" w:rsidRPr="00226C6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C</w:t>
      </w:r>
      <w:r w:rsidRPr="00226C6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lin </w:t>
      </w:r>
      <w:proofErr w:type="spellStart"/>
      <w:r w:rsidR="00226C6B" w:rsidRPr="00226C6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M</w:t>
      </w:r>
      <w:r w:rsidRPr="00226C6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icrobiol</w:t>
      </w:r>
      <w:proofErr w:type="spellEnd"/>
      <w:r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2020;58(5</w:t>
      </w:r>
      <w:proofErr w:type="gramStart"/>
      <w:r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):e</w:t>
      </w:r>
      <w:proofErr w:type="gramEnd"/>
      <w:r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01969-19.</w:t>
      </w:r>
    </w:p>
    <w:p w14:paraId="23E615A5" w14:textId="6A5A1D68" w:rsidR="00E17F6F" w:rsidRPr="0073708E" w:rsidRDefault="00E17F6F" w:rsidP="00E17F6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Glick SN, Morris M, Foxman B, et al. A comparison of sexual behavior patterns </w:t>
      </w:r>
      <w:r w:rsidR="001F7DC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among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men who have sex with men and heterosexual men and women. </w:t>
      </w:r>
      <w:r w:rsidRPr="0073708E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>J Acquir Immune Defic Syndr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2012;60(1):83-90.</w:t>
      </w:r>
    </w:p>
    <w:p w14:paraId="3FDC9B98" w14:textId="70355AB5" w:rsidR="00E17F6F" w:rsidRPr="0073708E" w:rsidRDefault="00E17F6F" w:rsidP="00E17F6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Hibbert MP, Brett CE, </w:t>
      </w:r>
      <w:proofErr w:type="spellStart"/>
      <w:r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Porcellato</w:t>
      </w:r>
      <w:proofErr w:type="spellEnd"/>
      <w:r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LA, </w:t>
      </w:r>
      <w:r w:rsidR="000679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et al</w:t>
      </w:r>
      <w:r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Psychosocial and sexual characteristics associated with sexualised drug use and </w:t>
      </w:r>
      <w:proofErr w:type="spellStart"/>
      <w:r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chemsex</w:t>
      </w:r>
      <w:proofErr w:type="spellEnd"/>
      <w:r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F7D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among</w:t>
      </w:r>
      <w:r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men who have sex with men (MSM) in the UK. </w:t>
      </w:r>
      <w:r w:rsidR="000679E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Sex </w:t>
      </w:r>
      <w:proofErr w:type="spellStart"/>
      <w:r w:rsidR="000679E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Transm</w:t>
      </w:r>
      <w:proofErr w:type="spellEnd"/>
      <w:r w:rsidR="000679E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Infect</w:t>
      </w:r>
      <w:r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2019;95(5):342-50.</w:t>
      </w:r>
    </w:p>
    <w:p w14:paraId="6629DC89" w14:textId="1957B538" w:rsidR="00E17F6F" w:rsidRDefault="00E17F6F" w:rsidP="00E17F6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Chen YH, </w:t>
      </w:r>
      <w:proofErr w:type="spellStart"/>
      <w:r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Guigayoma</w:t>
      </w:r>
      <w:proofErr w:type="spellEnd"/>
      <w:r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J, McFarland W,</w:t>
      </w:r>
      <w:r w:rsidR="000679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et al</w:t>
      </w:r>
      <w:r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Increases in pre-exposure prophylaxis use and decreases in condom use: </w:t>
      </w:r>
      <w:proofErr w:type="spellStart"/>
      <w:r w:rsidR="000679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</w:t>
      </w:r>
      <w:r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ehavioral</w:t>
      </w:r>
      <w:proofErr w:type="spellEnd"/>
      <w:r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patterns </w:t>
      </w:r>
      <w:r w:rsidR="001F7D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amongst</w:t>
      </w:r>
      <w:r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HIV-negative San Francisco men who have sex with men, 2004–2017. </w:t>
      </w:r>
      <w:r w:rsidR="000679E7" w:rsidRPr="000679E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AIDS </w:t>
      </w:r>
      <w:proofErr w:type="spellStart"/>
      <w:r w:rsidR="000679E7" w:rsidRPr="000679E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Behav</w:t>
      </w:r>
      <w:proofErr w:type="spellEnd"/>
      <w:r w:rsidR="000679E7"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2019;23(7):1841-5.</w:t>
      </w:r>
    </w:p>
    <w:p w14:paraId="54CFEBC7" w14:textId="0E060EFE" w:rsidR="00EF5A37" w:rsidRPr="00EF5A37" w:rsidRDefault="00EF5A37" w:rsidP="00E17F6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F5A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Clutterbuck 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EF5A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F5A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Asboe D, Barber T,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et al</w:t>
      </w:r>
      <w:r w:rsidRPr="00EF5A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2016 United Kingdom national guideline on the sexual health care of men who have sex with men. </w:t>
      </w:r>
      <w:r w:rsidRPr="00EF5A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 J STD AIDS</w:t>
      </w:r>
      <w:r w:rsidRPr="00EF5A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2018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;0(0):1-46.</w:t>
      </w:r>
    </w:p>
    <w:p w14:paraId="6EFE6AD4" w14:textId="7B97C779" w:rsidR="00E17F6F" w:rsidRPr="0073708E" w:rsidRDefault="00E17F6F" w:rsidP="00E17F6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Mustanski B, Phillips G, Ryan DT, et al. Prospective </w:t>
      </w:r>
      <w:r w:rsidR="000679E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e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ffects of a </w:t>
      </w:r>
      <w:r w:rsidR="000679E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yndemic on HIV and STI </w:t>
      </w:r>
      <w:r w:rsidR="000679E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i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ncidence and </w:t>
      </w:r>
      <w:r w:rsidR="000679E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r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isk </w:t>
      </w:r>
      <w:r w:rsidR="000679E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b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ehaviors in a </w:t>
      </w:r>
      <w:r w:rsidR="000679E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c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ohort of </w:t>
      </w:r>
      <w:r w:rsidR="000679E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y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oung </w:t>
      </w:r>
      <w:r w:rsidR="000679E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m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en </w:t>
      </w:r>
      <w:r w:rsidR="000679E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w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ho </w:t>
      </w:r>
      <w:r w:rsidR="000679E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h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ave </w:t>
      </w:r>
      <w:r w:rsidR="000679E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ex with </w:t>
      </w:r>
      <w:r w:rsidR="000679E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m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en. </w:t>
      </w:r>
      <w:r w:rsidRPr="0073708E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>AIDS Behav</w:t>
      </w:r>
      <w:r w:rsidRPr="007370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2017;21(3):845-57.</w:t>
      </w:r>
    </w:p>
    <w:p w14:paraId="31437398" w14:textId="6BB38C15" w:rsidR="00F76F9B" w:rsidRDefault="00E17F6F" w:rsidP="00EF5A37">
      <w:pPr>
        <w:pStyle w:val="ListParagraph"/>
        <w:numPr>
          <w:ilvl w:val="0"/>
          <w:numId w:val="8"/>
        </w:numPr>
        <w:spacing w:after="0"/>
        <w:rPr>
          <w:noProof/>
          <w:lang w:val="en-US"/>
        </w:rPr>
      </w:pPr>
      <w:r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van </w:t>
      </w:r>
      <w:proofErr w:type="spellStart"/>
      <w:r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Liere</w:t>
      </w:r>
      <w:proofErr w:type="spellEnd"/>
      <w:r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GA, </w:t>
      </w:r>
      <w:proofErr w:type="spellStart"/>
      <w:r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Hoebe</w:t>
      </w:r>
      <w:proofErr w:type="spellEnd"/>
      <w:r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CJ, Dirks JA, </w:t>
      </w:r>
      <w:r w:rsidR="007350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et al</w:t>
      </w:r>
      <w:r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Spontaneous clearance of urogenital, </w:t>
      </w:r>
      <w:proofErr w:type="gramStart"/>
      <w:r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anorectal</w:t>
      </w:r>
      <w:proofErr w:type="gramEnd"/>
      <w:r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and oropharyngeal Chlamydia trachomatis and Neisseria gonorrhoeae in women, MSM and heterosexual men visiting the STI clinic: a prospective cohort study. </w:t>
      </w:r>
      <w:r w:rsidR="0073503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Sex </w:t>
      </w:r>
      <w:proofErr w:type="spellStart"/>
      <w:r w:rsidR="0073503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Transm</w:t>
      </w:r>
      <w:proofErr w:type="spellEnd"/>
      <w:r w:rsidR="0073503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Infect</w:t>
      </w:r>
      <w:r w:rsidR="00735030"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37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2019;95(7):505-10.</w:t>
      </w:r>
      <w:r w:rsidR="00F76F9B">
        <w:rPr>
          <w:noProof/>
        </w:rPr>
        <w:br w:type="page"/>
      </w:r>
    </w:p>
    <w:p w14:paraId="34C242CA" w14:textId="77BBF3BA" w:rsidR="0047451D" w:rsidRDefault="00F76F9B" w:rsidP="00F76F9B">
      <w:pPr>
        <w:pStyle w:val="EndNoteBibliography"/>
        <w:spacing w:after="0" w:line="48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t>Table 1. Prevalence of asymptomatic CT and NG among cisgender MSM who self-test online</w:t>
      </w:r>
    </w:p>
    <w:tbl>
      <w:tblPr>
        <w:tblStyle w:val="TableGrid"/>
        <w:tblW w:w="9781" w:type="dxa"/>
        <w:tblLayout w:type="fixed"/>
        <w:tblLook w:val="04A0" w:firstRow="1" w:lastRow="0" w:firstColumn="1" w:lastColumn="0" w:noHBand="0" w:noVBand="1"/>
      </w:tblPr>
      <w:tblGrid>
        <w:gridCol w:w="2462"/>
        <w:gridCol w:w="1203"/>
        <w:gridCol w:w="1203"/>
        <w:gridCol w:w="1369"/>
        <w:gridCol w:w="1039"/>
        <w:gridCol w:w="1203"/>
        <w:gridCol w:w="1302"/>
      </w:tblGrid>
      <w:tr w:rsidR="005B50C0" w14:paraId="627E4137" w14:textId="77777777" w:rsidTr="009B0F82">
        <w:trPr>
          <w:trHeight w:val="343"/>
        </w:trPr>
        <w:tc>
          <w:tcPr>
            <w:tcW w:w="24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4D990E" w14:textId="77777777" w:rsidR="005B50C0" w:rsidRDefault="005B50C0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7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C03BC" w14:textId="4A159E56" w:rsidR="005B50C0" w:rsidRDefault="005B50C0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CT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D90C60" w14:textId="60A95D2A" w:rsidR="005B50C0" w:rsidRDefault="00545951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NG</w:t>
            </w:r>
          </w:p>
        </w:tc>
      </w:tr>
      <w:tr w:rsidR="00A36E09" w14:paraId="6614C544" w14:textId="77777777" w:rsidTr="009B0F82">
        <w:trPr>
          <w:trHeight w:val="642"/>
        </w:trPr>
        <w:tc>
          <w:tcPr>
            <w:tcW w:w="246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4561778" w14:textId="77777777" w:rsidR="00A36E09" w:rsidRDefault="00A36E09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5CF13CF" w14:textId="790DB67F" w:rsidR="00A36E09" w:rsidRDefault="00A36E09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20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437D566" w14:textId="5C67F3B7" w:rsidR="00A36E09" w:rsidRDefault="00A36E09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Positive </w:t>
            </w:r>
            <w:r w:rsidR="0054595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Cases</w:t>
            </w:r>
          </w:p>
        </w:tc>
        <w:tc>
          <w:tcPr>
            <w:tcW w:w="136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284CB" w14:textId="729818ED" w:rsidR="00A36E09" w:rsidRDefault="00A36E09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Prevalence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7977982" w14:textId="606087AE" w:rsidR="00A36E09" w:rsidRDefault="00A36E09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20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91D3815" w14:textId="1AFD9D0F" w:rsidR="00A36E09" w:rsidRDefault="00A36E09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Positive </w:t>
            </w:r>
            <w:r w:rsidR="0054595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Cases</w:t>
            </w:r>
          </w:p>
        </w:tc>
        <w:tc>
          <w:tcPr>
            <w:tcW w:w="13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0FD5EE4" w14:textId="6B1A56C2" w:rsidR="00A36E09" w:rsidRDefault="00A36E09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Prevalence</w:t>
            </w:r>
          </w:p>
        </w:tc>
      </w:tr>
      <w:tr w:rsidR="00A36E09" w14:paraId="448C31EE" w14:textId="77777777" w:rsidTr="009B0F82">
        <w:trPr>
          <w:trHeight w:val="343"/>
        </w:trPr>
        <w:tc>
          <w:tcPr>
            <w:tcW w:w="2462" w:type="dxa"/>
            <w:tcBorders>
              <w:left w:val="nil"/>
            </w:tcBorders>
          </w:tcPr>
          <w:p w14:paraId="2098D1F8" w14:textId="4F3ED673" w:rsidR="00A36E09" w:rsidRDefault="00A36E09" w:rsidP="005B50C0">
            <w:pPr>
              <w:pStyle w:val="EndNoteBibliography"/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Overall</w:t>
            </w:r>
          </w:p>
        </w:tc>
        <w:tc>
          <w:tcPr>
            <w:tcW w:w="1203" w:type="dxa"/>
            <w:vAlign w:val="center"/>
          </w:tcPr>
          <w:p w14:paraId="21BBDBA8" w14:textId="09DF240D" w:rsidR="00A36E09" w:rsidRDefault="00A36E09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5051</w:t>
            </w:r>
          </w:p>
        </w:tc>
        <w:tc>
          <w:tcPr>
            <w:tcW w:w="1203" w:type="dxa"/>
            <w:vAlign w:val="center"/>
          </w:tcPr>
          <w:p w14:paraId="3EE6773A" w14:textId="02ED9136" w:rsidR="00A36E09" w:rsidRDefault="00A36E09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369" w:type="dxa"/>
            <w:vAlign w:val="center"/>
          </w:tcPr>
          <w:p w14:paraId="2A78B294" w14:textId="092F8AA9" w:rsidR="00A36E09" w:rsidRDefault="00A36E09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5.9%</w:t>
            </w:r>
          </w:p>
        </w:tc>
        <w:tc>
          <w:tcPr>
            <w:tcW w:w="1039" w:type="dxa"/>
            <w:vAlign w:val="center"/>
          </w:tcPr>
          <w:p w14:paraId="3D494CEA" w14:textId="565B08AC" w:rsidR="00A36E09" w:rsidRDefault="00A36E09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5040</w:t>
            </w:r>
          </w:p>
        </w:tc>
        <w:tc>
          <w:tcPr>
            <w:tcW w:w="1203" w:type="dxa"/>
            <w:vAlign w:val="center"/>
          </w:tcPr>
          <w:p w14:paraId="401873AA" w14:textId="5AB5260F" w:rsidR="00A36E09" w:rsidRDefault="00A36E09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228</w:t>
            </w:r>
          </w:p>
        </w:tc>
        <w:tc>
          <w:tcPr>
            <w:tcW w:w="1302" w:type="dxa"/>
            <w:tcBorders>
              <w:right w:val="nil"/>
            </w:tcBorders>
            <w:vAlign w:val="center"/>
          </w:tcPr>
          <w:p w14:paraId="051A259D" w14:textId="745F81C3" w:rsidR="00A36E09" w:rsidRDefault="00A36E09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4.5%</w:t>
            </w:r>
          </w:p>
        </w:tc>
      </w:tr>
      <w:tr w:rsidR="00A36E09" w14:paraId="64CD72D4" w14:textId="77777777" w:rsidTr="009B0F82">
        <w:trPr>
          <w:trHeight w:val="343"/>
        </w:trPr>
        <w:tc>
          <w:tcPr>
            <w:tcW w:w="2462" w:type="dxa"/>
            <w:tcBorders>
              <w:left w:val="nil"/>
            </w:tcBorders>
          </w:tcPr>
          <w:p w14:paraId="1961D5F0" w14:textId="19404D60" w:rsidR="00A36E09" w:rsidRDefault="00A36E09" w:rsidP="005B50C0">
            <w:pPr>
              <w:pStyle w:val="EndNoteBibliography"/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Urine</w:t>
            </w:r>
          </w:p>
        </w:tc>
        <w:tc>
          <w:tcPr>
            <w:tcW w:w="1203" w:type="dxa"/>
            <w:vAlign w:val="center"/>
          </w:tcPr>
          <w:p w14:paraId="595906A4" w14:textId="44871D65" w:rsidR="00A36E09" w:rsidRDefault="00A36E09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5051</w:t>
            </w:r>
          </w:p>
        </w:tc>
        <w:tc>
          <w:tcPr>
            <w:tcW w:w="1203" w:type="dxa"/>
            <w:vAlign w:val="center"/>
          </w:tcPr>
          <w:p w14:paraId="4760B318" w14:textId="0B73A369" w:rsidR="00A36E09" w:rsidRDefault="00A36E09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369" w:type="dxa"/>
            <w:vAlign w:val="center"/>
          </w:tcPr>
          <w:p w14:paraId="63C380AD" w14:textId="658C8950" w:rsidR="00A36E09" w:rsidRDefault="00A36E09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1.7%</w:t>
            </w:r>
          </w:p>
        </w:tc>
        <w:tc>
          <w:tcPr>
            <w:tcW w:w="1039" w:type="dxa"/>
            <w:vAlign w:val="center"/>
          </w:tcPr>
          <w:p w14:paraId="1E2516A9" w14:textId="3650AE51" w:rsidR="00A36E09" w:rsidRDefault="005B50C0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5040</w:t>
            </w:r>
          </w:p>
        </w:tc>
        <w:tc>
          <w:tcPr>
            <w:tcW w:w="1203" w:type="dxa"/>
            <w:vAlign w:val="center"/>
          </w:tcPr>
          <w:p w14:paraId="0FE30180" w14:textId="1D042260" w:rsidR="00A36E09" w:rsidRDefault="005B50C0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302" w:type="dxa"/>
            <w:tcBorders>
              <w:right w:val="nil"/>
            </w:tcBorders>
            <w:vAlign w:val="center"/>
          </w:tcPr>
          <w:p w14:paraId="12BD5682" w14:textId="05B16948" w:rsidR="00A36E09" w:rsidRDefault="005B50C0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0.5%</w:t>
            </w:r>
          </w:p>
        </w:tc>
      </w:tr>
      <w:tr w:rsidR="00A36E09" w14:paraId="5936BF10" w14:textId="77777777" w:rsidTr="009B0F82">
        <w:trPr>
          <w:trHeight w:val="343"/>
        </w:trPr>
        <w:tc>
          <w:tcPr>
            <w:tcW w:w="2462" w:type="dxa"/>
            <w:tcBorders>
              <w:left w:val="nil"/>
            </w:tcBorders>
          </w:tcPr>
          <w:p w14:paraId="38BB2627" w14:textId="171E4F98" w:rsidR="00A36E09" w:rsidRDefault="00A36E09" w:rsidP="005B50C0">
            <w:pPr>
              <w:pStyle w:val="EndNoteBibliography"/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Throat</w:t>
            </w:r>
          </w:p>
        </w:tc>
        <w:tc>
          <w:tcPr>
            <w:tcW w:w="1203" w:type="dxa"/>
            <w:vAlign w:val="center"/>
          </w:tcPr>
          <w:p w14:paraId="7EB378A9" w14:textId="6ECD99C9" w:rsidR="00A36E09" w:rsidRDefault="00A36E09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5051</w:t>
            </w:r>
          </w:p>
        </w:tc>
        <w:tc>
          <w:tcPr>
            <w:tcW w:w="1203" w:type="dxa"/>
            <w:vAlign w:val="center"/>
          </w:tcPr>
          <w:p w14:paraId="4628EB13" w14:textId="576B490A" w:rsidR="00A36E09" w:rsidRDefault="00A36E09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369" w:type="dxa"/>
            <w:vAlign w:val="center"/>
          </w:tcPr>
          <w:p w14:paraId="2ACEFF29" w14:textId="78B641B1" w:rsidR="00A36E09" w:rsidRDefault="00A36E09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0.9%</w:t>
            </w:r>
          </w:p>
        </w:tc>
        <w:tc>
          <w:tcPr>
            <w:tcW w:w="1039" w:type="dxa"/>
            <w:vAlign w:val="center"/>
          </w:tcPr>
          <w:p w14:paraId="47C15206" w14:textId="13E9DC37" w:rsidR="00A36E09" w:rsidRDefault="005B50C0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5040</w:t>
            </w:r>
          </w:p>
        </w:tc>
        <w:tc>
          <w:tcPr>
            <w:tcW w:w="1203" w:type="dxa"/>
            <w:vAlign w:val="center"/>
          </w:tcPr>
          <w:p w14:paraId="5E74994D" w14:textId="0B9B3F5B" w:rsidR="00A36E09" w:rsidRDefault="005B50C0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143</w:t>
            </w:r>
          </w:p>
        </w:tc>
        <w:tc>
          <w:tcPr>
            <w:tcW w:w="1302" w:type="dxa"/>
            <w:tcBorders>
              <w:right w:val="nil"/>
            </w:tcBorders>
            <w:vAlign w:val="center"/>
          </w:tcPr>
          <w:p w14:paraId="3A2A191B" w14:textId="532A27E8" w:rsidR="00A36E09" w:rsidRDefault="005B50C0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2.8%</w:t>
            </w:r>
          </w:p>
        </w:tc>
      </w:tr>
      <w:tr w:rsidR="00A36E09" w14:paraId="1900B5E9" w14:textId="77777777" w:rsidTr="009B0F82">
        <w:trPr>
          <w:trHeight w:val="343"/>
        </w:trPr>
        <w:tc>
          <w:tcPr>
            <w:tcW w:w="2462" w:type="dxa"/>
            <w:tcBorders>
              <w:left w:val="nil"/>
            </w:tcBorders>
          </w:tcPr>
          <w:p w14:paraId="244C9F0F" w14:textId="43A1DDFA" w:rsidR="00A36E09" w:rsidRDefault="00A36E09" w:rsidP="005B50C0">
            <w:pPr>
              <w:pStyle w:val="EndNoteBibliography"/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Rectum</w:t>
            </w:r>
          </w:p>
        </w:tc>
        <w:tc>
          <w:tcPr>
            <w:tcW w:w="1203" w:type="dxa"/>
            <w:vAlign w:val="center"/>
          </w:tcPr>
          <w:p w14:paraId="2A7EB88D" w14:textId="67666A8D" w:rsidR="00A36E09" w:rsidRDefault="00A36E09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5051</w:t>
            </w:r>
          </w:p>
        </w:tc>
        <w:tc>
          <w:tcPr>
            <w:tcW w:w="1203" w:type="dxa"/>
            <w:vAlign w:val="center"/>
          </w:tcPr>
          <w:p w14:paraId="5A7AB23E" w14:textId="5B753DBD" w:rsidR="00A36E09" w:rsidRDefault="00A36E09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215</w:t>
            </w:r>
          </w:p>
        </w:tc>
        <w:tc>
          <w:tcPr>
            <w:tcW w:w="1369" w:type="dxa"/>
            <w:vAlign w:val="center"/>
          </w:tcPr>
          <w:p w14:paraId="3014D721" w14:textId="28E6CFBE" w:rsidR="00A36E09" w:rsidRDefault="00A36E09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4.3%</w:t>
            </w:r>
          </w:p>
        </w:tc>
        <w:tc>
          <w:tcPr>
            <w:tcW w:w="1039" w:type="dxa"/>
            <w:vAlign w:val="center"/>
          </w:tcPr>
          <w:p w14:paraId="7C559323" w14:textId="4C43E240" w:rsidR="00A36E09" w:rsidRDefault="005B50C0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5040</w:t>
            </w:r>
          </w:p>
        </w:tc>
        <w:tc>
          <w:tcPr>
            <w:tcW w:w="1203" w:type="dxa"/>
            <w:vAlign w:val="center"/>
          </w:tcPr>
          <w:p w14:paraId="79FAA1CB" w14:textId="3D5C4FA9" w:rsidR="00A36E09" w:rsidRDefault="005B50C0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1302" w:type="dxa"/>
            <w:tcBorders>
              <w:right w:val="nil"/>
            </w:tcBorders>
            <w:vAlign w:val="center"/>
          </w:tcPr>
          <w:p w14:paraId="1F1DE128" w14:textId="60FBB13F" w:rsidR="00A36E09" w:rsidRDefault="005B50C0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2.2%</w:t>
            </w:r>
          </w:p>
        </w:tc>
      </w:tr>
      <w:tr w:rsidR="00A36E09" w14:paraId="7688A027" w14:textId="77777777" w:rsidTr="009B0F82">
        <w:trPr>
          <w:trHeight w:val="639"/>
        </w:trPr>
        <w:tc>
          <w:tcPr>
            <w:tcW w:w="2462" w:type="dxa"/>
            <w:tcBorders>
              <w:left w:val="nil"/>
            </w:tcBorders>
          </w:tcPr>
          <w:p w14:paraId="4B4F7526" w14:textId="2BC9F3E9" w:rsidR="00A36E09" w:rsidRDefault="00A36E09" w:rsidP="005B50C0">
            <w:pPr>
              <w:pStyle w:val="EndNoteBibliography"/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Genital (with or without co-infection)</w:t>
            </w:r>
          </w:p>
        </w:tc>
        <w:tc>
          <w:tcPr>
            <w:tcW w:w="1203" w:type="dxa"/>
            <w:vAlign w:val="center"/>
          </w:tcPr>
          <w:p w14:paraId="424E13E9" w14:textId="5FED8200" w:rsidR="00A36E09" w:rsidRDefault="00A36E09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203" w:type="dxa"/>
            <w:vAlign w:val="center"/>
          </w:tcPr>
          <w:p w14:paraId="485EBB12" w14:textId="17B9ACC0" w:rsidR="00A36E09" w:rsidRDefault="00A36E09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369" w:type="dxa"/>
            <w:vAlign w:val="center"/>
          </w:tcPr>
          <w:p w14:paraId="753B6AD1" w14:textId="74457747" w:rsidR="00A36E09" w:rsidRDefault="00A36E09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28.2%</w:t>
            </w:r>
          </w:p>
        </w:tc>
        <w:tc>
          <w:tcPr>
            <w:tcW w:w="1039" w:type="dxa"/>
            <w:vAlign w:val="center"/>
          </w:tcPr>
          <w:p w14:paraId="7CCF0F8D" w14:textId="3BD6EFF3" w:rsidR="00A36E09" w:rsidRDefault="005B50C0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228</w:t>
            </w:r>
          </w:p>
        </w:tc>
        <w:tc>
          <w:tcPr>
            <w:tcW w:w="1203" w:type="dxa"/>
            <w:vAlign w:val="center"/>
          </w:tcPr>
          <w:p w14:paraId="2E948D3C" w14:textId="4C0A66C1" w:rsidR="00A36E09" w:rsidRDefault="00A36E09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302" w:type="dxa"/>
            <w:tcBorders>
              <w:right w:val="nil"/>
            </w:tcBorders>
            <w:vAlign w:val="center"/>
          </w:tcPr>
          <w:p w14:paraId="13FAF7C3" w14:textId="22F10134" w:rsidR="00A36E09" w:rsidRDefault="005B50C0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10.1%</w:t>
            </w:r>
          </w:p>
        </w:tc>
      </w:tr>
      <w:tr w:rsidR="00A36E09" w14:paraId="7B2A35E8" w14:textId="77777777" w:rsidTr="009B0F82">
        <w:trPr>
          <w:trHeight w:val="343"/>
        </w:trPr>
        <w:tc>
          <w:tcPr>
            <w:tcW w:w="2462" w:type="dxa"/>
            <w:tcBorders>
              <w:left w:val="nil"/>
            </w:tcBorders>
          </w:tcPr>
          <w:p w14:paraId="4B54EFEA" w14:textId="1D62FDC5" w:rsidR="00A36E09" w:rsidRDefault="00A36E09" w:rsidP="005B50C0">
            <w:pPr>
              <w:pStyle w:val="EndNoteBibliography"/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Extragenital only</w:t>
            </w:r>
          </w:p>
        </w:tc>
        <w:tc>
          <w:tcPr>
            <w:tcW w:w="1203" w:type="dxa"/>
            <w:vAlign w:val="center"/>
          </w:tcPr>
          <w:p w14:paraId="1484BDB3" w14:textId="78D54678" w:rsidR="00A36E09" w:rsidRDefault="00A36E09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203" w:type="dxa"/>
            <w:vAlign w:val="center"/>
          </w:tcPr>
          <w:p w14:paraId="436E3FC3" w14:textId="1F82D912" w:rsidR="00A36E09" w:rsidRDefault="00A36E09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214</w:t>
            </w:r>
          </w:p>
        </w:tc>
        <w:tc>
          <w:tcPr>
            <w:tcW w:w="1369" w:type="dxa"/>
            <w:vAlign w:val="center"/>
          </w:tcPr>
          <w:p w14:paraId="7790FD78" w14:textId="597503ED" w:rsidR="00A36E09" w:rsidRDefault="00A36E09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71.8%</w:t>
            </w:r>
          </w:p>
        </w:tc>
        <w:tc>
          <w:tcPr>
            <w:tcW w:w="1039" w:type="dxa"/>
            <w:vAlign w:val="center"/>
          </w:tcPr>
          <w:p w14:paraId="1058D870" w14:textId="38197591" w:rsidR="00A36E09" w:rsidRDefault="005B50C0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228</w:t>
            </w:r>
          </w:p>
        </w:tc>
        <w:tc>
          <w:tcPr>
            <w:tcW w:w="1203" w:type="dxa"/>
            <w:vAlign w:val="center"/>
          </w:tcPr>
          <w:p w14:paraId="3B73ED45" w14:textId="6331EDA7" w:rsidR="00A36E09" w:rsidRDefault="00A36E09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205</w:t>
            </w:r>
          </w:p>
        </w:tc>
        <w:tc>
          <w:tcPr>
            <w:tcW w:w="1302" w:type="dxa"/>
            <w:tcBorders>
              <w:right w:val="nil"/>
            </w:tcBorders>
            <w:vAlign w:val="center"/>
          </w:tcPr>
          <w:p w14:paraId="69624CD3" w14:textId="063AB934" w:rsidR="00A36E09" w:rsidRDefault="005B50C0" w:rsidP="005B50C0">
            <w:pPr>
              <w:pStyle w:val="EndNoteBibliography"/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89.9%</w:t>
            </w:r>
          </w:p>
        </w:tc>
      </w:tr>
    </w:tbl>
    <w:p w14:paraId="00821937" w14:textId="77777777" w:rsidR="00F76F9B" w:rsidRDefault="00F76F9B" w:rsidP="00A36E09">
      <w:pPr>
        <w:pStyle w:val="EndNoteBibliography"/>
        <w:spacing w:after="0" w:line="48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4C8D32A1" w14:textId="77777777" w:rsidR="00E17F6F" w:rsidRPr="0073708E" w:rsidRDefault="00E17F6F" w:rsidP="00E17F6F">
      <w:pPr>
        <w:pStyle w:val="EndNoteBibliography"/>
        <w:spacing w:after="0" w:line="480" w:lineRule="auto"/>
        <w:ind w:left="567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12E13F6B" w14:textId="7C6B5C64" w:rsidR="0017193F" w:rsidRDefault="0017193F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36F3535" w14:textId="77777777" w:rsidR="0017193F" w:rsidRDefault="0017193F" w:rsidP="0017193F">
      <w:r>
        <w:lastRenderedPageBreak/>
        <w:t>Contributor Statement</w:t>
      </w:r>
    </w:p>
    <w:p w14:paraId="4C58EE7F" w14:textId="77777777" w:rsidR="0017193F" w:rsidRDefault="0017193F" w:rsidP="0017193F"/>
    <w:p w14:paraId="0AC2597A" w14:textId="77777777" w:rsidR="0017193F" w:rsidRDefault="0017193F" w:rsidP="0017193F">
      <w:r>
        <w:t xml:space="preserve">Gideon </w:t>
      </w:r>
      <w:proofErr w:type="spellStart"/>
      <w:r>
        <w:t>Charin</w:t>
      </w:r>
      <w:proofErr w:type="spellEnd"/>
      <w:r>
        <w:t xml:space="preserve"> conducted the data analysis and wrote the first version of the manuscript. He also contributed to and approved revisions for the final version. </w:t>
      </w:r>
    </w:p>
    <w:p w14:paraId="5CEF60E7" w14:textId="77777777" w:rsidR="0017193F" w:rsidRDefault="0017193F" w:rsidP="0017193F"/>
    <w:p w14:paraId="666577F9" w14:textId="77777777" w:rsidR="0017193F" w:rsidRDefault="0017193F" w:rsidP="0017193F">
      <w:r>
        <w:t>Ynez Symonds oversees the STI screening program and conceptualised the research. She provided support for data analysis and contributed to and approved revisions for the final version.</w:t>
      </w:r>
    </w:p>
    <w:p w14:paraId="5DB88789" w14:textId="77777777" w:rsidR="0017193F" w:rsidRDefault="0017193F" w:rsidP="0017193F"/>
    <w:p w14:paraId="0B348B2F" w14:textId="77777777" w:rsidR="0017193F" w:rsidRDefault="0017193F" w:rsidP="0017193F">
      <w:r>
        <w:t xml:space="preserve">Clare </w:t>
      </w:r>
      <w:proofErr w:type="spellStart"/>
      <w:r>
        <w:t>Scholfield</w:t>
      </w:r>
      <w:proofErr w:type="spellEnd"/>
      <w:r>
        <w:t xml:space="preserve"> oversees the STI screening program and conceptualised the research. She provided support for data analysis and contributed to and approved revisions for the final version.</w:t>
      </w:r>
    </w:p>
    <w:p w14:paraId="79CC3993" w14:textId="77777777" w:rsidR="0017193F" w:rsidRDefault="0017193F" w:rsidP="0017193F"/>
    <w:p w14:paraId="2AC9C2C0" w14:textId="77777777" w:rsidR="0017193F" w:rsidRDefault="0017193F" w:rsidP="0017193F">
      <w:r>
        <w:t>Cynthia A. Graham provided significant contributions to the interpretation of the data. She also provided substantial revisions, and approval, for the final version.</w:t>
      </w:r>
    </w:p>
    <w:p w14:paraId="19410D74" w14:textId="77777777" w:rsidR="0017193F" w:rsidRDefault="0017193F" w:rsidP="0017193F"/>
    <w:p w14:paraId="6FADDC7A" w14:textId="77777777" w:rsidR="0017193F" w:rsidRDefault="0017193F" w:rsidP="0017193F">
      <w:r>
        <w:t xml:space="preserve">Heather L. Armstrong conceptualised the research, conducted the data analysis, and co-wrote the final manuscript. She has reviewed and approved all revisions for the final version. </w:t>
      </w:r>
    </w:p>
    <w:p w14:paraId="3DC46BFA" w14:textId="77777777" w:rsidR="00E17F6F" w:rsidRPr="00F46195" w:rsidRDefault="00E17F6F" w:rsidP="00E17F6F">
      <w:pPr>
        <w:spacing w:line="480" w:lineRule="auto"/>
        <w:rPr>
          <w:color w:val="000000" w:themeColor="text1"/>
        </w:rPr>
      </w:pPr>
    </w:p>
    <w:sectPr w:rsidR="00E17F6F" w:rsidRPr="00F46195" w:rsidSect="00122A2E">
      <w:headerReference w:type="even" r:id="rId9"/>
      <w:head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E63AC" w14:textId="77777777" w:rsidR="004F2639" w:rsidRDefault="004F2639" w:rsidP="002B5A36">
      <w:r>
        <w:separator/>
      </w:r>
    </w:p>
  </w:endnote>
  <w:endnote w:type="continuationSeparator" w:id="0">
    <w:p w14:paraId="53977F39" w14:textId="77777777" w:rsidR="004F2639" w:rsidRDefault="004F2639" w:rsidP="002B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F38DB" w14:textId="77777777" w:rsidR="004F2639" w:rsidRDefault="004F2639" w:rsidP="002B5A36">
      <w:r>
        <w:separator/>
      </w:r>
    </w:p>
  </w:footnote>
  <w:footnote w:type="continuationSeparator" w:id="0">
    <w:p w14:paraId="23384028" w14:textId="77777777" w:rsidR="004F2639" w:rsidRDefault="004F2639" w:rsidP="002B5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9043477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16AF530" w14:textId="419650C8" w:rsidR="003B2E31" w:rsidRDefault="003B2E31" w:rsidP="003B2E3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2D36DC" w14:textId="77777777" w:rsidR="003B2E31" w:rsidRDefault="003B2E31" w:rsidP="002B5A3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4076308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AF8CD49" w14:textId="48AD2A81" w:rsidR="003B2E31" w:rsidRDefault="003B2E31" w:rsidP="003B2E3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D0CD6B" w14:textId="0AAA84C7" w:rsidR="003B2E31" w:rsidRDefault="003B2E31" w:rsidP="002B5A36">
    <w:pPr>
      <w:pStyle w:val="Header"/>
      <w:ind w:right="360"/>
    </w:pPr>
    <w:r>
      <w:t xml:space="preserve">Three-site STI screening </w:t>
    </w:r>
    <w:r w:rsidR="001F7DC3">
      <w:t>amongst</w:t>
    </w:r>
    <w:r>
      <w:t xml:space="preserve"> MSM in England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020E7"/>
    <w:multiLevelType w:val="hybridMultilevel"/>
    <w:tmpl w:val="CC64B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D408E"/>
    <w:multiLevelType w:val="hybridMultilevel"/>
    <w:tmpl w:val="AB489194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B9A6AEA"/>
    <w:multiLevelType w:val="hybridMultilevel"/>
    <w:tmpl w:val="ACC8F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4087C"/>
    <w:multiLevelType w:val="hybridMultilevel"/>
    <w:tmpl w:val="5C38419E"/>
    <w:lvl w:ilvl="0" w:tplc="DC6CA7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C5699"/>
    <w:multiLevelType w:val="hybridMultilevel"/>
    <w:tmpl w:val="E1063DFE"/>
    <w:lvl w:ilvl="0" w:tplc="9028CD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D52936"/>
    <w:multiLevelType w:val="hybridMultilevel"/>
    <w:tmpl w:val="847C0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50409"/>
    <w:multiLevelType w:val="hybridMultilevel"/>
    <w:tmpl w:val="15D28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476C0"/>
    <w:multiLevelType w:val="hybridMultilevel"/>
    <w:tmpl w:val="0A34C5D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396055654">
    <w:abstractNumId w:val="7"/>
  </w:num>
  <w:num w:numId="2" w16cid:durableId="802890276">
    <w:abstractNumId w:val="1"/>
  </w:num>
  <w:num w:numId="3" w16cid:durableId="1281759755">
    <w:abstractNumId w:val="6"/>
  </w:num>
  <w:num w:numId="4" w16cid:durableId="1034505472">
    <w:abstractNumId w:val="2"/>
  </w:num>
  <w:num w:numId="5" w16cid:durableId="1749039642">
    <w:abstractNumId w:val="0"/>
  </w:num>
  <w:num w:numId="6" w16cid:durableId="1477256115">
    <w:abstractNumId w:val="5"/>
  </w:num>
  <w:num w:numId="7" w16cid:durableId="124661415">
    <w:abstractNumId w:val="3"/>
  </w:num>
  <w:num w:numId="8" w16cid:durableId="950818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0B"/>
    <w:rsid w:val="00027B57"/>
    <w:rsid w:val="000357EB"/>
    <w:rsid w:val="00036B0D"/>
    <w:rsid w:val="000468FE"/>
    <w:rsid w:val="00050421"/>
    <w:rsid w:val="00061C21"/>
    <w:rsid w:val="000679E7"/>
    <w:rsid w:val="00073BB6"/>
    <w:rsid w:val="000746F4"/>
    <w:rsid w:val="000C502C"/>
    <w:rsid w:val="000D1948"/>
    <w:rsid w:val="000D2A72"/>
    <w:rsid w:val="000E7E2A"/>
    <w:rsid w:val="000F2A15"/>
    <w:rsid w:val="000F7FA9"/>
    <w:rsid w:val="00101B47"/>
    <w:rsid w:val="0010314B"/>
    <w:rsid w:val="00107C2B"/>
    <w:rsid w:val="001218B1"/>
    <w:rsid w:val="00122A2E"/>
    <w:rsid w:val="00127CC9"/>
    <w:rsid w:val="001306C1"/>
    <w:rsid w:val="00146BEB"/>
    <w:rsid w:val="00156FF8"/>
    <w:rsid w:val="00161CE2"/>
    <w:rsid w:val="00163419"/>
    <w:rsid w:val="0016774F"/>
    <w:rsid w:val="0017193F"/>
    <w:rsid w:val="00180F07"/>
    <w:rsid w:val="00181C56"/>
    <w:rsid w:val="00182B17"/>
    <w:rsid w:val="001B4901"/>
    <w:rsid w:val="001C02AD"/>
    <w:rsid w:val="001C700D"/>
    <w:rsid w:val="001D1C20"/>
    <w:rsid w:val="001D2439"/>
    <w:rsid w:val="001D715A"/>
    <w:rsid w:val="001F7DC3"/>
    <w:rsid w:val="0020077A"/>
    <w:rsid w:val="00201B3A"/>
    <w:rsid w:val="00211A10"/>
    <w:rsid w:val="0021541F"/>
    <w:rsid w:val="0022005B"/>
    <w:rsid w:val="002240E7"/>
    <w:rsid w:val="00226C6B"/>
    <w:rsid w:val="00231208"/>
    <w:rsid w:val="00247F65"/>
    <w:rsid w:val="002746C6"/>
    <w:rsid w:val="00281F9A"/>
    <w:rsid w:val="002900BA"/>
    <w:rsid w:val="002A0479"/>
    <w:rsid w:val="002A45B1"/>
    <w:rsid w:val="002B5A36"/>
    <w:rsid w:val="002B7C0F"/>
    <w:rsid w:val="002E6B6D"/>
    <w:rsid w:val="002F0023"/>
    <w:rsid w:val="002F1376"/>
    <w:rsid w:val="0030492B"/>
    <w:rsid w:val="00310AE2"/>
    <w:rsid w:val="00314095"/>
    <w:rsid w:val="0034474D"/>
    <w:rsid w:val="003478C5"/>
    <w:rsid w:val="00353919"/>
    <w:rsid w:val="00353F95"/>
    <w:rsid w:val="00375670"/>
    <w:rsid w:val="003859EA"/>
    <w:rsid w:val="00390461"/>
    <w:rsid w:val="00393D52"/>
    <w:rsid w:val="003941DC"/>
    <w:rsid w:val="003A1877"/>
    <w:rsid w:val="003B2E31"/>
    <w:rsid w:val="003B2F26"/>
    <w:rsid w:val="003B6561"/>
    <w:rsid w:val="003E0FEA"/>
    <w:rsid w:val="003E1DAF"/>
    <w:rsid w:val="003F18A4"/>
    <w:rsid w:val="003F35F8"/>
    <w:rsid w:val="00410589"/>
    <w:rsid w:val="0041499F"/>
    <w:rsid w:val="00465A00"/>
    <w:rsid w:val="0047451D"/>
    <w:rsid w:val="0048525C"/>
    <w:rsid w:val="00485E32"/>
    <w:rsid w:val="00487426"/>
    <w:rsid w:val="0049332D"/>
    <w:rsid w:val="004B176C"/>
    <w:rsid w:val="004E224B"/>
    <w:rsid w:val="004F14D7"/>
    <w:rsid w:val="004F163A"/>
    <w:rsid w:val="004F2639"/>
    <w:rsid w:val="00511F09"/>
    <w:rsid w:val="0051299D"/>
    <w:rsid w:val="00513472"/>
    <w:rsid w:val="00520E3B"/>
    <w:rsid w:val="00535F3A"/>
    <w:rsid w:val="00545951"/>
    <w:rsid w:val="00546542"/>
    <w:rsid w:val="00552D62"/>
    <w:rsid w:val="00553566"/>
    <w:rsid w:val="00555560"/>
    <w:rsid w:val="00560F58"/>
    <w:rsid w:val="00565A4A"/>
    <w:rsid w:val="00566318"/>
    <w:rsid w:val="00575095"/>
    <w:rsid w:val="00594D90"/>
    <w:rsid w:val="005A590C"/>
    <w:rsid w:val="005B50C0"/>
    <w:rsid w:val="005C0620"/>
    <w:rsid w:val="005C7CEC"/>
    <w:rsid w:val="005D5E4A"/>
    <w:rsid w:val="005E550C"/>
    <w:rsid w:val="006017CE"/>
    <w:rsid w:val="006018CA"/>
    <w:rsid w:val="0060550E"/>
    <w:rsid w:val="00610641"/>
    <w:rsid w:val="006252FF"/>
    <w:rsid w:val="0064235F"/>
    <w:rsid w:val="0065346A"/>
    <w:rsid w:val="006574EF"/>
    <w:rsid w:val="00667879"/>
    <w:rsid w:val="00667C38"/>
    <w:rsid w:val="006751A1"/>
    <w:rsid w:val="0069242C"/>
    <w:rsid w:val="006A5C1A"/>
    <w:rsid w:val="006B7C03"/>
    <w:rsid w:val="006F2902"/>
    <w:rsid w:val="006F739B"/>
    <w:rsid w:val="007026D1"/>
    <w:rsid w:val="0070537E"/>
    <w:rsid w:val="00714A49"/>
    <w:rsid w:val="00720897"/>
    <w:rsid w:val="00722827"/>
    <w:rsid w:val="00735030"/>
    <w:rsid w:val="00746FDA"/>
    <w:rsid w:val="00756698"/>
    <w:rsid w:val="00763A2D"/>
    <w:rsid w:val="00767F98"/>
    <w:rsid w:val="0078022D"/>
    <w:rsid w:val="00790C4D"/>
    <w:rsid w:val="00793BBC"/>
    <w:rsid w:val="007B37D8"/>
    <w:rsid w:val="007B3FBB"/>
    <w:rsid w:val="007C135E"/>
    <w:rsid w:val="007C50FA"/>
    <w:rsid w:val="007C652B"/>
    <w:rsid w:val="007E4366"/>
    <w:rsid w:val="007E52A2"/>
    <w:rsid w:val="008111EC"/>
    <w:rsid w:val="00815991"/>
    <w:rsid w:val="00824320"/>
    <w:rsid w:val="00824558"/>
    <w:rsid w:val="0083052F"/>
    <w:rsid w:val="00833B0B"/>
    <w:rsid w:val="008422E6"/>
    <w:rsid w:val="00854121"/>
    <w:rsid w:val="00870061"/>
    <w:rsid w:val="0089114B"/>
    <w:rsid w:val="0089308E"/>
    <w:rsid w:val="008A2C36"/>
    <w:rsid w:val="008A4352"/>
    <w:rsid w:val="008B23DC"/>
    <w:rsid w:val="008B630F"/>
    <w:rsid w:val="008B6F07"/>
    <w:rsid w:val="008D2C48"/>
    <w:rsid w:val="009153D2"/>
    <w:rsid w:val="00937747"/>
    <w:rsid w:val="00944692"/>
    <w:rsid w:val="009760C8"/>
    <w:rsid w:val="00980D95"/>
    <w:rsid w:val="00983E0A"/>
    <w:rsid w:val="00994142"/>
    <w:rsid w:val="0099594D"/>
    <w:rsid w:val="00997BE8"/>
    <w:rsid w:val="009A7FFC"/>
    <w:rsid w:val="009B0F82"/>
    <w:rsid w:val="009B1B5A"/>
    <w:rsid w:val="009C2C68"/>
    <w:rsid w:val="009C5247"/>
    <w:rsid w:val="009C64A1"/>
    <w:rsid w:val="009C7E49"/>
    <w:rsid w:val="009D20D1"/>
    <w:rsid w:val="009E083F"/>
    <w:rsid w:val="00A10815"/>
    <w:rsid w:val="00A225C2"/>
    <w:rsid w:val="00A2323D"/>
    <w:rsid w:val="00A32144"/>
    <w:rsid w:val="00A35777"/>
    <w:rsid w:val="00A36E09"/>
    <w:rsid w:val="00A602D3"/>
    <w:rsid w:val="00A665A9"/>
    <w:rsid w:val="00A87D30"/>
    <w:rsid w:val="00A90C44"/>
    <w:rsid w:val="00AA12CC"/>
    <w:rsid w:val="00AA2118"/>
    <w:rsid w:val="00AA4FB6"/>
    <w:rsid w:val="00AB2739"/>
    <w:rsid w:val="00AD2730"/>
    <w:rsid w:val="00AE02EC"/>
    <w:rsid w:val="00AE072B"/>
    <w:rsid w:val="00AE7832"/>
    <w:rsid w:val="00B219B0"/>
    <w:rsid w:val="00B25264"/>
    <w:rsid w:val="00B27535"/>
    <w:rsid w:val="00B350E2"/>
    <w:rsid w:val="00B40923"/>
    <w:rsid w:val="00B46436"/>
    <w:rsid w:val="00B52504"/>
    <w:rsid w:val="00B64A28"/>
    <w:rsid w:val="00B7667F"/>
    <w:rsid w:val="00B80F19"/>
    <w:rsid w:val="00B86766"/>
    <w:rsid w:val="00BA341E"/>
    <w:rsid w:val="00BB0378"/>
    <w:rsid w:val="00BD1A03"/>
    <w:rsid w:val="00BD336D"/>
    <w:rsid w:val="00BE24C4"/>
    <w:rsid w:val="00C02CF7"/>
    <w:rsid w:val="00C14434"/>
    <w:rsid w:val="00C1791E"/>
    <w:rsid w:val="00C1795A"/>
    <w:rsid w:val="00C217FE"/>
    <w:rsid w:val="00C24459"/>
    <w:rsid w:val="00C405C2"/>
    <w:rsid w:val="00C42DCF"/>
    <w:rsid w:val="00C67866"/>
    <w:rsid w:val="00C70850"/>
    <w:rsid w:val="00C846FA"/>
    <w:rsid w:val="00C85ED1"/>
    <w:rsid w:val="00CB1279"/>
    <w:rsid w:val="00CC5813"/>
    <w:rsid w:val="00CD7046"/>
    <w:rsid w:val="00CD7F62"/>
    <w:rsid w:val="00CE2A43"/>
    <w:rsid w:val="00CE661F"/>
    <w:rsid w:val="00CF6691"/>
    <w:rsid w:val="00D113F1"/>
    <w:rsid w:val="00D17EF1"/>
    <w:rsid w:val="00D22C6B"/>
    <w:rsid w:val="00D23896"/>
    <w:rsid w:val="00D35B8B"/>
    <w:rsid w:val="00D41140"/>
    <w:rsid w:val="00D503E0"/>
    <w:rsid w:val="00D558DE"/>
    <w:rsid w:val="00D7171A"/>
    <w:rsid w:val="00D72080"/>
    <w:rsid w:val="00D86D0D"/>
    <w:rsid w:val="00D8797A"/>
    <w:rsid w:val="00DB2BED"/>
    <w:rsid w:val="00DB4B8C"/>
    <w:rsid w:val="00DC4792"/>
    <w:rsid w:val="00DC69AE"/>
    <w:rsid w:val="00DC713E"/>
    <w:rsid w:val="00DD4B70"/>
    <w:rsid w:val="00DF0F8A"/>
    <w:rsid w:val="00DF5A72"/>
    <w:rsid w:val="00DF787B"/>
    <w:rsid w:val="00E00596"/>
    <w:rsid w:val="00E17F6F"/>
    <w:rsid w:val="00E25E9F"/>
    <w:rsid w:val="00E5066E"/>
    <w:rsid w:val="00E87017"/>
    <w:rsid w:val="00EB1E7C"/>
    <w:rsid w:val="00EB2791"/>
    <w:rsid w:val="00EB7975"/>
    <w:rsid w:val="00EC2326"/>
    <w:rsid w:val="00ED17E9"/>
    <w:rsid w:val="00ED1C59"/>
    <w:rsid w:val="00EE4427"/>
    <w:rsid w:val="00EF0226"/>
    <w:rsid w:val="00EF5A37"/>
    <w:rsid w:val="00F00060"/>
    <w:rsid w:val="00F05DA7"/>
    <w:rsid w:val="00F1153A"/>
    <w:rsid w:val="00F16E93"/>
    <w:rsid w:val="00F2454C"/>
    <w:rsid w:val="00F455B5"/>
    <w:rsid w:val="00F46195"/>
    <w:rsid w:val="00F47D58"/>
    <w:rsid w:val="00F52E5A"/>
    <w:rsid w:val="00F65F4E"/>
    <w:rsid w:val="00F76F9B"/>
    <w:rsid w:val="00F8164E"/>
    <w:rsid w:val="00F876A4"/>
    <w:rsid w:val="00F90CA2"/>
    <w:rsid w:val="00FA7D58"/>
    <w:rsid w:val="00FB16E3"/>
    <w:rsid w:val="00FB59E2"/>
    <w:rsid w:val="00FC30E1"/>
    <w:rsid w:val="00FC320A"/>
    <w:rsid w:val="00FC6DBF"/>
    <w:rsid w:val="00FE0CD6"/>
    <w:rsid w:val="00FE137A"/>
    <w:rsid w:val="00FE2772"/>
    <w:rsid w:val="00FE36D8"/>
    <w:rsid w:val="00FE4519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ACC5CB"/>
  <w15:chartTrackingRefBased/>
  <w15:docId w15:val="{659BEB20-43B8-6C49-8734-D7A70CC8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51D"/>
    <w:rPr>
      <w:rFonts w:ascii="Times New Roman" w:eastAsia="Times New Roman" w:hAnsi="Times New Roman" w:cs="Times New Roman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4320"/>
    <w:pPr>
      <w:keepNext/>
      <w:keepLines/>
      <w:spacing w:before="40" w:line="480" w:lineRule="auto"/>
      <w:outlineLvl w:val="1"/>
    </w:pPr>
    <w:rPr>
      <w:rFonts w:asciiTheme="minorBidi" w:eastAsiaTheme="majorEastAsia" w:hAnsiTheme="minorBidi" w:cstheme="majorBidi"/>
      <w:color w:val="2F5496" w:themeColor="accent1" w:themeShade="BF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B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B0B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Char"/>
    <w:rsid w:val="00A32144"/>
    <w:pPr>
      <w:spacing w:after="160"/>
    </w:pPr>
    <w:rPr>
      <w:rFonts w:ascii="Arial" w:eastAsiaTheme="minorHAnsi" w:hAnsi="Arial" w:cs="Arial"/>
      <w:sz w:val="22"/>
      <w:szCs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32144"/>
    <w:rPr>
      <w:rFonts w:ascii="Arial" w:hAnsi="Arial" w:cs="Arial"/>
      <w:sz w:val="22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24320"/>
    <w:rPr>
      <w:rFonts w:asciiTheme="minorBidi" w:eastAsiaTheme="majorEastAsia" w:hAnsiTheme="minorBid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24320"/>
    <w:pPr>
      <w:spacing w:after="160" w:line="480" w:lineRule="auto"/>
      <w:ind w:left="720"/>
      <w:contextualSpacing/>
    </w:pPr>
    <w:rPr>
      <w:rFonts w:ascii="Arial" w:eastAsiaTheme="minorHAnsi" w:hAnsi="Arial" w:cstheme="minorBidi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0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0815"/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08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815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E25E9F"/>
    <w:pPr>
      <w:spacing w:after="200"/>
    </w:pPr>
    <w:rPr>
      <w:rFonts w:ascii="Arial" w:eastAsiaTheme="minorHAnsi" w:hAnsi="Arial" w:cstheme="minorBidi"/>
      <w:i/>
      <w:iCs/>
      <w:color w:val="44546A" w:themeColor="text2"/>
      <w:sz w:val="18"/>
      <w:szCs w:val="18"/>
      <w:lang w:val="en-GB"/>
    </w:rPr>
  </w:style>
  <w:style w:type="table" w:styleId="GridTable1Light">
    <w:name w:val="Grid Table 1 Light"/>
    <w:basedOn w:val="TableNormal"/>
    <w:uiPriority w:val="46"/>
    <w:rsid w:val="00E25E9F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9414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A36"/>
    <w:pPr>
      <w:tabs>
        <w:tab w:val="center" w:pos="4680"/>
        <w:tab w:val="right" w:pos="9360"/>
      </w:tabs>
    </w:pPr>
    <w:rPr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2B5A36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B5A36"/>
    <w:pPr>
      <w:tabs>
        <w:tab w:val="center" w:pos="4680"/>
        <w:tab w:val="right" w:pos="9360"/>
      </w:tabs>
    </w:pPr>
    <w:rPr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B5A36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2B5A36"/>
  </w:style>
  <w:style w:type="paragraph" w:styleId="BalloonText">
    <w:name w:val="Balloon Text"/>
    <w:basedOn w:val="Normal"/>
    <w:link w:val="BalloonTextChar"/>
    <w:uiPriority w:val="99"/>
    <w:semiHidden/>
    <w:unhideWhenUsed/>
    <w:rsid w:val="003B2E31"/>
    <w:rPr>
      <w:rFonts w:ascii="Segoe UI" w:hAnsi="Segoe UI" w:cs="Segoe UI"/>
      <w:sz w:val="18"/>
      <w:szCs w:val="18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E31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944692"/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F7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7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tstalkaboutit.nhs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.armstrong@soton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2737</Words>
  <Characters>15602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Armstrong</dc:creator>
  <cp:keywords/>
  <dc:description/>
  <cp:lastModifiedBy>Reviewer</cp:lastModifiedBy>
  <cp:revision>2</cp:revision>
  <dcterms:created xsi:type="dcterms:W3CDTF">2022-03-22T14:38:00Z</dcterms:created>
  <dcterms:modified xsi:type="dcterms:W3CDTF">2022-03-22T14:38:00Z</dcterms:modified>
</cp:coreProperties>
</file>